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header1.xml" ContentType="application/vnd.openxmlformats-officedocument.wordprocessingml.header+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E847F" w14:textId="77777777" w:rsidR="00073D0C" w:rsidRDefault="00073D0C" w:rsidP="00073D0C">
      <w:pPr>
        <w:pStyle w:val="Default"/>
        <w:jc w:val="center"/>
        <w:rPr>
          <w:sz w:val="44"/>
          <w:szCs w:val="44"/>
        </w:rPr>
      </w:pPr>
      <w:bookmarkStart w:id="0" w:name="_GoBack"/>
      <w:bookmarkEnd w:id="0"/>
      <w:r>
        <w:rPr>
          <w:b/>
          <w:bCs/>
          <w:sz w:val="44"/>
          <w:szCs w:val="44"/>
        </w:rPr>
        <w:t>BAR-ILAN UNIVERSITY</w:t>
      </w:r>
    </w:p>
    <w:p w14:paraId="737DB920" w14:textId="72F2453F" w:rsidR="00073D0C" w:rsidRDefault="008F4CAC" w:rsidP="008F4CAC">
      <w:pPr>
        <w:pStyle w:val="Default"/>
        <w:tabs>
          <w:tab w:val="left" w:pos="2902"/>
        </w:tabs>
        <w:rPr>
          <w:sz w:val="36"/>
          <w:szCs w:val="36"/>
        </w:rPr>
      </w:pPr>
      <w:r>
        <w:rPr>
          <w:sz w:val="36"/>
          <w:szCs w:val="36"/>
        </w:rPr>
        <w:tab/>
      </w:r>
    </w:p>
    <w:p w14:paraId="3933FB49" w14:textId="77777777" w:rsidR="00073D0C" w:rsidRDefault="00073D0C" w:rsidP="00073D0C">
      <w:pPr>
        <w:pStyle w:val="Default"/>
        <w:jc w:val="center"/>
        <w:rPr>
          <w:sz w:val="36"/>
          <w:szCs w:val="36"/>
        </w:rPr>
      </w:pPr>
    </w:p>
    <w:p w14:paraId="1A3BE056" w14:textId="77777777" w:rsidR="00073D0C" w:rsidRDefault="00073D0C" w:rsidP="00073D0C">
      <w:pPr>
        <w:pStyle w:val="Default"/>
        <w:jc w:val="center"/>
        <w:rPr>
          <w:sz w:val="36"/>
          <w:szCs w:val="36"/>
        </w:rPr>
      </w:pPr>
    </w:p>
    <w:p w14:paraId="0619FB4B" w14:textId="77777777" w:rsidR="00073D0C" w:rsidRDefault="00073D0C" w:rsidP="00073D0C">
      <w:pPr>
        <w:pStyle w:val="Default"/>
        <w:jc w:val="center"/>
        <w:rPr>
          <w:sz w:val="36"/>
          <w:szCs w:val="36"/>
        </w:rPr>
      </w:pPr>
    </w:p>
    <w:p w14:paraId="2DCA1AA1" w14:textId="77777777" w:rsidR="00073D0C" w:rsidRPr="00FA39A2" w:rsidRDefault="00073D0C" w:rsidP="00073D0C">
      <w:pPr>
        <w:jc w:val="center"/>
        <w:rPr>
          <w:rtl/>
        </w:rPr>
      </w:pPr>
    </w:p>
    <w:p w14:paraId="3D6C56AC" w14:textId="77777777" w:rsidR="00073D0C" w:rsidRDefault="00073D0C" w:rsidP="00073D0C">
      <w:pPr>
        <w:bidi w:val="0"/>
        <w:spacing w:line="276" w:lineRule="auto"/>
        <w:ind w:left="360"/>
        <w:jc w:val="center"/>
        <w:rPr>
          <w:b/>
          <w:bCs/>
          <w:sz w:val="48"/>
          <w:szCs w:val="48"/>
          <w:u w:val="single"/>
        </w:rPr>
      </w:pPr>
      <w:r>
        <w:rPr>
          <w:b/>
          <w:bCs/>
          <w:sz w:val="48"/>
          <w:szCs w:val="48"/>
          <w:u w:val="single"/>
        </w:rPr>
        <w:t>Israel, West Bank and Gaza Strip:</w:t>
      </w:r>
    </w:p>
    <w:p w14:paraId="0045E991" w14:textId="77777777" w:rsidR="00073D0C" w:rsidRDefault="00073D0C" w:rsidP="00073D0C">
      <w:pPr>
        <w:bidi w:val="0"/>
        <w:spacing w:line="276" w:lineRule="auto"/>
        <w:ind w:left="360"/>
        <w:jc w:val="center"/>
        <w:rPr>
          <w:b/>
          <w:bCs/>
          <w:sz w:val="48"/>
          <w:szCs w:val="48"/>
          <w:u w:val="single"/>
        </w:rPr>
      </w:pPr>
      <w:r>
        <w:rPr>
          <w:b/>
          <w:bCs/>
          <w:sz w:val="48"/>
          <w:szCs w:val="48"/>
          <w:u w:val="single"/>
        </w:rPr>
        <w:t>I</w:t>
      </w:r>
      <w:r w:rsidRPr="00873098">
        <w:rPr>
          <w:b/>
          <w:bCs/>
          <w:sz w:val="48"/>
          <w:szCs w:val="48"/>
          <w:u w:val="single"/>
        </w:rPr>
        <w:t>nvoluntary economic integration</w:t>
      </w:r>
    </w:p>
    <w:p w14:paraId="151E146E" w14:textId="77777777" w:rsidR="00073D0C" w:rsidRDefault="00073D0C" w:rsidP="00073D0C">
      <w:pPr>
        <w:pStyle w:val="Default"/>
        <w:spacing w:line="480" w:lineRule="auto"/>
        <w:jc w:val="center"/>
        <w:rPr>
          <w:sz w:val="32"/>
          <w:szCs w:val="32"/>
        </w:rPr>
      </w:pPr>
    </w:p>
    <w:p w14:paraId="3E026EA5" w14:textId="77777777" w:rsidR="00073D0C" w:rsidRDefault="00073D0C" w:rsidP="00073D0C">
      <w:pPr>
        <w:pStyle w:val="Default"/>
        <w:spacing w:line="480" w:lineRule="auto"/>
        <w:jc w:val="center"/>
        <w:rPr>
          <w:sz w:val="32"/>
          <w:szCs w:val="32"/>
        </w:rPr>
      </w:pPr>
    </w:p>
    <w:p w14:paraId="7E5B7800" w14:textId="77777777" w:rsidR="00073D0C" w:rsidRDefault="00073D0C" w:rsidP="00073D0C">
      <w:pPr>
        <w:pStyle w:val="Default"/>
        <w:spacing w:line="480" w:lineRule="auto"/>
        <w:jc w:val="center"/>
        <w:rPr>
          <w:sz w:val="32"/>
          <w:szCs w:val="32"/>
        </w:rPr>
      </w:pPr>
      <w:r>
        <w:rPr>
          <w:sz w:val="32"/>
          <w:szCs w:val="32"/>
        </w:rPr>
        <w:t xml:space="preserve">Roi </w:t>
      </w:r>
      <w:proofErr w:type="spellStart"/>
      <w:r>
        <w:rPr>
          <w:sz w:val="32"/>
          <w:szCs w:val="32"/>
        </w:rPr>
        <w:t>Frayberg</w:t>
      </w:r>
      <w:proofErr w:type="spellEnd"/>
    </w:p>
    <w:p w14:paraId="16179608" w14:textId="77777777" w:rsidR="00073D0C" w:rsidRDefault="00073D0C" w:rsidP="00073D0C">
      <w:pPr>
        <w:pStyle w:val="Default"/>
        <w:jc w:val="center"/>
        <w:rPr>
          <w:sz w:val="36"/>
          <w:szCs w:val="36"/>
        </w:rPr>
      </w:pPr>
      <w:r>
        <w:rPr>
          <w:sz w:val="36"/>
          <w:szCs w:val="36"/>
        </w:rPr>
        <w:t>Department of Economics</w:t>
      </w:r>
    </w:p>
    <w:p w14:paraId="21E37877" w14:textId="77777777" w:rsidR="00073D0C" w:rsidRDefault="00073D0C" w:rsidP="00073D0C">
      <w:pPr>
        <w:pStyle w:val="Default"/>
        <w:jc w:val="center"/>
        <w:rPr>
          <w:sz w:val="36"/>
          <w:szCs w:val="36"/>
        </w:rPr>
      </w:pPr>
    </w:p>
    <w:p w14:paraId="2E91329E" w14:textId="77777777" w:rsidR="00073D0C" w:rsidRDefault="00073D0C" w:rsidP="00073D0C">
      <w:pPr>
        <w:pStyle w:val="Default"/>
        <w:jc w:val="center"/>
        <w:rPr>
          <w:sz w:val="36"/>
          <w:szCs w:val="36"/>
        </w:rPr>
      </w:pPr>
    </w:p>
    <w:p w14:paraId="134F9285" w14:textId="77777777" w:rsidR="00073D0C" w:rsidRDefault="00073D0C" w:rsidP="00073D0C">
      <w:pPr>
        <w:pStyle w:val="Default"/>
        <w:jc w:val="center"/>
        <w:rPr>
          <w:sz w:val="36"/>
          <w:szCs w:val="36"/>
        </w:rPr>
      </w:pPr>
    </w:p>
    <w:p w14:paraId="6EB4B7DA" w14:textId="77777777" w:rsidR="00073D0C" w:rsidRDefault="00073D0C" w:rsidP="00073D0C">
      <w:pPr>
        <w:pStyle w:val="Default"/>
        <w:jc w:val="center"/>
        <w:rPr>
          <w:sz w:val="36"/>
          <w:szCs w:val="36"/>
        </w:rPr>
      </w:pPr>
    </w:p>
    <w:p w14:paraId="25FE2799" w14:textId="77777777" w:rsidR="00073D0C" w:rsidRPr="006031F8" w:rsidRDefault="00073D0C" w:rsidP="00073D0C">
      <w:pPr>
        <w:pStyle w:val="Default"/>
        <w:jc w:val="center"/>
        <w:rPr>
          <w:sz w:val="36"/>
          <w:szCs w:val="36"/>
        </w:rPr>
      </w:pPr>
      <w:r w:rsidRPr="006031F8">
        <w:rPr>
          <w:sz w:val="36"/>
          <w:szCs w:val="36"/>
        </w:rPr>
        <w:t>Ph.D. Thesis</w:t>
      </w:r>
    </w:p>
    <w:p w14:paraId="2241E6BC" w14:textId="77777777" w:rsidR="00073D0C" w:rsidRPr="00FA39A2" w:rsidRDefault="00073D0C" w:rsidP="00073D0C">
      <w:pPr>
        <w:pStyle w:val="Default"/>
        <w:jc w:val="center"/>
        <w:rPr>
          <w:sz w:val="36"/>
          <w:szCs w:val="36"/>
        </w:rPr>
      </w:pPr>
      <w:r w:rsidRPr="00FA39A2">
        <w:rPr>
          <w:sz w:val="36"/>
          <w:szCs w:val="36"/>
        </w:rPr>
        <w:t>Submitted to the Senate of Bar-</w:t>
      </w:r>
      <w:proofErr w:type="spellStart"/>
      <w:r w:rsidRPr="00FA39A2">
        <w:rPr>
          <w:sz w:val="36"/>
          <w:szCs w:val="36"/>
        </w:rPr>
        <w:t>Ilan</w:t>
      </w:r>
      <w:proofErr w:type="spellEnd"/>
      <w:r w:rsidRPr="00FA39A2">
        <w:rPr>
          <w:sz w:val="36"/>
          <w:szCs w:val="36"/>
        </w:rPr>
        <w:t xml:space="preserve"> University</w:t>
      </w:r>
    </w:p>
    <w:p w14:paraId="553D7F15" w14:textId="77777777" w:rsidR="00073D0C" w:rsidRDefault="00073D0C" w:rsidP="00073D0C">
      <w:pPr>
        <w:pStyle w:val="Default"/>
        <w:jc w:val="center"/>
        <w:rPr>
          <w:sz w:val="32"/>
          <w:szCs w:val="32"/>
        </w:rPr>
      </w:pPr>
    </w:p>
    <w:p w14:paraId="334118BA" w14:textId="77777777" w:rsidR="00073D0C" w:rsidRDefault="00073D0C" w:rsidP="00073D0C">
      <w:pPr>
        <w:pStyle w:val="Default"/>
        <w:jc w:val="center"/>
        <w:rPr>
          <w:sz w:val="32"/>
          <w:szCs w:val="32"/>
        </w:rPr>
      </w:pPr>
    </w:p>
    <w:p w14:paraId="635E7813" w14:textId="77777777" w:rsidR="00073D0C" w:rsidRDefault="00073D0C" w:rsidP="00073D0C">
      <w:pPr>
        <w:pStyle w:val="Default"/>
        <w:jc w:val="center"/>
        <w:rPr>
          <w:sz w:val="32"/>
          <w:szCs w:val="32"/>
        </w:rPr>
      </w:pPr>
      <w:r w:rsidRPr="003E65AF">
        <w:rPr>
          <w:sz w:val="32"/>
          <w:szCs w:val="32"/>
        </w:rPr>
        <w:t>Supervisor: Prof. Warren Young</w:t>
      </w:r>
    </w:p>
    <w:p w14:paraId="3A316F4F" w14:textId="77777777" w:rsidR="00073D0C" w:rsidRDefault="00073D0C" w:rsidP="00073D0C">
      <w:pPr>
        <w:pStyle w:val="Default"/>
        <w:jc w:val="center"/>
        <w:rPr>
          <w:sz w:val="32"/>
          <w:szCs w:val="32"/>
        </w:rPr>
      </w:pPr>
    </w:p>
    <w:p w14:paraId="1587ED96" w14:textId="77777777" w:rsidR="00073D0C" w:rsidRDefault="00073D0C" w:rsidP="00073D0C">
      <w:pPr>
        <w:pStyle w:val="Default"/>
        <w:jc w:val="center"/>
        <w:rPr>
          <w:sz w:val="32"/>
          <w:szCs w:val="32"/>
        </w:rPr>
      </w:pPr>
    </w:p>
    <w:p w14:paraId="479B0443" w14:textId="77777777" w:rsidR="00073D0C" w:rsidRDefault="00073D0C" w:rsidP="00073D0C">
      <w:pPr>
        <w:pStyle w:val="Default"/>
        <w:spacing w:line="480" w:lineRule="auto"/>
        <w:rPr>
          <w:sz w:val="32"/>
          <w:szCs w:val="32"/>
        </w:rPr>
      </w:pPr>
    </w:p>
    <w:p w14:paraId="20FF51E3" w14:textId="77777777" w:rsidR="00073D0C" w:rsidRDefault="00073D0C" w:rsidP="00073D0C">
      <w:pPr>
        <w:pStyle w:val="Default"/>
        <w:spacing w:line="480" w:lineRule="auto"/>
        <w:rPr>
          <w:sz w:val="32"/>
          <w:szCs w:val="32"/>
        </w:rPr>
      </w:pPr>
    </w:p>
    <w:p w14:paraId="7DF5393E" w14:textId="7D3A8E3C" w:rsidR="00073D0C" w:rsidRPr="003E65AF" w:rsidRDefault="00073D0C" w:rsidP="00073D0C">
      <w:pPr>
        <w:pStyle w:val="Default"/>
        <w:spacing w:line="480" w:lineRule="auto"/>
        <w:rPr>
          <w:sz w:val="32"/>
          <w:szCs w:val="32"/>
        </w:rPr>
      </w:pPr>
      <w:r>
        <w:rPr>
          <w:sz w:val="32"/>
          <w:szCs w:val="32"/>
        </w:rPr>
        <w:t>Ramat Gan, Israel</w:t>
      </w:r>
      <w:r>
        <w:rPr>
          <w:sz w:val="32"/>
          <w:szCs w:val="32"/>
        </w:rPr>
        <w:tab/>
      </w:r>
      <w:r>
        <w:rPr>
          <w:sz w:val="32"/>
          <w:szCs w:val="32"/>
        </w:rPr>
        <w:tab/>
      </w:r>
      <w:r>
        <w:rPr>
          <w:sz w:val="32"/>
          <w:szCs w:val="32"/>
        </w:rPr>
        <w:tab/>
      </w:r>
      <w:r w:rsidR="00852340">
        <w:rPr>
          <w:sz w:val="32"/>
          <w:szCs w:val="32"/>
        </w:rPr>
        <w:tab/>
      </w:r>
      <w:r>
        <w:rPr>
          <w:sz w:val="32"/>
          <w:szCs w:val="32"/>
        </w:rPr>
        <w:tab/>
      </w:r>
      <w:r>
        <w:rPr>
          <w:sz w:val="32"/>
          <w:szCs w:val="32"/>
        </w:rPr>
        <w:tab/>
      </w:r>
      <w:r w:rsidR="007F500E">
        <w:rPr>
          <w:sz w:val="32"/>
          <w:szCs w:val="32"/>
        </w:rPr>
        <w:t>J</w:t>
      </w:r>
      <w:r w:rsidR="00C62252">
        <w:rPr>
          <w:sz w:val="32"/>
          <w:szCs w:val="32"/>
        </w:rPr>
        <w:t>une</w:t>
      </w:r>
      <w:r>
        <w:rPr>
          <w:sz w:val="32"/>
          <w:szCs w:val="32"/>
        </w:rPr>
        <w:t xml:space="preserve"> </w:t>
      </w:r>
      <w:r w:rsidR="002E3D1E">
        <w:rPr>
          <w:sz w:val="32"/>
          <w:szCs w:val="32"/>
        </w:rPr>
        <w:t>2022</w:t>
      </w:r>
    </w:p>
    <w:p w14:paraId="43A2002D" w14:textId="77777777" w:rsidR="00073D0C" w:rsidRDefault="00073D0C" w:rsidP="00073D0C">
      <w:pPr>
        <w:pStyle w:val="Default"/>
        <w:jc w:val="center"/>
        <w:rPr>
          <w:b/>
          <w:bCs/>
          <w:sz w:val="32"/>
          <w:szCs w:val="32"/>
          <w:u w:val="single"/>
        </w:rPr>
      </w:pPr>
    </w:p>
    <w:p w14:paraId="38ED938B" w14:textId="77777777" w:rsidR="00073D0C" w:rsidRDefault="00073D0C" w:rsidP="00073D0C">
      <w:pPr>
        <w:pStyle w:val="Default"/>
        <w:jc w:val="center"/>
        <w:rPr>
          <w:b/>
          <w:bCs/>
          <w:sz w:val="32"/>
          <w:szCs w:val="32"/>
          <w:u w:val="single"/>
        </w:rPr>
        <w:sectPr w:rsidR="00073D0C" w:rsidSect="00EC513F">
          <w:pgSz w:w="11906" w:h="16838"/>
          <w:pgMar w:top="1440" w:right="1800" w:bottom="1440" w:left="1800" w:header="708" w:footer="708" w:gutter="0"/>
          <w:cols w:space="708"/>
          <w:bidi/>
          <w:rtlGutter/>
          <w:docGrid w:linePitch="360"/>
        </w:sectPr>
      </w:pPr>
    </w:p>
    <w:p w14:paraId="1B12ACB7" w14:textId="77777777" w:rsidR="00AA276A" w:rsidRDefault="00AA276A" w:rsidP="00AA276A">
      <w:pPr>
        <w:pStyle w:val="ListParagraph"/>
        <w:autoSpaceDE w:val="0"/>
        <w:autoSpaceDN w:val="0"/>
        <w:bidi w:val="0"/>
        <w:adjustRightInd w:val="0"/>
        <w:ind w:left="360"/>
        <w:rPr>
          <w:rFonts w:asciiTheme="majorBidi" w:hAnsiTheme="majorBidi" w:cstheme="majorBidi"/>
          <w:b/>
          <w:bCs/>
          <w:sz w:val="28"/>
          <w:szCs w:val="28"/>
        </w:rPr>
      </w:pPr>
      <w:r>
        <w:rPr>
          <w:rFonts w:asciiTheme="majorBidi" w:hAnsiTheme="majorBidi" w:cstheme="majorBidi"/>
          <w:b/>
          <w:bCs/>
          <w:sz w:val="28"/>
          <w:szCs w:val="28"/>
        </w:rPr>
        <w:lastRenderedPageBreak/>
        <w:t>Abstract</w:t>
      </w:r>
    </w:p>
    <w:p w14:paraId="3678B50F" w14:textId="77777777" w:rsidR="00AA276A" w:rsidRDefault="00AA276A" w:rsidP="00AA276A">
      <w:pPr>
        <w:autoSpaceDE w:val="0"/>
        <w:autoSpaceDN w:val="0"/>
        <w:bidi w:val="0"/>
        <w:adjustRightInd w:val="0"/>
        <w:rPr>
          <w:rFonts w:asciiTheme="majorBidi" w:hAnsiTheme="majorBidi" w:cstheme="majorBidi"/>
          <w:b/>
          <w:bCs/>
          <w:sz w:val="28"/>
          <w:szCs w:val="28"/>
        </w:rPr>
      </w:pPr>
    </w:p>
    <w:p w14:paraId="4FC6CC5A" w14:textId="109BEB1E" w:rsidR="00AA276A" w:rsidRPr="006C5168" w:rsidRDefault="00AA276A" w:rsidP="00AA276A">
      <w:pPr>
        <w:bidi w:val="0"/>
        <w:spacing w:line="480" w:lineRule="auto"/>
        <w:ind w:left="360"/>
        <w:jc w:val="both"/>
        <w:rPr>
          <w:rFonts w:asciiTheme="majorBidi" w:hAnsiTheme="majorBidi" w:cstheme="majorBidi"/>
          <w:sz w:val="24"/>
          <w:szCs w:val="24"/>
        </w:rPr>
      </w:pPr>
      <w:r w:rsidRPr="006C5168">
        <w:rPr>
          <w:rFonts w:asciiTheme="majorBidi" w:hAnsiTheme="majorBidi" w:cstheme="majorBidi"/>
          <w:sz w:val="24"/>
          <w:szCs w:val="24"/>
        </w:rPr>
        <w:t xml:space="preserve">Israel and the West Bank and Gaza strip (WBG) maintain close economic ties. These are the result of geographic proximity, history, culture, geopolitical conflicts, and economic agreements. Over the years, the degree of economic integration between the economies has varied, a process reflected in trade, labor, monetary and banking, infrastructures and resources, movement of population and wealth and standard of living. Our study starts with a review of the geopolitical events and aspects of economic integration in the region over the past century that shaped the economic ties between Israel and the WBG as they </w:t>
      </w:r>
      <w:r w:rsidR="00BC5381">
        <w:rPr>
          <w:rFonts w:asciiTheme="majorBidi" w:hAnsiTheme="majorBidi" w:cstheme="majorBidi"/>
          <w:sz w:val="24"/>
          <w:szCs w:val="24"/>
        </w:rPr>
        <w:t>exist</w:t>
      </w:r>
      <w:r w:rsidRPr="006C5168">
        <w:rPr>
          <w:rFonts w:asciiTheme="majorBidi" w:hAnsiTheme="majorBidi" w:cstheme="majorBidi"/>
          <w:sz w:val="24"/>
          <w:szCs w:val="24"/>
        </w:rPr>
        <w:t xml:space="preserve"> today. In each period we describe the economic activity that took place in the region and the impact of the geopolitical events on it. </w:t>
      </w:r>
    </w:p>
    <w:p w14:paraId="189A729D" w14:textId="51F6FD33" w:rsidR="00AA276A" w:rsidRPr="006C5168" w:rsidRDefault="00AA276A" w:rsidP="00AA276A">
      <w:pPr>
        <w:bidi w:val="0"/>
        <w:spacing w:line="480" w:lineRule="auto"/>
        <w:ind w:left="360"/>
        <w:jc w:val="both"/>
        <w:rPr>
          <w:rFonts w:asciiTheme="majorBidi" w:hAnsiTheme="majorBidi" w:cstheme="majorBidi"/>
          <w:sz w:val="24"/>
          <w:szCs w:val="24"/>
        </w:rPr>
      </w:pPr>
      <w:r w:rsidRPr="006C5168">
        <w:rPr>
          <w:rFonts w:asciiTheme="majorBidi" w:hAnsiTheme="majorBidi" w:cstheme="majorBidi"/>
          <w:sz w:val="24"/>
          <w:szCs w:val="24"/>
        </w:rPr>
        <w:t xml:space="preserve">Due to the importance of economic ties with Israel, the New Israeli shekel (NIS) is one of the main currencies used by businesses and consumers in the Palestinian economy in day-to-day trading. For this reason, we </w:t>
      </w:r>
      <w:r w:rsidR="00434260">
        <w:rPr>
          <w:rFonts w:asciiTheme="majorBidi" w:hAnsiTheme="majorBidi" w:cstheme="majorBidi"/>
          <w:sz w:val="24"/>
          <w:szCs w:val="24"/>
        </w:rPr>
        <w:t>closely</w:t>
      </w:r>
      <w:r w:rsidRPr="006C5168">
        <w:rPr>
          <w:rFonts w:asciiTheme="majorBidi" w:hAnsiTheme="majorBidi" w:cstheme="majorBidi"/>
          <w:sz w:val="24"/>
          <w:szCs w:val="24"/>
        </w:rPr>
        <w:t xml:space="preserve"> analyze the scope and method of monetary and banking relations between Israel and the WBG, and estimate the scope and share of usage of cash in the WBG out of total NIS in circulation, based on the methodology of the European Central Bank (ECB). We found that this share is estimated at about 2</w:t>
      </w:r>
      <w:r w:rsidRPr="006C5168">
        <w:rPr>
          <w:rFonts w:asciiTheme="majorBidi" w:hAnsiTheme="majorBidi" w:cstheme="majorBidi"/>
          <w:sz w:val="24"/>
          <w:szCs w:val="24"/>
          <w:rtl/>
        </w:rPr>
        <w:t>1</w:t>
      </w:r>
      <w:r w:rsidRPr="006C5168">
        <w:rPr>
          <w:rFonts w:asciiTheme="majorBidi" w:hAnsiTheme="majorBidi" w:cstheme="majorBidi"/>
          <w:sz w:val="24"/>
          <w:szCs w:val="24"/>
        </w:rPr>
        <w:t>% as of 2019.</w:t>
      </w:r>
    </w:p>
    <w:p w14:paraId="782BA34F" w14:textId="2887AB82" w:rsidR="00AA276A" w:rsidRPr="006C5168" w:rsidRDefault="00AA276A" w:rsidP="00AA276A">
      <w:pPr>
        <w:bidi w:val="0"/>
        <w:spacing w:line="480" w:lineRule="auto"/>
        <w:ind w:left="360"/>
        <w:jc w:val="both"/>
        <w:rPr>
          <w:rFonts w:asciiTheme="majorBidi" w:hAnsiTheme="majorBidi" w:cstheme="majorBidi"/>
          <w:sz w:val="24"/>
          <w:szCs w:val="24"/>
          <w:rtl/>
        </w:rPr>
      </w:pPr>
      <w:r w:rsidRPr="006C5168">
        <w:rPr>
          <w:rFonts w:asciiTheme="majorBidi" w:hAnsiTheme="majorBidi" w:cstheme="majorBidi"/>
          <w:sz w:val="24"/>
          <w:szCs w:val="24"/>
        </w:rPr>
        <w:t xml:space="preserve">Then, we construct </w:t>
      </w:r>
      <w:r w:rsidR="001F7F8E">
        <w:rPr>
          <w:rFonts w:asciiTheme="majorBidi" w:hAnsiTheme="majorBidi" w:cstheme="majorBidi"/>
          <w:sz w:val="24"/>
          <w:szCs w:val="24"/>
        </w:rPr>
        <w:t>what we term</w:t>
      </w:r>
      <w:r w:rsidR="008C2DA3">
        <w:rPr>
          <w:rFonts w:asciiTheme="majorBidi" w:hAnsiTheme="majorBidi" w:cstheme="majorBidi"/>
          <w:sz w:val="24"/>
          <w:szCs w:val="24"/>
        </w:rPr>
        <w:t xml:space="preserve"> </w:t>
      </w:r>
      <w:r w:rsidRPr="006C5168">
        <w:rPr>
          <w:rFonts w:asciiTheme="majorBidi" w:eastAsiaTheme="minorHAnsi" w:hAnsiTheme="majorBidi" w:cstheme="majorBidi"/>
          <w:sz w:val="24"/>
          <w:szCs w:val="24"/>
        </w:rPr>
        <w:t>the Israel-WBG integration index (ISR-WBG-II), a</w:t>
      </w:r>
      <w:r w:rsidRPr="006C5168">
        <w:rPr>
          <w:rFonts w:asciiTheme="majorBidi" w:hAnsiTheme="majorBidi" w:cstheme="majorBidi"/>
          <w:sz w:val="24"/>
          <w:szCs w:val="24"/>
        </w:rPr>
        <w:t xml:space="preserve"> methodological tool for monitoring the level of economic integration based on well-known regional integration indices. According to our findings, we suggest that in a long term perspective (1968-2019), in the twenty years after the 1967 war, thanks to Israel's open policy toward the West bank and the Gaza Strip, there has been a dramatic increase in the level of integration to a level that has not been achieved again (1987 is the peak year</w:t>
      </w:r>
      <w:r w:rsidRPr="006C5168">
        <w:rPr>
          <w:rFonts w:asciiTheme="majorBidi" w:hAnsiTheme="majorBidi" w:cstheme="majorBidi"/>
          <w:sz w:val="24"/>
          <w:szCs w:val="24"/>
          <w:rtl/>
        </w:rPr>
        <w:t>(</w:t>
      </w:r>
      <w:r w:rsidRPr="006C5168">
        <w:rPr>
          <w:rFonts w:asciiTheme="majorBidi" w:hAnsiTheme="majorBidi" w:cstheme="majorBidi"/>
          <w:sz w:val="24"/>
          <w:szCs w:val="24"/>
        </w:rPr>
        <w:t xml:space="preserve">. After the “First Intifada” in the late 1980s, the level of integration began to decline in the face of periodic </w:t>
      </w:r>
      <w:r w:rsidRPr="006C5168">
        <w:rPr>
          <w:rFonts w:asciiTheme="majorBidi" w:hAnsiTheme="majorBidi" w:cstheme="majorBidi"/>
          <w:sz w:val="24"/>
          <w:szCs w:val="24"/>
        </w:rPr>
        <w:lastRenderedPageBreak/>
        <w:t>closures and restrictions on the movement of people and the beginning of the terrorist events that accompanied this period and finally ended in the Second Intifada in the early 2000s. After the end of the</w:t>
      </w:r>
      <w:r w:rsidRPr="006C5168">
        <w:rPr>
          <w:rFonts w:asciiTheme="majorBidi" w:hAnsiTheme="majorBidi" w:cstheme="majorBidi"/>
          <w:sz w:val="24"/>
          <w:szCs w:val="24"/>
          <w:rtl/>
        </w:rPr>
        <w:t xml:space="preserve"> </w:t>
      </w:r>
      <w:r w:rsidRPr="006C5168">
        <w:rPr>
          <w:rFonts w:asciiTheme="majorBidi" w:hAnsiTheme="majorBidi" w:cstheme="majorBidi"/>
          <w:sz w:val="24"/>
          <w:szCs w:val="24"/>
        </w:rPr>
        <w:t xml:space="preserve">Second Intifada, a certain recovery was observed, that reflects a steady increase in the level of integration. In recent years, a certain decrease in the level of integration has been observed as a result of lack of progress in the political process, and steps and policies taken by the Palestinian Authority to reduce the significant dependence on Israel. In order to address the situation in the Gaza Strip </w:t>
      </w:r>
      <w:r w:rsidR="00E05795">
        <w:rPr>
          <w:rFonts w:asciiTheme="majorBidi" w:hAnsiTheme="majorBidi" w:cstheme="majorBidi"/>
          <w:sz w:val="24"/>
          <w:szCs w:val="24"/>
        </w:rPr>
        <w:t>resulting from</w:t>
      </w:r>
      <w:r w:rsidRPr="006C5168">
        <w:rPr>
          <w:rFonts w:asciiTheme="majorBidi" w:hAnsiTheme="majorBidi" w:cstheme="majorBidi"/>
          <w:sz w:val="24"/>
          <w:szCs w:val="24"/>
        </w:rPr>
        <w:t xml:space="preserve"> Hamas' rise to power in 2006 </w:t>
      </w:r>
      <w:r w:rsidR="00A02DAF">
        <w:rPr>
          <w:rFonts w:asciiTheme="majorBidi" w:hAnsiTheme="majorBidi" w:cstheme="majorBidi"/>
          <w:sz w:val="24"/>
          <w:szCs w:val="24"/>
        </w:rPr>
        <w:t>which</w:t>
      </w:r>
      <w:r w:rsidRPr="006C5168">
        <w:rPr>
          <w:rFonts w:asciiTheme="majorBidi" w:hAnsiTheme="majorBidi" w:cstheme="majorBidi"/>
          <w:sz w:val="24"/>
          <w:szCs w:val="24"/>
        </w:rPr>
        <w:t xml:space="preserve"> </w:t>
      </w:r>
      <w:r w:rsidR="00E459AC" w:rsidRPr="006C5168">
        <w:rPr>
          <w:rFonts w:asciiTheme="majorBidi" w:hAnsiTheme="majorBidi" w:cstheme="majorBidi"/>
          <w:sz w:val="24"/>
          <w:szCs w:val="24"/>
        </w:rPr>
        <w:t xml:space="preserve">created </w:t>
      </w:r>
      <w:r w:rsidRPr="006C5168">
        <w:rPr>
          <w:rFonts w:asciiTheme="majorBidi" w:hAnsiTheme="majorBidi" w:cstheme="majorBidi"/>
          <w:sz w:val="24"/>
          <w:szCs w:val="24"/>
        </w:rPr>
        <w:t>de facto two separate economies in the territories</w:t>
      </w:r>
      <w:r w:rsidR="00D8092A">
        <w:rPr>
          <w:rFonts w:asciiTheme="majorBidi" w:hAnsiTheme="majorBidi" w:cstheme="majorBidi"/>
          <w:sz w:val="24"/>
          <w:szCs w:val="24"/>
        </w:rPr>
        <w:t>,</w:t>
      </w:r>
      <w:r w:rsidRPr="006C5168">
        <w:rPr>
          <w:rFonts w:asciiTheme="majorBidi" w:hAnsiTheme="majorBidi" w:cstheme="majorBidi"/>
          <w:sz w:val="24"/>
          <w:szCs w:val="24"/>
        </w:rPr>
        <w:t xml:space="preserve"> </w:t>
      </w:r>
      <w:r w:rsidR="00D8092A">
        <w:rPr>
          <w:rFonts w:asciiTheme="majorBidi" w:hAnsiTheme="majorBidi" w:cstheme="majorBidi"/>
          <w:sz w:val="24"/>
          <w:szCs w:val="24"/>
        </w:rPr>
        <w:t>w</w:t>
      </w:r>
      <w:r w:rsidRPr="006C5168">
        <w:rPr>
          <w:rFonts w:asciiTheme="majorBidi" w:hAnsiTheme="majorBidi" w:cstheme="majorBidi"/>
          <w:sz w:val="24"/>
          <w:szCs w:val="24"/>
        </w:rPr>
        <w:t xml:space="preserve">e breakdown the </w:t>
      </w:r>
      <w:r w:rsidRPr="006C5168">
        <w:rPr>
          <w:rFonts w:asciiTheme="majorBidi" w:eastAsiaTheme="minorHAnsi" w:hAnsiTheme="majorBidi" w:cstheme="majorBidi"/>
          <w:sz w:val="24"/>
          <w:szCs w:val="24"/>
        </w:rPr>
        <w:t>ISR-WBG-II</w:t>
      </w:r>
      <w:r w:rsidRPr="006C5168">
        <w:rPr>
          <w:rFonts w:asciiTheme="majorBidi" w:hAnsiTheme="majorBidi" w:cstheme="majorBidi"/>
          <w:sz w:val="24"/>
          <w:szCs w:val="24"/>
        </w:rPr>
        <w:t xml:space="preserve"> by geographical areas, </w:t>
      </w:r>
      <w:r w:rsidR="00EA530C">
        <w:rPr>
          <w:rFonts w:asciiTheme="majorBidi" w:hAnsiTheme="majorBidi" w:cstheme="majorBidi"/>
          <w:sz w:val="24"/>
          <w:szCs w:val="24"/>
        </w:rPr>
        <w:t>so as to</w:t>
      </w:r>
      <w:r w:rsidRPr="006C5168">
        <w:rPr>
          <w:rFonts w:asciiTheme="majorBidi" w:hAnsiTheme="majorBidi" w:cstheme="majorBidi"/>
          <w:sz w:val="24"/>
          <w:szCs w:val="24"/>
        </w:rPr>
        <w:t xml:space="preserve"> monitor each area separately as the view </w:t>
      </w:r>
      <w:r w:rsidR="0066539B" w:rsidRPr="00FD2493">
        <w:rPr>
          <w:rFonts w:asciiTheme="majorBidi" w:hAnsiTheme="majorBidi" w:cstheme="majorBidi"/>
          <w:sz w:val="24"/>
          <w:szCs w:val="24"/>
        </w:rPr>
        <w:t xml:space="preserve">that WBG </w:t>
      </w:r>
      <w:r w:rsidR="00FD2493" w:rsidRPr="00FD2493">
        <w:rPr>
          <w:rFonts w:asciiTheme="majorBidi" w:hAnsiTheme="majorBidi" w:cstheme="majorBidi"/>
          <w:sz w:val="24"/>
          <w:szCs w:val="24"/>
        </w:rPr>
        <w:t>is</w:t>
      </w:r>
      <w:r w:rsidR="0066539B" w:rsidRPr="00FD2493">
        <w:rPr>
          <w:rFonts w:asciiTheme="majorBidi" w:hAnsiTheme="majorBidi" w:cstheme="majorBidi"/>
          <w:sz w:val="24"/>
          <w:szCs w:val="24"/>
        </w:rPr>
        <w:t xml:space="preserve"> a </w:t>
      </w:r>
      <w:r w:rsidR="00FD2493" w:rsidRPr="00FD2493">
        <w:rPr>
          <w:rFonts w:asciiTheme="majorBidi" w:hAnsiTheme="majorBidi" w:cstheme="majorBidi"/>
          <w:sz w:val="24"/>
          <w:szCs w:val="24"/>
        </w:rPr>
        <w:t>contiguous</w:t>
      </w:r>
      <w:r w:rsidR="00224278" w:rsidRPr="00FD2493">
        <w:rPr>
          <w:rFonts w:asciiTheme="majorBidi" w:hAnsiTheme="majorBidi" w:cstheme="majorBidi"/>
          <w:sz w:val="24"/>
          <w:szCs w:val="24"/>
        </w:rPr>
        <w:t xml:space="preserve"> area econom</w:t>
      </w:r>
      <w:r w:rsidR="00DF11EE" w:rsidRPr="00FD2493">
        <w:rPr>
          <w:rFonts w:asciiTheme="majorBidi" w:hAnsiTheme="majorBidi" w:cstheme="majorBidi"/>
          <w:sz w:val="24"/>
          <w:szCs w:val="24"/>
        </w:rPr>
        <w:t>ically</w:t>
      </w:r>
      <w:r w:rsidRPr="00FD2493">
        <w:rPr>
          <w:rFonts w:asciiTheme="majorBidi" w:hAnsiTheme="majorBidi" w:cstheme="majorBidi"/>
          <w:sz w:val="24"/>
          <w:szCs w:val="24"/>
        </w:rPr>
        <w:t xml:space="preserve"> may be misleading.</w:t>
      </w:r>
      <w:r w:rsidRPr="006C5168">
        <w:rPr>
          <w:rFonts w:asciiTheme="majorBidi" w:hAnsiTheme="majorBidi" w:cstheme="majorBidi"/>
          <w:sz w:val="24"/>
          <w:szCs w:val="24"/>
        </w:rPr>
        <w:t xml:space="preserve"> </w:t>
      </w:r>
    </w:p>
    <w:p w14:paraId="3D250955" w14:textId="77777777" w:rsidR="00AA276A" w:rsidRPr="006C5168" w:rsidRDefault="00AA276A" w:rsidP="00AA276A">
      <w:pPr>
        <w:pStyle w:val="paragraph"/>
        <w:spacing w:before="0" w:beforeAutospacing="0" w:after="0" w:afterAutospacing="0" w:line="480" w:lineRule="auto"/>
        <w:ind w:left="360"/>
        <w:jc w:val="both"/>
        <w:textAlignment w:val="baseline"/>
        <w:rPr>
          <w:rFonts w:asciiTheme="majorBidi" w:hAnsiTheme="majorBidi" w:cstheme="majorBidi"/>
        </w:rPr>
      </w:pPr>
      <w:r w:rsidRPr="006C5168">
        <w:rPr>
          <w:rStyle w:val="eop"/>
          <w:rFonts w:asciiTheme="majorBidi" w:hAnsiTheme="majorBidi" w:cstheme="majorBidi"/>
        </w:rPr>
        <w:t xml:space="preserve">Finally, </w:t>
      </w:r>
      <w:r w:rsidRPr="006C5168">
        <w:rPr>
          <w:rFonts w:asciiTheme="majorBidi" w:hAnsiTheme="majorBidi" w:cstheme="majorBidi"/>
        </w:rPr>
        <w:t>we use the Granger causality test for determining whether terrorism Granger causes the level of economic integration, or vice versa, the level of integration Granger causes terrorism. Similarly, we implement the same test on unemployment rate in the WBG and the level of economic integration and unemployment rate and terrorism.</w:t>
      </w:r>
    </w:p>
    <w:p w14:paraId="50E3D0A1" w14:textId="77777777" w:rsidR="00AA276A" w:rsidRPr="006C5168" w:rsidRDefault="00AA276A" w:rsidP="00AA276A">
      <w:pPr>
        <w:pStyle w:val="paragraph"/>
        <w:spacing w:before="0" w:beforeAutospacing="0" w:after="0" w:afterAutospacing="0" w:line="480" w:lineRule="auto"/>
        <w:ind w:left="360"/>
        <w:jc w:val="both"/>
        <w:textAlignment w:val="baseline"/>
        <w:rPr>
          <w:rStyle w:val="normaltextrun"/>
          <w:rFonts w:asciiTheme="majorBidi" w:hAnsiTheme="majorBidi" w:cstheme="majorBidi"/>
        </w:rPr>
      </w:pPr>
      <w:r w:rsidRPr="006C5168">
        <w:rPr>
          <w:rStyle w:val="eop"/>
          <w:rFonts w:asciiTheme="majorBidi" w:hAnsiTheme="majorBidi" w:cstheme="majorBidi"/>
        </w:rPr>
        <w:t>We found that t</w:t>
      </w:r>
      <w:r w:rsidRPr="006C5168">
        <w:rPr>
          <w:rFonts w:asciiTheme="majorBidi" w:hAnsiTheme="majorBidi" w:cstheme="majorBidi"/>
        </w:rPr>
        <w:t>he level of economic integration</w:t>
      </w:r>
      <w:r w:rsidRPr="006C5168">
        <w:rPr>
          <w:rStyle w:val="eop"/>
          <w:rFonts w:asciiTheme="majorBidi" w:hAnsiTheme="majorBidi" w:cstheme="majorBidi"/>
        </w:rPr>
        <w:t xml:space="preserve"> Granger causes terrorism. This finding supports early work by scholars that</w:t>
      </w:r>
      <w:r w:rsidRPr="006C5168">
        <w:rPr>
          <w:rStyle w:val="normaltextrun"/>
          <w:rFonts w:asciiTheme="majorBidi" w:hAnsiTheme="majorBidi" w:cstheme="majorBidi"/>
        </w:rPr>
        <w:t xml:space="preserve"> argue that terrorism is a response to political conditions and long-standing feelings of indignity and frustration that have little to do with economics and low market opportunities or ignorance. For example, the years preceding the 1987 uprising had been marked by growing frustration on the part of the Palestinians. The ISR-WBG-II confirms that before the “First </w:t>
      </w:r>
      <w:r w:rsidRPr="006C5168">
        <w:rPr>
          <w:rFonts w:asciiTheme="majorBidi" w:hAnsiTheme="majorBidi" w:cstheme="majorBidi"/>
          <w:color w:val="202122"/>
          <w:shd w:val="clear" w:color="auto" w:fill="FFFFFF"/>
        </w:rPr>
        <w:t>Intifada”</w:t>
      </w:r>
      <w:r w:rsidRPr="006C5168">
        <w:rPr>
          <w:rStyle w:val="normaltextrun"/>
          <w:rFonts w:asciiTheme="majorBidi" w:hAnsiTheme="majorBidi" w:cstheme="majorBidi"/>
        </w:rPr>
        <w:t xml:space="preserve"> the level of economic integration was the highest which was reflected in the fact that the unemployment rate was at an all-time low and the relative standard of living was at its peak. Also before the “</w:t>
      </w:r>
      <w:r w:rsidRPr="006C5168">
        <w:rPr>
          <w:rFonts w:asciiTheme="majorBidi" w:hAnsiTheme="majorBidi" w:cstheme="majorBidi"/>
          <w:color w:val="202122"/>
          <w:shd w:val="clear" w:color="auto" w:fill="FFFFFF"/>
        </w:rPr>
        <w:t>Second Intifada”</w:t>
      </w:r>
      <w:r w:rsidRPr="006C5168">
        <w:rPr>
          <w:rStyle w:val="normaltextrun"/>
          <w:rFonts w:asciiTheme="majorBidi" w:hAnsiTheme="majorBidi" w:cstheme="majorBidi"/>
        </w:rPr>
        <w:t xml:space="preserve"> we found a rise in the integration level and reduction in unemployment rates in the WBG.</w:t>
      </w:r>
    </w:p>
    <w:p w14:paraId="4EC786A8" w14:textId="61A28653" w:rsidR="00AA276A" w:rsidRPr="006C5168" w:rsidRDefault="00AA276A" w:rsidP="00AA276A">
      <w:pPr>
        <w:pStyle w:val="paragraph"/>
        <w:spacing w:before="0" w:beforeAutospacing="0" w:after="0" w:afterAutospacing="0" w:line="480" w:lineRule="auto"/>
        <w:ind w:left="360"/>
        <w:jc w:val="both"/>
        <w:textAlignment w:val="baseline"/>
        <w:rPr>
          <w:rStyle w:val="normaltextrun"/>
          <w:rFonts w:asciiTheme="majorBidi" w:hAnsiTheme="majorBidi" w:cstheme="majorBidi"/>
        </w:rPr>
      </w:pPr>
      <w:r w:rsidRPr="7AF4482A">
        <w:rPr>
          <w:rFonts w:asciiTheme="majorBidi" w:hAnsiTheme="majorBidi" w:cstheme="majorBidi"/>
          <w:color w:val="000000" w:themeColor="text1"/>
        </w:rPr>
        <w:lastRenderedPageBreak/>
        <w:t xml:space="preserve">We also found that unemployment rate in the WBG Granger causes </w:t>
      </w:r>
      <w:r w:rsidRPr="006C5168">
        <w:rPr>
          <w:rStyle w:val="eop"/>
          <w:rFonts w:asciiTheme="majorBidi" w:hAnsiTheme="majorBidi" w:cstheme="majorBidi"/>
        </w:rPr>
        <w:t>t</w:t>
      </w:r>
      <w:r w:rsidRPr="006C5168">
        <w:rPr>
          <w:rFonts w:asciiTheme="majorBidi" w:hAnsiTheme="majorBidi" w:cstheme="majorBidi"/>
        </w:rPr>
        <w:t>he level of economic integration</w:t>
      </w:r>
      <w:r w:rsidRPr="006C5168">
        <w:rPr>
          <w:rStyle w:val="normaltextrun"/>
          <w:rFonts w:asciiTheme="majorBidi" w:hAnsiTheme="majorBidi" w:cstheme="majorBidi"/>
        </w:rPr>
        <w:t xml:space="preserve">. This finding could be linked to the Israeli policy toward the territories, that when there is a fear of a significant decrease in the standard of living in the WBG caused by, among other things, a high unemployment rate, Israel allows for more economic activity with the </w:t>
      </w:r>
      <w:r w:rsidR="002F761E">
        <w:rPr>
          <w:rStyle w:val="normaltextrun"/>
          <w:rFonts w:asciiTheme="majorBidi" w:hAnsiTheme="majorBidi" w:cstheme="majorBidi"/>
        </w:rPr>
        <w:t>WBG</w:t>
      </w:r>
      <w:r w:rsidRPr="006C5168">
        <w:rPr>
          <w:rStyle w:val="normaltextrun"/>
          <w:rFonts w:asciiTheme="majorBidi" w:hAnsiTheme="majorBidi" w:cstheme="majorBidi"/>
        </w:rPr>
        <w:t>, for example the movement of workers without permits to work in Israel and also increase</w:t>
      </w:r>
      <w:r w:rsidR="008920E1">
        <w:rPr>
          <w:rStyle w:val="normaltextrun"/>
          <w:rFonts w:asciiTheme="majorBidi" w:hAnsiTheme="majorBidi" w:cstheme="majorBidi"/>
        </w:rPr>
        <w:t>s</w:t>
      </w:r>
      <w:r w:rsidRPr="006C5168">
        <w:rPr>
          <w:rStyle w:val="normaltextrun"/>
          <w:rFonts w:asciiTheme="majorBidi" w:hAnsiTheme="majorBidi" w:cstheme="majorBidi"/>
        </w:rPr>
        <w:t xml:space="preserve"> the quota of working permits in Israel.</w:t>
      </w:r>
    </w:p>
    <w:p w14:paraId="58F76CE4" w14:textId="2B553077" w:rsidR="00E607AE" w:rsidRPr="00815F3A" w:rsidRDefault="00AA276A" w:rsidP="00E607AE">
      <w:pPr>
        <w:bidi w:val="0"/>
        <w:spacing w:line="480" w:lineRule="auto"/>
        <w:ind w:left="360"/>
        <w:jc w:val="both"/>
        <w:rPr>
          <w:rFonts w:asciiTheme="majorBidi" w:hAnsiTheme="majorBidi" w:cstheme="majorBidi"/>
          <w:sz w:val="24"/>
          <w:szCs w:val="24"/>
          <w:rtl/>
        </w:rPr>
      </w:pPr>
      <w:r w:rsidRPr="006C5168">
        <w:rPr>
          <w:rFonts w:asciiTheme="majorBidi" w:hAnsiTheme="majorBidi" w:cstheme="majorBidi"/>
          <w:sz w:val="24"/>
          <w:szCs w:val="24"/>
        </w:rPr>
        <w:t xml:space="preserve">Our findings are relevant in the context of the discussion of the idea of </w:t>
      </w:r>
      <w:r w:rsidR="008C7565">
        <w:rPr>
          <w:rFonts w:asciiTheme="majorBidi" w:hAnsiTheme="majorBidi" w:cstheme="majorBidi"/>
          <w:sz w:val="24"/>
          <w:szCs w:val="24"/>
        </w:rPr>
        <w:t xml:space="preserve">a </w:t>
      </w:r>
      <w:r w:rsidRPr="006C5168">
        <w:rPr>
          <w:rFonts w:asciiTheme="majorBidi" w:hAnsiTheme="majorBidi" w:cstheme="majorBidi"/>
          <w:sz w:val="24"/>
          <w:szCs w:val="24"/>
        </w:rPr>
        <w:t xml:space="preserve">one state </w:t>
      </w:r>
      <w:r w:rsidR="0075694F">
        <w:rPr>
          <w:rFonts w:asciiTheme="majorBidi" w:hAnsiTheme="majorBidi" w:cstheme="majorBidi"/>
          <w:sz w:val="24"/>
          <w:szCs w:val="24"/>
        </w:rPr>
        <w:t>scenario</w:t>
      </w:r>
      <w:r w:rsidRPr="006C5168">
        <w:rPr>
          <w:rFonts w:asciiTheme="majorBidi" w:hAnsiTheme="majorBidi" w:cstheme="majorBidi"/>
          <w:sz w:val="24"/>
          <w:szCs w:val="24"/>
        </w:rPr>
        <w:t xml:space="preserve"> or the idea of </w:t>
      </w:r>
      <w:r w:rsidR="008C7565">
        <w:rPr>
          <w:rFonts w:asciiTheme="majorBidi" w:hAnsiTheme="majorBidi" w:cstheme="majorBidi"/>
          <w:sz w:val="24"/>
          <w:szCs w:val="24"/>
        </w:rPr>
        <w:t xml:space="preserve">a </w:t>
      </w:r>
      <w:r w:rsidRPr="006C5168">
        <w:rPr>
          <w:rFonts w:asciiTheme="majorBidi" w:hAnsiTheme="majorBidi" w:cstheme="majorBidi"/>
          <w:sz w:val="24"/>
          <w:szCs w:val="24"/>
        </w:rPr>
        <w:t>two</w:t>
      </w:r>
      <w:r w:rsidR="007C2603" w:rsidRPr="006C5168">
        <w:rPr>
          <w:rFonts w:asciiTheme="majorBidi" w:hAnsiTheme="majorBidi" w:cstheme="majorBidi"/>
          <w:sz w:val="24"/>
          <w:szCs w:val="24"/>
        </w:rPr>
        <w:t>-</w:t>
      </w:r>
      <w:r w:rsidRPr="006C5168">
        <w:rPr>
          <w:rFonts w:asciiTheme="majorBidi" w:hAnsiTheme="majorBidi" w:cstheme="majorBidi"/>
          <w:sz w:val="24"/>
          <w:szCs w:val="24"/>
        </w:rPr>
        <w:t xml:space="preserve">state </w:t>
      </w:r>
      <w:r w:rsidR="0075694F">
        <w:rPr>
          <w:rFonts w:asciiTheme="majorBidi" w:hAnsiTheme="majorBidi" w:cstheme="majorBidi"/>
          <w:sz w:val="24"/>
          <w:szCs w:val="24"/>
        </w:rPr>
        <w:t>scenario</w:t>
      </w:r>
      <w:r w:rsidRPr="006C5168">
        <w:rPr>
          <w:rFonts w:asciiTheme="majorBidi" w:hAnsiTheme="majorBidi" w:cstheme="majorBidi"/>
          <w:sz w:val="24"/>
          <w:szCs w:val="24"/>
        </w:rPr>
        <w:t xml:space="preserve">. According to our findings, the degree of dependence of the Palestinian economy on the Israeli economy, which is reflected in the level of economic integration between the Israeli and Palestinian economies, is very high and unilateral. We can argue that the more the Palestinian economy will be an independent and strong, the greater the chance of a </w:t>
      </w:r>
      <w:r w:rsidR="0075694F">
        <w:rPr>
          <w:rFonts w:asciiTheme="majorBidi" w:hAnsiTheme="majorBidi" w:cstheme="majorBidi"/>
          <w:sz w:val="24"/>
          <w:szCs w:val="24"/>
        </w:rPr>
        <w:t>scenario</w:t>
      </w:r>
      <w:r w:rsidRPr="006C5168">
        <w:rPr>
          <w:rFonts w:asciiTheme="majorBidi" w:hAnsiTheme="majorBidi" w:cstheme="majorBidi"/>
          <w:sz w:val="24"/>
          <w:szCs w:val="24"/>
        </w:rPr>
        <w:t xml:space="preserve"> of two states side by side, while the more the Palestinian economy depends unilaterally on the Israeli economy, the greater the chance of a one state </w:t>
      </w:r>
      <w:r w:rsidR="0075694F">
        <w:rPr>
          <w:rFonts w:asciiTheme="majorBidi" w:hAnsiTheme="majorBidi" w:cstheme="majorBidi"/>
          <w:sz w:val="24"/>
          <w:szCs w:val="24"/>
        </w:rPr>
        <w:t>scenario</w:t>
      </w:r>
      <w:r w:rsidRPr="006C5168">
        <w:rPr>
          <w:rFonts w:asciiTheme="majorBidi" w:hAnsiTheme="majorBidi" w:cstheme="majorBidi"/>
          <w:sz w:val="24"/>
          <w:szCs w:val="24"/>
        </w:rPr>
        <w:t xml:space="preserve">. </w:t>
      </w:r>
      <w:r w:rsidR="00F15610">
        <w:rPr>
          <w:rFonts w:asciiTheme="majorBidi" w:hAnsiTheme="majorBidi" w:cstheme="majorBidi"/>
          <w:sz w:val="24"/>
          <w:szCs w:val="24"/>
        </w:rPr>
        <w:t>In that context</w:t>
      </w:r>
      <w:r w:rsidR="00E607AE" w:rsidRPr="00815F3A">
        <w:rPr>
          <w:rFonts w:asciiTheme="majorBidi" w:hAnsiTheme="majorBidi" w:cstheme="majorBidi"/>
          <w:sz w:val="24"/>
          <w:szCs w:val="24"/>
        </w:rPr>
        <w:t xml:space="preserve"> and to the extent that no significant geopolitical change occurs</w:t>
      </w:r>
      <w:r w:rsidR="00E607AE">
        <w:rPr>
          <w:rFonts w:asciiTheme="majorBidi" w:hAnsiTheme="majorBidi" w:cstheme="majorBidi"/>
          <w:sz w:val="24"/>
          <w:szCs w:val="24"/>
        </w:rPr>
        <w:t>,</w:t>
      </w:r>
      <w:r w:rsidR="00E607AE" w:rsidRPr="00815F3A">
        <w:rPr>
          <w:rFonts w:asciiTheme="majorBidi" w:hAnsiTheme="majorBidi" w:cstheme="majorBidi"/>
          <w:sz w:val="24"/>
          <w:szCs w:val="24"/>
        </w:rPr>
        <w:t xml:space="preserve"> there should be</w:t>
      </w:r>
      <w:r w:rsidR="00C47E19">
        <w:rPr>
          <w:rFonts w:asciiTheme="majorBidi" w:hAnsiTheme="majorBidi" w:cstheme="majorBidi"/>
          <w:sz w:val="24"/>
          <w:szCs w:val="24"/>
        </w:rPr>
        <w:t xml:space="preserve"> a</w:t>
      </w:r>
      <w:r w:rsidR="005035DA">
        <w:rPr>
          <w:rFonts w:asciiTheme="majorBidi" w:hAnsiTheme="majorBidi" w:cstheme="majorBidi"/>
          <w:sz w:val="24"/>
          <w:szCs w:val="24"/>
        </w:rPr>
        <w:t>lso a</w:t>
      </w:r>
      <w:r w:rsidR="00E607AE" w:rsidRPr="00815F3A">
        <w:rPr>
          <w:rFonts w:asciiTheme="majorBidi" w:hAnsiTheme="majorBidi" w:cstheme="majorBidi"/>
          <w:sz w:val="24"/>
          <w:szCs w:val="24"/>
        </w:rPr>
        <w:t xml:space="preserve"> </w:t>
      </w:r>
      <w:r w:rsidR="00E607AE">
        <w:rPr>
          <w:rFonts w:asciiTheme="majorBidi" w:hAnsiTheme="majorBidi" w:cstheme="majorBidi"/>
          <w:sz w:val="24"/>
          <w:szCs w:val="24"/>
        </w:rPr>
        <w:t>discussion</w:t>
      </w:r>
      <w:r w:rsidR="00E607AE" w:rsidRPr="00815F3A">
        <w:rPr>
          <w:rFonts w:asciiTheme="majorBidi" w:hAnsiTheme="majorBidi" w:cstheme="majorBidi"/>
          <w:sz w:val="24"/>
          <w:szCs w:val="24"/>
        </w:rPr>
        <w:t xml:space="preserve"> of</w:t>
      </w:r>
      <w:r w:rsidR="00E607AE">
        <w:rPr>
          <w:rFonts w:asciiTheme="majorBidi" w:hAnsiTheme="majorBidi" w:cstheme="majorBidi"/>
          <w:sz w:val="24"/>
          <w:szCs w:val="24"/>
        </w:rPr>
        <w:t xml:space="preserve"> a </w:t>
      </w:r>
      <w:r w:rsidR="00C47E19">
        <w:rPr>
          <w:rFonts w:asciiTheme="majorBidi" w:hAnsiTheme="majorBidi" w:cstheme="majorBidi"/>
          <w:sz w:val="24"/>
          <w:szCs w:val="24"/>
        </w:rPr>
        <w:t>scenario</w:t>
      </w:r>
      <w:r w:rsidR="00E607AE">
        <w:rPr>
          <w:rFonts w:asciiTheme="majorBidi" w:hAnsiTheme="majorBidi" w:cstheme="majorBidi"/>
          <w:sz w:val="24"/>
          <w:szCs w:val="24"/>
        </w:rPr>
        <w:t xml:space="preserve"> of</w:t>
      </w:r>
      <w:r w:rsidR="00E607AE" w:rsidRPr="00815F3A">
        <w:rPr>
          <w:rFonts w:asciiTheme="majorBidi" w:hAnsiTheme="majorBidi" w:cstheme="majorBidi"/>
          <w:sz w:val="24"/>
          <w:szCs w:val="24"/>
        </w:rPr>
        <w:t xml:space="preserve"> three economic and political entities between the Mediterranean and the Jordan River</w:t>
      </w:r>
      <w:r w:rsidR="005035DA">
        <w:rPr>
          <w:rFonts w:asciiTheme="majorBidi" w:hAnsiTheme="majorBidi" w:cstheme="majorBidi"/>
          <w:sz w:val="24"/>
          <w:szCs w:val="24"/>
        </w:rPr>
        <w:t>.</w:t>
      </w:r>
    </w:p>
    <w:p w14:paraId="3ED1E82F" w14:textId="77777777" w:rsidR="00AA276A" w:rsidRPr="006C5168" w:rsidRDefault="00AA276A" w:rsidP="00AA276A">
      <w:pPr>
        <w:bidi w:val="0"/>
        <w:spacing w:line="480" w:lineRule="auto"/>
        <w:ind w:left="360"/>
        <w:jc w:val="both"/>
        <w:rPr>
          <w:rFonts w:asciiTheme="majorBidi" w:eastAsiaTheme="minorEastAsia" w:hAnsiTheme="majorBidi" w:cstheme="majorBidi"/>
          <w:sz w:val="24"/>
          <w:szCs w:val="24"/>
        </w:rPr>
      </w:pPr>
      <w:r w:rsidRPr="006C5168">
        <w:rPr>
          <w:rFonts w:asciiTheme="majorBidi" w:hAnsiTheme="majorBidi" w:cstheme="majorBidi"/>
          <w:sz w:val="24"/>
          <w:szCs w:val="24"/>
        </w:rPr>
        <w:t xml:space="preserve">To conclude, </w:t>
      </w:r>
      <w:r w:rsidRPr="006C5168">
        <w:rPr>
          <w:rFonts w:asciiTheme="majorBidi" w:eastAsiaTheme="minorEastAsia" w:hAnsiTheme="majorBidi" w:cstheme="majorBidi"/>
          <w:sz w:val="24"/>
          <w:szCs w:val="24"/>
        </w:rPr>
        <w:t xml:space="preserve">this study contributes to an understanding of economic processes impacting the region and provides an economic backdrop for possible economic and political processes that may occur in the future. </w:t>
      </w:r>
    </w:p>
    <w:p w14:paraId="15C5354F" w14:textId="68DC041E" w:rsidR="00AA276A" w:rsidRPr="006C5168" w:rsidRDefault="00AA276A" w:rsidP="00AA276A">
      <w:pPr>
        <w:bidi w:val="0"/>
        <w:spacing w:line="480" w:lineRule="auto"/>
        <w:ind w:left="360"/>
        <w:jc w:val="both"/>
        <w:rPr>
          <w:rFonts w:asciiTheme="majorBidi" w:hAnsiTheme="majorBidi" w:cstheme="majorBidi"/>
          <w:b/>
          <w:bCs/>
          <w:sz w:val="28"/>
          <w:szCs w:val="28"/>
        </w:rPr>
      </w:pPr>
      <w:r w:rsidRPr="006C5168">
        <w:rPr>
          <w:rFonts w:asciiTheme="majorBidi" w:eastAsiaTheme="minorEastAsia" w:hAnsiTheme="majorBidi" w:cstheme="majorBidi"/>
          <w:sz w:val="24"/>
          <w:szCs w:val="24"/>
        </w:rPr>
        <w:t xml:space="preserve">The case of Israel and the WBG illustrates the process of </w:t>
      </w:r>
      <w:r w:rsidRPr="006C5168">
        <w:rPr>
          <w:rFonts w:asciiTheme="majorBidi" w:eastAsiaTheme="minorEastAsia" w:hAnsiTheme="majorBidi" w:cstheme="majorBidi"/>
          <w:i/>
          <w:iCs/>
          <w:sz w:val="24"/>
          <w:szCs w:val="24"/>
        </w:rPr>
        <w:t>involuntary economic integration</w:t>
      </w:r>
      <w:r w:rsidRPr="006C5168">
        <w:rPr>
          <w:rFonts w:asciiTheme="majorBidi" w:eastAsiaTheme="minorEastAsia" w:hAnsiTheme="majorBidi" w:cstheme="majorBidi"/>
          <w:sz w:val="24"/>
          <w:szCs w:val="24"/>
        </w:rPr>
        <w:t>, where the protagonists are bound in a Gordian knot.</w:t>
      </w:r>
    </w:p>
    <w:p w14:paraId="095CA35A" w14:textId="77777777" w:rsidR="00073D0C" w:rsidRDefault="00073D0C" w:rsidP="00073D0C">
      <w:pPr>
        <w:autoSpaceDE w:val="0"/>
        <w:autoSpaceDN w:val="0"/>
        <w:bidi w:val="0"/>
        <w:adjustRightInd w:val="0"/>
        <w:rPr>
          <w:rFonts w:asciiTheme="majorBidi" w:hAnsiTheme="majorBidi" w:cstheme="majorBidi"/>
          <w:b/>
          <w:bCs/>
          <w:sz w:val="28"/>
          <w:szCs w:val="28"/>
          <w:rtl/>
        </w:rPr>
      </w:pPr>
    </w:p>
    <w:p w14:paraId="55D7F744" w14:textId="77777777" w:rsidR="00073D0C" w:rsidRDefault="00073D0C" w:rsidP="00073D0C">
      <w:pPr>
        <w:autoSpaceDE w:val="0"/>
        <w:autoSpaceDN w:val="0"/>
        <w:bidi w:val="0"/>
        <w:adjustRightInd w:val="0"/>
        <w:rPr>
          <w:color w:val="2E2A25"/>
          <w:sz w:val="27"/>
          <w:szCs w:val="27"/>
          <w:rtl/>
        </w:rPr>
      </w:pPr>
    </w:p>
    <w:p w14:paraId="63966BA2" w14:textId="77777777" w:rsidR="00600ECD" w:rsidRDefault="00600ECD" w:rsidP="00600ECD">
      <w:pPr>
        <w:autoSpaceDE w:val="0"/>
        <w:autoSpaceDN w:val="0"/>
        <w:bidi w:val="0"/>
        <w:adjustRightInd w:val="0"/>
        <w:rPr>
          <w:color w:val="2E2A25"/>
          <w:sz w:val="27"/>
          <w:szCs w:val="27"/>
        </w:rPr>
      </w:pPr>
    </w:p>
    <w:p w14:paraId="5935E144" w14:textId="77777777" w:rsidR="00073D0C" w:rsidRDefault="00073D0C" w:rsidP="00073D0C">
      <w:pPr>
        <w:autoSpaceDE w:val="0"/>
        <w:autoSpaceDN w:val="0"/>
        <w:bidi w:val="0"/>
        <w:adjustRightInd w:val="0"/>
        <w:rPr>
          <w:color w:val="2E2A25"/>
          <w:sz w:val="27"/>
          <w:szCs w:val="27"/>
        </w:rPr>
      </w:pPr>
    </w:p>
    <w:p w14:paraId="0D666277" w14:textId="77777777" w:rsidR="00073D0C" w:rsidRDefault="00073D0C" w:rsidP="00073D0C">
      <w:pPr>
        <w:pStyle w:val="Default"/>
        <w:jc w:val="center"/>
        <w:rPr>
          <w:b/>
          <w:bCs/>
          <w:sz w:val="32"/>
          <w:szCs w:val="32"/>
          <w:u w:val="single"/>
        </w:rPr>
      </w:pPr>
      <w:r w:rsidRPr="003E65AF">
        <w:rPr>
          <w:b/>
          <w:bCs/>
          <w:sz w:val="32"/>
          <w:szCs w:val="32"/>
          <w:u w:val="single"/>
        </w:rPr>
        <w:lastRenderedPageBreak/>
        <w:t>Table of contents</w:t>
      </w:r>
    </w:p>
    <w:p w14:paraId="2BDC1705" w14:textId="77777777" w:rsidR="00073D0C" w:rsidRDefault="00073D0C" w:rsidP="00073D0C">
      <w:pPr>
        <w:pStyle w:val="ListParagraph"/>
        <w:autoSpaceDE w:val="0"/>
        <w:autoSpaceDN w:val="0"/>
        <w:bidi w:val="0"/>
        <w:adjustRightInd w:val="0"/>
        <w:ind w:left="360"/>
        <w:rPr>
          <w:rFonts w:asciiTheme="majorBidi" w:hAnsiTheme="majorBidi" w:cstheme="majorBidi"/>
          <w:b/>
          <w:bCs/>
          <w:sz w:val="28"/>
          <w:szCs w:val="28"/>
        </w:rPr>
      </w:pPr>
    </w:p>
    <w:p w14:paraId="066DE70C" w14:textId="67A8A809" w:rsidR="00073D0C" w:rsidRDefault="00197042" w:rsidP="00044E76">
      <w:pPr>
        <w:pStyle w:val="Default"/>
        <w:numPr>
          <w:ilvl w:val="0"/>
          <w:numId w:val="1"/>
        </w:numPr>
        <w:spacing w:line="480" w:lineRule="auto"/>
        <w:rPr>
          <w:sz w:val="28"/>
          <w:szCs w:val="28"/>
        </w:rPr>
      </w:pPr>
      <w:r>
        <w:rPr>
          <w:sz w:val="28"/>
          <w:szCs w:val="28"/>
        </w:rPr>
        <w:t xml:space="preserve">Chapter 1: </w:t>
      </w:r>
      <w:r w:rsidR="00073D0C">
        <w:rPr>
          <w:sz w:val="28"/>
          <w:szCs w:val="28"/>
        </w:rPr>
        <w:t>Introduction</w:t>
      </w:r>
      <w:r w:rsidR="009E19E8">
        <w:rPr>
          <w:sz w:val="28"/>
          <w:szCs w:val="28"/>
        </w:rPr>
        <w:tab/>
      </w:r>
      <w:r w:rsidR="009E19E8">
        <w:rPr>
          <w:sz w:val="28"/>
          <w:szCs w:val="28"/>
        </w:rPr>
        <w:tab/>
      </w:r>
      <w:r w:rsidR="009E19E8">
        <w:rPr>
          <w:sz w:val="28"/>
          <w:szCs w:val="28"/>
        </w:rPr>
        <w:tab/>
      </w:r>
      <w:r w:rsidR="009E19E8">
        <w:rPr>
          <w:sz w:val="28"/>
          <w:szCs w:val="28"/>
        </w:rPr>
        <w:tab/>
      </w:r>
      <w:r w:rsidR="009E19E8">
        <w:rPr>
          <w:sz w:val="28"/>
          <w:szCs w:val="28"/>
        </w:rPr>
        <w:tab/>
      </w:r>
      <w:r w:rsidR="009E19E8">
        <w:rPr>
          <w:sz w:val="28"/>
          <w:szCs w:val="28"/>
        </w:rPr>
        <w:tab/>
      </w:r>
    </w:p>
    <w:p w14:paraId="41457181" w14:textId="1A5D0641" w:rsidR="00073D0C" w:rsidRDefault="00197042" w:rsidP="00073D0C">
      <w:pPr>
        <w:pStyle w:val="Default"/>
        <w:numPr>
          <w:ilvl w:val="0"/>
          <w:numId w:val="1"/>
        </w:numPr>
        <w:spacing w:line="480" w:lineRule="auto"/>
        <w:rPr>
          <w:sz w:val="28"/>
          <w:szCs w:val="28"/>
        </w:rPr>
      </w:pPr>
      <w:r>
        <w:rPr>
          <w:sz w:val="28"/>
          <w:szCs w:val="28"/>
        </w:rPr>
        <w:t>Cha</w:t>
      </w:r>
      <w:r w:rsidR="00044E76">
        <w:rPr>
          <w:sz w:val="28"/>
          <w:szCs w:val="28"/>
        </w:rPr>
        <w:t xml:space="preserve">pter 2: </w:t>
      </w:r>
      <w:r w:rsidR="00073D0C" w:rsidRPr="00B11272">
        <w:rPr>
          <w:sz w:val="28"/>
          <w:szCs w:val="28"/>
        </w:rPr>
        <w:t xml:space="preserve">Geopolitical and </w:t>
      </w:r>
      <w:r w:rsidR="00073D0C">
        <w:rPr>
          <w:sz w:val="28"/>
          <w:szCs w:val="28"/>
        </w:rPr>
        <w:t>E</w:t>
      </w:r>
      <w:r w:rsidR="00073D0C" w:rsidRPr="00B11272">
        <w:rPr>
          <w:sz w:val="28"/>
          <w:szCs w:val="28"/>
        </w:rPr>
        <w:t xml:space="preserve">conomic </w:t>
      </w:r>
      <w:r w:rsidR="00073D0C">
        <w:rPr>
          <w:sz w:val="28"/>
          <w:szCs w:val="28"/>
        </w:rPr>
        <w:t>H</w:t>
      </w:r>
      <w:r w:rsidR="00073D0C" w:rsidRPr="00B11272">
        <w:rPr>
          <w:sz w:val="28"/>
          <w:szCs w:val="28"/>
        </w:rPr>
        <w:t>istory</w:t>
      </w:r>
      <w:r w:rsidR="00073D0C">
        <w:rPr>
          <w:sz w:val="28"/>
          <w:szCs w:val="28"/>
        </w:rPr>
        <w:t xml:space="preserve"> – Israel and the WBG</w:t>
      </w:r>
    </w:p>
    <w:p w14:paraId="5F09C8D0" w14:textId="77777777" w:rsidR="00913311" w:rsidRPr="00913311" w:rsidRDefault="00913311" w:rsidP="00913311">
      <w:pPr>
        <w:pStyle w:val="Default"/>
        <w:numPr>
          <w:ilvl w:val="1"/>
          <w:numId w:val="1"/>
        </w:numPr>
        <w:spacing w:line="480" w:lineRule="auto"/>
      </w:pPr>
      <w:r w:rsidRPr="00913311">
        <w:t>British Mandate of Palestine (1922-1947)</w:t>
      </w:r>
    </w:p>
    <w:p w14:paraId="0F5A3D2B" w14:textId="77777777" w:rsidR="00073D0C" w:rsidRPr="00D06756" w:rsidRDefault="00073D0C" w:rsidP="00073D0C">
      <w:pPr>
        <w:pStyle w:val="Default"/>
        <w:numPr>
          <w:ilvl w:val="1"/>
          <w:numId w:val="1"/>
        </w:numPr>
        <w:spacing w:line="480" w:lineRule="auto"/>
      </w:pPr>
      <w:r w:rsidRPr="00D06756">
        <w:t>Between the Wars (1948-1967)</w:t>
      </w:r>
    </w:p>
    <w:p w14:paraId="13E963D4" w14:textId="77777777" w:rsidR="00073D0C" w:rsidRPr="00D06756" w:rsidRDefault="00073D0C" w:rsidP="00073D0C">
      <w:pPr>
        <w:pStyle w:val="Default"/>
        <w:numPr>
          <w:ilvl w:val="1"/>
          <w:numId w:val="1"/>
        </w:numPr>
        <w:spacing w:line="480" w:lineRule="auto"/>
      </w:pPr>
      <w:bookmarkStart w:id="1" w:name="_Hlk53353379"/>
      <w:r w:rsidRPr="00D06756">
        <w:t xml:space="preserve">The WBG under Israel Control </w:t>
      </w:r>
      <w:bookmarkEnd w:id="1"/>
      <w:r w:rsidRPr="00D06756">
        <w:t>(1967-1993)</w:t>
      </w:r>
    </w:p>
    <w:p w14:paraId="25028B25" w14:textId="4243EA55" w:rsidR="00070101" w:rsidRPr="00D06756" w:rsidRDefault="00070101" w:rsidP="00070101">
      <w:pPr>
        <w:pStyle w:val="Default"/>
        <w:numPr>
          <w:ilvl w:val="1"/>
          <w:numId w:val="1"/>
        </w:numPr>
        <w:spacing w:line="480" w:lineRule="auto"/>
      </w:pPr>
      <w:r w:rsidRPr="00D06756">
        <w:t>From Peace Process to Entangled Reality (1994-</w:t>
      </w:r>
      <w:r w:rsidR="00C74096" w:rsidRPr="00D06756">
        <w:t>200</w:t>
      </w:r>
      <w:r w:rsidR="009065E4" w:rsidRPr="00D06756">
        <w:t>4</w:t>
      </w:r>
      <w:r w:rsidRPr="00D06756">
        <w:t>)</w:t>
      </w:r>
    </w:p>
    <w:p w14:paraId="224B36A2" w14:textId="48A5477A" w:rsidR="00593C12" w:rsidRPr="00593C12" w:rsidRDefault="00593C12" w:rsidP="00593C12">
      <w:pPr>
        <w:pStyle w:val="Default"/>
        <w:numPr>
          <w:ilvl w:val="1"/>
          <w:numId w:val="1"/>
        </w:numPr>
        <w:spacing w:line="480" w:lineRule="auto"/>
      </w:pPr>
      <w:r w:rsidRPr="00593C12">
        <w:t>Israel Disengages from the</w:t>
      </w:r>
      <w:r>
        <w:t xml:space="preserve"> </w:t>
      </w:r>
      <w:r w:rsidRPr="00593C12">
        <w:t>Gaza Strip and the Hamas Electoral Victory (2005 - 2021)</w:t>
      </w:r>
    </w:p>
    <w:p w14:paraId="5DF0FD14" w14:textId="7C3F3F4C" w:rsidR="00070101" w:rsidRPr="006F56CE" w:rsidRDefault="00070101" w:rsidP="00070101">
      <w:pPr>
        <w:pStyle w:val="Default"/>
        <w:numPr>
          <w:ilvl w:val="1"/>
          <w:numId w:val="1"/>
        </w:numPr>
        <w:spacing w:line="480" w:lineRule="auto"/>
        <w:rPr>
          <w:rtl/>
        </w:rPr>
      </w:pPr>
      <w:r w:rsidRPr="006F56CE">
        <w:t xml:space="preserve">Recent Years </w:t>
      </w:r>
    </w:p>
    <w:p w14:paraId="641647CB" w14:textId="51790FA5" w:rsidR="00073D0C" w:rsidRPr="00182FDA" w:rsidRDefault="00044E76" w:rsidP="00073D0C">
      <w:pPr>
        <w:pStyle w:val="Default"/>
        <w:numPr>
          <w:ilvl w:val="0"/>
          <w:numId w:val="1"/>
        </w:numPr>
        <w:spacing w:line="480" w:lineRule="auto"/>
        <w:rPr>
          <w:sz w:val="28"/>
          <w:szCs w:val="28"/>
        </w:rPr>
      </w:pPr>
      <w:r>
        <w:rPr>
          <w:sz w:val="28"/>
          <w:szCs w:val="28"/>
        </w:rPr>
        <w:t xml:space="preserve">Chapter 3: </w:t>
      </w:r>
      <w:r w:rsidR="00073D0C" w:rsidRPr="00182FDA">
        <w:rPr>
          <w:sz w:val="28"/>
          <w:szCs w:val="28"/>
        </w:rPr>
        <w:t xml:space="preserve">Monetary </w:t>
      </w:r>
      <w:r w:rsidR="00073D0C">
        <w:rPr>
          <w:sz w:val="28"/>
          <w:szCs w:val="28"/>
        </w:rPr>
        <w:t>R</w:t>
      </w:r>
      <w:r w:rsidR="00073D0C" w:rsidRPr="00182FDA">
        <w:rPr>
          <w:sz w:val="28"/>
          <w:szCs w:val="28"/>
        </w:rPr>
        <w:t xml:space="preserve">elations </w:t>
      </w:r>
      <w:r w:rsidR="00073D0C">
        <w:rPr>
          <w:sz w:val="28"/>
          <w:szCs w:val="28"/>
        </w:rPr>
        <w:t>B</w:t>
      </w:r>
      <w:r w:rsidR="00073D0C" w:rsidRPr="00182FDA">
        <w:rPr>
          <w:sz w:val="28"/>
          <w:szCs w:val="28"/>
        </w:rPr>
        <w:t xml:space="preserve">etween Israel and the WBG </w:t>
      </w:r>
    </w:p>
    <w:p w14:paraId="33485F47" w14:textId="0C6FB683" w:rsidR="00D06756" w:rsidRPr="00D06756" w:rsidRDefault="00D06756" w:rsidP="00D06756">
      <w:pPr>
        <w:pStyle w:val="ListParagraph"/>
        <w:numPr>
          <w:ilvl w:val="1"/>
          <w:numId w:val="1"/>
        </w:numPr>
        <w:autoSpaceDE w:val="0"/>
        <w:autoSpaceDN w:val="0"/>
        <w:bidi w:val="0"/>
        <w:adjustRightInd w:val="0"/>
        <w:spacing w:line="480" w:lineRule="auto"/>
        <w:rPr>
          <w:rFonts w:ascii="Times New Roman" w:hAnsi="Times New Roman" w:cs="David"/>
          <w:sz w:val="24"/>
          <w:szCs w:val="24"/>
        </w:rPr>
      </w:pPr>
      <w:r w:rsidRPr="00D06756">
        <w:rPr>
          <w:rFonts w:ascii="Times New Roman" w:hAnsi="Times New Roman" w:cs="David"/>
          <w:sz w:val="24"/>
          <w:szCs w:val="24"/>
        </w:rPr>
        <w:t xml:space="preserve">The NIS </w:t>
      </w:r>
      <w:r>
        <w:rPr>
          <w:rFonts w:ascii="Times New Roman" w:hAnsi="Times New Roman" w:cs="David"/>
          <w:sz w:val="24"/>
          <w:szCs w:val="24"/>
        </w:rPr>
        <w:t>R</w:t>
      </w:r>
      <w:r w:rsidRPr="00D06756">
        <w:rPr>
          <w:rFonts w:ascii="Times New Roman" w:hAnsi="Times New Roman" w:cs="David"/>
          <w:sz w:val="24"/>
          <w:szCs w:val="24"/>
        </w:rPr>
        <w:t xml:space="preserve">ole in the Palestinian </w:t>
      </w:r>
      <w:r>
        <w:rPr>
          <w:rFonts w:ascii="Times New Roman" w:hAnsi="Times New Roman" w:cs="David"/>
          <w:sz w:val="24"/>
          <w:szCs w:val="24"/>
        </w:rPr>
        <w:t>B</w:t>
      </w:r>
      <w:r w:rsidRPr="00D06756">
        <w:rPr>
          <w:rFonts w:ascii="Times New Roman" w:hAnsi="Times New Roman" w:cs="David"/>
          <w:sz w:val="24"/>
          <w:szCs w:val="24"/>
        </w:rPr>
        <w:t xml:space="preserve">anking </w:t>
      </w:r>
      <w:r>
        <w:rPr>
          <w:rFonts w:ascii="Times New Roman" w:hAnsi="Times New Roman" w:cs="David"/>
          <w:sz w:val="24"/>
          <w:szCs w:val="24"/>
        </w:rPr>
        <w:t>S</w:t>
      </w:r>
      <w:r w:rsidRPr="00D06756">
        <w:rPr>
          <w:rFonts w:ascii="Times New Roman" w:hAnsi="Times New Roman" w:cs="David"/>
          <w:sz w:val="24"/>
          <w:szCs w:val="24"/>
        </w:rPr>
        <w:t xml:space="preserve">ystem </w:t>
      </w:r>
    </w:p>
    <w:p w14:paraId="58DC5E71" w14:textId="4A9F3F43" w:rsidR="00D06756" w:rsidRPr="00D06756" w:rsidRDefault="00D06756" w:rsidP="00D06756">
      <w:pPr>
        <w:pStyle w:val="ListParagraph"/>
        <w:numPr>
          <w:ilvl w:val="1"/>
          <w:numId w:val="1"/>
        </w:numPr>
        <w:autoSpaceDE w:val="0"/>
        <w:autoSpaceDN w:val="0"/>
        <w:bidi w:val="0"/>
        <w:adjustRightInd w:val="0"/>
        <w:spacing w:line="480" w:lineRule="auto"/>
        <w:rPr>
          <w:rFonts w:ascii="Times New Roman" w:hAnsi="Times New Roman" w:cs="David"/>
          <w:sz w:val="24"/>
          <w:szCs w:val="24"/>
        </w:rPr>
      </w:pPr>
      <w:r w:rsidRPr="00D06756">
        <w:rPr>
          <w:rFonts w:asciiTheme="majorBidi" w:hAnsiTheme="majorBidi" w:cstheme="majorBidi"/>
          <w:sz w:val="24"/>
          <w:szCs w:val="24"/>
        </w:rPr>
        <w:t xml:space="preserve">Monetary </w:t>
      </w:r>
      <w:r>
        <w:rPr>
          <w:rFonts w:asciiTheme="majorBidi" w:hAnsiTheme="majorBidi" w:cstheme="majorBidi"/>
          <w:sz w:val="24"/>
          <w:szCs w:val="24"/>
        </w:rPr>
        <w:t>P</w:t>
      </w:r>
      <w:r w:rsidRPr="00D06756">
        <w:rPr>
          <w:rFonts w:asciiTheme="majorBidi" w:hAnsiTheme="majorBidi" w:cstheme="majorBidi"/>
          <w:sz w:val="24"/>
          <w:szCs w:val="24"/>
        </w:rPr>
        <w:t xml:space="preserve">olicy in Israel, the </w:t>
      </w:r>
      <w:r>
        <w:rPr>
          <w:rFonts w:asciiTheme="majorBidi" w:hAnsiTheme="majorBidi" w:cstheme="majorBidi"/>
          <w:sz w:val="24"/>
          <w:szCs w:val="24"/>
        </w:rPr>
        <w:t>T</w:t>
      </w:r>
      <w:r w:rsidRPr="00D06756">
        <w:rPr>
          <w:rFonts w:asciiTheme="majorBidi" w:hAnsiTheme="majorBidi" w:cstheme="majorBidi"/>
          <w:sz w:val="24"/>
          <w:szCs w:val="24"/>
        </w:rPr>
        <w:t xml:space="preserve">ransmission </w:t>
      </w:r>
      <w:r>
        <w:rPr>
          <w:rFonts w:asciiTheme="majorBidi" w:hAnsiTheme="majorBidi" w:cstheme="majorBidi"/>
          <w:sz w:val="24"/>
          <w:szCs w:val="24"/>
        </w:rPr>
        <w:t>M</w:t>
      </w:r>
      <w:r w:rsidRPr="00D06756">
        <w:rPr>
          <w:rFonts w:asciiTheme="majorBidi" w:hAnsiTheme="majorBidi" w:cstheme="majorBidi"/>
          <w:sz w:val="24"/>
          <w:szCs w:val="24"/>
        </w:rPr>
        <w:t xml:space="preserve">echanism and the </w:t>
      </w:r>
      <w:r>
        <w:rPr>
          <w:rFonts w:asciiTheme="majorBidi" w:hAnsiTheme="majorBidi" w:cstheme="majorBidi"/>
          <w:sz w:val="24"/>
          <w:szCs w:val="24"/>
        </w:rPr>
        <w:t>E</w:t>
      </w:r>
      <w:r w:rsidRPr="00D06756">
        <w:rPr>
          <w:rFonts w:asciiTheme="majorBidi" w:hAnsiTheme="majorBidi" w:cstheme="majorBidi"/>
          <w:sz w:val="24"/>
          <w:szCs w:val="24"/>
        </w:rPr>
        <w:t xml:space="preserve">ffects on the Palestinian </w:t>
      </w:r>
      <w:r>
        <w:rPr>
          <w:rFonts w:asciiTheme="majorBidi" w:hAnsiTheme="majorBidi" w:cstheme="majorBidi"/>
          <w:sz w:val="24"/>
          <w:szCs w:val="24"/>
        </w:rPr>
        <w:t>E</w:t>
      </w:r>
      <w:r w:rsidRPr="00D06756">
        <w:rPr>
          <w:rFonts w:asciiTheme="majorBidi" w:hAnsiTheme="majorBidi" w:cstheme="majorBidi"/>
          <w:sz w:val="24"/>
          <w:szCs w:val="24"/>
        </w:rPr>
        <w:t>conomy</w:t>
      </w:r>
      <w:r w:rsidRPr="00D06756">
        <w:rPr>
          <w:rFonts w:ascii="Times New Roman" w:hAnsi="Times New Roman" w:cs="David"/>
          <w:sz w:val="24"/>
          <w:szCs w:val="24"/>
        </w:rPr>
        <w:t>.</w:t>
      </w:r>
    </w:p>
    <w:p w14:paraId="23F82FD0" w14:textId="2EC5D648" w:rsidR="00D06756" w:rsidRPr="00D06756" w:rsidRDefault="00D06756" w:rsidP="00D06756">
      <w:pPr>
        <w:pStyle w:val="ListParagraph"/>
        <w:numPr>
          <w:ilvl w:val="1"/>
          <w:numId w:val="1"/>
        </w:numPr>
        <w:autoSpaceDE w:val="0"/>
        <w:autoSpaceDN w:val="0"/>
        <w:bidi w:val="0"/>
        <w:adjustRightInd w:val="0"/>
        <w:spacing w:line="480" w:lineRule="auto"/>
        <w:rPr>
          <w:rFonts w:ascii="Times New Roman" w:hAnsi="Times New Roman" w:cs="David"/>
          <w:sz w:val="24"/>
          <w:szCs w:val="24"/>
        </w:rPr>
      </w:pPr>
      <w:r w:rsidRPr="00D06756">
        <w:rPr>
          <w:rFonts w:ascii="Times New Roman" w:hAnsi="Times New Roman" w:cs="David" w:hint="cs"/>
          <w:sz w:val="24"/>
          <w:szCs w:val="24"/>
        </w:rPr>
        <w:t>C</w:t>
      </w:r>
      <w:r w:rsidRPr="00D06756">
        <w:rPr>
          <w:rFonts w:ascii="Times New Roman" w:hAnsi="Times New Roman" w:cs="David"/>
          <w:sz w:val="24"/>
          <w:szCs w:val="24"/>
        </w:rPr>
        <w:t xml:space="preserve">orrespondent </w:t>
      </w:r>
      <w:r>
        <w:rPr>
          <w:rFonts w:ascii="Times New Roman" w:hAnsi="Times New Roman" w:cs="David"/>
          <w:sz w:val="24"/>
          <w:szCs w:val="24"/>
        </w:rPr>
        <w:t>B</w:t>
      </w:r>
      <w:r w:rsidRPr="00D06756">
        <w:rPr>
          <w:rFonts w:ascii="Times New Roman" w:hAnsi="Times New Roman" w:cs="David"/>
          <w:sz w:val="24"/>
          <w:szCs w:val="24"/>
        </w:rPr>
        <w:t xml:space="preserve">anking </w:t>
      </w:r>
      <w:r>
        <w:rPr>
          <w:rFonts w:ascii="Times New Roman" w:hAnsi="Times New Roman" w:cs="David"/>
          <w:sz w:val="24"/>
          <w:szCs w:val="24"/>
        </w:rPr>
        <w:t>R</w:t>
      </w:r>
      <w:r w:rsidRPr="00D06756">
        <w:rPr>
          <w:rFonts w:ascii="Times New Roman" w:hAnsi="Times New Roman" w:cs="David"/>
          <w:sz w:val="24"/>
          <w:szCs w:val="24"/>
        </w:rPr>
        <w:t xml:space="preserve">elationship </w:t>
      </w:r>
      <w:r>
        <w:rPr>
          <w:rFonts w:ascii="Times New Roman" w:hAnsi="Times New Roman" w:cs="David"/>
          <w:sz w:val="24"/>
          <w:szCs w:val="24"/>
        </w:rPr>
        <w:t>B</w:t>
      </w:r>
      <w:r w:rsidRPr="00D06756">
        <w:rPr>
          <w:rFonts w:ascii="Times New Roman" w:hAnsi="Times New Roman" w:cs="David"/>
          <w:sz w:val="24"/>
          <w:szCs w:val="24"/>
        </w:rPr>
        <w:t>etween Israel and the WBG</w:t>
      </w:r>
    </w:p>
    <w:p w14:paraId="7AEBF662" w14:textId="09140A92" w:rsidR="00D06756" w:rsidRPr="00D06756" w:rsidRDefault="00D06756" w:rsidP="00D06756">
      <w:pPr>
        <w:pStyle w:val="ListParagraph"/>
        <w:numPr>
          <w:ilvl w:val="1"/>
          <w:numId w:val="1"/>
        </w:numPr>
        <w:autoSpaceDE w:val="0"/>
        <w:autoSpaceDN w:val="0"/>
        <w:bidi w:val="0"/>
        <w:adjustRightInd w:val="0"/>
        <w:spacing w:line="480" w:lineRule="auto"/>
        <w:rPr>
          <w:rFonts w:asciiTheme="majorBidi" w:hAnsiTheme="majorBidi" w:cstheme="majorBidi"/>
          <w:sz w:val="24"/>
          <w:szCs w:val="24"/>
        </w:rPr>
      </w:pPr>
      <w:r w:rsidRPr="00D06756">
        <w:rPr>
          <w:rFonts w:asciiTheme="majorBidi" w:hAnsiTheme="majorBidi" w:cstheme="majorBidi"/>
          <w:sz w:val="24"/>
          <w:szCs w:val="24"/>
        </w:rPr>
        <w:t xml:space="preserve">Assessing the </w:t>
      </w:r>
      <w:r>
        <w:rPr>
          <w:rFonts w:asciiTheme="majorBidi" w:hAnsiTheme="majorBidi" w:cstheme="majorBidi"/>
          <w:sz w:val="24"/>
          <w:szCs w:val="24"/>
        </w:rPr>
        <w:t>A</w:t>
      </w:r>
      <w:r w:rsidRPr="00D06756">
        <w:rPr>
          <w:rFonts w:asciiTheme="majorBidi" w:hAnsiTheme="majorBidi" w:cstheme="majorBidi"/>
          <w:sz w:val="24"/>
          <w:szCs w:val="24"/>
        </w:rPr>
        <w:t xml:space="preserve">mount of NIS </w:t>
      </w:r>
      <w:r>
        <w:rPr>
          <w:rFonts w:asciiTheme="majorBidi" w:hAnsiTheme="majorBidi" w:cstheme="majorBidi"/>
          <w:sz w:val="24"/>
          <w:szCs w:val="24"/>
        </w:rPr>
        <w:t>C</w:t>
      </w:r>
      <w:r w:rsidRPr="00D06756">
        <w:rPr>
          <w:rFonts w:asciiTheme="majorBidi" w:hAnsiTheme="majorBidi" w:cstheme="majorBidi"/>
          <w:sz w:val="24"/>
          <w:szCs w:val="24"/>
        </w:rPr>
        <w:t xml:space="preserve">ash in </w:t>
      </w:r>
      <w:r>
        <w:rPr>
          <w:rFonts w:asciiTheme="majorBidi" w:hAnsiTheme="majorBidi" w:cstheme="majorBidi"/>
          <w:sz w:val="24"/>
          <w:szCs w:val="24"/>
        </w:rPr>
        <w:t>C</w:t>
      </w:r>
      <w:r w:rsidRPr="00D06756">
        <w:rPr>
          <w:rFonts w:asciiTheme="majorBidi" w:hAnsiTheme="majorBidi" w:cstheme="majorBidi"/>
          <w:sz w:val="24"/>
          <w:szCs w:val="24"/>
        </w:rPr>
        <w:t xml:space="preserve">irculation in the WBG </w:t>
      </w:r>
    </w:p>
    <w:p w14:paraId="01CFD2E9" w14:textId="7166612D" w:rsidR="00073D0C" w:rsidRDefault="00BE3999" w:rsidP="00073D0C">
      <w:pPr>
        <w:pStyle w:val="Default"/>
        <w:numPr>
          <w:ilvl w:val="0"/>
          <w:numId w:val="1"/>
        </w:numPr>
        <w:spacing w:line="480" w:lineRule="auto"/>
        <w:rPr>
          <w:sz w:val="28"/>
          <w:szCs w:val="28"/>
        </w:rPr>
      </w:pPr>
      <w:r>
        <w:rPr>
          <w:sz w:val="28"/>
          <w:szCs w:val="28"/>
        </w:rPr>
        <w:t xml:space="preserve">Chapter 4: </w:t>
      </w:r>
      <w:r w:rsidR="00073D0C" w:rsidRPr="00B11272">
        <w:rPr>
          <w:sz w:val="28"/>
          <w:szCs w:val="28"/>
        </w:rPr>
        <w:t xml:space="preserve">Israel-WBG </w:t>
      </w:r>
      <w:r w:rsidR="00073D0C">
        <w:rPr>
          <w:sz w:val="28"/>
          <w:szCs w:val="28"/>
        </w:rPr>
        <w:t>I</w:t>
      </w:r>
      <w:r w:rsidR="00073D0C" w:rsidRPr="00B11272">
        <w:rPr>
          <w:sz w:val="28"/>
          <w:szCs w:val="28"/>
        </w:rPr>
        <w:t xml:space="preserve">ntegration </w:t>
      </w:r>
      <w:r w:rsidR="00073D0C">
        <w:rPr>
          <w:sz w:val="28"/>
          <w:szCs w:val="28"/>
        </w:rPr>
        <w:t>I</w:t>
      </w:r>
      <w:r w:rsidR="00073D0C" w:rsidRPr="00B11272">
        <w:rPr>
          <w:sz w:val="28"/>
          <w:szCs w:val="28"/>
        </w:rPr>
        <w:t>ndex</w:t>
      </w:r>
      <w:r w:rsidR="00073D0C">
        <w:rPr>
          <w:sz w:val="28"/>
          <w:szCs w:val="28"/>
        </w:rPr>
        <w:t xml:space="preserve"> (IWBGII)</w:t>
      </w:r>
    </w:p>
    <w:p w14:paraId="17100788" w14:textId="77777777" w:rsidR="00073D0C" w:rsidRPr="00D06756" w:rsidRDefault="00073D0C" w:rsidP="00073D0C">
      <w:pPr>
        <w:pStyle w:val="Default"/>
        <w:numPr>
          <w:ilvl w:val="1"/>
          <w:numId w:val="1"/>
        </w:numPr>
        <w:spacing w:line="480" w:lineRule="auto"/>
      </w:pPr>
      <w:r w:rsidRPr="00D06756">
        <w:t>Methodology and Technical Details</w:t>
      </w:r>
    </w:p>
    <w:p w14:paraId="5CFDA56D" w14:textId="77777777" w:rsidR="00073D0C" w:rsidRPr="00D06756" w:rsidRDefault="00073D0C" w:rsidP="00073D0C">
      <w:pPr>
        <w:pStyle w:val="Default"/>
        <w:numPr>
          <w:ilvl w:val="1"/>
          <w:numId w:val="1"/>
        </w:numPr>
        <w:spacing w:line="480" w:lineRule="auto"/>
      </w:pPr>
      <w:r w:rsidRPr="00D06756">
        <w:t>Results</w:t>
      </w:r>
    </w:p>
    <w:p w14:paraId="3DAEB5C9" w14:textId="77777777" w:rsidR="00FC7D2C" w:rsidRPr="00FC7D2C" w:rsidRDefault="00BE3999" w:rsidP="00FC7D2C">
      <w:pPr>
        <w:pStyle w:val="Default"/>
        <w:numPr>
          <w:ilvl w:val="0"/>
          <w:numId w:val="1"/>
        </w:numPr>
        <w:spacing w:line="480" w:lineRule="auto"/>
        <w:rPr>
          <w:sz w:val="28"/>
          <w:szCs w:val="28"/>
        </w:rPr>
      </w:pPr>
      <w:r w:rsidRPr="00FC7D2C">
        <w:rPr>
          <w:sz w:val="28"/>
          <w:szCs w:val="28"/>
        </w:rPr>
        <w:t xml:space="preserve">Chapter 5: </w:t>
      </w:r>
      <w:r w:rsidR="00FC7D2C" w:rsidRPr="00FC7D2C">
        <w:rPr>
          <w:sz w:val="28"/>
          <w:szCs w:val="28"/>
        </w:rPr>
        <w:t xml:space="preserve">Breakdown by Geographical Areas </w:t>
      </w:r>
    </w:p>
    <w:p w14:paraId="54B89AC2" w14:textId="6070A3D3" w:rsidR="00C75CE1" w:rsidRPr="00FC7D2C" w:rsidRDefault="00BE3999" w:rsidP="00BE3999">
      <w:pPr>
        <w:pStyle w:val="Default"/>
        <w:numPr>
          <w:ilvl w:val="0"/>
          <w:numId w:val="1"/>
        </w:numPr>
        <w:spacing w:line="480" w:lineRule="auto"/>
        <w:rPr>
          <w:sz w:val="28"/>
          <w:szCs w:val="28"/>
        </w:rPr>
      </w:pPr>
      <w:r>
        <w:rPr>
          <w:sz w:val="28"/>
          <w:szCs w:val="28"/>
        </w:rPr>
        <w:t xml:space="preserve">Chapter 6: </w:t>
      </w:r>
      <w:r w:rsidR="00C75CE1" w:rsidRPr="00FC7D2C">
        <w:rPr>
          <w:sz w:val="28"/>
          <w:szCs w:val="28"/>
        </w:rPr>
        <w:t>Economic Integration, Terrorism, and Unemployment</w:t>
      </w:r>
    </w:p>
    <w:p w14:paraId="1F5F1A05" w14:textId="14CF6491" w:rsidR="00073D0C" w:rsidRDefault="00BE3999" w:rsidP="00073D0C">
      <w:pPr>
        <w:pStyle w:val="Default"/>
        <w:numPr>
          <w:ilvl w:val="0"/>
          <w:numId w:val="1"/>
        </w:numPr>
        <w:spacing w:line="480" w:lineRule="auto"/>
        <w:rPr>
          <w:sz w:val="28"/>
          <w:szCs w:val="28"/>
        </w:rPr>
      </w:pPr>
      <w:r>
        <w:rPr>
          <w:sz w:val="28"/>
          <w:szCs w:val="28"/>
        </w:rPr>
        <w:t xml:space="preserve">Chapter 7: </w:t>
      </w:r>
      <w:r w:rsidR="003513E5">
        <w:rPr>
          <w:sz w:val="28"/>
          <w:szCs w:val="28"/>
        </w:rPr>
        <w:t>Concluding remarks</w:t>
      </w:r>
    </w:p>
    <w:p w14:paraId="1E760584" w14:textId="435B7C25" w:rsidR="00073D0C" w:rsidRDefault="00073D0C" w:rsidP="00073D0C">
      <w:pPr>
        <w:pStyle w:val="Default"/>
        <w:numPr>
          <w:ilvl w:val="0"/>
          <w:numId w:val="1"/>
        </w:numPr>
        <w:spacing w:line="480" w:lineRule="auto"/>
        <w:rPr>
          <w:sz w:val="28"/>
          <w:szCs w:val="28"/>
        </w:rPr>
      </w:pPr>
      <w:r>
        <w:rPr>
          <w:sz w:val="28"/>
          <w:szCs w:val="28"/>
        </w:rPr>
        <w:t xml:space="preserve">List of References </w:t>
      </w:r>
    </w:p>
    <w:p w14:paraId="30BE484F" w14:textId="718CD31A" w:rsidR="00073D0C" w:rsidRPr="00AA7C0F" w:rsidRDefault="00AA7C0F" w:rsidP="00073D0C">
      <w:pPr>
        <w:pStyle w:val="Default"/>
        <w:spacing w:line="480" w:lineRule="auto"/>
        <w:rPr>
          <w:sz w:val="28"/>
          <w:szCs w:val="28"/>
          <w:u w:val="single"/>
        </w:rPr>
      </w:pPr>
      <w:r w:rsidRPr="00AA7C0F">
        <w:rPr>
          <w:sz w:val="28"/>
          <w:szCs w:val="28"/>
          <w:u w:val="single"/>
        </w:rPr>
        <w:lastRenderedPageBreak/>
        <w:t>Appendixes</w:t>
      </w:r>
    </w:p>
    <w:p w14:paraId="73209BF3" w14:textId="648D4FC5" w:rsidR="00AA7C0F" w:rsidRPr="00AA7C0F" w:rsidRDefault="00AA7C0F" w:rsidP="00AA7C0F">
      <w:pPr>
        <w:pStyle w:val="ListParagraph"/>
        <w:autoSpaceDE w:val="0"/>
        <w:autoSpaceDN w:val="0"/>
        <w:bidi w:val="0"/>
        <w:adjustRightInd w:val="0"/>
        <w:spacing w:after="240" w:line="480" w:lineRule="auto"/>
        <w:ind w:left="0"/>
        <w:rPr>
          <w:rFonts w:asciiTheme="majorBidi" w:hAnsiTheme="majorBidi" w:cstheme="majorBidi"/>
          <w:sz w:val="24"/>
          <w:szCs w:val="24"/>
        </w:rPr>
      </w:pPr>
      <w:r w:rsidRPr="00AA7C0F">
        <w:rPr>
          <w:rFonts w:asciiTheme="majorBidi" w:hAnsiTheme="majorBidi" w:cstheme="majorBidi"/>
          <w:sz w:val="24"/>
          <w:szCs w:val="24"/>
        </w:rPr>
        <w:t>Appendix I –</w:t>
      </w:r>
      <w:r>
        <w:rPr>
          <w:rFonts w:asciiTheme="majorBidi" w:hAnsiTheme="majorBidi" w:cstheme="majorBidi"/>
          <w:sz w:val="24"/>
          <w:szCs w:val="24"/>
        </w:rPr>
        <w:t xml:space="preserve"> </w:t>
      </w:r>
      <w:r w:rsidRPr="00AA7C0F">
        <w:rPr>
          <w:rFonts w:asciiTheme="majorBidi" w:hAnsiTheme="majorBidi" w:cstheme="majorBidi"/>
          <w:sz w:val="24"/>
          <w:szCs w:val="24"/>
        </w:rPr>
        <w:t xml:space="preserve">ISR-WBG-II Indicators </w:t>
      </w:r>
    </w:p>
    <w:p w14:paraId="0E106BEF" w14:textId="327C8666" w:rsidR="00AA7C0F" w:rsidRPr="00AA7C0F" w:rsidRDefault="00AA7C0F" w:rsidP="00AA7C0F">
      <w:pPr>
        <w:pStyle w:val="ListParagraph"/>
        <w:autoSpaceDE w:val="0"/>
        <w:autoSpaceDN w:val="0"/>
        <w:bidi w:val="0"/>
        <w:adjustRightInd w:val="0"/>
        <w:spacing w:after="240" w:line="480" w:lineRule="auto"/>
        <w:ind w:left="0"/>
        <w:rPr>
          <w:rFonts w:asciiTheme="majorBidi" w:hAnsiTheme="majorBidi" w:cstheme="majorBidi"/>
          <w:sz w:val="24"/>
          <w:szCs w:val="24"/>
        </w:rPr>
      </w:pPr>
      <w:r w:rsidRPr="00AA7C0F">
        <w:rPr>
          <w:rFonts w:asciiTheme="majorBidi" w:hAnsiTheme="majorBidi" w:cstheme="majorBidi"/>
          <w:sz w:val="24"/>
          <w:szCs w:val="24"/>
        </w:rPr>
        <w:t xml:space="preserve">Appendix II – Empirical results: PCA and </w:t>
      </w:r>
      <w:r w:rsidR="00AC1589">
        <w:rPr>
          <w:rFonts w:asciiTheme="majorBidi" w:hAnsiTheme="majorBidi" w:cstheme="majorBidi"/>
          <w:sz w:val="24"/>
          <w:szCs w:val="24"/>
        </w:rPr>
        <w:t>W</w:t>
      </w:r>
      <w:r w:rsidRPr="00AA7C0F">
        <w:rPr>
          <w:rFonts w:asciiTheme="majorBidi" w:hAnsiTheme="majorBidi" w:cstheme="majorBidi"/>
          <w:sz w:val="24"/>
          <w:szCs w:val="24"/>
        </w:rPr>
        <w:t xml:space="preserve">eightings ISR-WBG-II 2010-2019 </w:t>
      </w:r>
    </w:p>
    <w:p w14:paraId="50C91E9E" w14:textId="69FA4954" w:rsidR="00AA7C0F" w:rsidRDefault="00AA7C0F" w:rsidP="00AA7C0F">
      <w:pPr>
        <w:pStyle w:val="ListParagraph"/>
        <w:autoSpaceDE w:val="0"/>
        <w:autoSpaceDN w:val="0"/>
        <w:bidi w:val="0"/>
        <w:adjustRightInd w:val="0"/>
        <w:spacing w:after="240" w:line="480" w:lineRule="auto"/>
        <w:ind w:left="0"/>
        <w:rPr>
          <w:rFonts w:asciiTheme="majorBidi" w:hAnsiTheme="majorBidi" w:cstheme="majorBidi"/>
          <w:sz w:val="24"/>
          <w:szCs w:val="24"/>
        </w:rPr>
      </w:pPr>
      <w:r w:rsidRPr="00AA7C0F">
        <w:rPr>
          <w:rFonts w:asciiTheme="majorBidi" w:hAnsiTheme="majorBidi" w:cstheme="majorBidi"/>
          <w:sz w:val="24"/>
          <w:szCs w:val="24"/>
        </w:rPr>
        <w:t xml:space="preserve">Appendix III – Contribution of </w:t>
      </w:r>
      <w:r w:rsidR="00AC1589">
        <w:rPr>
          <w:rFonts w:asciiTheme="majorBidi" w:hAnsiTheme="majorBidi" w:cstheme="majorBidi"/>
          <w:sz w:val="24"/>
          <w:szCs w:val="24"/>
        </w:rPr>
        <w:t>I</w:t>
      </w:r>
      <w:r w:rsidRPr="00AA7C0F">
        <w:rPr>
          <w:rFonts w:asciiTheme="majorBidi" w:hAnsiTheme="majorBidi" w:cstheme="majorBidi"/>
          <w:sz w:val="24"/>
          <w:szCs w:val="24"/>
        </w:rPr>
        <w:t>ndicators</w:t>
      </w:r>
    </w:p>
    <w:p w14:paraId="1AD856A2" w14:textId="029143AB" w:rsidR="00197007" w:rsidRDefault="00197007" w:rsidP="00197007">
      <w:pPr>
        <w:pStyle w:val="ListParagraph"/>
        <w:autoSpaceDE w:val="0"/>
        <w:autoSpaceDN w:val="0"/>
        <w:bidi w:val="0"/>
        <w:adjustRightInd w:val="0"/>
        <w:spacing w:after="240" w:line="480" w:lineRule="auto"/>
        <w:ind w:left="0"/>
        <w:rPr>
          <w:rFonts w:asciiTheme="majorBidi" w:hAnsiTheme="majorBidi" w:cstheme="majorBidi"/>
          <w:sz w:val="24"/>
          <w:szCs w:val="24"/>
        </w:rPr>
      </w:pPr>
      <w:r>
        <w:rPr>
          <w:rFonts w:asciiTheme="majorBidi" w:hAnsiTheme="majorBidi" w:cstheme="majorBidi"/>
          <w:sz w:val="24"/>
          <w:szCs w:val="24"/>
        </w:rPr>
        <w:t xml:space="preserve">Appendix IV </w:t>
      </w:r>
      <w:r w:rsidR="00AC1589" w:rsidRPr="00AA7C0F">
        <w:rPr>
          <w:rFonts w:asciiTheme="majorBidi" w:hAnsiTheme="majorBidi" w:cstheme="majorBidi"/>
          <w:sz w:val="24"/>
          <w:szCs w:val="24"/>
        </w:rPr>
        <w:t>–</w:t>
      </w:r>
      <w:r w:rsidR="00AC1589">
        <w:rPr>
          <w:rFonts w:asciiTheme="majorBidi" w:hAnsiTheme="majorBidi" w:cstheme="majorBidi"/>
          <w:sz w:val="24"/>
          <w:szCs w:val="24"/>
        </w:rPr>
        <w:t xml:space="preserve"> Indices Results</w:t>
      </w:r>
    </w:p>
    <w:p w14:paraId="2C43C897" w14:textId="606D781C" w:rsidR="00AC1589" w:rsidRPr="00AA7C0F" w:rsidRDefault="00AC1589" w:rsidP="00AC1589">
      <w:pPr>
        <w:pStyle w:val="ListParagraph"/>
        <w:autoSpaceDE w:val="0"/>
        <w:autoSpaceDN w:val="0"/>
        <w:bidi w:val="0"/>
        <w:adjustRightInd w:val="0"/>
        <w:spacing w:after="240" w:line="480" w:lineRule="auto"/>
        <w:ind w:left="0"/>
        <w:rPr>
          <w:rFonts w:asciiTheme="majorBidi" w:hAnsiTheme="majorBidi" w:cstheme="majorBidi"/>
          <w:sz w:val="24"/>
          <w:szCs w:val="24"/>
        </w:rPr>
      </w:pPr>
      <w:r>
        <w:rPr>
          <w:rFonts w:asciiTheme="majorBidi" w:hAnsiTheme="majorBidi" w:cstheme="majorBidi"/>
          <w:sz w:val="24"/>
          <w:szCs w:val="24"/>
        </w:rPr>
        <w:t xml:space="preserve">Appendix V </w:t>
      </w:r>
      <w:r w:rsidRPr="00AA7C0F">
        <w:rPr>
          <w:rFonts w:asciiTheme="majorBidi" w:hAnsiTheme="majorBidi" w:cstheme="majorBidi"/>
          <w:sz w:val="24"/>
          <w:szCs w:val="24"/>
        </w:rPr>
        <w:t>–</w:t>
      </w:r>
      <w:r>
        <w:rPr>
          <w:rFonts w:asciiTheme="majorBidi" w:hAnsiTheme="majorBidi" w:cstheme="majorBidi"/>
          <w:sz w:val="24"/>
          <w:szCs w:val="24"/>
        </w:rPr>
        <w:t xml:space="preserve"> </w:t>
      </w:r>
      <w:r w:rsidR="00F17AD9">
        <w:rPr>
          <w:rFonts w:asciiTheme="majorBidi" w:hAnsiTheme="majorBidi" w:cstheme="majorBidi"/>
          <w:sz w:val="24"/>
          <w:szCs w:val="24"/>
        </w:rPr>
        <w:t>WB and GS Indices</w:t>
      </w:r>
    </w:p>
    <w:p w14:paraId="02CB5883" w14:textId="77777777" w:rsidR="00073D0C" w:rsidRPr="00A77477" w:rsidRDefault="00073D0C" w:rsidP="00460291">
      <w:pPr>
        <w:pStyle w:val="Default"/>
        <w:spacing w:line="360" w:lineRule="auto"/>
        <w:rPr>
          <w:sz w:val="28"/>
          <w:szCs w:val="28"/>
          <w:u w:val="single"/>
        </w:rPr>
      </w:pPr>
      <w:r w:rsidRPr="00A77477">
        <w:rPr>
          <w:sz w:val="28"/>
          <w:szCs w:val="28"/>
          <w:u w:val="single"/>
        </w:rPr>
        <w:t>List of Figures</w:t>
      </w:r>
    </w:p>
    <w:p w14:paraId="1C19FFBD" w14:textId="77777777" w:rsidR="000A58E1" w:rsidRPr="00077212" w:rsidRDefault="000A58E1"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1- Geopolitical events</w:t>
      </w:r>
    </w:p>
    <w:p w14:paraId="5A03C3CA" w14:textId="77777777" w:rsidR="00F876A6" w:rsidRPr="00077212" w:rsidRDefault="00F876A6"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2 - Division of the British Mandate of Palestine</w:t>
      </w:r>
    </w:p>
    <w:p w14:paraId="0D0B0902" w14:textId="77777777" w:rsidR="00E03848" w:rsidRPr="00077212" w:rsidRDefault="00E03848"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3 - UN Partition Plan Map for two states</w:t>
      </w:r>
    </w:p>
    <w:p w14:paraId="7D6F90A2" w14:textId="77777777" w:rsidR="0027045F" w:rsidRPr="00077212" w:rsidRDefault="0027045F"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4 - The results of the War 1949-1967</w:t>
      </w:r>
    </w:p>
    <w:p w14:paraId="1664E85A" w14:textId="77777777" w:rsidR="00DD1758" w:rsidRPr="00077212" w:rsidRDefault="00DD1758"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5 - After the Six Day War</w:t>
      </w:r>
    </w:p>
    <w:p w14:paraId="0C6CFCBB" w14:textId="1392F1AE" w:rsidR="000957C9" w:rsidRPr="00077212" w:rsidRDefault="000957C9"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6 - Palestinians employed in Israel and unemployment rate in the WBG</w:t>
      </w:r>
      <w:r w:rsidR="003501A0" w:rsidRPr="00077212">
        <w:rPr>
          <w:rFonts w:asciiTheme="majorBidi" w:eastAsiaTheme="minorHAnsi" w:hAnsiTheme="majorBidi" w:cstheme="majorBidi"/>
        </w:rPr>
        <w:t xml:space="preserve"> (1970-1993)</w:t>
      </w:r>
    </w:p>
    <w:p w14:paraId="4B770878" w14:textId="77777777" w:rsidR="00781208" w:rsidRPr="00077212" w:rsidRDefault="00781208"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7 - The Oslo Accords</w:t>
      </w:r>
    </w:p>
    <w:p w14:paraId="51DE48D5" w14:textId="77777777" w:rsidR="00B95D19" w:rsidRPr="00077212" w:rsidRDefault="00B95D19"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8 - Clearance Revenues</w:t>
      </w:r>
    </w:p>
    <w:p w14:paraId="7C2678D1" w14:textId="05D1201D" w:rsidR="00682AB3" w:rsidRPr="00077212" w:rsidRDefault="00682AB3"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 xml:space="preserve">Figure 9 – Palestinian employment in Israel </w:t>
      </w:r>
      <w:r w:rsidR="003501A0" w:rsidRPr="00077212">
        <w:rPr>
          <w:rFonts w:asciiTheme="majorBidi" w:eastAsiaTheme="minorHAnsi" w:hAnsiTheme="majorBidi" w:cstheme="majorBidi"/>
        </w:rPr>
        <w:t>(</w:t>
      </w:r>
      <w:r w:rsidRPr="00077212">
        <w:rPr>
          <w:rFonts w:asciiTheme="majorBidi" w:eastAsiaTheme="minorHAnsi" w:hAnsiTheme="majorBidi" w:cstheme="majorBidi"/>
        </w:rPr>
        <w:t>1968-2019</w:t>
      </w:r>
      <w:r w:rsidR="003501A0" w:rsidRPr="00077212">
        <w:rPr>
          <w:rFonts w:asciiTheme="majorBidi" w:eastAsiaTheme="minorHAnsi" w:hAnsiTheme="majorBidi" w:cstheme="majorBidi"/>
        </w:rPr>
        <w:t>)</w:t>
      </w:r>
    </w:p>
    <w:p w14:paraId="2F41511F" w14:textId="72B21939" w:rsidR="00881D32" w:rsidRPr="00077212" w:rsidRDefault="00881D32"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 xml:space="preserve">Figure 10 – Palestinian </w:t>
      </w:r>
      <w:r w:rsidR="00746F30" w:rsidRPr="00077212">
        <w:rPr>
          <w:rFonts w:asciiTheme="majorBidi" w:eastAsiaTheme="minorHAnsi" w:hAnsiTheme="majorBidi" w:cstheme="majorBidi"/>
        </w:rPr>
        <w:t>e</w:t>
      </w:r>
      <w:r w:rsidRPr="00077212">
        <w:rPr>
          <w:rFonts w:asciiTheme="majorBidi" w:eastAsiaTheme="minorHAnsi" w:hAnsiTheme="majorBidi" w:cstheme="majorBidi"/>
        </w:rPr>
        <w:t xml:space="preserve">xport and </w:t>
      </w:r>
      <w:r w:rsidR="00746F30" w:rsidRPr="00077212">
        <w:rPr>
          <w:rFonts w:asciiTheme="majorBidi" w:eastAsiaTheme="minorHAnsi" w:hAnsiTheme="majorBidi" w:cstheme="majorBidi"/>
        </w:rPr>
        <w:t>i</w:t>
      </w:r>
      <w:r w:rsidRPr="00077212">
        <w:rPr>
          <w:rFonts w:asciiTheme="majorBidi" w:eastAsiaTheme="minorHAnsi" w:hAnsiTheme="majorBidi" w:cstheme="majorBidi"/>
        </w:rPr>
        <w:t>mports to and from Israel</w:t>
      </w:r>
    </w:p>
    <w:p w14:paraId="2119F6EA" w14:textId="77777777" w:rsidR="00D0622B" w:rsidRPr="00077212" w:rsidRDefault="00D0622B"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11 - Israeli disengagement from the Gaza Strip </w:t>
      </w:r>
    </w:p>
    <w:p w14:paraId="50AA97E9" w14:textId="77777777" w:rsidR="00F94687" w:rsidRPr="00077212" w:rsidRDefault="00F94687"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12 - GNI Per Capita at current prices by georgical area</w:t>
      </w:r>
    </w:p>
    <w:p w14:paraId="46EF4DE2" w14:textId="77777777" w:rsidR="00F94687" w:rsidRPr="00077212" w:rsidRDefault="00F94687"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13 - Unemployment rates by georgical area</w:t>
      </w:r>
    </w:p>
    <w:p w14:paraId="65644742" w14:textId="77777777" w:rsidR="006F420D" w:rsidRPr="00077212" w:rsidRDefault="006F420D"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 xml:space="preserve">Figure 14 - Distribution of deposits governorates by currency in millions of US $ and in percentage </w:t>
      </w:r>
    </w:p>
    <w:p w14:paraId="1FFEE1BF" w14:textId="77777777" w:rsidR="006F420D" w:rsidRPr="00077212" w:rsidRDefault="006F420D"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15- Distribution of gross credit facilities governorates by currency in millions of US $ and in percentage</w:t>
      </w:r>
    </w:p>
    <w:p w14:paraId="10271A5B" w14:textId="42D683D9" w:rsidR="006F420D" w:rsidRPr="00077212" w:rsidRDefault="006F420D"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16 – Distribution of checks presented for clearing in the Palestinian Authority</w:t>
      </w:r>
      <w:r w:rsidR="0042052C" w:rsidRPr="00077212">
        <w:rPr>
          <w:rFonts w:asciiTheme="majorBidi" w:eastAsiaTheme="minorHAnsi" w:hAnsiTheme="majorBidi" w:cstheme="majorBidi"/>
        </w:rPr>
        <w:t xml:space="preserve"> </w:t>
      </w:r>
      <w:r w:rsidRPr="00077212">
        <w:rPr>
          <w:rFonts w:asciiTheme="majorBidi" w:eastAsiaTheme="minorHAnsi" w:hAnsiTheme="majorBidi" w:cstheme="majorBidi"/>
        </w:rPr>
        <w:t>governorates by currency in millions of US $ and in percentage</w:t>
      </w:r>
    </w:p>
    <w:p w14:paraId="23F1549C" w14:textId="77777777" w:rsidR="0042052C" w:rsidRPr="00077212" w:rsidRDefault="0042052C" w:rsidP="00460291">
      <w:pPr>
        <w:bidi w:val="0"/>
        <w:spacing w:line="360" w:lineRule="auto"/>
        <w:jc w:val="both"/>
        <w:rPr>
          <w:rFonts w:asciiTheme="majorBidi" w:eastAsiaTheme="minorHAnsi" w:hAnsiTheme="majorBidi" w:cstheme="majorBidi"/>
          <w:rtl/>
        </w:rPr>
      </w:pPr>
      <w:r w:rsidRPr="00077212">
        <w:rPr>
          <w:rFonts w:asciiTheme="majorBidi" w:eastAsiaTheme="minorHAnsi" w:hAnsiTheme="majorBidi" w:cstheme="majorBidi"/>
        </w:rPr>
        <w:t>Figure 17 - The BOI key policy rate and the interest rate on NIS loans in the Palestinian banking system</w:t>
      </w:r>
    </w:p>
    <w:p w14:paraId="7C47B48B" w14:textId="77777777" w:rsidR="0042052C" w:rsidRPr="00077212" w:rsidRDefault="0042052C"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18 - Annual inflation rate, Israel and the WBG</w:t>
      </w:r>
    </w:p>
    <w:p w14:paraId="65E62A76" w14:textId="77777777" w:rsidR="0042052C" w:rsidRPr="00077212" w:rsidRDefault="0042052C"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19 - The sum of Credit and deposits in the Palestinian banking system by currency out of Gross national income</w:t>
      </w:r>
    </w:p>
    <w:p w14:paraId="59420719" w14:textId="7A92F2EE" w:rsidR="0042052C" w:rsidRPr="00077212" w:rsidRDefault="0042052C"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20 – Yearly Checks and Money transfer Volume between Palestinian banks and Israeli banks, in NIS (billions)</w:t>
      </w:r>
    </w:p>
    <w:p w14:paraId="1D9B9615" w14:textId="77777777" w:rsidR="0042052C" w:rsidRPr="00077212" w:rsidRDefault="0042052C"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21 – Excess cash of the Palestinian banks (in billions of NIS) deposited in Israel</w:t>
      </w:r>
    </w:p>
    <w:p w14:paraId="69B44F36" w14:textId="77777777" w:rsidR="007F1AB2" w:rsidRPr="00077212" w:rsidRDefault="007F1AB2"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22 - Cash in circulation to GDP – Selected countries</w:t>
      </w:r>
    </w:p>
    <w:p w14:paraId="454FAB0D" w14:textId="77777777" w:rsidR="007F1AB2" w:rsidRPr="00077212" w:rsidRDefault="007F1AB2"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23 - Cash in Circulation (NIS)</w:t>
      </w:r>
    </w:p>
    <w:p w14:paraId="1C61E2CC" w14:textId="77777777" w:rsidR="007F1AB2" w:rsidRPr="00077212" w:rsidRDefault="007F1AB2"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24 - Currency in circulation in Palestine according to cash to demand deposit ratio (million USD)</w:t>
      </w:r>
    </w:p>
    <w:p w14:paraId="5C73C294" w14:textId="3908B4D2" w:rsidR="00077212" w:rsidRPr="00077212" w:rsidRDefault="00077212"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25 - Holdings of euro banknotes by non-euro area residents (EUR billion at end of period)</w:t>
      </w:r>
    </w:p>
    <w:p w14:paraId="5FFC91DD" w14:textId="77777777" w:rsidR="00077212" w:rsidRPr="00077212" w:rsidRDefault="00077212" w:rsidP="00460291">
      <w:pPr>
        <w:bidi w:val="0"/>
        <w:spacing w:line="360" w:lineRule="auto"/>
        <w:jc w:val="both"/>
        <w:rPr>
          <w:rFonts w:asciiTheme="majorBidi" w:eastAsiaTheme="minorHAnsi" w:hAnsiTheme="majorBidi" w:cstheme="majorBidi"/>
        </w:rPr>
      </w:pPr>
      <w:r w:rsidRPr="00077212">
        <w:rPr>
          <w:rFonts w:asciiTheme="majorBidi" w:eastAsiaTheme="minorHAnsi" w:hAnsiTheme="majorBidi" w:cstheme="majorBidi"/>
        </w:rPr>
        <w:t>Figure 26 - Net monthly shipments of euro banknotes to destinations outside the euro area (EUR billions; adjusted for seasonal effects)</w:t>
      </w:r>
    </w:p>
    <w:p w14:paraId="4E92A466" w14:textId="0E3AC2B8" w:rsidR="00460291" w:rsidRPr="00460291" w:rsidRDefault="00460291" w:rsidP="00460291">
      <w:pPr>
        <w:bidi w:val="0"/>
        <w:spacing w:line="360" w:lineRule="auto"/>
        <w:jc w:val="both"/>
        <w:rPr>
          <w:rFonts w:asciiTheme="majorBidi" w:eastAsiaTheme="minorHAnsi" w:hAnsiTheme="majorBidi" w:cstheme="majorBidi"/>
        </w:rPr>
      </w:pPr>
      <w:r w:rsidRPr="00460291">
        <w:rPr>
          <w:rFonts w:asciiTheme="majorBidi" w:eastAsiaTheme="minorHAnsi" w:hAnsiTheme="majorBidi" w:cstheme="majorBidi"/>
        </w:rPr>
        <w:t>Figure 27 - Estimated amount of cash (NIS) circulates in the WBG (in billions)</w:t>
      </w:r>
    </w:p>
    <w:p w14:paraId="6AB9C8F3" w14:textId="77777777" w:rsidR="00460291" w:rsidRPr="00460291" w:rsidRDefault="00460291" w:rsidP="00460291">
      <w:pPr>
        <w:bidi w:val="0"/>
        <w:spacing w:line="360" w:lineRule="auto"/>
        <w:jc w:val="both"/>
        <w:rPr>
          <w:rFonts w:asciiTheme="majorBidi" w:eastAsiaTheme="minorHAnsi" w:hAnsiTheme="majorBidi" w:cstheme="majorBidi"/>
        </w:rPr>
      </w:pPr>
      <w:r w:rsidRPr="00460291">
        <w:rPr>
          <w:rFonts w:asciiTheme="majorBidi" w:eastAsiaTheme="minorHAnsi" w:hAnsiTheme="majorBidi" w:cstheme="majorBidi"/>
        </w:rPr>
        <w:t xml:space="preserve">Figure 28 - Estimated Share of NIS cash circulates in the WBG out of total NIS cash in circulation </w:t>
      </w:r>
    </w:p>
    <w:p w14:paraId="745F01B1" w14:textId="77777777" w:rsidR="00460291" w:rsidRPr="00460291" w:rsidRDefault="00460291" w:rsidP="00460291">
      <w:pPr>
        <w:bidi w:val="0"/>
        <w:spacing w:line="360" w:lineRule="auto"/>
        <w:jc w:val="both"/>
        <w:rPr>
          <w:rFonts w:asciiTheme="majorBidi" w:eastAsiaTheme="minorHAnsi" w:hAnsiTheme="majorBidi" w:cstheme="majorBidi"/>
        </w:rPr>
      </w:pPr>
      <w:r w:rsidRPr="00460291">
        <w:rPr>
          <w:rFonts w:asciiTheme="majorBidi" w:eastAsiaTheme="minorHAnsi" w:hAnsiTheme="majorBidi" w:cstheme="majorBidi"/>
        </w:rPr>
        <w:t>Figure 29 - WBG - Estimated amount of NIS cash to GNI</w:t>
      </w:r>
    </w:p>
    <w:p w14:paraId="7BD0E752" w14:textId="77777777" w:rsidR="00460291" w:rsidRPr="00460291" w:rsidRDefault="00460291" w:rsidP="00460291">
      <w:pPr>
        <w:bidi w:val="0"/>
        <w:spacing w:line="360" w:lineRule="auto"/>
        <w:jc w:val="both"/>
        <w:rPr>
          <w:rFonts w:asciiTheme="majorBidi" w:eastAsiaTheme="minorHAnsi" w:hAnsiTheme="majorBidi" w:cstheme="majorBidi"/>
        </w:rPr>
      </w:pPr>
      <w:r w:rsidRPr="00460291">
        <w:rPr>
          <w:rFonts w:asciiTheme="majorBidi" w:eastAsiaTheme="minorHAnsi" w:hAnsiTheme="majorBidi" w:cstheme="majorBidi"/>
        </w:rPr>
        <w:t>Figure 30 - Israel - cash in circulation to GDP</w:t>
      </w:r>
    </w:p>
    <w:p w14:paraId="5002A889"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Figure 31: ISR-WBG-II 1968-2019 – Total index</w:t>
      </w:r>
    </w:p>
    <w:p w14:paraId="11086C02"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 xml:space="preserve">Figure 32: ISR-WBG-II 1968-2019 by dimensions </w:t>
      </w:r>
    </w:p>
    <w:p w14:paraId="0B245335"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 xml:space="preserve">Figure 33: ISR-WBG-II 1968-2019 by contribution of dimensions </w:t>
      </w:r>
    </w:p>
    <w:p w14:paraId="0B98E0DD"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Figure 34: ISR-WBG-II 1996-2019 – Total index</w:t>
      </w:r>
    </w:p>
    <w:p w14:paraId="02F73224"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Figure 35: ISR-WBG-II 1996-2019 by dimensions</w:t>
      </w:r>
    </w:p>
    <w:p w14:paraId="604B36DD"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 xml:space="preserve">Figure 36: ISR-WBG-II 1996-2019 by contribution of dimensions </w:t>
      </w:r>
    </w:p>
    <w:p w14:paraId="4084A76F"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Figure 37: ISR-WBG-II 2000-2019 – Total index</w:t>
      </w:r>
    </w:p>
    <w:p w14:paraId="3C18346D"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Figure 38: ISR-WBG-II 2000-2019 by dimensions</w:t>
      </w:r>
    </w:p>
    <w:p w14:paraId="07A0110B"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 xml:space="preserve">Figure 39: ISR-WBG-II 2000-2019 by contribution of dimensions </w:t>
      </w:r>
    </w:p>
    <w:p w14:paraId="22BA8580"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Figure 40: ISR-WBG-II 2010-2019 – Total index</w:t>
      </w:r>
    </w:p>
    <w:p w14:paraId="68A0434F" w14:textId="77777777" w:rsidR="00DD6A09" w:rsidRPr="00DD6A09" w:rsidRDefault="00DD6A09" w:rsidP="00DD6A09">
      <w:pPr>
        <w:bidi w:val="0"/>
        <w:spacing w:line="360" w:lineRule="auto"/>
        <w:jc w:val="both"/>
        <w:rPr>
          <w:rFonts w:asciiTheme="majorBidi" w:eastAsiaTheme="minorHAnsi" w:hAnsiTheme="majorBidi" w:cstheme="majorBidi"/>
          <w:rtl/>
        </w:rPr>
      </w:pPr>
      <w:r w:rsidRPr="00DD6A09">
        <w:rPr>
          <w:rFonts w:asciiTheme="majorBidi" w:eastAsiaTheme="minorHAnsi" w:hAnsiTheme="majorBidi" w:cstheme="majorBidi"/>
        </w:rPr>
        <w:t>Figure 41: ISR-WBG-II 2010-2019 by dimensions</w:t>
      </w:r>
    </w:p>
    <w:p w14:paraId="6743164C"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 xml:space="preserve">Figure 42: ISR-WBG-II 2010-2019 by contribution of dimensions </w:t>
      </w:r>
    </w:p>
    <w:p w14:paraId="13BB5155"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 xml:space="preserve">Figure 43: Development in dimensions 2010, 2015 and 2019 </w:t>
      </w:r>
    </w:p>
    <w:p w14:paraId="142BD6B0"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based on ISR-WBG-II 2010-2019</w:t>
      </w:r>
    </w:p>
    <w:p w14:paraId="70D7E93D"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Figure 44: ISR-WBG-II by periods</w:t>
      </w:r>
    </w:p>
    <w:p w14:paraId="261BB80E" w14:textId="77777777" w:rsidR="00DD6A09" w:rsidRPr="00DD6A09" w:rsidRDefault="00DD6A09" w:rsidP="00DD6A09">
      <w:pPr>
        <w:bidi w:val="0"/>
        <w:spacing w:line="360" w:lineRule="auto"/>
        <w:jc w:val="both"/>
        <w:rPr>
          <w:rFonts w:asciiTheme="majorBidi" w:eastAsiaTheme="minorHAnsi" w:hAnsiTheme="majorBidi" w:cstheme="majorBidi"/>
          <w:rtl/>
        </w:rPr>
      </w:pPr>
      <w:r w:rsidRPr="00DD6A09">
        <w:rPr>
          <w:rFonts w:asciiTheme="majorBidi" w:eastAsiaTheme="minorHAnsi" w:hAnsiTheme="majorBidi" w:cstheme="majorBidi"/>
        </w:rPr>
        <w:t xml:space="preserve">Figure 45: ISR-WBG-II by index </w:t>
      </w:r>
    </w:p>
    <w:p w14:paraId="5FE9ED77" w14:textId="77777777" w:rsidR="00770B68" w:rsidRPr="00770B68" w:rsidRDefault="00770B68" w:rsidP="00770B68">
      <w:pPr>
        <w:bidi w:val="0"/>
        <w:spacing w:line="360" w:lineRule="auto"/>
        <w:jc w:val="both"/>
        <w:rPr>
          <w:rFonts w:asciiTheme="majorBidi" w:eastAsiaTheme="minorHAnsi" w:hAnsiTheme="majorBidi" w:cstheme="majorBidi"/>
        </w:rPr>
      </w:pPr>
      <w:r w:rsidRPr="00770B68">
        <w:rPr>
          <w:rFonts w:asciiTheme="majorBidi" w:eastAsiaTheme="minorHAnsi" w:hAnsiTheme="majorBidi" w:cstheme="majorBidi"/>
        </w:rPr>
        <w:t>Figure 46: Indicators by areas</w:t>
      </w:r>
    </w:p>
    <w:p w14:paraId="2C47D6C2" w14:textId="582D13A1" w:rsidR="00770B68" w:rsidRPr="00770B68" w:rsidRDefault="00770B68" w:rsidP="00770B68">
      <w:pPr>
        <w:bidi w:val="0"/>
        <w:spacing w:line="360" w:lineRule="auto"/>
        <w:jc w:val="both"/>
        <w:rPr>
          <w:rFonts w:asciiTheme="majorBidi" w:eastAsiaTheme="minorHAnsi" w:hAnsiTheme="majorBidi" w:cstheme="majorBidi"/>
        </w:rPr>
      </w:pPr>
      <w:r w:rsidRPr="00770B68">
        <w:rPr>
          <w:rFonts w:asciiTheme="majorBidi" w:eastAsiaTheme="minorHAnsi" w:hAnsiTheme="majorBidi" w:cstheme="majorBidi"/>
        </w:rPr>
        <w:t>Figure 47: Integration indicis by areas</w:t>
      </w:r>
    </w:p>
    <w:p w14:paraId="5B0692DD" w14:textId="584005E6" w:rsidR="00770B68" w:rsidRPr="00770B68" w:rsidRDefault="00770B68" w:rsidP="00770B68">
      <w:pPr>
        <w:bidi w:val="0"/>
        <w:spacing w:line="360" w:lineRule="auto"/>
        <w:jc w:val="both"/>
        <w:rPr>
          <w:rFonts w:asciiTheme="majorBidi" w:eastAsiaTheme="minorHAnsi" w:hAnsiTheme="majorBidi" w:cstheme="majorBidi"/>
        </w:rPr>
      </w:pPr>
      <w:r w:rsidRPr="00770B68">
        <w:rPr>
          <w:rFonts w:asciiTheme="majorBidi" w:eastAsiaTheme="minorHAnsi" w:hAnsiTheme="majorBidi" w:cstheme="majorBidi"/>
        </w:rPr>
        <w:t>Figure 48</w:t>
      </w:r>
      <w:r>
        <w:rPr>
          <w:rFonts w:asciiTheme="majorBidi" w:eastAsiaTheme="minorHAnsi" w:hAnsiTheme="majorBidi" w:cstheme="majorBidi"/>
        </w:rPr>
        <w:t>:</w:t>
      </w:r>
      <w:r w:rsidRPr="00770B68">
        <w:rPr>
          <w:rFonts w:asciiTheme="majorBidi" w:eastAsiaTheme="minorHAnsi" w:hAnsiTheme="majorBidi" w:cstheme="majorBidi"/>
        </w:rPr>
        <w:t xml:space="preserve"> Dimensions contribution analysis</w:t>
      </w:r>
    </w:p>
    <w:p w14:paraId="1ED29691" w14:textId="77777777" w:rsidR="006F4560" w:rsidRPr="006F4560" w:rsidRDefault="006F4560" w:rsidP="006F4560">
      <w:pPr>
        <w:bidi w:val="0"/>
        <w:spacing w:line="360" w:lineRule="auto"/>
        <w:jc w:val="both"/>
        <w:rPr>
          <w:rFonts w:asciiTheme="majorBidi" w:eastAsiaTheme="minorHAnsi" w:hAnsiTheme="majorBidi" w:cstheme="majorBidi"/>
        </w:rPr>
      </w:pPr>
      <w:r w:rsidRPr="006F4560">
        <w:rPr>
          <w:rFonts w:asciiTheme="majorBidi" w:eastAsiaTheme="minorHAnsi" w:hAnsiTheme="majorBidi" w:cstheme="majorBidi"/>
        </w:rPr>
        <w:t>Figure 49 - ISR-WBG-II 1968 and terrorism fatalities</w:t>
      </w:r>
    </w:p>
    <w:p w14:paraId="0FE6FDEA" w14:textId="77777777" w:rsidR="006F4560" w:rsidRPr="006F4560" w:rsidRDefault="006F4560" w:rsidP="006F4560">
      <w:pPr>
        <w:bidi w:val="0"/>
        <w:spacing w:line="360" w:lineRule="auto"/>
        <w:jc w:val="both"/>
        <w:rPr>
          <w:rFonts w:asciiTheme="majorBidi" w:eastAsiaTheme="minorHAnsi" w:hAnsiTheme="majorBidi" w:cstheme="majorBidi"/>
        </w:rPr>
      </w:pPr>
      <w:r w:rsidRPr="006F4560">
        <w:rPr>
          <w:rFonts w:asciiTheme="majorBidi" w:eastAsiaTheme="minorHAnsi" w:hAnsiTheme="majorBidi" w:cstheme="majorBidi"/>
        </w:rPr>
        <w:t>Figure 50- ISR-WBG-II 2010 and terrorism fatalities</w:t>
      </w:r>
    </w:p>
    <w:p w14:paraId="2BA7A731" w14:textId="77777777" w:rsidR="006F4560" w:rsidRPr="006F4560" w:rsidRDefault="006F4560" w:rsidP="006F4560">
      <w:pPr>
        <w:bidi w:val="0"/>
        <w:spacing w:line="360" w:lineRule="auto"/>
        <w:jc w:val="both"/>
        <w:rPr>
          <w:rFonts w:asciiTheme="majorBidi" w:eastAsiaTheme="minorHAnsi" w:hAnsiTheme="majorBidi" w:cstheme="majorBidi"/>
        </w:rPr>
      </w:pPr>
      <w:r w:rsidRPr="006F4560">
        <w:rPr>
          <w:rFonts w:asciiTheme="majorBidi" w:eastAsiaTheme="minorHAnsi" w:hAnsiTheme="majorBidi" w:cstheme="majorBidi"/>
        </w:rPr>
        <w:t>Figure 51 - ISR-WBG-II 1968 and unemployment rate in the WBG</w:t>
      </w:r>
    </w:p>
    <w:p w14:paraId="1DCD9EC5" w14:textId="77777777" w:rsidR="00920611" w:rsidRPr="00770B68" w:rsidRDefault="00920611" w:rsidP="00770B68">
      <w:pPr>
        <w:bidi w:val="0"/>
        <w:spacing w:line="360" w:lineRule="auto"/>
        <w:jc w:val="both"/>
        <w:rPr>
          <w:rFonts w:asciiTheme="majorBidi" w:eastAsiaTheme="minorHAnsi" w:hAnsiTheme="majorBidi" w:cstheme="majorBidi"/>
        </w:rPr>
      </w:pPr>
    </w:p>
    <w:p w14:paraId="541A78DB" w14:textId="77777777" w:rsidR="00920611" w:rsidRPr="00AF08B1" w:rsidRDefault="00920611" w:rsidP="00073D0C">
      <w:pPr>
        <w:pStyle w:val="Default"/>
        <w:rPr>
          <w:sz w:val="32"/>
          <w:szCs w:val="32"/>
        </w:rPr>
      </w:pPr>
    </w:p>
    <w:p w14:paraId="7CE0E40D" w14:textId="77777777" w:rsidR="00073D0C" w:rsidRPr="00A77477" w:rsidRDefault="00073D0C" w:rsidP="00A77477">
      <w:pPr>
        <w:pStyle w:val="Default"/>
        <w:spacing w:line="480" w:lineRule="auto"/>
        <w:rPr>
          <w:sz w:val="28"/>
          <w:szCs w:val="28"/>
          <w:u w:val="single"/>
        </w:rPr>
      </w:pPr>
      <w:r w:rsidRPr="00A77477">
        <w:rPr>
          <w:sz w:val="28"/>
          <w:szCs w:val="28"/>
          <w:u w:val="single"/>
        </w:rPr>
        <w:t>List of Tables</w:t>
      </w:r>
    </w:p>
    <w:p w14:paraId="7D661A09" w14:textId="77777777"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Table 1: Dimensions and indicators</w:t>
      </w:r>
    </w:p>
    <w:p w14:paraId="2A46734D" w14:textId="543CCDF2" w:rsidR="00DD6A09" w:rsidRPr="00DD6A09" w:rsidRDefault="00DD6A09" w:rsidP="00DD6A09">
      <w:pPr>
        <w:bidi w:val="0"/>
        <w:spacing w:line="360" w:lineRule="auto"/>
        <w:jc w:val="both"/>
        <w:rPr>
          <w:rFonts w:asciiTheme="majorBidi" w:eastAsiaTheme="minorHAnsi" w:hAnsiTheme="majorBidi" w:cstheme="majorBidi"/>
        </w:rPr>
      </w:pPr>
      <w:r w:rsidRPr="00DD6A09">
        <w:rPr>
          <w:rFonts w:asciiTheme="majorBidi" w:eastAsiaTheme="minorHAnsi" w:hAnsiTheme="majorBidi" w:cstheme="majorBidi"/>
        </w:rPr>
        <w:t>Table 2</w:t>
      </w:r>
      <w:r w:rsidR="006F4560">
        <w:rPr>
          <w:rFonts w:asciiTheme="majorBidi" w:eastAsiaTheme="minorHAnsi" w:hAnsiTheme="majorBidi" w:cstheme="majorBidi"/>
        </w:rPr>
        <w:t>:</w:t>
      </w:r>
      <w:r w:rsidRPr="00DD6A09">
        <w:rPr>
          <w:rFonts w:asciiTheme="majorBidi" w:eastAsiaTheme="minorHAnsi" w:hAnsiTheme="majorBidi" w:cstheme="majorBidi"/>
        </w:rPr>
        <w:t xml:space="preserve"> Dimensions, indicators and weights</w:t>
      </w:r>
      <w:r w:rsidRPr="00DD6A09">
        <w:rPr>
          <w:rFonts w:asciiTheme="majorBidi" w:eastAsiaTheme="minorHAnsi" w:hAnsiTheme="majorBidi" w:cstheme="majorBidi" w:hint="cs"/>
          <w:rtl/>
        </w:rPr>
        <w:t xml:space="preserve"> </w:t>
      </w:r>
      <w:r w:rsidRPr="00DD6A09">
        <w:rPr>
          <w:rFonts w:asciiTheme="majorBidi" w:eastAsiaTheme="minorHAnsi" w:hAnsiTheme="majorBidi" w:cstheme="majorBidi"/>
        </w:rPr>
        <w:t>1968-2019</w:t>
      </w:r>
    </w:p>
    <w:p w14:paraId="160E1E01" w14:textId="3BB5A9C9" w:rsidR="00920611" w:rsidRPr="00920611" w:rsidRDefault="00920611" w:rsidP="00920611">
      <w:pPr>
        <w:bidi w:val="0"/>
        <w:spacing w:line="360" w:lineRule="auto"/>
        <w:jc w:val="both"/>
        <w:rPr>
          <w:rFonts w:asciiTheme="majorBidi" w:eastAsiaTheme="minorHAnsi" w:hAnsiTheme="majorBidi" w:cstheme="majorBidi"/>
        </w:rPr>
      </w:pPr>
      <w:r w:rsidRPr="00920611">
        <w:rPr>
          <w:rFonts w:asciiTheme="majorBidi" w:eastAsiaTheme="minorHAnsi" w:hAnsiTheme="majorBidi" w:cstheme="majorBidi"/>
        </w:rPr>
        <w:t>Table 3</w:t>
      </w:r>
      <w:r w:rsidR="006F4560">
        <w:rPr>
          <w:rFonts w:asciiTheme="majorBidi" w:eastAsiaTheme="minorHAnsi" w:hAnsiTheme="majorBidi" w:cstheme="majorBidi"/>
        </w:rPr>
        <w:t>:</w:t>
      </w:r>
      <w:r w:rsidRPr="00920611">
        <w:rPr>
          <w:rFonts w:asciiTheme="majorBidi" w:eastAsiaTheme="minorHAnsi" w:hAnsiTheme="majorBidi" w:cstheme="majorBidi"/>
        </w:rPr>
        <w:t xml:space="preserve"> Dimensions, indicators and weights</w:t>
      </w:r>
      <w:r w:rsidRPr="00920611">
        <w:rPr>
          <w:rFonts w:asciiTheme="majorBidi" w:eastAsiaTheme="minorHAnsi" w:hAnsiTheme="majorBidi" w:cstheme="majorBidi" w:hint="cs"/>
          <w:rtl/>
        </w:rPr>
        <w:t xml:space="preserve"> </w:t>
      </w:r>
      <w:r w:rsidRPr="00920611">
        <w:rPr>
          <w:rFonts w:asciiTheme="majorBidi" w:eastAsiaTheme="minorHAnsi" w:hAnsiTheme="majorBidi" w:cstheme="majorBidi"/>
        </w:rPr>
        <w:t>1996-2019</w:t>
      </w:r>
    </w:p>
    <w:p w14:paraId="36A1D98A" w14:textId="433F5AF0" w:rsidR="00920611" w:rsidRPr="00920611" w:rsidRDefault="00920611" w:rsidP="00920611">
      <w:pPr>
        <w:bidi w:val="0"/>
        <w:spacing w:line="360" w:lineRule="auto"/>
        <w:jc w:val="both"/>
        <w:rPr>
          <w:rFonts w:asciiTheme="majorBidi" w:eastAsiaTheme="minorHAnsi" w:hAnsiTheme="majorBidi" w:cstheme="majorBidi"/>
        </w:rPr>
      </w:pPr>
      <w:r w:rsidRPr="00920611">
        <w:rPr>
          <w:rFonts w:asciiTheme="majorBidi" w:eastAsiaTheme="minorHAnsi" w:hAnsiTheme="majorBidi" w:cstheme="majorBidi"/>
        </w:rPr>
        <w:t>Table 4</w:t>
      </w:r>
      <w:r w:rsidR="006F4560">
        <w:rPr>
          <w:rFonts w:asciiTheme="majorBidi" w:eastAsiaTheme="minorHAnsi" w:hAnsiTheme="majorBidi" w:cstheme="majorBidi"/>
        </w:rPr>
        <w:t>:</w:t>
      </w:r>
      <w:r w:rsidRPr="00920611">
        <w:rPr>
          <w:rFonts w:asciiTheme="majorBidi" w:eastAsiaTheme="minorHAnsi" w:hAnsiTheme="majorBidi" w:cstheme="majorBidi"/>
        </w:rPr>
        <w:t xml:space="preserve"> Dimensions, indicators and weights</w:t>
      </w:r>
      <w:r w:rsidRPr="00920611">
        <w:rPr>
          <w:rFonts w:asciiTheme="majorBidi" w:eastAsiaTheme="minorHAnsi" w:hAnsiTheme="majorBidi" w:cstheme="majorBidi" w:hint="cs"/>
          <w:rtl/>
        </w:rPr>
        <w:t xml:space="preserve"> </w:t>
      </w:r>
      <w:r w:rsidRPr="00920611">
        <w:rPr>
          <w:rFonts w:asciiTheme="majorBidi" w:eastAsiaTheme="minorHAnsi" w:hAnsiTheme="majorBidi" w:cstheme="majorBidi"/>
        </w:rPr>
        <w:t>2000-2019</w:t>
      </w:r>
    </w:p>
    <w:p w14:paraId="7A23606A" w14:textId="709077A3" w:rsidR="00920611" w:rsidRPr="00920611" w:rsidRDefault="00920611" w:rsidP="00920611">
      <w:pPr>
        <w:bidi w:val="0"/>
        <w:spacing w:line="360" w:lineRule="auto"/>
        <w:jc w:val="both"/>
        <w:rPr>
          <w:rFonts w:asciiTheme="majorBidi" w:eastAsiaTheme="minorHAnsi" w:hAnsiTheme="majorBidi" w:cstheme="majorBidi"/>
        </w:rPr>
      </w:pPr>
      <w:r w:rsidRPr="00920611">
        <w:rPr>
          <w:rFonts w:asciiTheme="majorBidi" w:eastAsiaTheme="minorHAnsi" w:hAnsiTheme="majorBidi" w:cstheme="majorBidi"/>
        </w:rPr>
        <w:t xml:space="preserve">Table </w:t>
      </w:r>
      <w:r w:rsidR="00770B68">
        <w:rPr>
          <w:rFonts w:asciiTheme="majorBidi" w:eastAsiaTheme="minorHAnsi" w:hAnsiTheme="majorBidi" w:cstheme="majorBidi"/>
        </w:rPr>
        <w:t>5</w:t>
      </w:r>
      <w:r w:rsidR="006F4560">
        <w:rPr>
          <w:rFonts w:asciiTheme="majorBidi" w:eastAsiaTheme="minorHAnsi" w:hAnsiTheme="majorBidi" w:cstheme="majorBidi"/>
        </w:rPr>
        <w:t>:</w:t>
      </w:r>
      <w:r w:rsidRPr="00920611">
        <w:rPr>
          <w:rFonts w:asciiTheme="majorBidi" w:eastAsiaTheme="minorHAnsi" w:hAnsiTheme="majorBidi" w:cstheme="majorBidi"/>
        </w:rPr>
        <w:t xml:space="preserve"> Dimensions, indicators and weights</w:t>
      </w:r>
      <w:r w:rsidRPr="00920611">
        <w:rPr>
          <w:rFonts w:asciiTheme="majorBidi" w:eastAsiaTheme="minorHAnsi" w:hAnsiTheme="majorBidi" w:cstheme="majorBidi" w:hint="cs"/>
          <w:rtl/>
        </w:rPr>
        <w:t xml:space="preserve"> </w:t>
      </w:r>
      <w:r w:rsidRPr="00920611">
        <w:rPr>
          <w:rFonts w:asciiTheme="majorBidi" w:eastAsiaTheme="minorHAnsi" w:hAnsiTheme="majorBidi" w:cstheme="majorBidi"/>
        </w:rPr>
        <w:t>2010-2019</w:t>
      </w:r>
    </w:p>
    <w:p w14:paraId="0668CEE8" w14:textId="714A88DF" w:rsidR="006F4560" w:rsidRPr="006F4560" w:rsidRDefault="006F4560" w:rsidP="006F4560">
      <w:pPr>
        <w:bidi w:val="0"/>
        <w:spacing w:line="360" w:lineRule="auto"/>
        <w:jc w:val="both"/>
        <w:rPr>
          <w:rFonts w:asciiTheme="majorBidi" w:eastAsiaTheme="minorHAnsi" w:hAnsiTheme="majorBidi" w:cstheme="majorBidi"/>
        </w:rPr>
      </w:pPr>
      <w:r w:rsidRPr="006F4560">
        <w:rPr>
          <w:rFonts w:asciiTheme="majorBidi" w:eastAsiaTheme="minorHAnsi" w:hAnsiTheme="majorBidi" w:cstheme="majorBidi"/>
        </w:rPr>
        <w:t>Table 6</w:t>
      </w:r>
      <w:r>
        <w:rPr>
          <w:rFonts w:asciiTheme="majorBidi" w:eastAsiaTheme="minorHAnsi" w:hAnsiTheme="majorBidi" w:cstheme="majorBidi"/>
        </w:rPr>
        <w:t>:</w:t>
      </w:r>
      <w:r w:rsidRPr="006F4560">
        <w:rPr>
          <w:rFonts w:asciiTheme="majorBidi" w:eastAsiaTheme="minorHAnsi" w:hAnsiTheme="majorBidi" w:cstheme="majorBidi"/>
        </w:rPr>
        <w:t xml:space="preserve"> Dimensions, indicators and weights</w:t>
      </w:r>
      <w:r w:rsidRPr="006F4560">
        <w:rPr>
          <w:rFonts w:asciiTheme="majorBidi" w:eastAsiaTheme="minorHAnsi" w:hAnsiTheme="majorBidi" w:cstheme="majorBidi" w:hint="cs"/>
          <w:rtl/>
        </w:rPr>
        <w:t xml:space="preserve"> </w:t>
      </w:r>
      <w:r w:rsidRPr="006F4560">
        <w:rPr>
          <w:rFonts w:asciiTheme="majorBidi" w:eastAsiaTheme="minorHAnsi" w:hAnsiTheme="majorBidi" w:cstheme="majorBidi"/>
        </w:rPr>
        <w:t>2008-2019</w:t>
      </w:r>
    </w:p>
    <w:p w14:paraId="731391E6" w14:textId="7DDFFA3B" w:rsidR="00770B68" w:rsidRPr="00770B68" w:rsidRDefault="00770B68" w:rsidP="00770B68">
      <w:pPr>
        <w:bidi w:val="0"/>
        <w:spacing w:line="360" w:lineRule="auto"/>
        <w:jc w:val="both"/>
        <w:rPr>
          <w:rFonts w:asciiTheme="majorBidi" w:eastAsiaTheme="minorHAnsi" w:hAnsiTheme="majorBidi" w:cstheme="majorBidi"/>
        </w:rPr>
      </w:pPr>
      <w:r w:rsidRPr="00770B68">
        <w:rPr>
          <w:rFonts w:asciiTheme="majorBidi" w:eastAsiaTheme="minorHAnsi" w:hAnsiTheme="majorBidi" w:cstheme="majorBidi"/>
        </w:rPr>
        <w:t>Table 7: Granger causality Wald tests (</w:t>
      </w:r>
      <w:proofErr w:type="spellStart"/>
      <w:r w:rsidRPr="00770B68">
        <w:rPr>
          <w:rFonts w:asciiTheme="majorBidi" w:eastAsiaTheme="minorHAnsi" w:hAnsiTheme="majorBidi" w:cstheme="majorBidi"/>
        </w:rPr>
        <w:t>m</w:t>
      </w:r>
      <w:r>
        <w:rPr>
          <w:rFonts w:asciiTheme="majorBidi" w:eastAsiaTheme="minorHAnsi" w:hAnsiTheme="majorBidi" w:cstheme="majorBidi"/>
        </w:rPr>
        <w:t>Fta</w:t>
      </w:r>
      <w:r w:rsidRPr="00770B68">
        <w:rPr>
          <w:rFonts w:asciiTheme="majorBidi" w:eastAsiaTheme="minorHAnsi" w:hAnsiTheme="majorBidi" w:cstheme="majorBidi"/>
        </w:rPr>
        <w:t>odel</w:t>
      </w:r>
      <w:proofErr w:type="spellEnd"/>
      <w:r w:rsidRPr="00770B68">
        <w:rPr>
          <w:rFonts w:asciiTheme="majorBidi" w:eastAsiaTheme="minorHAnsi" w:hAnsiTheme="majorBidi" w:cstheme="majorBidi"/>
        </w:rPr>
        <w:t xml:space="preserve"> with 2 lags)</w:t>
      </w:r>
    </w:p>
    <w:p w14:paraId="36C7930D" w14:textId="571A7677" w:rsidR="00920611" w:rsidRPr="00770B68" w:rsidRDefault="00920611" w:rsidP="00770B68">
      <w:pPr>
        <w:bidi w:val="0"/>
        <w:spacing w:line="360" w:lineRule="auto"/>
        <w:jc w:val="both"/>
        <w:rPr>
          <w:rFonts w:asciiTheme="majorBidi" w:eastAsiaTheme="minorHAnsi" w:hAnsiTheme="majorBidi" w:cstheme="majorBidi"/>
          <w:rtl/>
        </w:rPr>
        <w:sectPr w:rsidR="00920611" w:rsidRPr="00770B68">
          <w:footerReference w:type="default" r:id="rId8"/>
          <w:pgSz w:w="12240" w:h="15840"/>
          <w:pgMar w:top="1440" w:right="1440" w:bottom="1440" w:left="1440" w:header="708" w:footer="708" w:gutter="0"/>
          <w:cols w:space="708"/>
          <w:docGrid w:linePitch="360"/>
        </w:sectPr>
      </w:pPr>
    </w:p>
    <w:p w14:paraId="2A2B334B" w14:textId="6558C252" w:rsidR="00934429" w:rsidRDefault="00D8095B" w:rsidP="00934429">
      <w:pPr>
        <w:pStyle w:val="ListParagraph"/>
        <w:numPr>
          <w:ilvl w:val="0"/>
          <w:numId w:val="3"/>
        </w:numPr>
        <w:autoSpaceDE w:val="0"/>
        <w:autoSpaceDN w:val="0"/>
        <w:bidi w:val="0"/>
        <w:adjustRightInd w:val="0"/>
        <w:rPr>
          <w:rFonts w:asciiTheme="majorBidi" w:hAnsiTheme="majorBidi" w:cstheme="majorBidi"/>
          <w:b/>
          <w:bCs/>
          <w:sz w:val="28"/>
          <w:szCs w:val="28"/>
        </w:rPr>
      </w:pPr>
      <w:r>
        <w:rPr>
          <w:rFonts w:asciiTheme="majorBidi" w:hAnsiTheme="majorBidi" w:cstheme="majorBidi"/>
          <w:b/>
          <w:bCs/>
          <w:sz w:val="28"/>
          <w:szCs w:val="28"/>
        </w:rPr>
        <w:t xml:space="preserve">Chapter 1: </w:t>
      </w:r>
      <w:r w:rsidR="00934429">
        <w:rPr>
          <w:rFonts w:asciiTheme="majorBidi" w:hAnsiTheme="majorBidi" w:cstheme="majorBidi"/>
          <w:b/>
          <w:bCs/>
          <w:sz w:val="28"/>
          <w:szCs w:val="28"/>
        </w:rPr>
        <w:t>Introduction</w:t>
      </w:r>
    </w:p>
    <w:p w14:paraId="565B8954" w14:textId="77777777" w:rsidR="00934429" w:rsidRDefault="00934429" w:rsidP="00934429">
      <w:pPr>
        <w:autoSpaceDE w:val="0"/>
        <w:autoSpaceDN w:val="0"/>
        <w:bidi w:val="0"/>
        <w:adjustRightInd w:val="0"/>
        <w:rPr>
          <w:rFonts w:asciiTheme="majorBidi" w:hAnsiTheme="majorBidi" w:cstheme="majorBidi"/>
          <w:b/>
          <w:bCs/>
          <w:sz w:val="28"/>
          <w:szCs w:val="28"/>
        </w:rPr>
      </w:pPr>
    </w:p>
    <w:p w14:paraId="10B0477E" w14:textId="2C2D9BDE" w:rsidR="00934429" w:rsidRDefault="00934429" w:rsidP="00934429">
      <w:pPr>
        <w:bidi w:val="0"/>
        <w:spacing w:line="480" w:lineRule="auto"/>
        <w:ind w:left="360"/>
        <w:jc w:val="both"/>
        <w:rPr>
          <w:rFonts w:ascii="Times New Roman" w:hAnsi="Times New Roman" w:cs="David"/>
          <w:sz w:val="24"/>
          <w:szCs w:val="24"/>
        </w:rPr>
      </w:pPr>
      <w:r w:rsidRPr="0C718948">
        <w:rPr>
          <w:rFonts w:asciiTheme="majorBidi" w:hAnsiTheme="majorBidi" w:cstheme="majorBidi"/>
          <w:sz w:val="24"/>
          <w:szCs w:val="24"/>
        </w:rPr>
        <w:t xml:space="preserve">Economic integration is a well-defined subject in the literature. </w:t>
      </w:r>
      <w:r w:rsidRPr="0C718948">
        <w:rPr>
          <w:rFonts w:ascii="Times New Roman" w:eastAsiaTheme="minorEastAsia" w:hAnsi="Times New Roman" w:cs="Times New Roman"/>
          <w:sz w:val="24"/>
          <w:szCs w:val="24"/>
        </w:rPr>
        <w:t xml:space="preserve">As predicted in international trade theory, first and foremost, you trade with your neighbors, and according to empirical findings, proximity is the main engine for trade between two economic entities (Combes, Mayer and </w:t>
      </w:r>
      <w:proofErr w:type="spellStart"/>
      <w:r w:rsidRPr="0C718948">
        <w:rPr>
          <w:rFonts w:ascii="Times New Roman" w:eastAsiaTheme="minorEastAsia" w:hAnsi="Times New Roman" w:cs="Times New Roman"/>
          <w:sz w:val="24"/>
          <w:szCs w:val="24"/>
        </w:rPr>
        <w:t>Thisse</w:t>
      </w:r>
      <w:proofErr w:type="spellEnd"/>
      <w:r w:rsidRPr="0C718948">
        <w:rPr>
          <w:rFonts w:ascii="Times New Roman" w:eastAsiaTheme="minorEastAsia" w:hAnsi="Times New Roman" w:cs="Times New Roman"/>
          <w:sz w:val="24"/>
          <w:szCs w:val="24"/>
        </w:rPr>
        <w:t xml:space="preserve"> 2008). </w:t>
      </w:r>
      <w:r w:rsidRPr="0C718948">
        <w:rPr>
          <w:rFonts w:ascii="Times New Roman" w:hAnsi="Times New Roman" w:cs="David"/>
          <w:sz w:val="24"/>
          <w:szCs w:val="24"/>
        </w:rPr>
        <w:t>Balassa (1961) describes economic integration as a process that occurs between countries/territories in the same geographical area that allows the removal of barriers to the movement of goods, services and capital, in order to promote economic welfare and prosperity. Rivera and Romer (1991) argue that in a world with two developed economies, economic integration can cause a steady increase in global growth. Starting from the position of isolation, closer integration can be achieved by increasing trade in goods or by increasing the flow of ideas. However, if the economies have different endowments or technologies, it will induce allocation effects that shift resources between the two sectors in each country. At the international level Rodrik (2000) discuss the process of internationalization. In a long-term perspective, international economic integration has still a long way to go. The process will continue as technological progress will both foster economic integration and remove some of the traditional obstacles</w:t>
      </w:r>
      <w:r w:rsidR="00736F8F">
        <w:rPr>
          <w:rFonts w:ascii="Times New Roman" w:hAnsi="Times New Roman" w:cs="David"/>
          <w:sz w:val="24"/>
          <w:szCs w:val="24"/>
        </w:rPr>
        <w:t>.</w:t>
      </w:r>
      <w:r w:rsidRPr="0C718948">
        <w:rPr>
          <w:rFonts w:ascii="Times New Roman" w:hAnsi="Times New Roman" w:cs="David"/>
          <w:sz w:val="24"/>
          <w:szCs w:val="24"/>
        </w:rPr>
        <w:t xml:space="preserve"> Second, it is hard to envisage that a substantial part of the world’s population will want to give up the </w:t>
      </w:r>
      <w:r w:rsidR="00B71DB2">
        <w:rPr>
          <w:rFonts w:ascii="Times New Roman" w:hAnsi="Times New Roman" w:cs="David"/>
          <w:sz w:val="24"/>
          <w:szCs w:val="24"/>
        </w:rPr>
        <w:t>material benefits</w:t>
      </w:r>
      <w:r w:rsidRPr="0C718948">
        <w:rPr>
          <w:rFonts w:ascii="Times New Roman" w:hAnsi="Times New Roman" w:cs="David"/>
          <w:sz w:val="24"/>
          <w:szCs w:val="24"/>
        </w:rPr>
        <w:t xml:space="preserve"> that an increasingly integrated world market can deliver. Third, hard-won citizenship rights are also unlikely to be given up easily, keeping pressure on politicians to remain accountable to the wishes of their electorate. </w:t>
      </w:r>
    </w:p>
    <w:p w14:paraId="55B3566F" w14:textId="25999681" w:rsidR="00934429" w:rsidRDefault="00934429" w:rsidP="00934429">
      <w:pPr>
        <w:bidi w:val="0"/>
        <w:spacing w:line="480" w:lineRule="auto"/>
        <w:ind w:left="360"/>
        <w:jc w:val="both"/>
        <w:rPr>
          <w:rFonts w:asciiTheme="majorBidi" w:hAnsiTheme="majorBidi" w:cstheme="majorBidi"/>
          <w:sz w:val="24"/>
          <w:szCs w:val="24"/>
        </w:rPr>
      </w:pPr>
      <w:r>
        <w:rPr>
          <w:rFonts w:ascii="Times New Roman" w:hAnsi="Times New Roman" w:cs="David"/>
          <w:sz w:val="24"/>
          <w:szCs w:val="24"/>
        </w:rPr>
        <w:t xml:space="preserve">Regarding the idea of monetary integration, </w:t>
      </w:r>
      <w:r w:rsidRPr="003D05AA">
        <w:rPr>
          <w:rFonts w:asciiTheme="majorBidi" w:hAnsiTheme="majorBidi" w:cstheme="majorBidi"/>
          <w:sz w:val="24"/>
          <w:szCs w:val="24"/>
        </w:rPr>
        <w:t>M</w:t>
      </w:r>
      <w:r>
        <w:rPr>
          <w:rFonts w:asciiTheme="majorBidi" w:hAnsiTheme="majorBidi" w:cstheme="majorBidi"/>
          <w:sz w:val="24"/>
          <w:szCs w:val="24"/>
        </w:rPr>
        <w:t>u</w:t>
      </w:r>
      <w:r w:rsidRPr="003D05AA">
        <w:rPr>
          <w:rFonts w:asciiTheme="majorBidi" w:hAnsiTheme="majorBidi" w:cstheme="majorBidi"/>
          <w:sz w:val="24"/>
          <w:szCs w:val="24"/>
        </w:rPr>
        <w:t>ndel</w:t>
      </w:r>
      <w:r>
        <w:rPr>
          <w:rFonts w:asciiTheme="majorBidi" w:hAnsiTheme="majorBidi" w:cstheme="majorBidi"/>
          <w:sz w:val="24"/>
          <w:szCs w:val="24"/>
        </w:rPr>
        <w:t>l</w:t>
      </w:r>
      <w:r w:rsidRPr="003D05AA">
        <w:rPr>
          <w:rFonts w:asciiTheme="majorBidi" w:hAnsiTheme="majorBidi" w:cstheme="majorBidi"/>
          <w:sz w:val="24"/>
          <w:szCs w:val="24"/>
        </w:rPr>
        <w:t xml:space="preserve"> (1961) presented the idea of ​​an </w:t>
      </w:r>
      <w:r w:rsidRPr="00A41469">
        <w:rPr>
          <w:rFonts w:asciiTheme="majorBidi" w:hAnsiTheme="majorBidi" w:cstheme="majorBidi"/>
          <w:i/>
          <w:iCs/>
          <w:sz w:val="24"/>
          <w:szCs w:val="24"/>
        </w:rPr>
        <w:t>Optimal Currency Area</w:t>
      </w:r>
      <w:r>
        <w:rPr>
          <w:rFonts w:asciiTheme="majorBidi" w:hAnsiTheme="majorBidi" w:cstheme="majorBidi"/>
          <w:sz w:val="24"/>
          <w:szCs w:val="24"/>
        </w:rPr>
        <w:t xml:space="preserve"> (OCA)</w:t>
      </w:r>
      <w:r w:rsidRPr="003D05AA">
        <w:rPr>
          <w:rFonts w:asciiTheme="majorBidi" w:hAnsiTheme="majorBidi" w:cstheme="majorBidi"/>
          <w:sz w:val="24"/>
          <w:szCs w:val="24"/>
        </w:rPr>
        <w:t xml:space="preserve"> as a group of countries tha</w:t>
      </w:r>
      <w:r>
        <w:rPr>
          <w:rFonts w:asciiTheme="majorBidi" w:hAnsiTheme="majorBidi" w:cstheme="majorBidi"/>
          <w:sz w:val="24"/>
          <w:szCs w:val="24"/>
        </w:rPr>
        <w:t>t maintain a single currency, or</w:t>
      </w:r>
      <w:r w:rsidRPr="003D05AA">
        <w:rPr>
          <w:rFonts w:asciiTheme="majorBidi" w:hAnsiTheme="majorBidi" w:cstheme="majorBidi"/>
          <w:sz w:val="24"/>
          <w:szCs w:val="24"/>
        </w:rPr>
        <w:t xml:space="preserve"> </w:t>
      </w:r>
      <w:r>
        <w:rPr>
          <w:rFonts w:asciiTheme="majorBidi" w:hAnsiTheme="majorBidi" w:cstheme="majorBidi"/>
          <w:sz w:val="24"/>
          <w:szCs w:val="24"/>
        </w:rPr>
        <w:t>if</w:t>
      </w:r>
      <w:r w:rsidRPr="003D05AA">
        <w:rPr>
          <w:rFonts w:asciiTheme="majorBidi" w:hAnsiTheme="majorBidi" w:cstheme="majorBidi"/>
          <w:sz w:val="24"/>
          <w:szCs w:val="24"/>
        </w:rPr>
        <w:t xml:space="preserve"> they maintain separate curre</w:t>
      </w:r>
      <w:r>
        <w:rPr>
          <w:rFonts w:asciiTheme="majorBidi" w:hAnsiTheme="majorBidi" w:cstheme="majorBidi"/>
          <w:sz w:val="24"/>
          <w:szCs w:val="24"/>
        </w:rPr>
        <w:t>ncies these are at fixed exchange rates with full convertibility</w:t>
      </w:r>
      <w:r w:rsidRPr="003D05AA">
        <w:rPr>
          <w:rFonts w:asciiTheme="majorBidi" w:hAnsiTheme="majorBidi" w:cstheme="majorBidi"/>
          <w:sz w:val="24"/>
          <w:szCs w:val="24"/>
        </w:rPr>
        <w:t xml:space="preserve"> of cor</w:t>
      </w:r>
      <w:r>
        <w:rPr>
          <w:rFonts w:asciiTheme="majorBidi" w:hAnsiTheme="majorBidi" w:cstheme="majorBidi"/>
          <w:sz w:val="24"/>
          <w:szCs w:val="24"/>
        </w:rPr>
        <w:t>responding currencies</w:t>
      </w:r>
      <w:r w:rsidRPr="003D05AA">
        <w:rPr>
          <w:rFonts w:asciiTheme="majorBidi" w:hAnsiTheme="majorBidi" w:cstheme="majorBidi"/>
          <w:sz w:val="24"/>
          <w:szCs w:val="24"/>
        </w:rPr>
        <w:t xml:space="preserve">. Mundell identified </w:t>
      </w:r>
      <w:r>
        <w:rPr>
          <w:rFonts w:asciiTheme="majorBidi" w:hAnsiTheme="majorBidi" w:cstheme="majorBidi"/>
          <w:sz w:val="24"/>
          <w:szCs w:val="24"/>
        </w:rPr>
        <w:t xml:space="preserve">the </w:t>
      </w:r>
      <w:r w:rsidRPr="003D05AA">
        <w:rPr>
          <w:rFonts w:asciiTheme="majorBidi" w:hAnsiTheme="majorBidi" w:cstheme="majorBidi"/>
          <w:sz w:val="24"/>
          <w:szCs w:val="24"/>
        </w:rPr>
        <w:t>mobility factor as the key feature of</w:t>
      </w:r>
      <w:r w:rsidR="00B71DB2">
        <w:rPr>
          <w:rFonts w:asciiTheme="majorBidi" w:hAnsiTheme="majorBidi" w:cstheme="majorBidi"/>
          <w:sz w:val="24"/>
          <w:szCs w:val="24"/>
        </w:rPr>
        <w:t xml:space="preserve"> an</w:t>
      </w:r>
      <w:r w:rsidRPr="003D05AA">
        <w:rPr>
          <w:rFonts w:asciiTheme="majorBidi" w:hAnsiTheme="majorBidi" w:cstheme="majorBidi"/>
          <w:sz w:val="24"/>
          <w:szCs w:val="24"/>
        </w:rPr>
        <w:t xml:space="preserve"> Optimum Currency, since when such mobility exists, less variation of the exchange rate is needed </w:t>
      </w:r>
      <w:r>
        <w:rPr>
          <w:rFonts w:asciiTheme="majorBidi" w:hAnsiTheme="majorBidi" w:cstheme="majorBidi"/>
          <w:sz w:val="24"/>
          <w:szCs w:val="24"/>
        </w:rPr>
        <w:t xml:space="preserve">to </w:t>
      </w:r>
      <w:r w:rsidRPr="003D05AA">
        <w:rPr>
          <w:rFonts w:asciiTheme="majorBidi" w:hAnsiTheme="majorBidi" w:cstheme="majorBidi"/>
          <w:sz w:val="24"/>
          <w:szCs w:val="24"/>
        </w:rPr>
        <w:t>correct</w:t>
      </w:r>
      <w:r>
        <w:rPr>
          <w:rFonts w:asciiTheme="majorBidi" w:hAnsiTheme="majorBidi" w:cstheme="majorBidi"/>
          <w:sz w:val="24"/>
          <w:szCs w:val="24"/>
        </w:rPr>
        <w:t xml:space="preserve"> </w:t>
      </w:r>
      <w:r w:rsidRPr="003D05AA">
        <w:rPr>
          <w:rFonts w:asciiTheme="majorBidi" w:hAnsiTheme="majorBidi" w:cstheme="majorBidi"/>
          <w:sz w:val="24"/>
          <w:szCs w:val="24"/>
        </w:rPr>
        <w:t>external imbalances.</w:t>
      </w:r>
      <w:r>
        <w:rPr>
          <w:rFonts w:asciiTheme="majorBidi" w:hAnsiTheme="majorBidi" w:cstheme="majorBidi"/>
          <w:sz w:val="24"/>
          <w:szCs w:val="24"/>
        </w:rPr>
        <w:t xml:space="preserve"> </w:t>
      </w:r>
    </w:p>
    <w:p w14:paraId="5C07B9DD" w14:textId="77777777" w:rsidR="00934429" w:rsidRPr="00A41469" w:rsidRDefault="00934429" w:rsidP="00934429">
      <w:pPr>
        <w:bidi w:val="0"/>
        <w:spacing w:line="480" w:lineRule="auto"/>
        <w:ind w:left="360"/>
        <w:jc w:val="both"/>
        <w:rPr>
          <w:rFonts w:ascii="Times New Roman" w:hAnsi="Times New Roman" w:cs="David"/>
          <w:b/>
          <w:bCs/>
          <w:sz w:val="24"/>
          <w:szCs w:val="24"/>
        </w:rPr>
      </w:pPr>
      <w:r w:rsidRPr="007D39C1">
        <w:rPr>
          <w:rFonts w:asciiTheme="majorBidi" w:hAnsiTheme="majorBidi" w:cstheme="majorBidi"/>
          <w:sz w:val="24"/>
          <w:szCs w:val="24"/>
        </w:rPr>
        <w:t>McKinnon</w:t>
      </w:r>
      <w:r>
        <w:rPr>
          <w:rFonts w:asciiTheme="majorBidi" w:hAnsiTheme="majorBidi" w:cstheme="majorBidi"/>
          <w:sz w:val="24"/>
          <w:szCs w:val="24"/>
        </w:rPr>
        <w:t xml:space="preserve"> (1963) further developed the idea of OCA by discussing the influence of the openness of the economy, i.e., the ratio of tradable to </w:t>
      </w:r>
      <w:proofErr w:type="spellStart"/>
      <w:r>
        <w:rPr>
          <w:rFonts w:asciiTheme="majorBidi" w:hAnsiTheme="majorBidi" w:cstheme="majorBidi"/>
          <w:sz w:val="24"/>
          <w:szCs w:val="24"/>
        </w:rPr>
        <w:t>nontradable</w:t>
      </w:r>
      <w:proofErr w:type="spellEnd"/>
      <w:r>
        <w:rPr>
          <w:rFonts w:asciiTheme="majorBidi" w:hAnsiTheme="majorBidi" w:cstheme="majorBidi"/>
          <w:sz w:val="24"/>
          <w:szCs w:val="24"/>
        </w:rPr>
        <w:t xml:space="preserve"> goods, on the problem of reconciling external and internal balance, emphasizing the need for internal price stability. </w:t>
      </w:r>
      <w:proofErr w:type="spellStart"/>
      <w:r w:rsidRPr="00D755D0">
        <w:rPr>
          <w:rFonts w:asciiTheme="majorBidi" w:hAnsiTheme="majorBidi" w:cstheme="majorBidi"/>
          <w:sz w:val="24"/>
          <w:szCs w:val="24"/>
        </w:rPr>
        <w:t>Kenen</w:t>
      </w:r>
      <w:proofErr w:type="spellEnd"/>
      <w:r w:rsidRPr="00D755D0">
        <w:rPr>
          <w:rFonts w:asciiTheme="majorBidi" w:hAnsiTheme="majorBidi" w:cstheme="majorBidi"/>
          <w:sz w:val="24"/>
          <w:szCs w:val="24"/>
        </w:rPr>
        <w:t xml:space="preserve"> (1969) further </w:t>
      </w:r>
      <w:r>
        <w:rPr>
          <w:rFonts w:asciiTheme="majorBidi" w:hAnsiTheme="majorBidi" w:cstheme="majorBidi"/>
          <w:sz w:val="24"/>
          <w:szCs w:val="24"/>
        </w:rPr>
        <w:t>r</w:t>
      </w:r>
      <w:r w:rsidRPr="00D755D0">
        <w:rPr>
          <w:rFonts w:asciiTheme="majorBidi" w:hAnsiTheme="majorBidi" w:cstheme="majorBidi"/>
          <w:sz w:val="24"/>
          <w:szCs w:val="24"/>
        </w:rPr>
        <w:t xml:space="preserve">efined the idea, maintaining that fiscal integration should be a criterion to judge optimality for participation in a single-currency-area. He also introduced the idea that product diversification can be used to assess the desirability of permanently fixed exchange rates. Highly diversified economies are better candidates for currency areas than less-diversified economies since diversification provides some insulation to the effects of sector-specific or industry-specific shocks, forestalling the need </w:t>
      </w:r>
      <w:r>
        <w:rPr>
          <w:rFonts w:asciiTheme="majorBidi" w:hAnsiTheme="majorBidi" w:cstheme="majorBidi"/>
          <w:sz w:val="24"/>
          <w:szCs w:val="24"/>
        </w:rPr>
        <w:t xml:space="preserve">for </w:t>
      </w:r>
      <w:r w:rsidRPr="00D755D0">
        <w:rPr>
          <w:rFonts w:asciiTheme="majorBidi" w:hAnsiTheme="majorBidi" w:cstheme="majorBidi"/>
          <w:sz w:val="24"/>
          <w:szCs w:val="24"/>
        </w:rPr>
        <w:t>frequent changes in the terms of trade via the exchange rate.</w:t>
      </w:r>
      <w:r>
        <w:rPr>
          <w:rFonts w:asciiTheme="majorBidi" w:hAnsiTheme="majorBidi" w:cstheme="majorBidi"/>
          <w:sz w:val="24"/>
          <w:szCs w:val="24"/>
        </w:rPr>
        <w:t xml:space="preserve"> </w:t>
      </w:r>
      <w:r w:rsidRPr="00D755D0">
        <w:rPr>
          <w:rFonts w:ascii="Times New Roman" w:hAnsi="Times New Roman" w:cs="David"/>
          <w:sz w:val="24"/>
          <w:szCs w:val="24"/>
        </w:rPr>
        <w:t xml:space="preserve">Calvo and </w:t>
      </w:r>
      <w:proofErr w:type="spellStart"/>
      <w:r w:rsidRPr="00D755D0">
        <w:rPr>
          <w:rFonts w:ascii="Times New Roman" w:hAnsi="Times New Roman" w:cs="David"/>
          <w:sz w:val="24"/>
          <w:szCs w:val="24"/>
        </w:rPr>
        <w:t>Végh</w:t>
      </w:r>
      <w:proofErr w:type="spellEnd"/>
      <w:r w:rsidRPr="00D755D0">
        <w:rPr>
          <w:rFonts w:ascii="Times New Roman" w:hAnsi="Times New Roman" w:cs="David"/>
          <w:sz w:val="24"/>
          <w:szCs w:val="24"/>
        </w:rPr>
        <w:t xml:space="preserve"> (1992) define</w:t>
      </w:r>
      <w:r>
        <w:rPr>
          <w:rFonts w:ascii="Times New Roman" w:hAnsi="Times New Roman" w:cs="David"/>
          <w:sz w:val="24"/>
          <w:szCs w:val="24"/>
        </w:rPr>
        <w:t>d</w:t>
      </w:r>
      <w:r w:rsidRPr="00D755D0">
        <w:rPr>
          <w:rFonts w:ascii="Times New Roman" w:hAnsi="Times New Roman" w:cs="David"/>
          <w:sz w:val="24"/>
          <w:szCs w:val="24"/>
        </w:rPr>
        <w:t xml:space="preserve"> "currency substitution" as the use in a given country of multiple currencies as medium of exchange. This phenomenon developed in the </w:t>
      </w:r>
      <w:r>
        <w:rPr>
          <w:rFonts w:ascii="Times New Roman" w:hAnsi="Times New Roman" w:cs="David"/>
          <w:sz w:val="24"/>
          <w:szCs w:val="24"/>
        </w:rPr>
        <w:t>19</w:t>
      </w:r>
      <w:r w:rsidRPr="00D755D0">
        <w:rPr>
          <w:rFonts w:ascii="Times New Roman" w:hAnsi="Times New Roman" w:cs="David"/>
          <w:sz w:val="24"/>
          <w:szCs w:val="24"/>
        </w:rPr>
        <w:t>80s</w:t>
      </w:r>
      <w:r>
        <w:rPr>
          <w:rFonts w:ascii="Times New Roman" w:hAnsi="Times New Roman" w:cs="David"/>
          <w:sz w:val="24"/>
          <w:szCs w:val="24"/>
        </w:rPr>
        <w:t>,</w:t>
      </w:r>
      <w:r w:rsidRPr="00D755D0">
        <w:rPr>
          <w:rFonts w:ascii="Times New Roman" w:hAnsi="Times New Roman" w:cs="David"/>
          <w:sz w:val="24"/>
          <w:szCs w:val="24"/>
        </w:rPr>
        <w:t xml:space="preserve"> </w:t>
      </w:r>
      <w:r>
        <w:rPr>
          <w:rFonts w:ascii="Times New Roman" w:hAnsi="Times New Roman" w:cs="David"/>
          <w:sz w:val="24"/>
          <w:szCs w:val="24"/>
        </w:rPr>
        <w:t xml:space="preserve">with </w:t>
      </w:r>
      <w:r w:rsidRPr="00D755D0">
        <w:rPr>
          <w:rFonts w:ascii="Times New Roman" w:hAnsi="Times New Roman" w:cs="David"/>
          <w:sz w:val="24"/>
          <w:szCs w:val="24"/>
        </w:rPr>
        <w:t>currencies that display</w:t>
      </w:r>
      <w:r>
        <w:rPr>
          <w:rFonts w:ascii="Times New Roman" w:hAnsi="Times New Roman" w:cs="David"/>
          <w:sz w:val="24"/>
          <w:szCs w:val="24"/>
        </w:rPr>
        <w:t>ed</w:t>
      </w:r>
      <w:r w:rsidRPr="00D755D0">
        <w:rPr>
          <w:rFonts w:ascii="Times New Roman" w:hAnsi="Times New Roman" w:cs="David"/>
          <w:sz w:val="24"/>
          <w:szCs w:val="24"/>
        </w:rPr>
        <w:t xml:space="preserve"> high inflation </w:t>
      </w:r>
      <w:r>
        <w:rPr>
          <w:rFonts w:ascii="Times New Roman" w:hAnsi="Times New Roman" w:cs="David"/>
          <w:sz w:val="24"/>
          <w:szCs w:val="24"/>
        </w:rPr>
        <w:t xml:space="preserve">being </w:t>
      </w:r>
      <w:r w:rsidRPr="00D755D0">
        <w:rPr>
          <w:rFonts w:ascii="Times New Roman" w:hAnsi="Times New Roman" w:cs="David"/>
          <w:sz w:val="24"/>
          <w:szCs w:val="24"/>
        </w:rPr>
        <w:t>replaced as medium</w:t>
      </w:r>
      <w:r>
        <w:rPr>
          <w:rFonts w:ascii="Times New Roman" w:hAnsi="Times New Roman" w:cs="David"/>
          <w:sz w:val="24"/>
          <w:szCs w:val="24"/>
        </w:rPr>
        <w:t xml:space="preserve"> of exchange by currencies such as </w:t>
      </w:r>
      <w:r w:rsidRPr="00D755D0">
        <w:rPr>
          <w:rFonts w:ascii="Times New Roman" w:hAnsi="Times New Roman" w:cs="David"/>
          <w:sz w:val="24"/>
          <w:szCs w:val="24"/>
        </w:rPr>
        <w:t xml:space="preserve">the </w:t>
      </w:r>
      <w:r>
        <w:rPr>
          <w:rFonts w:ascii="Times New Roman" w:hAnsi="Times New Roman" w:cs="David"/>
          <w:sz w:val="24"/>
          <w:szCs w:val="24"/>
        </w:rPr>
        <w:t xml:space="preserve">US </w:t>
      </w:r>
      <w:r w:rsidRPr="00D755D0">
        <w:rPr>
          <w:rFonts w:ascii="Times New Roman" w:hAnsi="Times New Roman" w:cs="David"/>
          <w:sz w:val="24"/>
          <w:szCs w:val="24"/>
        </w:rPr>
        <w:t>dollar</w:t>
      </w:r>
      <w:r>
        <w:rPr>
          <w:rFonts w:ascii="Times New Roman" w:hAnsi="Times New Roman" w:cs="David"/>
          <w:sz w:val="24"/>
          <w:szCs w:val="24"/>
        </w:rPr>
        <w:t xml:space="preserve"> that had</w:t>
      </w:r>
      <w:r w:rsidRPr="00D755D0">
        <w:rPr>
          <w:rFonts w:ascii="Times New Roman" w:hAnsi="Times New Roman" w:cs="David"/>
          <w:sz w:val="24"/>
          <w:szCs w:val="24"/>
        </w:rPr>
        <w:t xml:space="preserve"> earned a reputation for being relatively successful in maintaining their purchasing power over time. The pros and cons focused on the viability/inefficiency of adopting foreign currency as a </w:t>
      </w:r>
      <w:r>
        <w:rPr>
          <w:rFonts w:ascii="Times New Roman" w:hAnsi="Times New Roman" w:cs="David"/>
          <w:sz w:val="24"/>
          <w:szCs w:val="24"/>
        </w:rPr>
        <w:t>substitute for local currency. P</w:t>
      </w:r>
      <w:r w:rsidRPr="00D755D0">
        <w:rPr>
          <w:rFonts w:ascii="Times New Roman" w:hAnsi="Times New Roman" w:cs="David"/>
          <w:sz w:val="24"/>
          <w:szCs w:val="24"/>
        </w:rPr>
        <w:t xml:space="preserve">romoting the use of local currency gives the government another way to collect taxes and the possibility to respond to exogenous shocks. </w:t>
      </w:r>
      <w:r>
        <w:rPr>
          <w:rFonts w:ascii="Times New Roman" w:hAnsi="Times New Roman" w:cs="David"/>
          <w:sz w:val="24"/>
          <w:szCs w:val="24"/>
        </w:rPr>
        <w:t xml:space="preserve">However, </w:t>
      </w:r>
      <w:r w:rsidRPr="00D755D0">
        <w:rPr>
          <w:rFonts w:ascii="Times New Roman" w:hAnsi="Times New Roman" w:cs="David"/>
          <w:sz w:val="24"/>
          <w:szCs w:val="24"/>
        </w:rPr>
        <w:t xml:space="preserve">such additional freedom invites a surplus reliance on inflation tax. Thus, extreme measures against the use of domestic currency, such as "dollarization" control, may </w:t>
      </w:r>
      <w:r>
        <w:rPr>
          <w:rFonts w:ascii="Times New Roman" w:hAnsi="Times New Roman" w:cs="David"/>
          <w:sz w:val="24"/>
          <w:szCs w:val="24"/>
        </w:rPr>
        <w:t xml:space="preserve">provide </w:t>
      </w:r>
      <w:r w:rsidRPr="00D755D0">
        <w:rPr>
          <w:rFonts w:ascii="Times New Roman" w:hAnsi="Times New Roman" w:cs="David"/>
          <w:sz w:val="24"/>
          <w:szCs w:val="24"/>
        </w:rPr>
        <w:t>at least temporary relief a</w:t>
      </w:r>
      <w:r>
        <w:rPr>
          <w:rFonts w:ascii="Times New Roman" w:hAnsi="Times New Roman" w:cs="David"/>
          <w:sz w:val="24"/>
          <w:szCs w:val="24"/>
        </w:rPr>
        <w:t>gainst inflation. However, they</w:t>
      </w:r>
      <w:r w:rsidRPr="00D755D0">
        <w:rPr>
          <w:rFonts w:ascii="Times New Roman" w:hAnsi="Times New Roman" w:cs="David"/>
          <w:sz w:val="24"/>
          <w:szCs w:val="24"/>
        </w:rPr>
        <w:t xml:space="preserve"> argued that full dollarization without the "lender of last resort" function could make the local banking system vulnerable,</w:t>
      </w:r>
      <w:r>
        <w:rPr>
          <w:rFonts w:ascii="Times New Roman" w:hAnsi="Times New Roman" w:cs="David"/>
          <w:sz w:val="24"/>
          <w:szCs w:val="24"/>
        </w:rPr>
        <w:t xml:space="preserve"> if such a system was </w:t>
      </w:r>
      <w:r w:rsidRPr="006C1596">
        <w:rPr>
          <w:rFonts w:ascii="Times New Roman" w:hAnsi="Times New Roman" w:cs="David"/>
          <w:sz w:val="24"/>
          <w:szCs w:val="24"/>
        </w:rPr>
        <w:t>not abando</w:t>
      </w:r>
      <w:r>
        <w:rPr>
          <w:rFonts w:ascii="Times New Roman" w:hAnsi="Times New Roman" w:cs="David"/>
          <w:sz w:val="24"/>
          <w:szCs w:val="24"/>
        </w:rPr>
        <w:t>ned when the actual limit of a full-dollar run on banks was</w:t>
      </w:r>
      <w:r w:rsidRPr="006C1596">
        <w:rPr>
          <w:rFonts w:ascii="Times New Roman" w:hAnsi="Times New Roman" w:cs="David"/>
          <w:sz w:val="24"/>
          <w:szCs w:val="24"/>
        </w:rPr>
        <w:t xml:space="preserve"> likely to lead to a deep financial crisis.</w:t>
      </w:r>
      <w:r>
        <w:rPr>
          <w:rFonts w:ascii="Times New Roman" w:hAnsi="Times New Roman" w:cs="David"/>
          <w:sz w:val="24"/>
          <w:szCs w:val="24"/>
        </w:rPr>
        <w:t xml:space="preserve"> According to Mundell (1997), a </w:t>
      </w:r>
      <w:r>
        <w:rPr>
          <w:rFonts w:ascii="Times New Roman" w:hAnsi="Times New Roman" w:cs="David"/>
          <w:i/>
          <w:iCs/>
          <w:sz w:val="24"/>
          <w:szCs w:val="24"/>
        </w:rPr>
        <w:t>C</w:t>
      </w:r>
      <w:r w:rsidRPr="00A41469">
        <w:rPr>
          <w:rFonts w:ascii="Times New Roman" w:hAnsi="Times New Roman" w:cs="David"/>
          <w:i/>
          <w:iCs/>
          <w:sz w:val="24"/>
          <w:szCs w:val="24"/>
        </w:rPr>
        <w:t xml:space="preserve">urrency </w:t>
      </w:r>
      <w:r>
        <w:rPr>
          <w:rFonts w:ascii="Times New Roman" w:hAnsi="Times New Roman" w:cs="David"/>
          <w:i/>
          <w:iCs/>
          <w:sz w:val="24"/>
          <w:szCs w:val="24"/>
        </w:rPr>
        <w:t>B</w:t>
      </w:r>
      <w:r w:rsidRPr="00A41469">
        <w:rPr>
          <w:rFonts w:ascii="Times New Roman" w:hAnsi="Times New Roman" w:cs="David"/>
          <w:i/>
          <w:iCs/>
          <w:sz w:val="24"/>
          <w:szCs w:val="24"/>
        </w:rPr>
        <w:t>oard</w:t>
      </w:r>
      <w:r>
        <w:rPr>
          <w:rFonts w:ascii="Times New Roman" w:hAnsi="Times New Roman" w:cs="David"/>
          <w:i/>
          <w:iCs/>
          <w:sz w:val="24"/>
          <w:szCs w:val="24"/>
        </w:rPr>
        <w:t xml:space="preserve"> </w:t>
      </w:r>
      <w:r w:rsidRPr="009F1886">
        <w:rPr>
          <w:rFonts w:ascii="Times New Roman" w:hAnsi="Times New Roman" w:cs="David"/>
          <w:i/>
          <w:iCs/>
          <w:sz w:val="24"/>
          <w:szCs w:val="24"/>
        </w:rPr>
        <w:t>Arrangement</w:t>
      </w:r>
      <w:r>
        <w:rPr>
          <w:rFonts w:ascii="Times New Roman" w:hAnsi="Times New Roman" w:cs="David"/>
          <w:sz w:val="24"/>
          <w:szCs w:val="24"/>
        </w:rPr>
        <w:t xml:space="preserve"> (CBA) represents an ideal monetary arrangement for a small country economically close to a large one, with a stable inflation rate that is compatible with domestic i</w:t>
      </w:r>
      <w:r w:rsidRPr="009F1886">
        <w:rPr>
          <w:rFonts w:ascii="Times New Roman" w:hAnsi="Times New Roman" w:cs="David"/>
          <w:sz w:val="24"/>
          <w:szCs w:val="24"/>
        </w:rPr>
        <w:t>nflation preferences.</w:t>
      </w:r>
      <w:r w:rsidRPr="00542B8F">
        <w:rPr>
          <w:rFonts w:ascii="Times New Roman" w:hAnsi="Times New Roman" w:cs="David"/>
          <w:sz w:val="24"/>
          <w:szCs w:val="24"/>
        </w:rPr>
        <w:t xml:space="preserve"> </w:t>
      </w:r>
      <w:r>
        <w:rPr>
          <w:rFonts w:ascii="Times New Roman" w:hAnsi="Times New Roman" w:cs="David"/>
          <w:sz w:val="24"/>
          <w:szCs w:val="24"/>
        </w:rPr>
        <w:t xml:space="preserve">In a CBA, </w:t>
      </w:r>
      <w:r w:rsidRPr="009F1886">
        <w:rPr>
          <w:rFonts w:ascii="Times New Roman" w:hAnsi="Times New Roman" w:cs="David"/>
          <w:sz w:val="24"/>
          <w:szCs w:val="24"/>
        </w:rPr>
        <w:t>central bank money is completely backed by foreign exchange reserve</w:t>
      </w:r>
      <w:r>
        <w:rPr>
          <w:rFonts w:ascii="Times New Roman" w:hAnsi="Times New Roman" w:cs="David"/>
          <w:sz w:val="24"/>
          <w:szCs w:val="24"/>
        </w:rPr>
        <w:t>s (pure CBA)</w:t>
      </w:r>
      <w:r w:rsidRPr="009F1886">
        <w:rPr>
          <w:rFonts w:ascii="Times New Roman" w:hAnsi="Times New Roman" w:cs="David"/>
          <w:sz w:val="24"/>
          <w:szCs w:val="24"/>
        </w:rPr>
        <w:t>.</w:t>
      </w:r>
      <w:r>
        <w:rPr>
          <w:rFonts w:ascii="Times New Roman" w:hAnsi="Times New Roman" w:cs="David"/>
          <w:sz w:val="24"/>
          <w:szCs w:val="24"/>
        </w:rPr>
        <w:t xml:space="preserve"> A </w:t>
      </w:r>
      <w:r w:rsidRPr="009F1886">
        <w:rPr>
          <w:rFonts w:ascii="Times New Roman" w:hAnsi="Times New Roman" w:cs="David"/>
          <w:sz w:val="24"/>
          <w:szCs w:val="24"/>
        </w:rPr>
        <w:t>CBA</w:t>
      </w:r>
      <w:r>
        <w:rPr>
          <w:rFonts w:ascii="Times New Roman" w:hAnsi="Times New Roman" w:cs="David"/>
          <w:sz w:val="24"/>
          <w:szCs w:val="24"/>
        </w:rPr>
        <w:t xml:space="preserve"> is </w:t>
      </w:r>
      <w:r w:rsidRPr="009F1886">
        <w:rPr>
          <w:rFonts w:ascii="Times New Roman" w:hAnsi="Times New Roman" w:cs="David"/>
          <w:sz w:val="24"/>
          <w:szCs w:val="24"/>
        </w:rPr>
        <w:t>the tightest form of fixed exchange rates</w:t>
      </w:r>
      <w:r>
        <w:rPr>
          <w:rFonts w:ascii="Times New Roman" w:hAnsi="Times New Roman" w:cs="David"/>
          <w:sz w:val="24"/>
          <w:szCs w:val="24"/>
        </w:rPr>
        <w:t>,</w:t>
      </w:r>
      <w:r w:rsidRPr="009F1886">
        <w:rPr>
          <w:rFonts w:ascii="Times New Roman" w:hAnsi="Times New Roman" w:cs="David"/>
          <w:sz w:val="24"/>
          <w:szCs w:val="24"/>
        </w:rPr>
        <w:t xml:space="preserve"> short of entering a complete monetary union</w:t>
      </w:r>
      <w:r>
        <w:rPr>
          <w:rFonts w:ascii="Times New Roman" w:hAnsi="Times New Roman" w:cs="David"/>
          <w:sz w:val="24"/>
          <w:szCs w:val="24"/>
        </w:rPr>
        <w:t xml:space="preserve">; it falls short with regard to </w:t>
      </w:r>
      <w:r w:rsidRPr="009F1886">
        <w:rPr>
          <w:rFonts w:ascii="Times New Roman" w:hAnsi="Times New Roman" w:cs="David"/>
          <w:sz w:val="24"/>
          <w:szCs w:val="24"/>
        </w:rPr>
        <w:t>preserv</w:t>
      </w:r>
      <w:r>
        <w:rPr>
          <w:rFonts w:ascii="Times New Roman" w:hAnsi="Times New Roman" w:cs="David"/>
          <w:sz w:val="24"/>
          <w:szCs w:val="24"/>
        </w:rPr>
        <w:t>ing</w:t>
      </w:r>
      <w:r w:rsidRPr="009F1886">
        <w:rPr>
          <w:rFonts w:ascii="Times New Roman" w:hAnsi="Times New Roman" w:cs="David"/>
          <w:sz w:val="24"/>
          <w:szCs w:val="24"/>
        </w:rPr>
        <w:t xml:space="preserve"> the national currency, and it leaves</w:t>
      </w:r>
      <w:r>
        <w:rPr>
          <w:rFonts w:ascii="Times New Roman" w:hAnsi="Times New Roman" w:cs="David"/>
          <w:sz w:val="24"/>
          <w:szCs w:val="24"/>
        </w:rPr>
        <w:t xml:space="preserve"> open</w:t>
      </w:r>
      <w:r w:rsidRPr="009F1886">
        <w:rPr>
          <w:rFonts w:ascii="Times New Roman" w:hAnsi="Times New Roman" w:cs="David"/>
          <w:sz w:val="24"/>
          <w:szCs w:val="24"/>
        </w:rPr>
        <w:t xml:space="preserve"> the option that the CBA may be altered if needed </w:t>
      </w:r>
      <w:r>
        <w:rPr>
          <w:rFonts w:ascii="Times New Roman" w:hAnsi="Times New Roman" w:cs="David"/>
          <w:sz w:val="24"/>
          <w:szCs w:val="24"/>
        </w:rPr>
        <w:t xml:space="preserve">in </w:t>
      </w:r>
      <w:r w:rsidRPr="009F1886">
        <w:rPr>
          <w:rFonts w:ascii="Times New Roman" w:hAnsi="Times New Roman" w:cs="David"/>
          <w:sz w:val="24"/>
          <w:szCs w:val="24"/>
        </w:rPr>
        <w:t xml:space="preserve">the future. CBA can produce all or most of the conditions of economic convergence that would be obtained by a monetary union without the political integration implied by a monetary union. </w:t>
      </w:r>
    </w:p>
    <w:p w14:paraId="2F722F73" w14:textId="5654FA3D" w:rsidR="00934429" w:rsidRDefault="00934429" w:rsidP="00934429">
      <w:pPr>
        <w:bidi w:val="0"/>
        <w:spacing w:line="480" w:lineRule="auto"/>
        <w:ind w:left="360" w:firstLine="360"/>
        <w:jc w:val="both"/>
        <w:rPr>
          <w:rFonts w:asciiTheme="majorBidi" w:hAnsiTheme="majorBidi" w:cstheme="majorBidi"/>
          <w:sz w:val="24"/>
          <w:szCs w:val="24"/>
        </w:rPr>
      </w:pPr>
      <w:r w:rsidRPr="0C718948">
        <w:rPr>
          <w:rFonts w:asciiTheme="majorBidi" w:hAnsiTheme="majorBidi" w:cstheme="majorBidi"/>
          <w:sz w:val="24"/>
          <w:szCs w:val="24"/>
        </w:rPr>
        <w:t xml:space="preserve">The case of Israel and the West Bank and Gaza strip (WBG) economic ties will be examined in our </w:t>
      </w:r>
      <w:r w:rsidR="009954AE">
        <w:rPr>
          <w:rFonts w:asciiTheme="majorBidi" w:hAnsiTheme="majorBidi" w:cstheme="majorBidi"/>
          <w:sz w:val="24"/>
          <w:szCs w:val="24"/>
        </w:rPr>
        <w:t>work</w:t>
      </w:r>
      <w:r w:rsidRPr="0C718948">
        <w:rPr>
          <w:rFonts w:asciiTheme="majorBidi" w:hAnsiTheme="majorBidi" w:cstheme="majorBidi"/>
          <w:sz w:val="24"/>
          <w:szCs w:val="24"/>
        </w:rPr>
        <w:t>. Over the years, the degree of economic integration between the economies has varied -- mainly as a result of geopolitical conflicts, and economic agreements -- a process reflected in trade, labor, monetary and financial</w:t>
      </w:r>
      <w:r w:rsidR="007850FA">
        <w:rPr>
          <w:rFonts w:asciiTheme="majorBidi" w:hAnsiTheme="majorBidi" w:cstheme="majorBidi"/>
          <w:sz w:val="24"/>
          <w:szCs w:val="24"/>
        </w:rPr>
        <w:t xml:space="preserve"> processes</w:t>
      </w:r>
      <w:r w:rsidRPr="0C718948">
        <w:rPr>
          <w:rFonts w:asciiTheme="majorBidi" w:hAnsiTheme="majorBidi" w:cstheme="majorBidi"/>
          <w:sz w:val="24"/>
          <w:szCs w:val="24"/>
        </w:rPr>
        <w:t xml:space="preserve">, and movement of population. Due to the importance of economic ties with Israel, the Israeli shekel (NIS) is one of the main currencies used by businesses and consumers in the Palestinian economy in day-to-day trading. Our aim is to measure </w:t>
      </w:r>
      <w:r w:rsidR="00E82776">
        <w:rPr>
          <w:rFonts w:asciiTheme="majorBidi" w:hAnsiTheme="majorBidi" w:cstheme="majorBidi"/>
          <w:sz w:val="24"/>
          <w:szCs w:val="24"/>
        </w:rPr>
        <w:t>–</w:t>
      </w:r>
      <w:r w:rsidRPr="0C718948">
        <w:rPr>
          <w:rFonts w:asciiTheme="majorBidi" w:hAnsiTheme="majorBidi" w:cstheme="majorBidi"/>
          <w:sz w:val="24"/>
          <w:szCs w:val="24"/>
        </w:rPr>
        <w:t xml:space="preserve"> </w:t>
      </w:r>
      <w:r w:rsidR="00E82776">
        <w:rPr>
          <w:rFonts w:asciiTheme="majorBidi" w:hAnsiTheme="majorBidi" w:cstheme="majorBidi"/>
          <w:sz w:val="24"/>
          <w:szCs w:val="24"/>
        </w:rPr>
        <w:t xml:space="preserve">both </w:t>
      </w:r>
      <w:r w:rsidRPr="0C718948">
        <w:rPr>
          <w:rFonts w:asciiTheme="majorBidi" w:hAnsiTheme="majorBidi" w:cstheme="majorBidi"/>
          <w:sz w:val="24"/>
          <w:szCs w:val="24"/>
        </w:rPr>
        <w:t>qualitative</w:t>
      </w:r>
      <w:r w:rsidR="00E82776">
        <w:rPr>
          <w:rFonts w:asciiTheme="majorBidi" w:hAnsiTheme="majorBidi" w:cstheme="majorBidi"/>
          <w:sz w:val="24"/>
          <w:szCs w:val="24"/>
        </w:rPr>
        <w:t>ly</w:t>
      </w:r>
      <w:r w:rsidRPr="0C718948">
        <w:rPr>
          <w:rFonts w:asciiTheme="majorBidi" w:hAnsiTheme="majorBidi" w:cstheme="majorBidi"/>
          <w:sz w:val="24"/>
          <w:szCs w:val="24"/>
        </w:rPr>
        <w:t xml:space="preserve"> and quantitative</w:t>
      </w:r>
      <w:r w:rsidR="00E82776">
        <w:rPr>
          <w:rFonts w:asciiTheme="majorBidi" w:hAnsiTheme="majorBidi" w:cstheme="majorBidi"/>
          <w:sz w:val="24"/>
          <w:szCs w:val="24"/>
        </w:rPr>
        <w:t>ly</w:t>
      </w:r>
      <w:r w:rsidRPr="0C718948">
        <w:rPr>
          <w:rFonts w:asciiTheme="majorBidi" w:hAnsiTheme="majorBidi" w:cstheme="majorBidi"/>
          <w:sz w:val="24"/>
          <w:szCs w:val="24"/>
        </w:rPr>
        <w:t xml:space="preserve"> -- the level of </w:t>
      </w:r>
      <w:r>
        <w:rPr>
          <w:rFonts w:asciiTheme="majorBidi" w:hAnsiTheme="majorBidi" w:cstheme="majorBidi"/>
          <w:sz w:val="24"/>
          <w:szCs w:val="24"/>
        </w:rPr>
        <w:t xml:space="preserve">economic </w:t>
      </w:r>
      <w:r w:rsidRPr="0C718948">
        <w:rPr>
          <w:rFonts w:asciiTheme="majorBidi" w:hAnsiTheme="majorBidi" w:cstheme="majorBidi"/>
          <w:sz w:val="24"/>
          <w:szCs w:val="24"/>
        </w:rPr>
        <w:t>integration between Israel and the WBG over a period of</w:t>
      </w:r>
      <w:r w:rsidR="00A50240">
        <w:rPr>
          <w:rFonts w:asciiTheme="majorBidi" w:hAnsiTheme="majorBidi" w:cstheme="majorBidi"/>
          <w:sz w:val="24"/>
          <w:szCs w:val="24"/>
        </w:rPr>
        <w:t xml:space="preserve"> the last</w:t>
      </w:r>
      <w:r w:rsidRPr="0C718948">
        <w:rPr>
          <w:rFonts w:asciiTheme="majorBidi" w:hAnsiTheme="majorBidi" w:cstheme="majorBidi"/>
          <w:sz w:val="24"/>
          <w:szCs w:val="24"/>
        </w:rPr>
        <w:t xml:space="preserve"> 100 years. </w:t>
      </w:r>
    </w:p>
    <w:p w14:paraId="4A93124A" w14:textId="77777777" w:rsidR="00934429" w:rsidRPr="00531781" w:rsidRDefault="00934429" w:rsidP="00934429">
      <w:pPr>
        <w:bidi w:val="0"/>
        <w:spacing w:line="480" w:lineRule="auto"/>
        <w:ind w:left="360" w:firstLine="360"/>
        <w:jc w:val="both"/>
        <w:rPr>
          <w:rFonts w:asciiTheme="majorBidi" w:hAnsiTheme="majorBidi" w:cstheme="majorBidi"/>
          <w:sz w:val="24"/>
          <w:szCs w:val="24"/>
        </w:rPr>
      </w:pPr>
      <w:r>
        <w:rPr>
          <w:rFonts w:asciiTheme="majorBidi" w:hAnsiTheme="majorBidi" w:cstheme="majorBidi"/>
          <w:sz w:val="24"/>
          <w:szCs w:val="24"/>
        </w:rPr>
        <w:t>While economics is our prime focus, w</w:t>
      </w:r>
      <w:r w:rsidRPr="00E46643">
        <w:rPr>
          <w:rFonts w:asciiTheme="majorBidi" w:hAnsiTheme="majorBidi" w:cstheme="majorBidi"/>
          <w:sz w:val="24"/>
          <w:szCs w:val="24"/>
        </w:rPr>
        <w:t>e cannot completely ignore the geopolitical situation and the aspirations associated with it</w:t>
      </w:r>
      <w:r>
        <w:rPr>
          <w:rFonts w:asciiTheme="majorBidi" w:hAnsiTheme="majorBidi" w:cstheme="majorBidi"/>
          <w:sz w:val="24"/>
          <w:szCs w:val="24"/>
        </w:rPr>
        <w:t xml:space="preserve">.  </w:t>
      </w:r>
      <w:r w:rsidRPr="00531781">
        <w:rPr>
          <w:rFonts w:ascii="Times New Roman" w:hAnsi="Times New Roman" w:cs="David"/>
          <w:sz w:val="24"/>
          <w:szCs w:val="24"/>
        </w:rPr>
        <w:t xml:space="preserve">According to Gross (2000), the argument between those who promote the cause of economic integration in the Middle East and the proponents of economic separation between Israelis and Palestinians reflects, to a large extent, the duality of national sovereignty and independence versus advantages derived from trade liberalization. </w:t>
      </w:r>
    </w:p>
    <w:p w14:paraId="07316D9D" w14:textId="64DA397B" w:rsidR="00934429" w:rsidRPr="00531781" w:rsidRDefault="00934429" w:rsidP="00934429">
      <w:pPr>
        <w:pStyle w:val="ListParagraph"/>
        <w:bidi w:val="0"/>
        <w:spacing w:line="480" w:lineRule="auto"/>
        <w:ind w:left="360"/>
        <w:jc w:val="both"/>
        <w:rPr>
          <w:rFonts w:ascii="Times New Roman" w:hAnsi="Times New Roman" w:cs="David"/>
          <w:sz w:val="24"/>
          <w:szCs w:val="24"/>
        </w:rPr>
      </w:pPr>
      <w:proofErr w:type="spellStart"/>
      <w:r w:rsidRPr="00531781">
        <w:rPr>
          <w:rFonts w:ascii="Times New Roman" w:hAnsi="Times New Roman" w:cs="David"/>
          <w:sz w:val="24"/>
          <w:szCs w:val="24"/>
        </w:rPr>
        <w:t>Arnon</w:t>
      </w:r>
      <w:proofErr w:type="spellEnd"/>
      <w:r w:rsidRPr="00531781">
        <w:rPr>
          <w:rFonts w:ascii="Times New Roman" w:hAnsi="Times New Roman" w:cs="David"/>
          <w:sz w:val="24"/>
          <w:szCs w:val="24"/>
        </w:rPr>
        <w:t xml:space="preserve"> and </w:t>
      </w:r>
      <w:proofErr w:type="spellStart"/>
      <w:r w:rsidRPr="00531781">
        <w:rPr>
          <w:rFonts w:ascii="Times New Roman" w:hAnsi="Times New Roman" w:cs="David"/>
          <w:sz w:val="24"/>
          <w:szCs w:val="24"/>
        </w:rPr>
        <w:t>Weinblatt</w:t>
      </w:r>
      <w:proofErr w:type="spellEnd"/>
      <w:r w:rsidRPr="00531781">
        <w:rPr>
          <w:rFonts w:ascii="Times New Roman" w:hAnsi="Times New Roman" w:cs="David"/>
          <w:sz w:val="24"/>
          <w:szCs w:val="24"/>
        </w:rPr>
        <w:t xml:space="preserve"> (2001) discuss the trade-offs between sovereignty and prosperity, with regard to the Israeli-Palestinian mechanism, and argue for the establishment of economic borders and a regime characterized by less-than-full integration and propose that such an arrangement might constitute a better macroeconomic environment than one with complete economic integration.</w:t>
      </w:r>
      <w:r w:rsidR="00402143">
        <w:rPr>
          <w:rFonts w:ascii="Times New Roman" w:hAnsi="Times New Roman" w:cs="David"/>
          <w:sz w:val="24"/>
          <w:szCs w:val="24"/>
        </w:rPr>
        <w:t xml:space="preserve"> </w:t>
      </w:r>
    </w:p>
    <w:p w14:paraId="0E46D384" w14:textId="77777777" w:rsidR="00934429" w:rsidRPr="00531781" w:rsidRDefault="00934429" w:rsidP="00934429">
      <w:pPr>
        <w:bidi w:val="0"/>
        <w:spacing w:line="480" w:lineRule="auto"/>
        <w:ind w:left="360"/>
        <w:jc w:val="both"/>
        <w:rPr>
          <w:rFonts w:ascii="Times New Roman" w:hAnsi="Times New Roman" w:cs="David"/>
          <w:sz w:val="24"/>
          <w:szCs w:val="24"/>
        </w:rPr>
      </w:pPr>
      <w:proofErr w:type="spellStart"/>
      <w:r w:rsidRPr="00531781">
        <w:rPr>
          <w:rFonts w:ascii="Times New Roman" w:hAnsi="Times New Roman" w:cs="David"/>
          <w:sz w:val="24"/>
          <w:szCs w:val="24"/>
        </w:rPr>
        <w:t>Arnon</w:t>
      </w:r>
      <w:proofErr w:type="spellEnd"/>
      <w:r w:rsidRPr="00531781">
        <w:rPr>
          <w:rFonts w:ascii="Times New Roman" w:hAnsi="Times New Roman" w:cs="David"/>
          <w:sz w:val="24"/>
          <w:szCs w:val="24"/>
        </w:rPr>
        <w:t xml:space="preserve"> (2007) examines the Israeli policies towards the WBG with all their twists, turns and reversals. He argues that since 1967, both before and after the Oslo process, Israeli policy was directed at preventing the ‘Two’, i.e. the division of the land into two states and two economic (and political) sovereign entities while also negating the ‘One’, i.e., the establishment of a single political and economic entity. Although Israeli policy repudiated both the ‘Two’ and the ‘One’, it changed character and formulations from time to time.</w:t>
      </w:r>
    </w:p>
    <w:p w14:paraId="4120B1A6" w14:textId="0F62851E" w:rsidR="002F761E" w:rsidRPr="00B92356" w:rsidRDefault="00934429" w:rsidP="00B92356">
      <w:pPr>
        <w:bidi w:val="0"/>
        <w:spacing w:line="480" w:lineRule="auto"/>
        <w:ind w:left="360"/>
        <w:jc w:val="both"/>
        <w:rPr>
          <w:rFonts w:ascii="Times New Roman" w:eastAsiaTheme="minorEastAsia" w:hAnsi="Times New Roman" w:cs="Times New Roman"/>
          <w:sz w:val="24"/>
          <w:szCs w:val="24"/>
        </w:rPr>
        <w:sectPr w:rsidR="002F761E" w:rsidRPr="00B92356" w:rsidSect="00EC513F">
          <w:pgSz w:w="11906" w:h="16838"/>
          <w:pgMar w:top="1440" w:right="1800" w:bottom="1440" w:left="1800" w:header="708" w:footer="708" w:gutter="0"/>
          <w:cols w:space="708"/>
          <w:bidi/>
          <w:rtlGutter/>
          <w:docGrid w:linePitch="360"/>
        </w:sectPr>
      </w:pPr>
      <w:r w:rsidRPr="00AF4879">
        <w:rPr>
          <w:rFonts w:ascii="Times New Roman" w:eastAsiaTheme="minorHAnsi" w:hAnsi="Times New Roman" w:cs="Times New Roman"/>
          <w:sz w:val="24"/>
          <w:szCs w:val="24"/>
        </w:rPr>
        <w:t xml:space="preserve">Following this introductory section, Chapter </w:t>
      </w:r>
      <w:r>
        <w:rPr>
          <w:rFonts w:ascii="Times New Roman" w:eastAsiaTheme="minorHAnsi" w:hAnsi="Times New Roman" w:cs="Times New Roman"/>
          <w:sz w:val="24"/>
          <w:szCs w:val="24"/>
        </w:rPr>
        <w:t>2</w:t>
      </w:r>
      <w:r w:rsidRPr="00AF4879">
        <w:rPr>
          <w:rFonts w:ascii="Times New Roman" w:eastAsiaTheme="minorHAnsi" w:hAnsi="Times New Roman" w:cs="Times New Roman"/>
          <w:sz w:val="24"/>
          <w:szCs w:val="24"/>
        </w:rPr>
        <w:t xml:space="preserve"> presents a description of the geopolitical and economic history over 100 years with an emphasis on the level of</w:t>
      </w:r>
      <w:r>
        <w:rPr>
          <w:rFonts w:ascii="Times New Roman" w:eastAsiaTheme="minorHAnsi" w:hAnsi="Times New Roman" w:cs="Times New Roman"/>
          <w:sz w:val="24"/>
          <w:szCs w:val="24"/>
        </w:rPr>
        <w:t xml:space="preserve"> economic</w:t>
      </w:r>
      <w:r w:rsidRPr="00AF4879">
        <w:rPr>
          <w:rFonts w:ascii="Times New Roman" w:eastAsiaTheme="minorHAnsi" w:hAnsi="Times New Roman" w:cs="Times New Roman"/>
          <w:sz w:val="24"/>
          <w:szCs w:val="24"/>
        </w:rPr>
        <w:t xml:space="preserve"> integration between the region</w:t>
      </w:r>
      <w:r>
        <w:rPr>
          <w:rFonts w:ascii="Times New Roman" w:eastAsiaTheme="minorHAnsi" w:hAnsi="Times New Roman" w:cs="Times New Roman"/>
          <w:sz w:val="24"/>
          <w:szCs w:val="24"/>
        </w:rPr>
        <w:t xml:space="preserve"> of Israel and the WBG. </w:t>
      </w:r>
      <w:r>
        <w:rPr>
          <w:rFonts w:ascii="Times New Roman" w:hAnsi="Times New Roman" w:cs="David"/>
          <w:sz w:val="24"/>
          <w:szCs w:val="24"/>
        </w:rPr>
        <w:t xml:space="preserve">Our review begins with the British Mandate </w:t>
      </w:r>
      <w:r w:rsidR="0073082C">
        <w:rPr>
          <w:rFonts w:ascii="Times New Roman" w:hAnsi="Times New Roman" w:cs="David"/>
          <w:sz w:val="24"/>
          <w:szCs w:val="24"/>
        </w:rPr>
        <w:t>of</w:t>
      </w:r>
      <w:r>
        <w:rPr>
          <w:rFonts w:ascii="Times New Roman" w:hAnsi="Times New Roman" w:cs="David"/>
          <w:sz w:val="24"/>
          <w:szCs w:val="24"/>
        </w:rPr>
        <w:t xml:space="preserve"> Palestine (1922-1947), continues </w:t>
      </w:r>
      <w:r w:rsidR="00593586">
        <w:rPr>
          <w:rFonts w:ascii="Times New Roman" w:hAnsi="Times New Roman" w:cs="David"/>
          <w:sz w:val="24"/>
          <w:szCs w:val="24"/>
        </w:rPr>
        <w:t>over</w:t>
      </w:r>
      <w:r>
        <w:rPr>
          <w:rFonts w:ascii="Times New Roman" w:hAnsi="Times New Roman" w:cs="David"/>
          <w:sz w:val="24"/>
          <w:szCs w:val="24"/>
        </w:rPr>
        <w:t xml:space="preserve"> the period between the Wars (1948-1967), then </w:t>
      </w:r>
      <w:r w:rsidR="00593586">
        <w:rPr>
          <w:rFonts w:ascii="Times New Roman" w:hAnsi="Times New Roman" w:cs="David"/>
          <w:sz w:val="24"/>
          <w:szCs w:val="24"/>
        </w:rPr>
        <w:t>precedes</w:t>
      </w:r>
      <w:r w:rsidR="00FA4042">
        <w:rPr>
          <w:rFonts w:ascii="Times New Roman" w:hAnsi="Times New Roman" w:cs="David"/>
          <w:sz w:val="24"/>
          <w:szCs w:val="24"/>
        </w:rPr>
        <w:t xml:space="preserve"> to</w:t>
      </w:r>
      <w:r>
        <w:rPr>
          <w:rFonts w:ascii="Times New Roman" w:hAnsi="Times New Roman" w:cs="David"/>
          <w:sz w:val="24"/>
          <w:szCs w:val="24"/>
        </w:rPr>
        <w:t xml:space="preserve"> the period </w:t>
      </w:r>
      <w:r w:rsidR="00815675">
        <w:rPr>
          <w:rFonts w:ascii="Times New Roman" w:hAnsi="Times New Roman" w:cs="David"/>
          <w:sz w:val="24"/>
          <w:szCs w:val="24"/>
        </w:rPr>
        <w:t>when</w:t>
      </w:r>
      <w:r>
        <w:rPr>
          <w:rFonts w:ascii="Times New Roman" w:hAnsi="Times New Roman" w:cs="David"/>
          <w:sz w:val="24"/>
          <w:szCs w:val="24"/>
        </w:rPr>
        <w:t xml:space="preserve"> the</w:t>
      </w:r>
      <w:r w:rsidRPr="0020595B">
        <w:rPr>
          <w:rFonts w:ascii="Times New Roman" w:hAnsi="Times New Roman" w:cs="David"/>
          <w:sz w:val="24"/>
          <w:szCs w:val="24"/>
        </w:rPr>
        <w:t xml:space="preserve"> </w:t>
      </w:r>
      <w:r>
        <w:rPr>
          <w:rFonts w:ascii="Times New Roman" w:hAnsi="Times New Roman" w:cs="David"/>
          <w:sz w:val="24"/>
          <w:szCs w:val="24"/>
        </w:rPr>
        <w:t>WBG</w:t>
      </w:r>
      <w:r w:rsidRPr="0020595B">
        <w:rPr>
          <w:rFonts w:ascii="Times New Roman" w:hAnsi="Times New Roman" w:cs="David"/>
          <w:sz w:val="24"/>
          <w:szCs w:val="24"/>
        </w:rPr>
        <w:t xml:space="preserve"> came under Israeli control</w:t>
      </w:r>
      <w:r>
        <w:rPr>
          <w:rFonts w:ascii="Times New Roman" w:hAnsi="Times New Roman" w:cs="David"/>
          <w:sz w:val="24"/>
          <w:szCs w:val="24"/>
        </w:rPr>
        <w:t xml:space="preserve"> (1967-1993), </w:t>
      </w:r>
      <w:r w:rsidR="002A1EB7">
        <w:rPr>
          <w:rFonts w:ascii="Times New Roman" w:hAnsi="Times New Roman" w:cs="David"/>
          <w:sz w:val="24"/>
          <w:szCs w:val="24"/>
        </w:rPr>
        <w:t>then</w:t>
      </w:r>
      <w:r w:rsidR="00B54E80" w:rsidRPr="00B54E80">
        <w:rPr>
          <w:rFonts w:ascii="Times New Roman" w:hAnsi="Times New Roman" w:cs="David"/>
          <w:sz w:val="24"/>
          <w:szCs w:val="24"/>
        </w:rPr>
        <w:t xml:space="preserve"> </w:t>
      </w:r>
      <w:r w:rsidR="00B54E80">
        <w:rPr>
          <w:rFonts w:ascii="Times New Roman" w:hAnsi="Times New Roman" w:cs="David"/>
          <w:sz w:val="24"/>
          <w:szCs w:val="24"/>
        </w:rPr>
        <w:t>precedes</w:t>
      </w:r>
      <w:r w:rsidR="002A1EB7">
        <w:rPr>
          <w:rFonts w:ascii="Times New Roman" w:hAnsi="Times New Roman" w:cs="David"/>
          <w:sz w:val="24"/>
          <w:szCs w:val="24"/>
        </w:rPr>
        <w:t xml:space="preserve"> to</w:t>
      </w:r>
      <w:r w:rsidRPr="00F12FC0">
        <w:rPr>
          <w:rFonts w:ascii="Times New Roman" w:hAnsi="Times New Roman" w:cs="David"/>
          <w:sz w:val="24"/>
          <w:szCs w:val="24"/>
        </w:rPr>
        <w:t xml:space="preserve"> the period after the "Oslo Accords" (1994-20</w:t>
      </w:r>
      <w:r w:rsidR="008B1469">
        <w:rPr>
          <w:rFonts w:ascii="Times New Roman" w:hAnsi="Times New Roman" w:cs="David"/>
          <w:sz w:val="24"/>
          <w:szCs w:val="24"/>
        </w:rPr>
        <w:t>05</w:t>
      </w:r>
      <w:r w:rsidRPr="00F12FC0">
        <w:rPr>
          <w:rFonts w:ascii="Times New Roman" w:hAnsi="Times New Roman" w:cs="David"/>
          <w:sz w:val="24"/>
          <w:szCs w:val="24"/>
        </w:rPr>
        <w:t>)</w:t>
      </w:r>
      <w:r w:rsidR="008B1469">
        <w:rPr>
          <w:rFonts w:ascii="Times New Roman" w:hAnsi="Times New Roman" w:cs="David"/>
          <w:sz w:val="24"/>
          <w:szCs w:val="24"/>
        </w:rPr>
        <w:t xml:space="preserve">, </w:t>
      </w:r>
      <w:r w:rsidR="0019264F">
        <w:rPr>
          <w:rFonts w:ascii="Times New Roman" w:hAnsi="Times New Roman" w:cs="David"/>
          <w:sz w:val="24"/>
          <w:szCs w:val="24"/>
        </w:rPr>
        <w:t>a</w:t>
      </w:r>
      <w:r w:rsidR="0019264F" w:rsidRPr="00F12FC0">
        <w:rPr>
          <w:rFonts w:ascii="Times New Roman" w:hAnsi="Times New Roman" w:cs="David"/>
          <w:sz w:val="24"/>
          <w:szCs w:val="24"/>
        </w:rPr>
        <w:t>nd finally</w:t>
      </w:r>
      <w:r w:rsidR="002A1EB7">
        <w:rPr>
          <w:rFonts w:ascii="Times New Roman" w:hAnsi="Times New Roman" w:cs="David"/>
          <w:sz w:val="24"/>
          <w:szCs w:val="24"/>
        </w:rPr>
        <w:t xml:space="preserve"> </w:t>
      </w:r>
      <w:r w:rsidR="00765EF1">
        <w:rPr>
          <w:rFonts w:ascii="Times New Roman" w:hAnsi="Times New Roman" w:cs="David"/>
          <w:sz w:val="24"/>
          <w:szCs w:val="24"/>
        </w:rPr>
        <w:t xml:space="preserve">deals with </w:t>
      </w:r>
      <w:r w:rsidR="001040DB">
        <w:rPr>
          <w:rFonts w:ascii="Times New Roman" w:hAnsi="Times New Roman" w:cs="David"/>
          <w:sz w:val="24"/>
          <w:szCs w:val="24"/>
        </w:rPr>
        <w:t xml:space="preserve">the </w:t>
      </w:r>
      <w:r w:rsidR="008B1469" w:rsidRPr="002A1EB7">
        <w:rPr>
          <w:rFonts w:ascii="Times New Roman" w:hAnsi="Times New Roman" w:cs="David"/>
          <w:sz w:val="24"/>
          <w:szCs w:val="24"/>
        </w:rPr>
        <w:t>Israel</w:t>
      </w:r>
      <w:r w:rsidR="001040DB">
        <w:rPr>
          <w:rFonts w:ascii="Times New Roman" w:hAnsi="Times New Roman" w:cs="David"/>
          <w:sz w:val="24"/>
          <w:szCs w:val="24"/>
        </w:rPr>
        <w:t>i</w:t>
      </w:r>
      <w:r w:rsidR="008B1469" w:rsidRPr="002A1EB7">
        <w:rPr>
          <w:rFonts w:ascii="Times New Roman" w:hAnsi="Times New Roman" w:cs="David"/>
          <w:sz w:val="24"/>
          <w:szCs w:val="24"/>
        </w:rPr>
        <w:t xml:space="preserve"> </w:t>
      </w:r>
      <w:r w:rsidR="00A35464">
        <w:rPr>
          <w:rFonts w:ascii="Times New Roman" w:hAnsi="Times New Roman" w:cs="David"/>
          <w:sz w:val="24"/>
          <w:szCs w:val="24"/>
        </w:rPr>
        <w:t>d</w:t>
      </w:r>
      <w:r w:rsidR="008B1469" w:rsidRPr="002A1EB7">
        <w:rPr>
          <w:rFonts w:ascii="Times New Roman" w:hAnsi="Times New Roman" w:cs="David"/>
          <w:sz w:val="24"/>
          <w:szCs w:val="24"/>
        </w:rPr>
        <w:t>isengage</w:t>
      </w:r>
      <w:r w:rsidR="00C1388A">
        <w:rPr>
          <w:rFonts w:ascii="Times New Roman" w:hAnsi="Times New Roman" w:cs="David"/>
          <w:sz w:val="24"/>
          <w:szCs w:val="24"/>
        </w:rPr>
        <w:t>ment</w:t>
      </w:r>
      <w:r w:rsidR="008B1469" w:rsidRPr="002A1EB7">
        <w:rPr>
          <w:rFonts w:ascii="Times New Roman" w:hAnsi="Times New Roman" w:cs="David"/>
          <w:sz w:val="24"/>
          <w:szCs w:val="24"/>
        </w:rPr>
        <w:t xml:space="preserve"> from </w:t>
      </w:r>
      <w:r w:rsidR="001040DB">
        <w:rPr>
          <w:rFonts w:ascii="Times New Roman" w:hAnsi="Times New Roman" w:cs="David"/>
          <w:sz w:val="24"/>
          <w:szCs w:val="24"/>
        </w:rPr>
        <w:t xml:space="preserve">the </w:t>
      </w:r>
      <w:r w:rsidR="008B1469" w:rsidRPr="002A1EB7">
        <w:rPr>
          <w:rFonts w:ascii="Times New Roman" w:hAnsi="Times New Roman" w:cs="David"/>
          <w:sz w:val="24"/>
          <w:szCs w:val="24"/>
        </w:rPr>
        <w:t>Gaza</w:t>
      </w:r>
      <w:r w:rsidR="00530396">
        <w:rPr>
          <w:rFonts w:ascii="Times New Roman" w:hAnsi="Times New Roman" w:cs="David"/>
          <w:sz w:val="24"/>
          <w:szCs w:val="24"/>
        </w:rPr>
        <w:t xml:space="preserve"> strip</w:t>
      </w:r>
      <w:r w:rsidR="008B1469" w:rsidRPr="002A1EB7">
        <w:rPr>
          <w:rFonts w:ascii="Times New Roman" w:hAnsi="Times New Roman" w:cs="David"/>
          <w:sz w:val="24"/>
          <w:szCs w:val="24"/>
        </w:rPr>
        <w:t xml:space="preserve"> </w:t>
      </w:r>
      <w:r w:rsidR="00D25EAA" w:rsidRPr="00D25EAA">
        <w:rPr>
          <w:rFonts w:ascii="Times New Roman" w:hAnsi="Times New Roman" w:cs="David"/>
          <w:sz w:val="24"/>
          <w:szCs w:val="24"/>
        </w:rPr>
        <w:t xml:space="preserve">and its consequences </w:t>
      </w:r>
      <w:r w:rsidR="00A35464">
        <w:rPr>
          <w:rFonts w:ascii="Times New Roman" w:hAnsi="Times New Roman" w:cs="David"/>
          <w:sz w:val="24"/>
          <w:szCs w:val="24"/>
        </w:rPr>
        <w:t xml:space="preserve">(2005 </w:t>
      </w:r>
      <w:r w:rsidR="0051731C" w:rsidRPr="0051731C">
        <w:rPr>
          <w:rFonts w:ascii="Times New Roman" w:hAnsi="Times New Roman" w:cs="David"/>
          <w:sz w:val="24"/>
          <w:szCs w:val="24"/>
        </w:rPr>
        <w:t>onwards</w:t>
      </w:r>
      <w:r w:rsidR="0051731C">
        <w:rPr>
          <w:rFonts w:ascii="Times New Roman" w:hAnsi="Times New Roman" w:cs="David"/>
          <w:sz w:val="24"/>
          <w:szCs w:val="24"/>
        </w:rPr>
        <w:t>)</w:t>
      </w:r>
      <w:r w:rsidR="00A35464">
        <w:rPr>
          <w:rFonts w:ascii="Times New Roman" w:hAnsi="Times New Roman" w:cs="David"/>
          <w:sz w:val="24"/>
          <w:szCs w:val="24"/>
        </w:rPr>
        <w:t>.</w:t>
      </w:r>
      <w:r w:rsidR="006C5BCD">
        <w:rPr>
          <w:rFonts w:ascii="Times New Roman" w:hAnsi="Times New Roman" w:cs="David"/>
          <w:sz w:val="24"/>
          <w:szCs w:val="24"/>
        </w:rPr>
        <w:t xml:space="preserve"> </w:t>
      </w:r>
      <w:r w:rsidRPr="002A1EB7">
        <w:rPr>
          <w:rFonts w:ascii="Times New Roman" w:eastAsiaTheme="minorEastAsia" w:hAnsi="Times New Roman" w:cs="David"/>
          <w:sz w:val="24"/>
          <w:szCs w:val="24"/>
        </w:rPr>
        <w:t>Chapter 3 discusses</w:t>
      </w:r>
      <w:r w:rsidRPr="0C718948">
        <w:rPr>
          <w:rFonts w:ascii="Times New Roman" w:eastAsiaTheme="minorEastAsia" w:hAnsi="Times New Roman" w:cs="Times New Roman"/>
          <w:sz w:val="24"/>
          <w:szCs w:val="24"/>
        </w:rPr>
        <w:t xml:space="preserve"> the aspects of monetary integration between the region of Israel and the WBG </w:t>
      </w:r>
      <w:r w:rsidRPr="0C718948">
        <w:rPr>
          <w:rFonts w:asciiTheme="majorBidi" w:hAnsiTheme="majorBidi" w:cstheme="majorBidi"/>
          <w:sz w:val="24"/>
          <w:szCs w:val="24"/>
        </w:rPr>
        <w:t>and presents assessment of the amount of NIS cash in circulation in the WBG by using the E</w:t>
      </w:r>
      <w:r w:rsidR="001B322B">
        <w:rPr>
          <w:rFonts w:asciiTheme="majorBidi" w:hAnsiTheme="majorBidi" w:cstheme="majorBidi"/>
          <w:sz w:val="24"/>
          <w:szCs w:val="24"/>
        </w:rPr>
        <w:t>uropean Central Bank (E</w:t>
      </w:r>
      <w:r w:rsidRPr="0C718948">
        <w:rPr>
          <w:rFonts w:asciiTheme="majorBidi" w:hAnsiTheme="majorBidi" w:cstheme="majorBidi"/>
          <w:sz w:val="24"/>
          <w:szCs w:val="24"/>
        </w:rPr>
        <w:t>CB</w:t>
      </w:r>
      <w:r w:rsidR="001B322B">
        <w:rPr>
          <w:rFonts w:asciiTheme="majorBidi" w:hAnsiTheme="majorBidi" w:cstheme="majorBidi"/>
          <w:sz w:val="24"/>
          <w:szCs w:val="24"/>
        </w:rPr>
        <w:t>)</w:t>
      </w:r>
      <w:r w:rsidRPr="0C718948">
        <w:rPr>
          <w:rFonts w:asciiTheme="majorBidi" w:hAnsiTheme="majorBidi" w:cstheme="majorBidi"/>
          <w:sz w:val="24"/>
          <w:szCs w:val="24"/>
        </w:rPr>
        <w:t xml:space="preserve"> method of estimation of euro currency in circulation outside the euro area. </w:t>
      </w:r>
      <w:r w:rsidR="006C5BCD">
        <w:rPr>
          <w:rFonts w:asciiTheme="majorBidi" w:hAnsiTheme="majorBidi" w:cstheme="majorBidi"/>
          <w:sz w:val="24"/>
          <w:szCs w:val="24"/>
        </w:rPr>
        <w:t>In c</w:t>
      </w:r>
      <w:r w:rsidRPr="0C718948">
        <w:rPr>
          <w:rFonts w:ascii="Times New Roman" w:eastAsiaTheme="minorEastAsia" w:hAnsi="Times New Roman" w:cs="Times New Roman"/>
          <w:sz w:val="24"/>
          <w:szCs w:val="24"/>
        </w:rPr>
        <w:t xml:space="preserve">hapter 4 </w:t>
      </w:r>
      <w:r w:rsidR="006C5BCD">
        <w:rPr>
          <w:rFonts w:ascii="Times New Roman" w:eastAsiaTheme="minorHAnsi" w:hAnsi="Times New Roman" w:cs="Times New Roman"/>
          <w:sz w:val="24"/>
          <w:szCs w:val="24"/>
        </w:rPr>
        <w:t>we</w:t>
      </w:r>
      <w:r w:rsidR="006C5BCD" w:rsidRPr="005760EB">
        <w:rPr>
          <w:rFonts w:ascii="Times New Roman" w:eastAsiaTheme="minorHAnsi" w:hAnsi="Times New Roman" w:cs="Times New Roman"/>
          <w:sz w:val="24"/>
          <w:szCs w:val="24"/>
        </w:rPr>
        <w:t xml:space="preserve"> </w:t>
      </w:r>
      <w:r w:rsidR="006C5BCD">
        <w:rPr>
          <w:rFonts w:ascii="Times New Roman" w:eastAsiaTheme="minorHAnsi" w:hAnsi="Times New Roman" w:cs="Times New Roman"/>
          <w:sz w:val="24"/>
          <w:szCs w:val="24"/>
        </w:rPr>
        <w:t>develop</w:t>
      </w:r>
      <w:r w:rsidR="006C5BCD" w:rsidRPr="005760EB">
        <w:rPr>
          <w:rFonts w:ascii="Times New Roman" w:eastAsiaTheme="minorHAnsi" w:hAnsi="Times New Roman" w:cs="Times New Roman"/>
          <w:sz w:val="24"/>
          <w:szCs w:val="24"/>
        </w:rPr>
        <w:t xml:space="preserve"> the Israel-WBG integration index (I</w:t>
      </w:r>
      <w:r w:rsidR="006C5BCD">
        <w:rPr>
          <w:rFonts w:ascii="Times New Roman" w:eastAsiaTheme="minorHAnsi" w:hAnsi="Times New Roman" w:cs="Times New Roman"/>
          <w:sz w:val="24"/>
          <w:szCs w:val="24"/>
        </w:rPr>
        <w:t>SR-</w:t>
      </w:r>
      <w:r w:rsidR="006C5BCD" w:rsidRPr="005760EB">
        <w:rPr>
          <w:rFonts w:ascii="Times New Roman" w:eastAsiaTheme="minorHAnsi" w:hAnsi="Times New Roman" w:cs="Times New Roman"/>
          <w:sz w:val="24"/>
          <w:szCs w:val="24"/>
        </w:rPr>
        <w:t>WBG</w:t>
      </w:r>
      <w:r w:rsidR="006C5BCD">
        <w:rPr>
          <w:rFonts w:ascii="Times New Roman" w:eastAsiaTheme="minorHAnsi" w:hAnsi="Times New Roman" w:cs="Times New Roman"/>
          <w:sz w:val="24"/>
          <w:szCs w:val="24"/>
        </w:rPr>
        <w:t>-</w:t>
      </w:r>
      <w:r w:rsidR="006C5BCD" w:rsidRPr="005760EB">
        <w:rPr>
          <w:rFonts w:ascii="Times New Roman" w:eastAsiaTheme="minorHAnsi" w:hAnsi="Times New Roman" w:cs="Times New Roman"/>
          <w:sz w:val="24"/>
          <w:szCs w:val="24"/>
        </w:rPr>
        <w:t>II)</w:t>
      </w:r>
      <w:r w:rsidR="008F56E7">
        <w:rPr>
          <w:rFonts w:ascii="Times New Roman" w:eastAsiaTheme="minorHAnsi" w:hAnsi="Times New Roman" w:cs="Times New Roman"/>
          <w:sz w:val="24"/>
          <w:szCs w:val="24"/>
        </w:rPr>
        <w:t xml:space="preserve">, </w:t>
      </w:r>
      <w:r w:rsidR="006C5BCD">
        <w:rPr>
          <w:rFonts w:ascii="Times New Roman" w:eastAsiaTheme="minorHAnsi" w:hAnsi="Times New Roman" w:cs="Times New Roman"/>
          <w:sz w:val="24"/>
          <w:szCs w:val="24"/>
        </w:rPr>
        <w:t>present</w:t>
      </w:r>
      <w:r w:rsidR="006C5BCD" w:rsidRPr="005760EB">
        <w:rPr>
          <w:rFonts w:ascii="Times New Roman" w:eastAsiaTheme="minorHAnsi" w:hAnsi="Times New Roman" w:cs="Times New Roman"/>
          <w:sz w:val="24"/>
          <w:szCs w:val="24"/>
        </w:rPr>
        <w:t xml:space="preserve"> our dataset</w:t>
      </w:r>
      <w:r w:rsidR="000E334C">
        <w:rPr>
          <w:rFonts w:ascii="Times New Roman" w:eastAsiaTheme="minorHAnsi" w:hAnsi="Times New Roman" w:cs="Times New Roman"/>
          <w:sz w:val="24"/>
          <w:szCs w:val="24"/>
        </w:rPr>
        <w:t xml:space="preserve">, </w:t>
      </w:r>
      <w:r w:rsidR="006C5BCD" w:rsidRPr="005760EB">
        <w:rPr>
          <w:rFonts w:ascii="Times New Roman" w:eastAsiaTheme="minorHAnsi" w:hAnsi="Times New Roman" w:cs="Times New Roman"/>
          <w:sz w:val="24"/>
          <w:szCs w:val="24"/>
        </w:rPr>
        <w:t>data treatment</w:t>
      </w:r>
      <w:r w:rsidR="006C5BCD">
        <w:rPr>
          <w:rFonts w:ascii="Times New Roman" w:eastAsiaTheme="minorHAnsi" w:hAnsi="Times New Roman" w:cs="Times New Roman"/>
          <w:sz w:val="24"/>
          <w:szCs w:val="24"/>
        </w:rPr>
        <w:t xml:space="preserve"> and</w:t>
      </w:r>
      <w:r w:rsidR="006C5BCD" w:rsidRPr="005760EB">
        <w:rPr>
          <w:rFonts w:ascii="Times New Roman" w:eastAsiaTheme="minorHAnsi" w:hAnsi="Times New Roman" w:cs="Times New Roman"/>
          <w:sz w:val="24"/>
          <w:szCs w:val="24"/>
        </w:rPr>
        <w:t xml:space="preserve"> the methodology</w:t>
      </w:r>
      <w:r w:rsidR="006C5BCD">
        <w:rPr>
          <w:rFonts w:ascii="Times New Roman" w:eastAsiaTheme="minorHAnsi" w:hAnsi="Times New Roman" w:cs="Times New Roman"/>
          <w:sz w:val="24"/>
          <w:szCs w:val="24"/>
        </w:rPr>
        <w:t>. Finally,</w:t>
      </w:r>
      <w:r w:rsidR="006C5BCD" w:rsidRPr="005760EB">
        <w:rPr>
          <w:rFonts w:ascii="Times New Roman" w:eastAsiaTheme="minorHAnsi" w:hAnsi="Times New Roman" w:cs="Times New Roman"/>
          <w:sz w:val="24"/>
          <w:szCs w:val="24"/>
        </w:rPr>
        <w:t xml:space="preserve"> the results</w:t>
      </w:r>
      <w:r w:rsidR="006C5BCD">
        <w:rPr>
          <w:rFonts w:ascii="Times New Roman" w:eastAsiaTheme="minorHAnsi" w:hAnsi="Times New Roman" w:cs="Times New Roman"/>
          <w:sz w:val="24"/>
          <w:szCs w:val="24"/>
        </w:rPr>
        <w:t>,</w:t>
      </w:r>
      <w:r w:rsidR="006C5BCD" w:rsidRPr="005760EB">
        <w:rPr>
          <w:rFonts w:ascii="Times New Roman" w:eastAsiaTheme="minorHAnsi" w:hAnsi="Times New Roman" w:cs="Times New Roman"/>
          <w:sz w:val="24"/>
          <w:szCs w:val="24"/>
        </w:rPr>
        <w:t xml:space="preserve"> as well as Sub-indexes of the individual components of the index</w:t>
      </w:r>
      <w:r w:rsidR="006C5BCD">
        <w:rPr>
          <w:rFonts w:ascii="Times New Roman" w:eastAsiaTheme="minorHAnsi" w:hAnsi="Times New Roman" w:cs="Times New Roman"/>
          <w:sz w:val="24"/>
          <w:szCs w:val="24"/>
        </w:rPr>
        <w:t>, are presented.</w:t>
      </w:r>
      <w:r w:rsidR="00613A49">
        <w:rPr>
          <w:rFonts w:ascii="Times New Roman" w:eastAsiaTheme="minorHAnsi" w:hAnsi="Times New Roman" w:cs="Times New Roman"/>
          <w:sz w:val="24"/>
          <w:szCs w:val="24"/>
        </w:rPr>
        <w:t xml:space="preserve"> </w:t>
      </w:r>
      <w:r w:rsidR="00B53F57">
        <w:rPr>
          <w:rFonts w:ascii="Times New Roman" w:eastAsiaTheme="minorEastAsia" w:hAnsi="Times New Roman" w:cs="Times New Roman"/>
          <w:sz w:val="24"/>
          <w:szCs w:val="24"/>
        </w:rPr>
        <w:t xml:space="preserve">In </w:t>
      </w:r>
      <w:r w:rsidR="00B740FC">
        <w:rPr>
          <w:rFonts w:ascii="Times New Roman" w:eastAsiaTheme="minorEastAsia" w:hAnsi="Times New Roman" w:cs="Times New Roman"/>
          <w:sz w:val="24"/>
          <w:szCs w:val="24"/>
        </w:rPr>
        <w:t xml:space="preserve">Chapter 5 </w:t>
      </w:r>
      <w:r w:rsidR="00B53F57">
        <w:rPr>
          <w:rFonts w:ascii="Times New Roman" w:eastAsiaTheme="minorEastAsia" w:hAnsi="Times New Roman" w:cs="Times New Roman"/>
          <w:sz w:val="24"/>
          <w:szCs w:val="24"/>
        </w:rPr>
        <w:t>we</w:t>
      </w:r>
      <w:r w:rsidR="007727F9">
        <w:rPr>
          <w:rFonts w:ascii="Times New Roman" w:eastAsiaTheme="minorEastAsia" w:hAnsi="Times New Roman" w:cs="Times New Roman"/>
          <w:sz w:val="24"/>
          <w:szCs w:val="24"/>
        </w:rPr>
        <w:t xml:space="preserve"> </w:t>
      </w:r>
      <w:r w:rsidR="00B53F57" w:rsidRPr="00B53F57">
        <w:rPr>
          <w:rFonts w:ascii="Times New Roman" w:eastAsiaTheme="minorEastAsia" w:hAnsi="Times New Roman" w:cs="Times New Roman"/>
          <w:sz w:val="24"/>
          <w:szCs w:val="24"/>
        </w:rPr>
        <w:t xml:space="preserve">breakdown </w:t>
      </w:r>
      <w:r w:rsidR="0018706C">
        <w:rPr>
          <w:rFonts w:ascii="Times New Roman" w:eastAsiaTheme="minorEastAsia" w:hAnsi="Times New Roman" w:cs="Times New Roman"/>
          <w:sz w:val="24"/>
          <w:szCs w:val="24"/>
        </w:rPr>
        <w:t xml:space="preserve">the </w:t>
      </w:r>
      <w:r w:rsidR="0018706C" w:rsidRPr="00B53F57">
        <w:rPr>
          <w:rFonts w:ascii="Times New Roman" w:eastAsiaTheme="minorEastAsia" w:hAnsi="Times New Roman" w:cs="Times New Roman"/>
          <w:sz w:val="24"/>
          <w:szCs w:val="24"/>
        </w:rPr>
        <w:t>ISR</w:t>
      </w:r>
      <w:r w:rsidR="0028076E">
        <w:rPr>
          <w:rFonts w:ascii="Times New Roman" w:eastAsiaTheme="minorHAnsi" w:hAnsi="Times New Roman" w:cs="Times New Roman"/>
          <w:sz w:val="24"/>
          <w:szCs w:val="24"/>
        </w:rPr>
        <w:t>-</w:t>
      </w:r>
      <w:r w:rsidR="0028076E" w:rsidRPr="005760EB">
        <w:rPr>
          <w:rFonts w:ascii="Times New Roman" w:eastAsiaTheme="minorHAnsi" w:hAnsi="Times New Roman" w:cs="Times New Roman"/>
          <w:sz w:val="24"/>
          <w:szCs w:val="24"/>
        </w:rPr>
        <w:t>WBG</w:t>
      </w:r>
      <w:r w:rsidR="0028076E">
        <w:rPr>
          <w:rFonts w:ascii="Times New Roman" w:eastAsiaTheme="minorHAnsi" w:hAnsi="Times New Roman" w:cs="Times New Roman"/>
          <w:sz w:val="24"/>
          <w:szCs w:val="24"/>
        </w:rPr>
        <w:t>-</w:t>
      </w:r>
      <w:r w:rsidR="0028076E" w:rsidRPr="005760EB">
        <w:rPr>
          <w:rFonts w:ascii="Times New Roman" w:eastAsiaTheme="minorHAnsi" w:hAnsi="Times New Roman" w:cs="Times New Roman"/>
          <w:sz w:val="24"/>
          <w:szCs w:val="24"/>
        </w:rPr>
        <w:t>II</w:t>
      </w:r>
      <w:r w:rsidR="00B53F57" w:rsidRPr="00B53F57">
        <w:rPr>
          <w:rFonts w:ascii="Times New Roman" w:eastAsiaTheme="minorEastAsia" w:hAnsi="Times New Roman" w:cs="Times New Roman"/>
          <w:sz w:val="24"/>
          <w:szCs w:val="24"/>
        </w:rPr>
        <w:t xml:space="preserve"> by specific geographical areas</w:t>
      </w:r>
      <w:r w:rsidR="00CF46C8">
        <w:rPr>
          <w:rFonts w:ascii="Times New Roman" w:eastAsiaTheme="minorEastAsia" w:hAnsi="Times New Roman" w:cs="Times New Roman"/>
          <w:sz w:val="24"/>
          <w:szCs w:val="24"/>
        </w:rPr>
        <w:t xml:space="preserve"> </w:t>
      </w:r>
      <w:r w:rsidR="00A05DF0">
        <w:rPr>
          <w:rFonts w:ascii="Times New Roman" w:eastAsiaTheme="minorEastAsia" w:hAnsi="Times New Roman" w:cs="Times New Roman"/>
          <w:sz w:val="24"/>
          <w:szCs w:val="24"/>
        </w:rPr>
        <w:t>–</w:t>
      </w:r>
      <w:r w:rsidR="00CF46C8">
        <w:rPr>
          <w:rFonts w:ascii="Times New Roman" w:eastAsiaTheme="minorEastAsia" w:hAnsi="Times New Roman" w:cs="Times New Roman"/>
          <w:sz w:val="24"/>
          <w:szCs w:val="24"/>
        </w:rPr>
        <w:t xml:space="preserve"> </w:t>
      </w:r>
      <w:r w:rsidR="00026421">
        <w:rPr>
          <w:rFonts w:ascii="Times New Roman" w:eastAsiaTheme="minorEastAsia" w:hAnsi="Times New Roman" w:cs="Times New Roman"/>
          <w:sz w:val="24"/>
          <w:szCs w:val="24"/>
        </w:rPr>
        <w:t xml:space="preserve">the </w:t>
      </w:r>
      <w:r w:rsidR="00A05DF0">
        <w:rPr>
          <w:rFonts w:ascii="Times New Roman" w:eastAsiaTheme="minorEastAsia" w:hAnsi="Times New Roman" w:cs="Times New Roman"/>
          <w:sz w:val="24"/>
          <w:szCs w:val="24"/>
        </w:rPr>
        <w:t xml:space="preserve">West bank and the Gaza strip </w:t>
      </w:r>
      <w:r w:rsidR="00026421">
        <w:rPr>
          <w:rFonts w:ascii="Times New Roman" w:eastAsiaTheme="minorHAnsi" w:hAnsi="Times New Roman" w:cs="Times New Roman"/>
          <w:sz w:val="24"/>
          <w:szCs w:val="24"/>
        </w:rPr>
        <w:t xml:space="preserve">. </w:t>
      </w:r>
      <w:r w:rsidR="00026421">
        <w:rPr>
          <w:rFonts w:ascii="Times New Roman" w:eastAsiaTheme="minorEastAsia" w:hAnsi="Times New Roman" w:cs="Times New Roman"/>
          <w:sz w:val="24"/>
          <w:szCs w:val="24"/>
        </w:rPr>
        <w:t xml:space="preserve">In Chapter 6 we </w:t>
      </w:r>
      <w:r w:rsidR="00D45DB3">
        <w:rPr>
          <w:rFonts w:ascii="Times New Roman" w:eastAsiaTheme="minorEastAsia" w:hAnsi="Times New Roman" w:cs="Times New Roman"/>
          <w:sz w:val="24"/>
          <w:szCs w:val="24"/>
        </w:rPr>
        <w:t>examine</w:t>
      </w:r>
      <w:r w:rsidR="00B53F57" w:rsidRPr="00B53F57">
        <w:rPr>
          <w:rFonts w:ascii="Times New Roman" w:eastAsiaTheme="minorEastAsia" w:hAnsi="Times New Roman" w:cs="Times New Roman"/>
          <w:sz w:val="24"/>
          <w:szCs w:val="24"/>
        </w:rPr>
        <w:t xml:space="preserve"> the relation</w:t>
      </w:r>
      <w:r w:rsidR="00CC2043">
        <w:rPr>
          <w:rFonts w:ascii="Times New Roman" w:eastAsiaTheme="minorEastAsia" w:hAnsi="Times New Roman" w:cs="Times New Roman"/>
          <w:sz w:val="24"/>
          <w:szCs w:val="24"/>
        </w:rPr>
        <w:t>s</w:t>
      </w:r>
      <w:r w:rsidR="00B53F57" w:rsidRPr="00B53F57">
        <w:rPr>
          <w:rFonts w:ascii="Times New Roman" w:eastAsiaTheme="minorEastAsia" w:hAnsi="Times New Roman" w:cs="Times New Roman"/>
          <w:sz w:val="24"/>
          <w:szCs w:val="24"/>
        </w:rPr>
        <w:t xml:space="preserve"> between economic integration, terrorism</w:t>
      </w:r>
      <w:r w:rsidR="00967D8B" w:rsidRPr="00B53F57">
        <w:rPr>
          <w:rFonts w:ascii="Times New Roman" w:eastAsiaTheme="minorEastAsia" w:hAnsi="Times New Roman" w:cs="Times New Roman"/>
          <w:sz w:val="24"/>
          <w:szCs w:val="24"/>
        </w:rPr>
        <w:t>,</w:t>
      </w:r>
      <w:r w:rsidR="00B53F57" w:rsidRPr="00B53F57">
        <w:rPr>
          <w:rFonts w:ascii="Times New Roman" w:eastAsiaTheme="minorEastAsia" w:hAnsi="Times New Roman" w:cs="Times New Roman"/>
          <w:sz w:val="24"/>
          <w:szCs w:val="24"/>
        </w:rPr>
        <w:t xml:space="preserve"> and unemployment rates</w:t>
      </w:r>
      <w:r w:rsidR="007727F9">
        <w:rPr>
          <w:rFonts w:ascii="Times New Roman" w:eastAsiaTheme="minorEastAsia" w:hAnsi="Times New Roman" w:cs="Times New Roman"/>
          <w:sz w:val="24"/>
          <w:szCs w:val="24"/>
        </w:rPr>
        <w:t xml:space="preserve">. </w:t>
      </w:r>
      <w:r w:rsidR="004B255E">
        <w:rPr>
          <w:rFonts w:ascii="Times New Roman" w:eastAsiaTheme="minorEastAsia" w:hAnsi="Times New Roman" w:cs="Times New Roman"/>
          <w:sz w:val="24"/>
          <w:szCs w:val="24"/>
        </w:rPr>
        <w:t xml:space="preserve">In this context we assess </w:t>
      </w:r>
      <w:r w:rsidR="00894D3D">
        <w:rPr>
          <w:rFonts w:ascii="Times New Roman" w:eastAsiaTheme="minorEastAsia" w:hAnsi="Times New Roman" w:cs="Times New Roman"/>
          <w:sz w:val="24"/>
          <w:szCs w:val="24"/>
        </w:rPr>
        <w:t xml:space="preserve">Granger causality between the </w:t>
      </w:r>
      <w:r w:rsidR="00181E10">
        <w:rPr>
          <w:rFonts w:ascii="Times New Roman" w:eastAsiaTheme="minorEastAsia" w:hAnsi="Times New Roman" w:cs="Times New Roman"/>
          <w:sz w:val="24"/>
          <w:szCs w:val="24"/>
        </w:rPr>
        <w:t xml:space="preserve">various </w:t>
      </w:r>
      <w:r w:rsidR="00973DCA">
        <w:rPr>
          <w:rFonts w:ascii="Times New Roman" w:eastAsiaTheme="minorEastAsia" w:hAnsi="Times New Roman" w:cs="Times New Roman"/>
          <w:sz w:val="24"/>
          <w:szCs w:val="24"/>
        </w:rPr>
        <w:t>above</w:t>
      </w:r>
      <w:r w:rsidR="0097090E">
        <w:rPr>
          <w:rFonts w:ascii="Times New Roman" w:eastAsiaTheme="minorEastAsia" w:hAnsi="Times New Roman" w:cs="Times New Roman"/>
          <w:sz w:val="24"/>
          <w:szCs w:val="24"/>
        </w:rPr>
        <w:t>-</w:t>
      </w:r>
      <w:r w:rsidR="00973DCA">
        <w:rPr>
          <w:rFonts w:ascii="Times New Roman" w:eastAsiaTheme="minorEastAsia" w:hAnsi="Times New Roman" w:cs="Times New Roman"/>
          <w:sz w:val="24"/>
          <w:szCs w:val="24"/>
        </w:rPr>
        <w:t xml:space="preserve">mentioned </w:t>
      </w:r>
      <w:r w:rsidR="00EA46AD">
        <w:rPr>
          <w:rFonts w:ascii="Times New Roman" w:eastAsiaTheme="minorEastAsia" w:hAnsi="Times New Roman" w:cs="Times New Roman"/>
          <w:sz w:val="24"/>
          <w:szCs w:val="24"/>
        </w:rPr>
        <w:t>elements.</w:t>
      </w:r>
      <w:r w:rsidR="00973DCA">
        <w:rPr>
          <w:rFonts w:ascii="Times New Roman" w:eastAsiaTheme="minorEastAsia" w:hAnsi="Times New Roman" w:cs="Times New Roman"/>
          <w:sz w:val="24"/>
          <w:szCs w:val="24"/>
        </w:rPr>
        <w:t xml:space="preserve"> </w:t>
      </w:r>
      <w:r w:rsidRPr="00B53F57">
        <w:rPr>
          <w:rFonts w:ascii="Times New Roman" w:eastAsiaTheme="minorEastAsia" w:hAnsi="Times New Roman" w:cs="Times New Roman"/>
          <w:sz w:val="24"/>
          <w:szCs w:val="24"/>
        </w:rPr>
        <w:t xml:space="preserve">Chapter </w:t>
      </w:r>
      <w:r w:rsidR="00490AC7">
        <w:rPr>
          <w:rFonts w:ascii="Times New Roman" w:eastAsiaTheme="minorEastAsia" w:hAnsi="Times New Roman" w:cs="Times New Roman"/>
          <w:sz w:val="24"/>
          <w:szCs w:val="24"/>
        </w:rPr>
        <w:t>7</w:t>
      </w:r>
      <w:r w:rsidRPr="00B53F57">
        <w:rPr>
          <w:rFonts w:ascii="Times New Roman" w:eastAsiaTheme="minorEastAsia" w:hAnsi="Times New Roman" w:cs="Times New Roman"/>
          <w:sz w:val="24"/>
          <w:szCs w:val="24"/>
        </w:rPr>
        <w:t xml:space="preserve"> </w:t>
      </w:r>
      <w:r w:rsidR="00AF4FFE">
        <w:rPr>
          <w:rFonts w:ascii="Times New Roman" w:eastAsiaTheme="minorEastAsia" w:hAnsi="Times New Roman" w:cs="Times New Roman"/>
          <w:sz w:val="24"/>
          <w:szCs w:val="24"/>
        </w:rPr>
        <w:t>concludes</w:t>
      </w:r>
      <w:r w:rsidR="009E19E8">
        <w:rPr>
          <w:rFonts w:ascii="Times New Roman" w:eastAsiaTheme="minorEastAsia" w:hAnsi="Times New Roman" w:cs="Times New Roman"/>
          <w:sz w:val="24"/>
          <w:szCs w:val="24"/>
        </w:rPr>
        <w:t xml:space="preserve"> our main fin</w:t>
      </w:r>
      <w:r w:rsidR="00681755">
        <w:rPr>
          <w:rFonts w:ascii="Times New Roman" w:eastAsiaTheme="minorEastAsia" w:hAnsi="Times New Roman" w:cs="Times New Roman"/>
          <w:sz w:val="24"/>
          <w:szCs w:val="24"/>
        </w:rPr>
        <w:t>dings</w:t>
      </w:r>
      <w:r w:rsidR="00B92356">
        <w:rPr>
          <w:rFonts w:ascii="Times New Roman" w:eastAsiaTheme="minorEastAsia" w:hAnsi="Times New Roman" w:cs="Times New Roman"/>
          <w:sz w:val="24"/>
          <w:szCs w:val="24"/>
        </w:rPr>
        <w:t xml:space="preserve">: </w:t>
      </w:r>
      <w:r w:rsidR="0018706C">
        <w:rPr>
          <w:rFonts w:asciiTheme="majorBidi" w:hAnsiTheme="majorBidi" w:cstheme="majorBidi" w:hint="cs"/>
          <w:sz w:val="24"/>
          <w:szCs w:val="24"/>
        </w:rPr>
        <w:t>A</w:t>
      </w:r>
      <w:r w:rsidR="0018706C">
        <w:rPr>
          <w:rFonts w:asciiTheme="majorBidi" w:hAnsiTheme="majorBidi" w:cstheme="majorBidi"/>
          <w:sz w:val="24"/>
          <w:szCs w:val="24"/>
        </w:rPr>
        <w:t>ccording to</w:t>
      </w:r>
      <w:r w:rsidR="0018706C" w:rsidRPr="0018706C">
        <w:rPr>
          <w:rFonts w:ascii="Times New Roman" w:eastAsiaTheme="minorEastAsia" w:hAnsi="Times New Roman" w:cs="Times New Roman"/>
          <w:sz w:val="24"/>
          <w:szCs w:val="24"/>
        </w:rPr>
        <w:t xml:space="preserve"> </w:t>
      </w:r>
      <w:r w:rsidR="0018706C">
        <w:rPr>
          <w:rFonts w:ascii="Times New Roman" w:eastAsiaTheme="minorEastAsia" w:hAnsi="Times New Roman" w:cs="Times New Roman"/>
          <w:sz w:val="24"/>
          <w:szCs w:val="24"/>
        </w:rPr>
        <w:t xml:space="preserve">the </w:t>
      </w:r>
      <w:r w:rsidR="0018706C" w:rsidRPr="005760EB">
        <w:rPr>
          <w:rFonts w:ascii="Times New Roman" w:eastAsiaTheme="minorHAnsi" w:hAnsi="Times New Roman" w:cs="Times New Roman"/>
          <w:sz w:val="24"/>
          <w:szCs w:val="24"/>
        </w:rPr>
        <w:t>I</w:t>
      </w:r>
      <w:r w:rsidR="0018706C">
        <w:rPr>
          <w:rFonts w:ascii="Times New Roman" w:eastAsiaTheme="minorHAnsi" w:hAnsi="Times New Roman" w:cs="Times New Roman"/>
          <w:sz w:val="24"/>
          <w:szCs w:val="24"/>
        </w:rPr>
        <w:t>SR-</w:t>
      </w:r>
      <w:r w:rsidR="0018706C" w:rsidRPr="005760EB">
        <w:rPr>
          <w:rFonts w:ascii="Times New Roman" w:eastAsiaTheme="minorHAnsi" w:hAnsi="Times New Roman" w:cs="Times New Roman"/>
          <w:sz w:val="24"/>
          <w:szCs w:val="24"/>
        </w:rPr>
        <w:t>WBG</w:t>
      </w:r>
      <w:r w:rsidR="0018706C">
        <w:rPr>
          <w:rFonts w:ascii="Times New Roman" w:eastAsiaTheme="minorHAnsi" w:hAnsi="Times New Roman" w:cs="Times New Roman"/>
          <w:sz w:val="24"/>
          <w:szCs w:val="24"/>
        </w:rPr>
        <w:t>-</w:t>
      </w:r>
      <w:r w:rsidR="0018706C" w:rsidRPr="005760EB">
        <w:rPr>
          <w:rFonts w:ascii="Times New Roman" w:eastAsiaTheme="minorHAnsi" w:hAnsi="Times New Roman" w:cs="Times New Roman"/>
          <w:sz w:val="24"/>
          <w:szCs w:val="24"/>
        </w:rPr>
        <w:t>II</w:t>
      </w:r>
      <w:r w:rsidR="0018706C">
        <w:rPr>
          <w:rFonts w:asciiTheme="majorBidi" w:hAnsiTheme="majorBidi" w:cstheme="majorBidi"/>
          <w:sz w:val="24"/>
          <w:szCs w:val="24"/>
        </w:rPr>
        <w:t xml:space="preserve">, </w:t>
      </w:r>
      <w:r w:rsidR="00126BEC" w:rsidRPr="00126BEC">
        <w:rPr>
          <w:rFonts w:asciiTheme="majorBidi" w:hAnsiTheme="majorBidi" w:cstheme="majorBidi"/>
          <w:sz w:val="24"/>
          <w:szCs w:val="24"/>
        </w:rPr>
        <w:t xml:space="preserve">in a long-term perspective, the years before the </w:t>
      </w:r>
      <w:r w:rsidR="00126BEC">
        <w:rPr>
          <w:rFonts w:asciiTheme="majorBidi" w:hAnsiTheme="majorBidi" w:cstheme="majorBidi"/>
          <w:sz w:val="24"/>
          <w:szCs w:val="24"/>
        </w:rPr>
        <w:t>“F</w:t>
      </w:r>
      <w:r w:rsidR="00126BEC" w:rsidRPr="00126BEC">
        <w:rPr>
          <w:rFonts w:asciiTheme="majorBidi" w:hAnsiTheme="majorBidi" w:cstheme="majorBidi"/>
          <w:sz w:val="24"/>
          <w:szCs w:val="24"/>
        </w:rPr>
        <w:t xml:space="preserve">irst </w:t>
      </w:r>
      <w:r w:rsidR="00126BEC">
        <w:rPr>
          <w:rFonts w:asciiTheme="majorBidi" w:hAnsiTheme="majorBidi" w:cstheme="majorBidi"/>
          <w:sz w:val="24"/>
          <w:szCs w:val="24"/>
        </w:rPr>
        <w:t>I</w:t>
      </w:r>
      <w:r w:rsidR="00126BEC" w:rsidRPr="00126BEC">
        <w:rPr>
          <w:rFonts w:asciiTheme="majorBidi" w:hAnsiTheme="majorBidi" w:cstheme="majorBidi"/>
          <w:sz w:val="24"/>
          <w:szCs w:val="24"/>
        </w:rPr>
        <w:t>ntifada</w:t>
      </w:r>
      <w:r w:rsidR="00126BEC">
        <w:rPr>
          <w:rFonts w:asciiTheme="majorBidi" w:hAnsiTheme="majorBidi" w:cstheme="majorBidi"/>
          <w:sz w:val="24"/>
          <w:szCs w:val="24"/>
        </w:rPr>
        <w:t>”</w:t>
      </w:r>
      <w:r w:rsidR="00126BEC" w:rsidRPr="00126BEC">
        <w:rPr>
          <w:rFonts w:asciiTheme="majorBidi" w:hAnsiTheme="majorBidi" w:cstheme="majorBidi"/>
          <w:sz w:val="24"/>
          <w:szCs w:val="24"/>
        </w:rPr>
        <w:t xml:space="preserve"> were the years </w:t>
      </w:r>
      <w:r w:rsidR="008246CC">
        <w:rPr>
          <w:rFonts w:asciiTheme="majorBidi" w:hAnsiTheme="majorBidi" w:cstheme="majorBidi"/>
          <w:sz w:val="24"/>
          <w:szCs w:val="24"/>
        </w:rPr>
        <w:t>where</w:t>
      </w:r>
      <w:r w:rsidR="00126BEC" w:rsidRPr="00126BEC">
        <w:rPr>
          <w:rFonts w:asciiTheme="majorBidi" w:hAnsiTheme="majorBidi" w:cstheme="majorBidi"/>
          <w:sz w:val="24"/>
          <w:szCs w:val="24"/>
        </w:rPr>
        <w:t xml:space="preserve"> the level of economic integration was </w:t>
      </w:r>
      <w:r w:rsidR="007463EF">
        <w:rPr>
          <w:rFonts w:asciiTheme="majorBidi" w:hAnsiTheme="majorBidi" w:cstheme="majorBidi"/>
          <w:sz w:val="24"/>
          <w:szCs w:val="24"/>
        </w:rPr>
        <w:t>at the peak, since</w:t>
      </w:r>
      <w:r w:rsidR="00762694" w:rsidRPr="00762694">
        <w:rPr>
          <w:rFonts w:asciiTheme="majorBidi" w:hAnsiTheme="majorBidi" w:cstheme="majorBidi"/>
          <w:sz w:val="24"/>
          <w:szCs w:val="24"/>
        </w:rPr>
        <w:t xml:space="preserve"> </w:t>
      </w:r>
      <w:r w:rsidR="00762694">
        <w:rPr>
          <w:rFonts w:asciiTheme="majorBidi" w:hAnsiTheme="majorBidi" w:cstheme="majorBidi"/>
          <w:sz w:val="24"/>
          <w:szCs w:val="24"/>
        </w:rPr>
        <w:t>then it</w:t>
      </w:r>
      <w:r w:rsidR="00762694" w:rsidRPr="006C5168">
        <w:rPr>
          <w:rFonts w:asciiTheme="majorBidi" w:hAnsiTheme="majorBidi" w:cstheme="majorBidi"/>
          <w:sz w:val="24"/>
          <w:szCs w:val="24"/>
        </w:rPr>
        <w:t xml:space="preserve"> began to decline in the face of periodic closures and restrictions on the movement of people and the beginning of the terrorist events</w:t>
      </w:r>
      <w:r w:rsidR="002B64E5">
        <w:rPr>
          <w:rFonts w:asciiTheme="majorBidi" w:hAnsiTheme="majorBidi" w:cstheme="majorBidi"/>
          <w:sz w:val="24"/>
          <w:szCs w:val="24"/>
        </w:rPr>
        <w:t xml:space="preserve">. </w:t>
      </w:r>
      <w:r w:rsidR="00A57E38" w:rsidRPr="00A57E38">
        <w:rPr>
          <w:rFonts w:asciiTheme="majorBidi" w:hAnsiTheme="majorBidi" w:cstheme="majorBidi"/>
          <w:sz w:val="24"/>
          <w:szCs w:val="24"/>
        </w:rPr>
        <w:t xml:space="preserve">Some recovery was observed after the </w:t>
      </w:r>
      <w:r w:rsidR="00A57E38">
        <w:rPr>
          <w:rFonts w:asciiTheme="majorBidi" w:hAnsiTheme="majorBidi" w:cstheme="majorBidi"/>
          <w:sz w:val="24"/>
          <w:szCs w:val="24"/>
        </w:rPr>
        <w:t>"S</w:t>
      </w:r>
      <w:r w:rsidR="00A57E38" w:rsidRPr="00A57E38">
        <w:rPr>
          <w:rFonts w:asciiTheme="majorBidi" w:hAnsiTheme="majorBidi" w:cstheme="majorBidi"/>
          <w:sz w:val="24"/>
          <w:szCs w:val="24"/>
        </w:rPr>
        <w:t xml:space="preserve">econd </w:t>
      </w:r>
      <w:r w:rsidR="00A57E38">
        <w:rPr>
          <w:rFonts w:asciiTheme="majorBidi" w:hAnsiTheme="majorBidi" w:cstheme="majorBidi"/>
          <w:sz w:val="24"/>
          <w:szCs w:val="24"/>
        </w:rPr>
        <w:t>I</w:t>
      </w:r>
      <w:r w:rsidR="00A57E38" w:rsidRPr="00A57E38">
        <w:rPr>
          <w:rFonts w:asciiTheme="majorBidi" w:hAnsiTheme="majorBidi" w:cstheme="majorBidi"/>
          <w:sz w:val="24"/>
          <w:szCs w:val="24"/>
        </w:rPr>
        <w:t>ntifada</w:t>
      </w:r>
      <w:r w:rsidR="00A57E38">
        <w:rPr>
          <w:rFonts w:asciiTheme="majorBidi" w:hAnsiTheme="majorBidi" w:cstheme="majorBidi"/>
          <w:sz w:val="24"/>
          <w:szCs w:val="24"/>
        </w:rPr>
        <w:t>".</w:t>
      </w:r>
      <w:r w:rsidR="00A57E38" w:rsidRPr="00A57E38">
        <w:rPr>
          <w:rFonts w:asciiTheme="majorBidi" w:hAnsiTheme="majorBidi" w:cstheme="majorBidi"/>
          <w:sz w:val="24"/>
          <w:szCs w:val="24"/>
        </w:rPr>
        <w:t xml:space="preserve"> </w:t>
      </w:r>
      <w:r w:rsidR="004C1AC4">
        <w:rPr>
          <w:rFonts w:asciiTheme="majorBidi" w:hAnsiTheme="majorBidi" w:cstheme="majorBidi"/>
          <w:sz w:val="24"/>
          <w:szCs w:val="24"/>
        </w:rPr>
        <w:t>The political and economic situation in the Gaza strip</w:t>
      </w:r>
      <w:r w:rsidR="00146ED1">
        <w:rPr>
          <w:rFonts w:asciiTheme="majorBidi" w:hAnsiTheme="majorBidi" w:cstheme="majorBidi"/>
          <w:sz w:val="24"/>
          <w:szCs w:val="24"/>
        </w:rPr>
        <w:t xml:space="preserve"> since </w:t>
      </w:r>
      <w:r w:rsidR="008639CF" w:rsidRPr="006C5168">
        <w:rPr>
          <w:rFonts w:asciiTheme="majorBidi" w:hAnsiTheme="majorBidi" w:cstheme="majorBidi"/>
          <w:sz w:val="24"/>
          <w:szCs w:val="24"/>
        </w:rPr>
        <w:t>Hamas' rise to power in 2006</w:t>
      </w:r>
      <w:r w:rsidR="002744CD">
        <w:rPr>
          <w:rFonts w:asciiTheme="majorBidi" w:hAnsiTheme="majorBidi" w:cstheme="majorBidi"/>
          <w:sz w:val="24"/>
          <w:szCs w:val="24"/>
        </w:rPr>
        <w:t xml:space="preserve">, </w:t>
      </w:r>
      <w:r w:rsidR="00415E18" w:rsidRPr="00415E18">
        <w:rPr>
          <w:rFonts w:asciiTheme="majorBidi" w:hAnsiTheme="majorBidi" w:cstheme="majorBidi"/>
          <w:sz w:val="24"/>
          <w:szCs w:val="24"/>
        </w:rPr>
        <w:t xml:space="preserve">requires an examination of Israel's activities separately in relation to each </w:t>
      </w:r>
      <w:r w:rsidR="00415E18">
        <w:rPr>
          <w:rFonts w:asciiTheme="majorBidi" w:hAnsiTheme="majorBidi" w:cstheme="majorBidi"/>
          <w:sz w:val="24"/>
          <w:szCs w:val="24"/>
        </w:rPr>
        <w:t>area</w:t>
      </w:r>
      <w:r w:rsidR="002A430F">
        <w:rPr>
          <w:rFonts w:asciiTheme="majorBidi" w:hAnsiTheme="majorBidi" w:cstheme="majorBidi"/>
          <w:sz w:val="24"/>
          <w:szCs w:val="24"/>
        </w:rPr>
        <w:t xml:space="preserve"> </w:t>
      </w:r>
      <w:r w:rsidR="00C25E92">
        <w:rPr>
          <w:rFonts w:asciiTheme="majorBidi" w:hAnsiTheme="majorBidi" w:cstheme="majorBidi"/>
          <w:sz w:val="24"/>
          <w:szCs w:val="24"/>
        </w:rPr>
        <w:t>and</w:t>
      </w:r>
      <w:r w:rsidR="002A430F">
        <w:rPr>
          <w:rFonts w:asciiTheme="majorBidi" w:hAnsiTheme="majorBidi" w:cstheme="majorBidi"/>
          <w:sz w:val="24"/>
          <w:szCs w:val="24"/>
        </w:rPr>
        <w:t xml:space="preserve"> </w:t>
      </w:r>
      <w:r w:rsidR="00146ED1">
        <w:rPr>
          <w:rFonts w:asciiTheme="majorBidi" w:hAnsiTheme="majorBidi" w:cstheme="majorBidi"/>
          <w:sz w:val="24"/>
          <w:szCs w:val="24"/>
        </w:rPr>
        <w:t>discuss</w:t>
      </w:r>
      <w:r w:rsidR="00C25E92">
        <w:rPr>
          <w:rFonts w:asciiTheme="majorBidi" w:hAnsiTheme="majorBidi" w:cstheme="majorBidi"/>
          <w:sz w:val="24"/>
          <w:szCs w:val="24"/>
        </w:rPr>
        <w:t>ion of three</w:t>
      </w:r>
      <w:r w:rsidR="008C65A8">
        <w:rPr>
          <w:rFonts w:asciiTheme="majorBidi" w:hAnsiTheme="majorBidi" w:cstheme="majorBidi"/>
          <w:sz w:val="24"/>
          <w:szCs w:val="24"/>
        </w:rPr>
        <w:t xml:space="preserve"> </w:t>
      </w:r>
      <w:r w:rsidR="008C65A8" w:rsidRPr="00531781">
        <w:rPr>
          <w:rFonts w:ascii="Times New Roman" w:hAnsi="Times New Roman" w:cs="David"/>
          <w:sz w:val="24"/>
          <w:szCs w:val="24"/>
        </w:rPr>
        <w:t xml:space="preserve">political and economic </w:t>
      </w:r>
      <w:r w:rsidR="00146ED1" w:rsidRPr="00531781">
        <w:rPr>
          <w:rFonts w:ascii="Times New Roman" w:hAnsi="Times New Roman" w:cs="David"/>
          <w:sz w:val="24"/>
          <w:szCs w:val="24"/>
        </w:rPr>
        <w:t>entit</w:t>
      </w:r>
      <w:r w:rsidR="00146ED1">
        <w:rPr>
          <w:rFonts w:ascii="Times New Roman" w:hAnsi="Times New Roman" w:cs="David"/>
          <w:sz w:val="24"/>
          <w:szCs w:val="24"/>
        </w:rPr>
        <w:t>ies</w:t>
      </w:r>
      <w:r w:rsidR="00C525AD">
        <w:rPr>
          <w:rFonts w:ascii="Times New Roman" w:hAnsi="Times New Roman" w:cs="David"/>
          <w:sz w:val="24"/>
          <w:szCs w:val="24"/>
        </w:rPr>
        <w:t xml:space="preserve"> in the region</w:t>
      </w:r>
      <w:r w:rsidR="00F5417B">
        <w:rPr>
          <w:rFonts w:asciiTheme="majorBidi" w:hAnsiTheme="majorBidi" w:cstheme="majorBidi"/>
          <w:sz w:val="24"/>
          <w:szCs w:val="24"/>
        </w:rPr>
        <w:t>.</w:t>
      </w:r>
      <w:r w:rsidR="004C1AC4">
        <w:rPr>
          <w:rFonts w:asciiTheme="majorBidi" w:hAnsiTheme="majorBidi" w:cstheme="majorBidi"/>
          <w:sz w:val="24"/>
          <w:szCs w:val="24"/>
        </w:rPr>
        <w:t xml:space="preserve"> </w:t>
      </w:r>
      <w:r w:rsidR="002F761E" w:rsidRPr="002F761E">
        <w:rPr>
          <w:rFonts w:asciiTheme="majorBidi" w:hAnsiTheme="majorBidi" w:cstheme="majorBidi"/>
          <w:sz w:val="24"/>
          <w:szCs w:val="24"/>
        </w:rPr>
        <w:t>We</w:t>
      </w:r>
      <w:r w:rsidR="006D0C5D">
        <w:rPr>
          <w:rFonts w:asciiTheme="majorBidi" w:hAnsiTheme="majorBidi" w:cstheme="majorBidi"/>
          <w:sz w:val="24"/>
          <w:szCs w:val="24"/>
        </w:rPr>
        <w:t xml:space="preserve"> also</w:t>
      </w:r>
      <w:r w:rsidR="002F761E" w:rsidRPr="002F761E">
        <w:rPr>
          <w:rFonts w:asciiTheme="majorBidi" w:hAnsiTheme="majorBidi" w:cstheme="majorBidi"/>
          <w:sz w:val="24"/>
          <w:szCs w:val="24"/>
        </w:rPr>
        <w:t xml:space="preserve"> found that t</w:t>
      </w:r>
      <w:r w:rsidR="002F761E" w:rsidRPr="006C5168">
        <w:rPr>
          <w:rFonts w:asciiTheme="majorBidi" w:hAnsiTheme="majorBidi" w:cstheme="majorBidi"/>
          <w:sz w:val="24"/>
          <w:szCs w:val="24"/>
        </w:rPr>
        <w:t>he level of economic integration</w:t>
      </w:r>
      <w:r w:rsidR="002F761E" w:rsidRPr="002F761E">
        <w:rPr>
          <w:rFonts w:asciiTheme="majorBidi" w:hAnsiTheme="majorBidi" w:cstheme="majorBidi"/>
          <w:sz w:val="24"/>
          <w:szCs w:val="24"/>
        </w:rPr>
        <w:t xml:space="preserve"> Granger causes terrorism. This finding supports </w:t>
      </w:r>
      <w:r w:rsidR="00F44C01">
        <w:rPr>
          <w:rFonts w:asciiTheme="majorBidi" w:hAnsiTheme="majorBidi" w:cstheme="majorBidi"/>
          <w:sz w:val="24"/>
          <w:szCs w:val="24"/>
        </w:rPr>
        <w:t>the argument</w:t>
      </w:r>
      <w:r w:rsidR="002F761E" w:rsidRPr="002F761E">
        <w:rPr>
          <w:rFonts w:asciiTheme="majorBidi" w:hAnsiTheme="majorBidi" w:cstheme="majorBidi"/>
          <w:sz w:val="24"/>
          <w:szCs w:val="24"/>
        </w:rPr>
        <w:t xml:space="preserve"> that terrorism is a response to political conditions and frustration that have little to do with economics and low market opportunities.</w:t>
      </w:r>
      <w:r w:rsidR="00A8210A">
        <w:rPr>
          <w:rFonts w:asciiTheme="majorBidi" w:hAnsiTheme="majorBidi" w:cstheme="majorBidi"/>
          <w:sz w:val="24"/>
          <w:szCs w:val="24"/>
        </w:rPr>
        <w:t xml:space="preserve"> </w:t>
      </w:r>
      <w:r w:rsidR="002F761E" w:rsidRPr="002F761E">
        <w:rPr>
          <w:rFonts w:asciiTheme="majorBidi" w:hAnsiTheme="majorBidi" w:cstheme="majorBidi"/>
          <w:sz w:val="24"/>
          <w:szCs w:val="24"/>
        </w:rPr>
        <w:t>We also found that unemployment rate in the WBG Granger causes the level of economic integration. This finding could be linked to the Israeli policy toward the territories, that when there is a fear of a significant decrease in the standard of living</w:t>
      </w:r>
      <w:r w:rsidR="00A8210A">
        <w:rPr>
          <w:rFonts w:asciiTheme="majorBidi" w:hAnsiTheme="majorBidi" w:cstheme="majorBidi"/>
          <w:sz w:val="24"/>
          <w:szCs w:val="24"/>
        </w:rPr>
        <w:t xml:space="preserve">, </w:t>
      </w:r>
      <w:r w:rsidR="002F761E" w:rsidRPr="002F761E">
        <w:rPr>
          <w:rFonts w:asciiTheme="majorBidi" w:hAnsiTheme="majorBidi" w:cstheme="majorBidi"/>
          <w:sz w:val="24"/>
          <w:szCs w:val="24"/>
        </w:rPr>
        <w:t>Israel allows for more economic activity with the WBG</w:t>
      </w:r>
      <w:r w:rsidR="008D4A5B">
        <w:rPr>
          <w:rFonts w:asciiTheme="majorBidi" w:hAnsiTheme="majorBidi" w:cstheme="majorBidi"/>
          <w:sz w:val="24"/>
          <w:szCs w:val="24"/>
        </w:rPr>
        <w:t xml:space="preserve">. </w:t>
      </w:r>
      <w:r w:rsidR="001D0C03">
        <w:rPr>
          <w:rFonts w:asciiTheme="majorBidi" w:hAnsiTheme="majorBidi" w:cstheme="majorBidi"/>
          <w:sz w:val="24"/>
          <w:szCs w:val="24"/>
        </w:rPr>
        <w:t xml:space="preserve"> </w:t>
      </w:r>
      <w:r w:rsidR="006D0C5D">
        <w:rPr>
          <w:rFonts w:asciiTheme="majorBidi" w:hAnsiTheme="majorBidi" w:cstheme="majorBidi"/>
          <w:sz w:val="24"/>
          <w:szCs w:val="24"/>
        </w:rPr>
        <w:t xml:space="preserve"> </w:t>
      </w:r>
    </w:p>
    <w:p w14:paraId="58570DFD" w14:textId="629C9483" w:rsidR="00C47693" w:rsidRDefault="00D8095B" w:rsidP="00B8547F">
      <w:pPr>
        <w:pStyle w:val="ListParagraph"/>
        <w:numPr>
          <w:ilvl w:val="0"/>
          <w:numId w:val="3"/>
        </w:numPr>
        <w:autoSpaceDE w:val="0"/>
        <w:autoSpaceDN w:val="0"/>
        <w:bidi w:val="0"/>
        <w:adjustRightInd w:val="0"/>
        <w:spacing w:after="240"/>
        <w:ind w:left="357" w:hanging="357"/>
        <w:contextualSpacing w:val="0"/>
        <w:rPr>
          <w:rFonts w:asciiTheme="majorBidi" w:hAnsiTheme="majorBidi" w:cstheme="majorBidi"/>
          <w:b/>
          <w:bCs/>
          <w:sz w:val="28"/>
          <w:szCs w:val="28"/>
        </w:rPr>
      </w:pPr>
      <w:r>
        <w:rPr>
          <w:rFonts w:asciiTheme="majorBidi" w:hAnsiTheme="majorBidi" w:cstheme="majorBidi"/>
          <w:b/>
          <w:bCs/>
          <w:sz w:val="28"/>
          <w:szCs w:val="28"/>
        </w:rPr>
        <w:t xml:space="preserve">Chapter 2: </w:t>
      </w:r>
      <w:r w:rsidR="00C47693">
        <w:rPr>
          <w:rFonts w:asciiTheme="majorBidi" w:hAnsiTheme="majorBidi" w:cstheme="majorBidi"/>
          <w:b/>
          <w:bCs/>
          <w:sz w:val="28"/>
          <w:szCs w:val="28"/>
        </w:rPr>
        <w:t>Geopolitical and economic history</w:t>
      </w:r>
    </w:p>
    <w:p w14:paraId="1EC07C3A" w14:textId="77777777" w:rsidR="00C47693" w:rsidRDefault="00C47693" w:rsidP="00C47693">
      <w:pPr>
        <w:bidi w:val="0"/>
        <w:spacing w:line="480" w:lineRule="auto"/>
        <w:ind w:left="360"/>
        <w:jc w:val="both"/>
        <w:rPr>
          <w:rFonts w:asciiTheme="majorBidi" w:eastAsiaTheme="minorHAnsi" w:hAnsiTheme="majorBidi" w:cstheme="majorBidi"/>
          <w:sz w:val="24"/>
          <w:szCs w:val="24"/>
        </w:rPr>
      </w:pPr>
      <w:r w:rsidRPr="009B45EA">
        <w:rPr>
          <w:rFonts w:asciiTheme="majorBidi" w:eastAsiaTheme="minorHAnsi" w:hAnsiTheme="majorBidi" w:cstheme="majorBidi"/>
          <w:sz w:val="24"/>
          <w:szCs w:val="24"/>
        </w:rPr>
        <w:t xml:space="preserve">In the Israeli-Palestinian case, geopolitical events and political arrangements have played a significant </w:t>
      </w:r>
      <w:r w:rsidRPr="009B45EA">
        <w:rPr>
          <w:rFonts w:asciiTheme="majorBidi" w:hAnsiTheme="majorBidi" w:cstheme="majorBidi"/>
          <w:sz w:val="24"/>
          <w:szCs w:val="24"/>
        </w:rPr>
        <w:t xml:space="preserve">role. </w:t>
      </w:r>
      <w:r w:rsidRPr="009B45EA">
        <w:rPr>
          <w:rFonts w:asciiTheme="majorBidi" w:eastAsiaTheme="minorHAnsi" w:hAnsiTheme="majorBidi" w:cstheme="majorBidi"/>
          <w:sz w:val="24"/>
          <w:szCs w:val="24"/>
        </w:rPr>
        <w:t>Over the past 100 years, there have been a number of significant events that have led to changes in the control and governance over the region:</w:t>
      </w:r>
    </w:p>
    <w:p w14:paraId="4F196BE5" w14:textId="392975B0" w:rsidR="00444652" w:rsidRPr="009D4F00" w:rsidRDefault="00444652" w:rsidP="009D4F00">
      <w:pPr>
        <w:bidi w:val="0"/>
        <w:spacing w:line="480" w:lineRule="auto"/>
        <w:ind w:left="360"/>
        <w:jc w:val="center"/>
        <w:rPr>
          <w:rFonts w:asciiTheme="majorBidi" w:eastAsiaTheme="minorHAnsi" w:hAnsiTheme="majorBidi" w:cstheme="majorBidi"/>
          <w:b/>
          <w:bCs/>
          <w:sz w:val="24"/>
          <w:szCs w:val="24"/>
        </w:rPr>
      </w:pPr>
      <w:r w:rsidRPr="009D4F00">
        <w:rPr>
          <w:rFonts w:asciiTheme="majorBidi" w:eastAsiaTheme="minorHAnsi" w:hAnsiTheme="majorBidi" w:cstheme="majorBidi"/>
          <w:b/>
          <w:bCs/>
          <w:sz w:val="24"/>
          <w:szCs w:val="24"/>
        </w:rPr>
        <w:t>Figure 1</w:t>
      </w:r>
      <w:r w:rsidR="00476019">
        <w:rPr>
          <w:rFonts w:asciiTheme="majorBidi" w:eastAsiaTheme="minorHAnsi" w:hAnsiTheme="majorBidi" w:cstheme="majorBidi"/>
          <w:b/>
          <w:bCs/>
          <w:sz w:val="24"/>
          <w:szCs w:val="24"/>
        </w:rPr>
        <w:t>-</w:t>
      </w:r>
      <w:r w:rsidR="009D4F00" w:rsidRPr="009D4F00">
        <w:rPr>
          <w:rFonts w:asciiTheme="majorBidi" w:eastAsiaTheme="minorHAnsi" w:hAnsiTheme="majorBidi" w:cstheme="majorBidi"/>
          <w:b/>
          <w:bCs/>
          <w:sz w:val="24"/>
          <w:szCs w:val="24"/>
        </w:rPr>
        <w:t xml:space="preserve"> Geopolitical events</w:t>
      </w:r>
    </w:p>
    <w:p w14:paraId="596A8453" w14:textId="77777777" w:rsidR="00C47693" w:rsidRDefault="00C47693" w:rsidP="00C47693">
      <w:pPr>
        <w:bidi w:val="0"/>
        <w:spacing w:line="480" w:lineRule="auto"/>
        <w:ind w:left="360"/>
        <w:jc w:val="both"/>
        <w:rPr>
          <w:rFonts w:eastAsiaTheme="minorHAnsi"/>
        </w:rPr>
      </w:pPr>
      <w:r>
        <w:rPr>
          <w:rFonts w:cs="David"/>
          <w:noProof/>
        </w:rPr>
        <w:drawing>
          <wp:inline distT="0" distB="0" distL="0" distR="0" wp14:anchorId="622086B1" wp14:editId="27FE8C52">
            <wp:extent cx="5577205" cy="3084195"/>
            <wp:effectExtent l="0" t="0" r="4445" b="17335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C8F79EF" w14:textId="031A22DC" w:rsidR="00C47693" w:rsidRPr="009B45EA" w:rsidRDefault="00C47693" w:rsidP="00913311">
      <w:pPr>
        <w:bidi w:val="0"/>
        <w:spacing w:line="480" w:lineRule="auto"/>
        <w:ind w:left="360"/>
        <w:jc w:val="both"/>
        <w:rPr>
          <w:rFonts w:asciiTheme="majorBidi" w:eastAsiaTheme="minorHAnsi" w:hAnsiTheme="majorBidi" w:cstheme="majorBidi"/>
          <w:sz w:val="24"/>
          <w:szCs w:val="24"/>
          <w:rtl/>
        </w:rPr>
      </w:pPr>
      <w:r w:rsidRPr="009B45EA">
        <w:rPr>
          <w:rFonts w:asciiTheme="majorBidi" w:eastAsiaTheme="minorHAnsi" w:hAnsiTheme="majorBidi" w:cstheme="majorBidi"/>
          <w:sz w:val="24"/>
          <w:szCs w:val="24"/>
        </w:rPr>
        <w:t xml:space="preserve">The purpose of this chapter is to review the geopolitical events and aspects of economic integration in the region over the past century that shaped the economic ties between Israel and the PA as they </w:t>
      </w:r>
      <w:r w:rsidR="001228F2">
        <w:rPr>
          <w:rFonts w:asciiTheme="majorBidi" w:eastAsiaTheme="minorHAnsi" w:hAnsiTheme="majorBidi" w:cstheme="majorBidi"/>
          <w:sz w:val="24"/>
          <w:szCs w:val="24"/>
        </w:rPr>
        <w:t>stand</w:t>
      </w:r>
      <w:r w:rsidRPr="009B45EA">
        <w:rPr>
          <w:rFonts w:asciiTheme="majorBidi" w:eastAsiaTheme="minorHAnsi" w:hAnsiTheme="majorBidi" w:cstheme="majorBidi"/>
          <w:sz w:val="24"/>
          <w:szCs w:val="24"/>
        </w:rPr>
        <w:t xml:space="preserve"> today. Reviewing </w:t>
      </w:r>
      <w:r w:rsidR="001228F2">
        <w:rPr>
          <w:rFonts w:asciiTheme="majorBidi" w:eastAsiaTheme="minorHAnsi" w:hAnsiTheme="majorBidi" w:cstheme="majorBidi"/>
          <w:sz w:val="24"/>
          <w:szCs w:val="24"/>
        </w:rPr>
        <w:t>this</w:t>
      </w:r>
      <w:r w:rsidRPr="009B45EA">
        <w:rPr>
          <w:rFonts w:asciiTheme="majorBidi" w:eastAsiaTheme="minorHAnsi" w:hAnsiTheme="majorBidi" w:cstheme="majorBidi"/>
          <w:sz w:val="24"/>
          <w:szCs w:val="24"/>
        </w:rPr>
        <w:t xml:space="preserve"> history is essential to understand the current situation. In each period we describe the economic activity that took place in the region</w:t>
      </w:r>
      <w:r w:rsidR="000C1DBA">
        <w:rPr>
          <w:rFonts w:asciiTheme="majorBidi" w:eastAsiaTheme="minorHAnsi" w:hAnsiTheme="majorBidi" w:cstheme="majorBidi"/>
          <w:sz w:val="24"/>
          <w:szCs w:val="24"/>
        </w:rPr>
        <w:t>,</w:t>
      </w:r>
      <w:r w:rsidRPr="009B45EA">
        <w:rPr>
          <w:rFonts w:asciiTheme="majorBidi" w:eastAsiaTheme="minorHAnsi" w:hAnsiTheme="majorBidi" w:cstheme="majorBidi"/>
          <w:sz w:val="24"/>
          <w:szCs w:val="24"/>
        </w:rPr>
        <w:t xml:space="preserve"> and the impact of geopolitical events on it. The chapter does not deal with a comprehensive historical economic review of the development of the Palestinian and Israeli economies</w:t>
      </w:r>
      <w:r w:rsidR="000C1DBA">
        <w:rPr>
          <w:rFonts w:asciiTheme="majorBidi" w:eastAsiaTheme="minorHAnsi" w:hAnsiTheme="majorBidi" w:cstheme="majorBidi"/>
          <w:sz w:val="24"/>
          <w:szCs w:val="24"/>
        </w:rPr>
        <w:t>,</w:t>
      </w:r>
      <w:r w:rsidRPr="009B45EA">
        <w:rPr>
          <w:rFonts w:asciiTheme="majorBidi" w:eastAsiaTheme="minorHAnsi" w:hAnsiTheme="majorBidi" w:cstheme="majorBidi"/>
          <w:sz w:val="24"/>
          <w:szCs w:val="24"/>
        </w:rPr>
        <w:t xml:space="preserve"> </w:t>
      </w:r>
      <w:r w:rsidR="000C1DBA">
        <w:rPr>
          <w:rFonts w:asciiTheme="majorBidi" w:eastAsiaTheme="minorHAnsi" w:hAnsiTheme="majorBidi" w:cstheme="majorBidi"/>
          <w:sz w:val="24"/>
          <w:szCs w:val="24"/>
        </w:rPr>
        <w:t>but</w:t>
      </w:r>
      <w:r w:rsidRPr="009B45EA">
        <w:rPr>
          <w:rFonts w:asciiTheme="majorBidi" w:eastAsiaTheme="minorHAnsi" w:hAnsiTheme="majorBidi" w:cstheme="majorBidi"/>
          <w:sz w:val="24"/>
          <w:szCs w:val="24"/>
        </w:rPr>
        <w:t xml:space="preserve"> focuse</w:t>
      </w:r>
      <w:r w:rsidR="000C1DBA">
        <w:rPr>
          <w:rFonts w:asciiTheme="majorBidi" w:eastAsiaTheme="minorHAnsi" w:hAnsiTheme="majorBidi" w:cstheme="majorBidi"/>
          <w:sz w:val="24"/>
          <w:szCs w:val="24"/>
        </w:rPr>
        <w:t>s</w:t>
      </w:r>
      <w:r w:rsidRPr="009B45EA">
        <w:rPr>
          <w:rFonts w:asciiTheme="majorBidi" w:eastAsiaTheme="minorHAnsi" w:hAnsiTheme="majorBidi" w:cstheme="majorBidi"/>
          <w:sz w:val="24"/>
          <w:szCs w:val="24"/>
        </w:rPr>
        <w:t xml:space="preserve"> on the economic activity that took place between Israel and the WBG as a background for further research.</w:t>
      </w:r>
    </w:p>
    <w:p w14:paraId="0429F5FE" w14:textId="4549AB46" w:rsidR="00C47693" w:rsidRDefault="001A0974" w:rsidP="00C47693">
      <w:pPr>
        <w:pStyle w:val="ListParagraph"/>
        <w:numPr>
          <w:ilvl w:val="1"/>
          <w:numId w:val="4"/>
        </w:numPr>
        <w:autoSpaceDE w:val="0"/>
        <w:autoSpaceDN w:val="0"/>
        <w:bidi w:val="0"/>
        <w:adjustRightInd w:val="0"/>
        <w:spacing w:after="240"/>
        <w:rPr>
          <w:rFonts w:asciiTheme="majorBidi" w:hAnsiTheme="majorBidi" w:cstheme="majorBidi"/>
          <w:b/>
          <w:bCs/>
          <w:sz w:val="28"/>
          <w:szCs w:val="28"/>
        </w:rPr>
      </w:pPr>
      <w:r>
        <w:rPr>
          <w:rFonts w:asciiTheme="majorBidi" w:hAnsiTheme="majorBidi" w:cstheme="majorBidi"/>
          <w:b/>
          <w:bCs/>
          <w:sz w:val="28"/>
          <w:szCs w:val="28"/>
        </w:rPr>
        <w:t>British</w:t>
      </w:r>
      <w:r w:rsidR="00C47693">
        <w:rPr>
          <w:rFonts w:asciiTheme="majorBidi" w:hAnsiTheme="majorBidi" w:cstheme="majorBidi"/>
          <w:b/>
          <w:bCs/>
          <w:sz w:val="28"/>
          <w:szCs w:val="28"/>
        </w:rPr>
        <w:t xml:space="preserve"> Mandate </w:t>
      </w:r>
      <w:r w:rsidR="00021E95">
        <w:rPr>
          <w:rFonts w:asciiTheme="majorBidi" w:hAnsiTheme="majorBidi" w:cstheme="majorBidi"/>
          <w:b/>
          <w:bCs/>
          <w:sz w:val="28"/>
          <w:szCs w:val="28"/>
        </w:rPr>
        <w:t>of</w:t>
      </w:r>
      <w:r w:rsidR="00C47693">
        <w:rPr>
          <w:rFonts w:asciiTheme="majorBidi" w:hAnsiTheme="majorBidi" w:cstheme="majorBidi"/>
          <w:b/>
          <w:bCs/>
          <w:sz w:val="28"/>
          <w:szCs w:val="28"/>
        </w:rPr>
        <w:t xml:space="preserve"> Palestine</w:t>
      </w:r>
      <w:r w:rsidR="00497A1E">
        <w:rPr>
          <w:rFonts w:asciiTheme="majorBidi" w:hAnsiTheme="majorBidi" w:cstheme="majorBidi"/>
          <w:b/>
          <w:bCs/>
          <w:sz w:val="28"/>
          <w:szCs w:val="28"/>
        </w:rPr>
        <w:t xml:space="preserve"> (1922-1947)</w:t>
      </w:r>
    </w:p>
    <w:p w14:paraId="58CECE90" w14:textId="0DE951F7" w:rsidR="00C47693" w:rsidRDefault="00C47693" w:rsidP="00C47693">
      <w:pPr>
        <w:bidi w:val="0"/>
        <w:spacing w:line="480" w:lineRule="auto"/>
        <w:ind w:left="851"/>
        <w:jc w:val="both"/>
        <w:rPr>
          <w:rFonts w:ascii="Times New Roman" w:eastAsiaTheme="minorHAnsi" w:hAnsi="Times New Roman" w:cs="Times New Roman"/>
          <w:sz w:val="24"/>
          <w:szCs w:val="24"/>
        </w:rPr>
      </w:pPr>
      <w:r w:rsidRPr="00265453">
        <w:rPr>
          <w:rFonts w:asciiTheme="majorBidi" w:eastAsiaTheme="minorHAnsi" w:hAnsiTheme="majorBidi" w:cstheme="majorBidi"/>
          <w:sz w:val="24"/>
          <w:szCs w:val="24"/>
        </w:rPr>
        <w:t>From about 1517 to 1917, the Ottoman Empire ruled much of the region. As a result of World War I, the region came under the control of Great Britain in 1918. The borders of the land, as a separate country, were defined for the first time in many centuries. Until then, under the Ottoman Empire, the land's boundaries had not been defined because it was part of other large Ottoman districts and was not a distinct political unit</w:t>
      </w:r>
      <w:r w:rsidRPr="00265453">
        <w:rPr>
          <w:rFonts w:asciiTheme="majorBidi" w:eastAsiaTheme="minorHAnsi" w:hAnsiTheme="majorBidi" w:cstheme="majorBidi"/>
          <w:sz w:val="24"/>
          <w:szCs w:val="24"/>
          <w:rtl/>
        </w:rPr>
        <w:t xml:space="preserve">. </w:t>
      </w:r>
      <w:r w:rsidRPr="00265453">
        <w:rPr>
          <w:rFonts w:asciiTheme="majorBidi" w:eastAsiaTheme="minorHAnsi" w:hAnsiTheme="majorBidi" w:cstheme="majorBidi"/>
          <w:sz w:val="24"/>
          <w:szCs w:val="24"/>
        </w:rPr>
        <w:t>The territory of the British Mandate included land on both sides of the Jordan River, encompassing the present-day countries of Israel and Jordan. In 1921, Great Britain created at the east of the Jordan River a separate administrative entity called Transjordan</w:t>
      </w:r>
      <w:r>
        <w:rPr>
          <w:rStyle w:val="FootnoteReference"/>
          <w:rFonts w:eastAsiaTheme="minorHAnsi"/>
        </w:rPr>
        <w:footnoteReference w:id="2"/>
      </w:r>
      <w:r>
        <w:rPr>
          <w:rFonts w:eastAsiaTheme="minorHAnsi"/>
        </w:rPr>
        <w:t xml:space="preserve">. </w:t>
      </w:r>
      <w:r w:rsidRPr="00265453">
        <w:rPr>
          <w:rFonts w:asciiTheme="majorBidi" w:eastAsiaTheme="minorHAnsi" w:hAnsiTheme="majorBidi" w:cstheme="majorBidi"/>
          <w:sz w:val="24"/>
          <w:szCs w:val="24"/>
        </w:rPr>
        <w:t xml:space="preserve">In July 1922, the League of Nations entrusted Great Britain with the Mandate </w:t>
      </w:r>
      <w:r w:rsidR="00021E95">
        <w:rPr>
          <w:rFonts w:asciiTheme="majorBidi" w:eastAsiaTheme="minorHAnsi" w:hAnsiTheme="majorBidi" w:cstheme="majorBidi"/>
          <w:sz w:val="24"/>
          <w:szCs w:val="24"/>
        </w:rPr>
        <w:t>of</w:t>
      </w:r>
      <w:r w:rsidRPr="00265453">
        <w:rPr>
          <w:rFonts w:asciiTheme="majorBidi" w:eastAsiaTheme="minorHAnsi" w:hAnsiTheme="majorBidi" w:cstheme="majorBidi"/>
          <w:sz w:val="24"/>
          <w:szCs w:val="24"/>
        </w:rPr>
        <w:t> Palestine</w:t>
      </w:r>
      <w:r>
        <w:rPr>
          <w:rStyle w:val="FootnoteReference"/>
          <w:rFonts w:eastAsiaTheme="minorHAnsi"/>
        </w:rPr>
        <w:footnoteReference w:id="3"/>
      </w:r>
      <w:r>
        <w:rPr>
          <w:rFonts w:eastAsiaTheme="minorHAnsi"/>
        </w:rPr>
        <w:t xml:space="preserve">. </w:t>
      </w:r>
    </w:p>
    <w:p w14:paraId="10D75A7C" w14:textId="6B399331" w:rsidR="00C47693" w:rsidRPr="00265453" w:rsidRDefault="00476019" w:rsidP="00C47693">
      <w:pPr>
        <w:bidi w:val="0"/>
        <w:spacing w:line="276" w:lineRule="auto"/>
        <w:ind w:left="851"/>
        <w:jc w:val="cente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 xml:space="preserve">Figure 2 - </w:t>
      </w:r>
      <w:r w:rsidR="00C47693" w:rsidRPr="00265453">
        <w:rPr>
          <w:rFonts w:asciiTheme="majorBidi" w:eastAsiaTheme="minorHAnsi" w:hAnsiTheme="majorBidi" w:cstheme="majorBidi"/>
          <w:b/>
          <w:bCs/>
          <w:sz w:val="24"/>
          <w:szCs w:val="24"/>
        </w:rPr>
        <w:t>Division of the British Mandate of Palestine</w:t>
      </w:r>
    </w:p>
    <w:p w14:paraId="30B6F74D" w14:textId="77777777" w:rsidR="00C47693" w:rsidRDefault="00C47693" w:rsidP="00C47693">
      <w:pPr>
        <w:bidi w:val="0"/>
        <w:ind w:left="851"/>
        <w:jc w:val="center"/>
        <w:rPr>
          <w:rFonts w:eastAsiaTheme="minorHAnsi"/>
        </w:rPr>
      </w:pPr>
      <w:r>
        <w:rPr>
          <w:rFonts w:eastAsiaTheme="minorHAnsi"/>
          <w:noProof/>
        </w:rPr>
        <w:drawing>
          <wp:inline distT="0" distB="0" distL="0" distR="0" wp14:anchorId="5B1CB578" wp14:editId="1245C0EA">
            <wp:extent cx="2224216" cy="3058214"/>
            <wp:effectExtent l="0" t="0" r="5080" b="889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079" cy="3062150"/>
                    </a:xfrm>
                    <a:prstGeom prst="rect">
                      <a:avLst/>
                    </a:prstGeom>
                    <a:noFill/>
                    <a:ln>
                      <a:noFill/>
                    </a:ln>
                  </pic:spPr>
                </pic:pic>
              </a:graphicData>
            </a:graphic>
          </wp:inline>
        </w:drawing>
      </w:r>
    </w:p>
    <w:p w14:paraId="763A1DE9" w14:textId="77777777" w:rsidR="00C47693" w:rsidRDefault="00C47693" w:rsidP="00C47693">
      <w:pPr>
        <w:bidi w:val="0"/>
        <w:spacing w:line="480" w:lineRule="auto"/>
        <w:ind w:left="851"/>
        <w:jc w:val="center"/>
        <w:rPr>
          <w:rFonts w:asciiTheme="majorBidi" w:eastAsiaTheme="minorHAnsi" w:hAnsiTheme="majorBidi" w:cstheme="majorBidi"/>
          <w:sz w:val="20"/>
          <w:szCs w:val="20"/>
        </w:rPr>
      </w:pPr>
      <w:r>
        <w:rPr>
          <w:rFonts w:asciiTheme="majorBidi" w:eastAsiaTheme="minorHAnsi" w:hAnsiTheme="majorBidi" w:cstheme="majorBidi"/>
          <w:sz w:val="20"/>
          <w:szCs w:val="20"/>
        </w:rPr>
        <w:t>Source:</w:t>
      </w:r>
      <w:r>
        <w:rPr>
          <w:rFonts w:asciiTheme="majorBidi" w:hAnsiTheme="majorBidi" w:cstheme="majorBidi"/>
          <w:color w:val="404040"/>
          <w:sz w:val="20"/>
          <w:szCs w:val="20"/>
          <w:shd w:val="clear" w:color="auto" w:fill="FFFFFF"/>
        </w:rPr>
        <w:t xml:space="preserve"> IDF Mapping Unit and Israel MFA</w:t>
      </w:r>
    </w:p>
    <w:p w14:paraId="2E9A64CA" w14:textId="77777777" w:rsidR="00C47693" w:rsidRDefault="00C47693" w:rsidP="00C47693">
      <w:pPr>
        <w:bidi w:val="0"/>
        <w:spacing w:line="480" w:lineRule="auto"/>
        <w:ind w:left="851"/>
        <w:jc w:val="both"/>
        <w:rPr>
          <w:rFonts w:ascii="Times New Roman" w:eastAsiaTheme="minorHAnsi" w:hAnsi="Times New Roman" w:cs="Times New Roman"/>
          <w:sz w:val="24"/>
          <w:szCs w:val="24"/>
        </w:rPr>
      </w:pPr>
    </w:p>
    <w:p w14:paraId="741957A5" w14:textId="6EAB142B" w:rsidR="00C47693" w:rsidRDefault="00C47693" w:rsidP="00C47693">
      <w:pPr>
        <w:bidi w:val="0"/>
        <w:spacing w:line="480" w:lineRule="auto"/>
        <w:ind w:left="851"/>
        <w:jc w:val="both"/>
        <w:rPr>
          <w:rFonts w:eastAsiaTheme="minorHAnsi"/>
        </w:rPr>
      </w:pPr>
      <w:r w:rsidRPr="00265453">
        <w:rPr>
          <w:rFonts w:asciiTheme="majorBidi" w:eastAsiaTheme="minorHAnsi" w:hAnsiTheme="majorBidi" w:cstheme="majorBidi"/>
          <w:sz w:val="24"/>
          <w:szCs w:val="24"/>
        </w:rPr>
        <w:t xml:space="preserve">According to </w:t>
      </w:r>
      <w:proofErr w:type="spellStart"/>
      <w:r w:rsidRPr="00265453">
        <w:rPr>
          <w:rFonts w:asciiTheme="majorBidi" w:eastAsiaTheme="minorHAnsi" w:hAnsiTheme="majorBidi" w:cstheme="majorBidi"/>
          <w:sz w:val="24"/>
          <w:szCs w:val="24"/>
        </w:rPr>
        <w:t>Metzer</w:t>
      </w:r>
      <w:proofErr w:type="spellEnd"/>
      <w:r w:rsidRPr="00265453">
        <w:rPr>
          <w:rFonts w:asciiTheme="majorBidi" w:eastAsiaTheme="minorHAnsi" w:hAnsiTheme="majorBidi" w:cstheme="majorBidi"/>
          <w:sz w:val="24"/>
          <w:szCs w:val="24"/>
        </w:rPr>
        <w:t xml:space="preserve"> (1998)</w:t>
      </w:r>
      <w:r w:rsidR="00271B30">
        <w:rPr>
          <w:rFonts w:asciiTheme="majorBidi" w:eastAsiaTheme="minorHAnsi" w:hAnsiTheme="majorBidi" w:cstheme="majorBidi"/>
          <w:sz w:val="24"/>
          <w:szCs w:val="24"/>
        </w:rPr>
        <w:t>,</w:t>
      </w:r>
      <w:r w:rsidRPr="00265453">
        <w:rPr>
          <w:rFonts w:asciiTheme="majorBidi" w:eastAsiaTheme="minorHAnsi" w:hAnsiTheme="majorBidi" w:cstheme="majorBidi"/>
          <w:sz w:val="24"/>
          <w:szCs w:val="24"/>
        </w:rPr>
        <w:t xml:space="preserve"> the Mandatory Government provided an official “state” identity and citizenship and created a unified civil administration: </w:t>
      </w:r>
      <w:r w:rsidR="00271B30">
        <w:rPr>
          <w:rFonts w:asciiTheme="majorBidi" w:eastAsiaTheme="minorHAnsi" w:hAnsiTheme="majorBidi" w:cstheme="majorBidi"/>
          <w:sz w:val="24"/>
          <w:szCs w:val="24"/>
        </w:rPr>
        <w:t xml:space="preserve">a </w:t>
      </w:r>
      <w:r w:rsidRPr="00265453">
        <w:rPr>
          <w:rFonts w:asciiTheme="majorBidi" w:eastAsiaTheme="minorHAnsi" w:hAnsiTheme="majorBidi" w:cstheme="majorBidi"/>
          <w:sz w:val="24"/>
          <w:szCs w:val="24"/>
        </w:rPr>
        <w:t>legal structure enforced by state police and court</w:t>
      </w:r>
      <w:r w:rsidR="00271B30">
        <w:rPr>
          <w:rFonts w:asciiTheme="majorBidi" w:eastAsiaTheme="minorHAnsi" w:hAnsiTheme="majorBidi" w:cstheme="majorBidi"/>
          <w:sz w:val="24"/>
          <w:szCs w:val="24"/>
        </w:rPr>
        <w:t>s</w:t>
      </w:r>
      <w:r w:rsidRPr="00265453">
        <w:rPr>
          <w:rFonts w:asciiTheme="majorBidi" w:eastAsiaTheme="minorHAnsi" w:hAnsiTheme="majorBidi" w:cstheme="majorBidi"/>
          <w:sz w:val="24"/>
          <w:szCs w:val="24"/>
        </w:rPr>
        <w:t xml:space="preserve">, a centrally designed and administered fiscal system, </w:t>
      </w:r>
      <w:r w:rsidR="002E6D98">
        <w:rPr>
          <w:rFonts w:asciiTheme="majorBidi" w:eastAsiaTheme="minorHAnsi" w:hAnsiTheme="majorBidi" w:cstheme="majorBidi"/>
          <w:sz w:val="24"/>
          <w:szCs w:val="24"/>
        </w:rPr>
        <w:t xml:space="preserve">an </w:t>
      </w:r>
      <w:r w:rsidRPr="00265453">
        <w:rPr>
          <w:rFonts w:asciiTheme="majorBidi" w:eastAsiaTheme="minorHAnsi" w:hAnsiTheme="majorBidi" w:cstheme="majorBidi"/>
          <w:sz w:val="24"/>
          <w:szCs w:val="24"/>
        </w:rPr>
        <w:t>integrated monetary regime,</w:t>
      </w:r>
      <w:r w:rsidR="002E6D98">
        <w:rPr>
          <w:rFonts w:asciiTheme="majorBidi" w:eastAsiaTheme="minorHAnsi" w:hAnsiTheme="majorBidi" w:cstheme="majorBidi"/>
          <w:sz w:val="24"/>
          <w:szCs w:val="24"/>
        </w:rPr>
        <w:t xml:space="preserve"> and a</w:t>
      </w:r>
      <w:r w:rsidRPr="00265453">
        <w:rPr>
          <w:rFonts w:asciiTheme="majorBidi" w:eastAsiaTheme="minorHAnsi" w:hAnsiTheme="majorBidi" w:cstheme="majorBidi"/>
          <w:sz w:val="24"/>
          <w:szCs w:val="24"/>
        </w:rPr>
        <w:t xml:space="preserve"> modern transportation and communication infrastructure. As such</w:t>
      </w:r>
      <w:r w:rsidR="00885DC4">
        <w:rPr>
          <w:rFonts w:asciiTheme="majorBidi" w:eastAsiaTheme="minorHAnsi" w:hAnsiTheme="majorBidi" w:cstheme="majorBidi"/>
          <w:sz w:val="24"/>
          <w:szCs w:val="24"/>
        </w:rPr>
        <w:t>,</w:t>
      </w:r>
      <w:r w:rsidRPr="00265453">
        <w:rPr>
          <w:rFonts w:asciiTheme="majorBidi" w:eastAsiaTheme="minorHAnsi" w:hAnsiTheme="majorBidi" w:cstheme="majorBidi"/>
          <w:sz w:val="24"/>
          <w:szCs w:val="24"/>
        </w:rPr>
        <w:t xml:space="preserve"> they constituted </w:t>
      </w:r>
      <w:r w:rsidR="00885DC4">
        <w:rPr>
          <w:rFonts w:asciiTheme="majorBidi" w:eastAsiaTheme="minorHAnsi" w:hAnsiTheme="majorBidi" w:cstheme="majorBidi"/>
          <w:sz w:val="24"/>
          <w:szCs w:val="24"/>
        </w:rPr>
        <w:t xml:space="preserve">a </w:t>
      </w:r>
      <w:r w:rsidRPr="00265453">
        <w:rPr>
          <w:rFonts w:asciiTheme="majorBidi" w:eastAsiaTheme="minorHAnsi" w:hAnsiTheme="majorBidi" w:cstheme="majorBidi"/>
          <w:sz w:val="24"/>
          <w:szCs w:val="24"/>
        </w:rPr>
        <w:t>common framework for the conduct of civil affairs, for internal economic activity and for external trade. De facto, the Mandatory Government provided a solid institutional and operational foundation for the formulation of a single economy. But the British task</w:t>
      </w:r>
      <w:r w:rsidR="00885DC4" w:rsidRPr="00885DC4">
        <w:rPr>
          <w:rFonts w:asciiTheme="majorBidi" w:eastAsiaTheme="minorHAnsi" w:hAnsiTheme="majorBidi" w:cstheme="majorBidi"/>
          <w:sz w:val="24"/>
          <w:szCs w:val="24"/>
        </w:rPr>
        <w:t xml:space="preserve"> </w:t>
      </w:r>
      <w:r w:rsidR="00885DC4" w:rsidRPr="00265453">
        <w:rPr>
          <w:rFonts w:asciiTheme="majorBidi" w:eastAsiaTheme="minorHAnsi" w:hAnsiTheme="majorBidi" w:cstheme="majorBidi"/>
          <w:sz w:val="24"/>
          <w:szCs w:val="24"/>
        </w:rPr>
        <w:t>also</w:t>
      </w:r>
      <w:r w:rsidRPr="00265453">
        <w:rPr>
          <w:rFonts w:asciiTheme="majorBidi" w:eastAsiaTheme="minorHAnsi" w:hAnsiTheme="majorBidi" w:cstheme="majorBidi"/>
          <w:sz w:val="24"/>
          <w:szCs w:val="24"/>
        </w:rPr>
        <w:t xml:space="preserve"> involved </w:t>
      </w:r>
      <w:r w:rsidR="00885DC4">
        <w:rPr>
          <w:rFonts w:asciiTheme="majorBidi" w:eastAsiaTheme="minorHAnsi" w:hAnsiTheme="majorBidi" w:cstheme="majorBidi"/>
          <w:sz w:val="24"/>
          <w:szCs w:val="24"/>
        </w:rPr>
        <w:t>an</w:t>
      </w:r>
      <w:r w:rsidRPr="00265453">
        <w:rPr>
          <w:rFonts w:asciiTheme="majorBidi" w:eastAsiaTheme="minorHAnsi" w:hAnsiTheme="majorBidi" w:cstheme="majorBidi"/>
          <w:sz w:val="24"/>
          <w:szCs w:val="24"/>
        </w:rPr>
        <w:t xml:space="preserve"> explicit commitment to the promotion of a Jewish national home</w:t>
      </w:r>
      <w:r w:rsidR="005E6E0B">
        <w:rPr>
          <w:rFonts w:asciiTheme="majorBidi" w:eastAsiaTheme="minorHAnsi" w:hAnsiTheme="majorBidi" w:cstheme="majorBidi"/>
          <w:sz w:val="24"/>
          <w:szCs w:val="24"/>
        </w:rPr>
        <w:t>,</w:t>
      </w:r>
      <w:r w:rsidRPr="00265453">
        <w:rPr>
          <w:rFonts w:asciiTheme="majorBidi" w:eastAsiaTheme="minorHAnsi" w:hAnsiTheme="majorBidi" w:cstheme="majorBidi"/>
          <w:sz w:val="24"/>
          <w:szCs w:val="24"/>
        </w:rPr>
        <w:t xml:space="preserve"> as embedded in the Mandate</w:t>
      </w:r>
      <w:r w:rsidR="005E6E0B">
        <w:rPr>
          <w:rFonts w:asciiTheme="majorBidi" w:eastAsiaTheme="minorHAnsi" w:hAnsiTheme="majorBidi" w:cstheme="majorBidi"/>
          <w:sz w:val="24"/>
          <w:szCs w:val="24"/>
        </w:rPr>
        <w:t>’s</w:t>
      </w:r>
      <w:r w:rsidRPr="00265453">
        <w:rPr>
          <w:rFonts w:asciiTheme="majorBidi" w:eastAsiaTheme="minorHAnsi" w:hAnsiTheme="majorBidi" w:cstheme="majorBidi"/>
          <w:sz w:val="24"/>
          <w:szCs w:val="24"/>
        </w:rPr>
        <w:t xml:space="preserve"> wording</w:t>
      </w:r>
      <w:r>
        <w:rPr>
          <w:rStyle w:val="FootnoteReference"/>
          <w:rFonts w:eastAsiaTheme="minorHAnsi"/>
        </w:rPr>
        <w:footnoteReference w:id="4"/>
      </w:r>
      <w:r>
        <w:rPr>
          <w:rFonts w:eastAsiaTheme="minorHAnsi"/>
        </w:rPr>
        <w:t xml:space="preserve">. </w:t>
      </w:r>
      <w:r w:rsidRPr="00265453">
        <w:rPr>
          <w:rFonts w:asciiTheme="majorBidi" w:eastAsiaTheme="minorHAnsi" w:hAnsiTheme="majorBidi" w:cstheme="majorBidi"/>
          <w:sz w:val="24"/>
          <w:szCs w:val="24"/>
        </w:rPr>
        <w:t xml:space="preserve">Regarding currency arrangements, until 1918, </w:t>
      </w:r>
      <w:r w:rsidR="005E6E0B">
        <w:rPr>
          <w:rFonts w:asciiTheme="majorBidi" w:eastAsiaTheme="minorHAnsi" w:hAnsiTheme="majorBidi" w:cstheme="majorBidi"/>
          <w:sz w:val="24"/>
          <w:szCs w:val="24"/>
        </w:rPr>
        <w:t xml:space="preserve">the </w:t>
      </w:r>
      <w:r w:rsidRPr="00265453">
        <w:rPr>
          <w:rFonts w:asciiTheme="majorBidi" w:eastAsiaTheme="minorHAnsi" w:hAnsiTheme="majorBidi" w:cstheme="majorBidi"/>
          <w:sz w:val="24"/>
          <w:szCs w:val="24"/>
        </w:rPr>
        <w:t xml:space="preserve">Palestine area was an integral part of the Ottoman Empire and therefore used its currency. In 1921 the British administration ordered that only Egyptian currency and the British gold sovereign would be legal tender in the </w:t>
      </w:r>
      <w:r w:rsidR="00CD3AA2">
        <w:rPr>
          <w:rFonts w:asciiTheme="majorBidi" w:eastAsiaTheme="minorHAnsi" w:hAnsiTheme="majorBidi" w:cstheme="majorBidi"/>
          <w:sz w:val="24"/>
          <w:szCs w:val="24"/>
        </w:rPr>
        <w:t>a</w:t>
      </w:r>
      <w:r w:rsidRPr="00265453">
        <w:rPr>
          <w:rFonts w:asciiTheme="majorBidi" w:eastAsiaTheme="minorHAnsi" w:hAnsiTheme="majorBidi" w:cstheme="majorBidi"/>
          <w:sz w:val="24"/>
          <w:szCs w:val="24"/>
        </w:rPr>
        <w:t>rea. In 1926, the British Secretary of State for the Colonies appointed a Palestine Currency Board to introduce a local currency</w:t>
      </w:r>
      <w:r>
        <w:rPr>
          <w:rStyle w:val="FootnoteReference"/>
          <w:rFonts w:eastAsiaTheme="minorHAnsi"/>
        </w:rPr>
        <w:footnoteReference w:id="5"/>
      </w:r>
      <w:r>
        <w:rPr>
          <w:rFonts w:eastAsiaTheme="minorHAnsi"/>
        </w:rPr>
        <w:t xml:space="preserve">. </w:t>
      </w:r>
      <w:r w:rsidRPr="00265453">
        <w:rPr>
          <w:rFonts w:asciiTheme="majorBidi" w:eastAsiaTheme="minorHAnsi" w:hAnsiTheme="majorBidi" w:cstheme="majorBidi"/>
          <w:sz w:val="24"/>
          <w:szCs w:val="24"/>
        </w:rPr>
        <w:t>The board decided that the new currency would be called the Palestine pound, fixed in value to the British pound and it became legal tender on November 1927</w:t>
      </w:r>
      <w:r>
        <w:rPr>
          <w:rStyle w:val="FootnoteReference"/>
          <w:rFonts w:eastAsiaTheme="minorHAnsi"/>
        </w:rPr>
        <w:footnoteReference w:id="6"/>
      </w:r>
      <w:r>
        <w:rPr>
          <w:rFonts w:eastAsiaTheme="minorHAnsi"/>
        </w:rPr>
        <w:t xml:space="preserve">. </w:t>
      </w:r>
    </w:p>
    <w:p w14:paraId="0B4452F9" w14:textId="19D827F4" w:rsidR="00C47693" w:rsidRPr="00265453" w:rsidRDefault="00C47693" w:rsidP="00C47693">
      <w:pPr>
        <w:bidi w:val="0"/>
        <w:spacing w:line="480" w:lineRule="auto"/>
        <w:ind w:left="851"/>
        <w:jc w:val="both"/>
        <w:rPr>
          <w:rFonts w:asciiTheme="majorBidi" w:eastAsiaTheme="minorHAnsi" w:hAnsiTheme="majorBidi" w:cstheme="majorBidi"/>
          <w:sz w:val="24"/>
          <w:szCs w:val="24"/>
        </w:rPr>
      </w:pPr>
      <w:r w:rsidRPr="004E4CCF">
        <w:rPr>
          <w:rFonts w:asciiTheme="majorBidi" w:eastAsiaTheme="minorHAnsi" w:hAnsiTheme="majorBidi" w:cstheme="majorBidi"/>
          <w:sz w:val="24"/>
          <w:szCs w:val="24"/>
        </w:rPr>
        <w:t>According to</w:t>
      </w:r>
      <w:r w:rsidRPr="004E4CCF">
        <w:rPr>
          <w:rFonts w:asciiTheme="majorBidi" w:eastAsiaTheme="minorHAnsi" w:hAnsiTheme="majorBidi" w:cstheme="majorBidi"/>
          <w:sz w:val="24"/>
          <w:szCs w:val="24"/>
          <w:rtl/>
        </w:rPr>
        <w:t xml:space="preserve"> </w:t>
      </w:r>
      <w:proofErr w:type="spellStart"/>
      <w:r w:rsidRPr="004E4CCF">
        <w:rPr>
          <w:rFonts w:asciiTheme="majorBidi" w:eastAsiaTheme="minorHAnsi" w:hAnsiTheme="majorBidi" w:cstheme="majorBidi"/>
          <w:sz w:val="24"/>
          <w:szCs w:val="24"/>
        </w:rPr>
        <w:t>Shoukair</w:t>
      </w:r>
      <w:r w:rsidR="00550AD7" w:rsidRPr="004E4CCF">
        <w:rPr>
          <w:rFonts w:asciiTheme="majorBidi" w:eastAsiaTheme="minorHAnsi" w:hAnsiTheme="majorBidi" w:cstheme="majorBidi"/>
          <w:sz w:val="24"/>
          <w:szCs w:val="24"/>
        </w:rPr>
        <w:t>’</w:t>
      </w:r>
      <w:r w:rsidR="001A3BD8" w:rsidRPr="004E4CCF">
        <w:rPr>
          <w:rFonts w:asciiTheme="majorBidi" w:eastAsiaTheme="minorHAnsi" w:hAnsiTheme="majorBidi" w:cstheme="majorBidi"/>
          <w:sz w:val="24"/>
          <w:szCs w:val="24"/>
        </w:rPr>
        <w:t>s</w:t>
      </w:r>
      <w:proofErr w:type="spellEnd"/>
      <w:r w:rsidRPr="004E4CCF">
        <w:rPr>
          <w:rFonts w:asciiTheme="majorBidi" w:eastAsiaTheme="minorHAnsi" w:hAnsiTheme="majorBidi" w:cstheme="majorBidi"/>
          <w:sz w:val="24"/>
          <w:szCs w:val="24"/>
          <w:rtl/>
        </w:rPr>
        <w:t xml:space="preserve"> </w:t>
      </w:r>
      <w:r w:rsidRPr="004E4CCF">
        <w:rPr>
          <w:rFonts w:asciiTheme="majorBidi" w:eastAsiaTheme="minorHAnsi" w:hAnsiTheme="majorBidi" w:cstheme="majorBidi"/>
          <w:sz w:val="24"/>
          <w:szCs w:val="24"/>
        </w:rPr>
        <w:t>analysis</w:t>
      </w:r>
      <w:r w:rsidR="009C4927" w:rsidRPr="004E4CCF">
        <w:rPr>
          <w:rFonts w:asciiTheme="majorBidi" w:eastAsiaTheme="minorHAnsi" w:hAnsiTheme="majorBidi" w:cstheme="majorBidi"/>
          <w:sz w:val="24"/>
          <w:szCs w:val="24"/>
        </w:rPr>
        <w:t>,</w:t>
      </w:r>
      <w:r w:rsidRPr="004E4CCF">
        <w:rPr>
          <w:rFonts w:asciiTheme="majorBidi" w:eastAsiaTheme="minorHAnsi" w:hAnsiTheme="majorBidi" w:cstheme="majorBidi"/>
          <w:sz w:val="24"/>
          <w:szCs w:val="24"/>
        </w:rPr>
        <w:t xml:space="preserve"> it is fair to speak of two rather than one Palestinian economy</w:t>
      </w:r>
      <w:r w:rsidR="00D43C9C">
        <w:rPr>
          <w:rFonts w:asciiTheme="majorBidi" w:eastAsiaTheme="minorHAnsi" w:hAnsiTheme="majorBidi" w:cstheme="majorBidi"/>
          <w:sz w:val="24"/>
          <w:szCs w:val="24"/>
        </w:rPr>
        <w:t xml:space="preserve">. As he puts it </w:t>
      </w:r>
      <w:r w:rsidR="00D43C9C" w:rsidRPr="004E4CCF">
        <w:rPr>
          <w:rFonts w:asciiTheme="majorBidi" w:eastAsiaTheme="minorHAnsi" w:hAnsiTheme="majorBidi" w:cstheme="majorBidi"/>
          <w:sz w:val="24"/>
          <w:szCs w:val="24"/>
        </w:rPr>
        <w:t>(2013, 52)</w:t>
      </w:r>
      <w:r w:rsidRPr="004E4CCF">
        <w:rPr>
          <w:rFonts w:asciiTheme="majorBidi" w:eastAsiaTheme="minorHAnsi" w:hAnsiTheme="majorBidi" w:cstheme="majorBidi"/>
          <w:sz w:val="24"/>
          <w:szCs w:val="24"/>
        </w:rPr>
        <w:t xml:space="preserve">: </w:t>
      </w:r>
      <w:r w:rsidR="00CB3233" w:rsidRPr="004E4CCF">
        <w:rPr>
          <w:rFonts w:asciiTheme="majorBidi" w:eastAsiaTheme="minorHAnsi" w:hAnsiTheme="majorBidi" w:cstheme="majorBidi"/>
          <w:sz w:val="24"/>
          <w:szCs w:val="24"/>
        </w:rPr>
        <w:t>“</w:t>
      </w:r>
      <w:r w:rsidRPr="004E4CCF">
        <w:rPr>
          <w:rFonts w:asciiTheme="majorBidi" w:eastAsiaTheme="minorHAnsi" w:hAnsiTheme="majorBidi" w:cstheme="majorBidi"/>
          <w:sz w:val="24"/>
          <w:szCs w:val="24"/>
        </w:rPr>
        <w:t>while the</w:t>
      </w:r>
      <w:r w:rsidRPr="00265453">
        <w:rPr>
          <w:rFonts w:asciiTheme="majorBidi" w:eastAsiaTheme="minorHAnsi" w:hAnsiTheme="majorBidi" w:cstheme="majorBidi"/>
          <w:sz w:val="24"/>
          <w:szCs w:val="24"/>
        </w:rPr>
        <w:t xml:space="preserve"> Arab economy was based primarily on agriculture and commerce, the Jewish economy was more broad-based. Seeking to create a European lifestyle in Palestine to attract and consolidate Jewish immigration, the Jewish community erected urban centers and established capital-intensive industries. Given the social, demographic, organizational and political differences between the Jewish and Arab populations, economic integration in Mandatory Palestine was limited. Political ideologies and events exacerbated socio-economic segregation”.</w:t>
      </w:r>
    </w:p>
    <w:p w14:paraId="2E6548E8" w14:textId="77777777" w:rsidR="00FF1F9D" w:rsidRDefault="00C47693" w:rsidP="00C47693">
      <w:pPr>
        <w:bidi w:val="0"/>
        <w:spacing w:line="480" w:lineRule="auto"/>
        <w:ind w:left="851"/>
        <w:jc w:val="both"/>
        <w:rPr>
          <w:rFonts w:asciiTheme="majorBidi" w:eastAsiaTheme="minorHAnsi" w:hAnsiTheme="majorBidi" w:cstheme="majorBidi"/>
          <w:sz w:val="24"/>
          <w:szCs w:val="24"/>
        </w:rPr>
      </w:pPr>
      <w:proofErr w:type="spellStart"/>
      <w:r w:rsidRPr="00265453">
        <w:rPr>
          <w:rFonts w:asciiTheme="majorBidi" w:eastAsiaTheme="minorHAnsi" w:hAnsiTheme="majorBidi" w:cstheme="majorBidi"/>
          <w:sz w:val="24"/>
          <w:szCs w:val="24"/>
        </w:rPr>
        <w:t>Metzer</w:t>
      </w:r>
      <w:proofErr w:type="spellEnd"/>
      <w:r w:rsidRPr="00265453">
        <w:rPr>
          <w:rFonts w:asciiTheme="majorBidi" w:eastAsiaTheme="minorHAnsi" w:hAnsiTheme="majorBidi" w:cstheme="majorBidi"/>
          <w:sz w:val="24"/>
          <w:szCs w:val="24"/>
        </w:rPr>
        <w:t xml:space="preserve"> and Kaplan (1985) discuss </w:t>
      </w:r>
      <w:r w:rsidR="009D7FCD">
        <w:rPr>
          <w:rFonts w:asciiTheme="majorBidi" w:eastAsiaTheme="minorHAnsi" w:hAnsiTheme="majorBidi" w:cstheme="majorBidi"/>
          <w:sz w:val="24"/>
          <w:szCs w:val="24"/>
        </w:rPr>
        <w:t xml:space="preserve">the </w:t>
      </w:r>
      <w:r w:rsidRPr="00265453">
        <w:rPr>
          <w:rFonts w:asciiTheme="majorBidi" w:eastAsiaTheme="minorHAnsi" w:hAnsiTheme="majorBidi" w:cstheme="majorBidi"/>
          <w:sz w:val="24"/>
          <w:szCs w:val="24"/>
        </w:rPr>
        <w:t>Arab-Jewish dualism and economic growth in Mandatory Palestine. According to their research</w:t>
      </w:r>
      <w:r w:rsidR="009D7FCD">
        <w:rPr>
          <w:rFonts w:asciiTheme="majorBidi" w:eastAsiaTheme="minorHAnsi" w:hAnsiTheme="majorBidi" w:cstheme="majorBidi"/>
          <w:sz w:val="24"/>
          <w:szCs w:val="24"/>
        </w:rPr>
        <w:t>,</w:t>
      </w:r>
      <w:r w:rsidRPr="00265453">
        <w:rPr>
          <w:rFonts w:asciiTheme="majorBidi" w:eastAsiaTheme="minorHAnsi" w:hAnsiTheme="majorBidi" w:cstheme="majorBidi"/>
          <w:sz w:val="24"/>
          <w:szCs w:val="24"/>
        </w:rPr>
        <w:t xml:space="preserve"> under the relatively stable conditions of the British mandate a Jewish community was built alongside the Arab community. </w:t>
      </w:r>
      <w:r w:rsidR="002109DC">
        <w:rPr>
          <w:rFonts w:asciiTheme="majorBidi" w:eastAsiaTheme="minorHAnsi" w:hAnsiTheme="majorBidi" w:cstheme="majorBidi"/>
          <w:sz w:val="24"/>
          <w:szCs w:val="24"/>
        </w:rPr>
        <w:t>This</w:t>
      </w:r>
      <w:r w:rsidRPr="00265453">
        <w:rPr>
          <w:rFonts w:asciiTheme="majorBidi" w:eastAsiaTheme="minorHAnsi" w:hAnsiTheme="majorBidi" w:cstheme="majorBidi"/>
          <w:sz w:val="24"/>
          <w:szCs w:val="24"/>
        </w:rPr>
        <w:t xml:space="preserve"> turned Palestine into a binational dualistic entity, administratively united by the mandate. Palestine's dualism was reflected in two distinct economies - one was the low-income and relatively backward Arab economy, and the other was the relatively modern, high-income, and urban Jewish </w:t>
      </w:r>
      <w:r w:rsidR="009C13CB" w:rsidRPr="00265453">
        <w:rPr>
          <w:rFonts w:asciiTheme="majorBidi" w:eastAsiaTheme="minorHAnsi" w:hAnsiTheme="majorBidi" w:cstheme="majorBidi"/>
          <w:sz w:val="24"/>
          <w:szCs w:val="24"/>
        </w:rPr>
        <w:t>economy</w:t>
      </w:r>
      <w:r w:rsidR="0061393A">
        <w:rPr>
          <w:rFonts w:asciiTheme="majorBidi" w:eastAsiaTheme="minorHAnsi" w:hAnsiTheme="majorBidi" w:cstheme="majorBidi"/>
          <w:sz w:val="24"/>
          <w:szCs w:val="24"/>
        </w:rPr>
        <w:t xml:space="preserve">. As they wrote </w:t>
      </w:r>
      <w:r w:rsidR="00F10D4D">
        <w:rPr>
          <w:rFonts w:asciiTheme="majorBidi" w:eastAsiaTheme="minorHAnsi" w:hAnsiTheme="majorBidi" w:cstheme="majorBidi"/>
          <w:sz w:val="24"/>
          <w:szCs w:val="24"/>
        </w:rPr>
        <w:t xml:space="preserve">(1985, 339-341): </w:t>
      </w:r>
    </w:p>
    <w:p w14:paraId="15F9144F" w14:textId="0A8F16AB" w:rsidR="00FF1F9D" w:rsidRDefault="00C47693" w:rsidP="00B174DF">
      <w:pPr>
        <w:bidi w:val="0"/>
        <w:ind w:left="1440"/>
        <w:jc w:val="both"/>
        <w:rPr>
          <w:rFonts w:asciiTheme="majorBidi" w:eastAsiaTheme="minorHAnsi" w:hAnsiTheme="majorBidi" w:cstheme="majorBidi"/>
          <w:sz w:val="24"/>
          <w:szCs w:val="24"/>
        </w:rPr>
      </w:pPr>
      <w:r w:rsidRPr="00265453">
        <w:rPr>
          <w:rFonts w:asciiTheme="majorBidi" w:eastAsiaTheme="minorHAnsi" w:hAnsiTheme="majorBidi" w:cstheme="majorBidi"/>
          <w:sz w:val="24"/>
          <w:szCs w:val="24"/>
        </w:rPr>
        <w:t>"Besides the typical dualistic trade in agricultural products, Arab transport and trade services were used intensively by Jews. Arab building materials-primarily quarry products-fed the expanding Jewish construction industry, and dwelling services sold by Arab landlords housed part of the rapidly increasing Jewish population of the mixed towns. On the other hand, the proportion of Arab labor services bought by the Jewish economy, while rising, was still relatively small in 1935"….."A special role in intersectoral trade was played by the land sold by Arabs to Jews"…..  "there has been substantial rise in the product share of Arab exports to the Jewish economy, growing from 9.3 percent of Arab net product in 1921 to 14.0 percent in 1935 (including land sales, it rose from 13.9 to 24.5 percent of Arab product between the two years) while Jewish exports to the Arab economy were negligible in 1921 and reach to 7.8 percent of Jewish product"</w:t>
      </w:r>
      <w:r w:rsidR="0061393A">
        <w:rPr>
          <w:rFonts w:asciiTheme="majorBidi" w:eastAsiaTheme="minorHAnsi" w:hAnsiTheme="majorBidi" w:cstheme="majorBidi"/>
          <w:sz w:val="24"/>
          <w:szCs w:val="24"/>
        </w:rPr>
        <w:t>.</w:t>
      </w:r>
      <w:r w:rsidRPr="00265453">
        <w:rPr>
          <w:rFonts w:asciiTheme="majorBidi" w:eastAsiaTheme="minorHAnsi" w:hAnsiTheme="majorBidi" w:cstheme="majorBidi"/>
          <w:sz w:val="24"/>
          <w:szCs w:val="24"/>
        </w:rPr>
        <w:t xml:space="preserve"> </w:t>
      </w:r>
    </w:p>
    <w:p w14:paraId="572FE203" w14:textId="2D26ADB7" w:rsidR="00C47693" w:rsidRPr="00265453" w:rsidRDefault="00C47693" w:rsidP="00D20E75">
      <w:pPr>
        <w:bidi w:val="0"/>
        <w:spacing w:line="480" w:lineRule="auto"/>
        <w:ind w:left="851" w:firstLine="589"/>
        <w:jc w:val="both"/>
        <w:rPr>
          <w:rFonts w:asciiTheme="majorBidi" w:eastAsiaTheme="minorHAnsi" w:hAnsiTheme="majorBidi" w:cstheme="majorBidi"/>
          <w:sz w:val="24"/>
          <w:szCs w:val="24"/>
        </w:rPr>
      </w:pPr>
      <w:proofErr w:type="spellStart"/>
      <w:r w:rsidRPr="00265453">
        <w:rPr>
          <w:rFonts w:asciiTheme="majorBidi" w:eastAsiaTheme="minorHAnsi" w:hAnsiTheme="majorBidi" w:cstheme="majorBidi"/>
          <w:sz w:val="24"/>
          <w:szCs w:val="24"/>
        </w:rPr>
        <w:t>Metzer</w:t>
      </w:r>
      <w:proofErr w:type="spellEnd"/>
      <w:r w:rsidRPr="00265453">
        <w:rPr>
          <w:rFonts w:asciiTheme="majorBidi" w:eastAsiaTheme="minorHAnsi" w:hAnsiTheme="majorBidi" w:cstheme="majorBidi"/>
          <w:sz w:val="24"/>
          <w:szCs w:val="24"/>
        </w:rPr>
        <w:t xml:space="preserve"> and Kaplan</w:t>
      </w:r>
      <w:r w:rsidR="00596BCA">
        <w:rPr>
          <w:rFonts w:asciiTheme="majorBidi" w:eastAsiaTheme="minorHAnsi" w:hAnsiTheme="majorBidi" w:cstheme="majorBidi"/>
          <w:sz w:val="24"/>
          <w:szCs w:val="24"/>
        </w:rPr>
        <w:t>’s</w:t>
      </w:r>
      <w:r w:rsidR="00596BCA">
        <w:rPr>
          <w:rFonts w:asciiTheme="majorBidi" w:eastAsiaTheme="minorHAnsi" w:hAnsiTheme="majorBidi" w:cstheme="majorBidi"/>
          <w:sz w:val="24"/>
          <w:szCs w:val="24"/>
        </w:rPr>
        <w:tab/>
      </w:r>
      <w:r w:rsidRPr="00265453">
        <w:rPr>
          <w:rFonts w:asciiTheme="majorBidi" w:eastAsiaTheme="minorHAnsi" w:hAnsiTheme="majorBidi" w:cstheme="majorBidi"/>
          <w:sz w:val="24"/>
          <w:szCs w:val="24"/>
        </w:rPr>
        <w:t xml:space="preserve"> findings indicate that the political conflict between the two communities</w:t>
      </w:r>
      <w:r w:rsidR="005B4613">
        <w:rPr>
          <w:rFonts w:asciiTheme="majorBidi" w:eastAsiaTheme="minorHAnsi" w:hAnsiTheme="majorBidi" w:cstheme="majorBidi"/>
          <w:sz w:val="24"/>
          <w:szCs w:val="24"/>
        </w:rPr>
        <w:t xml:space="preserve"> --</w:t>
      </w:r>
      <w:r w:rsidRPr="00265453">
        <w:rPr>
          <w:rFonts w:asciiTheme="majorBidi" w:eastAsiaTheme="minorHAnsi" w:hAnsiTheme="majorBidi" w:cstheme="majorBidi"/>
          <w:sz w:val="24"/>
          <w:szCs w:val="24"/>
        </w:rPr>
        <w:t xml:space="preserve"> in view of the efforts made to limit</w:t>
      </w:r>
      <w:r>
        <w:rPr>
          <w:rFonts w:eastAsiaTheme="minorHAnsi"/>
        </w:rPr>
        <w:t xml:space="preserve"> </w:t>
      </w:r>
      <w:r w:rsidRPr="00265453">
        <w:rPr>
          <w:rFonts w:asciiTheme="majorBidi" w:eastAsiaTheme="minorHAnsi" w:hAnsiTheme="majorBidi" w:cstheme="majorBidi"/>
          <w:sz w:val="24"/>
          <w:szCs w:val="24"/>
        </w:rPr>
        <w:t>intersectoral relations at that period</w:t>
      </w:r>
      <w:r w:rsidR="005B4613">
        <w:rPr>
          <w:rFonts w:asciiTheme="majorBidi" w:eastAsiaTheme="minorHAnsi" w:hAnsiTheme="majorBidi" w:cstheme="majorBidi"/>
          <w:sz w:val="24"/>
          <w:szCs w:val="24"/>
        </w:rPr>
        <w:t xml:space="preserve"> --</w:t>
      </w:r>
      <w:r w:rsidRPr="00265453">
        <w:rPr>
          <w:rFonts w:asciiTheme="majorBidi" w:eastAsiaTheme="minorHAnsi" w:hAnsiTheme="majorBidi" w:cstheme="majorBidi"/>
          <w:sz w:val="24"/>
          <w:szCs w:val="24"/>
        </w:rPr>
        <w:t xml:space="preserve"> played only a minor role in shaping their economic interrelationship and performance. </w:t>
      </w:r>
    </w:p>
    <w:p w14:paraId="62FE78D6" w14:textId="4F689A1B" w:rsidR="00C47693" w:rsidRPr="00265453" w:rsidRDefault="00C47693" w:rsidP="00D20E75">
      <w:pPr>
        <w:bidi w:val="0"/>
        <w:spacing w:line="480" w:lineRule="auto"/>
        <w:ind w:left="851" w:firstLine="589"/>
        <w:jc w:val="both"/>
        <w:rPr>
          <w:rFonts w:asciiTheme="majorBidi" w:eastAsiaTheme="minorHAnsi" w:hAnsiTheme="majorBidi" w:cstheme="majorBidi"/>
          <w:sz w:val="24"/>
          <w:szCs w:val="24"/>
        </w:rPr>
      </w:pPr>
      <w:r w:rsidRPr="00265453">
        <w:rPr>
          <w:rFonts w:asciiTheme="majorBidi" w:eastAsiaTheme="minorHAnsi" w:hAnsiTheme="majorBidi" w:cstheme="majorBidi"/>
          <w:sz w:val="24"/>
          <w:szCs w:val="24"/>
        </w:rPr>
        <w:t>According to UNCTAD (1995)</w:t>
      </w:r>
      <w:r w:rsidR="00BD5484">
        <w:rPr>
          <w:rFonts w:asciiTheme="majorBidi" w:eastAsiaTheme="minorHAnsi" w:hAnsiTheme="majorBidi" w:cstheme="majorBidi"/>
          <w:sz w:val="24"/>
          <w:szCs w:val="24"/>
        </w:rPr>
        <w:t>,</w:t>
      </w:r>
      <w:r w:rsidRPr="00265453">
        <w:rPr>
          <w:rFonts w:asciiTheme="majorBidi" w:eastAsiaTheme="minorHAnsi" w:hAnsiTheme="majorBidi" w:cstheme="majorBidi"/>
          <w:sz w:val="24"/>
          <w:szCs w:val="24"/>
        </w:rPr>
        <w:t xml:space="preserve"> </w:t>
      </w:r>
      <w:r w:rsidR="00BD5484">
        <w:rPr>
          <w:rFonts w:asciiTheme="majorBidi" w:eastAsiaTheme="minorHAnsi" w:hAnsiTheme="majorBidi" w:cstheme="majorBidi"/>
          <w:sz w:val="24"/>
          <w:szCs w:val="24"/>
        </w:rPr>
        <w:t>b</w:t>
      </w:r>
      <w:r w:rsidRPr="00265453">
        <w:rPr>
          <w:rFonts w:asciiTheme="majorBidi" w:eastAsiaTheme="minorHAnsi" w:hAnsiTheme="majorBidi" w:cstheme="majorBidi"/>
          <w:sz w:val="24"/>
          <w:szCs w:val="24"/>
        </w:rPr>
        <w:t>oth the West Bank and the Gaza Strip were highly integrated into the economic network of Mandat</w:t>
      </w:r>
      <w:r w:rsidR="009A5776">
        <w:rPr>
          <w:rFonts w:asciiTheme="majorBidi" w:eastAsiaTheme="minorHAnsi" w:hAnsiTheme="majorBidi" w:cstheme="majorBidi"/>
          <w:sz w:val="24"/>
          <w:szCs w:val="24"/>
        </w:rPr>
        <w:t>ory</w:t>
      </w:r>
      <w:r w:rsidRPr="00265453">
        <w:rPr>
          <w:rFonts w:asciiTheme="majorBidi" w:eastAsiaTheme="minorHAnsi" w:hAnsiTheme="majorBidi" w:cstheme="majorBidi"/>
          <w:sz w:val="24"/>
          <w:szCs w:val="24"/>
        </w:rPr>
        <w:t xml:space="preserve"> Palestine. The economy of the WBG was by and large based on agriculture: the West Bank, primarily a</w:t>
      </w:r>
      <w:r w:rsidR="008E23A5">
        <w:rPr>
          <w:rFonts w:asciiTheme="majorBidi" w:eastAsiaTheme="minorHAnsi" w:hAnsiTheme="majorBidi" w:cstheme="majorBidi"/>
          <w:sz w:val="24"/>
          <w:szCs w:val="24"/>
        </w:rPr>
        <w:t xml:space="preserve"> </w:t>
      </w:r>
      <w:r w:rsidR="00AD0B02">
        <w:rPr>
          <w:rFonts w:asciiTheme="majorBidi" w:eastAsiaTheme="minorHAnsi" w:hAnsiTheme="majorBidi" w:cstheme="majorBidi"/>
          <w:sz w:val="24"/>
          <w:szCs w:val="24"/>
        </w:rPr>
        <w:t>S</w:t>
      </w:r>
      <w:r w:rsidR="004F0926" w:rsidRPr="004F0926">
        <w:rPr>
          <w:rFonts w:asciiTheme="majorBidi" w:eastAsiaTheme="minorHAnsi" w:hAnsiTheme="majorBidi" w:cstheme="majorBidi"/>
          <w:sz w:val="24"/>
          <w:szCs w:val="24"/>
        </w:rPr>
        <w:t xml:space="preserve">emi-arid </w:t>
      </w:r>
      <w:r w:rsidRPr="00265453">
        <w:rPr>
          <w:rFonts w:asciiTheme="majorBidi" w:eastAsiaTheme="minorHAnsi" w:hAnsiTheme="majorBidi" w:cstheme="majorBidi"/>
          <w:sz w:val="24"/>
          <w:szCs w:val="24"/>
        </w:rPr>
        <w:t>farming area, sold much of its output to the coastal urban centers. The Gaza Strip was primarily a citrus producing area. Both areas also found an outlet for their surplus labor in the central coastal area. It is estimated that up to 1948, at least 80,000 persons from the West Bank worked, both seasonally and for extended periods, in the coastal urban centers. The Gaza Strip was also economically integrated into the coastal region to the north and it is estimated that around 80 per cent of the Gaza area population depended on contacts with the rest of Palestine for their livelihood.</w:t>
      </w:r>
    </w:p>
    <w:p w14:paraId="576E8B39" w14:textId="0AB1BC40" w:rsidR="00C47693" w:rsidRDefault="00C47693" w:rsidP="008E23A5">
      <w:pPr>
        <w:bidi w:val="0"/>
        <w:spacing w:line="480" w:lineRule="auto"/>
        <w:ind w:left="851" w:firstLine="589"/>
        <w:jc w:val="both"/>
        <w:rPr>
          <w:rFonts w:eastAsiaTheme="minorHAnsi"/>
        </w:rPr>
      </w:pPr>
      <w:r w:rsidRPr="00265453">
        <w:rPr>
          <w:rFonts w:asciiTheme="majorBidi" w:eastAsiaTheme="minorHAnsi" w:hAnsiTheme="majorBidi" w:cstheme="majorBidi"/>
          <w:sz w:val="24"/>
          <w:szCs w:val="24"/>
        </w:rPr>
        <w:t xml:space="preserve">In 1936, </w:t>
      </w:r>
      <w:r w:rsidR="008E23A5">
        <w:rPr>
          <w:rFonts w:asciiTheme="majorBidi" w:eastAsiaTheme="minorHAnsi" w:hAnsiTheme="majorBidi" w:cstheme="majorBidi"/>
          <w:sz w:val="24"/>
          <w:szCs w:val="24"/>
        </w:rPr>
        <w:t xml:space="preserve">an </w:t>
      </w:r>
      <w:r w:rsidRPr="00265453">
        <w:rPr>
          <w:rFonts w:asciiTheme="majorBidi" w:eastAsiaTheme="minorHAnsi" w:hAnsiTheme="majorBidi" w:cstheme="majorBidi"/>
          <w:sz w:val="24"/>
          <w:szCs w:val="24"/>
        </w:rPr>
        <w:t xml:space="preserve">Arab revolt in Palestine took place. It was a nationalist uprising by Palestinian Arabs against the British administration, demanding Arab independence and the end of the policy of open-ended Jewish immigration and land purchases with the stated goal of establishing a "Jewish National Home". The hostilities contributed to further disengagement of the Jewish and Arab economies in Palestine, which were intertwined to some extent until that time. The revolt included a general strike and economic boycott </w:t>
      </w:r>
      <w:r w:rsidR="00C307ED">
        <w:rPr>
          <w:rFonts w:asciiTheme="majorBidi" w:eastAsiaTheme="minorHAnsi" w:hAnsiTheme="majorBidi" w:cstheme="majorBidi"/>
          <w:sz w:val="24"/>
          <w:szCs w:val="24"/>
        </w:rPr>
        <w:t>of</w:t>
      </w:r>
      <w:r w:rsidRPr="00265453">
        <w:rPr>
          <w:rFonts w:asciiTheme="majorBidi" w:eastAsiaTheme="minorHAnsi" w:hAnsiTheme="majorBidi" w:cstheme="majorBidi"/>
          <w:sz w:val="24"/>
          <w:szCs w:val="24"/>
        </w:rPr>
        <w:t xml:space="preserve"> the Jewish sector. But the revolt did not achieve its goals: the Jewish sector was not materially harmed by those acts </w:t>
      </w:r>
      <w:r w:rsidRPr="00142B9E">
        <w:rPr>
          <w:rFonts w:asciiTheme="majorBidi" w:eastAsiaTheme="minorHAnsi" w:hAnsiTheme="majorBidi" w:cstheme="majorBidi"/>
          <w:sz w:val="24"/>
          <w:szCs w:val="24"/>
        </w:rPr>
        <w:t>and</w:t>
      </w:r>
      <w:r w:rsidR="00B158D7" w:rsidRPr="00142B9E">
        <w:rPr>
          <w:rFonts w:asciiTheme="majorBidi" w:eastAsiaTheme="minorHAnsi" w:hAnsiTheme="majorBidi" w:cstheme="majorBidi"/>
          <w:sz w:val="24"/>
          <w:szCs w:val="24"/>
        </w:rPr>
        <w:t xml:space="preserve"> </w:t>
      </w:r>
      <w:r w:rsidR="00C10FBD" w:rsidRPr="00142B9E">
        <w:rPr>
          <w:rFonts w:asciiTheme="majorBidi" w:eastAsiaTheme="minorHAnsi" w:hAnsiTheme="majorBidi" w:cstheme="majorBidi"/>
          <w:sz w:val="24"/>
          <w:szCs w:val="24"/>
        </w:rPr>
        <w:t>its economic activities</w:t>
      </w:r>
      <w:r w:rsidRPr="00142B9E">
        <w:rPr>
          <w:rFonts w:asciiTheme="majorBidi" w:eastAsiaTheme="minorHAnsi" w:hAnsiTheme="majorBidi" w:cstheme="majorBidi"/>
          <w:sz w:val="24"/>
          <w:szCs w:val="24"/>
        </w:rPr>
        <w:t xml:space="preserve"> even </w:t>
      </w:r>
      <w:r w:rsidRPr="00265453">
        <w:rPr>
          <w:rFonts w:asciiTheme="majorBidi" w:eastAsiaTheme="minorHAnsi" w:hAnsiTheme="majorBidi" w:cstheme="majorBidi"/>
          <w:sz w:val="24"/>
          <w:szCs w:val="24"/>
        </w:rPr>
        <w:t xml:space="preserve">intensified. Development of the Jewish economy and infrastructure were accelerated- for example, </w:t>
      </w:r>
      <w:r w:rsidR="00FA427C">
        <w:rPr>
          <w:rFonts w:asciiTheme="majorBidi" w:eastAsiaTheme="minorHAnsi" w:hAnsiTheme="majorBidi" w:cstheme="majorBidi"/>
          <w:sz w:val="24"/>
          <w:szCs w:val="24"/>
        </w:rPr>
        <w:t>there was</w:t>
      </w:r>
      <w:r w:rsidRPr="00265453">
        <w:rPr>
          <w:rFonts w:asciiTheme="majorBidi" w:eastAsiaTheme="minorHAnsi" w:hAnsiTheme="majorBidi" w:cstheme="majorBidi"/>
          <w:sz w:val="24"/>
          <w:szCs w:val="24"/>
        </w:rPr>
        <w:t xml:space="preserve"> construction of a separate Jewish-run seaport in Tel Aviv and </w:t>
      </w:r>
      <w:r w:rsidR="00FA427C">
        <w:rPr>
          <w:rFonts w:asciiTheme="majorBidi" w:eastAsiaTheme="minorHAnsi" w:hAnsiTheme="majorBidi" w:cstheme="majorBidi"/>
          <w:sz w:val="24"/>
          <w:szCs w:val="24"/>
        </w:rPr>
        <w:t xml:space="preserve">a </w:t>
      </w:r>
      <w:r w:rsidRPr="00265453">
        <w:rPr>
          <w:rFonts w:asciiTheme="majorBidi" w:eastAsiaTheme="minorHAnsi" w:hAnsiTheme="majorBidi" w:cstheme="majorBidi"/>
          <w:sz w:val="24"/>
          <w:szCs w:val="24"/>
        </w:rPr>
        <w:t xml:space="preserve">Metal works </w:t>
      </w:r>
      <w:r w:rsidR="00F868E2">
        <w:rPr>
          <w:rFonts w:asciiTheme="majorBidi" w:eastAsiaTheme="minorHAnsi" w:hAnsiTheme="majorBidi" w:cstheme="majorBidi"/>
          <w:sz w:val="24"/>
          <w:szCs w:val="24"/>
        </w:rPr>
        <w:t>was</w:t>
      </w:r>
      <w:r w:rsidRPr="00265453">
        <w:rPr>
          <w:rFonts w:asciiTheme="majorBidi" w:eastAsiaTheme="minorHAnsi" w:hAnsiTheme="majorBidi" w:cstheme="majorBidi"/>
          <w:sz w:val="24"/>
          <w:szCs w:val="24"/>
        </w:rPr>
        <w:t xml:space="preserve"> established to produce armored </w:t>
      </w:r>
      <w:r w:rsidR="00F868E2">
        <w:rPr>
          <w:rFonts w:asciiTheme="majorBidi" w:eastAsiaTheme="minorHAnsi" w:hAnsiTheme="majorBidi" w:cstheme="majorBidi"/>
          <w:sz w:val="24"/>
          <w:szCs w:val="24"/>
        </w:rPr>
        <w:t>plating</w:t>
      </w:r>
      <w:r w:rsidRPr="00265453">
        <w:rPr>
          <w:rFonts w:asciiTheme="majorBidi" w:eastAsiaTheme="minorHAnsi" w:hAnsiTheme="majorBidi" w:cstheme="majorBidi"/>
          <w:sz w:val="24"/>
          <w:szCs w:val="24"/>
        </w:rPr>
        <w:t xml:space="preserve"> for vehicles</w:t>
      </w:r>
      <w:r w:rsidR="003C2363">
        <w:rPr>
          <w:rFonts w:asciiTheme="majorBidi" w:eastAsiaTheme="minorHAnsi" w:hAnsiTheme="majorBidi" w:cstheme="majorBidi"/>
          <w:sz w:val="24"/>
          <w:szCs w:val="24"/>
        </w:rPr>
        <w:t xml:space="preserve">, in addition </w:t>
      </w:r>
      <w:r w:rsidRPr="00265453">
        <w:rPr>
          <w:rFonts w:asciiTheme="majorBidi" w:eastAsiaTheme="minorHAnsi" w:hAnsiTheme="majorBidi" w:cstheme="majorBidi"/>
          <w:sz w:val="24"/>
          <w:szCs w:val="24"/>
        </w:rPr>
        <w:t>a rudimentary</w:t>
      </w:r>
      <w:r w:rsidRPr="00265453">
        <w:rPr>
          <w:rFonts w:eastAsiaTheme="minorHAnsi"/>
          <w:sz w:val="24"/>
          <w:szCs w:val="24"/>
        </w:rPr>
        <w:t xml:space="preserve"> </w:t>
      </w:r>
      <w:r w:rsidRPr="00265453">
        <w:rPr>
          <w:rFonts w:asciiTheme="majorBidi" w:eastAsiaTheme="minorHAnsi" w:hAnsiTheme="majorBidi" w:cstheme="majorBidi"/>
          <w:sz w:val="24"/>
          <w:szCs w:val="24"/>
        </w:rPr>
        <w:t>arms industry was founded.</w:t>
      </w:r>
      <w:r w:rsidR="00DD3D1A">
        <w:rPr>
          <w:rFonts w:asciiTheme="majorBidi" w:eastAsiaTheme="minorHAnsi" w:hAnsiTheme="majorBidi" w:cstheme="majorBidi"/>
          <w:sz w:val="24"/>
          <w:szCs w:val="24"/>
        </w:rPr>
        <w:t xml:space="preserve"> T</w:t>
      </w:r>
      <w:r w:rsidRPr="00265453">
        <w:rPr>
          <w:rFonts w:asciiTheme="majorBidi" w:eastAsiaTheme="minorHAnsi" w:hAnsiTheme="majorBidi" w:cstheme="majorBidi"/>
          <w:sz w:val="24"/>
          <w:szCs w:val="24"/>
        </w:rPr>
        <w:t>ransportation capabilities were enhanced</w:t>
      </w:r>
      <w:r w:rsidR="00DD3D1A">
        <w:rPr>
          <w:rFonts w:asciiTheme="majorBidi" w:eastAsiaTheme="minorHAnsi" w:hAnsiTheme="majorBidi" w:cstheme="majorBidi"/>
          <w:sz w:val="24"/>
          <w:szCs w:val="24"/>
        </w:rPr>
        <w:t>,</w:t>
      </w:r>
      <w:r w:rsidRPr="00265453">
        <w:rPr>
          <w:rFonts w:asciiTheme="majorBidi" w:eastAsiaTheme="minorHAnsi" w:hAnsiTheme="majorBidi" w:cstheme="majorBidi"/>
          <w:sz w:val="24"/>
          <w:szCs w:val="24"/>
        </w:rPr>
        <w:t xml:space="preserve"> and Jewish unemployment</w:t>
      </w:r>
      <w:r w:rsidR="00C40DA6">
        <w:rPr>
          <w:rFonts w:asciiTheme="majorBidi" w:eastAsiaTheme="minorHAnsi" w:hAnsiTheme="majorBidi" w:cstheme="majorBidi"/>
          <w:sz w:val="24"/>
          <w:szCs w:val="24"/>
        </w:rPr>
        <w:t xml:space="preserve"> declined</w:t>
      </w:r>
      <w:r w:rsidRPr="00265453">
        <w:rPr>
          <w:rFonts w:asciiTheme="majorBidi" w:eastAsiaTheme="minorHAnsi" w:hAnsiTheme="majorBidi" w:cstheme="majorBidi"/>
          <w:sz w:val="24"/>
          <w:szCs w:val="24"/>
        </w:rPr>
        <w:t xml:space="preserve"> </w:t>
      </w:r>
      <w:r w:rsidR="004977B8">
        <w:rPr>
          <w:rFonts w:asciiTheme="majorBidi" w:eastAsiaTheme="minorHAnsi" w:hAnsiTheme="majorBidi" w:cstheme="majorBidi"/>
          <w:sz w:val="24"/>
          <w:szCs w:val="24"/>
        </w:rPr>
        <w:t>in light of</w:t>
      </w:r>
      <w:r w:rsidRPr="00265453">
        <w:rPr>
          <w:rFonts w:asciiTheme="majorBidi" w:eastAsiaTheme="minorHAnsi" w:hAnsiTheme="majorBidi" w:cstheme="majorBidi"/>
          <w:sz w:val="24"/>
          <w:szCs w:val="24"/>
        </w:rPr>
        <w:t xml:space="preserve"> employment of </w:t>
      </w:r>
      <w:r w:rsidR="00735C05">
        <w:rPr>
          <w:rFonts w:asciiTheme="majorBidi" w:eastAsiaTheme="minorHAnsi" w:hAnsiTheme="majorBidi" w:cstheme="majorBidi"/>
          <w:sz w:val="24"/>
          <w:szCs w:val="24"/>
        </w:rPr>
        <w:t xml:space="preserve">Jewish </w:t>
      </w:r>
      <w:r w:rsidRPr="00265453">
        <w:rPr>
          <w:rFonts w:asciiTheme="majorBidi" w:eastAsiaTheme="minorHAnsi" w:hAnsiTheme="majorBidi" w:cstheme="majorBidi"/>
          <w:sz w:val="24"/>
          <w:szCs w:val="24"/>
        </w:rPr>
        <w:t>police officers, and replacement of striking Arab laborer</w:t>
      </w:r>
      <w:r w:rsidR="001E774F">
        <w:rPr>
          <w:rFonts w:asciiTheme="majorBidi" w:eastAsiaTheme="minorHAnsi" w:hAnsiTheme="majorBidi" w:cstheme="majorBidi"/>
          <w:sz w:val="24"/>
          <w:szCs w:val="24"/>
        </w:rPr>
        <w:t>s</w:t>
      </w:r>
      <w:r w:rsidRPr="00265453">
        <w:rPr>
          <w:rFonts w:asciiTheme="majorBidi" w:eastAsiaTheme="minorHAnsi" w:hAnsiTheme="majorBidi" w:cstheme="majorBidi"/>
          <w:sz w:val="24"/>
          <w:szCs w:val="24"/>
        </w:rPr>
        <w:t>, employees, craftsman and farmers</w:t>
      </w:r>
      <w:r w:rsidR="00CA2908">
        <w:rPr>
          <w:rFonts w:asciiTheme="majorBidi" w:eastAsiaTheme="minorHAnsi" w:hAnsiTheme="majorBidi" w:cstheme="majorBidi"/>
          <w:sz w:val="24"/>
          <w:szCs w:val="24"/>
        </w:rPr>
        <w:t>,</w:t>
      </w:r>
      <w:r w:rsidRPr="00265453">
        <w:rPr>
          <w:rFonts w:asciiTheme="majorBidi" w:eastAsiaTheme="minorHAnsi" w:hAnsiTheme="majorBidi" w:cstheme="majorBidi"/>
          <w:sz w:val="24"/>
          <w:szCs w:val="24"/>
        </w:rPr>
        <w:t xml:space="preserve"> by Jewish workers. </w:t>
      </w:r>
      <w:r w:rsidRPr="00265453">
        <w:rPr>
          <w:rFonts w:asciiTheme="majorBidi" w:eastAsiaTheme="minorHAnsi" w:hAnsiTheme="majorBidi" w:cstheme="majorBidi"/>
          <w:sz w:val="24"/>
          <w:szCs w:val="24"/>
          <w:rtl/>
        </w:rPr>
        <w:t xml:space="preserve"> </w:t>
      </w:r>
      <w:r w:rsidRPr="00265453">
        <w:rPr>
          <w:rFonts w:asciiTheme="majorBidi" w:eastAsiaTheme="minorHAnsi" w:hAnsiTheme="majorBidi" w:cstheme="majorBidi"/>
          <w:sz w:val="24"/>
          <w:szCs w:val="24"/>
        </w:rPr>
        <w:t>On the other hand, Palestinian houses were destroyed, and massive financial costs were incurred because of the general strike and the devastation of fields, crops and orchards. The economic boycott further damaged the fragile Palestinian Arab economy through loss of sales and goods and increased unemployment</w:t>
      </w:r>
      <w:r>
        <w:rPr>
          <w:rStyle w:val="FootnoteReference"/>
          <w:rFonts w:eastAsiaTheme="minorHAnsi"/>
        </w:rPr>
        <w:footnoteReference w:id="7"/>
      </w:r>
      <w:r>
        <w:rPr>
          <w:rFonts w:eastAsiaTheme="minorHAnsi"/>
        </w:rPr>
        <w:t xml:space="preserve">. </w:t>
      </w:r>
    </w:p>
    <w:p w14:paraId="46DFEF9C" w14:textId="486864FB" w:rsidR="00C47693" w:rsidRPr="00265453" w:rsidRDefault="00C47693" w:rsidP="00C47693">
      <w:pPr>
        <w:bidi w:val="0"/>
        <w:spacing w:line="480" w:lineRule="auto"/>
        <w:ind w:left="851"/>
        <w:jc w:val="both"/>
        <w:rPr>
          <w:rFonts w:asciiTheme="majorBidi" w:eastAsiaTheme="minorHAnsi" w:hAnsiTheme="majorBidi" w:cstheme="majorBidi"/>
          <w:sz w:val="24"/>
          <w:szCs w:val="24"/>
          <w:rtl/>
        </w:rPr>
      </w:pPr>
      <w:r w:rsidRPr="00265453">
        <w:rPr>
          <w:rFonts w:asciiTheme="majorBidi" w:eastAsiaTheme="minorHAnsi" w:hAnsiTheme="majorBidi" w:cstheme="majorBidi"/>
          <w:sz w:val="24"/>
          <w:szCs w:val="24"/>
        </w:rPr>
        <w:t xml:space="preserve">According to Goren (2017), one of the serious consequences of the Arab uprising was the heavy economic damage inflicted on the Arab sector. Expressions of economic damage are particularly evident in those places where extensive trade relations between Arabs and Jews existed in the past, such as in the coastal cities of Haifa and Jaffa. </w:t>
      </w:r>
      <w:r w:rsidR="00381D2F">
        <w:rPr>
          <w:rFonts w:asciiTheme="majorBidi" w:eastAsiaTheme="minorHAnsi" w:hAnsiTheme="majorBidi" w:cstheme="majorBidi"/>
          <w:sz w:val="24"/>
          <w:szCs w:val="24"/>
        </w:rPr>
        <w:t>After</w:t>
      </w:r>
      <w:r w:rsidRPr="00265453">
        <w:rPr>
          <w:rFonts w:asciiTheme="majorBidi" w:eastAsiaTheme="minorHAnsi" w:hAnsiTheme="majorBidi" w:cstheme="majorBidi"/>
          <w:sz w:val="24"/>
          <w:szCs w:val="24"/>
        </w:rPr>
        <w:t xml:space="preserve"> the Arab uprising </w:t>
      </w:r>
      <w:r w:rsidR="00305A9E" w:rsidRPr="00265453">
        <w:rPr>
          <w:rFonts w:asciiTheme="majorBidi" w:eastAsiaTheme="minorHAnsi" w:hAnsiTheme="majorBidi" w:cstheme="majorBidi"/>
          <w:sz w:val="24"/>
          <w:szCs w:val="24"/>
        </w:rPr>
        <w:t>ended, and</w:t>
      </w:r>
      <w:r w:rsidR="007306DD">
        <w:rPr>
          <w:rFonts w:asciiTheme="majorBidi" w:eastAsiaTheme="minorHAnsi" w:hAnsiTheme="majorBidi" w:cstheme="majorBidi"/>
          <w:sz w:val="24"/>
          <w:szCs w:val="24"/>
        </w:rPr>
        <w:t xml:space="preserve"> with the start of</w:t>
      </w:r>
      <w:r w:rsidR="007306DD" w:rsidRPr="00265453">
        <w:rPr>
          <w:rFonts w:asciiTheme="majorBidi" w:eastAsiaTheme="minorHAnsi" w:hAnsiTheme="majorBidi" w:cstheme="majorBidi"/>
          <w:sz w:val="24"/>
          <w:szCs w:val="24"/>
        </w:rPr>
        <w:t xml:space="preserve"> </w:t>
      </w:r>
      <w:r w:rsidRPr="00265453">
        <w:rPr>
          <w:rFonts w:asciiTheme="majorBidi" w:eastAsiaTheme="minorHAnsi" w:hAnsiTheme="majorBidi" w:cstheme="majorBidi"/>
          <w:sz w:val="24"/>
          <w:szCs w:val="24"/>
        </w:rPr>
        <w:t xml:space="preserve">World War II, </w:t>
      </w:r>
      <w:r w:rsidR="001A5FAD">
        <w:rPr>
          <w:rFonts w:asciiTheme="majorBidi" w:eastAsiaTheme="minorHAnsi" w:hAnsiTheme="majorBidi" w:cstheme="majorBidi"/>
          <w:sz w:val="24"/>
          <w:szCs w:val="24"/>
        </w:rPr>
        <w:t xml:space="preserve">the Palestinian </w:t>
      </w:r>
      <w:r w:rsidRPr="00265453">
        <w:rPr>
          <w:rFonts w:asciiTheme="majorBidi" w:eastAsiaTheme="minorHAnsi" w:hAnsiTheme="majorBidi" w:cstheme="majorBidi"/>
          <w:sz w:val="24"/>
          <w:szCs w:val="24"/>
        </w:rPr>
        <w:t>had not yet freed themselves from the</w:t>
      </w:r>
      <w:r w:rsidR="00005334">
        <w:rPr>
          <w:rFonts w:asciiTheme="majorBidi" w:eastAsiaTheme="minorHAnsi" w:hAnsiTheme="majorBidi" w:cstheme="majorBidi"/>
          <w:sz w:val="24"/>
          <w:szCs w:val="24"/>
        </w:rPr>
        <w:t xml:space="preserve"> economic impact</w:t>
      </w:r>
      <w:r w:rsidRPr="00265453">
        <w:rPr>
          <w:rFonts w:asciiTheme="majorBidi" w:eastAsiaTheme="minorHAnsi" w:hAnsiTheme="majorBidi" w:cstheme="majorBidi"/>
          <w:sz w:val="24"/>
          <w:szCs w:val="24"/>
        </w:rPr>
        <w:t xml:space="preserve"> of the uprising and </w:t>
      </w:r>
      <w:r w:rsidR="00305A9E">
        <w:rPr>
          <w:rFonts w:asciiTheme="majorBidi" w:eastAsiaTheme="minorHAnsi" w:hAnsiTheme="majorBidi" w:cstheme="majorBidi"/>
          <w:sz w:val="24"/>
          <w:szCs w:val="24"/>
        </w:rPr>
        <w:t xml:space="preserve">were </w:t>
      </w:r>
      <w:r w:rsidR="00006D8E">
        <w:rPr>
          <w:rFonts w:asciiTheme="majorBidi" w:eastAsiaTheme="minorHAnsi" w:hAnsiTheme="majorBidi" w:cstheme="majorBidi"/>
          <w:sz w:val="24"/>
          <w:szCs w:val="24"/>
        </w:rPr>
        <w:t>thus</w:t>
      </w:r>
      <w:r w:rsidRPr="00265453">
        <w:rPr>
          <w:rFonts w:asciiTheme="majorBidi" w:eastAsiaTheme="minorHAnsi" w:hAnsiTheme="majorBidi" w:cstheme="majorBidi"/>
          <w:sz w:val="24"/>
          <w:szCs w:val="24"/>
        </w:rPr>
        <w:t xml:space="preserve"> forced into another unconventional period that brought them new problems such as </w:t>
      </w:r>
      <w:r w:rsidR="00006D8E">
        <w:rPr>
          <w:rFonts w:asciiTheme="majorBidi" w:eastAsiaTheme="minorHAnsi" w:hAnsiTheme="majorBidi" w:cstheme="majorBidi"/>
          <w:sz w:val="24"/>
          <w:szCs w:val="24"/>
        </w:rPr>
        <w:t xml:space="preserve">increased </w:t>
      </w:r>
      <w:r w:rsidRPr="00265453">
        <w:rPr>
          <w:rFonts w:asciiTheme="majorBidi" w:eastAsiaTheme="minorHAnsi" w:hAnsiTheme="majorBidi" w:cstheme="majorBidi"/>
          <w:sz w:val="24"/>
          <w:szCs w:val="24"/>
        </w:rPr>
        <w:t xml:space="preserve">economic slowdown and unemployment. In view of the dismal situation, the Arab public naturally tended to seek conditions that would allow it to repair the damage of the period of the Arab </w:t>
      </w:r>
      <w:r w:rsidR="00C22325" w:rsidRPr="00265453">
        <w:rPr>
          <w:rFonts w:asciiTheme="majorBidi" w:eastAsiaTheme="minorHAnsi" w:hAnsiTheme="majorBidi" w:cstheme="majorBidi"/>
          <w:sz w:val="24"/>
          <w:szCs w:val="24"/>
        </w:rPr>
        <w:t>uprising</w:t>
      </w:r>
      <w:r w:rsidR="00C22325">
        <w:rPr>
          <w:rFonts w:asciiTheme="majorBidi" w:eastAsiaTheme="minorHAnsi" w:hAnsiTheme="majorBidi" w:cstheme="majorBidi"/>
          <w:sz w:val="24"/>
          <w:szCs w:val="24"/>
        </w:rPr>
        <w:t>, and</w:t>
      </w:r>
      <w:r w:rsidRPr="00265453">
        <w:rPr>
          <w:rFonts w:asciiTheme="majorBidi" w:eastAsiaTheme="minorHAnsi" w:hAnsiTheme="majorBidi" w:cstheme="majorBidi"/>
          <w:sz w:val="24"/>
          <w:szCs w:val="24"/>
        </w:rPr>
        <w:t xml:space="preserve"> </w:t>
      </w:r>
      <w:r w:rsidR="0011354C">
        <w:rPr>
          <w:rFonts w:asciiTheme="majorBidi" w:eastAsiaTheme="minorHAnsi" w:hAnsiTheme="majorBidi" w:cstheme="majorBidi"/>
          <w:sz w:val="24"/>
          <w:szCs w:val="24"/>
        </w:rPr>
        <w:t>alleviate</w:t>
      </w:r>
      <w:r w:rsidRPr="00265453">
        <w:rPr>
          <w:rFonts w:asciiTheme="majorBidi" w:eastAsiaTheme="minorHAnsi" w:hAnsiTheme="majorBidi" w:cstheme="majorBidi"/>
          <w:sz w:val="24"/>
          <w:szCs w:val="24"/>
        </w:rPr>
        <w:t xml:space="preserve"> the daily subsistence challenges it faced as a result of the war. The Arab public turned its interest to day-to-day economic issues, some of which were influenced by the</w:t>
      </w:r>
      <w:r w:rsidRPr="00265453">
        <w:rPr>
          <w:rFonts w:eastAsiaTheme="minorHAnsi"/>
          <w:sz w:val="24"/>
          <w:szCs w:val="24"/>
        </w:rPr>
        <w:t xml:space="preserve"> </w:t>
      </w:r>
      <w:r w:rsidRPr="00265453">
        <w:rPr>
          <w:rFonts w:asciiTheme="majorBidi" w:eastAsiaTheme="minorHAnsi" w:hAnsiTheme="majorBidi" w:cstheme="majorBidi"/>
          <w:sz w:val="24"/>
          <w:szCs w:val="24"/>
        </w:rPr>
        <w:t xml:space="preserve">very state of the war. The problems of the proper management of economic life during the war also occupied the Jewish community, and therefore Jewish-Arab cooperation was formed during this period. This cooperation, which was fundamentally beneficial, stood out in areas where there was a combination of Jewish-Arab interests, and first and foremost the economic field. However, beginning in 1943, when it became clear that Britain and its allies would win the war, the political resurgence of the Arab sector began, with a certain retreat in the scope of ties. The period of World War II, unlike the period before it, was therefore characterized by a significant improvement in the relations between Arabs and Jews within the mixed cities and between Arab and Jewish localities. </w:t>
      </w:r>
    </w:p>
    <w:p w14:paraId="17F80EB6" w14:textId="678C1845" w:rsidR="00C47693" w:rsidRPr="00265453" w:rsidRDefault="00C47693" w:rsidP="00C47693">
      <w:pPr>
        <w:bidi w:val="0"/>
        <w:spacing w:line="480" w:lineRule="auto"/>
        <w:ind w:left="851"/>
        <w:jc w:val="both"/>
        <w:rPr>
          <w:rFonts w:asciiTheme="majorBidi" w:eastAsiaTheme="minorHAnsi" w:hAnsiTheme="majorBidi" w:cstheme="majorBidi"/>
          <w:sz w:val="24"/>
          <w:szCs w:val="24"/>
          <w:rtl/>
        </w:rPr>
      </w:pPr>
      <w:r w:rsidRPr="00265453">
        <w:rPr>
          <w:rFonts w:asciiTheme="majorBidi" w:eastAsiaTheme="minorHAnsi" w:hAnsiTheme="majorBidi" w:cstheme="majorBidi"/>
          <w:sz w:val="24"/>
          <w:szCs w:val="24"/>
        </w:rPr>
        <w:t>Stein (1987) identif</w:t>
      </w:r>
      <w:r w:rsidR="00E56158">
        <w:rPr>
          <w:rFonts w:asciiTheme="majorBidi" w:eastAsiaTheme="minorHAnsi" w:hAnsiTheme="majorBidi" w:cstheme="majorBidi"/>
          <w:sz w:val="24"/>
          <w:szCs w:val="24"/>
        </w:rPr>
        <w:t>ied</w:t>
      </w:r>
      <w:r w:rsidRPr="00265453">
        <w:rPr>
          <w:rFonts w:asciiTheme="majorBidi" w:eastAsiaTheme="minorHAnsi" w:hAnsiTheme="majorBidi" w:cstheme="majorBidi"/>
          <w:sz w:val="24"/>
          <w:szCs w:val="24"/>
        </w:rPr>
        <w:t xml:space="preserve"> and explain</w:t>
      </w:r>
      <w:r w:rsidR="00AB4D58">
        <w:rPr>
          <w:rFonts w:asciiTheme="majorBidi" w:eastAsiaTheme="minorHAnsi" w:hAnsiTheme="majorBidi" w:cstheme="majorBidi"/>
          <w:sz w:val="24"/>
          <w:szCs w:val="24"/>
        </w:rPr>
        <w:t>ed</w:t>
      </w:r>
      <w:r w:rsidRPr="00265453">
        <w:rPr>
          <w:rFonts w:asciiTheme="majorBidi" w:eastAsiaTheme="minorHAnsi" w:hAnsiTheme="majorBidi" w:cstheme="majorBidi"/>
          <w:sz w:val="24"/>
          <w:szCs w:val="24"/>
        </w:rPr>
        <w:t xml:space="preserve"> factors which influenced the rural economy's evolution, and indicate</w:t>
      </w:r>
      <w:r w:rsidR="00AB4D58">
        <w:rPr>
          <w:rFonts w:asciiTheme="majorBidi" w:eastAsiaTheme="minorHAnsi" w:hAnsiTheme="majorBidi" w:cstheme="majorBidi"/>
          <w:sz w:val="24"/>
          <w:szCs w:val="24"/>
        </w:rPr>
        <w:t>d</w:t>
      </w:r>
      <w:r w:rsidRPr="00265453">
        <w:rPr>
          <w:rFonts w:asciiTheme="majorBidi" w:eastAsiaTheme="minorHAnsi" w:hAnsiTheme="majorBidi" w:cstheme="majorBidi"/>
          <w:sz w:val="24"/>
          <w:szCs w:val="24"/>
        </w:rPr>
        <w:t xml:space="preserve"> how Palestine's rural population faired during the emerging Arab-Zionist struggle to control the country's political future. The result of this struggle was that the rural economy penultimately alienated the peasant from </w:t>
      </w:r>
      <w:r w:rsidR="00AB4D58">
        <w:rPr>
          <w:rFonts w:asciiTheme="majorBidi" w:eastAsiaTheme="minorHAnsi" w:hAnsiTheme="majorBidi" w:cstheme="majorBidi"/>
          <w:sz w:val="24"/>
          <w:szCs w:val="24"/>
        </w:rPr>
        <w:t>the</w:t>
      </w:r>
      <w:r w:rsidRPr="00265453">
        <w:rPr>
          <w:rFonts w:asciiTheme="majorBidi" w:eastAsiaTheme="minorHAnsi" w:hAnsiTheme="majorBidi" w:cstheme="majorBidi"/>
          <w:sz w:val="24"/>
          <w:szCs w:val="24"/>
        </w:rPr>
        <w:t xml:space="preserve"> land. The ultimate cause of displacement was the magnetic attraction of British and Jewish capital through public works projects and land sales respectively. </w:t>
      </w:r>
    </w:p>
    <w:p w14:paraId="22592A32" w14:textId="5C288C6A" w:rsidR="00C47693" w:rsidRPr="00265453" w:rsidRDefault="00C47693" w:rsidP="00C47693">
      <w:pPr>
        <w:bidi w:val="0"/>
        <w:spacing w:line="480" w:lineRule="auto"/>
        <w:ind w:left="851"/>
        <w:jc w:val="both"/>
        <w:rPr>
          <w:rFonts w:asciiTheme="majorBidi" w:eastAsiaTheme="minorHAnsi" w:hAnsiTheme="majorBidi" w:cstheme="majorBidi"/>
          <w:sz w:val="24"/>
          <w:szCs w:val="24"/>
          <w:rtl/>
        </w:rPr>
      </w:pPr>
      <w:proofErr w:type="spellStart"/>
      <w:r w:rsidRPr="00265453">
        <w:rPr>
          <w:rFonts w:asciiTheme="majorBidi" w:eastAsiaTheme="minorHAnsi" w:hAnsiTheme="majorBidi" w:cstheme="majorBidi"/>
          <w:sz w:val="24"/>
          <w:szCs w:val="24"/>
        </w:rPr>
        <w:t>Metzer</w:t>
      </w:r>
      <w:proofErr w:type="spellEnd"/>
      <w:r w:rsidRPr="00265453">
        <w:rPr>
          <w:rFonts w:asciiTheme="majorBidi" w:eastAsiaTheme="minorHAnsi" w:hAnsiTheme="majorBidi" w:cstheme="majorBidi"/>
          <w:sz w:val="24"/>
          <w:szCs w:val="24"/>
        </w:rPr>
        <w:t xml:space="preserve"> (1998) finds that </w:t>
      </w:r>
      <w:r w:rsidR="000743CE">
        <w:rPr>
          <w:rFonts w:asciiTheme="majorBidi" w:eastAsiaTheme="minorHAnsi" w:hAnsiTheme="majorBidi" w:cstheme="majorBidi"/>
          <w:sz w:val="24"/>
          <w:szCs w:val="24"/>
        </w:rPr>
        <w:t>over</w:t>
      </w:r>
      <w:r w:rsidRPr="00265453">
        <w:rPr>
          <w:rFonts w:asciiTheme="majorBidi" w:eastAsiaTheme="minorHAnsi" w:hAnsiTheme="majorBidi" w:cstheme="majorBidi"/>
          <w:sz w:val="24"/>
          <w:szCs w:val="24"/>
        </w:rPr>
        <w:t xml:space="preserve"> the period 1922 to 1947</w:t>
      </w:r>
      <w:r w:rsidR="004B2055">
        <w:rPr>
          <w:rFonts w:asciiTheme="majorBidi" w:eastAsiaTheme="minorHAnsi" w:hAnsiTheme="majorBidi" w:cstheme="majorBidi"/>
          <w:sz w:val="24"/>
          <w:szCs w:val="24"/>
        </w:rPr>
        <w:t>,</w:t>
      </w:r>
      <w:r w:rsidRPr="00265453">
        <w:rPr>
          <w:rFonts w:asciiTheme="majorBidi" w:eastAsiaTheme="minorHAnsi" w:hAnsiTheme="majorBidi" w:cstheme="majorBidi"/>
          <w:sz w:val="24"/>
          <w:szCs w:val="24"/>
        </w:rPr>
        <w:t xml:space="preserve"> the Jewish sector of the Palestine economy maintained an annual growth rate of 13.2 percent (4.8 precent </w:t>
      </w:r>
      <w:r w:rsidR="004B2055">
        <w:rPr>
          <w:rFonts w:asciiTheme="majorBidi" w:eastAsiaTheme="minorHAnsi" w:hAnsiTheme="majorBidi" w:cstheme="majorBidi"/>
          <w:sz w:val="24"/>
          <w:szCs w:val="24"/>
        </w:rPr>
        <w:t xml:space="preserve">in </w:t>
      </w:r>
      <w:r w:rsidRPr="00265453">
        <w:rPr>
          <w:rFonts w:asciiTheme="majorBidi" w:eastAsiaTheme="minorHAnsi" w:hAnsiTheme="majorBidi" w:cstheme="majorBidi"/>
          <w:sz w:val="24"/>
          <w:szCs w:val="24"/>
        </w:rPr>
        <w:t xml:space="preserve">per capita terms), and in 1947 accounted for 54 percent of the net domestic product of the Jewish and Arab economies </w:t>
      </w:r>
      <w:r w:rsidR="004B2055">
        <w:rPr>
          <w:rFonts w:asciiTheme="majorBidi" w:eastAsiaTheme="minorHAnsi" w:hAnsiTheme="majorBidi" w:cstheme="majorBidi"/>
          <w:sz w:val="24"/>
          <w:szCs w:val="24"/>
        </w:rPr>
        <w:t>combined</w:t>
      </w:r>
      <w:r>
        <w:rPr>
          <w:rStyle w:val="FootnoteReference"/>
          <w:rFonts w:eastAsiaTheme="minorHAnsi"/>
        </w:rPr>
        <w:footnoteReference w:id="8"/>
      </w:r>
      <w:r>
        <w:rPr>
          <w:rFonts w:eastAsiaTheme="minorHAnsi"/>
        </w:rPr>
        <w:t xml:space="preserve">. </w:t>
      </w:r>
      <w:r w:rsidRPr="00265453">
        <w:rPr>
          <w:rFonts w:asciiTheme="majorBidi" w:eastAsiaTheme="minorHAnsi" w:hAnsiTheme="majorBidi" w:cstheme="majorBidi"/>
          <w:sz w:val="24"/>
          <w:szCs w:val="24"/>
        </w:rPr>
        <w:t xml:space="preserve">By contrast, the Arab sector of the economy grew at less than a half that rate (6.5 percent annually) </w:t>
      </w:r>
      <w:r w:rsidR="005F4B2A">
        <w:rPr>
          <w:rFonts w:asciiTheme="majorBidi" w:eastAsiaTheme="minorHAnsi" w:hAnsiTheme="majorBidi" w:cstheme="majorBidi"/>
          <w:sz w:val="24"/>
          <w:szCs w:val="24"/>
        </w:rPr>
        <w:t>over</w:t>
      </w:r>
      <w:r w:rsidRPr="00265453">
        <w:rPr>
          <w:rFonts w:asciiTheme="majorBidi" w:eastAsiaTheme="minorHAnsi" w:hAnsiTheme="majorBidi" w:cstheme="majorBidi"/>
          <w:sz w:val="24"/>
          <w:szCs w:val="24"/>
        </w:rPr>
        <w:t xml:space="preserve"> the same period (3.2 percent in per capita terms). </w:t>
      </w:r>
    </w:p>
    <w:p w14:paraId="51B47DFB" w14:textId="05E0D49A" w:rsidR="00C47693" w:rsidRDefault="00C47693" w:rsidP="00C47693">
      <w:pPr>
        <w:bidi w:val="0"/>
        <w:spacing w:line="480" w:lineRule="auto"/>
        <w:ind w:left="851"/>
        <w:jc w:val="both"/>
        <w:rPr>
          <w:rFonts w:eastAsiaTheme="minorHAnsi"/>
        </w:rPr>
      </w:pPr>
      <w:r w:rsidRPr="00265453">
        <w:rPr>
          <w:rFonts w:asciiTheme="majorBidi" w:eastAsiaTheme="minorHAnsi" w:hAnsiTheme="majorBidi" w:cstheme="majorBidi"/>
          <w:sz w:val="24"/>
          <w:szCs w:val="24"/>
        </w:rPr>
        <w:t xml:space="preserve">On 29 November 1947 the United Nations General Assembly vote for the Partition Plan for Palestine </w:t>
      </w:r>
      <w:r w:rsidR="005F4B2A">
        <w:rPr>
          <w:rFonts w:asciiTheme="majorBidi" w:eastAsiaTheme="minorHAnsi" w:hAnsiTheme="majorBidi" w:cstheme="majorBidi"/>
          <w:sz w:val="24"/>
          <w:szCs w:val="24"/>
        </w:rPr>
        <w:t>into</w:t>
      </w:r>
      <w:r w:rsidRPr="00265453">
        <w:rPr>
          <w:rFonts w:asciiTheme="majorBidi" w:eastAsiaTheme="minorHAnsi" w:hAnsiTheme="majorBidi" w:cstheme="majorBidi"/>
          <w:sz w:val="24"/>
          <w:szCs w:val="24"/>
        </w:rPr>
        <w:t xml:space="preserve"> Arab and Jewish States</w:t>
      </w:r>
      <w:r w:rsidR="005F4B2A">
        <w:rPr>
          <w:rFonts w:asciiTheme="majorBidi" w:eastAsiaTheme="minorHAnsi" w:hAnsiTheme="majorBidi" w:cstheme="majorBidi"/>
          <w:sz w:val="24"/>
          <w:szCs w:val="24"/>
        </w:rPr>
        <w:t>,</w:t>
      </w:r>
      <w:r w:rsidRPr="00265453">
        <w:rPr>
          <w:rFonts w:asciiTheme="majorBidi" w:eastAsiaTheme="minorHAnsi" w:hAnsiTheme="majorBidi" w:cstheme="majorBidi"/>
          <w:sz w:val="24"/>
          <w:szCs w:val="24"/>
        </w:rPr>
        <w:t xml:space="preserve"> which </w:t>
      </w:r>
      <w:r w:rsidR="005F4B2A">
        <w:rPr>
          <w:rFonts w:asciiTheme="majorBidi" w:eastAsiaTheme="minorHAnsi" w:hAnsiTheme="majorBidi" w:cstheme="majorBidi"/>
          <w:sz w:val="24"/>
          <w:szCs w:val="24"/>
        </w:rPr>
        <w:t>would</w:t>
      </w:r>
      <w:r w:rsidRPr="00265453">
        <w:rPr>
          <w:rFonts w:asciiTheme="majorBidi" w:eastAsiaTheme="minorHAnsi" w:hAnsiTheme="majorBidi" w:cstheme="majorBidi"/>
          <w:sz w:val="24"/>
          <w:szCs w:val="24"/>
        </w:rPr>
        <w:t xml:space="preserve"> maintain "Economic Union</w:t>
      </w:r>
      <w:r w:rsidR="00331151">
        <w:rPr>
          <w:rFonts w:asciiTheme="majorBidi" w:eastAsiaTheme="minorHAnsi" w:hAnsiTheme="majorBidi" w:cstheme="majorBidi"/>
          <w:sz w:val="24"/>
          <w:szCs w:val="24"/>
        </w:rPr>
        <w:t>”</w:t>
      </w:r>
      <w:r w:rsidRPr="00265453">
        <w:rPr>
          <w:rFonts w:asciiTheme="majorBidi" w:eastAsiaTheme="minorHAnsi" w:hAnsiTheme="majorBidi" w:cstheme="majorBidi"/>
          <w:sz w:val="24"/>
          <w:szCs w:val="24"/>
        </w:rPr>
        <w:t>,</w:t>
      </w:r>
      <w:r w:rsidR="00331151">
        <w:rPr>
          <w:rFonts w:asciiTheme="majorBidi" w:eastAsiaTheme="minorHAnsi" w:hAnsiTheme="majorBidi" w:cstheme="majorBidi"/>
          <w:sz w:val="24"/>
          <w:szCs w:val="24"/>
        </w:rPr>
        <w:t xml:space="preserve"> </w:t>
      </w:r>
      <w:r w:rsidR="007823F8">
        <w:rPr>
          <w:rFonts w:asciiTheme="majorBidi" w:eastAsiaTheme="minorHAnsi" w:hAnsiTheme="majorBidi" w:cstheme="majorBidi"/>
          <w:sz w:val="24"/>
          <w:szCs w:val="24"/>
        </w:rPr>
        <w:t xml:space="preserve">albeit </w:t>
      </w:r>
      <w:r w:rsidR="00A3377E">
        <w:rPr>
          <w:rFonts w:asciiTheme="majorBidi" w:eastAsiaTheme="minorHAnsi" w:hAnsiTheme="majorBidi" w:cstheme="majorBidi"/>
          <w:sz w:val="24"/>
          <w:szCs w:val="24"/>
        </w:rPr>
        <w:t>also stating</w:t>
      </w:r>
      <w:r w:rsidRPr="00265453">
        <w:rPr>
          <w:rFonts w:asciiTheme="majorBidi" w:eastAsiaTheme="minorHAnsi" w:hAnsiTheme="majorBidi" w:cstheme="majorBidi"/>
          <w:sz w:val="24"/>
          <w:szCs w:val="24"/>
        </w:rPr>
        <w:t xml:space="preserve"> </w:t>
      </w:r>
      <w:r w:rsidR="00A3377E">
        <w:rPr>
          <w:rFonts w:asciiTheme="majorBidi" w:eastAsiaTheme="minorHAnsi" w:hAnsiTheme="majorBidi" w:cstheme="majorBidi"/>
          <w:sz w:val="24"/>
          <w:szCs w:val="24"/>
        </w:rPr>
        <w:t>“</w:t>
      </w:r>
      <w:r w:rsidRPr="00265453">
        <w:rPr>
          <w:rFonts w:asciiTheme="majorBidi" w:eastAsiaTheme="minorHAnsi" w:hAnsiTheme="majorBidi" w:cstheme="majorBidi"/>
          <w:sz w:val="24"/>
          <w:szCs w:val="24"/>
        </w:rPr>
        <w:t>that the present situation in Palestine is one which is likely to impair the general welfare and friendly relations among nations</w:t>
      </w:r>
      <w:r>
        <w:rPr>
          <w:rStyle w:val="FootnoteReference"/>
          <w:rFonts w:eastAsiaTheme="minorHAnsi"/>
        </w:rPr>
        <w:footnoteReference w:id="9"/>
      </w:r>
      <w:r>
        <w:rPr>
          <w:rFonts w:eastAsiaTheme="minorHAnsi"/>
        </w:rPr>
        <w:t xml:space="preserve">".  </w:t>
      </w:r>
    </w:p>
    <w:p w14:paraId="1451DA68" w14:textId="11F8AA6E" w:rsidR="00C47693" w:rsidRPr="00265453" w:rsidRDefault="00476019" w:rsidP="00C47693">
      <w:pPr>
        <w:bidi w:val="0"/>
        <w:spacing w:line="360" w:lineRule="auto"/>
        <w:ind w:left="851"/>
        <w:jc w:val="cente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 xml:space="preserve">Figure 3 - </w:t>
      </w:r>
      <w:r w:rsidR="00C47693" w:rsidRPr="00265453">
        <w:rPr>
          <w:rFonts w:asciiTheme="majorBidi" w:eastAsiaTheme="minorHAnsi" w:hAnsiTheme="majorBidi" w:cstheme="majorBidi"/>
          <w:b/>
          <w:bCs/>
          <w:sz w:val="24"/>
          <w:szCs w:val="24"/>
        </w:rPr>
        <w:t>UN Partition Plan Map for two states</w:t>
      </w:r>
    </w:p>
    <w:p w14:paraId="2334818E" w14:textId="77777777" w:rsidR="00C47693" w:rsidRDefault="00C47693" w:rsidP="00C47693">
      <w:pPr>
        <w:bidi w:val="0"/>
        <w:spacing w:line="276" w:lineRule="auto"/>
        <w:ind w:left="851"/>
        <w:jc w:val="center"/>
        <w:rPr>
          <w:rFonts w:eastAsiaTheme="minorHAnsi"/>
        </w:rPr>
      </w:pPr>
      <w:r>
        <w:rPr>
          <w:noProof/>
        </w:rPr>
        <w:drawing>
          <wp:inline distT="0" distB="0" distL="0" distR="0" wp14:anchorId="52DA06CD" wp14:editId="1143C483">
            <wp:extent cx="1766570" cy="2936240"/>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descr="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6570" cy="2936240"/>
                    </a:xfrm>
                    <a:prstGeom prst="rect">
                      <a:avLst/>
                    </a:prstGeom>
                    <a:noFill/>
                    <a:ln>
                      <a:noFill/>
                    </a:ln>
                  </pic:spPr>
                </pic:pic>
              </a:graphicData>
            </a:graphic>
          </wp:inline>
        </w:drawing>
      </w:r>
    </w:p>
    <w:p w14:paraId="305AD9C9" w14:textId="77777777" w:rsidR="00C47693" w:rsidRPr="00265453" w:rsidRDefault="00C47693" w:rsidP="00C47693">
      <w:pPr>
        <w:bidi w:val="0"/>
        <w:spacing w:line="480" w:lineRule="auto"/>
        <w:ind w:left="851"/>
        <w:jc w:val="center"/>
        <w:rPr>
          <w:rFonts w:asciiTheme="majorBidi" w:eastAsiaTheme="minorHAnsi" w:hAnsiTheme="majorBidi" w:cstheme="majorBidi"/>
          <w:sz w:val="20"/>
          <w:szCs w:val="20"/>
        </w:rPr>
      </w:pPr>
      <w:r w:rsidRPr="00265453">
        <w:rPr>
          <w:rFonts w:asciiTheme="majorBidi" w:eastAsiaTheme="minorHAnsi" w:hAnsiTheme="majorBidi" w:cstheme="majorBidi"/>
          <w:sz w:val="20"/>
          <w:szCs w:val="20"/>
        </w:rPr>
        <w:t>Source: Israeli Ministry of Foreign Affairs</w:t>
      </w:r>
    </w:p>
    <w:p w14:paraId="2861CC83" w14:textId="5306B01D" w:rsidR="00C47693" w:rsidRPr="00265453" w:rsidRDefault="00C47693" w:rsidP="00C47693">
      <w:pPr>
        <w:bidi w:val="0"/>
        <w:spacing w:line="480" w:lineRule="auto"/>
        <w:ind w:left="851"/>
        <w:jc w:val="both"/>
        <w:rPr>
          <w:rFonts w:asciiTheme="majorBidi" w:eastAsiaTheme="minorHAnsi" w:hAnsiTheme="majorBidi" w:cstheme="majorBidi"/>
          <w:sz w:val="28"/>
          <w:szCs w:val="28"/>
        </w:rPr>
      </w:pPr>
      <w:r w:rsidRPr="00265453">
        <w:rPr>
          <w:rFonts w:asciiTheme="majorBidi" w:eastAsiaTheme="minorHAnsi" w:hAnsiTheme="majorBidi" w:cstheme="majorBidi"/>
          <w:sz w:val="24"/>
          <w:szCs w:val="24"/>
        </w:rPr>
        <w:t>Immediately after the decision,</w:t>
      </w:r>
      <w:r w:rsidR="009034FA" w:rsidRPr="009034FA">
        <w:rPr>
          <w:rFonts w:eastAsiaTheme="minorHAnsi"/>
        </w:rPr>
        <w:t xml:space="preserve"> </w:t>
      </w:r>
      <w:r w:rsidR="009034FA" w:rsidRPr="009034FA">
        <w:rPr>
          <w:rFonts w:asciiTheme="majorBidi" w:eastAsiaTheme="minorHAnsi" w:hAnsiTheme="majorBidi" w:cstheme="majorBidi"/>
          <w:sz w:val="24"/>
          <w:szCs w:val="24"/>
        </w:rPr>
        <w:t>de</w:t>
      </w:r>
      <w:r w:rsidR="003F08C3">
        <w:rPr>
          <w:rFonts w:asciiTheme="majorBidi" w:eastAsiaTheme="minorHAnsi" w:hAnsiTheme="majorBidi" w:cstheme="majorBidi"/>
          <w:sz w:val="24"/>
          <w:szCs w:val="24"/>
        </w:rPr>
        <w:t xml:space="preserve"> </w:t>
      </w:r>
      <w:r w:rsidR="009034FA" w:rsidRPr="009034FA">
        <w:rPr>
          <w:rFonts w:asciiTheme="majorBidi" w:eastAsiaTheme="minorHAnsi" w:hAnsiTheme="majorBidi" w:cstheme="majorBidi"/>
          <w:sz w:val="24"/>
          <w:szCs w:val="24"/>
        </w:rPr>
        <w:t>facto</w:t>
      </w:r>
      <w:r w:rsidRPr="00265453">
        <w:rPr>
          <w:rFonts w:asciiTheme="majorBidi" w:eastAsiaTheme="minorHAnsi" w:hAnsiTheme="majorBidi" w:cstheme="majorBidi"/>
          <w:sz w:val="24"/>
          <w:szCs w:val="24"/>
        </w:rPr>
        <w:t xml:space="preserve"> the "</w:t>
      </w:r>
      <w:r w:rsidR="00202730">
        <w:rPr>
          <w:rFonts w:asciiTheme="majorBidi" w:eastAsiaTheme="minorHAnsi" w:hAnsiTheme="majorBidi" w:cstheme="majorBidi"/>
          <w:sz w:val="24"/>
          <w:szCs w:val="24"/>
        </w:rPr>
        <w:t xml:space="preserve">Israeli </w:t>
      </w:r>
      <w:r w:rsidRPr="00265453">
        <w:rPr>
          <w:rFonts w:asciiTheme="majorBidi" w:eastAsiaTheme="minorHAnsi" w:hAnsiTheme="majorBidi" w:cstheme="majorBidi"/>
          <w:sz w:val="24"/>
          <w:szCs w:val="24"/>
        </w:rPr>
        <w:t xml:space="preserve">War of Independence" or </w:t>
      </w:r>
      <w:r w:rsidR="00733FB5">
        <w:rPr>
          <w:rFonts w:asciiTheme="majorBidi" w:eastAsiaTheme="minorHAnsi" w:hAnsiTheme="majorBidi" w:cstheme="majorBidi"/>
          <w:sz w:val="24"/>
          <w:szCs w:val="24"/>
        </w:rPr>
        <w:t>as it is known</w:t>
      </w:r>
      <w:r w:rsidR="00536D45">
        <w:rPr>
          <w:rFonts w:asciiTheme="majorBidi" w:eastAsiaTheme="minorHAnsi" w:hAnsiTheme="majorBidi" w:cstheme="majorBidi"/>
          <w:sz w:val="24"/>
          <w:szCs w:val="24"/>
        </w:rPr>
        <w:t xml:space="preserve"> in Arabic,</w:t>
      </w:r>
      <w:r w:rsidRPr="00265453">
        <w:rPr>
          <w:rFonts w:asciiTheme="majorBidi" w:eastAsiaTheme="minorHAnsi" w:hAnsiTheme="majorBidi" w:cstheme="majorBidi"/>
          <w:sz w:val="24"/>
          <w:szCs w:val="24"/>
        </w:rPr>
        <w:t xml:space="preserve"> "Nakba" began. The first phase of the war took place until the termination of the British Mandate and Israeli proclamation of statehood on 14 May 1948.</w:t>
      </w:r>
    </w:p>
    <w:p w14:paraId="4431BEAA" w14:textId="632FA240" w:rsidR="00C47693" w:rsidRDefault="00C47693" w:rsidP="00265453">
      <w:pPr>
        <w:pStyle w:val="ListParagraph"/>
        <w:numPr>
          <w:ilvl w:val="1"/>
          <w:numId w:val="4"/>
        </w:numPr>
        <w:autoSpaceDE w:val="0"/>
        <w:autoSpaceDN w:val="0"/>
        <w:bidi w:val="0"/>
        <w:adjustRightInd w:val="0"/>
        <w:spacing w:after="120"/>
        <w:ind w:left="850" w:hanging="510"/>
        <w:contextualSpacing w:val="0"/>
        <w:rPr>
          <w:rFonts w:asciiTheme="majorBidi" w:hAnsiTheme="majorBidi" w:cstheme="majorBidi"/>
          <w:b/>
          <w:bCs/>
          <w:sz w:val="28"/>
          <w:szCs w:val="28"/>
        </w:rPr>
      </w:pPr>
      <w:r>
        <w:rPr>
          <w:rFonts w:asciiTheme="majorBidi" w:hAnsiTheme="majorBidi" w:cstheme="majorBidi"/>
          <w:b/>
          <w:bCs/>
          <w:sz w:val="28"/>
          <w:szCs w:val="28"/>
        </w:rPr>
        <w:t>Between the Wars</w:t>
      </w:r>
      <w:r w:rsidR="00497A1E">
        <w:rPr>
          <w:rFonts w:asciiTheme="majorBidi" w:hAnsiTheme="majorBidi" w:cstheme="majorBidi"/>
          <w:b/>
          <w:bCs/>
          <w:sz w:val="28"/>
          <w:szCs w:val="28"/>
        </w:rPr>
        <w:t xml:space="preserve"> (1948–1967)</w:t>
      </w:r>
    </w:p>
    <w:p w14:paraId="436C655C" w14:textId="5713DED4" w:rsidR="00C47693" w:rsidRPr="00265453" w:rsidRDefault="00C47693" w:rsidP="00265453">
      <w:pPr>
        <w:pStyle w:val="ListParagraph"/>
        <w:autoSpaceDE w:val="0"/>
        <w:autoSpaceDN w:val="0"/>
        <w:bidi w:val="0"/>
        <w:adjustRightInd w:val="0"/>
        <w:spacing w:before="240" w:after="240" w:line="480" w:lineRule="auto"/>
        <w:ind w:left="851"/>
        <w:jc w:val="both"/>
        <w:rPr>
          <w:rFonts w:asciiTheme="majorBidi" w:eastAsiaTheme="minorHAnsi" w:hAnsiTheme="majorBidi" w:cstheme="majorBidi"/>
          <w:sz w:val="28"/>
          <w:szCs w:val="28"/>
        </w:rPr>
      </w:pPr>
      <w:r w:rsidRPr="00265453">
        <w:rPr>
          <w:rFonts w:asciiTheme="majorBidi" w:eastAsiaTheme="minorHAnsi" w:hAnsiTheme="majorBidi" w:cstheme="majorBidi"/>
          <w:sz w:val="24"/>
          <w:szCs w:val="24"/>
        </w:rPr>
        <w:t xml:space="preserve">The war of Independence continued </w:t>
      </w:r>
      <w:r w:rsidR="00C22008">
        <w:rPr>
          <w:rFonts w:asciiTheme="majorBidi" w:eastAsiaTheme="minorHAnsi" w:hAnsiTheme="majorBidi" w:cstheme="majorBidi"/>
          <w:sz w:val="24"/>
          <w:szCs w:val="24"/>
        </w:rPr>
        <w:t>until</w:t>
      </w:r>
      <w:r w:rsidRPr="00265453">
        <w:rPr>
          <w:rFonts w:asciiTheme="majorBidi" w:eastAsiaTheme="minorHAnsi" w:hAnsiTheme="majorBidi" w:cstheme="majorBidi"/>
          <w:sz w:val="24"/>
          <w:szCs w:val="24"/>
        </w:rPr>
        <w:t xml:space="preserve"> July 1949. The UN </w:t>
      </w:r>
      <w:r w:rsidR="00DB2F87">
        <w:rPr>
          <w:rFonts w:asciiTheme="majorBidi" w:eastAsiaTheme="minorHAnsi" w:hAnsiTheme="majorBidi" w:cstheme="majorBidi"/>
          <w:sz w:val="24"/>
          <w:szCs w:val="24"/>
        </w:rPr>
        <w:t>November 1947 resolution</w:t>
      </w:r>
      <w:r w:rsidRPr="00265453">
        <w:rPr>
          <w:rFonts w:asciiTheme="majorBidi" w:eastAsiaTheme="minorHAnsi" w:hAnsiTheme="majorBidi" w:cstheme="majorBidi"/>
          <w:sz w:val="24"/>
          <w:szCs w:val="24"/>
        </w:rPr>
        <w:t xml:space="preserve"> for an Arab and Jewish states did not materialize. </w:t>
      </w:r>
      <w:r w:rsidR="00876FA7">
        <w:rPr>
          <w:rFonts w:asciiTheme="majorBidi" w:eastAsiaTheme="minorHAnsi" w:hAnsiTheme="majorBidi" w:cstheme="majorBidi"/>
          <w:sz w:val="24"/>
          <w:szCs w:val="24"/>
        </w:rPr>
        <w:t>At</w:t>
      </w:r>
      <w:r w:rsidRPr="00265453">
        <w:rPr>
          <w:rFonts w:asciiTheme="majorBidi" w:eastAsiaTheme="minorHAnsi" w:hAnsiTheme="majorBidi" w:cstheme="majorBidi"/>
          <w:sz w:val="24"/>
          <w:szCs w:val="24"/>
        </w:rPr>
        <w:t xml:space="preserve"> the end of the war, Israel captured and held some 5,000 km</w:t>
      </w:r>
      <w:r w:rsidR="00827330">
        <w:rPr>
          <w:rFonts w:asciiTheme="majorBidi" w:eastAsiaTheme="minorHAnsi" w:hAnsiTheme="majorBidi" w:cstheme="majorBidi"/>
          <w:sz w:val="24"/>
          <w:szCs w:val="24"/>
        </w:rPr>
        <w:t>²</w:t>
      </w:r>
      <w:r w:rsidRPr="00265453">
        <w:rPr>
          <w:rFonts w:asciiTheme="majorBidi" w:eastAsiaTheme="minorHAnsi" w:hAnsiTheme="majorBidi" w:cstheme="majorBidi"/>
          <w:sz w:val="24"/>
          <w:szCs w:val="24"/>
        </w:rPr>
        <w:t xml:space="preserve"> over and above the areas allocated to it by the </w:t>
      </w:r>
      <w:r w:rsidR="00DA5EEA">
        <w:rPr>
          <w:rFonts w:asciiTheme="majorBidi" w:eastAsiaTheme="minorHAnsi" w:hAnsiTheme="majorBidi" w:cstheme="majorBidi"/>
          <w:sz w:val="24"/>
          <w:szCs w:val="24"/>
        </w:rPr>
        <w:t xml:space="preserve">1947 </w:t>
      </w:r>
      <w:r w:rsidRPr="00265453">
        <w:rPr>
          <w:rFonts w:asciiTheme="majorBidi" w:eastAsiaTheme="minorHAnsi" w:hAnsiTheme="majorBidi" w:cstheme="majorBidi"/>
          <w:sz w:val="24"/>
          <w:szCs w:val="24"/>
        </w:rPr>
        <w:t>United Nations</w:t>
      </w:r>
      <w:r w:rsidR="00DA5EEA" w:rsidRPr="00DA5EEA">
        <w:rPr>
          <w:rFonts w:asciiTheme="majorBidi" w:eastAsiaTheme="minorHAnsi" w:hAnsiTheme="majorBidi" w:cstheme="majorBidi"/>
          <w:sz w:val="24"/>
          <w:szCs w:val="24"/>
        </w:rPr>
        <w:t xml:space="preserve"> </w:t>
      </w:r>
      <w:r w:rsidR="00DA5EEA">
        <w:rPr>
          <w:rFonts w:asciiTheme="majorBidi" w:eastAsiaTheme="minorHAnsi" w:hAnsiTheme="majorBidi" w:cstheme="majorBidi"/>
          <w:sz w:val="24"/>
          <w:szCs w:val="24"/>
        </w:rPr>
        <w:t>resolution</w:t>
      </w:r>
      <w:r w:rsidRPr="00265453">
        <w:rPr>
          <w:rFonts w:asciiTheme="majorBidi" w:eastAsiaTheme="minorHAnsi" w:hAnsiTheme="majorBidi" w:cstheme="majorBidi"/>
          <w:sz w:val="24"/>
          <w:szCs w:val="24"/>
        </w:rPr>
        <w:t>. The outcome of the 1948 war, brought about a complete halt to economic ties between Israel and the WBG. It also left the Arab population divided into two distinct geographic and political regions: the West Bank was under Jordanian jurisdiction, while the Gaza Strip was under the control of Egypt. This had far-reaching implications for both territories. Their econom</w:t>
      </w:r>
      <w:r w:rsidR="00DA5EEA">
        <w:rPr>
          <w:rFonts w:asciiTheme="majorBidi" w:eastAsiaTheme="minorHAnsi" w:hAnsiTheme="majorBidi" w:cstheme="majorBidi"/>
          <w:sz w:val="24"/>
          <w:szCs w:val="24"/>
        </w:rPr>
        <w:t>ies</w:t>
      </w:r>
      <w:r w:rsidRPr="00265453">
        <w:rPr>
          <w:rFonts w:asciiTheme="majorBidi" w:eastAsiaTheme="minorHAnsi" w:hAnsiTheme="majorBidi" w:cstheme="majorBidi"/>
          <w:sz w:val="24"/>
          <w:szCs w:val="24"/>
        </w:rPr>
        <w:t xml:space="preserve"> lost geographic and functional continuity, and the population (both indigenous and refugee) was disoriented - there was little, if any, interaction between the West Bank and Gaza Strip, which were geographically separated by Israel.</w:t>
      </w:r>
    </w:p>
    <w:p w14:paraId="30795FF3" w14:textId="24DDDC6B" w:rsidR="00C47693" w:rsidRPr="00265453" w:rsidRDefault="005D10F5" w:rsidP="00C47693">
      <w:pPr>
        <w:pStyle w:val="ListParagraph"/>
        <w:autoSpaceDE w:val="0"/>
        <w:autoSpaceDN w:val="0"/>
        <w:bidi w:val="0"/>
        <w:adjustRightInd w:val="0"/>
        <w:spacing w:after="240" w:line="360" w:lineRule="auto"/>
        <w:ind w:left="851"/>
        <w:jc w:val="cente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 xml:space="preserve">Figure 4 - </w:t>
      </w:r>
      <w:r w:rsidR="00C47693" w:rsidRPr="00265453">
        <w:rPr>
          <w:rFonts w:asciiTheme="majorBidi" w:eastAsiaTheme="minorHAnsi" w:hAnsiTheme="majorBidi" w:cstheme="majorBidi"/>
          <w:b/>
          <w:bCs/>
          <w:sz w:val="24"/>
          <w:szCs w:val="24"/>
        </w:rPr>
        <w:t>The results of the War 1949-1967</w:t>
      </w:r>
    </w:p>
    <w:p w14:paraId="3B62CBD6" w14:textId="77777777" w:rsidR="00C47693" w:rsidRDefault="00C47693" w:rsidP="00C47693">
      <w:pPr>
        <w:pStyle w:val="ListParagraph"/>
        <w:autoSpaceDE w:val="0"/>
        <w:autoSpaceDN w:val="0"/>
        <w:bidi w:val="0"/>
        <w:adjustRightInd w:val="0"/>
        <w:spacing w:after="240" w:line="360" w:lineRule="auto"/>
        <w:ind w:left="851"/>
        <w:jc w:val="center"/>
        <w:rPr>
          <w:rFonts w:eastAsiaTheme="minorHAnsi"/>
        </w:rPr>
      </w:pPr>
      <w:r>
        <w:rPr>
          <w:noProof/>
        </w:rPr>
        <w:drawing>
          <wp:inline distT="0" distB="0" distL="0" distR="0" wp14:anchorId="6FD6877D" wp14:editId="1418C591">
            <wp:extent cx="2425065" cy="3617595"/>
            <wp:effectExtent l="0" t="0" r="635" b="1905"/>
            <wp:docPr id="13" name="Picture 13" descr="Background &amp; Overview - Israel War of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Background &amp; Overview - Israel War of Indepen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5065" cy="3617595"/>
                    </a:xfrm>
                    <a:prstGeom prst="rect">
                      <a:avLst/>
                    </a:prstGeom>
                    <a:noFill/>
                    <a:ln>
                      <a:noFill/>
                    </a:ln>
                  </pic:spPr>
                </pic:pic>
              </a:graphicData>
            </a:graphic>
          </wp:inline>
        </w:drawing>
      </w:r>
    </w:p>
    <w:p w14:paraId="5832B36C" w14:textId="77777777" w:rsidR="00C47693" w:rsidRPr="00265453" w:rsidRDefault="00C47693" w:rsidP="00C47693">
      <w:pPr>
        <w:pStyle w:val="ListParagraph"/>
        <w:autoSpaceDE w:val="0"/>
        <w:autoSpaceDN w:val="0"/>
        <w:bidi w:val="0"/>
        <w:adjustRightInd w:val="0"/>
        <w:spacing w:after="240" w:line="480" w:lineRule="auto"/>
        <w:ind w:left="851"/>
        <w:jc w:val="center"/>
        <w:rPr>
          <w:rFonts w:asciiTheme="majorBidi" w:eastAsiaTheme="minorHAnsi" w:hAnsiTheme="majorBidi" w:cstheme="majorBidi"/>
          <w:sz w:val="20"/>
          <w:szCs w:val="20"/>
        </w:rPr>
      </w:pPr>
      <w:r w:rsidRPr="00265453">
        <w:rPr>
          <w:rFonts w:asciiTheme="majorBidi" w:eastAsiaTheme="minorHAnsi" w:hAnsiTheme="majorBidi" w:cstheme="majorBidi"/>
          <w:sz w:val="20"/>
          <w:szCs w:val="20"/>
        </w:rPr>
        <w:t xml:space="preserve">Source: Jewish Virtual Library, Israeli War of Independence: Background &amp; Overview </w:t>
      </w:r>
    </w:p>
    <w:p w14:paraId="2C1A188B" w14:textId="77777777" w:rsidR="00C47693" w:rsidRPr="00265453" w:rsidRDefault="00C47693" w:rsidP="00C47693">
      <w:pPr>
        <w:bidi w:val="0"/>
        <w:spacing w:line="480" w:lineRule="auto"/>
        <w:ind w:left="851"/>
        <w:jc w:val="both"/>
        <w:rPr>
          <w:rFonts w:asciiTheme="majorBidi" w:eastAsiaTheme="minorHAnsi" w:hAnsiTheme="majorBidi" w:cstheme="majorBidi"/>
          <w:sz w:val="28"/>
          <w:szCs w:val="28"/>
        </w:rPr>
      </w:pPr>
      <w:r w:rsidRPr="00265453">
        <w:rPr>
          <w:rFonts w:asciiTheme="majorBidi" w:eastAsiaTheme="minorHAnsi" w:hAnsiTheme="majorBidi" w:cstheme="majorBidi"/>
          <w:sz w:val="24"/>
          <w:szCs w:val="24"/>
        </w:rPr>
        <w:t>Economically, both the West Bank and the Gaza Strip lost access to their primary markets and to shipping ports and routes, the source of supply for a wide range of products. Their transportation networks and communication systems were disrupted and rendered redundant; access to jobs for many of the indigenous inhabitants was hindered and many border villages lost much of their agricultural land. Both the West Bank and the Gaza Strip faced the difficult process of reorienting their economies to Jordan and Egypt, respectively. Both Jordan and Egypt were more concerned with the political stability than with the economic development of these areas (UNCTAD (1995, p.11).</w:t>
      </w:r>
    </w:p>
    <w:p w14:paraId="002C4BF7" w14:textId="2ADD2997" w:rsidR="00C47693" w:rsidRPr="00265453" w:rsidRDefault="00C47693" w:rsidP="00C47693">
      <w:pPr>
        <w:bidi w:val="0"/>
        <w:spacing w:line="480" w:lineRule="auto"/>
        <w:ind w:left="851"/>
        <w:jc w:val="both"/>
        <w:rPr>
          <w:rFonts w:asciiTheme="majorBidi" w:eastAsiaTheme="minorHAnsi" w:hAnsiTheme="majorBidi" w:cstheme="majorBidi"/>
          <w:sz w:val="24"/>
          <w:szCs w:val="24"/>
        </w:rPr>
      </w:pPr>
      <w:r w:rsidRPr="00265453">
        <w:rPr>
          <w:rFonts w:asciiTheme="majorBidi" w:eastAsiaTheme="minorHAnsi" w:hAnsiTheme="majorBidi" w:cstheme="majorBidi"/>
          <w:sz w:val="24"/>
          <w:szCs w:val="24"/>
        </w:rPr>
        <w:t xml:space="preserve">According to </w:t>
      </w:r>
      <w:r w:rsidR="00F541CD" w:rsidRPr="00265453">
        <w:rPr>
          <w:rFonts w:asciiTheme="majorBidi" w:eastAsiaTheme="minorHAnsi" w:hAnsiTheme="majorBidi" w:cstheme="majorBidi"/>
          <w:sz w:val="24"/>
          <w:szCs w:val="24"/>
        </w:rPr>
        <w:t xml:space="preserve">Mansour (1988) </w:t>
      </w:r>
      <w:r w:rsidR="00F541CD">
        <w:rPr>
          <w:rFonts w:asciiTheme="majorBidi" w:eastAsiaTheme="minorHAnsi" w:hAnsiTheme="majorBidi" w:cstheme="majorBidi"/>
          <w:sz w:val="24"/>
          <w:szCs w:val="24"/>
        </w:rPr>
        <w:t xml:space="preserve">and </w:t>
      </w:r>
      <w:proofErr w:type="spellStart"/>
      <w:r w:rsidRPr="00265453">
        <w:rPr>
          <w:rFonts w:asciiTheme="majorBidi" w:eastAsiaTheme="minorHAnsi" w:hAnsiTheme="majorBidi" w:cstheme="majorBidi"/>
          <w:sz w:val="24"/>
          <w:szCs w:val="24"/>
        </w:rPr>
        <w:t>Shoukair</w:t>
      </w:r>
      <w:proofErr w:type="spellEnd"/>
      <w:r w:rsidRPr="00265453">
        <w:rPr>
          <w:rFonts w:asciiTheme="majorBidi" w:eastAsiaTheme="minorHAnsi" w:hAnsiTheme="majorBidi" w:cstheme="majorBidi"/>
          <w:sz w:val="24"/>
          <w:szCs w:val="24"/>
        </w:rPr>
        <w:t xml:space="preserve"> (2013) the 1948 war caused the displacement of more than 276,000 Palestinians to refugee camps set up in the West Bank, increasing its population by approximately 60% during the years of 1948-1952. This resulted in extremely high levels of unemployment (50% by 1954), which made many seek their livelihood in other Arab countries, particularly Jordan and the Arab Gulf states. </w:t>
      </w:r>
    </w:p>
    <w:p w14:paraId="3E6AF070" w14:textId="77777777" w:rsidR="00C47693" w:rsidRPr="00265453" w:rsidRDefault="00C47693" w:rsidP="00C47693">
      <w:pPr>
        <w:bidi w:val="0"/>
        <w:spacing w:line="480" w:lineRule="auto"/>
        <w:ind w:left="851"/>
        <w:jc w:val="both"/>
        <w:rPr>
          <w:rFonts w:asciiTheme="majorBidi" w:eastAsiaTheme="minorHAnsi" w:hAnsiTheme="majorBidi" w:cstheme="majorBidi"/>
          <w:sz w:val="24"/>
          <w:szCs w:val="24"/>
        </w:rPr>
      </w:pPr>
      <w:r w:rsidRPr="00265453">
        <w:rPr>
          <w:rFonts w:asciiTheme="majorBidi" w:eastAsiaTheme="minorHAnsi" w:hAnsiTheme="majorBidi" w:cstheme="majorBidi"/>
          <w:sz w:val="24"/>
          <w:szCs w:val="24"/>
        </w:rPr>
        <w:t xml:space="preserve">According to Cohen (1986, p.92), in the early 1950s, the West Bank was more highly developed and advanced than Jordan in almost every respect; however, this was to change under Jordanian rule. In the years following the annexation of the West Bank to Jordan in 1950, several factors led to the economic development of the East Bank. First, many professionals left the West Bank in search of work elsewhere. In addition, as a result of the separation from the ports of Haifa and Jaffa in Israel, new transport outlets had to be created. Jordanian investments in infrastructure were allocated primarily to the East Bank and Amman emerged as a key center for trade and commerce. </w:t>
      </w:r>
    </w:p>
    <w:p w14:paraId="2796CAE3" w14:textId="322C5A07" w:rsidR="00C47693" w:rsidRPr="00053806" w:rsidRDefault="00C47693" w:rsidP="00C47693">
      <w:pPr>
        <w:bidi w:val="0"/>
        <w:spacing w:line="480" w:lineRule="auto"/>
        <w:ind w:left="851"/>
        <w:jc w:val="both"/>
        <w:rPr>
          <w:rFonts w:asciiTheme="majorBidi" w:eastAsiaTheme="minorHAnsi" w:hAnsiTheme="majorBidi" w:cstheme="majorBidi"/>
          <w:sz w:val="24"/>
          <w:szCs w:val="24"/>
        </w:rPr>
      </w:pPr>
      <w:r w:rsidRPr="00265453">
        <w:rPr>
          <w:rFonts w:asciiTheme="majorBidi" w:eastAsiaTheme="minorHAnsi" w:hAnsiTheme="majorBidi" w:cstheme="majorBidi"/>
          <w:sz w:val="24"/>
          <w:szCs w:val="24"/>
        </w:rPr>
        <w:t xml:space="preserve">According to </w:t>
      </w:r>
      <w:proofErr w:type="spellStart"/>
      <w:r w:rsidRPr="00265453">
        <w:rPr>
          <w:rFonts w:asciiTheme="majorBidi" w:eastAsiaTheme="minorHAnsi" w:hAnsiTheme="majorBidi" w:cstheme="majorBidi"/>
          <w:sz w:val="24"/>
          <w:szCs w:val="24"/>
        </w:rPr>
        <w:t>Hilal</w:t>
      </w:r>
      <w:proofErr w:type="spellEnd"/>
      <w:r w:rsidRPr="00265453">
        <w:rPr>
          <w:rFonts w:asciiTheme="majorBidi" w:eastAsiaTheme="minorHAnsi" w:hAnsiTheme="majorBidi" w:cstheme="majorBidi"/>
          <w:sz w:val="24"/>
          <w:szCs w:val="24"/>
        </w:rPr>
        <w:t xml:space="preserve"> (1976)</w:t>
      </w:r>
      <w:r w:rsidR="007F122E">
        <w:rPr>
          <w:rFonts w:asciiTheme="majorBidi" w:eastAsiaTheme="minorHAnsi" w:hAnsiTheme="majorBidi" w:cstheme="majorBidi"/>
          <w:sz w:val="24"/>
          <w:szCs w:val="24"/>
        </w:rPr>
        <w:t>, the</w:t>
      </w:r>
      <w:r w:rsidRPr="00265453">
        <w:rPr>
          <w:rFonts w:asciiTheme="majorBidi" w:eastAsiaTheme="minorHAnsi" w:hAnsiTheme="majorBidi" w:cstheme="majorBidi"/>
          <w:sz w:val="24"/>
          <w:szCs w:val="24"/>
        </w:rPr>
        <w:t xml:space="preserve"> </w:t>
      </w:r>
      <w:r w:rsidR="007F122E">
        <w:rPr>
          <w:rFonts w:asciiTheme="majorBidi" w:eastAsiaTheme="minorHAnsi" w:hAnsiTheme="majorBidi" w:cstheme="majorBidi"/>
          <w:sz w:val="24"/>
          <w:szCs w:val="24"/>
        </w:rPr>
        <w:t>e</w:t>
      </w:r>
      <w:r w:rsidRPr="00265453">
        <w:rPr>
          <w:rFonts w:asciiTheme="majorBidi" w:eastAsiaTheme="minorHAnsi" w:hAnsiTheme="majorBidi" w:cstheme="majorBidi"/>
          <w:sz w:val="24"/>
          <w:szCs w:val="24"/>
        </w:rPr>
        <w:t xml:space="preserve">ighteen years (1948-1967) of Jordanian rule left the West Bank region severely underdeveloped. The West Bank economy </w:t>
      </w:r>
      <w:r w:rsidRPr="00053806">
        <w:rPr>
          <w:rFonts w:asciiTheme="majorBidi" w:eastAsiaTheme="minorHAnsi" w:hAnsiTheme="majorBidi" w:cstheme="majorBidi"/>
          <w:sz w:val="24"/>
          <w:szCs w:val="24"/>
        </w:rPr>
        <w:t>suffered not only from the general crisis of the Jordanian economy</w:t>
      </w:r>
      <w:r w:rsidR="00FA6D7F">
        <w:rPr>
          <w:rFonts w:asciiTheme="majorBidi" w:eastAsiaTheme="minorHAnsi" w:hAnsiTheme="majorBidi" w:cstheme="majorBidi"/>
          <w:sz w:val="24"/>
          <w:szCs w:val="24"/>
        </w:rPr>
        <w:t>,</w:t>
      </w:r>
      <w:r w:rsidRPr="00053806">
        <w:rPr>
          <w:rFonts w:asciiTheme="majorBidi" w:eastAsiaTheme="minorHAnsi" w:hAnsiTheme="majorBidi" w:cstheme="majorBidi"/>
          <w:sz w:val="24"/>
          <w:szCs w:val="24"/>
        </w:rPr>
        <w:t xml:space="preserve"> but also from the Hashemite regime's policy of </w:t>
      </w:r>
      <w:r w:rsidR="00FA6D7F">
        <w:rPr>
          <w:rFonts w:asciiTheme="majorBidi" w:eastAsiaTheme="minorHAnsi" w:hAnsiTheme="majorBidi" w:cstheme="majorBidi"/>
          <w:sz w:val="24"/>
          <w:szCs w:val="24"/>
        </w:rPr>
        <w:t xml:space="preserve">economic </w:t>
      </w:r>
      <w:r w:rsidRPr="00053806">
        <w:rPr>
          <w:rFonts w:asciiTheme="majorBidi" w:eastAsiaTheme="minorHAnsi" w:hAnsiTheme="majorBidi" w:cstheme="majorBidi"/>
          <w:sz w:val="24"/>
          <w:szCs w:val="24"/>
        </w:rPr>
        <w:t>discrimination against the area</w:t>
      </w:r>
      <w:r w:rsidR="00FA6D7F">
        <w:rPr>
          <w:rFonts w:asciiTheme="majorBidi" w:eastAsiaTheme="minorHAnsi" w:hAnsiTheme="majorBidi" w:cstheme="majorBidi"/>
          <w:sz w:val="24"/>
          <w:szCs w:val="24"/>
        </w:rPr>
        <w:t>,</w:t>
      </w:r>
      <w:r w:rsidRPr="00053806">
        <w:rPr>
          <w:rFonts w:asciiTheme="majorBidi" w:eastAsiaTheme="minorHAnsi" w:hAnsiTheme="majorBidi" w:cstheme="majorBidi"/>
          <w:sz w:val="24"/>
          <w:szCs w:val="24"/>
        </w:rPr>
        <w:t xml:space="preserve"> which prevented the development of its productive forces. Deprived of any real industrial or agricultural investment, the region had an extremely high rate of unemployment during these eighteen years.</w:t>
      </w:r>
    </w:p>
    <w:p w14:paraId="5EF2324A" w14:textId="6EEFBA03" w:rsidR="00C47693" w:rsidRPr="00053806" w:rsidRDefault="00C47693" w:rsidP="00C47693">
      <w:pPr>
        <w:bidi w:val="0"/>
        <w:spacing w:line="480" w:lineRule="auto"/>
        <w:ind w:left="851"/>
        <w:jc w:val="both"/>
        <w:rPr>
          <w:rFonts w:asciiTheme="majorBidi" w:eastAsiaTheme="minorHAnsi" w:hAnsiTheme="majorBidi" w:cstheme="majorBidi"/>
          <w:sz w:val="24"/>
          <w:szCs w:val="24"/>
        </w:rPr>
      </w:pPr>
      <w:r w:rsidRPr="00053806">
        <w:rPr>
          <w:rFonts w:asciiTheme="majorBidi" w:eastAsiaTheme="minorHAnsi" w:hAnsiTheme="majorBidi" w:cstheme="majorBidi"/>
          <w:sz w:val="24"/>
          <w:szCs w:val="24"/>
        </w:rPr>
        <w:t xml:space="preserve">According to </w:t>
      </w:r>
      <w:proofErr w:type="spellStart"/>
      <w:r w:rsidRPr="00053806">
        <w:rPr>
          <w:rFonts w:asciiTheme="majorBidi" w:eastAsiaTheme="minorHAnsi" w:hAnsiTheme="majorBidi" w:cstheme="majorBidi"/>
          <w:sz w:val="24"/>
          <w:szCs w:val="24"/>
        </w:rPr>
        <w:t>Shoukair</w:t>
      </w:r>
      <w:proofErr w:type="spellEnd"/>
      <w:r w:rsidRPr="00053806">
        <w:rPr>
          <w:rFonts w:asciiTheme="majorBidi" w:eastAsiaTheme="minorHAnsi" w:hAnsiTheme="majorBidi" w:cstheme="majorBidi"/>
          <w:sz w:val="24"/>
          <w:szCs w:val="24"/>
        </w:rPr>
        <w:t xml:space="preserve"> (2013)</w:t>
      </w:r>
      <w:r w:rsidR="00272E5F">
        <w:rPr>
          <w:rFonts w:asciiTheme="majorBidi" w:eastAsiaTheme="minorHAnsi" w:hAnsiTheme="majorBidi" w:cstheme="majorBidi"/>
          <w:sz w:val="24"/>
          <w:szCs w:val="24"/>
        </w:rPr>
        <w:t>, t</w:t>
      </w:r>
      <w:r w:rsidRPr="00053806">
        <w:rPr>
          <w:rFonts w:asciiTheme="majorBidi" w:eastAsiaTheme="minorHAnsi" w:hAnsiTheme="majorBidi" w:cstheme="majorBidi"/>
          <w:sz w:val="24"/>
          <w:szCs w:val="24"/>
        </w:rPr>
        <w:t>he new geo-political reality imposed in wake of the 1948 war affected patterns of foreign trade in the West Bank. While most imports (predominantly industrial) came from abroad, almost 50% of West Bank exports (predominantly agricultural) were sold in Jordan. The West Bank’s trade deficit did not disappear with the end of the British Mandate and separation from the Jewish community. By the close of the period of Jordanian governance, the deficit exceeded 82% of the total value of trade. The West Bank economy under Jordan remained largely underdeveloped</w:t>
      </w:r>
      <w:r w:rsidR="00053806">
        <w:rPr>
          <w:rFonts w:asciiTheme="majorBidi" w:eastAsiaTheme="minorHAnsi" w:hAnsiTheme="majorBidi" w:cstheme="majorBidi"/>
          <w:sz w:val="24"/>
          <w:szCs w:val="24"/>
        </w:rPr>
        <w:t>.</w:t>
      </w:r>
    </w:p>
    <w:p w14:paraId="0C803A32" w14:textId="21593F0B" w:rsidR="00C47693" w:rsidRPr="00053806" w:rsidRDefault="00C47693" w:rsidP="00C47693">
      <w:pPr>
        <w:bidi w:val="0"/>
        <w:spacing w:line="480" w:lineRule="auto"/>
        <w:ind w:left="851"/>
        <w:jc w:val="both"/>
        <w:rPr>
          <w:rFonts w:asciiTheme="majorBidi" w:eastAsiaTheme="minorHAnsi" w:hAnsiTheme="majorBidi" w:cstheme="majorBidi"/>
          <w:sz w:val="24"/>
          <w:szCs w:val="24"/>
        </w:rPr>
      </w:pPr>
      <w:r w:rsidRPr="00053806">
        <w:rPr>
          <w:rFonts w:asciiTheme="majorBidi" w:eastAsiaTheme="minorHAnsi" w:hAnsiTheme="majorBidi" w:cstheme="majorBidi"/>
          <w:sz w:val="24"/>
          <w:szCs w:val="24"/>
        </w:rPr>
        <w:t xml:space="preserve">In contrast, </w:t>
      </w:r>
      <w:r w:rsidR="00BC3412">
        <w:rPr>
          <w:rFonts w:asciiTheme="majorBidi" w:eastAsiaTheme="minorHAnsi" w:hAnsiTheme="majorBidi" w:cstheme="majorBidi"/>
          <w:sz w:val="24"/>
          <w:szCs w:val="24"/>
        </w:rPr>
        <w:t>u</w:t>
      </w:r>
      <w:r w:rsidRPr="00053806">
        <w:rPr>
          <w:rFonts w:asciiTheme="majorBidi" w:eastAsiaTheme="minorHAnsi" w:hAnsiTheme="majorBidi" w:cstheme="majorBidi"/>
          <w:sz w:val="24"/>
          <w:szCs w:val="24"/>
        </w:rPr>
        <w:t xml:space="preserve">nlike the West Bank, which was formally annexed to Jordan in 1950, the Gaza Strip was never annexed to Egypt and its residents were never entitled to Egyptian citizenship. Egypt treated Gaza as a controlled </w:t>
      </w:r>
      <w:r w:rsidR="007304C4" w:rsidRPr="00053806">
        <w:rPr>
          <w:rFonts w:asciiTheme="majorBidi" w:eastAsiaTheme="minorHAnsi" w:hAnsiTheme="majorBidi" w:cstheme="majorBidi"/>
          <w:sz w:val="24"/>
          <w:szCs w:val="24"/>
        </w:rPr>
        <w:t>territory,</w:t>
      </w:r>
      <w:r w:rsidRPr="00053806">
        <w:rPr>
          <w:rFonts w:asciiTheme="majorBidi" w:eastAsiaTheme="minorHAnsi" w:hAnsiTheme="majorBidi" w:cstheme="majorBidi"/>
          <w:sz w:val="24"/>
          <w:szCs w:val="24"/>
        </w:rPr>
        <w:t xml:space="preserve"> and it was administered by a military governor</w:t>
      </w:r>
      <w:r>
        <w:rPr>
          <w:rStyle w:val="FootnoteReference"/>
          <w:rFonts w:eastAsiaTheme="minorHAnsi"/>
        </w:rPr>
        <w:footnoteReference w:id="10"/>
      </w:r>
      <w:r>
        <w:rPr>
          <w:rFonts w:eastAsiaTheme="minorHAnsi"/>
        </w:rPr>
        <w:t xml:space="preserve">. </w:t>
      </w:r>
      <w:r w:rsidRPr="00053806">
        <w:rPr>
          <w:rFonts w:asciiTheme="majorBidi" w:eastAsiaTheme="minorHAnsi" w:hAnsiTheme="majorBidi" w:cstheme="majorBidi"/>
          <w:sz w:val="24"/>
          <w:szCs w:val="24"/>
        </w:rPr>
        <w:t>The economy of the Gaza Strip just after 1948 was on the verge of collapse: "Having lost most of its cultivable land and many of its domestic trade links, the Strip's rural, agrarian sector could not absorb its massive population….. Agriculture was clearly the primary economic activity; industrial activity remained virtually undeveloped….. Trade and commerce became important income-producing sectors, focused strongly on the development of an entrepot and smuggling trade since custom duties inside Gaza were relatively lower than those prevailing in Egypt…. The infrastructure of the Gaza Strip remained rudimentary, and, in the absence of an integrated market and skilled manpower base, the economy as a whole stagnated" (Roy (1987), pp. 58-59).</w:t>
      </w:r>
    </w:p>
    <w:p w14:paraId="2E454690" w14:textId="66AC29E5" w:rsidR="00C47693" w:rsidRPr="00053806" w:rsidRDefault="00C47693" w:rsidP="00C47693">
      <w:pPr>
        <w:bidi w:val="0"/>
        <w:spacing w:line="480" w:lineRule="auto"/>
        <w:ind w:left="851"/>
        <w:jc w:val="both"/>
        <w:rPr>
          <w:rFonts w:asciiTheme="majorBidi" w:eastAsiaTheme="minorHAnsi" w:hAnsiTheme="majorBidi" w:cstheme="majorBidi"/>
          <w:sz w:val="24"/>
          <w:szCs w:val="24"/>
        </w:rPr>
      </w:pPr>
      <w:r w:rsidRPr="00053806">
        <w:rPr>
          <w:rFonts w:asciiTheme="majorBidi" w:eastAsiaTheme="minorHAnsi" w:hAnsiTheme="majorBidi" w:cstheme="majorBidi"/>
          <w:sz w:val="24"/>
          <w:szCs w:val="24"/>
        </w:rPr>
        <w:t xml:space="preserve">Regarding </w:t>
      </w:r>
      <w:r w:rsidR="00B41EA4">
        <w:rPr>
          <w:rFonts w:asciiTheme="majorBidi" w:eastAsiaTheme="minorHAnsi" w:hAnsiTheme="majorBidi" w:cstheme="majorBidi"/>
          <w:sz w:val="24"/>
          <w:szCs w:val="24"/>
        </w:rPr>
        <w:t>c</w:t>
      </w:r>
      <w:r w:rsidRPr="00053806">
        <w:rPr>
          <w:rFonts w:asciiTheme="majorBidi" w:eastAsiaTheme="minorHAnsi" w:hAnsiTheme="majorBidi" w:cstheme="majorBidi"/>
          <w:sz w:val="24"/>
          <w:szCs w:val="24"/>
        </w:rPr>
        <w:t xml:space="preserve">urrency arrangements, </w:t>
      </w:r>
      <w:r w:rsidR="00B41EA4">
        <w:rPr>
          <w:rFonts w:asciiTheme="majorBidi" w:eastAsiaTheme="minorHAnsi" w:hAnsiTheme="majorBidi" w:cstheme="majorBidi"/>
          <w:sz w:val="24"/>
          <w:szCs w:val="24"/>
        </w:rPr>
        <w:t>t</w:t>
      </w:r>
      <w:r w:rsidRPr="00053806">
        <w:rPr>
          <w:rFonts w:asciiTheme="majorBidi" w:eastAsiaTheme="minorHAnsi" w:hAnsiTheme="majorBidi" w:cstheme="majorBidi"/>
          <w:sz w:val="24"/>
          <w:szCs w:val="24"/>
        </w:rPr>
        <w:t xml:space="preserve">he Israeli pound was the currency of the State of Israel from June 1952, the Palestinians in Gaza used the Egyptian Pounds and the Palestinians in the West bank used Jordan </w:t>
      </w:r>
      <w:r w:rsidR="00B41EA4">
        <w:rPr>
          <w:rFonts w:asciiTheme="majorBidi" w:eastAsiaTheme="minorHAnsi" w:hAnsiTheme="majorBidi" w:cstheme="majorBidi"/>
          <w:sz w:val="24"/>
          <w:szCs w:val="24"/>
        </w:rPr>
        <w:t>D</w:t>
      </w:r>
      <w:r w:rsidRPr="00053806">
        <w:rPr>
          <w:rFonts w:asciiTheme="majorBidi" w:eastAsiaTheme="minorHAnsi" w:hAnsiTheme="majorBidi" w:cstheme="majorBidi"/>
          <w:sz w:val="24"/>
          <w:szCs w:val="24"/>
        </w:rPr>
        <w:t xml:space="preserve">inar. </w:t>
      </w:r>
    </w:p>
    <w:p w14:paraId="32B0D735" w14:textId="10BA4965" w:rsidR="00C47693" w:rsidRPr="00053806" w:rsidRDefault="00C47693" w:rsidP="00C47693">
      <w:pPr>
        <w:bidi w:val="0"/>
        <w:spacing w:line="480" w:lineRule="auto"/>
        <w:ind w:left="851"/>
        <w:jc w:val="both"/>
        <w:rPr>
          <w:rFonts w:asciiTheme="majorBidi" w:hAnsiTheme="majorBidi" w:cstheme="majorBidi"/>
          <w:sz w:val="24"/>
          <w:szCs w:val="24"/>
        </w:rPr>
      </w:pPr>
      <w:r w:rsidRPr="00053806">
        <w:rPr>
          <w:rFonts w:asciiTheme="majorBidi" w:eastAsiaTheme="minorHAnsi" w:hAnsiTheme="majorBidi" w:cstheme="majorBidi"/>
          <w:sz w:val="24"/>
          <w:szCs w:val="24"/>
        </w:rPr>
        <w:t>Th</w:t>
      </w:r>
      <w:r w:rsidR="00B41EA4">
        <w:rPr>
          <w:rFonts w:asciiTheme="majorBidi" w:eastAsiaTheme="minorHAnsi" w:hAnsiTheme="majorBidi" w:cstheme="majorBidi"/>
          <w:sz w:val="24"/>
          <w:szCs w:val="24"/>
        </w:rPr>
        <w:t>is</w:t>
      </w:r>
      <w:r w:rsidRPr="00053806">
        <w:rPr>
          <w:rFonts w:asciiTheme="majorBidi" w:eastAsiaTheme="minorHAnsi" w:hAnsiTheme="majorBidi" w:cstheme="majorBidi"/>
          <w:sz w:val="24"/>
          <w:szCs w:val="24"/>
        </w:rPr>
        <w:t xml:space="preserve"> period end</w:t>
      </w:r>
      <w:r w:rsidR="000E27A6">
        <w:rPr>
          <w:rFonts w:asciiTheme="majorBidi" w:eastAsiaTheme="minorHAnsi" w:hAnsiTheme="majorBidi" w:cstheme="majorBidi"/>
          <w:sz w:val="24"/>
          <w:szCs w:val="24"/>
        </w:rPr>
        <w:t>ed</w:t>
      </w:r>
      <w:r w:rsidRPr="00053806">
        <w:rPr>
          <w:rFonts w:asciiTheme="majorBidi" w:eastAsiaTheme="minorHAnsi" w:hAnsiTheme="majorBidi" w:cstheme="majorBidi"/>
          <w:sz w:val="24"/>
          <w:szCs w:val="24"/>
        </w:rPr>
        <w:t xml:space="preserve"> with the </w:t>
      </w:r>
      <w:r w:rsidRPr="00053806">
        <w:rPr>
          <w:rFonts w:asciiTheme="majorBidi" w:hAnsiTheme="majorBidi" w:cstheme="majorBidi"/>
          <w:color w:val="000000"/>
          <w:sz w:val="24"/>
          <w:szCs w:val="24"/>
          <w:shd w:val="clear" w:color="auto" w:fill="FFFFFF"/>
        </w:rPr>
        <w:t xml:space="preserve">outbreak of the </w:t>
      </w:r>
      <w:r w:rsidRPr="00053806">
        <w:rPr>
          <w:rFonts w:asciiTheme="majorBidi" w:hAnsiTheme="majorBidi" w:cstheme="majorBidi"/>
          <w:sz w:val="24"/>
          <w:szCs w:val="24"/>
        </w:rPr>
        <w:t xml:space="preserve">Six Day War which was a war between Israel and her neighboring countries - Egypt, Syria and Jordan </w:t>
      </w:r>
      <w:r w:rsidR="00E32948">
        <w:rPr>
          <w:rFonts w:asciiTheme="majorBidi" w:hAnsiTheme="majorBidi" w:cstheme="majorBidi"/>
          <w:sz w:val="24"/>
          <w:szCs w:val="24"/>
        </w:rPr>
        <w:t>–</w:t>
      </w:r>
      <w:r w:rsidRPr="00053806">
        <w:rPr>
          <w:rFonts w:asciiTheme="majorBidi" w:hAnsiTheme="majorBidi" w:cstheme="majorBidi"/>
          <w:sz w:val="24"/>
          <w:szCs w:val="24"/>
        </w:rPr>
        <w:t xml:space="preserve"> from</w:t>
      </w:r>
      <w:r w:rsidR="00E32948">
        <w:rPr>
          <w:rFonts w:asciiTheme="majorBidi" w:hAnsiTheme="majorBidi" w:cstheme="majorBidi"/>
          <w:sz w:val="24"/>
          <w:szCs w:val="24"/>
        </w:rPr>
        <w:t xml:space="preserve"> 5-10</w:t>
      </w:r>
      <w:r w:rsidRPr="00053806">
        <w:rPr>
          <w:rFonts w:asciiTheme="majorBidi" w:hAnsiTheme="majorBidi" w:cstheme="majorBidi"/>
          <w:sz w:val="24"/>
          <w:szCs w:val="24"/>
        </w:rPr>
        <w:t xml:space="preserve"> June 1967. </w:t>
      </w:r>
    </w:p>
    <w:p w14:paraId="453CDE60" w14:textId="77777777" w:rsidR="00C47693" w:rsidRDefault="00C47693" w:rsidP="00C47693">
      <w:pPr>
        <w:bidi w:val="0"/>
        <w:spacing w:line="480" w:lineRule="auto"/>
        <w:ind w:left="851"/>
        <w:jc w:val="both"/>
        <w:rPr>
          <w:rFonts w:eastAsiaTheme="minorHAnsi" w:cs="Times New Roman"/>
        </w:rPr>
      </w:pPr>
    </w:p>
    <w:p w14:paraId="514CC6E3" w14:textId="77777777" w:rsidR="00053806" w:rsidRDefault="00053806" w:rsidP="00053806">
      <w:pPr>
        <w:bidi w:val="0"/>
        <w:spacing w:line="480" w:lineRule="auto"/>
        <w:ind w:left="851"/>
        <w:jc w:val="both"/>
        <w:rPr>
          <w:rFonts w:eastAsiaTheme="minorHAnsi" w:cs="Times New Roman"/>
        </w:rPr>
      </w:pPr>
    </w:p>
    <w:p w14:paraId="4B2BE5B6" w14:textId="77777777" w:rsidR="00C47693" w:rsidRDefault="00C47693" w:rsidP="00C47693">
      <w:pPr>
        <w:bidi w:val="0"/>
        <w:spacing w:line="480" w:lineRule="auto"/>
        <w:ind w:left="851"/>
        <w:jc w:val="both"/>
        <w:rPr>
          <w:rFonts w:eastAsiaTheme="minorHAnsi"/>
        </w:rPr>
      </w:pPr>
    </w:p>
    <w:p w14:paraId="6E1852FA" w14:textId="77777777" w:rsidR="00C47693" w:rsidRDefault="00C47693" w:rsidP="00C47693">
      <w:pPr>
        <w:bidi w:val="0"/>
        <w:spacing w:line="480" w:lineRule="auto"/>
        <w:ind w:left="851"/>
        <w:jc w:val="both"/>
        <w:rPr>
          <w:rFonts w:eastAsiaTheme="minorHAnsi"/>
        </w:rPr>
      </w:pPr>
    </w:p>
    <w:p w14:paraId="3634352F" w14:textId="77777777" w:rsidR="00C47693" w:rsidRDefault="00C47693" w:rsidP="00C47693">
      <w:pPr>
        <w:bidi w:val="0"/>
        <w:spacing w:line="480" w:lineRule="auto"/>
        <w:ind w:left="851"/>
        <w:jc w:val="both"/>
        <w:rPr>
          <w:rFonts w:eastAsiaTheme="minorHAnsi"/>
        </w:rPr>
      </w:pPr>
    </w:p>
    <w:p w14:paraId="0BE9295D" w14:textId="77777777" w:rsidR="00C47693" w:rsidRDefault="00C47693" w:rsidP="00C47693">
      <w:pPr>
        <w:bidi w:val="0"/>
        <w:spacing w:line="480" w:lineRule="auto"/>
        <w:ind w:left="851"/>
        <w:jc w:val="both"/>
        <w:rPr>
          <w:rFonts w:eastAsiaTheme="minorHAnsi"/>
        </w:rPr>
      </w:pPr>
    </w:p>
    <w:p w14:paraId="0AE48DBC" w14:textId="77777777" w:rsidR="00C47693" w:rsidRDefault="00C47693" w:rsidP="00C47693">
      <w:pPr>
        <w:bidi w:val="0"/>
        <w:spacing w:line="480" w:lineRule="auto"/>
        <w:ind w:left="851"/>
        <w:jc w:val="both"/>
        <w:rPr>
          <w:rFonts w:eastAsiaTheme="minorHAnsi"/>
        </w:rPr>
      </w:pPr>
    </w:p>
    <w:p w14:paraId="7D1E1A91" w14:textId="77777777" w:rsidR="00C47693" w:rsidRDefault="00C47693" w:rsidP="00C47693">
      <w:pPr>
        <w:bidi w:val="0"/>
        <w:spacing w:line="480" w:lineRule="auto"/>
        <w:ind w:left="851"/>
        <w:jc w:val="both"/>
        <w:rPr>
          <w:rFonts w:eastAsiaTheme="minorHAnsi"/>
        </w:rPr>
      </w:pPr>
    </w:p>
    <w:p w14:paraId="06EE3280" w14:textId="77777777" w:rsidR="00C47693" w:rsidRDefault="00C47693" w:rsidP="00C47693">
      <w:pPr>
        <w:bidi w:val="0"/>
        <w:spacing w:line="480" w:lineRule="auto"/>
        <w:ind w:left="851"/>
        <w:jc w:val="both"/>
        <w:rPr>
          <w:rFonts w:eastAsiaTheme="minorHAnsi"/>
        </w:rPr>
      </w:pPr>
    </w:p>
    <w:p w14:paraId="7B141BDB" w14:textId="77777777" w:rsidR="00C47693" w:rsidRDefault="00C47693" w:rsidP="00C47693">
      <w:pPr>
        <w:bidi w:val="0"/>
        <w:spacing w:line="480" w:lineRule="auto"/>
        <w:ind w:left="851"/>
        <w:jc w:val="both"/>
        <w:rPr>
          <w:rFonts w:eastAsiaTheme="minorHAnsi"/>
        </w:rPr>
      </w:pPr>
    </w:p>
    <w:p w14:paraId="4D7DAC13" w14:textId="77777777" w:rsidR="00C47693" w:rsidRDefault="00C47693" w:rsidP="00C47693">
      <w:pPr>
        <w:bidi w:val="0"/>
        <w:spacing w:line="480" w:lineRule="auto"/>
        <w:ind w:left="851"/>
        <w:jc w:val="both"/>
        <w:rPr>
          <w:rFonts w:eastAsiaTheme="minorHAnsi"/>
        </w:rPr>
      </w:pPr>
    </w:p>
    <w:p w14:paraId="693F3722" w14:textId="77777777" w:rsidR="00C47693" w:rsidRDefault="00C47693" w:rsidP="00C47693">
      <w:pPr>
        <w:bidi w:val="0"/>
        <w:spacing w:line="480" w:lineRule="auto"/>
        <w:ind w:left="851"/>
        <w:jc w:val="both"/>
        <w:rPr>
          <w:rFonts w:eastAsiaTheme="minorHAnsi"/>
        </w:rPr>
      </w:pPr>
    </w:p>
    <w:p w14:paraId="3932F236" w14:textId="77777777" w:rsidR="00C47693" w:rsidRDefault="00C47693" w:rsidP="00C47693">
      <w:pPr>
        <w:bidi w:val="0"/>
        <w:spacing w:line="480" w:lineRule="auto"/>
        <w:ind w:left="851"/>
        <w:jc w:val="both"/>
        <w:rPr>
          <w:rFonts w:eastAsiaTheme="minorHAnsi"/>
        </w:rPr>
      </w:pPr>
    </w:p>
    <w:p w14:paraId="7282D9CE" w14:textId="0C58677E" w:rsidR="00C47693" w:rsidRPr="00053806" w:rsidRDefault="00C47693" w:rsidP="00C47693">
      <w:pPr>
        <w:pStyle w:val="ListParagraph"/>
        <w:numPr>
          <w:ilvl w:val="1"/>
          <w:numId w:val="4"/>
        </w:numPr>
        <w:autoSpaceDE w:val="0"/>
        <w:autoSpaceDN w:val="0"/>
        <w:bidi w:val="0"/>
        <w:adjustRightInd w:val="0"/>
        <w:spacing w:line="360" w:lineRule="auto"/>
        <w:jc w:val="both"/>
        <w:rPr>
          <w:rFonts w:asciiTheme="majorBidi" w:hAnsiTheme="majorBidi" w:cstheme="majorBidi"/>
          <w:b/>
          <w:bCs/>
          <w:sz w:val="24"/>
          <w:szCs w:val="24"/>
        </w:rPr>
      </w:pPr>
      <w:r w:rsidRPr="00053806">
        <w:rPr>
          <w:rFonts w:asciiTheme="majorBidi" w:hAnsiTheme="majorBidi" w:cstheme="majorBidi"/>
          <w:b/>
          <w:bCs/>
          <w:sz w:val="24"/>
          <w:szCs w:val="24"/>
        </w:rPr>
        <w:t>The WBG under Israel control</w:t>
      </w:r>
      <w:r w:rsidR="00497A1E">
        <w:rPr>
          <w:rFonts w:asciiTheme="majorBidi" w:hAnsiTheme="majorBidi" w:cstheme="majorBidi"/>
          <w:b/>
          <w:bCs/>
          <w:sz w:val="24"/>
          <w:szCs w:val="24"/>
        </w:rPr>
        <w:t xml:space="preserve"> (</w:t>
      </w:r>
      <w:r w:rsidR="00497A1E" w:rsidRPr="00053806">
        <w:rPr>
          <w:rFonts w:asciiTheme="majorBidi" w:eastAsiaTheme="minorHAnsi" w:hAnsiTheme="majorBidi" w:cstheme="majorBidi"/>
          <w:b/>
          <w:bCs/>
          <w:sz w:val="24"/>
          <w:szCs w:val="24"/>
        </w:rPr>
        <w:t>1967 – 1993</w:t>
      </w:r>
      <w:r w:rsidR="00497A1E">
        <w:rPr>
          <w:rFonts w:asciiTheme="majorBidi" w:eastAsiaTheme="minorHAnsi" w:hAnsiTheme="majorBidi" w:cstheme="majorBidi"/>
          <w:b/>
          <w:bCs/>
          <w:sz w:val="24"/>
          <w:szCs w:val="24"/>
        </w:rPr>
        <w:t>)</w:t>
      </w:r>
    </w:p>
    <w:p w14:paraId="20EAAC06" w14:textId="079A8794" w:rsidR="00C47693" w:rsidRDefault="00783862" w:rsidP="00C47693">
      <w:pPr>
        <w:bidi w:val="0"/>
        <w:spacing w:line="480" w:lineRule="auto"/>
        <w:ind w:left="851"/>
        <w:jc w:val="both"/>
        <w:rPr>
          <w:rFonts w:cs="David"/>
        </w:rPr>
      </w:pPr>
      <w:r>
        <w:rPr>
          <w:rFonts w:asciiTheme="majorBidi" w:hAnsiTheme="majorBidi" w:cstheme="majorBidi"/>
          <w:sz w:val="24"/>
          <w:szCs w:val="24"/>
        </w:rPr>
        <w:t>As a result of</w:t>
      </w:r>
      <w:r w:rsidR="00C47693" w:rsidRPr="00053806">
        <w:rPr>
          <w:rFonts w:asciiTheme="majorBidi" w:hAnsiTheme="majorBidi" w:cstheme="majorBidi"/>
          <w:sz w:val="24"/>
          <w:szCs w:val="24"/>
        </w:rPr>
        <w:t xml:space="preserve"> the Six Day War, Israel </w:t>
      </w:r>
      <w:r w:rsidR="001E5193">
        <w:rPr>
          <w:rFonts w:asciiTheme="majorBidi" w:hAnsiTheme="majorBidi" w:cstheme="majorBidi"/>
          <w:sz w:val="24"/>
          <w:szCs w:val="24"/>
        </w:rPr>
        <w:t>took control of</w:t>
      </w:r>
      <w:r w:rsidR="00C47693" w:rsidRPr="00053806">
        <w:rPr>
          <w:rFonts w:asciiTheme="majorBidi" w:hAnsiTheme="majorBidi" w:cstheme="majorBidi"/>
          <w:sz w:val="24"/>
          <w:szCs w:val="24"/>
        </w:rPr>
        <w:t xml:space="preserve"> the West Bank and Gaza Strip, </w:t>
      </w:r>
      <w:r w:rsidR="001E5193">
        <w:rPr>
          <w:rFonts w:asciiTheme="majorBidi" w:hAnsiTheme="majorBidi" w:cstheme="majorBidi"/>
          <w:sz w:val="24"/>
          <w:szCs w:val="24"/>
        </w:rPr>
        <w:t xml:space="preserve">the </w:t>
      </w:r>
      <w:r w:rsidR="00C47693" w:rsidRPr="00053806">
        <w:rPr>
          <w:rFonts w:asciiTheme="majorBidi" w:hAnsiTheme="majorBidi" w:cstheme="majorBidi"/>
          <w:sz w:val="24"/>
          <w:szCs w:val="24"/>
        </w:rPr>
        <w:t xml:space="preserve">Sinai Peninsula, and </w:t>
      </w:r>
      <w:r w:rsidR="001E5193">
        <w:rPr>
          <w:rFonts w:asciiTheme="majorBidi" w:hAnsiTheme="majorBidi" w:cstheme="majorBidi"/>
          <w:sz w:val="24"/>
          <w:szCs w:val="24"/>
        </w:rPr>
        <w:t xml:space="preserve">the </w:t>
      </w:r>
      <w:r w:rsidR="00C47693" w:rsidRPr="00053806">
        <w:rPr>
          <w:rFonts w:asciiTheme="majorBidi" w:hAnsiTheme="majorBidi" w:cstheme="majorBidi"/>
          <w:sz w:val="24"/>
          <w:szCs w:val="24"/>
        </w:rPr>
        <w:t>Golan Heights. Israel tripled in its size after the war</w:t>
      </w:r>
      <w:r w:rsidR="000A3224">
        <w:rPr>
          <w:rFonts w:asciiTheme="majorBidi" w:hAnsiTheme="majorBidi" w:cstheme="majorBidi"/>
          <w:sz w:val="24"/>
          <w:szCs w:val="24"/>
        </w:rPr>
        <w:t>,</w:t>
      </w:r>
      <w:r w:rsidR="00C47693" w:rsidRPr="00053806">
        <w:rPr>
          <w:rFonts w:asciiTheme="majorBidi" w:hAnsiTheme="majorBidi" w:cstheme="majorBidi"/>
          <w:sz w:val="24"/>
          <w:szCs w:val="24"/>
        </w:rPr>
        <w:t xml:space="preserve"> and gained sovereignty over an Arab population of approximately one million citizens (in addition to 300,000 Israeli Arabs living in Israel at the time)</w:t>
      </w:r>
      <w:r w:rsidR="00C47693">
        <w:rPr>
          <w:rStyle w:val="FootnoteReference"/>
          <w:rFonts w:cs="David"/>
        </w:rPr>
        <w:footnoteReference w:id="11"/>
      </w:r>
      <w:r w:rsidR="00C47693">
        <w:rPr>
          <w:rFonts w:cs="David"/>
        </w:rPr>
        <w:t>.</w:t>
      </w:r>
    </w:p>
    <w:p w14:paraId="65D62324" w14:textId="19ECB1FC" w:rsidR="00C47693" w:rsidRPr="00053806" w:rsidRDefault="005D10F5" w:rsidP="00C47693">
      <w:pPr>
        <w:bidi w:val="0"/>
        <w:spacing w:line="480" w:lineRule="auto"/>
        <w:ind w:left="851"/>
        <w:jc w:val="center"/>
        <w:rPr>
          <w:rFonts w:asciiTheme="majorBidi" w:hAnsiTheme="majorBidi" w:cstheme="majorBidi"/>
          <w:b/>
          <w:bCs/>
          <w:sz w:val="24"/>
          <w:szCs w:val="24"/>
        </w:rPr>
      </w:pPr>
      <w:r>
        <w:rPr>
          <w:rFonts w:asciiTheme="majorBidi" w:hAnsiTheme="majorBidi" w:cstheme="majorBidi"/>
          <w:b/>
          <w:bCs/>
          <w:sz w:val="24"/>
          <w:szCs w:val="24"/>
        </w:rPr>
        <w:t xml:space="preserve">Figure 5 - </w:t>
      </w:r>
      <w:r w:rsidR="00C47693" w:rsidRPr="00053806">
        <w:rPr>
          <w:rFonts w:asciiTheme="majorBidi" w:hAnsiTheme="majorBidi" w:cstheme="majorBidi"/>
          <w:b/>
          <w:bCs/>
          <w:sz w:val="24"/>
          <w:szCs w:val="24"/>
        </w:rPr>
        <w:t>After the Six Day War</w:t>
      </w:r>
    </w:p>
    <w:p w14:paraId="630F086C" w14:textId="77777777" w:rsidR="00C47693" w:rsidRDefault="00C47693" w:rsidP="00C47693">
      <w:pPr>
        <w:bidi w:val="0"/>
        <w:spacing w:line="480" w:lineRule="auto"/>
        <w:ind w:left="851"/>
        <w:jc w:val="center"/>
        <w:rPr>
          <w:rFonts w:cs="David"/>
        </w:rPr>
      </w:pPr>
      <w:r>
        <w:rPr>
          <w:noProof/>
        </w:rPr>
        <w:drawing>
          <wp:inline distT="0" distB="0" distL="0" distR="0" wp14:anchorId="15600898" wp14:editId="20367C8C">
            <wp:extent cx="1931035" cy="2816860"/>
            <wp:effectExtent l="0" t="0" r="0" b="254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1035" cy="2816860"/>
                    </a:xfrm>
                    <a:prstGeom prst="rect">
                      <a:avLst/>
                    </a:prstGeom>
                    <a:noFill/>
                    <a:ln>
                      <a:noFill/>
                    </a:ln>
                  </pic:spPr>
                </pic:pic>
              </a:graphicData>
            </a:graphic>
          </wp:inline>
        </w:drawing>
      </w:r>
    </w:p>
    <w:p w14:paraId="52C30A19" w14:textId="77777777" w:rsidR="00C47693" w:rsidRPr="00053806" w:rsidRDefault="00C47693" w:rsidP="00C47693">
      <w:pPr>
        <w:bidi w:val="0"/>
        <w:spacing w:line="480" w:lineRule="auto"/>
        <w:ind w:left="851"/>
        <w:jc w:val="center"/>
        <w:rPr>
          <w:rFonts w:asciiTheme="majorBidi" w:eastAsiaTheme="minorHAnsi" w:hAnsiTheme="majorBidi" w:cstheme="majorBidi"/>
          <w:sz w:val="20"/>
          <w:szCs w:val="20"/>
          <w:rtl/>
        </w:rPr>
      </w:pPr>
      <w:r w:rsidRPr="00053806">
        <w:rPr>
          <w:rFonts w:asciiTheme="majorBidi" w:eastAsiaTheme="minorHAnsi" w:hAnsiTheme="majorBidi" w:cstheme="majorBidi"/>
          <w:sz w:val="20"/>
          <w:szCs w:val="20"/>
        </w:rPr>
        <w:t>Source:</w:t>
      </w:r>
      <w:r w:rsidRPr="00053806">
        <w:rPr>
          <w:rFonts w:asciiTheme="majorBidi" w:hAnsiTheme="majorBidi" w:cstheme="majorBidi"/>
          <w:color w:val="404040"/>
          <w:sz w:val="16"/>
          <w:szCs w:val="16"/>
          <w:shd w:val="clear" w:color="auto" w:fill="FFFFFF"/>
        </w:rPr>
        <w:t xml:space="preserve"> </w:t>
      </w:r>
      <w:r w:rsidRPr="00053806">
        <w:rPr>
          <w:rFonts w:asciiTheme="majorBidi" w:eastAsiaTheme="minorHAnsi" w:hAnsiTheme="majorBidi" w:cstheme="majorBidi"/>
          <w:sz w:val="20"/>
          <w:szCs w:val="20"/>
        </w:rPr>
        <w:t>IDF Mapping Unit and Israeli Ministry of Foreign Affairs</w:t>
      </w:r>
    </w:p>
    <w:p w14:paraId="58EA0346" w14:textId="2A7ADFBA" w:rsidR="00C47693" w:rsidRPr="00053806" w:rsidRDefault="00C47693" w:rsidP="00C47693">
      <w:pPr>
        <w:bidi w:val="0"/>
        <w:spacing w:line="480" w:lineRule="auto"/>
        <w:ind w:left="851"/>
        <w:jc w:val="both"/>
        <w:rPr>
          <w:rFonts w:asciiTheme="majorBidi" w:eastAsiaTheme="minorHAnsi" w:hAnsiTheme="majorBidi" w:cstheme="majorBidi"/>
          <w:sz w:val="24"/>
          <w:szCs w:val="24"/>
        </w:rPr>
      </w:pPr>
      <w:r w:rsidRPr="00053806">
        <w:rPr>
          <w:rFonts w:asciiTheme="majorBidi" w:hAnsiTheme="majorBidi" w:cstheme="majorBidi"/>
          <w:sz w:val="24"/>
          <w:szCs w:val="24"/>
        </w:rPr>
        <w:t xml:space="preserve">According to </w:t>
      </w:r>
      <w:proofErr w:type="spellStart"/>
      <w:r w:rsidRPr="00053806">
        <w:rPr>
          <w:rFonts w:asciiTheme="majorBidi" w:hAnsiTheme="majorBidi" w:cstheme="majorBidi"/>
          <w:sz w:val="24"/>
          <w:szCs w:val="24"/>
        </w:rPr>
        <w:t>Arnon</w:t>
      </w:r>
      <w:proofErr w:type="spellEnd"/>
      <w:r w:rsidRPr="00053806">
        <w:rPr>
          <w:rFonts w:asciiTheme="majorBidi" w:hAnsiTheme="majorBidi" w:cstheme="majorBidi"/>
          <w:sz w:val="24"/>
          <w:szCs w:val="24"/>
        </w:rPr>
        <w:t xml:space="preserve"> (2007)</w:t>
      </w:r>
      <w:r w:rsidR="007C6383">
        <w:rPr>
          <w:rFonts w:asciiTheme="majorBidi" w:hAnsiTheme="majorBidi" w:cstheme="majorBidi"/>
          <w:sz w:val="24"/>
          <w:szCs w:val="24"/>
        </w:rPr>
        <w:t>, w</w:t>
      </w:r>
      <w:r w:rsidRPr="00053806">
        <w:rPr>
          <w:rFonts w:asciiTheme="majorBidi" w:hAnsiTheme="majorBidi" w:cstheme="majorBidi"/>
          <w:sz w:val="24"/>
          <w:szCs w:val="24"/>
        </w:rPr>
        <w:t>ithin a few days after the war, the external borders under Israel</w:t>
      </w:r>
      <w:r w:rsidR="007C6383">
        <w:rPr>
          <w:rFonts w:asciiTheme="majorBidi" w:hAnsiTheme="majorBidi" w:cstheme="majorBidi"/>
          <w:sz w:val="24"/>
          <w:szCs w:val="24"/>
        </w:rPr>
        <w:t>’s</w:t>
      </w:r>
      <w:r w:rsidRPr="00053806">
        <w:rPr>
          <w:rFonts w:asciiTheme="majorBidi" w:hAnsiTheme="majorBidi" w:cstheme="majorBidi"/>
          <w:sz w:val="24"/>
          <w:szCs w:val="24"/>
        </w:rPr>
        <w:t xml:space="preserve"> control were closed, while within a short time the internal borders practically disappeared, allow</w:t>
      </w:r>
      <w:r w:rsidR="00495A3D">
        <w:rPr>
          <w:rFonts w:asciiTheme="majorBidi" w:hAnsiTheme="majorBidi" w:cstheme="majorBidi"/>
          <w:sz w:val="24"/>
          <w:szCs w:val="24"/>
        </w:rPr>
        <w:t>ing</w:t>
      </w:r>
      <w:r w:rsidRPr="00053806">
        <w:rPr>
          <w:rFonts w:asciiTheme="majorBidi" w:hAnsiTheme="majorBidi" w:cstheme="majorBidi"/>
          <w:sz w:val="24"/>
          <w:szCs w:val="24"/>
        </w:rPr>
        <w:t xml:space="preserve"> economic transactions. </w:t>
      </w:r>
      <w:r w:rsidRPr="00053806">
        <w:rPr>
          <w:rFonts w:asciiTheme="majorBidi" w:eastAsiaTheme="minorHAnsi" w:hAnsiTheme="majorBidi" w:cstheme="majorBidi"/>
          <w:sz w:val="24"/>
          <w:szCs w:val="24"/>
        </w:rPr>
        <w:t xml:space="preserve">Israel implemented its own trade protocol on the new external borders and created a customs envelope (Israel and the WBG). Israel </w:t>
      </w:r>
      <w:r w:rsidR="00495A3D">
        <w:rPr>
          <w:rFonts w:asciiTheme="majorBidi" w:eastAsiaTheme="minorHAnsi" w:hAnsiTheme="majorBidi" w:cstheme="majorBidi"/>
          <w:sz w:val="24"/>
          <w:szCs w:val="24"/>
        </w:rPr>
        <w:t>arranged</w:t>
      </w:r>
      <w:r w:rsidRPr="00053806">
        <w:rPr>
          <w:rFonts w:asciiTheme="majorBidi" w:eastAsiaTheme="minorHAnsi" w:hAnsiTheme="majorBidi" w:cstheme="majorBidi"/>
          <w:sz w:val="24"/>
          <w:szCs w:val="24"/>
        </w:rPr>
        <w:t xml:space="preserve"> the terms of the customs union according to its own needs</w:t>
      </w:r>
      <w:r w:rsidR="006716C2">
        <w:rPr>
          <w:rFonts w:asciiTheme="majorBidi" w:eastAsiaTheme="minorHAnsi" w:hAnsiTheme="majorBidi" w:cstheme="majorBidi"/>
          <w:sz w:val="24"/>
          <w:szCs w:val="24"/>
        </w:rPr>
        <w:t>,</w:t>
      </w:r>
      <w:r w:rsidRPr="00053806">
        <w:rPr>
          <w:rFonts w:asciiTheme="majorBidi" w:eastAsiaTheme="minorHAnsi" w:hAnsiTheme="majorBidi" w:cstheme="majorBidi"/>
          <w:sz w:val="24"/>
          <w:szCs w:val="24"/>
        </w:rPr>
        <w:t xml:space="preserve"> and there was no agreement on sharing the revenues from import taxes. The public sector of the Palestinian economy, which deals with taxation, providing services, investment in infrastructure etc. was under Israeli control. A macroeconomic policy aimed at serving the needs of the Palestinian economy, was never implemented; additionally, since local currency did not exist, neither did any monetary policy. The local banking system had been ordered to close in 1967 and was not reopened until the 1980’s, and even </w:t>
      </w:r>
      <w:r w:rsidR="00094EF9" w:rsidRPr="00053806">
        <w:rPr>
          <w:rFonts w:asciiTheme="majorBidi" w:eastAsiaTheme="minorHAnsi" w:hAnsiTheme="majorBidi" w:cstheme="majorBidi"/>
          <w:sz w:val="24"/>
          <w:szCs w:val="24"/>
        </w:rPr>
        <w:t>then,</w:t>
      </w:r>
      <w:r w:rsidRPr="00053806">
        <w:rPr>
          <w:rFonts w:asciiTheme="majorBidi" w:eastAsiaTheme="minorHAnsi" w:hAnsiTheme="majorBidi" w:cstheme="majorBidi"/>
          <w:sz w:val="24"/>
          <w:szCs w:val="24"/>
        </w:rPr>
        <w:t xml:space="preserve"> in a very limited manner. During the first decades of the occupation a few Israeli banks</w:t>
      </w:r>
      <w:r w:rsidR="004521FD" w:rsidRPr="004521FD">
        <w:rPr>
          <w:rFonts w:asciiTheme="majorBidi" w:eastAsiaTheme="minorHAnsi" w:hAnsiTheme="majorBidi" w:cstheme="majorBidi"/>
          <w:sz w:val="24"/>
          <w:szCs w:val="24"/>
        </w:rPr>
        <w:t xml:space="preserve"> </w:t>
      </w:r>
      <w:r w:rsidR="004521FD" w:rsidRPr="00053806">
        <w:rPr>
          <w:rFonts w:asciiTheme="majorBidi" w:eastAsiaTheme="minorHAnsi" w:hAnsiTheme="majorBidi" w:cstheme="majorBidi"/>
          <w:sz w:val="24"/>
          <w:szCs w:val="24"/>
        </w:rPr>
        <w:t>operated</w:t>
      </w:r>
      <w:r w:rsidRPr="00053806">
        <w:rPr>
          <w:rFonts w:asciiTheme="majorBidi" w:eastAsiaTheme="minorHAnsi" w:hAnsiTheme="majorBidi" w:cstheme="majorBidi"/>
          <w:sz w:val="24"/>
          <w:szCs w:val="24"/>
        </w:rPr>
        <w:t xml:space="preserve"> very sparingly in the </w:t>
      </w:r>
      <w:r w:rsidR="004521FD">
        <w:rPr>
          <w:rFonts w:asciiTheme="majorBidi" w:eastAsiaTheme="minorHAnsi" w:hAnsiTheme="majorBidi" w:cstheme="majorBidi"/>
          <w:sz w:val="24"/>
          <w:szCs w:val="24"/>
        </w:rPr>
        <w:t>WBG</w:t>
      </w:r>
      <w:r w:rsidRPr="00053806">
        <w:rPr>
          <w:rFonts w:asciiTheme="majorBidi" w:eastAsiaTheme="minorHAnsi" w:hAnsiTheme="majorBidi" w:cstheme="majorBidi"/>
          <w:sz w:val="24"/>
          <w:szCs w:val="24"/>
        </w:rPr>
        <w:t xml:space="preserve">. Financial institutions barely existed; minimal financial transactions were available through a relatively well-developed network of money changers that worked with the Jordanian banking system. </w:t>
      </w:r>
    </w:p>
    <w:p w14:paraId="248C6CB2" w14:textId="7467D0D1" w:rsidR="00C47693" w:rsidRPr="00053806" w:rsidRDefault="00C47693" w:rsidP="00C47693">
      <w:pPr>
        <w:pStyle w:val="ListParagraph"/>
        <w:bidi w:val="0"/>
        <w:spacing w:line="480" w:lineRule="auto"/>
        <w:ind w:left="851"/>
        <w:jc w:val="both"/>
        <w:rPr>
          <w:rFonts w:asciiTheme="majorBidi" w:hAnsiTheme="majorBidi" w:cstheme="majorBidi"/>
          <w:sz w:val="24"/>
          <w:szCs w:val="24"/>
        </w:rPr>
      </w:pPr>
      <w:proofErr w:type="spellStart"/>
      <w:r w:rsidRPr="00053806">
        <w:rPr>
          <w:rFonts w:asciiTheme="majorBidi" w:hAnsiTheme="majorBidi" w:cstheme="majorBidi"/>
          <w:sz w:val="24"/>
          <w:szCs w:val="24"/>
        </w:rPr>
        <w:t>Naqib</w:t>
      </w:r>
      <w:proofErr w:type="spellEnd"/>
      <w:r w:rsidRPr="00053806">
        <w:rPr>
          <w:rFonts w:asciiTheme="majorBidi" w:hAnsiTheme="majorBidi" w:cstheme="majorBidi"/>
          <w:sz w:val="24"/>
          <w:szCs w:val="24"/>
        </w:rPr>
        <w:t xml:space="preserve"> (2015) analyzes the dynamics of the relationship between the Israeli economy and the Palestinian economy as it evolved </w:t>
      </w:r>
      <w:r w:rsidR="00FD5A1C">
        <w:rPr>
          <w:rFonts w:asciiTheme="majorBidi" w:hAnsiTheme="majorBidi" w:cstheme="majorBidi"/>
          <w:sz w:val="24"/>
          <w:szCs w:val="24"/>
        </w:rPr>
        <w:t>a</w:t>
      </w:r>
      <w:r w:rsidRPr="00053806">
        <w:rPr>
          <w:rFonts w:asciiTheme="majorBidi" w:hAnsiTheme="majorBidi" w:cstheme="majorBidi"/>
          <w:sz w:val="24"/>
          <w:szCs w:val="24"/>
        </w:rPr>
        <w:t xml:space="preserve">fter 1967 in the context of two opposing effects: </w:t>
      </w:r>
      <w:r w:rsidR="00FD5A1C">
        <w:rPr>
          <w:rFonts w:asciiTheme="majorBidi" w:hAnsiTheme="majorBidi" w:cstheme="majorBidi"/>
          <w:sz w:val="24"/>
          <w:szCs w:val="24"/>
        </w:rPr>
        <w:t>(</w:t>
      </w:r>
      <w:proofErr w:type="spellStart"/>
      <w:r w:rsidR="00FD5A1C">
        <w:rPr>
          <w:rFonts w:asciiTheme="majorBidi" w:hAnsiTheme="majorBidi" w:cstheme="majorBidi"/>
          <w:sz w:val="24"/>
          <w:szCs w:val="24"/>
        </w:rPr>
        <w:t>i</w:t>
      </w:r>
      <w:proofErr w:type="spellEnd"/>
      <w:r w:rsidR="00FD5A1C">
        <w:rPr>
          <w:rFonts w:asciiTheme="majorBidi" w:hAnsiTheme="majorBidi" w:cstheme="majorBidi"/>
          <w:sz w:val="24"/>
          <w:szCs w:val="24"/>
        </w:rPr>
        <w:t xml:space="preserve">) </w:t>
      </w:r>
      <w:r w:rsidRPr="00053806">
        <w:rPr>
          <w:rFonts w:asciiTheme="majorBidi" w:hAnsiTheme="majorBidi" w:cstheme="majorBidi"/>
          <w:sz w:val="24"/>
          <w:szCs w:val="24"/>
        </w:rPr>
        <w:t>a positive one that tends to help the Palestinian economy expand (new opportunities that opened up for employment in, and trade with, Israel and for some transfer of technology) develop and grow, and</w:t>
      </w:r>
      <w:r w:rsidR="00FD5A1C">
        <w:rPr>
          <w:rFonts w:asciiTheme="majorBidi" w:hAnsiTheme="majorBidi" w:cstheme="majorBidi"/>
          <w:sz w:val="24"/>
          <w:szCs w:val="24"/>
        </w:rPr>
        <w:t xml:space="preserve"> (</w:t>
      </w:r>
      <w:r w:rsidR="007A31A3">
        <w:rPr>
          <w:rFonts w:asciiTheme="majorBidi" w:hAnsiTheme="majorBidi" w:cstheme="majorBidi"/>
          <w:sz w:val="24"/>
          <w:szCs w:val="24"/>
        </w:rPr>
        <w:t>ii</w:t>
      </w:r>
      <w:r w:rsidR="00FD5A1C">
        <w:rPr>
          <w:rFonts w:asciiTheme="majorBidi" w:hAnsiTheme="majorBidi" w:cstheme="majorBidi"/>
          <w:sz w:val="24"/>
          <w:szCs w:val="24"/>
        </w:rPr>
        <w:t>)</w:t>
      </w:r>
      <w:r w:rsidRPr="00053806">
        <w:rPr>
          <w:rFonts w:asciiTheme="majorBidi" w:hAnsiTheme="majorBidi" w:cstheme="majorBidi"/>
          <w:sz w:val="24"/>
          <w:szCs w:val="24"/>
        </w:rPr>
        <w:t xml:space="preserve"> a negative one that tends to impede economic evolution and reinforce underdevelopment (restrictions on resource use, business activities and domestic and international trade, resource transfer to Israel and the neglect of the Public Sector). Accordingly, the Palestinian economy benefited significantly from its relationship with Israel in just the first decade where the Palestinian GDP per capita grew from nine percent of that of Israel to 15 percent, but </w:t>
      </w:r>
      <w:r w:rsidR="007A31A3">
        <w:rPr>
          <w:rFonts w:asciiTheme="majorBidi" w:hAnsiTheme="majorBidi" w:cstheme="majorBidi"/>
          <w:sz w:val="24"/>
          <w:szCs w:val="24"/>
        </w:rPr>
        <w:t>afterwards</w:t>
      </w:r>
      <w:r w:rsidRPr="00053806">
        <w:rPr>
          <w:rFonts w:asciiTheme="majorBidi" w:hAnsiTheme="majorBidi" w:cstheme="majorBidi"/>
          <w:sz w:val="24"/>
          <w:szCs w:val="24"/>
        </w:rPr>
        <w:t xml:space="preserve"> the ratio declined continuously. Thus, in the first decade the relations between the two economies went through a process of convergence; the poor economy grew at a rate faster than the rich economy. Afterwards, the process was reversed and became one of divergence; the rich economy growing at a faster rate. </w:t>
      </w:r>
    </w:p>
    <w:p w14:paraId="3A32C174" w14:textId="167AF01F" w:rsidR="00C47693" w:rsidRPr="00053806" w:rsidRDefault="00C47693" w:rsidP="00C47693">
      <w:pPr>
        <w:pStyle w:val="ListParagraph"/>
        <w:bidi w:val="0"/>
        <w:spacing w:line="480" w:lineRule="auto"/>
        <w:ind w:left="851"/>
        <w:jc w:val="both"/>
        <w:rPr>
          <w:rFonts w:asciiTheme="majorBidi" w:hAnsiTheme="majorBidi" w:cstheme="majorBidi"/>
          <w:sz w:val="24"/>
          <w:szCs w:val="24"/>
        </w:rPr>
      </w:pPr>
      <w:proofErr w:type="spellStart"/>
      <w:r w:rsidRPr="00053806">
        <w:rPr>
          <w:rFonts w:asciiTheme="majorBidi" w:hAnsiTheme="majorBidi" w:cstheme="majorBidi"/>
          <w:sz w:val="24"/>
          <w:szCs w:val="24"/>
        </w:rPr>
        <w:t>Arnon</w:t>
      </w:r>
      <w:proofErr w:type="spellEnd"/>
      <w:r w:rsidRPr="00053806">
        <w:rPr>
          <w:rFonts w:asciiTheme="majorBidi" w:hAnsiTheme="majorBidi" w:cstheme="majorBidi"/>
          <w:sz w:val="24"/>
          <w:szCs w:val="24"/>
        </w:rPr>
        <w:t xml:space="preserve"> and Gottlieb (1993) </w:t>
      </w:r>
      <w:r w:rsidR="00D372F8">
        <w:rPr>
          <w:rFonts w:asciiTheme="majorBidi" w:hAnsiTheme="majorBidi" w:cstheme="majorBidi"/>
          <w:sz w:val="24"/>
          <w:szCs w:val="24"/>
        </w:rPr>
        <w:t>found</w:t>
      </w:r>
      <w:r w:rsidRPr="00053806">
        <w:rPr>
          <w:rFonts w:asciiTheme="majorBidi" w:hAnsiTheme="majorBidi" w:cstheme="majorBidi"/>
          <w:sz w:val="24"/>
          <w:szCs w:val="24"/>
        </w:rPr>
        <w:t xml:space="preserve"> that the driving force behind the economic processes after 1967 war was the interaction between two very different economies which met </w:t>
      </w:r>
      <w:r w:rsidR="00D372F8">
        <w:rPr>
          <w:rFonts w:asciiTheme="majorBidi" w:hAnsiTheme="majorBidi" w:cstheme="majorBidi"/>
          <w:sz w:val="24"/>
          <w:szCs w:val="24"/>
        </w:rPr>
        <w:t>in</w:t>
      </w:r>
      <w:r w:rsidRPr="00053806">
        <w:rPr>
          <w:rFonts w:asciiTheme="majorBidi" w:hAnsiTheme="majorBidi" w:cstheme="majorBidi"/>
          <w:sz w:val="24"/>
          <w:szCs w:val="24"/>
        </w:rPr>
        <w:t xml:space="preserve"> the market place. The rapid rise in standards of living until 1987 was led by</w:t>
      </w:r>
      <w:r>
        <w:rPr>
          <w:rFonts w:cs="David"/>
        </w:rPr>
        <w:t xml:space="preserve"> </w:t>
      </w:r>
      <w:r w:rsidRPr="00053806">
        <w:rPr>
          <w:rFonts w:asciiTheme="majorBidi" w:hAnsiTheme="majorBidi" w:cstheme="majorBidi"/>
          <w:sz w:val="24"/>
          <w:szCs w:val="24"/>
        </w:rPr>
        <w:t>high employment in Israel</w:t>
      </w:r>
      <w:r w:rsidRPr="00053806">
        <w:rPr>
          <w:rFonts w:asciiTheme="majorBidi" w:hAnsiTheme="majorBidi" w:cstheme="majorBidi"/>
          <w:sz w:val="24"/>
          <w:szCs w:val="24"/>
          <w:rtl/>
        </w:rPr>
        <w:t xml:space="preserve">, </w:t>
      </w:r>
      <w:r w:rsidRPr="00053806">
        <w:rPr>
          <w:rFonts w:asciiTheme="majorBidi" w:hAnsiTheme="majorBidi" w:cstheme="majorBidi"/>
          <w:sz w:val="24"/>
          <w:szCs w:val="24"/>
        </w:rPr>
        <w:t xml:space="preserve">while domestic growth of output was more limited. In an economic environment free of controls, it is not obvious that income gaps between such different economies should have been narrowed mainly through labor flows reflecting an unbalanced economic interdependence with Israel. In spite of growing standards of living and high saving rates, only a small share of savings was </w:t>
      </w:r>
      <w:proofErr w:type="spellStart"/>
      <w:r w:rsidRPr="00053806">
        <w:rPr>
          <w:rFonts w:asciiTheme="majorBidi" w:hAnsiTheme="majorBidi" w:cstheme="majorBidi"/>
          <w:sz w:val="24"/>
          <w:szCs w:val="24"/>
        </w:rPr>
        <w:t>channelled</w:t>
      </w:r>
      <w:proofErr w:type="spellEnd"/>
      <w:r w:rsidRPr="00053806">
        <w:rPr>
          <w:rFonts w:asciiTheme="majorBidi" w:hAnsiTheme="majorBidi" w:cstheme="majorBidi"/>
          <w:sz w:val="24"/>
          <w:szCs w:val="24"/>
        </w:rPr>
        <w:t xml:space="preserve"> into productive investment and as a result industry hardly contributed to economic growth. </w:t>
      </w:r>
    </w:p>
    <w:p w14:paraId="48346258" w14:textId="77777777" w:rsidR="00C47693" w:rsidRPr="00053806" w:rsidRDefault="00C47693" w:rsidP="00C47693">
      <w:pPr>
        <w:bidi w:val="0"/>
        <w:spacing w:line="480" w:lineRule="auto"/>
        <w:ind w:left="792"/>
        <w:jc w:val="both"/>
        <w:rPr>
          <w:rFonts w:asciiTheme="majorBidi" w:hAnsiTheme="majorBidi" w:cstheme="majorBidi"/>
          <w:sz w:val="24"/>
          <w:szCs w:val="24"/>
        </w:rPr>
      </w:pPr>
      <w:proofErr w:type="spellStart"/>
      <w:r w:rsidRPr="00053806">
        <w:rPr>
          <w:rFonts w:asciiTheme="majorBidi" w:hAnsiTheme="majorBidi" w:cstheme="majorBidi"/>
          <w:sz w:val="24"/>
          <w:szCs w:val="24"/>
        </w:rPr>
        <w:t>Arnon</w:t>
      </w:r>
      <w:proofErr w:type="spellEnd"/>
      <w:r w:rsidRPr="00053806">
        <w:rPr>
          <w:rFonts w:asciiTheme="majorBidi" w:hAnsiTheme="majorBidi" w:cstheme="majorBidi"/>
          <w:sz w:val="24"/>
          <w:szCs w:val="24"/>
        </w:rPr>
        <w:t xml:space="preserve"> and Spivak (1996) found that Israel and the WBG were closely integrated, whereas economic integration between the WBG and Jordan was much weaker. They computed the shocks to the economies and the correlation between the transitory shocks and between the permanent shocks. Based on the circumstances of the past, the (imposed) monetary union between Israel and the Palestinian economy was warranted. </w:t>
      </w:r>
    </w:p>
    <w:p w14:paraId="1CADB6B1" w14:textId="77777777" w:rsidR="00C47693" w:rsidRPr="00053806" w:rsidRDefault="00C47693" w:rsidP="00C47693">
      <w:pPr>
        <w:bidi w:val="0"/>
        <w:spacing w:line="480" w:lineRule="auto"/>
        <w:ind w:left="792"/>
        <w:jc w:val="both"/>
        <w:rPr>
          <w:rFonts w:asciiTheme="majorBidi" w:hAnsiTheme="majorBidi" w:cstheme="majorBidi"/>
          <w:sz w:val="24"/>
          <w:szCs w:val="24"/>
        </w:rPr>
      </w:pPr>
      <w:r w:rsidRPr="00053806">
        <w:rPr>
          <w:rFonts w:asciiTheme="majorBidi" w:hAnsiTheme="majorBidi" w:cstheme="majorBidi"/>
          <w:sz w:val="24"/>
          <w:szCs w:val="24"/>
        </w:rPr>
        <w:t xml:space="preserve">According to </w:t>
      </w:r>
      <w:proofErr w:type="spellStart"/>
      <w:r w:rsidRPr="00053806">
        <w:rPr>
          <w:rFonts w:asciiTheme="majorBidi" w:hAnsiTheme="majorBidi" w:cstheme="majorBidi"/>
          <w:sz w:val="24"/>
          <w:szCs w:val="24"/>
        </w:rPr>
        <w:t>Shikaki</w:t>
      </w:r>
      <w:proofErr w:type="spellEnd"/>
      <w:r w:rsidRPr="00053806">
        <w:rPr>
          <w:rFonts w:asciiTheme="majorBidi" w:hAnsiTheme="majorBidi" w:cstheme="majorBidi"/>
          <w:sz w:val="24"/>
          <w:szCs w:val="24"/>
        </w:rPr>
        <w:t xml:space="preserve"> (2019) by the end of the 1967-1993 period, the Palestinian economy had become completely dependent on the Israeli labor and goods market. The contribution of productive sectors diminished, and economic activity revolved around work in Israel. Half of the labor force worked in or for the Israeli economy, which had become the undisputed trade partner for the WBG. </w:t>
      </w:r>
    </w:p>
    <w:p w14:paraId="4F466D48" w14:textId="50A54414" w:rsidR="00C47693" w:rsidRPr="00053806" w:rsidRDefault="00C47693" w:rsidP="00C47693">
      <w:pPr>
        <w:bidi w:val="0"/>
        <w:spacing w:line="480" w:lineRule="auto"/>
        <w:ind w:left="792"/>
        <w:jc w:val="both"/>
        <w:rPr>
          <w:rFonts w:asciiTheme="majorBidi" w:hAnsiTheme="majorBidi" w:cstheme="majorBidi"/>
          <w:sz w:val="24"/>
          <w:szCs w:val="24"/>
        </w:rPr>
      </w:pPr>
      <w:r w:rsidRPr="00053806">
        <w:rPr>
          <w:rFonts w:asciiTheme="majorBidi" w:hAnsiTheme="majorBidi" w:cstheme="majorBidi"/>
          <w:sz w:val="24"/>
          <w:szCs w:val="24"/>
        </w:rPr>
        <w:t xml:space="preserve">As such, the Palestinian </w:t>
      </w:r>
      <w:r w:rsidR="00B001D1" w:rsidRPr="00053806">
        <w:rPr>
          <w:rFonts w:asciiTheme="majorBidi" w:hAnsiTheme="majorBidi" w:cstheme="majorBidi"/>
          <w:sz w:val="24"/>
          <w:szCs w:val="24"/>
        </w:rPr>
        <w:t>labor</w:t>
      </w:r>
      <w:r w:rsidRPr="00053806">
        <w:rPr>
          <w:rFonts w:asciiTheme="majorBidi" w:hAnsiTheme="majorBidi" w:cstheme="majorBidi"/>
          <w:sz w:val="24"/>
          <w:szCs w:val="24"/>
        </w:rPr>
        <w:t xml:space="preserve"> force more than doubled, but domestic employment in the WBG grew by less than 33 percent. Employment in Israel has been key for keeping unemployment in the WBG at less than 7 per cent between 1970 and 1993, and for sustaining a population that has been growing at more than 2.2 percent per annum since 1970 (Farkash 2005, p-26).</w:t>
      </w:r>
    </w:p>
    <w:p w14:paraId="5BDB39D9" w14:textId="02653050" w:rsidR="00C47693" w:rsidRPr="00053806" w:rsidRDefault="005D10F5" w:rsidP="00C47693">
      <w:pPr>
        <w:bidi w:val="0"/>
        <w:spacing w:line="480" w:lineRule="auto"/>
        <w:ind w:left="792"/>
        <w:jc w:val="center"/>
        <w:rPr>
          <w:rFonts w:asciiTheme="majorBidi" w:hAnsiTheme="majorBidi" w:cstheme="majorBidi"/>
          <w:b/>
          <w:bCs/>
          <w:sz w:val="24"/>
          <w:szCs w:val="24"/>
        </w:rPr>
      </w:pPr>
      <w:r>
        <w:rPr>
          <w:rFonts w:asciiTheme="majorBidi" w:hAnsiTheme="majorBidi" w:cstheme="majorBidi"/>
          <w:b/>
          <w:bCs/>
          <w:sz w:val="24"/>
          <w:szCs w:val="24"/>
        </w:rPr>
        <w:t>Figure 6</w:t>
      </w:r>
      <w:r w:rsidR="00685A13">
        <w:rPr>
          <w:rFonts w:asciiTheme="majorBidi" w:hAnsiTheme="majorBidi" w:cstheme="majorBidi"/>
          <w:b/>
          <w:bCs/>
          <w:sz w:val="24"/>
          <w:szCs w:val="24"/>
        </w:rPr>
        <w:t xml:space="preserve"> - </w:t>
      </w:r>
      <w:r w:rsidR="00C47693" w:rsidRPr="00053806">
        <w:rPr>
          <w:rFonts w:asciiTheme="majorBidi" w:hAnsiTheme="majorBidi" w:cstheme="majorBidi"/>
          <w:b/>
          <w:bCs/>
          <w:sz w:val="24"/>
          <w:szCs w:val="24"/>
        </w:rPr>
        <w:t>Palestinians employed in Israel and unemployment rate in the WBG</w:t>
      </w:r>
      <w:r w:rsidR="002837D4">
        <w:rPr>
          <w:rFonts w:asciiTheme="majorBidi" w:hAnsiTheme="majorBidi" w:cstheme="majorBidi"/>
          <w:b/>
          <w:bCs/>
          <w:sz w:val="24"/>
          <w:szCs w:val="24"/>
        </w:rPr>
        <w:t xml:space="preserve"> (1970-1993)</w:t>
      </w:r>
    </w:p>
    <w:p w14:paraId="044719BF" w14:textId="77777777" w:rsidR="00C47693" w:rsidRDefault="00C47693" w:rsidP="00C47693">
      <w:pPr>
        <w:bidi w:val="0"/>
        <w:spacing w:line="480" w:lineRule="auto"/>
        <w:ind w:firstLine="648"/>
        <w:jc w:val="center"/>
        <w:rPr>
          <w:rFonts w:cs="David"/>
        </w:rPr>
      </w:pPr>
      <w:r>
        <w:rPr>
          <w:noProof/>
        </w:rPr>
        <w:drawing>
          <wp:inline distT="0" distB="0" distL="0" distR="0" wp14:anchorId="6554CBB7" wp14:editId="011828EA">
            <wp:extent cx="4344670" cy="2538730"/>
            <wp:effectExtent l="0" t="0" r="0" b="1270"/>
            <wp:docPr id="7" name="Picture 7"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4670" cy="2538730"/>
                    </a:xfrm>
                    <a:prstGeom prst="rect">
                      <a:avLst/>
                    </a:prstGeom>
                    <a:noFill/>
                    <a:ln>
                      <a:noFill/>
                    </a:ln>
                  </pic:spPr>
                </pic:pic>
              </a:graphicData>
            </a:graphic>
          </wp:inline>
        </w:drawing>
      </w:r>
    </w:p>
    <w:p w14:paraId="36B354AF" w14:textId="77777777" w:rsidR="00C47693" w:rsidRPr="00161577" w:rsidRDefault="00C47693" w:rsidP="00C47693">
      <w:pPr>
        <w:bidi w:val="0"/>
        <w:spacing w:line="480" w:lineRule="auto"/>
        <w:ind w:left="792"/>
        <w:jc w:val="center"/>
        <w:rPr>
          <w:rFonts w:asciiTheme="majorBidi" w:hAnsiTheme="majorBidi" w:cstheme="majorBidi"/>
          <w:sz w:val="20"/>
          <w:szCs w:val="20"/>
        </w:rPr>
      </w:pPr>
      <w:r w:rsidRPr="00161577">
        <w:rPr>
          <w:rFonts w:asciiTheme="majorBidi" w:hAnsiTheme="majorBidi" w:cstheme="majorBidi"/>
          <w:sz w:val="20"/>
          <w:szCs w:val="20"/>
        </w:rPr>
        <w:t>Source: Farkash (2005), Appendix</w:t>
      </w:r>
    </w:p>
    <w:p w14:paraId="34818E83" w14:textId="6944FB66" w:rsidR="00C26B92" w:rsidRDefault="00C47693" w:rsidP="00C47693">
      <w:pPr>
        <w:bidi w:val="0"/>
        <w:spacing w:line="480" w:lineRule="auto"/>
        <w:ind w:left="792"/>
        <w:jc w:val="both"/>
        <w:rPr>
          <w:rFonts w:asciiTheme="majorBidi" w:hAnsiTheme="majorBidi" w:cstheme="majorBidi"/>
          <w:sz w:val="24"/>
          <w:szCs w:val="24"/>
        </w:rPr>
      </w:pPr>
      <w:r w:rsidRPr="00161577">
        <w:rPr>
          <w:rFonts w:asciiTheme="majorBidi" w:hAnsiTheme="majorBidi" w:cstheme="majorBidi"/>
          <w:sz w:val="24"/>
          <w:szCs w:val="24"/>
        </w:rPr>
        <w:t xml:space="preserve">According to Farkash (2005, p-41), between 1967 and 1993, the Palestinian economy of the WBG witnessed a process of structural change that made it dependent on Israel: </w:t>
      </w:r>
    </w:p>
    <w:p w14:paraId="18C47C11" w14:textId="1FD5CF6E" w:rsidR="00C47693" w:rsidRPr="00161577" w:rsidRDefault="00C47693" w:rsidP="00B174DF">
      <w:pPr>
        <w:bidi w:val="0"/>
        <w:spacing w:after="240"/>
        <w:ind w:left="1440"/>
        <w:jc w:val="both"/>
        <w:rPr>
          <w:rFonts w:asciiTheme="majorBidi" w:hAnsiTheme="majorBidi" w:cstheme="majorBidi"/>
          <w:sz w:val="28"/>
          <w:szCs w:val="28"/>
        </w:rPr>
      </w:pPr>
      <w:r w:rsidRPr="00161577">
        <w:rPr>
          <w:rFonts w:asciiTheme="majorBidi" w:hAnsiTheme="majorBidi" w:cstheme="majorBidi"/>
          <w:sz w:val="24"/>
          <w:szCs w:val="24"/>
        </w:rPr>
        <w:t>“</w:t>
      </w:r>
      <w:r w:rsidR="003F01DC">
        <w:rPr>
          <w:rFonts w:asciiTheme="majorBidi" w:hAnsiTheme="majorBidi" w:cstheme="majorBidi"/>
          <w:sz w:val="24"/>
          <w:szCs w:val="24"/>
        </w:rPr>
        <w:t>T</w:t>
      </w:r>
      <w:r w:rsidRPr="00161577">
        <w:rPr>
          <w:rFonts w:asciiTheme="majorBidi" w:hAnsiTheme="majorBidi" w:cstheme="majorBidi"/>
          <w:sz w:val="24"/>
          <w:szCs w:val="24"/>
        </w:rPr>
        <w:t xml:space="preserve">his dependency was a result of an Israeli policy of economic integration that dealt with the Palestinian demographic challenge by allowing an improvement in individual economic welfare while diminishing the capacity of the WBGS’s economy to stand on its own feet. Growth of the Palestinian economy became dependent on Israeli regulations and demand, rather than on domestic growth and linkages between domestic sectors. It became dependent on access to Israeli labor and product markets, rather than on domestic or international markets. While the economy shifted from being a predominantly agricultural economy to a service-oriented one, its employment-generation and productive capacities remained limited. Palestinian labor flows to Israel, meanwhile, played three key roles: they fostered the integration of the WBG into Israel, they shaped the nature of Palestinian development, and they provided an important source of income at both the individual and the national level. Meanwhile, as the economy became further integrated into that of Israel, the boundaries of the WBG’s economy became more difficult to delineate”. </w:t>
      </w:r>
    </w:p>
    <w:p w14:paraId="021C17D0" w14:textId="77777777" w:rsidR="0053099C" w:rsidRDefault="00C47693" w:rsidP="00C47693">
      <w:pPr>
        <w:bidi w:val="0"/>
        <w:spacing w:line="480" w:lineRule="auto"/>
        <w:ind w:left="792"/>
        <w:jc w:val="both"/>
        <w:rPr>
          <w:rFonts w:asciiTheme="majorBidi" w:hAnsiTheme="majorBidi" w:cstheme="majorBidi"/>
          <w:sz w:val="24"/>
          <w:szCs w:val="24"/>
        </w:rPr>
      </w:pPr>
      <w:r w:rsidRPr="00161577">
        <w:rPr>
          <w:rFonts w:asciiTheme="majorBidi" w:hAnsiTheme="majorBidi" w:cstheme="majorBidi"/>
          <w:sz w:val="24"/>
          <w:szCs w:val="24"/>
        </w:rPr>
        <w:t xml:space="preserve">In late 1987 the </w:t>
      </w:r>
      <w:r w:rsidR="00891D04">
        <w:rPr>
          <w:rFonts w:asciiTheme="majorBidi" w:hAnsiTheme="majorBidi" w:cstheme="majorBidi"/>
          <w:sz w:val="24"/>
          <w:szCs w:val="24"/>
        </w:rPr>
        <w:t>“</w:t>
      </w:r>
      <w:r w:rsidRPr="00161577">
        <w:rPr>
          <w:rFonts w:asciiTheme="majorBidi" w:hAnsiTheme="majorBidi" w:cstheme="majorBidi"/>
          <w:sz w:val="24"/>
          <w:szCs w:val="24"/>
        </w:rPr>
        <w:t>First Intifada</w:t>
      </w:r>
      <w:r w:rsidR="00891D04">
        <w:rPr>
          <w:rFonts w:asciiTheme="majorBidi" w:hAnsiTheme="majorBidi" w:cstheme="majorBidi"/>
          <w:sz w:val="24"/>
          <w:szCs w:val="24"/>
        </w:rPr>
        <w:t>”</w:t>
      </w:r>
      <w:r w:rsidRPr="00161577">
        <w:rPr>
          <w:rFonts w:asciiTheme="majorBidi" w:hAnsiTheme="majorBidi" w:cstheme="majorBidi"/>
          <w:sz w:val="24"/>
          <w:szCs w:val="24"/>
        </w:rPr>
        <w:t xml:space="preserve"> broke out: </w:t>
      </w:r>
      <w:r w:rsidR="005F3405">
        <w:rPr>
          <w:rFonts w:asciiTheme="majorBidi" w:hAnsiTheme="majorBidi" w:cstheme="majorBidi"/>
          <w:sz w:val="24"/>
          <w:szCs w:val="24"/>
        </w:rPr>
        <w:t xml:space="preserve">thus started </w:t>
      </w:r>
      <w:r w:rsidR="0031010D">
        <w:rPr>
          <w:rFonts w:asciiTheme="majorBidi" w:hAnsiTheme="majorBidi" w:cstheme="majorBidi"/>
          <w:sz w:val="24"/>
          <w:szCs w:val="24"/>
        </w:rPr>
        <w:t xml:space="preserve">as </w:t>
      </w:r>
      <w:r w:rsidRPr="00161577">
        <w:rPr>
          <w:rFonts w:asciiTheme="majorBidi" w:hAnsiTheme="majorBidi" w:cstheme="majorBidi"/>
          <w:sz w:val="24"/>
          <w:szCs w:val="24"/>
        </w:rPr>
        <w:t>a series of Palestinian protests</w:t>
      </w:r>
      <w:r w:rsidR="0031010D" w:rsidRPr="0031010D">
        <w:rPr>
          <w:rFonts w:asciiTheme="majorBidi" w:hAnsiTheme="majorBidi" w:cstheme="majorBidi"/>
          <w:sz w:val="24"/>
          <w:szCs w:val="24"/>
        </w:rPr>
        <w:t xml:space="preserve"> </w:t>
      </w:r>
      <w:r w:rsidR="0031010D" w:rsidRPr="00161577">
        <w:rPr>
          <w:rFonts w:asciiTheme="majorBidi" w:hAnsiTheme="majorBidi" w:cstheme="majorBidi"/>
          <w:sz w:val="24"/>
          <w:szCs w:val="24"/>
        </w:rPr>
        <w:t>against the Israeli military occupation of WBG</w:t>
      </w:r>
      <w:r w:rsidRPr="00161577">
        <w:rPr>
          <w:rFonts w:asciiTheme="majorBidi" w:hAnsiTheme="majorBidi" w:cstheme="majorBidi"/>
          <w:sz w:val="24"/>
          <w:szCs w:val="24"/>
        </w:rPr>
        <w:t xml:space="preserve">, and </w:t>
      </w:r>
      <w:r w:rsidR="00090BF2">
        <w:rPr>
          <w:rFonts w:asciiTheme="majorBidi" w:hAnsiTheme="majorBidi" w:cstheme="majorBidi"/>
          <w:sz w:val="24"/>
          <w:szCs w:val="24"/>
        </w:rPr>
        <w:t xml:space="preserve">the </w:t>
      </w:r>
      <w:r w:rsidRPr="00161577">
        <w:rPr>
          <w:rFonts w:asciiTheme="majorBidi" w:hAnsiTheme="majorBidi" w:cstheme="majorBidi"/>
          <w:sz w:val="24"/>
          <w:szCs w:val="24"/>
        </w:rPr>
        <w:t xml:space="preserve">violent riots which began in the </w:t>
      </w:r>
      <w:proofErr w:type="spellStart"/>
      <w:r w:rsidRPr="00161577">
        <w:rPr>
          <w:rFonts w:asciiTheme="majorBidi" w:hAnsiTheme="majorBidi" w:cstheme="majorBidi"/>
          <w:sz w:val="24"/>
          <w:szCs w:val="24"/>
        </w:rPr>
        <w:t>Jabalia</w:t>
      </w:r>
      <w:proofErr w:type="spellEnd"/>
      <w:r w:rsidRPr="00161577">
        <w:rPr>
          <w:rFonts w:asciiTheme="majorBidi" w:hAnsiTheme="majorBidi" w:cstheme="majorBidi"/>
          <w:sz w:val="24"/>
          <w:szCs w:val="24"/>
        </w:rPr>
        <w:t xml:space="preserve"> refugee camp and spread to Gaza, the West Bank and East Jerusalem. According to </w:t>
      </w:r>
      <w:proofErr w:type="spellStart"/>
      <w:r w:rsidRPr="00161577">
        <w:rPr>
          <w:rFonts w:asciiTheme="majorBidi" w:hAnsiTheme="majorBidi" w:cstheme="majorBidi"/>
          <w:sz w:val="24"/>
          <w:szCs w:val="24"/>
        </w:rPr>
        <w:t>Arnon</w:t>
      </w:r>
      <w:proofErr w:type="spellEnd"/>
      <w:r w:rsidRPr="00161577">
        <w:rPr>
          <w:rFonts w:asciiTheme="majorBidi" w:hAnsiTheme="majorBidi" w:cstheme="majorBidi"/>
          <w:sz w:val="24"/>
          <w:szCs w:val="24"/>
        </w:rPr>
        <w:t xml:space="preserve"> (2007)</w:t>
      </w:r>
      <w:r w:rsidR="004C46BF">
        <w:rPr>
          <w:rFonts w:asciiTheme="majorBidi" w:hAnsiTheme="majorBidi" w:cstheme="majorBidi"/>
          <w:sz w:val="24"/>
          <w:szCs w:val="24"/>
        </w:rPr>
        <w:t>,</w:t>
      </w:r>
      <w:r w:rsidRPr="00161577">
        <w:rPr>
          <w:rFonts w:asciiTheme="majorBidi" w:hAnsiTheme="majorBidi" w:cstheme="majorBidi"/>
          <w:sz w:val="24"/>
          <w:szCs w:val="24"/>
        </w:rPr>
        <w:t xml:space="preserve"> it caused a severe economic crisis in its first year, but it was limited to certain areas. </w:t>
      </w:r>
      <w:r w:rsidR="004C46BF">
        <w:rPr>
          <w:rFonts w:asciiTheme="majorBidi" w:hAnsiTheme="majorBidi" w:cstheme="majorBidi"/>
          <w:sz w:val="24"/>
          <w:szCs w:val="24"/>
        </w:rPr>
        <w:t>Over the</w:t>
      </w:r>
      <w:r w:rsidRPr="00161577">
        <w:rPr>
          <w:rFonts w:asciiTheme="majorBidi" w:hAnsiTheme="majorBidi" w:cstheme="majorBidi"/>
          <w:sz w:val="24"/>
          <w:szCs w:val="24"/>
        </w:rPr>
        <w:t xml:space="preserve"> following years the ties to Israel continued in the areas of employment, especially in the West Bank, and in trade. There were not severe limitations on movement of workers and goods, so there was a rapid return to the conditions that had prevailed </w:t>
      </w:r>
      <w:r w:rsidR="00E420F7">
        <w:rPr>
          <w:rFonts w:asciiTheme="majorBidi" w:hAnsiTheme="majorBidi" w:cstheme="majorBidi"/>
          <w:sz w:val="24"/>
          <w:szCs w:val="24"/>
        </w:rPr>
        <w:t>over</w:t>
      </w:r>
      <w:r w:rsidRPr="00161577">
        <w:rPr>
          <w:rFonts w:asciiTheme="majorBidi" w:hAnsiTheme="majorBidi" w:cstheme="majorBidi"/>
          <w:sz w:val="24"/>
          <w:szCs w:val="24"/>
        </w:rPr>
        <w:t xml:space="preserve"> the previous twenty years. </w:t>
      </w:r>
      <w:proofErr w:type="spellStart"/>
      <w:r w:rsidRPr="00161577">
        <w:rPr>
          <w:rFonts w:asciiTheme="majorBidi" w:hAnsiTheme="majorBidi" w:cstheme="majorBidi"/>
          <w:sz w:val="24"/>
          <w:szCs w:val="24"/>
        </w:rPr>
        <w:t>Arnon</w:t>
      </w:r>
      <w:proofErr w:type="spellEnd"/>
      <w:r w:rsidRPr="00161577">
        <w:rPr>
          <w:rFonts w:asciiTheme="majorBidi" w:hAnsiTheme="majorBidi" w:cstheme="majorBidi"/>
          <w:sz w:val="24"/>
          <w:szCs w:val="24"/>
        </w:rPr>
        <w:t xml:space="preserve"> and Gottlieb (1993, pp 24-25) calculate</w:t>
      </w:r>
      <w:r w:rsidR="00E420F7">
        <w:rPr>
          <w:rFonts w:asciiTheme="majorBidi" w:hAnsiTheme="majorBidi" w:cstheme="majorBidi"/>
          <w:sz w:val="24"/>
          <w:szCs w:val="24"/>
        </w:rPr>
        <w:t>d</w:t>
      </w:r>
      <w:r w:rsidRPr="00161577">
        <w:rPr>
          <w:rFonts w:asciiTheme="majorBidi" w:hAnsiTheme="majorBidi" w:cstheme="majorBidi"/>
          <w:sz w:val="24"/>
          <w:szCs w:val="24"/>
        </w:rPr>
        <w:t xml:space="preserve"> the economic </w:t>
      </w:r>
      <w:proofErr w:type="spellStart"/>
      <w:r w:rsidRPr="00161577">
        <w:rPr>
          <w:rFonts w:asciiTheme="majorBidi" w:hAnsiTheme="majorBidi" w:cstheme="majorBidi"/>
          <w:sz w:val="24"/>
          <w:szCs w:val="24"/>
        </w:rPr>
        <w:t>affects</w:t>
      </w:r>
      <w:proofErr w:type="spellEnd"/>
      <w:r w:rsidRPr="00161577">
        <w:rPr>
          <w:rFonts w:asciiTheme="majorBidi" w:hAnsiTheme="majorBidi" w:cstheme="majorBidi"/>
          <w:sz w:val="24"/>
          <w:szCs w:val="24"/>
        </w:rPr>
        <w:t xml:space="preserve"> of the </w:t>
      </w:r>
      <w:r w:rsidR="00891D04">
        <w:rPr>
          <w:rFonts w:asciiTheme="majorBidi" w:hAnsiTheme="majorBidi" w:cstheme="majorBidi"/>
          <w:sz w:val="24"/>
          <w:szCs w:val="24"/>
        </w:rPr>
        <w:t xml:space="preserve">“First </w:t>
      </w:r>
      <w:r w:rsidRPr="00161577">
        <w:rPr>
          <w:rFonts w:asciiTheme="majorBidi" w:hAnsiTheme="majorBidi" w:cstheme="majorBidi"/>
          <w:sz w:val="24"/>
          <w:szCs w:val="24"/>
        </w:rPr>
        <w:t>Intifada</w:t>
      </w:r>
      <w:r w:rsidR="00891D04">
        <w:rPr>
          <w:rFonts w:asciiTheme="majorBidi" w:hAnsiTheme="majorBidi" w:cstheme="majorBidi"/>
          <w:sz w:val="24"/>
          <w:szCs w:val="24"/>
        </w:rPr>
        <w:t>”</w:t>
      </w:r>
      <w:r w:rsidRPr="00161577">
        <w:rPr>
          <w:rFonts w:asciiTheme="majorBidi" w:hAnsiTheme="majorBidi" w:cstheme="majorBidi"/>
          <w:sz w:val="24"/>
          <w:szCs w:val="24"/>
        </w:rPr>
        <w:t xml:space="preserve"> on the West Bank: </w:t>
      </w:r>
    </w:p>
    <w:p w14:paraId="44D85E62" w14:textId="67109474" w:rsidR="00C47693" w:rsidRPr="00161577" w:rsidRDefault="00C47693" w:rsidP="0053099C">
      <w:pPr>
        <w:bidi w:val="0"/>
        <w:spacing w:after="240"/>
        <w:ind w:left="1440"/>
        <w:jc w:val="both"/>
        <w:rPr>
          <w:rFonts w:asciiTheme="majorBidi" w:hAnsiTheme="majorBidi" w:cstheme="majorBidi"/>
          <w:sz w:val="24"/>
          <w:szCs w:val="24"/>
          <w:rtl/>
        </w:rPr>
      </w:pPr>
      <w:r w:rsidRPr="00161577">
        <w:rPr>
          <w:rFonts w:asciiTheme="majorBidi" w:hAnsiTheme="majorBidi" w:cstheme="majorBidi"/>
          <w:sz w:val="24"/>
          <w:szCs w:val="24"/>
        </w:rPr>
        <w:t>“The level of GDP fell short of its potential in the first year of the Intifada (1988) by about 15 percent of actual GDP. Thereafter the potential output loss was considerably reduced to 8 and 2 percent in 1989 and 1990. By the year 1991 the level of output returned to its normal level. Over the four years the cumulative output loss is estimated at about 1/4 of current GDP. The calculation also implies a cumulative loss of about 30,000 jobs in the domestic economy</w:t>
      </w:r>
      <w:r w:rsidRPr="00161577">
        <w:rPr>
          <w:rFonts w:asciiTheme="majorBidi" w:hAnsiTheme="majorBidi" w:cstheme="majorBidi"/>
          <w:sz w:val="24"/>
          <w:szCs w:val="24"/>
          <w:rtl/>
        </w:rPr>
        <w:t xml:space="preserve">. </w:t>
      </w:r>
      <w:r w:rsidRPr="00161577">
        <w:rPr>
          <w:rFonts w:asciiTheme="majorBidi" w:hAnsiTheme="majorBidi" w:cstheme="majorBidi"/>
          <w:sz w:val="24"/>
          <w:szCs w:val="24"/>
        </w:rPr>
        <w:t xml:space="preserve">The shortfall in private consumption was much larger (in relative terms) than in output, mainly due to the negative effect of employment in Israel”. </w:t>
      </w:r>
    </w:p>
    <w:p w14:paraId="3BA9B702" w14:textId="439DC1A6" w:rsidR="00C47693" w:rsidRPr="00161577" w:rsidRDefault="00C47693" w:rsidP="00C47693">
      <w:pPr>
        <w:bidi w:val="0"/>
        <w:spacing w:line="480" w:lineRule="auto"/>
        <w:ind w:left="792"/>
        <w:jc w:val="both"/>
        <w:rPr>
          <w:rFonts w:asciiTheme="majorBidi" w:hAnsiTheme="majorBidi" w:cstheme="majorBidi"/>
          <w:sz w:val="24"/>
          <w:szCs w:val="24"/>
        </w:rPr>
      </w:pPr>
      <w:r w:rsidRPr="00161577">
        <w:rPr>
          <w:rFonts w:asciiTheme="majorBidi" w:hAnsiTheme="majorBidi" w:cstheme="majorBidi"/>
          <w:sz w:val="24"/>
          <w:szCs w:val="24"/>
        </w:rPr>
        <w:t xml:space="preserve">The </w:t>
      </w:r>
      <w:r w:rsidR="008E7E0C">
        <w:rPr>
          <w:rFonts w:asciiTheme="majorBidi" w:hAnsiTheme="majorBidi" w:cstheme="majorBidi"/>
          <w:sz w:val="24"/>
          <w:szCs w:val="24"/>
        </w:rPr>
        <w:t xml:space="preserve">“First </w:t>
      </w:r>
      <w:r w:rsidRPr="00161577">
        <w:rPr>
          <w:rFonts w:asciiTheme="majorBidi" w:hAnsiTheme="majorBidi" w:cstheme="majorBidi"/>
          <w:sz w:val="24"/>
          <w:szCs w:val="24"/>
        </w:rPr>
        <w:t>Intifada</w:t>
      </w:r>
      <w:r w:rsidR="008E7E0C">
        <w:rPr>
          <w:rFonts w:asciiTheme="majorBidi" w:hAnsiTheme="majorBidi" w:cstheme="majorBidi"/>
          <w:sz w:val="24"/>
          <w:szCs w:val="24"/>
        </w:rPr>
        <w:t>”</w:t>
      </w:r>
      <w:r w:rsidRPr="00161577">
        <w:rPr>
          <w:rFonts w:asciiTheme="majorBidi" w:hAnsiTheme="majorBidi" w:cstheme="majorBidi"/>
          <w:sz w:val="24"/>
          <w:szCs w:val="24"/>
        </w:rPr>
        <w:t xml:space="preserve"> lasted until the beginning of political discussion</w:t>
      </w:r>
      <w:r w:rsidR="003F01DC">
        <w:rPr>
          <w:rFonts w:asciiTheme="majorBidi" w:hAnsiTheme="majorBidi" w:cstheme="majorBidi"/>
          <w:sz w:val="24"/>
          <w:szCs w:val="24"/>
        </w:rPr>
        <w:t>s</w:t>
      </w:r>
      <w:r w:rsidRPr="00161577">
        <w:rPr>
          <w:rFonts w:asciiTheme="majorBidi" w:hAnsiTheme="majorBidi" w:cstheme="majorBidi"/>
          <w:sz w:val="24"/>
          <w:szCs w:val="24"/>
        </w:rPr>
        <w:t xml:space="preserve"> of a peace process (Madrid conference, 1991) and the end of the Gulf War, which led to the Oslo Accords. </w:t>
      </w:r>
    </w:p>
    <w:p w14:paraId="338545CD" w14:textId="4C6844DF" w:rsidR="00497A1E" w:rsidRPr="00497A1E" w:rsidRDefault="00C47693" w:rsidP="00497A1E">
      <w:pPr>
        <w:pStyle w:val="ListParagraph"/>
        <w:numPr>
          <w:ilvl w:val="1"/>
          <w:numId w:val="4"/>
        </w:numPr>
        <w:autoSpaceDE w:val="0"/>
        <w:autoSpaceDN w:val="0"/>
        <w:bidi w:val="0"/>
        <w:adjustRightInd w:val="0"/>
        <w:spacing w:after="240"/>
        <w:jc w:val="both"/>
        <w:rPr>
          <w:rFonts w:asciiTheme="majorBidi" w:eastAsiaTheme="minorHAnsi" w:hAnsiTheme="majorBidi" w:cstheme="majorBidi"/>
          <w:b/>
          <w:bCs/>
          <w:sz w:val="24"/>
          <w:szCs w:val="24"/>
        </w:rPr>
      </w:pPr>
      <w:r w:rsidRPr="00161577">
        <w:rPr>
          <w:rFonts w:asciiTheme="majorBidi" w:eastAsiaTheme="minorHAnsi" w:hAnsiTheme="majorBidi" w:cstheme="majorBidi"/>
          <w:b/>
          <w:bCs/>
          <w:sz w:val="24"/>
          <w:szCs w:val="24"/>
        </w:rPr>
        <w:t>From Peace Process to entangled reality</w:t>
      </w:r>
      <w:r w:rsidR="00582ED1">
        <w:rPr>
          <w:rFonts w:asciiTheme="majorBidi" w:eastAsiaTheme="minorHAnsi" w:hAnsiTheme="majorBidi" w:cstheme="majorBidi"/>
          <w:b/>
          <w:bCs/>
          <w:sz w:val="24"/>
          <w:szCs w:val="24"/>
        </w:rPr>
        <w:t xml:space="preserve"> (</w:t>
      </w:r>
      <w:r w:rsidR="00497A1E" w:rsidRPr="00497A1E">
        <w:rPr>
          <w:rFonts w:asciiTheme="majorBidi" w:eastAsiaTheme="minorHAnsi" w:hAnsiTheme="majorBidi" w:cstheme="majorBidi"/>
          <w:b/>
          <w:bCs/>
          <w:sz w:val="24"/>
          <w:szCs w:val="24"/>
        </w:rPr>
        <w:t>1994 – 2004</w:t>
      </w:r>
      <w:r w:rsidR="00497A1E">
        <w:rPr>
          <w:rFonts w:asciiTheme="majorBidi" w:eastAsiaTheme="minorHAnsi" w:hAnsiTheme="majorBidi" w:cstheme="majorBidi"/>
          <w:b/>
          <w:bCs/>
          <w:sz w:val="24"/>
          <w:szCs w:val="24"/>
        </w:rPr>
        <w:t>)</w:t>
      </w:r>
    </w:p>
    <w:p w14:paraId="778DB8F5" w14:textId="4B142754" w:rsidR="00C47693" w:rsidRDefault="00C47693" w:rsidP="00C47693">
      <w:pPr>
        <w:bidi w:val="0"/>
        <w:spacing w:line="480" w:lineRule="auto"/>
        <w:ind w:left="851"/>
        <w:jc w:val="both"/>
        <w:rPr>
          <w:rFonts w:eastAsiaTheme="minorHAnsi"/>
        </w:rPr>
      </w:pPr>
      <w:r w:rsidRPr="00161577">
        <w:rPr>
          <w:rFonts w:asciiTheme="majorBidi" w:eastAsiaTheme="minorHAnsi" w:hAnsiTheme="majorBidi" w:cstheme="majorBidi"/>
          <w:sz w:val="24"/>
          <w:szCs w:val="24"/>
        </w:rPr>
        <w:t>In September 1993, Israel and the Palestine Liberation Organization (PLO) signed a "Declaration of Principles (DOP) On Interim Self-Government Arrangements", known also as the Oslo 1 Accord. Its goal was to end the Israeli-Palestinian conflict by eventually signing a comprehensive peace agreement. During a five-year interim period, negotiations would be held on the main issues of a permanent peace agreement: Jerusalem, refugees, settlements, security arrangements, borders, relations and cooperation, and other issues such as water. It also provided for the withdrawal of Israeli forces from parts of the WBG, and for the creation of a Palestinian interim government, the Palestinian Authority (PA) - the first instance of Arab self-government in history within the borders of the Land of Israel (“Palestine”). The Oslo 1 Accord was concluded following secret talks held in Oslo, Norway between Israeli and Palestinian delegations and signed officially in Washington D.C. on 13 September 1993. It served as the basis for a series of subsequent agreements. The most significant of these was the Interim Agreement on the West Bank and the Gaza Strip, also known as Oslo 2, signed in September 1995. The 1995 Interim Agreement expanded Palestinian self-government to the rest of the Palestinian towns and to many of the villages in the West Bank and Gaza Strip</w:t>
      </w:r>
      <w:r>
        <w:rPr>
          <w:rStyle w:val="FootnoteReference"/>
          <w:rFonts w:eastAsiaTheme="minorHAnsi"/>
        </w:rPr>
        <w:footnoteReference w:id="12"/>
      </w:r>
      <w:r>
        <w:rPr>
          <w:rFonts w:eastAsiaTheme="minorHAnsi"/>
        </w:rPr>
        <w:t xml:space="preserve">. </w:t>
      </w:r>
      <w:r w:rsidRPr="00161577">
        <w:rPr>
          <w:rFonts w:asciiTheme="majorBidi" w:eastAsiaTheme="minorHAnsi" w:hAnsiTheme="majorBidi" w:cstheme="majorBidi"/>
          <w:sz w:val="24"/>
          <w:szCs w:val="24"/>
        </w:rPr>
        <w:t xml:space="preserve">It divided the West Bank and the Gaza Strip into three zones - A, B and C - which served as the basis for the redeployment of Israeli forces. As a result of all the Oslo accords, almost all of the Palestinians in the West Bank and the Gaza Strip are under </w:t>
      </w:r>
      <w:r w:rsidR="00680276">
        <w:rPr>
          <w:rFonts w:asciiTheme="majorBidi" w:eastAsiaTheme="minorHAnsi" w:hAnsiTheme="majorBidi" w:cstheme="majorBidi"/>
          <w:sz w:val="24"/>
          <w:szCs w:val="24"/>
        </w:rPr>
        <w:t xml:space="preserve">the </w:t>
      </w:r>
      <w:r w:rsidRPr="00161577">
        <w:rPr>
          <w:rFonts w:asciiTheme="majorBidi" w:eastAsiaTheme="minorHAnsi" w:hAnsiTheme="majorBidi" w:cstheme="majorBidi"/>
          <w:sz w:val="24"/>
          <w:szCs w:val="24"/>
        </w:rPr>
        <w:t>Palestinian authority</w:t>
      </w:r>
      <w:r>
        <w:rPr>
          <w:rStyle w:val="FootnoteReference"/>
          <w:rFonts w:eastAsiaTheme="minorHAnsi"/>
        </w:rPr>
        <w:footnoteReference w:id="13"/>
      </w:r>
      <w:r>
        <w:rPr>
          <w:rFonts w:eastAsiaTheme="minorHAnsi"/>
        </w:rPr>
        <w:t xml:space="preserve">. </w:t>
      </w:r>
    </w:p>
    <w:p w14:paraId="68CC0BC6" w14:textId="550A10AF" w:rsidR="00C47693" w:rsidRPr="00161577" w:rsidRDefault="00685A13" w:rsidP="00C47693">
      <w:pPr>
        <w:bidi w:val="0"/>
        <w:spacing w:line="480" w:lineRule="auto"/>
        <w:ind w:left="851"/>
        <w:jc w:val="cente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 xml:space="preserve">Figure 7 - </w:t>
      </w:r>
      <w:r w:rsidR="00C47693" w:rsidRPr="00161577">
        <w:rPr>
          <w:rFonts w:asciiTheme="majorBidi" w:eastAsiaTheme="minorHAnsi" w:hAnsiTheme="majorBidi" w:cstheme="majorBidi"/>
          <w:b/>
          <w:bCs/>
          <w:sz w:val="24"/>
          <w:szCs w:val="24"/>
        </w:rPr>
        <w:t>The Oslo Accords</w:t>
      </w:r>
    </w:p>
    <w:p w14:paraId="76EC9360" w14:textId="77777777" w:rsidR="00C47693" w:rsidRDefault="00C47693" w:rsidP="00C47693">
      <w:pPr>
        <w:bidi w:val="0"/>
        <w:spacing w:line="480" w:lineRule="auto"/>
        <w:ind w:left="851"/>
        <w:jc w:val="center"/>
        <w:rPr>
          <w:rFonts w:eastAsiaTheme="minorHAnsi"/>
        </w:rPr>
      </w:pPr>
      <w:r>
        <w:rPr>
          <w:noProof/>
        </w:rPr>
        <w:drawing>
          <wp:inline distT="0" distB="0" distL="0" distR="0" wp14:anchorId="16E64F09" wp14:editId="1C72BE53">
            <wp:extent cx="2640965" cy="3884930"/>
            <wp:effectExtent l="0" t="0" r="635" b="127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965" cy="3884930"/>
                    </a:xfrm>
                    <a:prstGeom prst="rect">
                      <a:avLst/>
                    </a:prstGeom>
                    <a:noFill/>
                    <a:ln>
                      <a:noFill/>
                    </a:ln>
                  </pic:spPr>
                </pic:pic>
              </a:graphicData>
            </a:graphic>
          </wp:inline>
        </w:drawing>
      </w:r>
    </w:p>
    <w:p w14:paraId="6CDED204" w14:textId="77777777" w:rsidR="00C47693" w:rsidRPr="00161577" w:rsidRDefault="00C47693" w:rsidP="00C47693">
      <w:pPr>
        <w:bidi w:val="0"/>
        <w:spacing w:line="480" w:lineRule="auto"/>
        <w:ind w:left="851"/>
        <w:jc w:val="center"/>
        <w:rPr>
          <w:rFonts w:asciiTheme="majorBidi" w:eastAsiaTheme="minorHAnsi" w:hAnsiTheme="majorBidi" w:cstheme="majorBidi"/>
          <w:sz w:val="20"/>
          <w:szCs w:val="20"/>
        </w:rPr>
      </w:pPr>
      <w:r w:rsidRPr="00161577">
        <w:rPr>
          <w:rFonts w:asciiTheme="majorBidi" w:eastAsiaTheme="minorHAnsi" w:hAnsiTheme="majorBidi" w:cstheme="majorBidi"/>
          <w:sz w:val="20"/>
          <w:szCs w:val="20"/>
        </w:rPr>
        <w:t>Source:</w:t>
      </w:r>
      <w:r w:rsidRPr="00161577">
        <w:rPr>
          <w:rFonts w:asciiTheme="majorBidi" w:hAnsiTheme="majorBidi" w:cstheme="majorBidi"/>
          <w:color w:val="404040"/>
          <w:sz w:val="16"/>
          <w:szCs w:val="16"/>
          <w:shd w:val="clear" w:color="auto" w:fill="FFFFFF"/>
        </w:rPr>
        <w:t xml:space="preserve"> </w:t>
      </w:r>
      <w:r w:rsidRPr="00161577">
        <w:rPr>
          <w:rFonts w:asciiTheme="majorBidi" w:eastAsiaTheme="minorHAnsi" w:hAnsiTheme="majorBidi" w:cstheme="majorBidi"/>
          <w:sz w:val="20"/>
          <w:szCs w:val="20"/>
        </w:rPr>
        <w:t>IDF Mapping Unit and Israeli Ministry of Foreign Affairs</w:t>
      </w:r>
    </w:p>
    <w:p w14:paraId="3B2BE54E" w14:textId="77777777" w:rsidR="00C47693" w:rsidRDefault="00C47693" w:rsidP="00C47693">
      <w:pPr>
        <w:bidi w:val="0"/>
        <w:spacing w:line="480" w:lineRule="auto"/>
        <w:ind w:left="851"/>
        <w:jc w:val="both"/>
        <w:rPr>
          <w:rFonts w:eastAsiaTheme="minorHAnsi"/>
          <w:sz w:val="24"/>
          <w:szCs w:val="24"/>
        </w:rPr>
      </w:pPr>
    </w:p>
    <w:p w14:paraId="1E08B2EF" w14:textId="202C5D9E" w:rsidR="00C47693" w:rsidRPr="00161577" w:rsidRDefault="00C47693" w:rsidP="00C47693">
      <w:pPr>
        <w:bidi w:val="0"/>
        <w:spacing w:line="480" w:lineRule="auto"/>
        <w:ind w:left="851"/>
        <w:jc w:val="both"/>
        <w:rPr>
          <w:rFonts w:asciiTheme="majorBidi" w:eastAsiaTheme="minorHAnsi" w:hAnsiTheme="majorBidi" w:cstheme="majorBidi"/>
          <w:sz w:val="24"/>
          <w:szCs w:val="24"/>
        </w:rPr>
      </w:pPr>
      <w:r w:rsidRPr="00161577">
        <w:rPr>
          <w:rFonts w:asciiTheme="majorBidi" w:eastAsiaTheme="minorHAnsi" w:hAnsiTheme="majorBidi" w:cstheme="majorBidi"/>
          <w:sz w:val="24"/>
          <w:szCs w:val="24"/>
        </w:rPr>
        <w:t>In April 1994, the "Protocol on Economic Relations between the Government of the State of Israel and the PLO, representing the Palestinian people", also called the Paris Protocol</w:t>
      </w:r>
      <w:r>
        <w:rPr>
          <w:rStyle w:val="FootnoteReference"/>
        </w:rPr>
        <w:footnoteReference w:id="14"/>
      </w:r>
      <w:r>
        <w:rPr>
          <w:rFonts w:eastAsiaTheme="minorHAnsi"/>
        </w:rPr>
        <w:t xml:space="preserve">, </w:t>
      </w:r>
      <w:r w:rsidRPr="00161577">
        <w:rPr>
          <w:rFonts w:asciiTheme="majorBidi" w:eastAsiaTheme="minorHAnsi" w:hAnsiTheme="majorBidi" w:cstheme="majorBidi"/>
          <w:sz w:val="24"/>
          <w:szCs w:val="24"/>
        </w:rPr>
        <w:t>was signed</w:t>
      </w:r>
      <w:r w:rsidR="00E244AF">
        <w:rPr>
          <w:rFonts w:asciiTheme="majorBidi" w:eastAsiaTheme="minorHAnsi" w:hAnsiTheme="majorBidi" w:cstheme="majorBidi"/>
          <w:sz w:val="24"/>
          <w:szCs w:val="24"/>
        </w:rPr>
        <w:t xml:space="preserve"> and stated</w:t>
      </w:r>
      <w:r>
        <w:rPr>
          <w:rStyle w:val="FootnoteReference"/>
          <w:rFonts w:eastAsiaTheme="minorHAnsi"/>
        </w:rPr>
        <w:footnoteReference w:id="15"/>
      </w:r>
      <w:r>
        <w:rPr>
          <w:rFonts w:eastAsiaTheme="minorHAnsi"/>
        </w:rPr>
        <w:t xml:space="preserve">: </w:t>
      </w:r>
      <w:r w:rsidRPr="00161577">
        <w:rPr>
          <w:rFonts w:asciiTheme="majorBidi" w:eastAsiaTheme="minorHAnsi" w:hAnsiTheme="majorBidi" w:cstheme="majorBidi"/>
          <w:sz w:val="24"/>
          <w:szCs w:val="24"/>
        </w:rPr>
        <w:t xml:space="preserve">"the two parties view the economic domain as one of the cornerstone in their mutual relations with a view to enhance their interest in the achievement of a just, lasting and comprehensive peace. Both parties shall cooperate in this field in order to establish a sound economic base for these relations, which will be governed in various economic spheres by the principles of mutual respect of each other's economic interests, reciprocity, equity and fairness". </w:t>
      </w:r>
    </w:p>
    <w:p w14:paraId="4EC54D3F" w14:textId="5F70AE3A" w:rsidR="00C47693" w:rsidRPr="00161577" w:rsidRDefault="00C47693" w:rsidP="00C47693">
      <w:pPr>
        <w:bidi w:val="0"/>
        <w:spacing w:line="480" w:lineRule="auto"/>
        <w:ind w:left="851"/>
        <w:jc w:val="both"/>
        <w:rPr>
          <w:rFonts w:asciiTheme="majorBidi" w:eastAsiaTheme="minorHAnsi" w:hAnsiTheme="majorBidi" w:cstheme="majorBidi"/>
          <w:sz w:val="24"/>
          <w:szCs w:val="24"/>
        </w:rPr>
      </w:pPr>
      <w:r w:rsidRPr="00161577">
        <w:rPr>
          <w:rFonts w:asciiTheme="majorBidi" w:eastAsiaTheme="minorHAnsi" w:hAnsiTheme="majorBidi" w:cstheme="majorBidi"/>
          <w:sz w:val="24"/>
          <w:szCs w:val="24"/>
        </w:rPr>
        <w:t>The Paris Protocol</w:t>
      </w:r>
      <w:r w:rsidR="00F01237">
        <w:rPr>
          <w:rFonts w:asciiTheme="majorBidi" w:eastAsiaTheme="minorHAnsi" w:hAnsiTheme="majorBidi" w:cstheme="majorBidi"/>
          <w:sz w:val="24"/>
          <w:szCs w:val="24"/>
        </w:rPr>
        <w:t xml:space="preserve"> (PP)</w:t>
      </w:r>
      <w:r w:rsidRPr="00161577">
        <w:rPr>
          <w:rFonts w:asciiTheme="majorBidi" w:eastAsiaTheme="minorHAnsi" w:hAnsiTheme="majorBidi" w:cstheme="majorBidi"/>
          <w:sz w:val="24"/>
          <w:szCs w:val="24"/>
        </w:rPr>
        <w:t xml:space="preserve"> regulates the </w:t>
      </w:r>
      <w:r w:rsidR="001D0A53" w:rsidRPr="00161577">
        <w:rPr>
          <w:rFonts w:asciiTheme="majorBidi" w:eastAsiaTheme="minorHAnsi" w:hAnsiTheme="majorBidi" w:cstheme="majorBidi"/>
          <w:sz w:val="24"/>
          <w:szCs w:val="24"/>
        </w:rPr>
        <w:t xml:space="preserve">following </w:t>
      </w:r>
      <w:r w:rsidRPr="00161577">
        <w:rPr>
          <w:rFonts w:asciiTheme="majorBidi" w:eastAsiaTheme="minorHAnsi" w:hAnsiTheme="majorBidi" w:cstheme="majorBidi"/>
          <w:sz w:val="24"/>
          <w:szCs w:val="24"/>
        </w:rPr>
        <w:t xml:space="preserve">main areas: customs, taxes, labor, monetary and financial issues, agriculture, industry, and tourism. Originally, the </w:t>
      </w:r>
      <w:r w:rsidR="00F01237">
        <w:rPr>
          <w:rFonts w:asciiTheme="majorBidi" w:eastAsiaTheme="minorHAnsi" w:hAnsiTheme="majorBidi" w:cstheme="majorBidi"/>
          <w:sz w:val="24"/>
          <w:szCs w:val="24"/>
        </w:rPr>
        <w:t>PP</w:t>
      </w:r>
      <w:r w:rsidRPr="00161577">
        <w:rPr>
          <w:rFonts w:asciiTheme="majorBidi" w:eastAsiaTheme="minorHAnsi" w:hAnsiTheme="majorBidi" w:cstheme="majorBidi"/>
          <w:sz w:val="24"/>
          <w:szCs w:val="24"/>
        </w:rPr>
        <w:t xml:space="preserve"> was to remain in force for an interim period of five years. As of </w:t>
      </w:r>
      <w:r w:rsidRPr="00161577">
        <w:rPr>
          <w:rFonts w:asciiTheme="majorBidi" w:eastAsiaTheme="minorHAnsi" w:hAnsiTheme="majorBidi" w:cstheme="majorBidi"/>
          <w:sz w:val="24"/>
          <w:szCs w:val="24"/>
          <w:rtl/>
        </w:rPr>
        <w:t>2022</w:t>
      </w:r>
      <w:r w:rsidRPr="00161577">
        <w:rPr>
          <w:rFonts w:asciiTheme="majorBidi" w:eastAsiaTheme="minorHAnsi" w:hAnsiTheme="majorBidi" w:cstheme="majorBidi"/>
          <w:sz w:val="24"/>
          <w:szCs w:val="24"/>
        </w:rPr>
        <w:t xml:space="preserve">, however, the </w:t>
      </w:r>
      <w:r w:rsidR="00F01237">
        <w:rPr>
          <w:rFonts w:asciiTheme="majorBidi" w:eastAsiaTheme="minorHAnsi" w:hAnsiTheme="majorBidi" w:cstheme="majorBidi"/>
          <w:sz w:val="24"/>
          <w:szCs w:val="24"/>
        </w:rPr>
        <w:t>PP</w:t>
      </w:r>
      <w:r w:rsidRPr="00161577">
        <w:rPr>
          <w:rFonts w:asciiTheme="majorBidi" w:eastAsiaTheme="minorHAnsi" w:hAnsiTheme="majorBidi" w:cstheme="majorBidi"/>
          <w:sz w:val="24"/>
          <w:szCs w:val="24"/>
        </w:rPr>
        <w:t xml:space="preserve"> was still applicable.</w:t>
      </w:r>
    </w:p>
    <w:p w14:paraId="02313C3D" w14:textId="6BC676AD" w:rsidR="00C47693" w:rsidRPr="00161577" w:rsidRDefault="00FD046F" w:rsidP="00C47693">
      <w:pPr>
        <w:bidi w:val="0"/>
        <w:spacing w:line="480" w:lineRule="auto"/>
        <w:ind w:left="851"/>
        <w:jc w:val="both"/>
        <w:rPr>
          <w:rFonts w:asciiTheme="majorBidi" w:eastAsiaTheme="minorHAnsi" w:hAnsiTheme="majorBidi" w:cstheme="majorBidi"/>
          <w:sz w:val="24"/>
          <w:szCs w:val="24"/>
        </w:rPr>
      </w:pPr>
      <w:r>
        <w:rPr>
          <w:rFonts w:asciiTheme="majorBidi" w:eastAsiaTheme="minorHAnsi" w:hAnsiTheme="majorBidi" w:cstheme="majorBidi"/>
          <w:sz w:val="24"/>
          <w:szCs w:val="24"/>
        </w:rPr>
        <w:t>A</w:t>
      </w:r>
      <w:r w:rsidR="00C47693" w:rsidRPr="00161577">
        <w:rPr>
          <w:rFonts w:asciiTheme="majorBidi" w:eastAsiaTheme="minorHAnsi" w:hAnsiTheme="majorBidi" w:cstheme="majorBidi"/>
          <w:sz w:val="24"/>
          <w:szCs w:val="24"/>
        </w:rPr>
        <w:t xml:space="preserve"> major element of the agreement </w:t>
      </w:r>
      <w:r>
        <w:rPr>
          <w:rFonts w:asciiTheme="majorBidi" w:eastAsiaTheme="minorHAnsi" w:hAnsiTheme="majorBidi" w:cstheme="majorBidi"/>
          <w:sz w:val="24"/>
          <w:szCs w:val="24"/>
        </w:rPr>
        <w:t>was</w:t>
      </w:r>
      <w:r w:rsidR="00C47693" w:rsidRPr="00161577">
        <w:rPr>
          <w:rFonts w:asciiTheme="majorBidi" w:eastAsiaTheme="minorHAnsi" w:hAnsiTheme="majorBidi" w:cstheme="majorBidi"/>
          <w:sz w:val="24"/>
          <w:szCs w:val="24"/>
        </w:rPr>
        <w:t xml:space="preserve"> the establishment by the Palestinian Authority of a monetary authority (PMA) to regulate and supervise banks, foreign currency reserves and transactions. The Palestinians will levy income tax on individuals and corporation</w:t>
      </w:r>
      <w:r w:rsidR="00602745">
        <w:rPr>
          <w:rFonts w:asciiTheme="majorBidi" w:eastAsiaTheme="minorHAnsi" w:hAnsiTheme="majorBidi" w:cstheme="majorBidi"/>
          <w:sz w:val="24"/>
          <w:szCs w:val="24"/>
        </w:rPr>
        <w:t>s</w:t>
      </w:r>
      <w:r w:rsidR="00C47693" w:rsidRPr="00161577">
        <w:rPr>
          <w:rFonts w:asciiTheme="majorBidi" w:eastAsiaTheme="minorHAnsi" w:hAnsiTheme="majorBidi" w:cstheme="majorBidi"/>
          <w:sz w:val="24"/>
          <w:szCs w:val="24"/>
        </w:rPr>
        <w:t>, property and municipal taxes</w:t>
      </w:r>
      <w:r w:rsidR="00602745">
        <w:rPr>
          <w:rFonts w:asciiTheme="majorBidi" w:eastAsiaTheme="minorHAnsi" w:hAnsiTheme="majorBidi" w:cstheme="majorBidi"/>
          <w:sz w:val="24"/>
          <w:szCs w:val="24"/>
        </w:rPr>
        <w:t>, and</w:t>
      </w:r>
      <w:r w:rsidR="00C47693" w:rsidRPr="00161577">
        <w:rPr>
          <w:rFonts w:asciiTheme="majorBidi" w:eastAsiaTheme="minorHAnsi" w:hAnsiTheme="majorBidi" w:cstheme="majorBidi"/>
          <w:sz w:val="24"/>
          <w:szCs w:val="24"/>
        </w:rPr>
        <w:t xml:space="preserve"> have similar import policies</w:t>
      </w:r>
      <w:r w:rsidR="00CD22E0">
        <w:rPr>
          <w:rFonts w:asciiTheme="majorBidi" w:eastAsiaTheme="minorHAnsi" w:hAnsiTheme="majorBidi" w:cstheme="majorBidi"/>
          <w:sz w:val="24"/>
          <w:szCs w:val="24"/>
        </w:rPr>
        <w:t xml:space="preserve"> to Israel</w:t>
      </w:r>
      <w:r w:rsidR="00C47693" w:rsidRPr="00161577">
        <w:rPr>
          <w:rFonts w:asciiTheme="majorBidi" w:eastAsiaTheme="minorHAnsi" w:hAnsiTheme="majorBidi" w:cstheme="majorBidi"/>
          <w:sz w:val="24"/>
          <w:szCs w:val="24"/>
        </w:rPr>
        <w:t>. Palestinians will be able to import mutually agreed goods at customs rates different than those prevailing in Israel. The Israeli Shekel will remain legal tender in the areas until an agreement is reached on</w:t>
      </w:r>
      <w:r w:rsidR="00833885">
        <w:rPr>
          <w:rFonts w:asciiTheme="majorBidi" w:eastAsiaTheme="minorHAnsi" w:hAnsiTheme="majorBidi" w:cstheme="majorBidi"/>
          <w:sz w:val="24"/>
          <w:szCs w:val="24"/>
        </w:rPr>
        <w:t xml:space="preserve"> a</w:t>
      </w:r>
      <w:r w:rsidR="00C47693" w:rsidRPr="00161577">
        <w:rPr>
          <w:rFonts w:asciiTheme="majorBidi" w:eastAsiaTheme="minorHAnsi" w:hAnsiTheme="majorBidi" w:cstheme="majorBidi"/>
          <w:sz w:val="24"/>
          <w:szCs w:val="24"/>
        </w:rPr>
        <w:t xml:space="preserve"> Palestinian currency. The Palestinian Authority will impose a value added tax similar to Israel. </w:t>
      </w:r>
    </w:p>
    <w:p w14:paraId="35E0952D" w14:textId="77777777" w:rsidR="00C47693" w:rsidRDefault="00C47693" w:rsidP="00C47693">
      <w:pPr>
        <w:bidi w:val="0"/>
        <w:spacing w:line="480" w:lineRule="auto"/>
        <w:ind w:left="851"/>
        <w:jc w:val="both"/>
        <w:rPr>
          <w:rFonts w:eastAsiaTheme="minorEastAsia"/>
        </w:rPr>
      </w:pPr>
      <w:r w:rsidRPr="00161577">
        <w:rPr>
          <w:rFonts w:asciiTheme="majorBidi" w:eastAsiaTheme="minorEastAsia" w:hAnsiTheme="majorBidi" w:cstheme="majorBidi"/>
          <w:sz w:val="24"/>
          <w:szCs w:val="24"/>
        </w:rPr>
        <w:t xml:space="preserve">The Protocol integrated the Palestinian economy into the Israeli one - </w:t>
      </w:r>
      <w:bookmarkStart w:id="2" w:name="_Hlk50209945"/>
      <w:bookmarkStart w:id="3" w:name="_Hlk50210004"/>
      <w:r w:rsidRPr="00161577">
        <w:rPr>
          <w:rFonts w:asciiTheme="majorBidi" w:hAnsiTheme="majorBidi" w:cstheme="majorBidi"/>
          <w:sz w:val="24"/>
          <w:szCs w:val="24"/>
        </w:rPr>
        <w:t>according to Article III of PP,</w:t>
      </w:r>
      <w:r w:rsidRPr="00161577">
        <w:rPr>
          <w:rFonts w:asciiTheme="majorBidi" w:eastAsiaTheme="minorEastAsia" w:hAnsiTheme="majorBidi" w:cstheme="majorBidi"/>
          <w:sz w:val="24"/>
          <w:szCs w:val="24"/>
        </w:rPr>
        <w:t xml:space="preserve"> </w:t>
      </w:r>
      <w:bookmarkStart w:id="4" w:name="_Hlk50486304"/>
      <w:r w:rsidRPr="00161577">
        <w:rPr>
          <w:rFonts w:asciiTheme="majorBidi" w:eastAsiaTheme="minorEastAsia" w:hAnsiTheme="majorBidi" w:cstheme="majorBidi"/>
          <w:sz w:val="24"/>
          <w:szCs w:val="24"/>
        </w:rPr>
        <w:t>the Israeli and Palestinian economies are part of a unified customs envelope that Israel manages. Israel transfers to the PA the taxes (</w:t>
      </w:r>
      <w:r w:rsidRPr="00161577">
        <w:rPr>
          <w:rFonts w:asciiTheme="majorBidi" w:hAnsiTheme="majorBidi" w:cstheme="majorBidi"/>
          <w:sz w:val="24"/>
          <w:szCs w:val="24"/>
        </w:rPr>
        <w:t>tax revenues</w:t>
      </w:r>
      <w:r w:rsidRPr="00161577">
        <w:rPr>
          <w:rFonts w:asciiTheme="majorBidi" w:eastAsiaTheme="minorEastAsia" w:hAnsiTheme="majorBidi" w:cstheme="majorBidi"/>
          <w:sz w:val="24"/>
          <w:szCs w:val="24"/>
        </w:rPr>
        <w:t>) it collects on Palestinian economic activity, including customs on goods directly entering the Palestinian economy, VAT on the net purchases made by Palestinians in the Israeli economy, and excise on fuel and purchase taxes</w:t>
      </w:r>
      <w:r w:rsidRPr="56BE64DB">
        <w:rPr>
          <w:rStyle w:val="FootnoteReference"/>
          <w:rFonts w:eastAsiaTheme="minorEastAsia"/>
        </w:rPr>
        <w:footnoteReference w:id="16"/>
      </w:r>
      <w:bookmarkEnd w:id="4"/>
      <w:r w:rsidRPr="56BE64DB">
        <w:rPr>
          <w:rFonts w:eastAsiaTheme="minorEastAsia"/>
        </w:rPr>
        <w:t>.</w:t>
      </w:r>
      <w:bookmarkEnd w:id="2"/>
    </w:p>
    <w:p w14:paraId="03C7AEDA" w14:textId="77777777" w:rsidR="00C47693" w:rsidRDefault="00C47693" w:rsidP="00C47693">
      <w:pPr>
        <w:bidi w:val="0"/>
        <w:spacing w:line="480" w:lineRule="auto"/>
        <w:ind w:left="851"/>
        <w:jc w:val="both"/>
        <w:rPr>
          <w:rFonts w:eastAsiaTheme="minorHAnsi"/>
        </w:rPr>
      </w:pPr>
    </w:p>
    <w:p w14:paraId="28E21FA4" w14:textId="77777777" w:rsidR="00847586" w:rsidRDefault="00847586" w:rsidP="00847586">
      <w:pPr>
        <w:bidi w:val="0"/>
        <w:spacing w:line="480" w:lineRule="auto"/>
        <w:ind w:left="851"/>
        <w:jc w:val="both"/>
        <w:rPr>
          <w:rFonts w:eastAsiaTheme="minorHAnsi"/>
        </w:rPr>
      </w:pPr>
    </w:p>
    <w:p w14:paraId="1E8BA0F6" w14:textId="77777777" w:rsidR="00C47693" w:rsidRDefault="00C47693" w:rsidP="00C47693">
      <w:pPr>
        <w:bidi w:val="0"/>
        <w:spacing w:line="480" w:lineRule="auto"/>
        <w:ind w:left="851"/>
        <w:jc w:val="center"/>
        <w:rPr>
          <w:rFonts w:cs="David"/>
          <w:b/>
          <w:bCs/>
        </w:rPr>
      </w:pPr>
    </w:p>
    <w:p w14:paraId="3A33B694" w14:textId="7C60A0C3" w:rsidR="00C47693" w:rsidRPr="00161577" w:rsidRDefault="00685A13" w:rsidP="00C47693">
      <w:pPr>
        <w:bidi w:val="0"/>
        <w:spacing w:line="480" w:lineRule="auto"/>
        <w:ind w:left="851"/>
        <w:jc w:val="center"/>
        <w:rPr>
          <w:rFonts w:asciiTheme="majorBidi" w:hAnsiTheme="majorBidi" w:cstheme="majorBidi"/>
          <w:sz w:val="24"/>
          <w:szCs w:val="24"/>
        </w:rPr>
      </w:pPr>
      <w:r>
        <w:rPr>
          <w:rFonts w:asciiTheme="majorBidi" w:hAnsiTheme="majorBidi" w:cstheme="majorBidi"/>
          <w:b/>
          <w:bCs/>
          <w:sz w:val="24"/>
          <w:szCs w:val="24"/>
        </w:rPr>
        <w:t xml:space="preserve">Figure </w:t>
      </w:r>
      <w:r w:rsidR="00BB79BA">
        <w:rPr>
          <w:rFonts w:asciiTheme="majorBidi" w:hAnsiTheme="majorBidi" w:cstheme="majorBidi"/>
          <w:b/>
          <w:bCs/>
          <w:sz w:val="24"/>
          <w:szCs w:val="24"/>
        </w:rPr>
        <w:t xml:space="preserve">8 - </w:t>
      </w:r>
      <w:r w:rsidR="00B95D19">
        <w:rPr>
          <w:rFonts w:asciiTheme="majorBidi" w:hAnsiTheme="majorBidi" w:cstheme="majorBidi"/>
          <w:b/>
          <w:bCs/>
          <w:sz w:val="24"/>
          <w:szCs w:val="24"/>
        </w:rPr>
        <w:t>C</w:t>
      </w:r>
      <w:r w:rsidR="00B95D19" w:rsidRPr="00B95D19">
        <w:rPr>
          <w:rFonts w:asciiTheme="majorBidi" w:hAnsiTheme="majorBidi" w:cstheme="majorBidi"/>
          <w:b/>
          <w:bCs/>
          <w:sz w:val="24"/>
          <w:szCs w:val="24"/>
        </w:rPr>
        <w:t xml:space="preserve">learance </w:t>
      </w:r>
      <w:r w:rsidR="00B95D19">
        <w:rPr>
          <w:rFonts w:asciiTheme="majorBidi" w:hAnsiTheme="majorBidi" w:cstheme="majorBidi"/>
          <w:b/>
          <w:bCs/>
          <w:sz w:val="24"/>
          <w:szCs w:val="24"/>
        </w:rPr>
        <w:t>r</w:t>
      </w:r>
      <w:r w:rsidR="00C47693" w:rsidRPr="00161577">
        <w:rPr>
          <w:rFonts w:asciiTheme="majorBidi" w:hAnsiTheme="majorBidi" w:cstheme="majorBidi"/>
          <w:b/>
          <w:bCs/>
          <w:sz w:val="24"/>
          <w:szCs w:val="24"/>
        </w:rPr>
        <w:t>evenues</w:t>
      </w:r>
    </w:p>
    <w:p w14:paraId="6CF01245" w14:textId="77777777" w:rsidR="00C47693" w:rsidRDefault="00C47693" w:rsidP="00C47693">
      <w:pPr>
        <w:bidi w:val="0"/>
        <w:spacing w:line="480" w:lineRule="auto"/>
        <w:ind w:left="851"/>
        <w:jc w:val="center"/>
        <w:rPr>
          <w:rFonts w:cs="David"/>
        </w:rPr>
      </w:pPr>
      <w:r>
        <w:rPr>
          <w:noProof/>
        </w:rPr>
        <w:drawing>
          <wp:inline distT="0" distB="0" distL="0" distR="0" wp14:anchorId="78FC4204" wp14:editId="007D7D12">
            <wp:extent cx="4320000" cy="2520000"/>
            <wp:effectExtent l="0" t="0" r="4445" b="13970"/>
            <wp:docPr id="25" name="תרשים 25">
              <a:extLst xmlns:a="http://schemas.openxmlformats.org/drawingml/2006/main">
                <a:ext uri="{FF2B5EF4-FFF2-40B4-BE49-F238E27FC236}">
                  <a16:creationId xmlns:a16="http://schemas.microsoft.com/office/drawing/2014/main" id="{E2E0802D-812A-4EB8-B4FF-5ABC001979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1BB308" w14:textId="77777777" w:rsidR="00211C90" w:rsidRDefault="00211C90" w:rsidP="00211C90">
      <w:pPr>
        <w:bidi w:val="0"/>
        <w:jc w:val="center"/>
        <w:rPr>
          <w:rFonts w:asciiTheme="majorBidi" w:eastAsiaTheme="minorHAnsi" w:hAnsiTheme="majorBidi" w:cstheme="majorBidi"/>
          <w:sz w:val="20"/>
          <w:szCs w:val="20"/>
        </w:rPr>
      </w:pPr>
      <w:r w:rsidRPr="00C91224">
        <w:rPr>
          <w:rFonts w:asciiTheme="majorBidi" w:eastAsiaTheme="minorHAnsi" w:hAnsiTheme="majorBidi" w:cstheme="majorBidi"/>
          <w:sz w:val="20"/>
          <w:szCs w:val="20"/>
        </w:rPr>
        <w:t xml:space="preserve">Source: </w:t>
      </w:r>
      <w:r>
        <w:rPr>
          <w:rFonts w:asciiTheme="majorBidi" w:eastAsiaTheme="minorHAnsi" w:hAnsiTheme="majorBidi" w:cstheme="majorBidi"/>
          <w:sz w:val="20"/>
          <w:szCs w:val="20"/>
        </w:rPr>
        <w:t>PMA and PCBS</w:t>
      </w:r>
    </w:p>
    <w:p w14:paraId="50F9DE59" w14:textId="357B5293" w:rsidR="00C47693" w:rsidRDefault="00211C90" w:rsidP="00211C90">
      <w:pPr>
        <w:bidi w:val="0"/>
        <w:jc w:val="center"/>
        <w:rPr>
          <w:rFonts w:eastAsiaTheme="minorHAnsi" w:cs="Times New Roman"/>
        </w:rPr>
      </w:pPr>
      <w:r>
        <w:rPr>
          <w:rFonts w:asciiTheme="majorBidi" w:eastAsiaTheme="minorHAnsi" w:hAnsiTheme="majorBidi" w:cstheme="majorBidi"/>
          <w:sz w:val="20"/>
          <w:szCs w:val="20"/>
        </w:rPr>
        <w:t xml:space="preserve"> </w:t>
      </w:r>
    </w:p>
    <w:p w14:paraId="1CD3CAC9" w14:textId="77777777" w:rsidR="00C47693" w:rsidRPr="00161577" w:rsidRDefault="00C47693" w:rsidP="00C47693">
      <w:pPr>
        <w:bidi w:val="0"/>
        <w:spacing w:line="480" w:lineRule="auto"/>
        <w:ind w:left="851"/>
        <w:jc w:val="both"/>
        <w:rPr>
          <w:rFonts w:asciiTheme="majorBidi" w:hAnsiTheme="majorBidi" w:cstheme="majorBidi"/>
          <w:sz w:val="24"/>
          <w:szCs w:val="24"/>
        </w:rPr>
      </w:pPr>
      <w:r w:rsidRPr="00161577">
        <w:rPr>
          <w:rFonts w:asciiTheme="majorBidi" w:hAnsiTheme="majorBidi" w:cstheme="majorBidi"/>
          <w:sz w:val="24"/>
          <w:szCs w:val="24"/>
        </w:rPr>
        <w:t>According to article VII of the Protocol, "Both sides will attempt to maintain the normality of movement of labor between them, subject to each side's right to determine from time to time the extent and conditions of the labor movement into its area".</w:t>
      </w:r>
      <w:bookmarkEnd w:id="3"/>
      <w:r w:rsidRPr="00161577">
        <w:rPr>
          <w:rFonts w:asciiTheme="majorBidi" w:hAnsiTheme="majorBidi" w:cstheme="majorBidi"/>
          <w:sz w:val="24"/>
          <w:szCs w:val="24"/>
        </w:rPr>
        <w:t xml:space="preserve"> </w:t>
      </w:r>
    </w:p>
    <w:p w14:paraId="04173B51" w14:textId="0A9A1DA1" w:rsidR="00C47693" w:rsidRPr="00161577" w:rsidRDefault="00BB79BA" w:rsidP="00C47693">
      <w:pPr>
        <w:bidi w:val="0"/>
        <w:spacing w:line="480" w:lineRule="auto"/>
        <w:ind w:left="851"/>
        <w:jc w:val="center"/>
        <w:rPr>
          <w:rFonts w:asciiTheme="majorBidi" w:hAnsiTheme="majorBidi" w:cstheme="majorBidi"/>
          <w:b/>
          <w:bCs/>
          <w:sz w:val="24"/>
          <w:szCs w:val="24"/>
        </w:rPr>
      </w:pPr>
      <w:r>
        <w:rPr>
          <w:rFonts w:asciiTheme="majorBidi" w:hAnsiTheme="majorBidi" w:cstheme="majorBidi"/>
          <w:b/>
          <w:bCs/>
          <w:sz w:val="24"/>
          <w:szCs w:val="24"/>
        </w:rPr>
        <w:t xml:space="preserve">Figure 9 </w:t>
      </w:r>
      <w:r w:rsidR="00B95D19">
        <w:rPr>
          <w:rFonts w:asciiTheme="majorBidi" w:hAnsiTheme="majorBidi" w:cstheme="majorBidi"/>
          <w:b/>
          <w:bCs/>
          <w:sz w:val="24"/>
          <w:szCs w:val="24"/>
        </w:rPr>
        <w:t>–</w:t>
      </w:r>
      <w:r>
        <w:rPr>
          <w:rFonts w:asciiTheme="majorBidi" w:hAnsiTheme="majorBidi" w:cstheme="majorBidi"/>
          <w:b/>
          <w:bCs/>
          <w:sz w:val="24"/>
          <w:szCs w:val="24"/>
        </w:rPr>
        <w:t xml:space="preserve"> </w:t>
      </w:r>
      <w:r w:rsidR="006C4312">
        <w:rPr>
          <w:rFonts w:asciiTheme="majorBidi" w:hAnsiTheme="majorBidi" w:cstheme="majorBidi"/>
          <w:b/>
          <w:bCs/>
          <w:sz w:val="24"/>
          <w:szCs w:val="24"/>
        </w:rPr>
        <w:t>Palestinian e</w:t>
      </w:r>
      <w:r w:rsidR="00C47693" w:rsidRPr="00161577">
        <w:rPr>
          <w:rFonts w:asciiTheme="majorBidi" w:hAnsiTheme="majorBidi" w:cstheme="majorBidi"/>
          <w:b/>
          <w:bCs/>
          <w:sz w:val="24"/>
          <w:szCs w:val="24"/>
        </w:rPr>
        <w:t>mployment</w:t>
      </w:r>
      <w:r w:rsidR="00B95D19">
        <w:rPr>
          <w:rFonts w:asciiTheme="majorBidi" w:hAnsiTheme="majorBidi" w:cstheme="majorBidi"/>
          <w:b/>
          <w:bCs/>
          <w:sz w:val="24"/>
          <w:szCs w:val="24"/>
        </w:rPr>
        <w:t xml:space="preserve"> in Israel</w:t>
      </w:r>
      <w:r w:rsidR="00682AB3">
        <w:rPr>
          <w:rFonts w:asciiTheme="majorBidi" w:hAnsiTheme="majorBidi" w:cstheme="majorBidi"/>
          <w:b/>
          <w:bCs/>
          <w:sz w:val="24"/>
          <w:szCs w:val="24"/>
        </w:rPr>
        <w:t xml:space="preserve"> </w:t>
      </w:r>
      <w:r w:rsidR="002837D4">
        <w:rPr>
          <w:rFonts w:asciiTheme="majorBidi" w:hAnsiTheme="majorBidi" w:cstheme="majorBidi"/>
          <w:b/>
          <w:bCs/>
          <w:sz w:val="24"/>
          <w:szCs w:val="24"/>
        </w:rPr>
        <w:t>(</w:t>
      </w:r>
      <w:r w:rsidR="00682AB3">
        <w:rPr>
          <w:rFonts w:asciiTheme="majorBidi" w:hAnsiTheme="majorBidi" w:cstheme="majorBidi"/>
          <w:b/>
          <w:bCs/>
          <w:sz w:val="24"/>
          <w:szCs w:val="24"/>
        </w:rPr>
        <w:t>1968-2019</w:t>
      </w:r>
      <w:r w:rsidR="002837D4">
        <w:rPr>
          <w:rFonts w:asciiTheme="majorBidi" w:hAnsiTheme="majorBidi" w:cstheme="majorBidi"/>
          <w:b/>
          <w:bCs/>
          <w:sz w:val="24"/>
          <w:szCs w:val="24"/>
        </w:rPr>
        <w:t>)</w:t>
      </w:r>
    </w:p>
    <w:p w14:paraId="0A4B520B" w14:textId="77777777" w:rsidR="00C47693" w:rsidRDefault="00C47693" w:rsidP="00C47693">
      <w:pPr>
        <w:bidi w:val="0"/>
        <w:spacing w:line="480" w:lineRule="auto"/>
        <w:ind w:left="851"/>
        <w:jc w:val="center"/>
        <w:rPr>
          <w:rFonts w:cs="David"/>
        </w:rPr>
      </w:pPr>
      <w:r>
        <w:rPr>
          <w:noProof/>
        </w:rPr>
        <w:drawing>
          <wp:inline distT="0" distB="0" distL="0" distR="0" wp14:anchorId="6933BCBB" wp14:editId="00DC3DB0">
            <wp:extent cx="4320000" cy="2520000"/>
            <wp:effectExtent l="0" t="0" r="4445" b="13970"/>
            <wp:docPr id="22" name="תרשים 22">
              <a:extLst xmlns:a="http://schemas.openxmlformats.org/drawingml/2006/main">
                <a:ext uri="{FF2B5EF4-FFF2-40B4-BE49-F238E27FC236}">
                  <a16:creationId xmlns:a16="http://schemas.microsoft.com/office/drawing/2014/main" id="{8123F326-7BF3-4C79-960F-B97589B5B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2BD2BA" w14:textId="77777777" w:rsidR="00BD167B" w:rsidRPr="00C91224" w:rsidRDefault="00BD167B" w:rsidP="00BD167B">
      <w:pPr>
        <w:bidi w:val="0"/>
        <w:jc w:val="center"/>
        <w:rPr>
          <w:rFonts w:asciiTheme="majorBidi" w:eastAsiaTheme="minorHAnsi" w:hAnsiTheme="majorBidi" w:cstheme="majorBidi"/>
          <w:sz w:val="20"/>
          <w:szCs w:val="20"/>
        </w:rPr>
      </w:pPr>
      <w:r w:rsidRPr="00C91224">
        <w:rPr>
          <w:rFonts w:asciiTheme="majorBidi" w:eastAsiaTheme="minorHAnsi" w:hAnsiTheme="majorBidi" w:cstheme="majorBidi"/>
          <w:sz w:val="20"/>
          <w:szCs w:val="20"/>
        </w:rPr>
        <w:t xml:space="preserve">Source: </w:t>
      </w:r>
      <w:r>
        <w:rPr>
          <w:rFonts w:asciiTheme="majorBidi" w:eastAsiaTheme="minorHAnsi" w:hAnsiTheme="majorBidi" w:cstheme="majorBidi"/>
          <w:sz w:val="20"/>
          <w:szCs w:val="20"/>
        </w:rPr>
        <w:t>ICBS and PCBS and author calculations</w:t>
      </w:r>
    </w:p>
    <w:p w14:paraId="06972BA5" w14:textId="77777777" w:rsidR="00C47693" w:rsidRDefault="00C47693" w:rsidP="00C47693">
      <w:pPr>
        <w:bidi w:val="0"/>
        <w:spacing w:line="480" w:lineRule="auto"/>
        <w:ind w:left="851"/>
        <w:jc w:val="both"/>
        <w:rPr>
          <w:rFonts w:cs="David"/>
        </w:rPr>
      </w:pPr>
    </w:p>
    <w:p w14:paraId="7071FC88" w14:textId="77777777" w:rsidR="00C47693" w:rsidRDefault="00C47693" w:rsidP="00C47693">
      <w:pPr>
        <w:bidi w:val="0"/>
        <w:spacing w:line="480" w:lineRule="auto"/>
        <w:ind w:left="851"/>
        <w:jc w:val="both"/>
        <w:rPr>
          <w:rFonts w:cs="David"/>
          <w:rtl/>
        </w:rPr>
      </w:pPr>
    </w:p>
    <w:p w14:paraId="5FF1D1F5" w14:textId="77777777" w:rsidR="00C47693" w:rsidRDefault="00C47693" w:rsidP="00C47693">
      <w:pPr>
        <w:bidi w:val="0"/>
        <w:spacing w:line="480" w:lineRule="auto"/>
        <w:ind w:left="851"/>
        <w:jc w:val="both"/>
        <w:rPr>
          <w:rFonts w:cs="David"/>
        </w:rPr>
      </w:pPr>
    </w:p>
    <w:p w14:paraId="5B109B37" w14:textId="764AB9AF" w:rsidR="00C47693" w:rsidRPr="004D0451" w:rsidRDefault="00C47693" w:rsidP="00C47693">
      <w:pPr>
        <w:bidi w:val="0"/>
        <w:spacing w:line="480" w:lineRule="auto"/>
        <w:ind w:left="851"/>
        <w:jc w:val="both"/>
        <w:rPr>
          <w:rFonts w:asciiTheme="majorBidi" w:hAnsiTheme="majorBidi" w:cstheme="majorBidi"/>
          <w:sz w:val="24"/>
          <w:szCs w:val="24"/>
        </w:rPr>
      </w:pPr>
      <w:r w:rsidRPr="004D0451">
        <w:rPr>
          <w:rFonts w:asciiTheme="majorBidi" w:hAnsiTheme="majorBidi" w:cstheme="majorBidi"/>
          <w:sz w:val="24"/>
          <w:szCs w:val="24"/>
        </w:rPr>
        <w:t xml:space="preserve">According to </w:t>
      </w:r>
      <w:proofErr w:type="spellStart"/>
      <w:r w:rsidRPr="004D0451">
        <w:rPr>
          <w:rFonts w:asciiTheme="majorBidi" w:hAnsiTheme="majorBidi" w:cstheme="majorBidi"/>
          <w:sz w:val="24"/>
          <w:szCs w:val="24"/>
        </w:rPr>
        <w:t>Arnon</w:t>
      </w:r>
      <w:proofErr w:type="spellEnd"/>
      <w:r w:rsidRPr="004D0451">
        <w:rPr>
          <w:rFonts w:asciiTheme="majorBidi" w:hAnsiTheme="majorBidi" w:cstheme="majorBidi"/>
          <w:sz w:val="24"/>
          <w:szCs w:val="24"/>
        </w:rPr>
        <w:t xml:space="preserve"> (2007, p-17) those who signed the </w:t>
      </w:r>
      <w:r w:rsidR="001F4C20">
        <w:rPr>
          <w:rFonts w:asciiTheme="majorBidi" w:hAnsiTheme="majorBidi" w:cstheme="majorBidi"/>
          <w:sz w:val="24"/>
          <w:szCs w:val="24"/>
        </w:rPr>
        <w:t>PP</w:t>
      </w:r>
      <w:r w:rsidRPr="004D0451">
        <w:rPr>
          <w:rFonts w:asciiTheme="majorBidi" w:hAnsiTheme="majorBidi" w:cstheme="majorBidi"/>
          <w:sz w:val="24"/>
          <w:szCs w:val="24"/>
        </w:rPr>
        <w:t xml:space="preserve"> anticipated an increase in economic integration between the two economies, but the reality was unilaterally imposed</w:t>
      </w:r>
      <w:r w:rsidR="000F4F4F">
        <w:rPr>
          <w:rFonts w:asciiTheme="majorBidi" w:hAnsiTheme="majorBidi" w:cstheme="majorBidi"/>
          <w:sz w:val="24"/>
          <w:szCs w:val="24"/>
        </w:rPr>
        <w:t xml:space="preserve"> and growing</w:t>
      </w:r>
      <w:r w:rsidRPr="004D0451">
        <w:rPr>
          <w:rFonts w:asciiTheme="majorBidi" w:hAnsiTheme="majorBidi" w:cstheme="majorBidi"/>
          <w:sz w:val="24"/>
          <w:szCs w:val="24"/>
        </w:rPr>
        <w:t xml:space="preserve"> separation. After the agreement was signed many more restrictions were introduced on free movement, on the flows of both goods and labor</w:t>
      </w:r>
      <w:r w:rsidR="005B076F">
        <w:rPr>
          <w:rFonts w:asciiTheme="majorBidi" w:hAnsiTheme="majorBidi" w:cstheme="majorBidi"/>
          <w:sz w:val="24"/>
          <w:szCs w:val="24"/>
        </w:rPr>
        <w:t>,</w:t>
      </w:r>
      <w:r w:rsidRPr="004D0451">
        <w:rPr>
          <w:rFonts w:asciiTheme="majorBidi" w:hAnsiTheme="majorBidi" w:cstheme="majorBidi"/>
          <w:sz w:val="24"/>
          <w:szCs w:val="24"/>
        </w:rPr>
        <w:t xml:space="preserve"> and even on free movement</w:t>
      </w:r>
      <w:r w:rsidR="00970D2E">
        <w:rPr>
          <w:rFonts w:asciiTheme="majorBidi" w:hAnsiTheme="majorBidi" w:cstheme="majorBidi"/>
          <w:sz w:val="24"/>
          <w:szCs w:val="24"/>
        </w:rPr>
        <w:t xml:space="preserve"> of labor</w:t>
      </w:r>
      <w:r w:rsidRPr="004D0451">
        <w:rPr>
          <w:rFonts w:asciiTheme="majorBidi" w:hAnsiTheme="majorBidi" w:cstheme="majorBidi"/>
          <w:sz w:val="24"/>
          <w:szCs w:val="24"/>
        </w:rPr>
        <w:t xml:space="preserve"> within the </w:t>
      </w:r>
      <w:r w:rsidR="00970D2E">
        <w:rPr>
          <w:rFonts w:asciiTheme="majorBidi" w:hAnsiTheme="majorBidi" w:cstheme="majorBidi"/>
          <w:sz w:val="24"/>
          <w:szCs w:val="24"/>
        </w:rPr>
        <w:t>WBG</w:t>
      </w:r>
      <w:r w:rsidRPr="004D0451">
        <w:rPr>
          <w:rFonts w:asciiTheme="majorBidi" w:hAnsiTheme="majorBidi" w:cstheme="majorBidi"/>
          <w:sz w:val="24"/>
          <w:szCs w:val="24"/>
        </w:rPr>
        <w:t>. Many political and security reasons were given for the restrictions, created</w:t>
      </w:r>
      <w:r w:rsidR="00970D2E">
        <w:rPr>
          <w:rFonts w:asciiTheme="majorBidi" w:hAnsiTheme="majorBidi" w:cstheme="majorBidi"/>
          <w:sz w:val="24"/>
          <w:szCs w:val="24"/>
        </w:rPr>
        <w:t>,</w:t>
      </w:r>
      <w:r w:rsidRPr="004D0451">
        <w:rPr>
          <w:rFonts w:asciiTheme="majorBidi" w:hAnsiTheme="majorBidi" w:cstheme="majorBidi"/>
          <w:sz w:val="24"/>
          <w:szCs w:val="24"/>
        </w:rPr>
        <w:t xml:space="preserve"> and enforced by Israel. Violen</w:t>
      </w:r>
      <w:r w:rsidR="00734089">
        <w:rPr>
          <w:rFonts w:asciiTheme="majorBidi" w:hAnsiTheme="majorBidi" w:cstheme="majorBidi"/>
          <w:sz w:val="24"/>
          <w:szCs w:val="24"/>
        </w:rPr>
        <w:t>ce and</w:t>
      </w:r>
      <w:r w:rsidRPr="004D0451">
        <w:rPr>
          <w:rFonts w:asciiTheme="majorBidi" w:hAnsiTheme="majorBidi" w:cstheme="majorBidi"/>
          <w:sz w:val="24"/>
          <w:szCs w:val="24"/>
        </w:rPr>
        <w:t xml:space="preserve"> hostilities between Israelis and Palestinians overshadowed ongoing bargaining between the sides</w:t>
      </w:r>
      <w:r w:rsidR="00734089">
        <w:rPr>
          <w:rFonts w:asciiTheme="majorBidi" w:hAnsiTheme="majorBidi" w:cstheme="majorBidi"/>
          <w:sz w:val="24"/>
          <w:szCs w:val="24"/>
        </w:rPr>
        <w:t>,</w:t>
      </w:r>
      <w:r w:rsidRPr="004D0451">
        <w:rPr>
          <w:rFonts w:asciiTheme="majorBidi" w:hAnsiTheme="majorBidi" w:cstheme="majorBidi"/>
          <w:sz w:val="24"/>
          <w:szCs w:val="24"/>
        </w:rPr>
        <w:t xml:space="preserve"> and contributed to fading hopes </w:t>
      </w:r>
      <w:r w:rsidR="00734089">
        <w:rPr>
          <w:rFonts w:asciiTheme="majorBidi" w:hAnsiTheme="majorBidi" w:cstheme="majorBidi"/>
          <w:sz w:val="24"/>
          <w:szCs w:val="24"/>
        </w:rPr>
        <w:t>of</w:t>
      </w:r>
      <w:r w:rsidRPr="004D0451">
        <w:rPr>
          <w:rFonts w:asciiTheme="majorBidi" w:hAnsiTheme="majorBidi" w:cstheme="majorBidi"/>
          <w:sz w:val="24"/>
          <w:szCs w:val="24"/>
        </w:rPr>
        <w:t xml:space="preserve"> economic prosperity.</w:t>
      </w:r>
    </w:p>
    <w:p w14:paraId="271F6672" w14:textId="49085E7A" w:rsidR="00C47693" w:rsidRPr="004D0451" w:rsidRDefault="00C47693" w:rsidP="00C47693">
      <w:pPr>
        <w:bidi w:val="0"/>
        <w:spacing w:line="480" w:lineRule="auto"/>
        <w:ind w:left="851"/>
        <w:jc w:val="both"/>
        <w:rPr>
          <w:rFonts w:asciiTheme="majorBidi" w:hAnsiTheme="majorBidi" w:cstheme="majorBidi"/>
          <w:sz w:val="24"/>
          <w:szCs w:val="24"/>
        </w:rPr>
      </w:pPr>
      <w:r w:rsidRPr="004D0451">
        <w:rPr>
          <w:rFonts w:asciiTheme="majorBidi" w:hAnsiTheme="majorBidi" w:cstheme="majorBidi"/>
          <w:sz w:val="24"/>
          <w:szCs w:val="24"/>
        </w:rPr>
        <w:t xml:space="preserve">More than 80% of reported Palestinian exports are exported to Israel or through Israel abroad, including the export of plastics, furniture, </w:t>
      </w:r>
      <w:r w:rsidR="00E22A6C">
        <w:rPr>
          <w:rFonts w:asciiTheme="majorBidi" w:hAnsiTheme="majorBidi" w:cstheme="majorBidi"/>
          <w:sz w:val="24"/>
          <w:szCs w:val="24"/>
        </w:rPr>
        <w:t xml:space="preserve">and </w:t>
      </w:r>
      <w:r w:rsidRPr="004D0451">
        <w:rPr>
          <w:rFonts w:asciiTheme="majorBidi" w:hAnsiTheme="majorBidi" w:cstheme="majorBidi"/>
          <w:sz w:val="24"/>
          <w:szCs w:val="24"/>
        </w:rPr>
        <w:t>footwear. About 60% of Palestinian imports come from Israel or through Israeli importers, consisting mostly of fuel, grain, fodder, construction materials and machinery.</w:t>
      </w:r>
    </w:p>
    <w:p w14:paraId="7AA9F89B" w14:textId="18DA22CF" w:rsidR="00C47693" w:rsidRPr="004D0451" w:rsidRDefault="00BB79BA" w:rsidP="00C47693">
      <w:pPr>
        <w:bidi w:val="0"/>
        <w:spacing w:line="480" w:lineRule="auto"/>
        <w:ind w:left="851"/>
        <w:jc w:val="center"/>
        <w:rPr>
          <w:rFonts w:asciiTheme="majorBidi" w:hAnsiTheme="majorBidi" w:cstheme="majorBidi"/>
          <w:b/>
          <w:bCs/>
          <w:sz w:val="24"/>
          <w:szCs w:val="24"/>
        </w:rPr>
      </w:pPr>
      <w:r>
        <w:rPr>
          <w:rFonts w:asciiTheme="majorBidi" w:hAnsiTheme="majorBidi" w:cstheme="majorBidi"/>
          <w:b/>
          <w:bCs/>
          <w:sz w:val="24"/>
          <w:szCs w:val="24"/>
        </w:rPr>
        <w:t xml:space="preserve">Figure 10 </w:t>
      </w:r>
      <w:r w:rsidR="00881D32">
        <w:rPr>
          <w:rFonts w:asciiTheme="majorBidi" w:hAnsiTheme="majorBidi" w:cstheme="majorBidi"/>
          <w:b/>
          <w:bCs/>
          <w:sz w:val="24"/>
          <w:szCs w:val="24"/>
        </w:rPr>
        <w:t>–</w:t>
      </w:r>
      <w:r>
        <w:rPr>
          <w:rFonts w:asciiTheme="majorBidi" w:hAnsiTheme="majorBidi" w:cstheme="majorBidi"/>
          <w:b/>
          <w:bCs/>
          <w:sz w:val="24"/>
          <w:szCs w:val="24"/>
        </w:rPr>
        <w:t xml:space="preserve"> </w:t>
      </w:r>
      <w:r w:rsidR="00881D32">
        <w:rPr>
          <w:rFonts w:asciiTheme="majorBidi" w:hAnsiTheme="majorBidi" w:cstheme="majorBidi"/>
          <w:b/>
          <w:bCs/>
          <w:sz w:val="24"/>
          <w:szCs w:val="24"/>
        </w:rPr>
        <w:t xml:space="preserve">Palestinian </w:t>
      </w:r>
      <w:r w:rsidR="00616124">
        <w:rPr>
          <w:rFonts w:asciiTheme="majorBidi" w:hAnsiTheme="majorBidi" w:cstheme="majorBidi"/>
          <w:b/>
          <w:bCs/>
          <w:sz w:val="24"/>
          <w:szCs w:val="24"/>
        </w:rPr>
        <w:t>e</w:t>
      </w:r>
      <w:r w:rsidR="00C47693" w:rsidRPr="004D0451">
        <w:rPr>
          <w:rFonts w:asciiTheme="majorBidi" w:hAnsiTheme="majorBidi" w:cstheme="majorBidi"/>
          <w:b/>
          <w:bCs/>
          <w:sz w:val="24"/>
          <w:szCs w:val="24"/>
        </w:rPr>
        <w:t xml:space="preserve">xport and </w:t>
      </w:r>
      <w:r w:rsidR="00616124">
        <w:rPr>
          <w:rFonts w:asciiTheme="majorBidi" w:hAnsiTheme="majorBidi" w:cstheme="majorBidi"/>
          <w:b/>
          <w:bCs/>
          <w:sz w:val="24"/>
          <w:szCs w:val="24"/>
        </w:rPr>
        <w:t>i</w:t>
      </w:r>
      <w:r w:rsidR="00C47693" w:rsidRPr="004D0451">
        <w:rPr>
          <w:rFonts w:asciiTheme="majorBidi" w:hAnsiTheme="majorBidi" w:cstheme="majorBidi"/>
          <w:b/>
          <w:bCs/>
          <w:sz w:val="24"/>
          <w:szCs w:val="24"/>
        </w:rPr>
        <w:t>mports to and from Israel</w:t>
      </w:r>
    </w:p>
    <w:p w14:paraId="65B3404D" w14:textId="77777777" w:rsidR="00C47693" w:rsidRDefault="00C47693" w:rsidP="00C47693">
      <w:pPr>
        <w:bidi w:val="0"/>
        <w:spacing w:line="480" w:lineRule="auto"/>
        <w:ind w:left="851"/>
        <w:jc w:val="center"/>
        <w:rPr>
          <w:rFonts w:cs="David"/>
        </w:rPr>
      </w:pPr>
      <w:r>
        <w:rPr>
          <w:noProof/>
        </w:rPr>
        <w:drawing>
          <wp:inline distT="0" distB="0" distL="0" distR="0" wp14:anchorId="1C372929" wp14:editId="0B32C16C">
            <wp:extent cx="4320000" cy="2520000"/>
            <wp:effectExtent l="0" t="0" r="4445" b="13970"/>
            <wp:docPr id="24" name="תרשים 24">
              <a:extLst xmlns:a="http://schemas.openxmlformats.org/drawingml/2006/main">
                <a:ext uri="{FF2B5EF4-FFF2-40B4-BE49-F238E27FC236}">
                  <a16:creationId xmlns:a16="http://schemas.microsoft.com/office/drawing/2014/main" id="{4F9867DD-86AE-4EC5-8903-32AD57E8B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3C10EC" w14:textId="61567FF6" w:rsidR="00BD167B" w:rsidRPr="00C91224" w:rsidRDefault="00BD167B" w:rsidP="002201FA">
      <w:pPr>
        <w:bidi w:val="0"/>
        <w:ind w:left="720"/>
        <w:jc w:val="center"/>
        <w:rPr>
          <w:rFonts w:asciiTheme="majorBidi" w:eastAsiaTheme="minorHAnsi" w:hAnsiTheme="majorBidi" w:cstheme="majorBidi"/>
          <w:sz w:val="20"/>
          <w:szCs w:val="20"/>
        </w:rPr>
      </w:pPr>
      <w:r w:rsidRPr="00C91224">
        <w:rPr>
          <w:rFonts w:asciiTheme="majorBidi" w:eastAsiaTheme="minorHAnsi" w:hAnsiTheme="majorBidi" w:cstheme="majorBidi"/>
          <w:sz w:val="20"/>
          <w:szCs w:val="20"/>
        </w:rPr>
        <w:t xml:space="preserve">Source: </w:t>
      </w:r>
      <w:r>
        <w:rPr>
          <w:rFonts w:asciiTheme="majorBidi" w:eastAsiaTheme="minorHAnsi" w:hAnsiTheme="majorBidi" w:cstheme="majorBidi"/>
          <w:sz w:val="20"/>
          <w:szCs w:val="20"/>
        </w:rPr>
        <w:t>ICBS and PCBS and author calculations</w:t>
      </w:r>
    </w:p>
    <w:p w14:paraId="28B6BCB1" w14:textId="77777777" w:rsidR="00C47693" w:rsidRPr="00742828" w:rsidRDefault="00C47693" w:rsidP="00C47693">
      <w:pPr>
        <w:bidi w:val="0"/>
        <w:spacing w:line="480" w:lineRule="auto"/>
        <w:ind w:left="851"/>
        <w:jc w:val="both"/>
        <w:rPr>
          <w:rFonts w:cs="David"/>
          <w:b/>
          <w:bCs/>
        </w:rPr>
      </w:pPr>
    </w:p>
    <w:p w14:paraId="0571894D" w14:textId="77777777" w:rsidR="00C47693" w:rsidRDefault="00C47693" w:rsidP="00C47693">
      <w:pPr>
        <w:bidi w:val="0"/>
        <w:spacing w:line="480" w:lineRule="auto"/>
        <w:ind w:left="851"/>
        <w:jc w:val="both"/>
        <w:rPr>
          <w:rFonts w:cs="David"/>
        </w:rPr>
      </w:pPr>
    </w:p>
    <w:p w14:paraId="5B23A98E" w14:textId="5C9AA387" w:rsidR="00E804F2" w:rsidRDefault="00C47693" w:rsidP="007026D6">
      <w:pPr>
        <w:shd w:val="clear" w:color="auto" w:fill="FFFFFF" w:themeFill="background1"/>
        <w:bidi w:val="0"/>
        <w:spacing w:line="480" w:lineRule="auto"/>
        <w:ind w:left="851"/>
        <w:jc w:val="both"/>
        <w:rPr>
          <w:rFonts w:asciiTheme="majorBidi" w:hAnsiTheme="majorBidi" w:cstheme="majorBidi"/>
          <w:sz w:val="24"/>
          <w:szCs w:val="24"/>
        </w:rPr>
      </w:pPr>
      <w:r w:rsidRPr="007026D6">
        <w:rPr>
          <w:rFonts w:asciiTheme="majorBidi" w:hAnsiTheme="majorBidi" w:cstheme="majorBidi"/>
          <w:sz w:val="24"/>
          <w:szCs w:val="24"/>
        </w:rPr>
        <w:t>The number of Palestinian workers in Israel dropped drastically</w:t>
      </w:r>
      <w:r w:rsidR="002201FA" w:rsidRPr="007026D6">
        <w:rPr>
          <w:rFonts w:asciiTheme="majorBidi" w:hAnsiTheme="majorBidi" w:cstheme="majorBidi"/>
          <w:sz w:val="24"/>
          <w:szCs w:val="24"/>
        </w:rPr>
        <w:t xml:space="preserve">. </w:t>
      </w:r>
      <w:r w:rsidR="007026D6">
        <w:rPr>
          <w:rFonts w:asciiTheme="majorBidi" w:hAnsiTheme="majorBidi" w:cstheme="majorBidi"/>
          <w:sz w:val="24"/>
          <w:szCs w:val="24"/>
          <w:shd w:val="clear" w:color="auto" w:fill="FFFFFF" w:themeFill="background1"/>
        </w:rPr>
        <w:t>A</w:t>
      </w:r>
      <w:r w:rsidR="002201FA" w:rsidRPr="007026D6">
        <w:rPr>
          <w:rFonts w:asciiTheme="majorBidi" w:hAnsiTheme="majorBidi" w:cstheme="majorBidi"/>
          <w:sz w:val="24"/>
          <w:szCs w:val="24"/>
          <w:shd w:val="clear" w:color="auto" w:fill="FFFFFF" w:themeFill="background1"/>
        </w:rPr>
        <w:t>s</w:t>
      </w:r>
      <w:r w:rsidRPr="007026D6">
        <w:rPr>
          <w:rFonts w:asciiTheme="majorBidi" w:hAnsiTheme="majorBidi" w:cstheme="majorBidi"/>
          <w:sz w:val="24"/>
          <w:szCs w:val="24"/>
          <w:shd w:val="clear" w:color="auto" w:fill="FFFFFF" w:themeFill="background1"/>
        </w:rPr>
        <w:t xml:space="preserve"> </w:t>
      </w:r>
      <w:proofErr w:type="spellStart"/>
      <w:r w:rsidRPr="007026D6">
        <w:rPr>
          <w:rFonts w:asciiTheme="majorBidi" w:hAnsiTheme="majorBidi" w:cstheme="majorBidi"/>
          <w:sz w:val="24"/>
          <w:szCs w:val="24"/>
          <w:shd w:val="clear" w:color="auto" w:fill="FFFFFF" w:themeFill="background1"/>
        </w:rPr>
        <w:t>Arnon</w:t>
      </w:r>
      <w:proofErr w:type="spellEnd"/>
      <w:r w:rsidR="007026D6" w:rsidRPr="007026D6">
        <w:rPr>
          <w:rFonts w:asciiTheme="majorBidi" w:hAnsiTheme="majorBidi" w:cstheme="majorBidi"/>
          <w:sz w:val="24"/>
          <w:szCs w:val="24"/>
          <w:shd w:val="clear" w:color="auto" w:fill="FFFFFF" w:themeFill="background1"/>
        </w:rPr>
        <w:t xml:space="preserve"> put it (</w:t>
      </w:r>
      <w:r w:rsidRPr="007026D6">
        <w:rPr>
          <w:rFonts w:asciiTheme="majorBidi" w:hAnsiTheme="majorBidi" w:cstheme="majorBidi"/>
          <w:sz w:val="24"/>
          <w:szCs w:val="24"/>
        </w:rPr>
        <w:t>2007, p- 18):</w:t>
      </w:r>
      <w:r w:rsidRPr="00C43AD3">
        <w:rPr>
          <w:rFonts w:asciiTheme="majorBidi" w:hAnsiTheme="majorBidi" w:cstheme="majorBidi"/>
          <w:sz w:val="24"/>
          <w:szCs w:val="24"/>
        </w:rPr>
        <w:t xml:space="preserve"> </w:t>
      </w:r>
    </w:p>
    <w:p w14:paraId="6FAD0EE2" w14:textId="47475F85" w:rsidR="00C47693" w:rsidRPr="00C43AD3" w:rsidRDefault="00C47693" w:rsidP="00E804F2">
      <w:pPr>
        <w:bidi w:val="0"/>
        <w:spacing w:after="240"/>
        <w:ind w:left="1440"/>
        <w:jc w:val="both"/>
        <w:rPr>
          <w:rFonts w:asciiTheme="majorBidi" w:hAnsiTheme="majorBidi" w:cstheme="majorBidi"/>
          <w:sz w:val="24"/>
          <w:szCs w:val="24"/>
        </w:rPr>
      </w:pPr>
      <w:r w:rsidRPr="00C43AD3">
        <w:rPr>
          <w:rFonts w:asciiTheme="majorBidi" w:hAnsiTheme="majorBidi" w:cstheme="majorBidi"/>
          <w:sz w:val="24"/>
          <w:szCs w:val="24"/>
        </w:rPr>
        <w:t xml:space="preserve">“Before the 1994 interim agreements, 30% of the Palestinian labor force in the West Bank and more than 40% of that in Gaza worked in Israel. In 1995-6 the percentage of West Bank workers in Israel dropped to 18% and those from Gaza to only 6%. Thus salaries paid to workers from the Territories declined; remittances from work in Israel dropped from more than 30% of the GDP in the West Bank, to about 20%; while in Gaza remittances dropped from some 50% of the GDP in the 1980s to less than 10%. At the same time, the rate of unemployment in the Territories, which had been relatively low until 1993, rose to very high levels: </w:t>
      </w:r>
      <w:r w:rsidR="008E4661">
        <w:rPr>
          <w:rFonts w:asciiTheme="majorBidi" w:hAnsiTheme="majorBidi" w:cstheme="majorBidi"/>
          <w:sz w:val="24"/>
          <w:szCs w:val="24"/>
        </w:rPr>
        <w:t>a</w:t>
      </w:r>
      <w:r w:rsidRPr="00C43AD3">
        <w:rPr>
          <w:rFonts w:asciiTheme="majorBidi" w:hAnsiTheme="majorBidi" w:cstheme="majorBidi"/>
          <w:sz w:val="24"/>
          <w:szCs w:val="24"/>
        </w:rPr>
        <w:t>round 20% in the West Bank and more than 30% in Gaza in 1996. These rates dropped a bit after a major closure ended in 1996 allowing more movement of workers during the late 90s</w:t>
      </w:r>
      <w:r w:rsidR="00E804F2">
        <w:rPr>
          <w:rFonts w:asciiTheme="majorBidi" w:hAnsiTheme="majorBidi" w:cstheme="majorBidi"/>
          <w:sz w:val="24"/>
          <w:szCs w:val="24"/>
        </w:rPr>
        <w:t>”</w:t>
      </w:r>
      <w:r w:rsidRPr="00C43AD3">
        <w:rPr>
          <w:rFonts w:asciiTheme="majorBidi" w:hAnsiTheme="majorBidi" w:cstheme="majorBidi"/>
          <w:sz w:val="24"/>
          <w:szCs w:val="24"/>
        </w:rPr>
        <w:t xml:space="preserve">. </w:t>
      </w:r>
    </w:p>
    <w:p w14:paraId="5D20F1FB" w14:textId="5F2AF46A" w:rsidR="00C47693" w:rsidRPr="00C43AD3" w:rsidRDefault="00C47693" w:rsidP="00C47693">
      <w:pPr>
        <w:bidi w:val="0"/>
        <w:spacing w:line="480" w:lineRule="auto"/>
        <w:ind w:left="851"/>
        <w:jc w:val="both"/>
        <w:rPr>
          <w:rFonts w:asciiTheme="majorBidi" w:hAnsiTheme="majorBidi" w:cstheme="majorBidi"/>
          <w:sz w:val="24"/>
          <w:szCs w:val="24"/>
        </w:rPr>
      </w:pPr>
      <w:r w:rsidRPr="00C43AD3">
        <w:rPr>
          <w:rFonts w:asciiTheme="majorBidi" w:hAnsiTheme="majorBidi" w:cstheme="majorBidi"/>
          <w:sz w:val="24"/>
          <w:szCs w:val="24"/>
        </w:rPr>
        <w:t xml:space="preserve">More </w:t>
      </w:r>
      <w:r w:rsidR="007A2B3B">
        <w:rPr>
          <w:rFonts w:asciiTheme="majorBidi" w:hAnsiTheme="majorBidi" w:cstheme="majorBidi"/>
          <w:sz w:val="24"/>
          <w:szCs w:val="24"/>
        </w:rPr>
        <w:t>than</w:t>
      </w:r>
      <w:r w:rsidRPr="00C43AD3">
        <w:rPr>
          <w:rFonts w:asciiTheme="majorBidi" w:hAnsiTheme="majorBidi" w:cstheme="majorBidi"/>
          <w:sz w:val="24"/>
          <w:szCs w:val="24"/>
        </w:rPr>
        <w:t xml:space="preserve"> 60% of the revenues of the Palestinian Authority, excluding international aid, were transferred from Israel in the years 1995-2000 (Clearance revenues). </w:t>
      </w:r>
      <w:r w:rsidR="00DE3D81" w:rsidRPr="00C43AD3">
        <w:rPr>
          <w:rFonts w:asciiTheme="majorBidi" w:hAnsiTheme="majorBidi" w:cstheme="majorBidi"/>
          <w:sz w:val="24"/>
          <w:szCs w:val="24"/>
        </w:rPr>
        <w:t>Thus,</w:t>
      </w:r>
      <w:r w:rsidRPr="00C43AD3">
        <w:rPr>
          <w:rFonts w:asciiTheme="majorBidi" w:hAnsiTheme="majorBidi" w:cstheme="majorBidi"/>
          <w:sz w:val="24"/>
          <w:szCs w:val="24"/>
        </w:rPr>
        <w:t xml:space="preserve"> dependency on Israel did not disappear – it changed; from dependency on Israel's labor and goods markets, to include financial support to the Palestinian public sector (</w:t>
      </w:r>
      <w:proofErr w:type="spellStart"/>
      <w:r w:rsidRPr="00C43AD3">
        <w:rPr>
          <w:rFonts w:asciiTheme="majorBidi" w:hAnsiTheme="majorBidi" w:cstheme="majorBidi"/>
          <w:sz w:val="24"/>
          <w:szCs w:val="24"/>
        </w:rPr>
        <w:t>Arnon</w:t>
      </w:r>
      <w:proofErr w:type="spellEnd"/>
      <w:r w:rsidRPr="00C43AD3">
        <w:rPr>
          <w:rFonts w:asciiTheme="majorBidi" w:hAnsiTheme="majorBidi" w:cstheme="majorBidi"/>
          <w:sz w:val="24"/>
          <w:szCs w:val="24"/>
        </w:rPr>
        <w:t>, 2007, p- 19).</w:t>
      </w:r>
    </w:p>
    <w:p w14:paraId="53F00A04" w14:textId="7A422C5C" w:rsidR="00C47693" w:rsidRPr="00C43AD3" w:rsidRDefault="00C47693" w:rsidP="00C47693">
      <w:pPr>
        <w:bidi w:val="0"/>
        <w:spacing w:line="480" w:lineRule="auto"/>
        <w:ind w:left="851"/>
        <w:jc w:val="both"/>
        <w:rPr>
          <w:rFonts w:asciiTheme="majorBidi" w:hAnsiTheme="majorBidi" w:cstheme="majorBidi"/>
          <w:sz w:val="24"/>
          <w:szCs w:val="24"/>
        </w:rPr>
      </w:pPr>
      <w:r w:rsidRPr="00C43AD3">
        <w:rPr>
          <w:rFonts w:asciiTheme="majorBidi" w:hAnsiTheme="majorBidi" w:cstheme="majorBidi"/>
          <w:sz w:val="24"/>
          <w:szCs w:val="24"/>
        </w:rPr>
        <w:t>Al-</w:t>
      </w:r>
      <w:proofErr w:type="spellStart"/>
      <w:r w:rsidRPr="00C43AD3">
        <w:rPr>
          <w:rFonts w:asciiTheme="majorBidi" w:hAnsiTheme="majorBidi" w:cstheme="majorBidi"/>
          <w:sz w:val="24"/>
          <w:szCs w:val="24"/>
        </w:rPr>
        <w:t>Botmeh</w:t>
      </w:r>
      <w:proofErr w:type="spellEnd"/>
      <w:r w:rsidRPr="00C43AD3">
        <w:rPr>
          <w:rFonts w:asciiTheme="majorBidi" w:hAnsiTheme="majorBidi" w:cstheme="majorBidi"/>
          <w:sz w:val="24"/>
          <w:szCs w:val="24"/>
        </w:rPr>
        <w:t xml:space="preserve"> and </w:t>
      </w:r>
      <w:proofErr w:type="spellStart"/>
      <w:r w:rsidRPr="00C43AD3">
        <w:rPr>
          <w:rFonts w:asciiTheme="majorBidi" w:hAnsiTheme="majorBidi" w:cstheme="majorBidi"/>
          <w:sz w:val="24"/>
          <w:szCs w:val="24"/>
        </w:rPr>
        <w:t>Kanafani</w:t>
      </w:r>
      <w:proofErr w:type="spellEnd"/>
      <w:r w:rsidR="007A2B3B">
        <w:rPr>
          <w:rFonts w:asciiTheme="majorBidi" w:hAnsiTheme="majorBidi" w:cstheme="majorBidi"/>
          <w:sz w:val="24"/>
          <w:szCs w:val="24"/>
        </w:rPr>
        <w:t xml:space="preserve"> </w:t>
      </w:r>
      <w:r w:rsidRPr="00C43AD3">
        <w:rPr>
          <w:rFonts w:asciiTheme="majorBidi" w:hAnsiTheme="majorBidi" w:cstheme="majorBidi"/>
          <w:sz w:val="24"/>
          <w:szCs w:val="24"/>
        </w:rPr>
        <w:t>(2006) discuss the reasons behind the failure of the Paris protocol (1994</w:t>
      </w:r>
      <w:r w:rsidR="00E21F8A" w:rsidRPr="00C43AD3">
        <w:rPr>
          <w:rFonts w:asciiTheme="majorBidi" w:hAnsiTheme="majorBidi" w:cstheme="majorBidi"/>
          <w:sz w:val="24"/>
          <w:szCs w:val="24"/>
        </w:rPr>
        <w:t>).</w:t>
      </w:r>
      <w:r w:rsidRPr="00C43AD3">
        <w:rPr>
          <w:rFonts w:asciiTheme="majorBidi" w:hAnsiTheme="majorBidi" w:cstheme="majorBidi"/>
          <w:sz w:val="24"/>
          <w:szCs w:val="24"/>
        </w:rPr>
        <w:t xml:space="preserve"> Three main perspectives were presented: The first one argued that the protocol was flawed from the outset, since it did not build on political or economic sovereignty for the Palestinians. Another perspective argued that the problem lies in the political and security environment that rendered the implementation of the PP obsolete. The third perspective saw the demise of the PP as a result of faults in its design as well as in its implementation, exacerbated by the lack of a conducive political environment. Their recommendation for</w:t>
      </w:r>
      <w:r w:rsidR="007A2B3B">
        <w:rPr>
          <w:rFonts w:asciiTheme="majorBidi" w:hAnsiTheme="majorBidi" w:cstheme="majorBidi"/>
          <w:sz w:val="24"/>
          <w:szCs w:val="24"/>
        </w:rPr>
        <w:t xml:space="preserve"> an</w:t>
      </w:r>
      <w:r w:rsidRPr="00C43AD3">
        <w:rPr>
          <w:rFonts w:asciiTheme="majorBidi" w:hAnsiTheme="majorBidi" w:cstheme="majorBidi"/>
          <w:sz w:val="24"/>
          <w:szCs w:val="24"/>
        </w:rPr>
        <w:t xml:space="preserve"> alternative trade regime includes the following principles—granting the Palestinians a reasonable degree of sovereignty over their trade policy and economy, while at the same time maximizing the potential economic benefits from being </w:t>
      </w:r>
      <w:r w:rsidR="00862EA4">
        <w:rPr>
          <w:rFonts w:asciiTheme="majorBidi" w:hAnsiTheme="majorBidi" w:cstheme="majorBidi"/>
          <w:sz w:val="24"/>
          <w:szCs w:val="24"/>
        </w:rPr>
        <w:t xml:space="preserve">in </w:t>
      </w:r>
      <w:r w:rsidRPr="00C43AD3">
        <w:rPr>
          <w:rFonts w:asciiTheme="majorBidi" w:hAnsiTheme="majorBidi" w:cstheme="majorBidi"/>
          <w:sz w:val="24"/>
          <w:szCs w:val="24"/>
        </w:rPr>
        <w:t>close</w:t>
      </w:r>
      <w:r w:rsidR="00862EA4">
        <w:rPr>
          <w:rFonts w:asciiTheme="majorBidi" w:hAnsiTheme="majorBidi" w:cstheme="majorBidi"/>
          <w:sz w:val="24"/>
          <w:szCs w:val="24"/>
        </w:rPr>
        <w:t xml:space="preserve"> proximity</w:t>
      </w:r>
      <w:r w:rsidRPr="00C43AD3">
        <w:rPr>
          <w:rFonts w:asciiTheme="majorBidi" w:hAnsiTheme="majorBidi" w:cstheme="majorBidi"/>
          <w:sz w:val="24"/>
          <w:szCs w:val="24"/>
        </w:rPr>
        <w:t xml:space="preserve"> and having special and privileged access to an advanced neighboring economy such as that of Israel.</w:t>
      </w:r>
    </w:p>
    <w:p w14:paraId="3ABD2182" w14:textId="521EB748" w:rsidR="00C47693" w:rsidRPr="00C43AD3" w:rsidRDefault="00C47693" w:rsidP="00C47693">
      <w:pPr>
        <w:bidi w:val="0"/>
        <w:spacing w:line="480" w:lineRule="auto"/>
        <w:ind w:left="851"/>
        <w:jc w:val="both"/>
        <w:rPr>
          <w:rFonts w:asciiTheme="majorBidi" w:hAnsiTheme="majorBidi" w:cstheme="majorBidi"/>
          <w:sz w:val="24"/>
          <w:szCs w:val="24"/>
        </w:rPr>
      </w:pPr>
      <w:r w:rsidRPr="00C43AD3">
        <w:rPr>
          <w:rFonts w:asciiTheme="majorBidi" w:hAnsiTheme="majorBidi" w:cstheme="majorBidi"/>
          <w:sz w:val="24"/>
          <w:szCs w:val="24"/>
        </w:rPr>
        <w:t>In July 2000, the Camp David Summit</w:t>
      </w:r>
      <w:r>
        <w:rPr>
          <w:rStyle w:val="FootnoteReference"/>
          <w:rFonts w:eastAsiaTheme="minorHAnsi"/>
        </w:rPr>
        <w:footnoteReference w:id="17"/>
      </w:r>
      <w:r>
        <w:rPr>
          <w:rStyle w:val="FootnoteReference"/>
          <w:rFonts w:eastAsiaTheme="minorHAnsi"/>
        </w:rPr>
        <w:t> </w:t>
      </w:r>
      <w:r w:rsidRPr="00C43AD3">
        <w:rPr>
          <w:rFonts w:asciiTheme="majorBidi" w:hAnsiTheme="majorBidi" w:cstheme="majorBidi"/>
          <w:sz w:val="24"/>
          <w:szCs w:val="24"/>
        </w:rPr>
        <w:t xml:space="preserve">failed to reach a permanent agreement to end the Israeli–Palestinian conflict. In September 2000, the </w:t>
      </w:r>
      <w:r w:rsidR="00E21F8A">
        <w:rPr>
          <w:rFonts w:asciiTheme="majorBidi" w:hAnsiTheme="majorBidi" w:cstheme="majorBidi"/>
          <w:sz w:val="24"/>
          <w:szCs w:val="24"/>
        </w:rPr>
        <w:t>“S</w:t>
      </w:r>
      <w:r w:rsidRPr="00C43AD3">
        <w:rPr>
          <w:rFonts w:asciiTheme="majorBidi" w:hAnsiTheme="majorBidi" w:cstheme="majorBidi"/>
          <w:sz w:val="24"/>
          <w:szCs w:val="24"/>
        </w:rPr>
        <w:t>econd Intifada</w:t>
      </w:r>
      <w:r w:rsidR="00E21F8A">
        <w:rPr>
          <w:rFonts w:asciiTheme="majorBidi" w:hAnsiTheme="majorBidi" w:cstheme="majorBidi"/>
          <w:sz w:val="24"/>
          <w:szCs w:val="24"/>
        </w:rPr>
        <w:t>”</w:t>
      </w:r>
      <w:r w:rsidRPr="00C43AD3">
        <w:rPr>
          <w:rFonts w:asciiTheme="majorBidi" w:hAnsiTheme="majorBidi" w:cstheme="majorBidi"/>
          <w:sz w:val="24"/>
          <w:szCs w:val="24"/>
        </w:rPr>
        <w:t xml:space="preserve"> broke out and terminated the Oslo Accords process. </w:t>
      </w:r>
      <w:r w:rsidR="00E21F8A">
        <w:rPr>
          <w:rFonts w:asciiTheme="majorBidi" w:hAnsiTheme="majorBidi" w:cstheme="majorBidi"/>
          <w:sz w:val="24"/>
          <w:szCs w:val="24"/>
        </w:rPr>
        <w:t>T</w:t>
      </w:r>
      <w:r w:rsidR="00E21F8A" w:rsidRPr="00C43AD3">
        <w:rPr>
          <w:rFonts w:asciiTheme="majorBidi" w:hAnsiTheme="majorBidi" w:cstheme="majorBidi"/>
          <w:sz w:val="24"/>
          <w:szCs w:val="24"/>
        </w:rPr>
        <w:t xml:space="preserve">he </w:t>
      </w:r>
      <w:r w:rsidR="00E21F8A">
        <w:rPr>
          <w:rFonts w:asciiTheme="majorBidi" w:hAnsiTheme="majorBidi" w:cstheme="majorBidi"/>
          <w:sz w:val="24"/>
          <w:szCs w:val="24"/>
        </w:rPr>
        <w:t>“S</w:t>
      </w:r>
      <w:r w:rsidR="00E21F8A" w:rsidRPr="00C43AD3">
        <w:rPr>
          <w:rFonts w:asciiTheme="majorBidi" w:hAnsiTheme="majorBidi" w:cstheme="majorBidi"/>
          <w:sz w:val="24"/>
          <w:szCs w:val="24"/>
        </w:rPr>
        <w:t>econd Intifada</w:t>
      </w:r>
      <w:r w:rsidR="00E21F8A">
        <w:rPr>
          <w:rFonts w:asciiTheme="majorBidi" w:hAnsiTheme="majorBidi" w:cstheme="majorBidi"/>
          <w:sz w:val="24"/>
          <w:szCs w:val="24"/>
        </w:rPr>
        <w:t>”</w:t>
      </w:r>
      <w:r w:rsidR="00E21F8A" w:rsidRPr="00C43AD3">
        <w:rPr>
          <w:rFonts w:asciiTheme="majorBidi" w:hAnsiTheme="majorBidi" w:cstheme="majorBidi"/>
          <w:sz w:val="24"/>
          <w:szCs w:val="24"/>
        </w:rPr>
        <w:t xml:space="preserve"> </w:t>
      </w:r>
      <w:r w:rsidRPr="00C43AD3">
        <w:rPr>
          <w:rFonts w:asciiTheme="majorBidi" w:hAnsiTheme="majorBidi" w:cstheme="majorBidi"/>
          <w:sz w:val="24"/>
          <w:szCs w:val="24"/>
        </w:rPr>
        <w:t>was a period of intensified Israeli–Palestinian violence with thousands of casualties. On the March 29, 2002, Israel launched Operation Defensive Shield - the main objective of the operation was to strike Palestinian terrorist infrastructures and put an end to the wave of terrorist attacks against Israeli citizens. One of the main triggers of the operation was the March 27, 2002 attack at the Park Hotel in Netanya</w:t>
      </w:r>
      <w:r w:rsidR="00297236">
        <w:rPr>
          <w:rFonts w:asciiTheme="majorBidi" w:hAnsiTheme="majorBidi" w:cstheme="majorBidi"/>
          <w:sz w:val="24"/>
          <w:szCs w:val="24"/>
        </w:rPr>
        <w:t xml:space="preserve"> </w:t>
      </w:r>
      <w:r w:rsidR="00537265">
        <w:rPr>
          <w:rFonts w:asciiTheme="majorBidi" w:hAnsiTheme="majorBidi" w:cstheme="majorBidi"/>
          <w:sz w:val="24"/>
          <w:szCs w:val="24"/>
        </w:rPr>
        <w:t xml:space="preserve">with </w:t>
      </w:r>
      <w:r w:rsidR="003E11A5" w:rsidRPr="003E11A5">
        <w:rPr>
          <w:rFonts w:asciiTheme="majorBidi" w:hAnsiTheme="majorBidi" w:cstheme="majorBidi"/>
          <w:sz w:val="24"/>
          <w:szCs w:val="24"/>
        </w:rPr>
        <w:t xml:space="preserve">numerous </w:t>
      </w:r>
      <w:r w:rsidR="00537265">
        <w:rPr>
          <w:rFonts w:asciiTheme="majorBidi" w:hAnsiTheme="majorBidi" w:cstheme="majorBidi"/>
          <w:sz w:val="24"/>
          <w:szCs w:val="24"/>
        </w:rPr>
        <w:t>deaths and wounded</w:t>
      </w:r>
      <w:r w:rsidRPr="00C43AD3">
        <w:rPr>
          <w:rFonts w:asciiTheme="majorBidi" w:hAnsiTheme="majorBidi" w:cstheme="majorBidi"/>
          <w:sz w:val="24"/>
          <w:szCs w:val="24"/>
        </w:rPr>
        <w:t xml:space="preserve">. The operation was concentrated on cities in Judea and Samaria, in particular Nablus, Ramallah, Jenin and Bethlehem, which housed most of the terrorist infrastructures. </w:t>
      </w:r>
      <w:r w:rsidR="005530EE">
        <w:rPr>
          <w:rFonts w:asciiTheme="majorBidi" w:hAnsiTheme="majorBidi" w:cstheme="majorBidi"/>
          <w:sz w:val="24"/>
          <w:szCs w:val="24"/>
        </w:rPr>
        <w:t>As the</w:t>
      </w:r>
      <w:r w:rsidRPr="00C43AD3">
        <w:rPr>
          <w:rFonts w:asciiTheme="majorBidi" w:hAnsiTheme="majorBidi" w:cstheme="majorBidi"/>
          <w:sz w:val="24"/>
          <w:szCs w:val="24"/>
        </w:rPr>
        <w:t xml:space="preserve"> Israel military controlled the main cities, </w:t>
      </w:r>
      <w:r w:rsidR="00CE1BF0">
        <w:rPr>
          <w:rFonts w:asciiTheme="majorBidi" w:hAnsiTheme="majorBidi" w:cstheme="majorBidi"/>
          <w:sz w:val="24"/>
          <w:szCs w:val="24"/>
        </w:rPr>
        <w:t xml:space="preserve">it </w:t>
      </w:r>
      <w:r w:rsidRPr="00C43AD3">
        <w:rPr>
          <w:rFonts w:asciiTheme="majorBidi" w:hAnsiTheme="majorBidi" w:cstheme="majorBidi"/>
          <w:sz w:val="24"/>
          <w:szCs w:val="24"/>
        </w:rPr>
        <w:t xml:space="preserve">used other mitigation tools. Israel also started to build the separation barrier between Israel and the West Bank (“Israeli West Bank wall”) to offset the terror attacks. </w:t>
      </w:r>
    </w:p>
    <w:p w14:paraId="04BB3AD7" w14:textId="7AAF45F2" w:rsidR="00C47693" w:rsidRPr="00C43AD3" w:rsidRDefault="00C47693" w:rsidP="00C47693">
      <w:pPr>
        <w:bidi w:val="0"/>
        <w:spacing w:line="480" w:lineRule="auto"/>
        <w:ind w:left="851"/>
        <w:jc w:val="both"/>
        <w:rPr>
          <w:rFonts w:asciiTheme="majorBidi" w:hAnsiTheme="majorBidi" w:cstheme="majorBidi"/>
          <w:sz w:val="24"/>
          <w:szCs w:val="24"/>
        </w:rPr>
      </w:pPr>
      <w:r w:rsidRPr="00C43AD3">
        <w:rPr>
          <w:rFonts w:asciiTheme="majorBidi" w:hAnsiTheme="majorBidi" w:cstheme="majorBidi"/>
          <w:sz w:val="24"/>
          <w:szCs w:val="24"/>
        </w:rPr>
        <w:t>The hostilit</w:t>
      </w:r>
      <w:r w:rsidR="00CE1BF0">
        <w:rPr>
          <w:rFonts w:asciiTheme="majorBidi" w:hAnsiTheme="majorBidi" w:cstheme="majorBidi"/>
          <w:sz w:val="24"/>
          <w:szCs w:val="24"/>
        </w:rPr>
        <w:t>ies</w:t>
      </w:r>
      <w:r w:rsidRPr="00C43AD3">
        <w:rPr>
          <w:rFonts w:asciiTheme="majorBidi" w:hAnsiTheme="majorBidi" w:cstheme="majorBidi"/>
          <w:sz w:val="24"/>
          <w:szCs w:val="24"/>
        </w:rPr>
        <w:t xml:space="preserve"> dramatically affected </w:t>
      </w:r>
      <w:r w:rsidR="00815CAD">
        <w:rPr>
          <w:rFonts w:asciiTheme="majorBidi" w:hAnsiTheme="majorBidi" w:cstheme="majorBidi"/>
          <w:sz w:val="24"/>
          <w:szCs w:val="24"/>
        </w:rPr>
        <w:t xml:space="preserve">both </w:t>
      </w:r>
      <w:r w:rsidR="00815CAD" w:rsidRPr="00C43AD3">
        <w:rPr>
          <w:rFonts w:asciiTheme="majorBidi" w:hAnsiTheme="majorBidi" w:cstheme="majorBidi"/>
          <w:sz w:val="24"/>
          <w:szCs w:val="24"/>
        </w:rPr>
        <w:t>economies</w:t>
      </w:r>
      <w:r w:rsidRPr="00C43AD3">
        <w:rPr>
          <w:rFonts w:asciiTheme="majorBidi" w:hAnsiTheme="majorBidi" w:cstheme="majorBidi"/>
          <w:sz w:val="24"/>
          <w:szCs w:val="24"/>
        </w:rPr>
        <w:t xml:space="preserve">. Successive closures led to de facto separation, which resulted in a dramatic across the board decrease in commerce, employment and investments. Israel suffered a three-year recession and its GNP </w:t>
      </w:r>
      <w:r w:rsidR="00815CAD">
        <w:rPr>
          <w:rFonts w:asciiTheme="majorBidi" w:hAnsiTheme="majorBidi" w:cstheme="majorBidi"/>
          <w:sz w:val="24"/>
          <w:szCs w:val="24"/>
        </w:rPr>
        <w:t xml:space="preserve">fell </w:t>
      </w:r>
      <w:r w:rsidRPr="00C43AD3">
        <w:rPr>
          <w:rFonts w:asciiTheme="majorBidi" w:hAnsiTheme="majorBidi" w:cstheme="majorBidi"/>
          <w:sz w:val="24"/>
          <w:szCs w:val="24"/>
        </w:rPr>
        <w:t>by about 8%. The Palestinians suffered from an economic collapse on a different scale. In the first three years</w:t>
      </w:r>
      <w:r w:rsidR="00560AC4">
        <w:rPr>
          <w:rFonts w:asciiTheme="majorBidi" w:hAnsiTheme="majorBidi" w:cstheme="majorBidi"/>
          <w:sz w:val="24"/>
          <w:szCs w:val="24"/>
        </w:rPr>
        <w:t xml:space="preserve"> of the S</w:t>
      </w:r>
      <w:r w:rsidR="00560AC4" w:rsidRPr="00C43AD3">
        <w:rPr>
          <w:rFonts w:asciiTheme="majorBidi" w:hAnsiTheme="majorBidi" w:cstheme="majorBidi"/>
          <w:sz w:val="24"/>
          <w:szCs w:val="24"/>
        </w:rPr>
        <w:t xml:space="preserve">econd </w:t>
      </w:r>
      <w:r w:rsidR="00C669E7" w:rsidRPr="00C43AD3">
        <w:rPr>
          <w:rFonts w:asciiTheme="majorBidi" w:hAnsiTheme="majorBidi" w:cstheme="majorBidi"/>
          <w:sz w:val="24"/>
          <w:szCs w:val="24"/>
        </w:rPr>
        <w:t>Intifada</w:t>
      </w:r>
      <w:r w:rsidR="00C669E7">
        <w:rPr>
          <w:rFonts w:asciiTheme="majorBidi" w:hAnsiTheme="majorBidi" w:cstheme="majorBidi"/>
          <w:sz w:val="24"/>
          <w:szCs w:val="24"/>
        </w:rPr>
        <w:t>,</w:t>
      </w:r>
      <w:r w:rsidR="00C669E7" w:rsidRPr="00C43AD3">
        <w:rPr>
          <w:rFonts w:asciiTheme="majorBidi" w:hAnsiTheme="majorBidi" w:cstheme="majorBidi"/>
          <w:sz w:val="24"/>
          <w:szCs w:val="24"/>
        </w:rPr>
        <w:t xml:space="preserve"> living</w:t>
      </w:r>
      <w:r w:rsidRPr="00C43AD3">
        <w:rPr>
          <w:rFonts w:asciiTheme="majorBidi" w:hAnsiTheme="majorBidi" w:cstheme="majorBidi"/>
          <w:sz w:val="24"/>
          <w:szCs w:val="24"/>
        </w:rPr>
        <w:t xml:space="preserve"> standards dropped by about 30% - GDP contracted by 8.7% in 2000</w:t>
      </w:r>
      <w:r w:rsidR="00535FD0">
        <w:rPr>
          <w:rFonts w:asciiTheme="majorBidi" w:hAnsiTheme="majorBidi" w:cstheme="majorBidi"/>
          <w:sz w:val="24"/>
          <w:szCs w:val="24"/>
        </w:rPr>
        <w:t>. It fell by</w:t>
      </w:r>
      <w:r w:rsidR="001947FA">
        <w:rPr>
          <w:rFonts w:asciiTheme="majorBidi" w:hAnsiTheme="majorBidi" w:cstheme="majorBidi"/>
          <w:sz w:val="24"/>
          <w:szCs w:val="24"/>
        </w:rPr>
        <w:t xml:space="preserve"> an</w:t>
      </w:r>
      <w:r w:rsidRPr="00C43AD3">
        <w:rPr>
          <w:rFonts w:asciiTheme="majorBidi" w:hAnsiTheme="majorBidi" w:cstheme="majorBidi"/>
          <w:sz w:val="24"/>
          <w:szCs w:val="24"/>
        </w:rPr>
        <w:t xml:space="preserve"> additional 8.6% in 2001, and</w:t>
      </w:r>
      <w:r w:rsidR="001947FA">
        <w:rPr>
          <w:rFonts w:asciiTheme="majorBidi" w:hAnsiTheme="majorBidi" w:cstheme="majorBidi"/>
          <w:sz w:val="24"/>
          <w:szCs w:val="24"/>
        </w:rPr>
        <w:t xml:space="preserve"> by</w:t>
      </w:r>
      <w:r w:rsidRPr="00C43AD3">
        <w:rPr>
          <w:rFonts w:asciiTheme="majorBidi" w:hAnsiTheme="majorBidi" w:cstheme="majorBidi"/>
          <w:sz w:val="24"/>
          <w:szCs w:val="24"/>
        </w:rPr>
        <w:t xml:space="preserve"> 13.3% in 2002. The unemployment rate rose to levels unknown in modern economies – about 30% in the West Bank and nearly 40% in Gaza</w:t>
      </w:r>
      <w:r w:rsidR="001947FA">
        <w:rPr>
          <w:rFonts w:asciiTheme="majorBidi" w:hAnsiTheme="majorBidi" w:cstheme="majorBidi"/>
          <w:sz w:val="24"/>
          <w:szCs w:val="24"/>
        </w:rPr>
        <w:t>.</w:t>
      </w:r>
      <w:r w:rsidRPr="00C43AD3">
        <w:rPr>
          <w:rFonts w:asciiTheme="majorBidi" w:hAnsiTheme="majorBidi" w:cstheme="majorBidi"/>
          <w:sz w:val="24"/>
          <w:szCs w:val="24"/>
        </w:rPr>
        <w:t xml:space="preserve"> Approximately 180 thousand Palestinians (of these 100 thousand employed in Israel) lost their jobs in the second half of the year 2000. Wages from abroad plunged in 2001</w:t>
      </w:r>
      <w:r w:rsidR="00FA6434">
        <w:rPr>
          <w:rFonts w:asciiTheme="majorBidi" w:hAnsiTheme="majorBidi" w:cstheme="majorBidi"/>
          <w:sz w:val="24"/>
          <w:szCs w:val="24"/>
        </w:rPr>
        <w:t>,</w:t>
      </w:r>
      <w:r w:rsidRPr="00C43AD3">
        <w:rPr>
          <w:rFonts w:asciiTheme="majorBidi" w:hAnsiTheme="majorBidi" w:cstheme="majorBidi"/>
          <w:sz w:val="24"/>
          <w:szCs w:val="24"/>
        </w:rPr>
        <w:t xml:space="preserve"> declining to 40% of what they had been in 1999.</w:t>
      </w:r>
    </w:p>
    <w:p w14:paraId="1DCD0FF1" w14:textId="77777777" w:rsidR="00C47693" w:rsidRPr="00C43AD3" w:rsidRDefault="00C47693" w:rsidP="00C47693">
      <w:pPr>
        <w:bidi w:val="0"/>
        <w:spacing w:line="480" w:lineRule="auto"/>
        <w:ind w:left="851"/>
        <w:jc w:val="both"/>
        <w:rPr>
          <w:rFonts w:asciiTheme="majorBidi" w:hAnsiTheme="majorBidi" w:cstheme="majorBidi"/>
          <w:sz w:val="24"/>
          <w:szCs w:val="24"/>
        </w:rPr>
      </w:pPr>
      <w:r w:rsidRPr="00C43AD3">
        <w:rPr>
          <w:rFonts w:asciiTheme="majorBidi" w:hAnsiTheme="majorBidi" w:cstheme="majorBidi"/>
          <w:sz w:val="24"/>
          <w:szCs w:val="24"/>
        </w:rPr>
        <w:t>International aid from the donor states rose to the unprecedented level of over one billion dollars a year, about one-third of the GDP. This assistance, rather than helping to build the Palestinian economy, became an emergency safety net (</w:t>
      </w:r>
      <w:proofErr w:type="spellStart"/>
      <w:r w:rsidRPr="00C43AD3">
        <w:rPr>
          <w:rFonts w:asciiTheme="majorBidi" w:hAnsiTheme="majorBidi" w:cstheme="majorBidi"/>
          <w:sz w:val="24"/>
          <w:szCs w:val="24"/>
        </w:rPr>
        <w:t>Arnon</w:t>
      </w:r>
      <w:proofErr w:type="spellEnd"/>
      <w:r w:rsidRPr="00C43AD3">
        <w:rPr>
          <w:rFonts w:asciiTheme="majorBidi" w:hAnsiTheme="majorBidi" w:cstheme="majorBidi"/>
          <w:sz w:val="24"/>
          <w:szCs w:val="24"/>
        </w:rPr>
        <w:t xml:space="preserve"> (2007) and </w:t>
      </w:r>
      <w:proofErr w:type="spellStart"/>
      <w:r w:rsidRPr="00C43AD3">
        <w:rPr>
          <w:rFonts w:asciiTheme="majorBidi" w:hAnsiTheme="majorBidi" w:cstheme="majorBidi"/>
          <w:sz w:val="24"/>
          <w:szCs w:val="24"/>
        </w:rPr>
        <w:t>Shoukair</w:t>
      </w:r>
      <w:proofErr w:type="spellEnd"/>
      <w:r w:rsidRPr="00C43AD3">
        <w:rPr>
          <w:rFonts w:asciiTheme="majorBidi" w:hAnsiTheme="majorBidi" w:cstheme="majorBidi"/>
          <w:sz w:val="24"/>
          <w:szCs w:val="24"/>
        </w:rPr>
        <w:t xml:space="preserve"> (2013)).</w:t>
      </w:r>
    </w:p>
    <w:p w14:paraId="5EE94F1D" w14:textId="020D2118" w:rsidR="00C47693" w:rsidRPr="00C43AD3" w:rsidRDefault="00C47693" w:rsidP="00C47693">
      <w:pPr>
        <w:bidi w:val="0"/>
        <w:spacing w:line="480" w:lineRule="auto"/>
        <w:ind w:left="851"/>
        <w:jc w:val="both"/>
        <w:rPr>
          <w:rFonts w:asciiTheme="majorBidi" w:hAnsiTheme="majorBidi" w:cstheme="majorBidi"/>
          <w:sz w:val="24"/>
          <w:szCs w:val="24"/>
        </w:rPr>
      </w:pPr>
      <w:r w:rsidRPr="00C43AD3">
        <w:rPr>
          <w:rFonts w:asciiTheme="majorBidi" w:hAnsiTheme="majorBidi" w:cstheme="majorBidi"/>
          <w:sz w:val="24"/>
          <w:szCs w:val="24"/>
        </w:rPr>
        <w:t xml:space="preserve">Many consider the Sharm el-Sheikh Summit on 8 February 2005 to be the end of the </w:t>
      </w:r>
      <w:r w:rsidR="00B6358D">
        <w:rPr>
          <w:rFonts w:asciiTheme="majorBidi" w:hAnsiTheme="majorBidi" w:cstheme="majorBidi"/>
          <w:sz w:val="24"/>
          <w:szCs w:val="24"/>
        </w:rPr>
        <w:t>“</w:t>
      </w:r>
      <w:r w:rsidRPr="00C43AD3">
        <w:rPr>
          <w:rFonts w:asciiTheme="majorBidi" w:hAnsiTheme="majorBidi" w:cstheme="majorBidi"/>
          <w:sz w:val="24"/>
          <w:szCs w:val="24"/>
        </w:rPr>
        <w:t>Second Intifada</w:t>
      </w:r>
      <w:r w:rsidR="00B6358D">
        <w:rPr>
          <w:rFonts w:asciiTheme="majorBidi" w:hAnsiTheme="majorBidi" w:cstheme="majorBidi"/>
          <w:sz w:val="24"/>
          <w:szCs w:val="24"/>
        </w:rPr>
        <w:t>”</w:t>
      </w:r>
      <w:r w:rsidRPr="00C43AD3">
        <w:rPr>
          <w:rFonts w:asciiTheme="majorBidi" w:hAnsiTheme="majorBidi" w:cstheme="majorBidi"/>
          <w:sz w:val="24"/>
          <w:szCs w:val="24"/>
        </w:rPr>
        <w:t xml:space="preserve">. </w:t>
      </w:r>
      <w:r w:rsidR="00843BFC">
        <w:rPr>
          <w:rFonts w:asciiTheme="majorBidi" w:hAnsiTheme="majorBidi" w:cstheme="majorBidi"/>
          <w:sz w:val="24"/>
          <w:szCs w:val="24"/>
        </w:rPr>
        <w:t>The PA</w:t>
      </w:r>
      <w:r w:rsidRPr="00C43AD3">
        <w:rPr>
          <w:rFonts w:asciiTheme="majorBidi" w:hAnsiTheme="majorBidi" w:cstheme="majorBidi"/>
          <w:sz w:val="24"/>
          <w:szCs w:val="24"/>
        </w:rPr>
        <w:t xml:space="preserve"> and </w:t>
      </w:r>
      <w:r w:rsidR="00843BFC">
        <w:rPr>
          <w:rFonts w:asciiTheme="majorBidi" w:hAnsiTheme="majorBidi" w:cstheme="majorBidi"/>
          <w:sz w:val="24"/>
          <w:szCs w:val="24"/>
        </w:rPr>
        <w:t>the GOI</w:t>
      </w:r>
      <w:r w:rsidRPr="00C43AD3">
        <w:rPr>
          <w:rFonts w:asciiTheme="majorBidi" w:hAnsiTheme="majorBidi" w:cstheme="majorBidi"/>
          <w:sz w:val="24"/>
          <w:szCs w:val="24"/>
        </w:rPr>
        <w:t> agreed that all Palestinians factions would stop all acts of violence against all Israelis, while Israel would cease all its military activity against all Palestinians. They also reaffirmed their commitment to the Roadmap for peace process.</w:t>
      </w:r>
    </w:p>
    <w:p w14:paraId="34E888CC" w14:textId="3DA19733" w:rsidR="00582ED1" w:rsidRPr="00F27367" w:rsidRDefault="00582ED1" w:rsidP="00582ED1">
      <w:pPr>
        <w:pStyle w:val="Default"/>
        <w:numPr>
          <w:ilvl w:val="1"/>
          <w:numId w:val="1"/>
        </w:numPr>
        <w:spacing w:line="480" w:lineRule="auto"/>
        <w:rPr>
          <w:b/>
          <w:bCs/>
        </w:rPr>
      </w:pPr>
      <w:r w:rsidRPr="00F27367">
        <w:rPr>
          <w:b/>
          <w:bCs/>
        </w:rPr>
        <w:t>Israel Disengage</w:t>
      </w:r>
      <w:r w:rsidR="00A53A7D">
        <w:rPr>
          <w:b/>
          <w:bCs/>
        </w:rPr>
        <w:t>s</w:t>
      </w:r>
      <w:r w:rsidRPr="00F27367">
        <w:rPr>
          <w:b/>
          <w:bCs/>
        </w:rPr>
        <w:t xml:space="preserve"> from</w:t>
      </w:r>
      <w:r w:rsidR="00A53A7D">
        <w:rPr>
          <w:b/>
          <w:bCs/>
        </w:rPr>
        <w:t xml:space="preserve"> the</w:t>
      </w:r>
      <w:r w:rsidR="00A53A7D">
        <w:rPr>
          <w:b/>
          <w:bCs/>
        </w:rPr>
        <w:tab/>
      </w:r>
      <w:r w:rsidRPr="00F27367">
        <w:rPr>
          <w:b/>
          <w:bCs/>
        </w:rPr>
        <w:t>Gaza Strip and</w:t>
      </w:r>
      <w:r w:rsidR="00593C12">
        <w:rPr>
          <w:b/>
          <w:bCs/>
        </w:rPr>
        <w:t xml:space="preserve"> the</w:t>
      </w:r>
      <w:r w:rsidRPr="00F27367">
        <w:rPr>
          <w:b/>
          <w:bCs/>
        </w:rPr>
        <w:t xml:space="preserve"> Hamas Electoral Victory (2005 - 2021)</w:t>
      </w:r>
    </w:p>
    <w:p w14:paraId="37225930" w14:textId="073F633A" w:rsidR="00C47693" w:rsidRDefault="00C47693" w:rsidP="00C47693">
      <w:pPr>
        <w:bidi w:val="0"/>
        <w:spacing w:line="480" w:lineRule="auto"/>
        <w:ind w:left="851"/>
        <w:jc w:val="both"/>
        <w:rPr>
          <w:rFonts w:eastAsiaTheme="minorEastAsia"/>
        </w:rPr>
      </w:pPr>
      <w:r w:rsidRPr="00C43AD3">
        <w:rPr>
          <w:rFonts w:asciiTheme="majorBidi" w:eastAsiaTheme="minorEastAsia" w:hAnsiTheme="majorBidi" w:cstheme="majorBidi"/>
          <w:sz w:val="24"/>
          <w:szCs w:val="24"/>
        </w:rPr>
        <w:t>The Israeli disengagement from Gaza</w:t>
      </w:r>
      <w:r w:rsidR="00B647FD" w:rsidRPr="00B647FD">
        <w:rPr>
          <w:rFonts w:asciiTheme="majorBidi" w:eastAsiaTheme="minorEastAsia" w:hAnsiTheme="majorBidi" w:cstheme="majorBidi"/>
          <w:sz w:val="24"/>
          <w:szCs w:val="24"/>
        </w:rPr>
        <w:t xml:space="preserve"> </w:t>
      </w:r>
      <w:r w:rsidR="00B647FD" w:rsidRPr="00C43AD3">
        <w:rPr>
          <w:rFonts w:asciiTheme="majorBidi" w:eastAsiaTheme="minorEastAsia" w:hAnsiTheme="majorBidi" w:cstheme="majorBidi"/>
          <w:sz w:val="24"/>
          <w:szCs w:val="24"/>
        </w:rPr>
        <w:t>in 2005</w:t>
      </w:r>
      <w:r w:rsidRPr="00C43AD3">
        <w:rPr>
          <w:rFonts w:asciiTheme="majorBidi" w:eastAsiaTheme="minorEastAsia" w:hAnsiTheme="majorBidi" w:cstheme="majorBidi"/>
          <w:sz w:val="24"/>
          <w:szCs w:val="24"/>
        </w:rPr>
        <w:t> was the unilateral dismantling of the 21 Israeli settlements in the Gaza Strip</w:t>
      </w:r>
      <w:r w:rsidR="00B647FD">
        <w:rPr>
          <w:rFonts w:asciiTheme="majorBidi" w:eastAsiaTheme="minorEastAsia" w:hAnsiTheme="majorBidi" w:cstheme="majorBidi"/>
          <w:sz w:val="24"/>
          <w:szCs w:val="24"/>
        </w:rPr>
        <w:t>,</w:t>
      </w:r>
      <w:r w:rsidRPr="00C43AD3">
        <w:rPr>
          <w:rFonts w:asciiTheme="majorBidi" w:eastAsiaTheme="minorEastAsia" w:hAnsiTheme="majorBidi" w:cstheme="majorBidi"/>
          <w:sz w:val="24"/>
          <w:szCs w:val="24"/>
        </w:rPr>
        <w:t> and the evacuation of the settlers and Israeli army from inside the Gaza Strip. Israel has continued to maintain direct external control over Gaza and indirect control over life within Gaza: it controls Gaza's air and maritime space, and land crossings, Gaza remains dependent on Israel for its water, electricity, telecommunications, and other utilities</w:t>
      </w:r>
      <w:r>
        <w:rPr>
          <w:rStyle w:val="FootnoteReference"/>
          <w:rFonts w:eastAsiaTheme="minorHAnsi"/>
        </w:rPr>
        <w:footnoteReference w:id="18"/>
      </w:r>
      <w:r w:rsidRPr="7F26DBA0">
        <w:rPr>
          <w:rFonts w:eastAsiaTheme="minorEastAsia"/>
        </w:rPr>
        <w:t>.</w:t>
      </w:r>
    </w:p>
    <w:p w14:paraId="3BC465BF" w14:textId="77777777" w:rsidR="00C47693" w:rsidRPr="00C91224" w:rsidRDefault="00C47693" w:rsidP="00C47693">
      <w:pPr>
        <w:bidi w:val="0"/>
        <w:spacing w:line="480" w:lineRule="auto"/>
        <w:ind w:left="851"/>
        <w:jc w:val="both"/>
        <w:rPr>
          <w:rFonts w:asciiTheme="majorBidi" w:hAnsiTheme="majorBidi" w:cstheme="majorBidi"/>
          <w:sz w:val="24"/>
          <w:szCs w:val="24"/>
        </w:rPr>
      </w:pPr>
      <w:r w:rsidRPr="00C91224">
        <w:rPr>
          <w:rFonts w:asciiTheme="majorBidi" w:hAnsiTheme="majorBidi" w:cstheme="majorBidi"/>
          <w:sz w:val="24"/>
          <w:szCs w:val="24"/>
        </w:rPr>
        <w:t xml:space="preserve">The entry of a resident of the Gaza Strip into Israel also requires a permit, as does the entry of Israelis and foreigners into the Gaza Strip. Gaza residents’ ability to cross </w:t>
      </w:r>
      <w:proofErr w:type="spellStart"/>
      <w:r w:rsidRPr="00C91224">
        <w:rPr>
          <w:rFonts w:asciiTheme="majorBidi" w:hAnsiTheme="majorBidi" w:cstheme="majorBidi"/>
          <w:sz w:val="24"/>
          <w:szCs w:val="24"/>
        </w:rPr>
        <w:t>Erez</w:t>
      </w:r>
      <w:proofErr w:type="spellEnd"/>
      <w:r w:rsidRPr="00C91224">
        <w:rPr>
          <w:rFonts w:asciiTheme="majorBidi" w:hAnsiTheme="majorBidi" w:cstheme="majorBidi"/>
          <w:sz w:val="24"/>
          <w:szCs w:val="24"/>
        </w:rPr>
        <w:t xml:space="preserve"> was gradually limited over the years. Since 1991, residents have been required to obtain exit permits, and the number of permits given gradually declined. </w:t>
      </w:r>
    </w:p>
    <w:p w14:paraId="78802C05" w14:textId="39C8D246" w:rsidR="00C47693" w:rsidRPr="000D564B" w:rsidRDefault="00BB79BA" w:rsidP="000D564B">
      <w:pPr>
        <w:bidi w:val="0"/>
        <w:spacing w:line="480" w:lineRule="auto"/>
        <w:ind w:left="1440" w:firstLine="720"/>
        <w:jc w:val="both"/>
        <w:rPr>
          <w:rFonts w:eastAsiaTheme="minorEastAsia"/>
          <w:b/>
          <w:bCs/>
        </w:rPr>
      </w:pPr>
      <w:r w:rsidRPr="000D564B">
        <w:rPr>
          <w:rFonts w:asciiTheme="majorBidi" w:hAnsiTheme="majorBidi" w:cstheme="majorBidi"/>
          <w:b/>
          <w:bCs/>
          <w:sz w:val="24"/>
          <w:szCs w:val="24"/>
        </w:rPr>
        <w:t>Figure 11 -</w:t>
      </w:r>
      <w:r w:rsidR="000D564B" w:rsidRPr="000D564B">
        <w:rPr>
          <w:rFonts w:asciiTheme="majorBidi" w:eastAsiaTheme="minorEastAsia" w:hAnsiTheme="majorBidi" w:cstheme="majorBidi"/>
          <w:b/>
          <w:bCs/>
          <w:sz w:val="24"/>
          <w:szCs w:val="24"/>
        </w:rPr>
        <w:t xml:space="preserve"> Israeli disengagement from the Gaza Strip </w:t>
      </w:r>
    </w:p>
    <w:p w14:paraId="6825C1A3" w14:textId="77777777" w:rsidR="00C47693" w:rsidRDefault="00C47693" w:rsidP="00C47693">
      <w:pPr>
        <w:bidi w:val="0"/>
        <w:spacing w:line="480" w:lineRule="auto"/>
        <w:ind w:left="851"/>
        <w:jc w:val="center"/>
        <w:rPr>
          <w:rFonts w:eastAsiaTheme="minorEastAsia"/>
        </w:rPr>
      </w:pPr>
      <w:r>
        <w:rPr>
          <w:noProof/>
        </w:rPr>
        <w:drawing>
          <wp:inline distT="0" distB="0" distL="0" distR="0" wp14:anchorId="3532FBB4" wp14:editId="7FEEF1B4">
            <wp:extent cx="2423917" cy="3856383"/>
            <wp:effectExtent l="0" t="0" r="0" b="0"/>
            <wp:docPr id="26" name="תמונה 26"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6"/>
                    <pic:cNvPicPr/>
                  </pic:nvPicPr>
                  <pic:blipFill>
                    <a:blip r:embed="rId23">
                      <a:extLst>
                        <a:ext uri="{28A0092B-C50C-407E-A947-70E740481C1C}">
                          <a14:useLocalDpi xmlns:a14="http://schemas.microsoft.com/office/drawing/2010/main" val="0"/>
                        </a:ext>
                      </a:extLst>
                    </a:blip>
                    <a:stretch>
                      <a:fillRect/>
                    </a:stretch>
                  </pic:blipFill>
                  <pic:spPr>
                    <a:xfrm>
                      <a:off x="0" y="0"/>
                      <a:ext cx="2423917" cy="3856383"/>
                    </a:xfrm>
                    <a:prstGeom prst="rect">
                      <a:avLst/>
                    </a:prstGeom>
                  </pic:spPr>
                </pic:pic>
              </a:graphicData>
            </a:graphic>
          </wp:inline>
        </w:drawing>
      </w:r>
    </w:p>
    <w:p w14:paraId="0B8273F1" w14:textId="77777777" w:rsidR="00C47693" w:rsidRPr="00C91224" w:rsidRDefault="00C47693" w:rsidP="00C47693">
      <w:pPr>
        <w:bidi w:val="0"/>
        <w:spacing w:line="480" w:lineRule="auto"/>
        <w:ind w:left="851"/>
        <w:jc w:val="center"/>
        <w:rPr>
          <w:rFonts w:asciiTheme="majorBidi" w:eastAsiaTheme="minorHAnsi" w:hAnsiTheme="majorBidi" w:cstheme="majorBidi"/>
          <w:sz w:val="20"/>
          <w:szCs w:val="20"/>
        </w:rPr>
      </w:pPr>
      <w:r w:rsidRPr="00C91224">
        <w:rPr>
          <w:rFonts w:asciiTheme="majorBidi" w:eastAsiaTheme="minorHAnsi" w:hAnsiTheme="majorBidi" w:cstheme="majorBidi"/>
          <w:sz w:val="20"/>
          <w:szCs w:val="20"/>
        </w:rPr>
        <w:t>Source: Israeli Ministry of Foreign Affairs</w:t>
      </w:r>
    </w:p>
    <w:p w14:paraId="26A6A358" w14:textId="1D654ECB" w:rsidR="00C47693" w:rsidRDefault="00C47693" w:rsidP="00C47693">
      <w:pPr>
        <w:bidi w:val="0"/>
        <w:spacing w:line="480" w:lineRule="auto"/>
        <w:ind w:left="851"/>
        <w:jc w:val="both"/>
        <w:rPr>
          <w:rFonts w:eastAsiaTheme="minorHAnsi"/>
        </w:rPr>
      </w:pPr>
      <w:r w:rsidRPr="00C91224">
        <w:rPr>
          <w:rFonts w:asciiTheme="majorBidi" w:eastAsiaTheme="minorHAnsi" w:hAnsiTheme="majorBidi" w:cstheme="majorBidi"/>
          <w:sz w:val="24"/>
          <w:szCs w:val="24"/>
        </w:rPr>
        <w:t>Israel's disengagement, created a new situation</w:t>
      </w:r>
      <w:r w:rsidR="00B85516">
        <w:rPr>
          <w:rFonts w:asciiTheme="majorBidi" w:eastAsiaTheme="minorHAnsi" w:hAnsiTheme="majorBidi" w:cstheme="majorBidi"/>
          <w:sz w:val="24"/>
          <w:szCs w:val="24"/>
        </w:rPr>
        <w:t>,</w:t>
      </w:r>
      <w:r w:rsidRPr="00C91224">
        <w:rPr>
          <w:rFonts w:asciiTheme="majorBidi" w:eastAsiaTheme="minorHAnsi" w:hAnsiTheme="majorBidi" w:cstheme="majorBidi"/>
          <w:sz w:val="24"/>
          <w:szCs w:val="24"/>
        </w:rPr>
        <w:t xml:space="preserve"> and</w:t>
      </w:r>
      <w:r w:rsidR="00B85516">
        <w:rPr>
          <w:rFonts w:asciiTheme="majorBidi" w:eastAsiaTheme="minorHAnsi" w:hAnsiTheme="majorBidi" w:cstheme="majorBidi"/>
          <w:sz w:val="24"/>
          <w:szCs w:val="24"/>
        </w:rPr>
        <w:t xml:space="preserve"> actually</w:t>
      </w:r>
      <w:r w:rsidRPr="00C91224">
        <w:rPr>
          <w:rFonts w:asciiTheme="majorBidi" w:eastAsiaTheme="minorHAnsi" w:hAnsiTheme="majorBidi" w:cstheme="majorBidi"/>
          <w:sz w:val="24"/>
          <w:szCs w:val="24"/>
        </w:rPr>
        <w:t xml:space="preserve"> hastened the establishment of Hamas’ control of the Gaza Strip. On January 25, 2006, Hamas won a landslide victory in the Palestinian Legislative Council elections. The Hamas victory sent shock waves through both the Palestinian community, and the international community as well. For the first time in Middle Eastern history, an overtly terrorist organization with a radical Islamic ideology took over a government by means of a democratic election. The results of the election reflected the will of many Palestinians who were fed up with the rampant corruption and lack of effectiveness of the Palestinian Authority, and sought a change</w:t>
      </w:r>
      <w:r w:rsidR="007E4E50">
        <w:rPr>
          <w:rFonts w:asciiTheme="majorBidi" w:eastAsiaTheme="minorHAnsi" w:hAnsiTheme="majorBidi" w:cstheme="majorBidi"/>
          <w:sz w:val="24"/>
          <w:szCs w:val="24"/>
        </w:rPr>
        <w:t xml:space="preserve"> which</w:t>
      </w:r>
      <w:r w:rsidRPr="00C91224">
        <w:rPr>
          <w:rFonts w:asciiTheme="majorBidi" w:eastAsiaTheme="minorHAnsi" w:hAnsiTheme="majorBidi" w:cstheme="majorBidi"/>
          <w:sz w:val="24"/>
          <w:szCs w:val="24"/>
        </w:rPr>
        <w:t xml:space="preserve"> they hoped to find with Hamas and the worldview it represented. During 2006, Hamas built up its military </w:t>
      </w:r>
      <w:r w:rsidR="002F207D" w:rsidRPr="002F207D">
        <w:rPr>
          <w:rFonts w:asciiTheme="majorBidi" w:eastAsiaTheme="minorHAnsi" w:hAnsiTheme="majorBidi" w:cstheme="majorBidi"/>
          <w:sz w:val="24"/>
          <w:szCs w:val="24"/>
        </w:rPr>
        <w:t>strength</w:t>
      </w:r>
      <w:r w:rsidRPr="00C91224">
        <w:rPr>
          <w:rFonts w:asciiTheme="majorBidi" w:eastAsiaTheme="minorHAnsi" w:hAnsiTheme="majorBidi" w:cstheme="majorBidi"/>
          <w:sz w:val="24"/>
          <w:szCs w:val="24"/>
        </w:rPr>
        <w:t xml:space="preserve"> in the Gaza Strip, rapidly establishing itself as both the central military and political power</w:t>
      </w:r>
      <w:r>
        <w:rPr>
          <w:rStyle w:val="FootnoteReference"/>
          <w:rFonts w:eastAsiaTheme="minorHAnsi"/>
        </w:rPr>
        <w:footnoteReference w:id="19"/>
      </w:r>
      <w:r>
        <w:rPr>
          <w:rFonts w:eastAsiaTheme="minorHAnsi"/>
        </w:rPr>
        <w:t xml:space="preserve">. </w:t>
      </w:r>
      <w:r w:rsidRPr="00C91224">
        <w:rPr>
          <w:rFonts w:asciiTheme="majorBidi" w:eastAsiaTheme="minorHAnsi" w:hAnsiTheme="majorBidi" w:cstheme="majorBidi"/>
          <w:sz w:val="24"/>
          <w:szCs w:val="24"/>
        </w:rPr>
        <w:t xml:space="preserve">In June 2007 the Fatah–Hamas conflict reached its height and Hamas took control over the Gaza Strip. In September 2007, due to continued terrorist attacks emanating from Gaza and targeted at </w:t>
      </w:r>
      <w:r w:rsidR="006877CC">
        <w:rPr>
          <w:rFonts w:asciiTheme="majorBidi" w:eastAsiaTheme="minorHAnsi" w:hAnsiTheme="majorBidi" w:cstheme="majorBidi"/>
          <w:sz w:val="24"/>
          <w:szCs w:val="24"/>
        </w:rPr>
        <w:t>its</w:t>
      </w:r>
      <w:r w:rsidRPr="00C91224">
        <w:rPr>
          <w:rFonts w:asciiTheme="majorBidi" w:eastAsiaTheme="minorHAnsi" w:hAnsiTheme="majorBidi" w:cstheme="majorBidi"/>
          <w:sz w:val="24"/>
          <w:szCs w:val="24"/>
        </w:rPr>
        <w:t xml:space="preserve"> civilian population, the Israeli Security Cabinet designated the Gaza Strip as a "hostile territory". While Israel remains committed to averting any humanitarian crisis, it does not feel required to provide any supplies which go beyond that</w:t>
      </w:r>
      <w:r>
        <w:rPr>
          <w:rStyle w:val="FootnoteReference"/>
          <w:rFonts w:eastAsiaTheme="minorHAnsi"/>
        </w:rPr>
        <w:footnoteReference w:id="20"/>
      </w:r>
      <w:r>
        <w:rPr>
          <w:rFonts w:eastAsiaTheme="minorHAnsi"/>
        </w:rPr>
        <w:t>.</w:t>
      </w:r>
    </w:p>
    <w:p w14:paraId="61D522AF" w14:textId="71D29988" w:rsidR="00C47693" w:rsidRDefault="00C47693" w:rsidP="00C47693">
      <w:pPr>
        <w:bidi w:val="0"/>
        <w:spacing w:line="480" w:lineRule="auto"/>
        <w:ind w:left="851"/>
        <w:jc w:val="both"/>
        <w:rPr>
          <w:rFonts w:asciiTheme="majorBidi" w:eastAsiaTheme="minorHAnsi" w:hAnsiTheme="majorBidi" w:cstheme="majorBidi"/>
          <w:sz w:val="24"/>
          <w:szCs w:val="24"/>
        </w:rPr>
      </w:pPr>
      <w:r w:rsidRPr="00C91224">
        <w:rPr>
          <w:rFonts w:asciiTheme="majorBidi" w:eastAsiaTheme="minorHAnsi" w:hAnsiTheme="majorBidi" w:cstheme="majorBidi"/>
          <w:sz w:val="24"/>
          <w:szCs w:val="24"/>
        </w:rPr>
        <w:t>Since Hamas took control over the Gaza Strip, the economic relations of</w:t>
      </w:r>
      <w:r w:rsidR="00662BAC">
        <w:rPr>
          <w:rFonts w:asciiTheme="majorBidi" w:eastAsiaTheme="minorHAnsi" w:hAnsiTheme="majorBidi" w:cstheme="majorBidi"/>
          <w:sz w:val="24"/>
          <w:szCs w:val="24"/>
        </w:rPr>
        <w:t xml:space="preserve"> the</w:t>
      </w:r>
      <w:r w:rsidRPr="00C91224">
        <w:rPr>
          <w:rFonts w:asciiTheme="majorBidi" w:eastAsiaTheme="minorHAnsi" w:hAnsiTheme="majorBidi" w:cstheme="majorBidi"/>
          <w:sz w:val="24"/>
          <w:szCs w:val="24"/>
        </w:rPr>
        <w:t xml:space="preserve"> Gaza Strip with Israel and the WB have deteriorated. </w:t>
      </w:r>
      <w:r w:rsidR="00D1187C">
        <w:rPr>
          <w:rFonts w:asciiTheme="majorBidi" w:eastAsiaTheme="minorHAnsi" w:hAnsiTheme="majorBidi" w:cstheme="majorBidi"/>
          <w:sz w:val="24"/>
          <w:szCs w:val="24"/>
        </w:rPr>
        <w:t>I</w:t>
      </w:r>
      <w:r w:rsidR="00D1187C" w:rsidRPr="00C91224">
        <w:rPr>
          <w:rFonts w:asciiTheme="majorBidi" w:eastAsiaTheme="minorHAnsi" w:hAnsiTheme="majorBidi" w:cstheme="majorBidi"/>
          <w:sz w:val="24"/>
          <w:szCs w:val="24"/>
        </w:rPr>
        <w:t>n figure</w:t>
      </w:r>
      <w:r w:rsidR="00D1187C">
        <w:rPr>
          <w:rFonts w:asciiTheme="majorBidi" w:eastAsiaTheme="minorHAnsi" w:hAnsiTheme="majorBidi" w:cstheme="majorBidi"/>
          <w:sz w:val="24"/>
          <w:szCs w:val="24"/>
        </w:rPr>
        <w:t>s</w:t>
      </w:r>
      <w:r w:rsidR="00D1187C" w:rsidRPr="00C91224">
        <w:rPr>
          <w:rFonts w:asciiTheme="majorBidi" w:eastAsiaTheme="minorHAnsi" w:hAnsiTheme="majorBidi" w:cstheme="majorBidi"/>
          <w:sz w:val="24"/>
          <w:szCs w:val="24"/>
        </w:rPr>
        <w:t xml:space="preserve"> </w:t>
      </w:r>
      <w:r w:rsidR="00D1187C">
        <w:rPr>
          <w:rFonts w:asciiTheme="majorBidi" w:eastAsiaTheme="minorHAnsi" w:hAnsiTheme="majorBidi" w:cstheme="majorBidi"/>
          <w:sz w:val="24"/>
          <w:szCs w:val="24"/>
        </w:rPr>
        <w:t>12</w:t>
      </w:r>
      <w:r w:rsidR="00D1187C" w:rsidRPr="00C91224">
        <w:rPr>
          <w:rFonts w:asciiTheme="majorBidi" w:eastAsiaTheme="minorHAnsi" w:hAnsiTheme="majorBidi" w:cstheme="majorBidi"/>
          <w:sz w:val="24"/>
          <w:szCs w:val="24"/>
        </w:rPr>
        <w:t xml:space="preserve"> and </w:t>
      </w:r>
      <w:r w:rsidR="00D1187C">
        <w:rPr>
          <w:rFonts w:asciiTheme="majorBidi" w:eastAsiaTheme="minorHAnsi" w:hAnsiTheme="majorBidi" w:cstheme="majorBidi"/>
          <w:sz w:val="24"/>
          <w:szCs w:val="24"/>
        </w:rPr>
        <w:t>13</w:t>
      </w:r>
      <w:r w:rsidR="00D1187C" w:rsidRPr="00C91224">
        <w:rPr>
          <w:rFonts w:asciiTheme="majorBidi" w:eastAsiaTheme="minorHAnsi" w:hAnsiTheme="majorBidi" w:cstheme="majorBidi"/>
          <w:sz w:val="24"/>
          <w:szCs w:val="24"/>
        </w:rPr>
        <w:t xml:space="preserve"> </w:t>
      </w:r>
      <w:r w:rsidR="00D1187C">
        <w:rPr>
          <w:rFonts w:asciiTheme="majorBidi" w:eastAsiaTheme="minorHAnsi" w:hAnsiTheme="majorBidi" w:cstheme="majorBidi"/>
          <w:sz w:val="24"/>
          <w:szCs w:val="24"/>
        </w:rPr>
        <w:t>b</w:t>
      </w:r>
      <w:r w:rsidRPr="00C91224">
        <w:rPr>
          <w:rFonts w:asciiTheme="majorBidi" w:eastAsiaTheme="minorHAnsi" w:hAnsiTheme="majorBidi" w:cstheme="majorBidi"/>
          <w:sz w:val="24"/>
          <w:szCs w:val="24"/>
        </w:rPr>
        <w:t xml:space="preserve">elow we can find the results of </w:t>
      </w:r>
      <w:r w:rsidR="00866985">
        <w:rPr>
          <w:rFonts w:asciiTheme="majorBidi" w:eastAsiaTheme="minorHAnsi" w:hAnsiTheme="majorBidi" w:cstheme="majorBidi"/>
          <w:sz w:val="24"/>
          <w:szCs w:val="24"/>
        </w:rPr>
        <w:t>this</w:t>
      </w:r>
      <w:r w:rsidRPr="00C91224">
        <w:rPr>
          <w:rFonts w:asciiTheme="majorBidi" w:eastAsiaTheme="minorHAnsi" w:hAnsiTheme="majorBidi" w:cstheme="majorBidi"/>
          <w:sz w:val="24"/>
          <w:szCs w:val="24"/>
        </w:rPr>
        <w:t xml:space="preserve"> in terms of GNI per capita</w:t>
      </w:r>
      <w:r w:rsidR="00866985">
        <w:rPr>
          <w:rFonts w:asciiTheme="majorBidi" w:eastAsiaTheme="minorHAnsi" w:hAnsiTheme="majorBidi" w:cstheme="majorBidi"/>
          <w:sz w:val="24"/>
          <w:szCs w:val="24"/>
        </w:rPr>
        <w:t>,</w:t>
      </w:r>
      <w:r w:rsidRPr="00C91224">
        <w:rPr>
          <w:rFonts w:asciiTheme="majorBidi" w:eastAsiaTheme="minorHAnsi" w:hAnsiTheme="majorBidi" w:cstheme="majorBidi"/>
          <w:sz w:val="24"/>
          <w:szCs w:val="24"/>
        </w:rPr>
        <w:t xml:space="preserve"> and unemployment rates for the WB and GS.</w:t>
      </w:r>
    </w:p>
    <w:p w14:paraId="564B9E59" w14:textId="77777777" w:rsidR="00C91224" w:rsidRDefault="00C91224" w:rsidP="00C91224">
      <w:pPr>
        <w:bidi w:val="0"/>
        <w:spacing w:line="480" w:lineRule="auto"/>
        <w:ind w:left="851"/>
        <w:jc w:val="both"/>
        <w:rPr>
          <w:rFonts w:asciiTheme="majorBidi" w:eastAsiaTheme="minorHAnsi" w:hAnsiTheme="majorBidi" w:cstheme="majorBidi"/>
          <w:sz w:val="24"/>
          <w:szCs w:val="24"/>
        </w:rPr>
      </w:pPr>
    </w:p>
    <w:p w14:paraId="4FC7101E" w14:textId="77777777" w:rsidR="00C91224" w:rsidRPr="00C91224" w:rsidRDefault="00C91224" w:rsidP="00C91224">
      <w:pPr>
        <w:bidi w:val="0"/>
        <w:spacing w:line="480" w:lineRule="auto"/>
        <w:ind w:left="851"/>
        <w:jc w:val="both"/>
        <w:rPr>
          <w:rFonts w:asciiTheme="majorBidi" w:eastAsiaTheme="minorHAnsi" w:hAnsiTheme="majorBidi" w:cstheme="majorBidi"/>
          <w:sz w:val="24"/>
          <w:szCs w:val="24"/>
        </w:rPr>
      </w:pPr>
    </w:p>
    <w:p w14:paraId="1D133068" w14:textId="77777777" w:rsidR="001F60D7" w:rsidRDefault="001F60D7" w:rsidP="000321A9">
      <w:pPr>
        <w:bidi w:val="0"/>
        <w:spacing w:line="360" w:lineRule="auto"/>
        <w:ind w:left="851"/>
        <w:jc w:val="center"/>
        <w:rPr>
          <w:rFonts w:asciiTheme="majorBidi" w:hAnsiTheme="majorBidi" w:cstheme="majorBidi"/>
          <w:b/>
          <w:bCs/>
          <w:sz w:val="24"/>
          <w:szCs w:val="24"/>
        </w:rPr>
      </w:pPr>
    </w:p>
    <w:p w14:paraId="759A0BCF" w14:textId="77777777" w:rsidR="001F60D7" w:rsidRDefault="001F60D7" w:rsidP="001F60D7">
      <w:pPr>
        <w:bidi w:val="0"/>
        <w:spacing w:line="360" w:lineRule="auto"/>
        <w:ind w:left="851"/>
        <w:jc w:val="center"/>
        <w:rPr>
          <w:rFonts w:asciiTheme="majorBidi" w:hAnsiTheme="majorBidi" w:cstheme="majorBidi"/>
          <w:b/>
          <w:bCs/>
          <w:sz w:val="24"/>
          <w:szCs w:val="24"/>
        </w:rPr>
      </w:pPr>
    </w:p>
    <w:p w14:paraId="47A79810" w14:textId="77777777" w:rsidR="001F60D7" w:rsidRDefault="001F60D7" w:rsidP="001F60D7">
      <w:pPr>
        <w:bidi w:val="0"/>
        <w:spacing w:line="360" w:lineRule="auto"/>
        <w:ind w:left="851"/>
        <w:jc w:val="center"/>
        <w:rPr>
          <w:rFonts w:asciiTheme="majorBidi" w:hAnsiTheme="majorBidi" w:cstheme="majorBidi"/>
          <w:b/>
          <w:bCs/>
          <w:sz w:val="24"/>
          <w:szCs w:val="24"/>
        </w:rPr>
      </w:pPr>
    </w:p>
    <w:p w14:paraId="1B7B94F3" w14:textId="77777777" w:rsidR="001F60D7" w:rsidRDefault="001F60D7" w:rsidP="001F60D7">
      <w:pPr>
        <w:bidi w:val="0"/>
        <w:spacing w:line="360" w:lineRule="auto"/>
        <w:ind w:left="851"/>
        <w:jc w:val="center"/>
        <w:rPr>
          <w:rFonts w:asciiTheme="majorBidi" w:hAnsiTheme="majorBidi" w:cstheme="majorBidi"/>
          <w:b/>
          <w:bCs/>
          <w:sz w:val="24"/>
          <w:szCs w:val="24"/>
        </w:rPr>
      </w:pPr>
    </w:p>
    <w:p w14:paraId="51FBFA5B" w14:textId="6F0DFE4C" w:rsidR="00C47693" w:rsidRPr="00C91224" w:rsidRDefault="001F60D7" w:rsidP="001F60D7">
      <w:pPr>
        <w:bidi w:val="0"/>
        <w:spacing w:line="360" w:lineRule="auto"/>
        <w:ind w:left="851"/>
        <w:jc w:val="center"/>
        <w:rPr>
          <w:rFonts w:asciiTheme="majorBidi" w:eastAsiaTheme="minorHAnsi" w:hAnsiTheme="majorBidi" w:cstheme="majorBidi"/>
          <w:b/>
          <w:bCs/>
          <w:sz w:val="24"/>
          <w:szCs w:val="24"/>
        </w:rPr>
      </w:pPr>
      <w:r>
        <w:rPr>
          <w:rFonts w:asciiTheme="majorBidi" w:hAnsiTheme="majorBidi" w:cstheme="majorBidi"/>
          <w:b/>
          <w:bCs/>
          <w:sz w:val="24"/>
          <w:szCs w:val="24"/>
        </w:rPr>
        <w:br/>
      </w:r>
      <w:r w:rsidR="000D564B" w:rsidRPr="000D564B">
        <w:rPr>
          <w:rFonts w:asciiTheme="majorBidi" w:hAnsiTheme="majorBidi" w:cstheme="majorBidi"/>
          <w:b/>
          <w:bCs/>
          <w:sz w:val="24"/>
          <w:szCs w:val="24"/>
        </w:rPr>
        <w:t>Figure 1</w:t>
      </w:r>
      <w:r w:rsidR="000D564B">
        <w:rPr>
          <w:rFonts w:asciiTheme="majorBidi" w:hAnsiTheme="majorBidi" w:cstheme="majorBidi"/>
          <w:b/>
          <w:bCs/>
          <w:sz w:val="24"/>
          <w:szCs w:val="24"/>
        </w:rPr>
        <w:t>2 -</w:t>
      </w:r>
      <w:r w:rsidR="000D564B" w:rsidRPr="000D564B">
        <w:rPr>
          <w:rFonts w:asciiTheme="majorBidi" w:hAnsiTheme="majorBidi" w:cstheme="majorBidi"/>
          <w:b/>
          <w:bCs/>
          <w:sz w:val="24"/>
          <w:szCs w:val="24"/>
        </w:rPr>
        <w:t xml:space="preserve"> </w:t>
      </w:r>
      <w:r w:rsidR="00C47693" w:rsidRPr="00C91224">
        <w:rPr>
          <w:rFonts w:asciiTheme="majorBidi" w:eastAsiaTheme="minorHAnsi" w:hAnsiTheme="majorBidi" w:cstheme="majorBidi"/>
          <w:b/>
          <w:bCs/>
          <w:sz w:val="24"/>
          <w:szCs w:val="24"/>
        </w:rPr>
        <w:t xml:space="preserve">GNI Per Capita at current prices by </w:t>
      </w:r>
      <w:r w:rsidR="00F94687">
        <w:rPr>
          <w:rFonts w:asciiTheme="majorBidi" w:eastAsiaTheme="minorHAnsi" w:hAnsiTheme="majorBidi" w:cstheme="majorBidi"/>
          <w:b/>
          <w:bCs/>
          <w:sz w:val="24"/>
          <w:szCs w:val="24"/>
        </w:rPr>
        <w:t xml:space="preserve">georgical </w:t>
      </w:r>
      <w:r w:rsidR="00C47693" w:rsidRPr="00C91224">
        <w:rPr>
          <w:rFonts w:asciiTheme="majorBidi" w:eastAsiaTheme="minorHAnsi" w:hAnsiTheme="majorBidi" w:cstheme="majorBidi"/>
          <w:b/>
          <w:bCs/>
          <w:sz w:val="24"/>
          <w:szCs w:val="24"/>
        </w:rPr>
        <w:t>area</w:t>
      </w:r>
    </w:p>
    <w:p w14:paraId="4AC04621" w14:textId="77777777" w:rsidR="00C47693" w:rsidRDefault="00C47693" w:rsidP="00C47693">
      <w:pPr>
        <w:bidi w:val="0"/>
        <w:spacing w:line="360" w:lineRule="auto"/>
        <w:ind w:left="851"/>
        <w:jc w:val="center"/>
        <w:rPr>
          <w:rFonts w:eastAsiaTheme="minorHAnsi"/>
        </w:rPr>
      </w:pPr>
      <w:r>
        <w:rPr>
          <w:noProof/>
        </w:rPr>
        <w:drawing>
          <wp:inline distT="0" distB="0" distL="0" distR="0" wp14:anchorId="0CBB8FA0" wp14:editId="1281A759">
            <wp:extent cx="4572000" cy="2743200"/>
            <wp:effectExtent l="0" t="0" r="0" b="0"/>
            <wp:docPr id="19" name="תרשים 19">
              <a:extLst xmlns:a="http://schemas.openxmlformats.org/drawingml/2006/main">
                <a:ext uri="{FF2B5EF4-FFF2-40B4-BE49-F238E27FC236}">
                  <a16:creationId xmlns:a16="http://schemas.microsoft.com/office/drawing/2014/main" id="{21821E05-4A55-4C68-B8CC-505425969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4F4E5B" w14:textId="77777777" w:rsidR="00C47693" w:rsidRPr="00C91224" w:rsidRDefault="00C47693" w:rsidP="00C47693">
      <w:pPr>
        <w:bidi w:val="0"/>
        <w:jc w:val="center"/>
        <w:rPr>
          <w:rFonts w:asciiTheme="majorBidi" w:eastAsiaTheme="minorHAnsi" w:hAnsiTheme="majorBidi" w:cstheme="majorBidi"/>
          <w:sz w:val="20"/>
          <w:szCs w:val="20"/>
        </w:rPr>
      </w:pPr>
      <w:r w:rsidRPr="00C91224">
        <w:rPr>
          <w:rFonts w:asciiTheme="majorBidi" w:eastAsiaTheme="minorHAnsi" w:hAnsiTheme="majorBidi" w:cstheme="majorBidi"/>
          <w:sz w:val="20"/>
          <w:szCs w:val="20"/>
        </w:rPr>
        <w:t>Source: Palestinian Central Bureau of Statistics</w:t>
      </w:r>
    </w:p>
    <w:p w14:paraId="10258F5E" w14:textId="77777777" w:rsidR="00C91224" w:rsidRDefault="00C91224" w:rsidP="00C47693">
      <w:pPr>
        <w:bidi w:val="0"/>
        <w:spacing w:line="480" w:lineRule="auto"/>
        <w:ind w:left="851"/>
        <w:jc w:val="center"/>
        <w:rPr>
          <w:rFonts w:eastAsiaTheme="minorHAnsi"/>
          <w:b/>
          <w:bCs/>
        </w:rPr>
      </w:pPr>
    </w:p>
    <w:p w14:paraId="103F7E31" w14:textId="77777777" w:rsidR="00F94687" w:rsidRPr="00C91224" w:rsidRDefault="000D564B" w:rsidP="00F94687">
      <w:pPr>
        <w:bidi w:val="0"/>
        <w:spacing w:line="360" w:lineRule="auto"/>
        <w:ind w:left="851"/>
        <w:jc w:val="center"/>
        <w:rPr>
          <w:rFonts w:asciiTheme="majorBidi" w:eastAsiaTheme="minorHAnsi" w:hAnsiTheme="majorBidi" w:cstheme="majorBidi"/>
          <w:b/>
          <w:bCs/>
          <w:sz w:val="24"/>
          <w:szCs w:val="24"/>
        </w:rPr>
      </w:pPr>
      <w:r w:rsidRPr="000D564B">
        <w:rPr>
          <w:rFonts w:asciiTheme="majorBidi" w:hAnsiTheme="majorBidi" w:cstheme="majorBidi"/>
          <w:b/>
          <w:bCs/>
          <w:sz w:val="24"/>
          <w:szCs w:val="24"/>
        </w:rPr>
        <w:t>Figure 1</w:t>
      </w:r>
      <w:r>
        <w:rPr>
          <w:rFonts w:asciiTheme="majorBidi" w:hAnsiTheme="majorBidi" w:cstheme="majorBidi"/>
          <w:b/>
          <w:bCs/>
          <w:sz w:val="24"/>
          <w:szCs w:val="24"/>
        </w:rPr>
        <w:t>3 -</w:t>
      </w:r>
      <w:r w:rsidRPr="000D564B">
        <w:rPr>
          <w:rFonts w:asciiTheme="majorBidi" w:hAnsiTheme="majorBidi" w:cstheme="majorBidi"/>
          <w:b/>
          <w:bCs/>
          <w:sz w:val="24"/>
          <w:szCs w:val="24"/>
        </w:rPr>
        <w:t xml:space="preserve"> </w:t>
      </w:r>
      <w:r w:rsidR="00C47693" w:rsidRPr="00C91224">
        <w:rPr>
          <w:rFonts w:asciiTheme="majorBidi" w:eastAsiaTheme="minorHAnsi" w:hAnsiTheme="majorBidi" w:cstheme="majorBidi"/>
          <w:b/>
          <w:bCs/>
          <w:sz w:val="24"/>
          <w:szCs w:val="24"/>
        </w:rPr>
        <w:t xml:space="preserve">Unemployment rates by </w:t>
      </w:r>
      <w:r w:rsidR="00F94687">
        <w:rPr>
          <w:rFonts w:asciiTheme="majorBidi" w:eastAsiaTheme="minorHAnsi" w:hAnsiTheme="majorBidi" w:cstheme="majorBidi"/>
          <w:b/>
          <w:bCs/>
          <w:sz w:val="24"/>
          <w:szCs w:val="24"/>
        </w:rPr>
        <w:t xml:space="preserve">georgical </w:t>
      </w:r>
      <w:r w:rsidR="00F94687" w:rsidRPr="00C91224">
        <w:rPr>
          <w:rFonts w:asciiTheme="majorBidi" w:eastAsiaTheme="minorHAnsi" w:hAnsiTheme="majorBidi" w:cstheme="majorBidi"/>
          <w:b/>
          <w:bCs/>
          <w:sz w:val="24"/>
          <w:szCs w:val="24"/>
        </w:rPr>
        <w:t>area</w:t>
      </w:r>
    </w:p>
    <w:p w14:paraId="5743CE5E" w14:textId="77777777" w:rsidR="00C47693" w:rsidRDefault="00C47693" w:rsidP="00C47693">
      <w:pPr>
        <w:bidi w:val="0"/>
        <w:spacing w:line="480" w:lineRule="auto"/>
        <w:ind w:left="851"/>
        <w:jc w:val="center"/>
        <w:rPr>
          <w:rFonts w:eastAsiaTheme="minorHAnsi"/>
        </w:rPr>
      </w:pPr>
      <w:r>
        <w:rPr>
          <w:noProof/>
        </w:rPr>
        <w:drawing>
          <wp:inline distT="0" distB="0" distL="0" distR="0" wp14:anchorId="12FDB9FB" wp14:editId="2AD491F3">
            <wp:extent cx="4320000" cy="2520000"/>
            <wp:effectExtent l="0" t="0" r="4445" b="13970"/>
            <wp:docPr id="1" name="תרשים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50D45F" w14:textId="77777777" w:rsidR="00C47693" w:rsidRPr="00C91224" w:rsidRDefault="00C47693" w:rsidP="00C47693">
      <w:pPr>
        <w:bidi w:val="0"/>
        <w:spacing w:line="480" w:lineRule="auto"/>
        <w:ind w:left="851"/>
        <w:jc w:val="center"/>
        <w:rPr>
          <w:rFonts w:asciiTheme="majorBidi" w:eastAsiaTheme="minorHAnsi" w:hAnsiTheme="majorBidi" w:cstheme="majorBidi"/>
          <w:sz w:val="20"/>
          <w:szCs w:val="20"/>
        </w:rPr>
      </w:pPr>
      <w:r w:rsidRPr="00C91224">
        <w:rPr>
          <w:rFonts w:asciiTheme="majorBidi" w:eastAsiaTheme="minorHAnsi" w:hAnsiTheme="majorBidi" w:cstheme="majorBidi"/>
          <w:sz w:val="20"/>
          <w:szCs w:val="20"/>
        </w:rPr>
        <w:t>Source: Palestine monetary authority</w:t>
      </w:r>
    </w:p>
    <w:p w14:paraId="3AF033C1" w14:textId="1A5635CC" w:rsidR="00C47693" w:rsidRPr="00C91224" w:rsidRDefault="00C47693" w:rsidP="00C47693">
      <w:pPr>
        <w:bidi w:val="0"/>
        <w:spacing w:line="480" w:lineRule="auto"/>
        <w:ind w:left="851"/>
        <w:jc w:val="both"/>
        <w:rPr>
          <w:rFonts w:asciiTheme="majorBidi" w:eastAsiaTheme="minorHAnsi" w:hAnsiTheme="majorBidi" w:cstheme="majorBidi"/>
          <w:sz w:val="24"/>
          <w:szCs w:val="24"/>
        </w:rPr>
      </w:pPr>
      <w:r w:rsidRPr="00C91224">
        <w:rPr>
          <w:rFonts w:asciiTheme="majorBidi" w:eastAsiaTheme="minorHAnsi" w:hAnsiTheme="majorBidi" w:cstheme="majorBidi"/>
          <w:sz w:val="24"/>
          <w:szCs w:val="24"/>
        </w:rPr>
        <w:t>Through the years, violence continued to reflect the situation</w:t>
      </w:r>
      <w:r w:rsidRPr="00C91224">
        <w:rPr>
          <w:rFonts w:asciiTheme="majorBidi" w:eastAsiaTheme="minorHAnsi" w:hAnsiTheme="majorBidi" w:cstheme="majorBidi"/>
          <w:sz w:val="24"/>
          <w:szCs w:val="24"/>
          <w:rtl/>
        </w:rPr>
        <w:t xml:space="preserve"> </w:t>
      </w:r>
      <w:r w:rsidRPr="00C91224">
        <w:rPr>
          <w:rFonts w:asciiTheme="majorBidi" w:eastAsiaTheme="minorHAnsi" w:hAnsiTheme="majorBidi" w:cstheme="majorBidi"/>
          <w:sz w:val="24"/>
          <w:szCs w:val="24"/>
        </w:rPr>
        <w:t xml:space="preserve">in the region, mainly in </w:t>
      </w:r>
      <w:r w:rsidR="00383427">
        <w:rPr>
          <w:rFonts w:asciiTheme="majorBidi" w:eastAsiaTheme="minorHAnsi" w:hAnsiTheme="majorBidi" w:cstheme="majorBidi"/>
          <w:sz w:val="24"/>
          <w:szCs w:val="24"/>
        </w:rPr>
        <w:t xml:space="preserve">the </w:t>
      </w:r>
      <w:r w:rsidRPr="00C91224">
        <w:rPr>
          <w:rFonts w:asciiTheme="majorBidi" w:eastAsiaTheme="minorHAnsi" w:hAnsiTheme="majorBidi" w:cstheme="majorBidi"/>
          <w:sz w:val="24"/>
          <w:szCs w:val="24"/>
        </w:rPr>
        <w:t>Gaza Strip:</w:t>
      </w:r>
    </w:p>
    <w:p w14:paraId="2BFE3487" w14:textId="77777777" w:rsidR="00C47693" w:rsidRPr="00C91224" w:rsidRDefault="00C47693" w:rsidP="00C47693">
      <w:pPr>
        <w:pStyle w:val="ListParagraph"/>
        <w:numPr>
          <w:ilvl w:val="0"/>
          <w:numId w:val="5"/>
        </w:numPr>
        <w:bidi w:val="0"/>
        <w:spacing w:line="480" w:lineRule="auto"/>
        <w:jc w:val="both"/>
        <w:rPr>
          <w:rFonts w:asciiTheme="majorBidi" w:eastAsiaTheme="minorHAnsi" w:hAnsiTheme="majorBidi" w:cstheme="majorBidi"/>
          <w:sz w:val="24"/>
          <w:szCs w:val="24"/>
        </w:rPr>
      </w:pPr>
      <w:r w:rsidRPr="00C91224">
        <w:rPr>
          <w:rFonts w:asciiTheme="majorBidi" w:eastAsiaTheme="minorHAnsi" w:hAnsiTheme="majorBidi" w:cstheme="majorBidi"/>
          <w:sz w:val="24"/>
          <w:szCs w:val="24"/>
        </w:rPr>
        <w:t>In December 2008, due to continuing rocket fire from the Gaza Strip on towns and villages in the Israeli south, Israel launched Operation Cast Lead</w:t>
      </w:r>
      <w:r>
        <w:rPr>
          <w:rStyle w:val="FootnoteReference"/>
          <w:rFonts w:ascii="Arial" w:hAnsi="Arial"/>
          <w:color w:val="404040"/>
          <w:sz w:val="21"/>
          <w:szCs w:val="21"/>
        </w:rPr>
        <w:footnoteReference w:id="21"/>
      </w:r>
      <w:r>
        <w:rPr>
          <w:rFonts w:ascii="Arial" w:hAnsi="Arial"/>
          <w:color w:val="404040"/>
          <w:sz w:val="21"/>
          <w:szCs w:val="21"/>
        </w:rPr>
        <w:t xml:space="preserve">, </w:t>
      </w:r>
      <w:r w:rsidRPr="00C91224">
        <w:rPr>
          <w:rFonts w:asciiTheme="majorBidi" w:eastAsiaTheme="minorHAnsi" w:hAnsiTheme="majorBidi" w:cstheme="majorBidi"/>
          <w:sz w:val="24"/>
          <w:szCs w:val="24"/>
        </w:rPr>
        <w:t>during which the IDF</w:t>
      </w:r>
      <w:r w:rsidRPr="00C91224">
        <w:rPr>
          <w:rFonts w:asciiTheme="majorBidi" w:hAnsiTheme="majorBidi" w:cstheme="majorBidi"/>
          <w:color w:val="404040"/>
        </w:rPr>
        <w:t xml:space="preserve"> </w:t>
      </w:r>
      <w:r w:rsidRPr="00C91224">
        <w:rPr>
          <w:rFonts w:asciiTheme="majorBidi" w:eastAsiaTheme="minorHAnsi" w:hAnsiTheme="majorBidi" w:cstheme="majorBidi"/>
          <w:sz w:val="24"/>
          <w:szCs w:val="24"/>
        </w:rPr>
        <w:t>endeavored to destroy terrorist infrastructures in the Gaza Strip, in particular rocket launching capabilities.</w:t>
      </w:r>
    </w:p>
    <w:p w14:paraId="5231E879" w14:textId="1C4FDFF6" w:rsidR="00C47693" w:rsidRPr="00C91224" w:rsidRDefault="00C47693" w:rsidP="00C47693">
      <w:pPr>
        <w:pStyle w:val="ListParagraph"/>
        <w:numPr>
          <w:ilvl w:val="0"/>
          <w:numId w:val="5"/>
        </w:numPr>
        <w:bidi w:val="0"/>
        <w:spacing w:line="480" w:lineRule="auto"/>
        <w:jc w:val="both"/>
        <w:rPr>
          <w:rFonts w:asciiTheme="majorBidi" w:eastAsiaTheme="minorHAnsi" w:hAnsiTheme="majorBidi" w:cstheme="majorBidi"/>
          <w:sz w:val="24"/>
          <w:szCs w:val="24"/>
        </w:rPr>
      </w:pPr>
      <w:r w:rsidRPr="00C91224">
        <w:rPr>
          <w:rFonts w:asciiTheme="majorBidi" w:eastAsiaTheme="minorHAnsi" w:hAnsiTheme="majorBidi" w:cstheme="majorBidi"/>
          <w:sz w:val="24"/>
          <w:szCs w:val="24"/>
        </w:rPr>
        <w:t>In November 2012, the IDF launched Operation Pillar of Defense</w:t>
      </w:r>
      <w:r>
        <w:rPr>
          <w:rStyle w:val="FootnoteReference"/>
          <w:rFonts w:eastAsiaTheme="minorHAnsi"/>
        </w:rPr>
        <w:footnoteReference w:id="22"/>
      </w:r>
      <w:r>
        <w:rPr>
          <w:rFonts w:eastAsiaTheme="minorHAnsi"/>
        </w:rPr>
        <w:t xml:space="preserve"> </w:t>
      </w:r>
      <w:r w:rsidRPr="00C91224">
        <w:rPr>
          <w:rFonts w:asciiTheme="majorBidi" w:eastAsiaTheme="minorHAnsi" w:hAnsiTheme="majorBidi" w:cstheme="majorBidi"/>
          <w:sz w:val="24"/>
          <w:szCs w:val="24"/>
        </w:rPr>
        <w:t xml:space="preserve">against terrorist organizations in the Gaza Strip, with the objective of reducing the number of rocket attacks </w:t>
      </w:r>
      <w:r w:rsidR="00383427">
        <w:rPr>
          <w:rFonts w:asciiTheme="majorBidi" w:eastAsiaTheme="minorHAnsi" w:hAnsiTheme="majorBidi" w:cstheme="majorBidi"/>
          <w:sz w:val="24"/>
          <w:szCs w:val="24"/>
        </w:rPr>
        <w:t xml:space="preserve">directed </w:t>
      </w:r>
      <w:r w:rsidRPr="00C91224">
        <w:rPr>
          <w:rFonts w:asciiTheme="majorBidi" w:eastAsiaTheme="minorHAnsi" w:hAnsiTheme="majorBidi" w:cstheme="majorBidi"/>
          <w:sz w:val="24"/>
          <w:szCs w:val="24"/>
        </w:rPr>
        <w:t>at Israeli civilians.</w:t>
      </w:r>
    </w:p>
    <w:p w14:paraId="5FB04418" w14:textId="5EF90CF7" w:rsidR="00C47693" w:rsidRPr="00C91224" w:rsidRDefault="00C47693" w:rsidP="00C47693">
      <w:pPr>
        <w:pStyle w:val="ListParagraph"/>
        <w:numPr>
          <w:ilvl w:val="0"/>
          <w:numId w:val="5"/>
        </w:numPr>
        <w:bidi w:val="0"/>
        <w:spacing w:line="480" w:lineRule="auto"/>
        <w:jc w:val="both"/>
        <w:rPr>
          <w:rFonts w:asciiTheme="majorBidi" w:eastAsiaTheme="minorHAnsi" w:hAnsiTheme="majorBidi" w:cstheme="majorBidi"/>
          <w:sz w:val="24"/>
          <w:szCs w:val="24"/>
        </w:rPr>
      </w:pPr>
      <w:r w:rsidRPr="00C91224">
        <w:rPr>
          <w:rFonts w:asciiTheme="majorBidi" w:eastAsiaTheme="minorHAnsi" w:hAnsiTheme="majorBidi" w:cstheme="majorBidi"/>
          <w:sz w:val="24"/>
          <w:szCs w:val="24"/>
        </w:rPr>
        <w:t>In July 2014, Israel launched “Operation Protective Edge</w:t>
      </w:r>
      <w:r w:rsidRPr="00C91224">
        <w:rPr>
          <w:rFonts w:asciiTheme="majorBidi" w:eastAsiaTheme="minorHAnsi" w:hAnsiTheme="majorBidi" w:cstheme="majorBidi"/>
          <w:sz w:val="24"/>
          <w:szCs w:val="24"/>
          <w:rtl/>
        </w:rPr>
        <w:t xml:space="preserve">״ </w:t>
      </w:r>
      <w:r w:rsidRPr="00C91224">
        <w:rPr>
          <w:rFonts w:asciiTheme="majorBidi" w:eastAsiaTheme="minorHAnsi" w:hAnsiTheme="majorBidi" w:cstheme="majorBidi"/>
          <w:sz w:val="24"/>
          <w:szCs w:val="24"/>
        </w:rPr>
        <w:t>in the Gaza Strip</w:t>
      </w:r>
      <w:r w:rsidRPr="00C91224">
        <w:rPr>
          <w:rStyle w:val="FootnoteReference"/>
          <w:rFonts w:asciiTheme="majorBidi" w:eastAsiaTheme="minorHAnsi" w:hAnsiTheme="majorBidi" w:cstheme="majorBidi"/>
          <w:sz w:val="24"/>
          <w:szCs w:val="24"/>
        </w:rPr>
        <w:footnoteReference w:id="23"/>
      </w:r>
      <w:r w:rsidRPr="00C91224">
        <w:rPr>
          <w:rFonts w:asciiTheme="majorBidi" w:eastAsiaTheme="minorHAnsi" w:hAnsiTheme="majorBidi" w:cstheme="majorBidi"/>
          <w:sz w:val="24"/>
          <w:szCs w:val="24"/>
        </w:rPr>
        <w:t>, in response to increasing rocket and mortar fire on Israel from the Gaza Strip. Furthermore, ground forces entered</w:t>
      </w:r>
      <w:r w:rsidR="008265C6">
        <w:rPr>
          <w:rFonts w:asciiTheme="majorBidi" w:eastAsiaTheme="minorHAnsi" w:hAnsiTheme="majorBidi" w:cstheme="majorBidi"/>
          <w:sz w:val="24"/>
          <w:szCs w:val="24"/>
        </w:rPr>
        <w:t xml:space="preserve"> the</w:t>
      </w:r>
      <w:r w:rsidRPr="00C91224">
        <w:rPr>
          <w:rFonts w:asciiTheme="majorBidi" w:eastAsiaTheme="minorHAnsi" w:hAnsiTheme="majorBidi" w:cstheme="majorBidi"/>
          <w:sz w:val="24"/>
          <w:szCs w:val="24"/>
        </w:rPr>
        <w:t xml:space="preserve"> Gaza Strip to identify and neutralize the cross-border assault tunnels, which originated from the outskirts of the urban areas of the Gaza Strip.</w:t>
      </w:r>
    </w:p>
    <w:p w14:paraId="08313A45" w14:textId="11E4F839" w:rsidR="00C47693" w:rsidRPr="00C91224" w:rsidRDefault="008265C6" w:rsidP="00C47693">
      <w:pPr>
        <w:pStyle w:val="ListParagraph"/>
        <w:numPr>
          <w:ilvl w:val="0"/>
          <w:numId w:val="5"/>
        </w:numPr>
        <w:bidi w:val="0"/>
        <w:spacing w:line="480" w:lineRule="auto"/>
        <w:jc w:val="both"/>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The </w:t>
      </w:r>
      <w:r w:rsidR="00C47693" w:rsidRPr="00C91224">
        <w:rPr>
          <w:rFonts w:asciiTheme="majorBidi" w:eastAsiaTheme="minorHAnsi" w:hAnsiTheme="majorBidi" w:cstheme="majorBidi"/>
          <w:sz w:val="24"/>
          <w:szCs w:val="24"/>
        </w:rPr>
        <w:t>2015–2016 wave of violence called the </w:t>
      </w:r>
      <w:r w:rsidR="00C47693" w:rsidRPr="00C91224">
        <w:rPr>
          <w:rFonts w:asciiTheme="majorBidi" w:hAnsiTheme="majorBidi" w:cstheme="majorBidi"/>
          <w:sz w:val="24"/>
          <w:szCs w:val="24"/>
        </w:rPr>
        <w:t>"Intifada of the Individuals" beg</w:t>
      </w:r>
      <w:r w:rsidR="008E76E2">
        <w:rPr>
          <w:rFonts w:asciiTheme="majorBidi" w:hAnsiTheme="majorBidi" w:cstheme="majorBidi"/>
          <w:sz w:val="24"/>
          <w:szCs w:val="24"/>
        </w:rPr>
        <w:t>a</w:t>
      </w:r>
      <w:r w:rsidR="00C47693" w:rsidRPr="00C91224">
        <w:rPr>
          <w:rFonts w:asciiTheme="majorBidi" w:hAnsiTheme="majorBidi" w:cstheme="majorBidi"/>
          <w:sz w:val="24"/>
          <w:szCs w:val="24"/>
        </w:rPr>
        <w:t>n as s</w:t>
      </w:r>
      <w:r w:rsidR="00C47693" w:rsidRPr="00C91224">
        <w:rPr>
          <w:rFonts w:asciiTheme="majorBidi" w:eastAsiaTheme="minorHAnsi" w:hAnsiTheme="majorBidi" w:cstheme="majorBidi"/>
          <w:sz w:val="24"/>
          <w:szCs w:val="24"/>
        </w:rPr>
        <w:t xml:space="preserve">uspicion spread among Palestinians that Israel was attempting to change the status quo of the </w:t>
      </w:r>
      <w:r w:rsidR="008E76E2">
        <w:rPr>
          <w:rFonts w:asciiTheme="majorBidi" w:eastAsiaTheme="minorHAnsi" w:hAnsiTheme="majorBidi" w:cstheme="majorBidi"/>
          <w:sz w:val="24"/>
          <w:szCs w:val="24"/>
        </w:rPr>
        <w:t xml:space="preserve">Temple </w:t>
      </w:r>
      <w:r w:rsidR="00C47693" w:rsidRPr="00C91224">
        <w:rPr>
          <w:rFonts w:asciiTheme="majorBidi" w:eastAsiaTheme="minorHAnsi" w:hAnsiTheme="majorBidi" w:cstheme="majorBidi"/>
          <w:sz w:val="24"/>
          <w:szCs w:val="24"/>
        </w:rPr>
        <w:t>Mount</w:t>
      </w:r>
      <w:r w:rsidR="008E76E2">
        <w:rPr>
          <w:rFonts w:asciiTheme="majorBidi" w:eastAsiaTheme="minorHAnsi" w:hAnsiTheme="majorBidi" w:cstheme="majorBidi"/>
          <w:sz w:val="24"/>
          <w:szCs w:val="24"/>
        </w:rPr>
        <w:t xml:space="preserve"> in Jerusalem</w:t>
      </w:r>
      <w:r w:rsidR="00C47693" w:rsidRPr="00C91224">
        <w:rPr>
          <w:rFonts w:asciiTheme="majorBidi" w:eastAsiaTheme="minorHAnsi" w:hAnsiTheme="majorBidi" w:cstheme="majorBidi"/>
          <w:sz w:val="24"/>
          <w:szCs w:val="24"/>
        </w:rPr>
        <w:t xml:space="preserve"> by imposing age and gender restrictions on Muslim access</w:t>
      </w:r>
      <w:r w:rsidR="00370AC6">
        <w:rPr>
          <w:rFonts w:asciiTheme="majorBidi" w:eastAsiaTheme="minorHAnsi" w:hAnsiTheme="majorBidi" w:cstheme="majorBidi"/>
          <w:sz w:val="24"/>
          <w:szCs w:val="24"/>
        </w:rPr>
        <w:t>,</w:t>
      </w:r>
      <w:r w:rsidR="00C47693" w:rsidRPr="00C91224">
        <w:rPr>
          <w:rFonts w:asciiTheme="majorBidi" w:eastAsiaTheme="minorHAnsi" w:hAnsiTheme="majorBidi" w:cstheme="majorBidi"/>
          <w:sz w:val="24"/>
          <w:szCs w:val="24"/>
        </w:rPr>
        <w:t xml:space="preserve"> while allowing entry to larger groups of Jewish activists. During the events, Palestinians from the West Bank and East Jerusalem carried out assaults against Israeli soldiers, </w:t>
      </w:r>
      <w:r w:rsidR="00370AC6" w:rsidRPr="00C91224">
        <w:rPr>
          <w:rFonts w:asciiTheme="majorBidi" w:eastAsiaTheme="minorHAnsi" w:hAnsiTheme="majorBidi" w:cstheme="majorBidi"/>
          <w:sz w:val="24"/>
          <w:szCs w:val="24"/>
        </w:rPr>
        <w:t>policemen</w:t>
      </w:r>
      <w:r w:rsidR="00C47693" w:rsidRPr="00C91224">
        <w:rPr>
          <w:rFonts w:asciiTheme="majorBidi" w:eastAsiaTheme="minorHAnsi" w:hAnsiTheme="majorBidi" w:cstheme="majorBidi"/>
          <w:sz w:val="24"/>
          <w:szCs w:val="24"/>
        </w:rPr>
        <w:t xml:space="preserve"> as well as against civilians.</w:t>
      </w:r>
    </w:p>
    <w:p w14:paraId="63950B9B" w14:textId="230E20B8" w:rsidR="00C47693" w:rsidRPr="00C91224" w:rsidRDefault="00D45B97" w:rsidP="00C47693">
      <w:pPr>
        <w:pStyle w:val="ListParagraph"/>
        <w:numPr>
          <w:ilvl w:val="0"/>
          <w:numId w:val="5"/>
        </w:numPr>
        <w:bidi w:val="0"/>
        <w:spacing w:line="480" w:lineRule="auto"/>
        <w:jc w:val="both"/>
        <w:rPr>
          <w:rFonts w:asciiTheme="majorBidi" w:eastAsiaTheme="minorHAnsi" w:hAnsiTheme="majorBidi" w:cstheme="majorBidi"/>
          <w:sz w:val="24"/>
          <w:szCs w:val="24"/>
        </w:rPr>
      </w:pPr>
      <w:r>
        <w:rPr>
          <w:rFonts w:asciiTheme="majorBidi" w:hAnsiTheme="majorBidi" w:cstheme="majorBidi"/>
          <w:color w:val="202122"/>
          <w:sz w:val="24"/>
          <w:szCs w:val="24"/>
          <w:shd w:val="clear" w:color="auto" w:fill="FFFFFF"/>
        </w:rPr>
        <w:t xml:space="preserve">Between </w:t>
      </w:r>
      <w:r w:rsidR="00C47693" w:rsidRPr="00C91224">
        <w:rPr>
          <w:rFonts w:asciiTheme="majorBidi" w:hAnsiTheme="majorBidi" w:cstheme="majorBidi"/>
          <w:color w:val="202122"/>
          <w:sz w:val="24"/>
          <w:szCs w:val="24"/>
          <w:shd w:val="clear" w:color="auto" w:fill="FFFFFF"/>
        </w:rPr>
        <w:t>March 2018</w:t>
      </w:r>
      <w:r w:rsidR="00C47693" w:rsidRPr="00C91224">
        <w:rPr>
          <w:rFonts w:asciiTheme="majorBidi" w:eastAsiaTheme="minorHAnsi" w:hAnsiTheme="majorBidi" w:cstheme="majorBidi"/>
          <w:sz w:val="24"/>
          <w:szCs w:val="24"/>
        </w:rPr>
        <w:t xml:space="preserve"> </w:t>
      </w:r>
      <w:r>
        <w:rPr>
          <w:rFonts w:asciiTheme="majorBidi" w:eastAsiaTheme="minorHAnsi" w:hAnsiTheme="majorBidi" w:cstheme="majorBidi"/>
          <w:sz w:val="24"/>
          <w:szCs w:val="24"/>
        </w:rPr>
        <w:t>and</w:t>
      </w:r>
      <w:r w:rsidR="00C47693" w:rsidRPr="00C91224">
        <w:rPr>
          <w:rFonts w:asciiTheme="majorBidi" w:eastAsiaTheme="minorHAnsi" w:hAnsiTheme="majorBidi" w:cstheme="majorBidi"/>
          <w:sz w:val="24"/>
          <w:szCs w:val="24"/>
        </w:rPr>
        <w:t xml:space="preserve"> </w:t>
      </w:r>
      <w:r w:rsidR="00C47693" w:rsidRPr="00C91224">
        <w:rPr>
          <w:rFonts w:asciiTheme="majorBidi" w:hAnsiTheme="majorBidi" w:cstheme="majorBidi"/>
          <w:color w:val="202122"/>
          <w:sz w:val="24"/>
          <w:szCs w:val="24"/>
          <w:shd w:val="clear" w:color="auto" w:fill="FFFFFF"/>
        </w:rPr>
        <w:t xml:space="preserve">December 2019 - </w:t>
      </w:r>
      <w:r w:rsidR="00C47693" w:rsidRPr="00C91224">
        <w:rPr>
          <w:rFonts w:asciiTheme="majorBidi" w:eastAsiaTheme="minorHAnsi" w:hAnsiTheme="majorBidi" w:cstheme="majorBidi"/>
          <w:sz w:val="24"/>
          <w:szCs w:val="24"/>
        </w:rPr>
        <w:t xml:space="preserve">Hamas instigated a campaign that was billed as a peaceful civilian protest but was actually an excuse for violent riots on the Gaza Strip-Israeli border. In addition, kites and helium balloons with incendiary material attached </w:t>
      </w:r>
      <w:r w:rsidR="00234D9E">
        <w:rPr>
          <w:rFonts w:asciiTheme="majorBidi" w:eastAsiaTheme="minorHAnsi" w:hAnsiTheme="majorBidi" w:cstheme="majorBidi"/>
          <w:sz w:val="24"/>
          <w:szCs w:val="24"/>
        </w:rPr>
        <w:t>were</w:t>
      </w:r>
      <w:r w:rsidR="00C47693" w:rsidRPr="00C91224">
        <w:rPr>
          <w:rFonts w:asciiTheme="majorBidi" w:eastAsiaTheme="minorHAnsi" w:hAnsiTheme="majorBidi" w:cstheme="majorBidi"/>
          <w:sz w:val="24"/>
          <w:szCs w:val="24"/>
        </w:rPr>
        <w:t xml:space="preserve"> launched from the Gaza Strip to the Israeli side. The resulting fires destroyed thousands of acres of forests and agricultural land, with a huge cost to farmers and to the entire ecosystem of the western Negev​. During this same period, rocket launches from the Gaza Strip also increased. </w:t>
      </w:r>
    </w:p>
    <w:p w14:paraId="67EB2F65" w14:textId="7FD7078E" w:rsidR="00C47693" w:rsidRPr="00C91224" w:rsidRDefault="00C47693" w:rsidP="00C47693">
      <w:pPr>
        <w:pStyle w:val="ListParagraph"/>
        <w:numPr>
          <w:ilvl w:val="0"/>
          <w:numId w:val="5"/>
        </w:numPr>
        <w:bidi w:val="0"/>
        <w:spacing w:line="480" w:lineRule="auto"/>
        <w:jc w:val="both"/>
        <w:rPr>
          <w:rFonts w:asciiTheme="majorBidi" w:eastAsiaTheme="minorHAnsi" w:hAnsiTheme="majorBidi" w:cstheme="majorBidi"/>
          <w:sz w:val="24"/>
          <w:szCs w:val="24"/>
        </w:rPr>
      </w:pPr>
      <w:r w:rsidRPr="00C91224">
        <w:rPr>
          <w:rFonts w:asciiTheme="majorBidi" w:eastAsiaTheme="minorHAnsi" w:hAnsiTheme="majorBidi" w:cstheme="majorBidi"/>
          <w:sz w:val="24"/>
          <w:szCs w:val="24"/>
        </w:rPr>
        <w:t>In May 2021, operation Guardian of the Walls</w:t>
      </w:r>
      <w:r>
        <w:rPr>
          <w:rStyle w:val="FootnoteReference"/>
          <w:rFonts w:eastAsiaTheme="minorHAnsi"/>
        </w:rPr>
        <w:footnoteReference w:id="24"/>
      </w:r>
      <w:r>
        <w:rPr>
          <w:rFonts w:eastAsiaTheme="minorHAnsi"/>
        </w:rPr>
        <w:t xml:space="preserve"> </w:t>
      </w:r>
      <w:r w:rsidRPr="00C91224">
        <w:rPr>
          <w:rFonts w:asciiTheme="majorBidi" w:eastAsiaTheme="minorHAnsi" w:hAnsiTheme="majorBidi" w:cstheme="majorBidi"/>
          <w:sz w:val="24"/>
          <w:szCs w:val="24"/>
        </w:rPr>
        <w:t>was launched after rockets</w:t>
      </w:r>
      <w:r w:rsidR="00B276D4">
        <w:rPr>
          <w:rFonts w:asciiTheme="majorBidi" w:eastAsiaTheme="minorHAnsi" w:hAnsiTheme="majorBidi" w:cstheme="majorBidi"/>
          <w:sz w:val="24"/>
          <w:szCs w:val="24"/>
        </w:rPr>
        <w:t xml:space="preserve"> were</w:t>
      </w:r>
      <w:r w:rsidRPr="00C91224">
        <w:rPr>
          <w:rFonts w:asciiTheme="majorBidi" w:eastAsiaTheme="minorHAnsi" w:hAnsiTheme="majorBidi" w:cstheme="majorBidi"/>
          <w:sz w:val="24"/>
          <w:szCs w:val="24"/>
        </w:rPr>
        <w:t xml:space="preserve"> fired toward Jerusalem, by terror organizations in the Gaza Strip, and later </w:t>
      </w:r>
      <w:r w:rsidR="008B393E">
        <w:rPr>
          <w:rFonts w:asciiTheme="majorBidi" w:eastAsiaTheme="minorHAnsi" w:hAnsiTheme="majorBidi" w:cstheme="majorBidi"/>
          <w:sz w:val="24"/>
          <w:szCs w:val="24"/>
        </w:rPr>
        <w:t>Israel was attacked</w:t>
      </w:r>
      <w:r w:rsidR="00C31701">
        <w:rPr>
          <w:rFonts w:asciiTheme="majorBidi" w:eastAsiaTheme="minorHAnsi" w:hAnsiTheme="majorBidi" w:cstheme="majorBidi"/>
          <w:sz w:val="24"/>
          <w:szCs w:val="24"/>
        </w:rPr>
        <w:t xml:space="preserve"> by</w:t>
      </w:r>
      <w:r w:rsidRPr="00C91224">
        <w:rPr>
          <w:rFonts w:asciiTheme="majorBidi" w:eastAsiaTheme="minorHAnsi" w:hAnsiTheme="majorBidi" w:cstheme="majorBidi"/>
          <w:sz w:val="24"/>
          <w:szCs w:val="24"/>
        </w:rPr>
        <w:t xml:space="preserve"> fired thousands of rockets. In response to these attacks, the IDF struck </w:t>
      </w:r>
      <w:r w:rsidR="006B271B">
        <w:rPr>
          <w:rFonts w:asciiTheme="majorBidi" w:eastAsiaTheme="minorHAnsi" w:hAnsiTheme="majorBidi" w:cstheme="majorBidi"/>
          <w:sz w:val="24"/>
          <w:szCs w:val="24"/>
        </w:rPr>
        <w:t xml:space="preserve">at Hamas </w:t>
      </w:r>
      <w:r w:rsidRPr="00C91224">
        <w:rPr>
          <w:rFonts w:asciiTheme="majorBidi" w:eastAsiaTheme="minorHAnsi" w:hAnsiTheme="majorBidi" w:cstheme="majorBidi"/>
          <w:sz w:val="24"/>
          <w:szCs w:val="24"/>
        </w:rPr>
        <w:t>terror</w:t>
      </w:r>
      <w:r w:rsidR="00B968D0">
        <w:rPr>
          <w:rFonts w:asciiTheme="majorBidi" w:eastAsiaTheme="minorHAnsi" w:hAnsiTheme="majorBidi" w:cstheme="majorBidi"/>
          <w:sz w:val="24"/>
          <w:szCs w:val="24"/>
        </w:rPr>
        <w:t>ist</w:t>
      </w:r>
      <w:r w:rsidRPr="00C91224">
        <w:rPr>
          <w:rFonts w:asciiTheme="majorBidi" w:eastAsiaTheme="minorHAnsi" w:hAnsiTheme="majorBidi" w:cstheme="majorBidi"/>
          <w:sz w:val="24"/>
          <w:szCs w:val="24"/>
        </w:rPr>
        <w:t xml:space="preserve"> targets</w:t>
      </w:r>
      <w:r w:rsidR="00907920">
        <w:rPr>
          <w:rFonts w:asciiTheme="majorBidi" w:eastAsiaTheme="minorHAnsi" w:hAnsiTheme="majorBidi" w:cstheme="majorBidi"/>
          <w:sz w:val="24"/>
          <w:szCs w:val="24"/>
        </w:rPr>
        <w:t xml:space="preserve"> in Gaza</w:t>
      </w:r>
      <w:r w:rsidR="00460BB1">
        <w:rPr>
          <w:rFonts w:asciiTheme="majorBidi" w:eastAsiaTheme="minorHAnsi" w:hAnsiTheme="majorBidi" w:cstheme="majorBidi"/>
          <w:sz w:val="24"/>
          <w:szCs w:val="24"/>
        </w:rPr>
        <w:t>.</w:t>
      </w:r>
      <w:r w:rsidRPr="00C91224">
        <w:rPr>
          <w:rFonts w:asciiTheme="majorBidi" w:eastAsiaTheme="minorHAnsi" w:hAnsiTheme="majorBidi" w:cstheme="majorBidi"/>
          <w:sz w:val="24"/>
          <w:szCs w:val="24"/>
        </w:rPr>
        <w:t xml:space="preserve"> </w:t>
      </w:r>
      <w:r w:rsidR="00460BB1">
        <w:rPr>
          <w:rFonts w:asciiTheme="majorBidi" w:eastAsiaTheme="minorHAnsi" w:hAnsiTheme="majorBidi" w:cstheme="majorBidi"/>
          <w:sz w:val="24"/>
          <w:szCs w:val="24"/>
        </w:rPr>
        <w:t>A</w:t>
      </w:r>
      <w:r w:rsidRPr="00C91224">
        <w:rPr>
          <w:rFonts w:asciiTheme="majorBidi" w:eastAsiaTheme="minorHAnsi" w:hAnsiTheme="majorBidi" w:cstheme="majorBidi"/>
          <w:sz w:val="24"/>
          <w:szCs w:val="24"/>
        </w:rPr>
        <w:t>mong these targets, the IDF struck many kilometers of Hamas’ extensive tunnel system.</w:t>
      </w:r>
    </w:p>
    <w:p w14:paraId="448619B9" w14:textId="77777777" w:rsidR="00C47693" w:rsidRPr="00C91224" w:rsidRDefault="00C47693" w:rsidP="00C47693">
      <w:pPr>
        <w:pStyle w:val="ListParagraph"/>
        <w:numPr>
          <w:ilvl w:val="1"/>
          <w:numId w:val="4"/>
        </w:numPr>
        <w:autoSpaceDE w:val="0"/>
        <w:autoSpaceDN w:val="0"/>
        <w:bidi w:val="0"/>
        <w:adjustRightInd w:val="0"/>
        <w:spacing w:after="240" w:line="360" w:lineRule="auto"/>
        <w:jc w:val="both"/>
        <w:rPr>
          <w:rFonts w:asciiTheme="majorBidi" w:eastAsiaTheme="minorHAnsi" w:hAnsiTheme="majorBidi" w:cstheme="majorBidi"/>
          <w:b/>
          <w:bCs/>
          <w:sz w:val="24"/>
          <w:szCs w:val="24"/>
          <w:rtl/>
        </w:rPr>
      </w:pPr>
      <w:r w:rsidRPr="00C91224">
        <w:rPr>
          <w:rFonts w:asciiTheme="majorBidi" w:eastAsiaTheme="minorHAnsi" w:hAnsiTheme="majorBidi" w:cstheme="majorBidi"/>
          <w:b/>
          <w:bCs/>
          <w:sz w:val="24"/>
          <w:szCs w:val="24"/>
        </w:rPr>
        <w:t xml:space="preserve">Recent years </w:t>
      </w:r>
    </w:p>
    <w:p w14:paraId="6795947D" w14:textId="4F82B21B" w:rsidR="00C47693" w:rsidRPr="00C91224" w:rsidRDefault="00C47693" w:rsidP="00C47693">
      <w:pPr>
        <w:pStyle w:val="ListParagraph"/>
        <w:bidi w:val="0"/>
        <w:spacing w:line="480" w:lineRule="auto"/>
        <w:ind w:left="851"/>
        <w:jc w:val="both"/>
        <w:rPr>
          <w:rFonts w:asciiTheme="majorBidi" w:eastAsiaTheme="minorHAnsi" w:hAnsiTheme="majorBidi" w:cstheme="majorBidi"/>
          <w:sz w:val="24"/>
          <w:szCs w:val="24"/>
          <w:rtl/>
        </w:rPr>
      </w:pPr>
      <w:r w:rsidRPr="00C91224">
        <w:rPr>
          <w:rFonts w:asciiTheme="majorBidi" w:eastAsiaTheme="minorHAnsi" w:hAnsiTheme="majorBidi" w:cstheme="majorBidi"/>
          <w:sz w:val="24"/>
          <w:szCs w:val="24"/>
        </w:rPr>
        <w:t xml:space="preserve">Recent years </w:t>
      </w:r>
      <w:r w:rsidR="00D10FB1">
        <w:rPr>
          <w:rFonts w:asciiTheme="majorBidi" w:eastAsiaTheme="minorHAnsi" w:hAnsiTheme="majorBidi" w:cstheme="majorBidi"/>
          <w:sz w:val="24"/>
          <w:szCs w:val="24"/>
        </w:rPr>
        <w:t>have been</w:t>
      </w:r>
      <w:r w:rsidRPr="00C91224">
        <w:rPr>
          <w:rFonts w:asciiTheme="majorBidi" w:eastAsiaTheme="minorHAnsi" w:hAnsiTheme="majorBidi" w:cstheme="majorBidi"/>
          <w:sz w:val="24"/>
          <w:szCs w:val="24"/>
        </w:rPr>
        <w:t xml:space="preserve"> characterized by </w:t>
      </w:r>
      <w:r w:rsidR="00D10FB1">
        <w:rPr>
          <w:rFonts w:asciiTheme="majorBidi" w:eastAsiaTheme="minorHAnsi" w:hAnsiTheme="majorBidi" w:cstheme="majorBidi"/>
          <w:sz w:val="24"/>
          <w:szCs w:val="24"/>
        </w:rPr>
        <w:t xml:space="preserve">a </w:t>
      </w:r>
      <w:r w:rsidRPr="00C91224">
        <w:rPr>
          <w:rFonts w:asciiTheme="majorBidi" w:eastAsiaTheme="minorHAnsi" w:hAnsiTheme="majorBidi" w:cstheme="majorBidi"/>
          <w:sz w:val="24"/>
          <w:szCs w:val="24"/>
        </w:rPr>
        <w:t xml:space="preserve">lack of progress in the political </w:t>
      </w:r>
      <w:r w:rsidR="00D10FB1">
        <w:rPr>
          <w:rFonts w:asciiTheme="majorBidi" w:eastAsiaTheme="minorHAnsi" w:hAnsiTheme="majorBidi" w:cstheme="majorBidi"/>
          <w:sz w:val="24"/>
          <w:szCs w:val="24"/>
        </w:rPr>
        <w:t xml:space="preserve">ND peace </w:t>
      </w:r>
      <w:r w:rsidRPr="00C91224">
        <w:rPr>
          <w:rFonts w:asciiTheme="majorBidi" w:eastAsiaTheme="minorHAnsi" w:hAnsiTheme="majorBidi" w:cstheme="majorBidi"/>
          <w:sz w:val="24"/>
          <w:szCs w:val="24"/>
        </w:rPr>
        <w:t xml:space="preserve">process. </w:t>
      </w:r>
      <w:r w:rsidR="00EE0EC7" w:rsidRPr="00C91224">
        <w:rPr>
          <w:rFonts w:asciiTheme="majorBidi" w:eastAsiaTheme="minorHAnsi" w:hAnsiTheme="majorBidi" w:cstheme="majorBidi"/>
          <w:sz w:val="24"/>
          <w:szCs w:val="24"/>
        </w:rPr>
        <w:t>Therefore, the</w:t>
      </w:r>
      <w:r w:rsidRPr="00C91224">
        <w:rPr>
          <w:rFonts w:asciiTheme="majorBidi" w:eastAsiaTheme="minorHAnsi" w:hAnsiTheme="majorBidi" w:cstheme="majorBidi"/>
          <w:sz w:val="24"/>
          <w:szCs w:val="24"/>
        </w:rPr>
        <w:t xml:space="preserve"> Palestinian Authority</w:t>
      </w:r>
      <w:r w:rsidR="006258FA">
        <w:rPr>
          <w:rFonts w:asciiTheme="majorBidi" w:eastAsiaTheme="minorHAnsi" w:hAnsiTheme="majorBidi" w:cstheme="majorBidi"/>
          <w:sz w:val="24"/>
          <w:szCs w:val="24"/>
        </w:rPr>
        <w:t xml:space="preserve"> started</w:t>
      </w:r>
      <w:r w:rsidRPr="00C91224">
        <w:rPr>
          <w:rFonts w:asciiTheme="majorBidi" w:eastAsiaTheme="minorHAnsi" w:hAnsiTheme="majorBidi" w:cstheme="majorBidi"/>
          <w:sz w:val="24"/>
          <w:szCs w:val="24"/>
        </w:rPr>
        <w:t xml:space="preserve"> exploring steps and policies to reduce </w:t>
      </w:r>
      <w:r w:rsidR="006258FA">
        <w:rPr>
          <w:rFonts w:asciiTheme="majorBidi" w:eastAsiaTheme="minorHAnsi" w:hAnsiTheme="majorBidi" w:cstheme="majorBidi"/>
          <w:sz w:val="24"/>
          <w:szCs w:val="24"/>
        </w:rPr>
        <w:t>its</w:t>
      </w:r>
      <w:r w:rsidRPr="00C91224">
        <w:rPr>
          <w:rFonts w:asciiTheme="majorBidi" w:eastAsiaTheme="minorHAnsi" w:hAnsiTheme="majorBidi" w:cstheme="majorBidi"/>
          <w:sz w:val="24"/>
          <w:szCs w:val="24"/>
        </w:rPr>
        <w:t xml:space="preserve"> significant dependence on Israel.</w:t>
      </w:r>
    </w:p>
    <w:p w14:paraId="706E67C8" w14:textId="0815CE0E" w:rsidR="00C47693" w:rsidRPr="00C91224" w:rsidRDefault="00C47693" w:rsidP="00C47693">
      <w:pPr>
        <w:pStyle w:val="ListParagraph"/>
        <w:bidi w:val="0"/>
        <w:spacing w:line="480" w:lineRule="auto"/>
        <w:ind w:left="851"/>
        <w:jc w:val="both"/>
        <w:rPr>
          <w:rFonts w:asciiTheme="majorBidi" w:eastAsiaTheme="minorHAnsi" w:hAnsiTheme="majorBidi" w:cstheme="majorBidi"/>
          <w:sz w:val="24"/>
          <w:szCs w:val="24"/>
        </w:rPr>
      </w:pPr>
      <w:r w:rsidRPr="00C91224">
        <w:rPr>
          <w:rFonts w:asciiTheme="majorBidi" w:eastAsiaTheme="minorHAnsi" w:hAnsiTheme="majorBidi" w:cstheme="majorBidi"/>
          <w:sz w:val="24"/>
          <w:szCs w:val="24"/>
        </w:rPr>
        <w:t xml:space="preserve">In February 2018, the PA decided to establish a government committee that would prepare operative action plans for the separation of the PA from Israel on all levels, including the economic agreements and the Paris Protocol. The PA statement said that, among other things, the possibility of stopping the use of the NIS and issuing an independent Palestinian currency or using another currency </w:t>
      </w:r>
      <w:r w:rsidR="00A060B6">
        <w:rPr>
          <w:rFonts w:asciiTheme="majorBidi" w:eastAsiaTheme="minorHAnsi" w:hAnsiTheme="majorBidi" w:cstheme="majorBidi"/>
          <w:sz w:val="24"/>
          <w:szCs w:val="24"/>
        </w:rPr>
        <w:t>was</w:t>
      </w:r>
      <w:r w:rsidRPr="00C91224">
        <w:rPr>
          <w:rFonts w:asciiTheme="majorBidi" w:eastAsiaTheme="minorHAnsi" w:hAnsiTheme="majorBidi" w:cstheme="majorBidi"/>
          <w:sz w:val="24"/>
          <w:szCs w:val="24"/>
        </w:rPr>
        <w:t xml:space="preserve"> being examined.</w:t>
      </w:r>
    </w:p>
    <w:p w14:paraId="569064D5" w14:textId="59A069D4" w:rsidR="00C47693" w:rsidRDefault="00C47693" w:rsidP="00C47693">
      <w:pPr>
        <w:pStyle w:val="ListParagraph"/>
        <w:bidi w:val="0"/>
        <w:spacing w:line="480" w:lineRule="auto"/>
        <w:ind w:left="851"/>
        <w:jc w:val="both"/>
        <w:rPr>
          <w:rFonts w:eastAsiaTheme="minorHAnsi"/>
        </w:rPr>
      </w:pPr>
      <w:r w:rsidRPr="00C91224">
        <w:rPr>
          <w:rFonts w:asciiTheme="majorBidi" w:eastAsiaTheme="minorHAnsi" w:hAnsiTheme="majorBidi" w:cstheme="majorBidi"/>
          <w:sz w:val="24"/>
          <w:szCs w:val="24"/>
        </w:rPr>
        <w:t>Beyond the</w:t>
      </w:r>
      <w:r w:rsidR="00A060B6">
        <w:rPr>
          <w:rFonts w:asciiTheme="majorBidi" w:eastAsiaTheme="minorHAnsi" w:hAnsiTheme="majorBidi" w:cstheme="majorBidi"/>
          <w:sz w:val="24"/>
          <w:szCs w:val="24"/>
        </w:rPr>
        <w:t>se</w:t>
      </w:r>
      <w:r w:rsidRPr="00C91224">
        <w:rPr>
          <w:rFonts w:asciiTheme="majorBidi" w:eastAsiaTheme="minorHAnsi" w:hAnsiTheme="majorBidi" w:cstheme="majorBidi"/>
          <w:sz w:val="24"/>
          <w:szCs w:val="24"/>
        </w:rPr>
        <w:t xml:space="preserve"> statements, the Palestinians resented the practical significance of the Paris Protocol and the need to obtain Israeli approval for any significant economic move by the PA, which prevent</w:t>
      </w:r>
      <w:r w:rsidR="00A060B6">
        <w:rPr>
          <w:rFonts w:asciiTheme="majorBidi" w:eastAsiaTheme="minorHAnsi" w:hAnsiTheme="majorBidi" w:cstheme="majorBidi"/>
          <w:sz w:val="24"/>
          <w:szCs w:val="24"/>
        </w:rPr>
        <w:t>ed</w:t>
      </w:r>
      <w:r w:rsidRPr="00C91224">
        <w:rPr>
          <w:rFonts w:asciiTheme="majorBidi" w:eastAsiaTheme="minorHAnsi" w:hAnsiTheme="majorBidi" w:cstheme="majorBidi"/>
          <w:sz w:val="24"/>
          <w:szCs w:val="24"/>
        </w:rPr>
        <w:t xml:space="preserve"> the growth of the Palestinian economy. Later on, there was another announcement, that it decided to end its commitment to agreements signed with Israel and withdrew its recognition of Israel until it recognized a Palestinian state. </w:t>
      </w:r>
      <w:r w:rsidR="00ED2447">
        <w:rPr>
          <w:rFonts w:asciiTheme="majorBidi" w:eastAsiaTheme="minorHAnsi" w:hAnsiTheme="majorBidi" w:cstheme="majorBidi"/>
          <w:sz w:val="24"/>
          <w:szCs w:val="24"/>
        </w:rPr>
        <w:t>subsequently</w:t>
      </w:r>
      <w:r w:rsidRPr="00C91224">
        <w:rPr>
          <w:rFonts w:asciiTheme="majorBidi" w:eastAsiaTheme="minorHAnsi" w:hAnsiTheme="majorBidi" w:cstheme="majorBidi"/>
          <w:sz w:val="24"/>
          <w:szCs w:val="24"/>
        </w:rPr>
        <w:t>, the PA established another committee to discuss the final situation and relations with Israel, the United States and Hamas. In</w:t>
      </w:r>
      <w:r w:rsidRPr="00C91224">
        <w:rPr>
          <w:rFonts w:eastAsiaTheme="minorHAnsi"/>
          <w:sz w:val="24"/>
          <w:szCs w:val="24"/>
        </w:rPr>
        <w:t xml:space="preserve"> </w:t>
      </w:r>
      <w:r w:rsidRPr="00C91224">
        <w:rPr>
          <w:rFonts w:asciiTheme="majorBidi" w:eastAsiaTheme="minorHAnsi" w:hAnsiTheme="majorBidi" w:cstheme="majorBidi"/>
          <w:sz w:val="24"/>
          <w:szCs w:val="24"/>
        </w:rPr>
        <w:t>2019</w:t>
      </w:r>
      <w:r w:rsidR="00B518FB">
        <w:rPr>
          <w:rFonts w:asciiTheme="majorBidi" w:eastAsiaTheme="minorHAnsi" w:hAnsiTheme="majorBidi" w:cstheme="majorBidi"/>
          <w:sz w:val="24"/>
          <w:szCs w:val="24"/>
        </w:rPr>
        <w:t>,</w:t>
      </w:r>
      <w:r w:rsidRPr="00C91224">
        <w:rPr>
          <w:rFonts w:asciiTheme="majorBidi" w:eastAsiaTheme="minorHAnsi" w:hAnsiTheme="majorBidi" w:cstheme="majorBidi"/>
          <w:sz w:val="24"/>
          <w:szCs w:val="24"/>
        </w:rPr>
        <w:t xml:space="preserve"> Israel agree</w:t>
      </w:r>
      <w:r w:rsidR="00716E38">
        <w:rPr>
          <w:rFonts w:asciiTheme="majorBidi" w:eastAsiaTheme="minorHAnsi" w:hAnsiTheme="majorBidi" w:cstheme="majorBidi"/>
          <w:sz w:val="24"/>
          <w:szCs w:val="24"/>
        </w:rPr>
        <w:t>d</w:t>
      </w:r>
      <w:r w:rsidRPr="00C91224">
        <w:rPr>
          <w:rFonts w:asciiTheme="majorBidi" w:eastAsiaTheme="minorHAnsi" w:hAnsiTheme="majorBidi" w:cstheme="majorBidi"/>
          <w:sz w:val="24"/>
          <w:szCs w:val="24"/>
        </w:rPr>
        <w:t xml:space="preserve"> to re-examine economic agreements with the Palestinian Authority, and to open </w:t>
      </w:r>
      <w:r w:rsidR="00AA450D">
        <w:rPr>
          <w:rFonts w:asciiTheme="majorBidi" w:eastAsiaTheme="minorHAnsi" w:hAnsiTheme="majorBidi" w:cstheme="majorBidi"/>
          <w:sz w:val="24"/>
          <w:szCs w:val="24"/>
        </w:rPr>
        <w:t xml:space="preserve">the </w:t>
      </w:r>
      <w:r w:rsidRPr="00C91224">
        <w:rPr>
          <w:rFonts w:asciiTheme="majorBidi" w:eastAsiaTheme="minorHAnsi" w:hAnsiTheme="majorBidi" w:cstheme="majorBidi"/>
          <w:sz w:val="24"/>
          <w:szCs w:val="24"/>
        </w:rPr>
        <w:t>Paris Protocol and update it</w:t>
      </w:r>
      <w:r>
        <w:rPr>
          <w:rStyle w:val="FootnoteReference"/>
          <w:rFonts w:eastAsiaTheme="minorHAnsi"/>
        </w:rPr>
        <w:footnoteReference w:id="25"/>
      </w:r>
      <w:r>
        <w:rPr>
          <w:rFonts w:eastAsiaTheme="minorHAnsi"/>
        </w:rPr>
        <w:t xml:space="preserve">. </w:t>
      </w:r>
    </w:p>
    <w:p w14:paraId="7C791EE9" w14:textId="6B3F98FB" w:rsidR="00C47693" w:rsidRPr="00C91224" w:rsidRDefault="00C47693" w:rsidP="00C47693">
      <w:pPr>
        <w:pStyle w:val="ListParagraph"/>
        <w:bidi w:val="0"/>
        <w:spacing w:line="480" w:lineRule="auto"/>
        <w:ind w:left="851"/>
        <w:jc w:val="both"/>
        <w:rPr>
          <w:rFonts w:asciiTheme="majorBidi" w:eastAsiaTheme="minorHAnsi" w:hAnsiTheme="majorBidi" w:cstheme="majorBidi"/>
          <w:sz w:val="24"/>
          <w:szCs w:val="24"/>
        </w:rPr>
      </w:pPr>
      <w:r w:rsidRPr="00C91224">
        <w:rPr>
          <w:rFonts w:asciiTheme="majorBidi" w:eastAsiaTheme="minorHAnsi" w:hAnsiTheme="majorBidi" w:cstheme="majorBidi"/>
          <w:sz w:val="24"/>
          <w:szCs w:val="24"/>
        </w:rPr>
        <w:t xml:space="preserve">In the years 2019-2020, as an act of protest, the Palestinian Authority refused to receive </w:t>
      </w:r>
      <w:r w:rsidR="00E925C0">
        <w:rPr>
          <w:rFonts w:asciiTheme="majorBidi" w:eastAsiaTheme="minorHAnsi" w:hAnsiTheme="majorBidi" w:cstheme="majorBidi"/>
          <w:sz w:val="24"/>
          <w:szCs w:val="24"/>
        </w:rPr>
        <w:t>clearance</w:t>
      </w:r>
      <w:r w:rsidRPr="00C91224">
        <w:rPr>
          <w:rFonts w:asciiTheme="majorBidi" w:eastAsiaTheme="minorHAnsi" w:hAnsiTheme="majorBidi" w:cstheme="majorBidi"/>
          <w:sz w:val="24"/>
          <w:szCs w:val="24"/>
        </w:rPr>
        <w:t xml:space="preserve"> revenues from Israel, after Israel implemented a law requiring the deduction and freezing of a sum equal to the amount paid by the PA to Palestinians detained in Israel (including prisoners convicted of bombing</w:t>
      </w:r>
      <w:r w:rsidR="006E0142">
        <w:rPr>
          <w:rFonts w:asciiTheme="majorBidi" w:eastAsiaTheme="minorHAnsi" w:hAnsiTheme="majorBidi" w:cstheme="majorBidi"/>
          <w:sz w:val="24"/>
          <w:szCs w:val="24"/>
        </w:rPr>
        <w:t>s</w:t>
      </w:r>
      <w:r w:rsidRPr="00C91224">
        <w:rPr>
          <w:rFonts w:asciiTheme="majorBidi" w:eastAsiaTheme="minorHAnsi" w:hAnsiTheme="majorBidi" w:cstheme="majorBidi"/>
          <w:sz w:val="24"/>
          <w:szCs w:val="24"/>
        </w:rPr>
        <w:t xml:space="preserve"> and murder)</w:t>
      </w:r>
      <w:r w:rsidR="006E0142">
        <w:rPr>
          <w:rFonts w:asciiTheme="majorBidi" w:eastAsiaTheme="minorHAnsi" w:hAnsiTheme="majorBidi" w:cstheme="majorBidi"/>
          <w:sz w:val="24"/>
          <w:szCs w:val="24"/>
        </w:rPr>
        <w:t>,</w:t>
      </w:r>
      <w:r w:rsidRPr="00C91224">
        <w:rPr>
          <w:rFonts w:asciiTheme="majorBidi" w:eastAsiaTheme="minorHAnsi" w:hAnsiTheme="majorBidi" w:cstheme="majorBidi"/>
          <w:sz w:val="24"/>
          <w:szCs w:val="24"/>
        </w:rPr>
        <w:t xml:space="preserve"> as well as to their families and to released </w:t>
      </w:r>
      <w:r w:rsidRPr="00794799">
        <w:rPr>
          <w:rFonts w:asciiTheme="majorBidi" w:eastAsiaTheme="minorHAnsi" w:hAnsiTheme="majorBidi" w:cstheme="majorBidi"/>
          <w:sz w:val="24"/>
          <w:szCs w:val="24"/>
        </w:rPr>
        <w:t>prisoners</w:t>
      </w:r>
      <w:r w:rsidR="00794799">
        <w:rPr>
          <w:rFonts w:asciiTheme="majorBidi" w:eastAsiaTheme="minorHAnsi" w:hAnsiTheme="majorBidi" w:cstheme="majorBidi"/>
          <w:sz w:val="24"/>
          <w:szCs w:val="24"/>
        </w:rPr>
        <w:t>. This continued</w:t>
      </w:r>
      <w:r w:rsidRPr="00C91224">
        <w:rPr>
          <w:rFonts w:asciiTheme="majorBidi" w:eastAsiaTheme="minorHAnsi" w:hAnsiTheme="majorBidi" w:cstheme="majorBidi"/>
          <w:sz w:val="24"/>
          <w:szCs w:val="24"/>
        </w:rPr>
        <w:t xml:space="preserve"> in 2020, as part of its decision to suspend coordination with Israel in protest after an Israeli announcement of intention to annex large areas in the West Bank. Although these issues were eventually resolved, they had an impact on the Palestinian economy and impaired the Palestinian Authority's ability to function, as a significant percentage of the PA's revenues were damaged over a long period of time which trigge</w:t>
      </w:r>
      <w:r w:rsidR="00D11476">
        <w:rPr>
          <w:rFonts w:asciiTheme="majorBidi" w:eastAsiaTheme="minorHAnsi" w:hAnsiTheme="majorBidi" w:cstheme="majorBidi"/>
          <w:sz w:val="24"/>
          <w:szCs w:val="24"/>
        </w:rPr>
        <w:t>ring</w:t>
      </w:r>
      <w:r w:rsidRPr="00C91224">
        <w:rPr>
          <w:rFonts w:asciiTheme="majorBidi" w:eastAsiaTheme="minorHAnsi" w:hAnsiTheme="majorBidi" w:cstheme="majorBidi"/>
          <w:sz w:val="24"/>
          <w:szCs w:val="24"/>
        </w:rPr>
        <w:t xml:space="preserve"> a reduction in the activity, salary cuts and additional funding from banks at the expense of the private sector.</w:t>
      </w:r>
    </w:p>
    <w:p w14:paraId="4DA3C130" w14:textId="4505820F" w:rsidR="00C47693" w:rsidRPr="00C91224" w:rsidRDefault="00C47693" w:rsidP="00C47693">
      <w:pPr>
        <w:bidi w:val="0"/>
        <w:spacing w:line="480" w:lineRule="auto"/>
        <w:ind w:left="851"/>
        <w:jc w:val="both"/>
        <w:rPr>
          <w:rFonts w:asciiTheme="majorBidi" w:eastAsiaTheme="minorHAnsi" w:hAnsiTheme="majorBidi" w:cstheme="majorBidi"/>
          <w:sz w:val="24"/>
          <w:szCs w:val="24"/>
        </w:rPr>
      </w:pPr>
      <w:r w:rsidRPr="00C91224">
        <w:rPr>
          <w:rFonts w:asciiTheme="majorBidi" w:eastAsiaTheme="minorHAnsi" w:hAnsiTheme="majorBidi" w:cstheme="majorBidi"/>
          <w:sz w:val="24"/>
          <w:szCs w:val="24"/>
        </w:rPr>
        <w:t>Another event worth noting is a trade war between Israel and PA that beg</w:t>
      </w:r>
      <w:r w:rsidR="00233CE0">
        <w:rPr>
          <w:rFonts w:asciiTheme="majorBidi" w:eastAsiaTheme="minorHAnsi" w:hAnsiTheme="majorBidi" w:cstheme="majorBidi"/>
          <w:sz w:val="24"/>
          <w:szCs w:val="24"/>
        </w:rPr>
        <w:t>a</w:t>
      </w:r>
      <w:r w:rsidRPr="00C91224">
        <w:rPr>
          <w:rFonts w:asciiTheme="majorBidi" w:eastAsiaTheme="minorHAnsi" w:hAnsiTheme="majorBidi" w:cstheme="majorBidi"/>
          <w:sz w:val="24"/>
          <w:szCs w:val="24"/>
        </w:rPr>
        <w:t>n in 2019</w:t>
      </w:r>
      <w:r w:rsidR="00233CE0">
        <w:rPr>
          <w:rFonts w:asciiTheme="majorBidi" w:eastAsiaTheme="minorHAnsi" w:hAnsiTheme="majorBidi" w:cstheme="majorBidi"/>
          <w:sz w:val="24"/>
          <w:szCs w:val="24"/>
        </w:rPr>
        <w:t>,</w:t>
      </w:r>
      <w:r w:rsidRPr="00C91224">
        <w:rPr>
          <w:rFonts w:asciiTheme="majorBidi" w:eastAsiaTheme="minorHAnsi" w:hAnsiTheme="majorBidi" w:cstheme="majorBidi"/>
          <w:sz w:val="24"/>
          <w:szCs w:val="24"/>
        </w:rPr>
        <w:t xml:space="preserve"> when the PA decided to stop the </w:t>
      </w:r>
      <w:r w:rsidRPr="00C91224">
        <w:rPr>
          <w:rFonts w:asciiTheme="majorBidi" w:hAnsiTheme="majorBidi" w:cstheme="majorBidi"/>
          <w:sz w:val="24"/>
          <w:szCs w:val="24"/>
        </w:rPr>
        <w:t xml:space="preserve">import of calves from Israel as part of an attempt to reduce the PA’s economic dependence on Israel (accounting for </w:t>
      </w:r>
      <w:r w:rsidRPr="00C91224">
        <w:rPr>
          <w:rFonts w:asciiTheme="majorBidi" w:eastAsiaTheme="minorHAnsi" w:hAnsiTheme="majorBidi" w:cstheme="majorBidi"/>
          <w:sz w:val="24"/>
          <w:szCs w:val="24"/>
        </w:rPr>
        <w:t>about 60 percent of meat consumption in the PA territories). Israel reacted with sanctions against the PA, including revoking the trade credentials of Palestinian businessmen, and barred the Palestinians from importing calves from any other source, and blocking of all West Bank agricultural goods.</w:t>
      </w:r>
    </w:p>
    <w:p w14:paraId="1E3721AF" w14:textId="6CB3197E" w:rsidR="00C47693" w:rsidRPr="00917760" w:rsidRDefault="00C47693" w:rsidP="00C47693">
      <w:pPr>
        <w:bidi w:val="0"/>
        <w:spacing w:line="480" w:lineRule="auto"/>
        <w:ind w:left="851"/>
        <w:jc w:val="both"/>
        <w:rPr>
          <w:rFonts w:eastAsiaTheme="minorHAnsi"/>
        </w:rPr>
      </w:pPr>
      <w:r w:rsidRPr="00C91224">
        <w:rPr>
          <w:rFonts w:asciiTheme="majorBidi" w:eastAsiaTheme="minorHAnsi" w:hAnsiTheme="majorBidi" w:cstheme="majorBidi"/>
          <w:sz w:val="24"/>
          <w:szCs w:val="24"/>
        </w:rPr>
        <w:t xml:space="preserve">On the other hand, </w:t>
      </w:r>
      <w:r w:rsidR="00DC5779">
        <w:rPr>
          <w:rFonts w:asciiTheme="majorBidi" w:eastAsiaTheme="minorHAnsi" w:hAnsiTheme="majorBidi" w:cstheme="majorBidi"/>
          <w:sz w:val="24"/>
          <w:szCs w:val="24"/>
        </w:rPr>
        <w:t>in</w:t>
      </w:r>
      <w:r w:rsidRPr="00C91224">
        <w:rPr>
          <w:rFonts w:asciiTheme="majorBidi" w:eastAsiaTheme="minorHAnsi" w:hAnsiTheme="majorBidi" w:cstheme="majorBidi"/>
          <w:sz w:val="24"/>
          <w:szCs w:val="24"/>
        </w:rPr>
        <w:t xml:space="preserve"> November 2021 Israel approved</w:t>
      </w:r>
      <w:r w:rsidR="00906582">
        <w:rPr>
          <w:rFonts w:asciiTheme="majorBidi" w:eastAsiaTheme="minorHAnsi" w:hAnsiTheme="majorBidi" w:cstheme="majorBidi"/>
          <w:sz w:val="24"/>
          <w:szCs w:val="24"/>
        </w:rPr>
        <w:t>,</w:t>
      </w:r>
      <w:r w:rsidRPr="00C91224">
        <w:rPr>
          <w:rFonts w:asciiTheme="majorBidi" w:eastAsiaTheme="minorHAnsi" w:hAnsiTheme="majorBidi" w:cstheme="majorBidi"/>
          <w:sz w:val="24"/>
          <w:szCs w:val="24"/>
        </w:rPr>
        <w:t xml:space="preserve"> for the </w:t>
      </w:r>
      <w:r w:rsidR="00D00459" w:rsidRPr="00C91224">
        <w:rPr>
          <w:rFonts w:asciiTheme="majorBidi" w:eastAsiaTheme="minorHAnsi" w:hAnsiTheme="majorBidi" w:cstheme="majorBidi"/>
          <w:sz w:val="24"/>
          <w:szCs w:val="24"/>
        </w:rPr>
        <w:t>first-time</w:t>
      </w:r>
      <w:r w:rsidR="00906582">
        <w:rPr>
          <w:rFonts w:asciiTheme="majorBidi" w:eastAsiaTheme="minorHAnsi" w:hAnsiTheme="majorBidi" w:cstheme="majorBidi"/>
          <w:sz w:val="24"/>
          <w:szCs w:val="24"/>
        </w:rPr>
        <w:t xml:space="preserve"> a</w:t>
      </w:r>
      <w:r w:rsidRPr="00C91224">
        <w:rPr>
          <w:rFonts w:asciiTheme="majorBidi" w:eastAsiaTheme="minorHAnsi" w:hAnsiTheme="majorBidi" w:cstheme="majorBidi"/>
          <w:sz w:val="24"/>
          <w:szCs w:val="24"/>
        </w:rPr>
        <w:t xml:space="preserve"> quota of tech work permits for WB Palestinians</w:t>
      </w:r>
      <w:r>
        <w:rPr>
          <w:rStyle w:val="FootnoteReference"/>
          <w:rFonts w:eastAsiaTheme="minorHAnsi"/>
        </w:rPr>
        <w:footnoteReference w:id="26"/>
      </w:r>
      <w:r w:rsidR="00906582">
        <w:rPr>
          <w:rFonts w:asciiTheme="majorBidi" w:eastAsiaTheme="minorHAnsi" w:hAnsiTheme="majorBidi" w:cstheme="majorBidi"/>
          <w:sz w:val="24"/>
          <w:szCs w:val="24"/>
        </w:rPr>
        <w:t>,</w:t>
      </w:r>
      <w:r>
        <w:rPr>
          <w:rFonts w:eastAsiaTheme="minorHAnsi"/>
        </w:rPr>
        <w:t xml:space="preserve"> </w:t>
      </w:r>
      <w:r w:rsidRPr="00C91224">
        <w:rPr>
          <w:rFonts w:asciiTheme="majorBidi" w:eastAsiaTheme="minorHAnsi" w:hAnsiTheme="majorBidi" w:cstheme="majorBidi"/>
          <w:sz w:val="24"/>
          <w:szCs w:val="24"/>
        </w:rPr>
        <w:t>and grant</w:t>
      </w:r>
      <w:r w:rsidR="00906582">
        <w:rPr>
          <w:rFonts w:asciiTheme="majorBidi" w:eastAsiaTheme="minorHAnsi" w:hAnsiTheme="majorBidi" w:cstheme="majorBidi"/>
          <w:sz w:val="24"/>
          <w:szCs w:val="24"/>
        </w:rPr>
        <w:t>ed</w:t>
      </w:r>
      <w:r w:rsidRPr="00C91224">
        <w:rPr>
          <w:rFonts w:asciiTheme="majorBidi" w:eastAsiaTheme="minorHAnsi" w:hAnsiTheme="majorBidi" w:cstheme="majorBidi"/>
          <w:sz w:val="24"/>
          <w:szCs w:val="24"/>
        </w:rPr>
        <w:t xml:space="preserve"> the Israeli Standards Mark, for the first time, to four Palestinian factories from the West bank. The </w:t>
      </w:r>
      <w:r w:rsidR="00951C73">
        <w:rPr>
          <w:rFonts w:asciiTheme="majorBidi" w:eastAsiaTheme="minorHAnsi" w:hAnsiTheme="majorBidi" w:cstheme="majorBidi"/>
          <w:sz w:val="24"/>
          <w:szCs w:val="24"/>
        </w:rPr>
        <w:t>S</w:t>
      </w:r>
      <w:r w:rsidRPr="00C91224">
        <w:rPr>
          <w:rFonts w:asciiTheme="majorBidi" w:eastAsiaTheme="minorHAnsi" w:hAnsiTheme="majorBidi" w:cstheme="majorBidi"/>
          <w:sz w:val="24"/>
          <w:szCs w:val="24"/>
        </w:rPr>
        <w:t xml:space="preserve">tandards </w:t>
      </w:r>
      <w:r w:rsidR="00951C73">
        <w:rPr>
          <w:rFonts w:asciiTheme="majorBidi" w:eastAsiaTheme="minorHAnsi" w:hAnsiTheme="majorBidi" w:cstheme="majorBidi"/>
          <w:sz w:val="24"/>
          <w:szCs w:val="24"/>
        </w:rPr>
        <w:t>M</w:t>
      </w:r>
      <w:r w:rsidRPr="00C91224">
        <w:rPr>
          <w:rFonts w:asciiTheme="majorBidi" w:eastAsiaTheme="minorHAnsi" w:hAnsiTheme="majorBidi" w:cstheme="majorBidi"/>
          <w:sz w:val="24"/>
          <w:szCs w:val="24"/>
        </w:rPr>
        <w:t>ark will enable the Palestinian factories to sell their products in Israeli markets and in the European marketplace</w:t>
      </w:r>
      <w:r>
        <w:rPr>
          <w:rStyle w:val="FootnoteReference"/>
          <w:rFonts w:eastAsiaTheme="minorHAnsi"/>
        </w:rPr>
        <w:footnoteReference w:id="27"/>
      </w:r>
      <w:r>
        <w:rPr>
          <w:rFonts w:eastAsiaTheme="minorHAnsi"/>
        </w:rPr>
        <w:t>.</w:t>
      </w:r>
    </w:p>
    <w:p w14:paraId="4FA4313E" w14:textId="62A7020D" w:rsidR="00C47693" w:rsidRPr="00D46C56" w:rsidRDefault="00C47693" w:rsidP="00D46C56">
      <w:pPr>
        <w:bidi w:val="0"/>
        <w:spacing w:line="480" w:lineRule="auto"/>
        <w:ind w:left="851"/>
        <w:jc w:val="both"/>
        <w:rPr>
          <w:rFonts w:asciiTheme="majorBidi" w:eastAsiaTheme="minorHAnsi" w:hAnsiTheme="majorBidi" w:cstheme="majorBidi"/>
          <w:sz w:val="24"/>
          <w:szCs w:val="24"/>
        </w:rPr>
      </w:pPr>
      <w:r w:rsidRPr="00C91224">
        <w:rPr>
          <w:rFonts w:asciiTheme="majorBidi" w:eastAsiaTheme="minorHAnsi" w:hAnsiTheme="majorBidi" w:cstheme="majorBidi"/>
          <w:sz w:val="24"/>
          <w:szCs w:val="24"/>
        </w:rPr>
        <w:t xml:space="preserve">Regarding relations with Gaza Strip, the political situation created by Hamas makes it difficult to create a process for economic rehabilitation and development. While long term projects are hard to </w:t>
      </w:r>
      <w:r w:rsidR="003D5C93">
        <w:rPr>
          <w:rFonts w:asciiTheme="majorBidi" w:eastAsiaTheme="minorHAnsi" w:hAnsiTheme="majorBidi" w:cstheme="majorBidi"/>
          <w:sz w:val="24"/>
          <w:szCs w:val="24"/>
        </w:rPr>
        <w:t>put into effect</w:t>
      </w:r>
      <w:r w:rsidRPr="00C91224">
        <w:rPr>
          <w:rFonts w:asciiTheme="majorBidi" w:eastAsiaTheme="minorHAnsi" w:hAnsiTheme="majorBidi" w:cstheme="majorBidi"/>
          <w:sz w:val="24"/>
          <w:szCs w:val="24"/>
        </w:rPr>
        <w:t xml:space="preserve">, </w:t>
      </w:r>
      <w:r w:rsidR="003A6528">
        <w:rPr>
          <w:rFonts w:asciiTheme="majorBidi" w:eastAsiaTheme="minorHAnsi" w:hAnsiTheme="majorBidi" w:cstheme="majorBidi"/>
          <w:sz w:val="24"/>
          <w:szCs w:val="24"/>
        </w:rPr>
        <w:t>i</w:t>
      </w:r>
      <w:r w:rsidRPr="00C91224">
        <w:rPr>
          <w:rFonts w:asciiTheme="majorBidi" w:eastAsiaTheme="minorHAnsi" w:hAnsiTheme="majorBidi" w:cstheme="majorBidi"/>
          <w:sz w:val="24"/>
          <w:szCs w:val="24"/>
        </w:rPr>
        <w:t>n November 2020, Israel approved marketing processed foods from the Gaza Strip in the West bank</w:t>
      </w:r>
      <w:r w:rsidRPr="00C91224">
        <w:rPr>
          <w:rStyle w:val="FootnoteReference"/>
          <w:rFonts w:asciiTheme="majorBidi" w:eastAsiaTheme="minorHAnsi" w:hAnsiTheme="majorBidi" w:cstheme="majorBidi"/>
          <w:sz w:val="24"/>
          <w:szCs w:val="24"/>
        </w:rPr>
        <w:footnoteReference w:id="28"/>
      </w:r>
      <w:r w:rsidRPr="00C91224">
        <w:rPr>
          <w:rFonts w:asciiTheme="majorBidi" w:eastAsiaTheme="minorHAnsi" w:hAnsiTheme="majorBidi" w:cstheme="majorBidi"/>
          <w:sz w:val="24"/>
          <w:szCs w:val="24"/>
        </w:rPr>
        <w:t>. Israel also approved the entry of 10,000 Gazan workers into Israel after a long period of disengagement</w:t>
      </w:r>
      <w:r>
        <w:rPr>
          <w:rStyle w:val="FootnoteReference"/>
          <w:rFonts w:eastAsiaTheme="minorHAnsi"/>
        </w:rPr>
        <w:footnoteReference w:id="29"/>
      </w:r>
      <w:r>
        <w:rPr>
          <w:rFonts w:eastAsiaTheme="minorHAnsi"/>
        </w:rPr>
        <w:t>.</w:t>
      </w:r>
    </w:p>
    <w:p w14:paraId="36C2E04E" w14:textId="77777777" w:rsidR="00BA2912" w:rsidRDefault="00741BFB" w:rsidP="00C47693">
      <w:pPr>
        <w:bidi w:val="0"/>
        <w:spacing w:line="480" w:lineRule="auto"/>
        <w:ind w:left="851"/>
        <w:jc w:val="both"/>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At the time of writing this, </w:t>
      </w:r>
      <w:r w:rsidR="00C47693" w:rsidRPr="00C91224">
        <w:rPr>
          <w:rFonts w:asciiTheme="majorBidi" w:eastAsiaTheme="minorHAnsi" w:hAnsiTheme="majorBidi" w:cstheme="majorBidi"/>
          <w:sz w:val="24"/>
          <w:szCs w:val="24"/>
        </w:rPr>
        <w:t>Israel is planning to ease a series of restrictions currently in place on the Gaza Strip, aiming to alleviate some of the territory’s economic woes</w:t>
      </w:r>
      <w:r w:rsidR="0090508B">
        <w:rPr>
          <w:rFonts w:asciiTheme="majorBidi" w:eastAsiaTheme="minorHAnsi" w:hAnsiTheme="majorBidi" w:cstheme="majorBidi"/>
          <w:sz w:val="24"/>
          <w:szCs w:val="24"/>
        </w:rPr>
        <w:t>,</w:t>
      </w:r>
      <w:r w:rsidR="00C47693" w:rsidRPr="00C91224">
        <w:rPr>
          <w:rFonts w:asciiTheme="majorBidi" w:eastAsiaTheme="minorHAnsi" w:hAnsiTheme="majorBidi" w:cstheme="majorBidi"/>
          <w:sz w:val="24"/>
          <w:szCs w:val="24"/>
        </w:rPr>
        <w:t xml:space="preserve"> and prompt the population to pressure</w:t>
      </w:r>
      <w:r w:rsidR="0090508B">
        <w:rPr>
          <w:rFonts w:asciiTheme="majorBidi" w:eastAsiaTheme="minorHAnsi" w:hAnsiTheme="majorBidi" w:cstheme="majorBidi"/>
          <w:sz w:val="24"/>
          <w:szCs w:val="24"/>
        </w:rPr>
        <w:t xml:space="preserve"> the Hamas leadership</w:t>
      </w:r>
      <w:r w:rsidR="00C47693" w:rsidRPr="00C91224">
        <w:rPr>
          <w:rFonts w:asciiTheme="majorBidi" w:eastAsiaTheme="minorHAnsi" w:hAnsiTheme="majorBidi" w:cstheme="majorBidi"/>
          <w:sz w:val="24"/>
          <w:szCs w:val="24"/>
        </w:rPr>
        <w:t xml:space="preserve"> to keep the calm</w:t>
      </w:r>
      <w:r w:rsidR="00BA2912">
        <w:rPr>
          <w:rFonts w:asciiTheme="majorBidi" w:eastAsiaTheme="minorHAnsi" w:hAnsiTheme="majorBidi" w:cstheme="majorBidi"/>
          <w:sz w:val="24"/>
          <w:szCs w:val="24"/>
        </w:rPr>
        <w:t>,</w:t>
      </w:r>
    </w:p>
    <w:p w14:paraId="6901EB24" w14:textId="7BD508E3" w:rsidR="00C47693" w:rsidRPr="00C91224" w:rsidRDefault="00C47693" w:rsidP="00BA2912">
      <w:pPr>
        <w:bidi w:val="0"/>
        <w:spacing w:line="480" w:lineRule="auto"/>
        <w:ind w:left="851"/>
        <w:jc w:val="both"/>
        <w:rPr>
          <w:rFonts w:asciiTheme="majorBidi" w:eastAsiaTheme="minorHAnsi" w:hAnsiTheme="majorBidi" w:cstheme="majorBidi"/>
          <w:sz w:val="24"/>
          <w:szCs w:val="24"/>
        </w:rPr>
      </w:pPr>
      <w:r w:rsidRPr="00C91224">
        <w:rPr>
          <w:rFonts w:asciiTheme="majorBidi" w:eastAsiaTheme="minorHAnsi" w:hAnsiTheme="majorBidi" w:cstheme="majorBidi"/>
          <w:sz w:val="24"/>
          <w:szCs w:val="24"/>
        </w:rPr>
        <w:t xml:space="preserve"> while improving the standard of living of the population.</w:t>
      </w:r>
    </w:p>
    <w:p w14:paraId="09A6B932" w14:textId="77777777" w:rsidR="00C47693" w:rsidRDefault="00C47693" w:rsidP="00C47693">
      <w:pPr>
        <w:bidi w:val="0"/>
        <w:spacing w:line="480" w:lineRule="auto"/>
        <w:ind w:left="851"/>
        <w:jc w:val="both"/>
        <w:rPr>
          <w:rFonts w:eastAsiaTheme="minorHAnsi"/>
        </w:rPr>
      </w:pPr>
    </w:p>
    <w:p w14:paraId="5C1B62F8" w14:textId="77777777" w:rsidR="00C47693" w:rsidRDefault="00C47693" w:rsidP="00C47693">
      <w:pPr>
        <w:bidi w:val="0"/>
        <w:spacing w:line="480" w:lineRule="auto"/>
        <w:jc w:val="both"/>
        <w:rPr>
          <w:rFonts w:eastAsiaTheme="minorHAnsi"/>
        </w:rPr>
      </w:pPr>
    </w:p>
    <w:p w14:paraId="21B09997" w14:textId="77777777" w:rsidR="00C47693" w:rsidRDefault="00C47693" w:rsidP="00C47693">
      <w:pPr>
        <w:bidi w:val="0"/>
        <w:rPr>
          <w:rFonts w:eastAsiaTheme="minorHAnsi"/>
        </w:rPr>
      </w:pPr>
    </w:p>
    <w:p w14:paraId="0F00F300" w14:textId="77777777" w:rsidR="00C47693" w:rsidRDefault="00C47693" w:rsidP="00C47693">
      <w:pPr>
        <w:bidi w:val="0"/>
        <w:spacing w:line="480" w:lineRule="auto"/>
        <w:ind w:left="851"/>
        <w:jc w:val="both"/>
        <w:rPr>
          <w:rFonts w:eastAsiaTheme="minorEastAsia"/>
        </w:rPr>
      </w:pPr>
    </w:p>
    <w:p w14:paraId="327702DE" w14:textId="77777777" w:rsidR="00C47693" w:rsidRDefault="00C47693" w:rsidP="00C47693">
      <w:pPr>
        <w:spacing w:line="480" w:lineRule="auto"/>
        <w:jc w:val="both"/>
        <w:rPr>
          <w:rFonts w:eastAsiaTheme="minorEastAsia"/>
        </w:rPr>
      </w:pPr>
    </w:p>
    <w:p w14:paraId="19F91A6F" w14:textId="51622730" w:rsidR="00863081" w:rsidRPr="00742E70" w:rsidRDefault="00052229" w:rsidP="00742E70">
      <w:pPr>
        <w:pStyle w:val="ListParagraph"/>
        <w:numPr>
          <w:ilvl w:val="0"/>
          <w:numId w:val="3"/>
        </w:numPr>
        <w:autoSpaceDE w:val="0"/>
        <w:autoSpaceDN w:val="0"/>
        <w:bidi w:val="0"/>
        <w:adjustRightInd w:val="0"/>
        <w:spacing w:after="240"/>
        <w:ind w:left="357" w:hanging="357"/>
        <w:contextualSpacing w:val="0"/>
        <w:rPr>
          <w:rFonts w:asciiTheme="majorBidi" w:hAnsiTheme="majorBidi" w:cstheme="majorBidi"/>
          <w:b/>
          <w:bCs/>
          <w:sz w:val="28"/>
          <w:szCs w:val="28"/>
        </w:rPr>
      </w:pPr>
      <w:r>
        <w:rPr>
          <w:rFonts w:asciiTheme="majorBidi" w:hAnsiTheme="majorBidi" w:cstheme="majorBidi"/>
          <w:b/>
          <w:bCs/>
          <w:sz w:val="28"/>
          <w:szCs w:val="28"/>
        </w:rPr>
        <w:t xml:space="preserve">Chapter 3: </w:t>
      </w:r>
      <w:r w:rsidR="00863081" w:rsidRPr="00742E70">
        <w:rPr>
          <w:rFonts w:asciiTheme="majorBidi" w:hAnsiTheme="majorBidi" w:cstheme="majorBidi"/>
          <w:b/>
          <w:bCs/>
          <w:sz w:val="28"/>
          <w:szCs w:val="28"/>
        </w:rPr>
        <w:t>Monetary relations between Israel and the PA territories</w:t>
      </w:r>
    </w:p>
    <w:p w14:paraId="0477E21B" w14:textId="2AE1447A" w:rsidR="00863081" w:rsidRPr="008F2256" w:rsidRDefault="00863081" w:rsidP="00863081">
      <w:pPr>
        <w:autoSpaceDE w:val="0"/>
        <w:autoSpaceDN w:val="0"/>
        <w:bidi w:val="0"/>
        <w:adjustRightInd w:val="0"/>
        <w:spacing w:line="480" w:lineRule="auto"/>
        <w:ind w:left="360"/>
        <w:jc w:val="both"/>
        <w:rPr>
          <w:rFonts w:ascii="Times New Roman" w:hAnsi="Times New Roman" w:cs="David"/>
          <w:sz w:val="24"/>
          <w:szCs w:val="24"/>
        </w:rPr>
      </w:pPr>
      <w:r w:rsidRPr="009A6B09">
        <w:rPr>
          <w:rFonts w:ascii="Times New Roman" w:eastAsiaTheme="minorHAnsi" w:hAnsi="Times New Roman" w:cs="Times New Roman"/>
          <w:sz w:val="24"/>
          <w:szCs w:val="24"/>
        </w:rPr>
        <w:t>In this section we analyz</w:t>
      </w:r>
      <w:r w:rsidR="00E24895">
        <w:rPr>
          <w:rFonts w:ascii="Times New Roman" w:eastAsiaTheme="minorHAnsi" w:hAnsi="Times New Roman" w:cs="Times New Roman"/>
          <w:sz w:val="24"/>
          <w:szCs w:val="24"/>
        </w:rPr>
        <w:t>e</w:t>
      </w:r>
      <w:r w:rsidRPr="009A6B09">
        <w:rPr>
          <w:rFonts w:ascii="Times New Roman" w:eastAsiaTheme="minorHAnsi" w:hAnsi="Times New Roman" w:cs="Times New Roman"/>
          <w:sz w:val="24"/>
          <w:szCs w:val="24"/>
        </w:rPr>
        <w:t xml:space="preserve"> the scope and method of monetary relations between Israel and the PA territories, inter alia, the NIS role in the Palestinian banking system, </w:t>
      </w:r>
      <w:r w:rsidRPr="009A6B09">
        <w:rPr>
          <w:rFonts w:asciiTheme="majorBidi" w:hAnsiTheme="majorBidi" w:cstheme="majorBidi"/>
          <w:sz w:val="24"/>
          <w:szCs w:val="24"/>
        </w:rPr>
        <w:t xml:space="preserve">monetary policy in Israel and the transmission mechanism </w:t>
      </w:r>
      <w:r>
        <w:rPr>
          <w:rFonts w:asciiTheme="majorBidi" w:hAnsiTheme="majorBidi" w:cstheme="majorBidi"/>
          <w:sz w:val="24"/>
          <w:szCs w:val="24"/>
        </w:rPr>
        <w:t>to</w:t>
      </w:r>
      <w:r w:rsidRPr="009A6B09">
        <w:rPr>
          <w:rFonts w:asciiTheme="majorBidi" w:hAnsiTheme="majorBidi" w:cstheme="majorBidi"/>
          <w:sz w:val="24"/>
          <w:szCs w:val="24"/>
        </w:rPr>
        <w:t xml:space="preserve"> the Palestinian economy</w:t>
      </w:r>
      <w:r w:rsidRPr="009A6B09">
        <w:rPr>
          <w:rFonts w:ascii="Times New Roman" w:eastAsiaTheme="minorHAnsi" w:hAnsi="Times New Roman" w:cs="Times New Roman"/>
          <w:sz w:val="24"/>
          <w:szCs w:val="24"/>
        </w:rPr>
        <w:t xml:space="preserve">, </w:t>
      </w:r>
      <w:r>
        <w:rPr>
          <w:rFonts w:ascii="Times New Roman" w:hAnsi="Times New Roman" w:cs="David"/>
          <w:sz w:val="24"/>
          <w:szCs w:val="24"/>
        </w:rPr>
        <w:t>c</w:t>
      </w:r>
      <w:r w:rsidRPr="009A6B09">
        <w:rPr>
          <w:rFonts w:ascii="Times New Roman" w:hAnsi="Times New Roman" w:cs="David"/>
          <w:sz w:val="24"/>
          <w:szCs w:val="24"/>
        </w:rPr>
        <w:t>orrespondent banking relationship</w:t>
      </w:r>
      <w:r>
        <w:rPr>
          <w:rFonts w:ascii="Times New Roman" w:hAnsi="Times New Roman" w:cs="David"/>
          <w:sz w:val="24"/>
          <w:szCs w:val="24"/>
        </w:rPr>
        <w:t xml:space="preserve">, and finally </w:t>
      </w:r>
      <w:r w:rsidRPr="008F2256">
        <w:rPr>
          <w:rFonts w:asciiTheme="majorBidi" w:hAnsiTheme="majorBidi" w:cstheme="majorBidi"/>
          <w:sz w:val="24"/>
          <w:szCs w:val="24"/>
        </w:rPr>
        <w:t xml:space="preserve">assess the amount of NIS cash in circulation in </w:t>
      </w:r>
      <w:r>
        <w:rPr>
          <w:rFonts w:ascii="Times New Roman" w:hAnsi="Times New Roman" w:cs="David"/>
          <w:sz w:val="24"/>
          <w:szCs w:val="24"/>
        </w:rPr>
        <w:t>the PA territories.</w:t>
      </w:r>
    </w:p>
    <w:p w14:paraId="0629C7C1" w14:textId="77777777" w:rsidR="00863081" w:rsidRPr="005E5358" w:rsidRDefault="00863081" w:rsidP="00863081">
      <w:pPr>
        <w:pStyle w:val="ListParagraph"/>
        <w:numPr>
          <w:ilvl w:val="1"/>
          <w:numId w:val="3"/>
        </w:numPr>
        <w:autoSpaceDE w:val="0"/>
        <w:autoSpaceDN w:val="0"/>
        <w:bidi w:val="0"/>
        <w:adjustRightInd w:val="0"/>
        <w:spacing w:line="360" w:lineRule="auto"/>
        <w:rPr>
          <w:rFonts w:ascii="Times New Roman" w:hAnsi="Times New Roman" w:cs="David"/>
          <w:b/>
          <w:bCs/>
          <w:sz w:val="24"/>
          <w:szCs w:val="24"/>
        </w:rPr>
      </w:pPr>
      <w:r w:rsidRPr="005E5358">
        <w:rPr>
          <w:rFonts w:ascii="Times New Roman" w:hAnsi="Times New Roman" w:cs="David"/>
          <w:b/>
          <w:bCs/>
          <w:sz w:val="24"/>
          <w:szCs w:val="24"/>
        </w:rPr>
        <w:t xml:space="preserve">The NIS role in the Palestinian banking system </w:t>
      </w:r>
    </w:p>
    <w:p w14:paraId="0BE0F575" w14:textId="77777777" w:rsidR="00863081" w:rsidRPr="003B6672" w:rsidRDefault="00863081" w:rsidP="00863081">
      <w:pPr>
        <w:bidi w:val="0"/>
        <w:spacing w:line="480" w:lineRule="auto"/>
        <w:ind w:left="851"/>
        <w:jc w:val="both"/>
        <w:rPr>
          <w:rFonts w:ascii="Times New Roman" w:hAnsi="Times New Roman" w:cs="David"/>
          <w:sz w:val="24"/>
          <w:szCs w:val="24"/>
        </w:rPr>
      </w:pPr>
      <w:r w:rsidRPr="003B6672">
        <w:rPr>
          <w:rFonts w:ascii="Times New Roman" w:hAnsi="Times New Roman" w:cs="David"/>
          <w:sz w:val="24"/>
          <w:szCs w:val="24"/>
        </w:rPr>
        <w:t>Article IV</w:t>
      </w:r>
      <w:r>
        <w:rPr>
          <w:rFonts w:ascii="Times New Roman" w:hAnsi="Times New Roman" w:cs="David"/>
          <w:sz w:val="24"/>
          <w:szCs w:val="24"/>
        </w:rPr>
        <w:t xml:space="preserve"> of</w:t>
      </w:r>
      <w:r>
        <w:rPr>
          <w:rFonts w:ascii="Times New Roman" w:eastAsiaTheme="minorHAnsi" w:hAnsi="Times New Roman" w:cs="Times New Roman"/>
          <w:sz w:val="24"/>
          <w:szCs w:val="24"/>
        </w:rPr>
        <w:t xml:space="preserve"> PP</w:t>
      </w:r>
      <w:r w:rsidRPr="003B6672">
        <w:rPr>
          <w:rFonts w:ascii="Times New Roman" w:hAnsi="Times New Roman" w:cs="David"/>
          <w:sz w:val="24"/>
          <w:szCs w:val="24"/>
        </w:rPr>
        <w:t xml:space="preserve"> regulates monetary and financial issues</w:t>
      </w:r>
      <w:r>
        <w:rPr>
          <w:rFonts w:ascii="Times New Roman" w:hAnsi="Times New Roman" w:cs="David"/>
          <w:sz w:val="24"/>
          <w:szCs w:val="24"/>
        </w:rPr>
        <w:t xml:space="preserve"> between Israel and the PA territories</w:t>
      </w:r>
      <w:r w:rsidRPr="003B6672">
        <w:rPr>
          <w:rFonts w:ascii="Times New Roman" w:hAnsi="Times New Roman" w:cs="David"/>
          <w:sz w:val="24"/>
          <w:szCs w:val="24"/>
        </w:rPr>
        <w:t>, and states that:</w:t>
      </w:r>
    </w:p>
    <w:p w14:paraId="503541C6" w14:textId="77777777" w:rsidR="00863081" w:rsidRPr="00A42AEE" w:rsidRDefault="00863081" w:rsidP="00863081">
      <w:pPr>
        <w:pStyle w:val="ListParagraph"/>
        <w:numPr>
          <w:ilvl w:val="0"/>
          <w:numId w:val="6"/>
        </w:numPr>
        <w:bidi w:val="0"/>
        <w:spacing w:line="360" w:lineRule="auto"/>
        <w:ind w:left="1211"/>
        <w:jc w:val="both"/>
        <w:rPr>
          <w:rFonts w:ascii="Times New Roman" w:hAnsi="Times New Roman" w:cs="David"/>
          <w:sz w:val="24"/>
          <w:szCs w:val="24"/>
        </w:rPr>
      </w:pPr>
      <w:r w:rsidRPr="00A42AEE">
        <w:rPr>
          <w:rFonts w:ascii="Times New Roman" w:hAnsi="Times New Roman" w:cs="David"/>
          <w:sz w:val="24"/>
          <w:szCs w:val="24"/>
        </w:rPr>
        <w:t>"The New Israeli Shekel (NIS) will be one of the circulating currencies in the areas and will legally serve there as a means of payment for all purposes, including official transactions. Any circulating currency, including the NIS, will be accepted by the PA and by all its institutions, local authorities and banks when offered as a means of payment for any transaction."</w:t>
      </w:r>
    </w:p>
    <w:p w14:paraId="26293295" w14:textId="77777777" w:rsidR="00863081" w:rsidRPr="00A42AEE" w:rsidRDefault="00863081" w:rsidP="00863081">
      <w:pPr>
        <w:pStyle w:val="ListParagraph"/>
        <w:numPr>
          <w:ilvl w:val="0"/>
          <w:numId w:val="6"/>
        </w:numPr>
        <w:bidi w:val="0"/>
        <w:spacing w:line="360" w:lineRule="auto"/>
        <w:ind w:left="1211"/>
        <w:jc w:val="both"/>
        <w:rPr>
          <w:rFonts w:ascii="Times New Roman" w:hAnsi="Times New Roman" w:cs="David"/>
          <w:sz w:val="24"/>
          <w:szCs w:val="24"/>
        </w:rPr>
      </w:pPr>
      <w:r w:rsidRPr="00A42AEE">
        <w:rPr>
          <w:rFonts w:ascii="Times New Roman" w:hAnsi="Times New Roman" w:cs="David"/>
          <w:sz w:val="24"/>
          <w:szCs w:val="24"/>
        </w:rPr>
        <w:t>"Both sides will continue to discuss… the possibility of introducing mutually agreed Palestinian currency or temporary alternative currency arrangements for PA".</w:t>
      </w:r>
    </w:p>
    <w:p w14:paraId="158635F4" w14:textId="77777777" w:rsidR="00863081" w:rsidRDefault="00863081" w:rsidP="00863081">
      <w:pPr>
        <w:pStyle w:val="ListParagraph"/>
        <w:numPr>
          <w:ilvl w:val="0"/>
          <w:numId w:val="6"/>
        </w:numPr>
        <w:bidi w:val="0"/>
        <w:spacing w:line="360" w:lineRule="auto"/>
        <w:ind w:left="1211"/>
        <w:jc w:val="both"/>
        <w:rPr>
          <w:rFonts w:ascii="Times New Roman" w:hAnsi="Times New Roman" w:cs="David"/>
          <w:sz w:val="24"/>
          <w:szCs w:val="24"/>
        </w:rPr>
      </w:pPr>
      <w:r w:rsidRPr="00262E4B">
        <w:rPr>
          <w:rFonts w:ascii="Times New Roman" w:hAnsi="Times New Roman" w:cs="David"/>
          <w:sz w:val="24"/>
          <w:szCs w:val="24"/>
        </w:rPr>
        <w:t>"Banks in the Areas will accept NIS deposits</w:t>
      </w:r>
      <w:r>
        <w:rPr>
          <w:rFonts w:ascii="Times New Roman" w:hAnsi="Times New Roman" w:cs="David"/>
          <w:sz w:val="24"/>
          <w:szCs w:val="24"/>
        </w:rPr>
        <w:t>"</w:t>
      </w:r>
      <w:r w:rsidRPr="00262E4B">
        <w:rPr>
          <w:rFonts w:ascii="Times New Roman" w:hAnsi="Times New Roman" w:cs="David"/>
          <w:sz w:val="24"/>
          <w:szCs w:val="24"/>
        </w:rPr>
        <w:t xml:space="preserve">. </w:t>
      </w:r>
    </w:p>
    <w:p w14:paraId="58D0917A" w14:textId="77777777" w:rsidR="00863081" w:rsidRPr="00262E4B" w:rsidRDefault="00863081" w:rsidP="00863081">
      <w:pPr>
        <w:pStyle w:val="ListParagraph"/>
        <w:numPr>
          <w:ilvl w:val="0"/>
          <w:numId w:val="6"/>
        </w:numPr>
        <w:bidi w:val="0"/>
        <w:spacing w:line="360" w:lineRule="auto"/>
        <w:ind w:left="1211"/>
        <w:jc w:val="both"/>
        <w:rPr>
          <w:rFonts w:ascii="Times New Roman" w:hAnsi="Times New Roman" w:cs="David"/>
          <w:sz w:val="24"/>
          <w:szCs w:val="24"/>
        </w:rPr>
      </w:pPr>
      <w:r w:rsidRPr="00262E4B">
        <w:rPr>
          <w:rFonts w:ascii="Times New Roman" w:hAnsi="Times New Roman" w:cs="David"/>
          <w:sz w:val="24"/>
          <w:szCs w:val="24"/>
        </w:rPr>
        <w:t xml:space="preserve">"The PMA will have the right to convert at the BOI excess NIS received from banks operating in the areas into foreign currency in which the BOI trades in the domestic </w:t>
      </w:r>
      <w:r>
        <w:rPr>
          <w:rFonts w:ascii="Times New Roman" w:hAnsi="Times New Roman" w:cs="David"/>
          <w:sz w:val="24"/>
          <w:szCs w:val="24"/>
        </w:rPr>
        <w:t>interbank market</w:t>
      </w:r>
      <w:r w:rsidRPr="00262E4B">
        <w:rPr>
          <w:rFonts w:ascii="Times New Roman" w:hAnsi="Times New Roman" w:cs="David"/>
          <w:sz w:val="24"/>
          <w:szCs w:val="24"/>
        </w:rPr>
        <w:t>".</w:t>
      </w:r>
    </w:p>
    <w:p w14:paraId="5469EC3B" w14:textId="1DC720F4" w:rsidR="00863081" w:rsidRDefault="00863081" w:rsidP="00863081">
      <w:pPr>
        <w:bidi w:val="0"/>
        <w:spacing w:line="480" w:lineRule="auto"/>
        <w:ind w:left="851"/>
        <w:jc w:val="both"/>
        <w:rPr>
          <w:rFonts w:ascii="Times New Roman" w:hAnsi="Times New Roman" w:cs="David"/>
          <w:sz w:val="24"/>
          <w:szCs w:val="24"/>
        </w:rPr>
      </w:pPr>
      <w:r w:rsidRPr="00780729">
        <w:rPr>
          <w:rFonts w:ascii="Times New Roman" w:hAnsi="Times New Roman" w:cs="David"/>
          <w:sz w:val="24"/>
          <w:szCs w:val="24"/>
        </w:rPr>
        <w:t xml:space="preserve">The main function of the Bank of Israel (BOI) is to maintain price stability, i.e., to preserve the currency's purchasing power. Monetary policy is primarily directed towards attaining this objective, the achievement of which is essential for growth and economic stability. As is the case in many advanced economies, the main tool of monetary policy is its effect on the price of money, i.e., the interest rate. The range of price stability is defined as the target rate of annual inflation, </w:t>
      </w:r>
      <w:r w:rsidR="00EB3D03">
        <w:rPr>
          <w:rFonts w:ascii="Times New Roman" w:hAnsi="Times New Roman" w:cs="David"/>
          <w:sz w:val="24"/>
          <w:szCs w:val="24"/>
        </w:rPr>
        <w:t>(</w:t>
      </w:r>
      <w:r w:rsidR="00696C8F">
        <w:rPr>
          <w:rFonts w:ascii="Times New Roman" w:hAnsi="Times New Roman" w:cs="David"/>
          <w:sz w:val="24"/>
          <w:szCs w:val="24"/>
        </w:rPr>
        <w:t>as of</w:t>
      </w:r>
      <w:r w:rsidR="00EB3D03">
        <w:rPr>
          <w:rFonts w:ascii="Times New Roman" w:hAnsi="Times New Roman" w:cs="David"/>
          <w:sz w:val="24"/>
          <w:szCs w:val="24"/>
        </w:rPr>
        <w:t xml:space="preserve"> 2022</w:t>
      </w:r>
      <w:r w:rsidRPr="00780729">
        <w:rPr>
          <w:rFonts w:ascii="Times New Roman" w:hAnsi="Times New Roman" w:cs="David"/>
          <w:sz w:val="24"/>
          <w:szCs w:val="24"/>
        </w:rPr>
        <w:t xml:space="preserve"> 1–3 percent</w:t>
      </w:r>
      <w:r w:rsidR="00EB3D03">
        <w:rPr>
          <w:rFonts w:ascii="Times New Roman" w:hAnsi="Times New Roman" w:cs="David"/>
          <w:sz w:val="24"/>
          <w:szCs w:val="24"/>
        </w:rPr>
        <w:t>)</w:t>
      </w:r>
      <w:r w:rsidRPr="00780729">
        <w:rPr>
          <w:rFonts w:ascii="Times New Roman" w:hAnsi="Times New Roman" w:cs="David"/>
          <w:sz w:val="24"/>
          <w:szCs w:val="24"/>
        </w:rPr>
        <w:t xml:space="preserve">. The decision on the short-term interest rate required to meet the inflation target set by the </w:t>
      </w:r>
      <w:r>
        <w:rPr>
          <w:rFonts w:ascii="Times New Roman" w:hAnsi="Times New Roman" w:cs="David"/>
          <w:sz w:val="24"/>
          <w:szCs w:val="24"/>
        </w:rPr>
        <w:t xml:space="preserve">Israeli </w:t>
      </w:r>
      <w:r w:rsidRPr="00780729">
        <w:rPr>
          <w:rFonts w:ascii="Times New Roman" w:hAnsi="Times New Roman" w:cs="David"/>
          <w:sz w:val="24"/>
          <w:szCs w:val="24"/>
        </w:rPr>
        <w:t>government is the responsibility of the BOI</w:t>
      </w:r>
      <w:r>
        <w:rPr>
          <w:rFonts w:ascii="Times New Roman" w:hAnsi="Times New Roman" w:cs="David"/>
          <w:sz w:val="24"/>
          <w:szCs w:val="24"/>
        </w:rPr>
        <w:t>. T</w:t>
      </w:r>
      <w:r w:rsidRPr="00780729">
        <w:rPr>
          <w:rFonts w:ascii="Times New Roman" w:hAnsi="Times New Roman" w:cs="David"/>
          <w:sz w:val="24"/>
          <w:szCs w:val="24"/>
        </w:rPr>
        <w:t xml:space="preserve">he </w:t>
      </w:r>
      <w:r>
        <w:rPr>
          <w:rFonts w:ascii="Times New Roman" w:hAnsi="Times New Roman" w:cs="David"/>
          <w:sz w:val="24"/>
          <w:szCs w:val="24"/>
        </w:rPr>
        <w:t xml:space="preserve">Bank of Israel </w:t>
      </w:r>
      <w:r w:rsidRPr="00780729">
        <w:rPr>
          <w:rFonts w:ascii="Times New Roman" w:hAnsi="Times New Roman" w:cs="David"/>
          <w:sz w:val="24"/>
          <w:szCs w:val="24"/>
        </w:rPr>
        <w:t>Law grants the Bank autonomy with regard to that decision. The BOI operates a flexible inflation targeting policy that allows temporary deviations from the target, but is designed to ensure that inflation returns to within the target range within two years at most</w:t>
      </w:r>
      <w:r>
        <w:rPr>
          <w:rFonts w:ascii="Times New Roman" w:hAnsi="Times New Roman" w:cs="David"/>
          <w:sz w:val="24"/>
          <w:szCs w:val="24"/>
        </w:rPr>
        <w:t>.</w:t>
      </w:r>
      <w:r>
        <w:rPr>
          <w:rStyle w:val="FootnoteReference"/>
          <w:rFonts w:ascii="Times New Roman" w:hAnsi="Times New Roman" w:cs="David"/>
          <w:sz w:val="24"/>
          <w:szCs w:val="24"/>
        </w:rPr>
        <w:footnoteReference w:id="30"/>
      </w:r>
      <w:r>
        <w:rPr>
          <w:rFonts w:ascii="Times New Roman" w:hAnsi="Times New Roman" w:cs="David"/>
          <w:sz w:val="24"/>
          <w:szCs w:val="24"/>
        </w:rPr>
        <w:t xml:space="preserve"> </w:t>
      </w:r>
      <w:r w:rsidRPr="00B51DAE">
        <w:rPr>
          <w:rFonts w:ascii="Times New Roman" w:hAnsi="Times New Roman" w:cs="David"/>
          <w:sz w:val="24"/>
          <w:szCs w:val="24"/>
        </w:rPr>
        <w:t>The Palestin</w:t>
      </w:r>
      <w:r>
        <w:rPr>
          <w:rFonts w:ascii="Times New Roman" w:hAnsi="Times New Roman" w:cs="David"/>
          <w:sz w:val="24"/>
          <w:szCs w:val="24"/>
        </w:rPr>
        <w:t>e</w:t>
      </w:r>
      <w:r w:rsidRPr="00B51DAE">
        <w:rPr>
          <w:rFonts w:ascii="Times New Roman" w:hAnsi="Times New Roman" w:cs="David"/>
          <w:sz w:val="24"/>
          <w:szCs w:val="24"/>
        </w:rPr>
        <w:t xml:space="preserve"> Monetary Authority</w:t>
      </w:r>
      <w:r>
        <w:rPr>
          <w:rFonts w:ascii="Times New Roman" w:hAnsi="Times New Roman" w:cs="David"/>
          <w:sz w:val="24"/>
          <w:szCs w:val="24"/>
        </w:rPr>
        <w:t xml:space="preserve"> (PMA)</w:t>
      </w:r>
      <w:r w:rsidRPr="00B51DAE">
        <w:rPr>
          <w:rFonts w:ascii="Times New Roman" w:hAnsi="Times New Roman" w:cs="David"/>
          <w:sz w:val="24"/>
          <w:szCs w:val="24"/>
        </w:rPr>
        <w:t xml:space="preserve"> does not conduct an independent monetary policy. The Palestinian economy operates in a financial system with a large number of currencies affected by the monetary policy of the countries that issued </w:t>
      </w:r>
      <w:r>
        <w:rPr>
          <w:rFonts w:ascii="Times New Roman" w:hAnsi="Times New Roman" w:cs="David"/>
          <w:sz w:val="24"/>
          <w:szCs w:val="24"/>
        </w:rPr>
        <w:t xml:space="preserve">the </w:t>
      </w:r>
      <w:r w:rsidRPr="00B51DAE">
        <w:rPr>
          <w:rFonts w:ascii="Times New Roman" w:hAnsi="Times New Roman" w:cs="David"/>
          <w:sz w:val="24"/>
          <w:szCs w:val="24"/>
        </w:rPr>
        <w:t>currencies. The interest rates, including interest on deposits and loans, in the Palestinian market are linked to market mechanisms and competition in the banking system, but also to interest rates in the issuing countries, the US dollar, the Jordani</w:t>
      </w:r>
      <w:r>
        <w:rPr>
          <w:rFonts w:ascii="Times New Roman" w:hAnsi="Times New Roman" w:cs="David"/>
          <w:sz w:val="24"/>
          <w:szCs w:val="24"/>
        </w:rPr>
        <w:t>an dinar and the Israeli shekel.</w:t>
      </w:r>
      <w:r>
        <w:rPr>
          <w:rStyle w:val="FootnoteReference"/>
          <w:rFonts w:ascii="Times New Roman" w:hAnsi="Times New Roman" w:cs="David"/>
          <w:sz w:val="24"/>
          <w:szCs w:val="24"/>
        </w:rPr>
        <w:footnoteReference w:id="31"/>
      </w:r>
    </w:p>
    <w:p w14:paraId="3A28F6A5" w14:textId="762F8FE5" w:rsidR="00863081" w:rsidRDefault="00863081" w:rsidP="00E4231D">
      <w:pPr>
        <w:bidi w:val="0"/>
        <w:spacing w:line="480" w:lineRule="auto"/>
        <w:ind w:left="857" w:firstLine="583"/>
        <w:jc w:val="both"/>
        <w:rPr>
          <w:rFonts w:ascii="Times New Roman" w:hAnsi="Times New Roman" w:cs="David"/>
          <w:sz w:val="24"/>
          <w:szCs w:val="24"/>
        </w:rPr>
      </w:pPr>
      <w:r w:rsidRPr="003B6672">
        <w:rPr>
          <w:rFonts w:ascii="Times New Roman" w:hAnsi="Times New Roman" w:cs="David"/>
          <w:sz w:val="24"/>
          <w:szCs w:val="24"/>
        </w:rPr>
        <w:t>Due to the importance of economic ties with Israel, the Israeli shekel is one of the main currencies used by businesses and consumers in the Palestinian economy in day-to-day trading.</w:t>
      </w:r>
      <w:r>
        <w:rPr>
          <w:rFonts w:ascii="Times New Roman" w:hAnsi="Times New Roman" w:cs="David"/>
          <w:sz w:val="24"/>
          <w:szCs w:val="24"/>
        </w:rPr>
        <w:t xml:space="preserve"> </w:t>
      </w:r>
      <w:r w:rsidRPr="003B6672">
        <w:rPr>
          <w:rFonts w:ascii="Times New Roman" w:hAnsi="Times New Roman" w:cs="David"/>
          <w:sz w:val="24"/>
          <w:szCs w:val="24"/>
        </w:rPr>
        <w:t xml:space="preserve">The Palestinian banking system maintains accounts in </w:t>
      </w:r>
      <w:r>
        <w:rPr>
          <w:rFonts w:ascii="Times New Roman" w:hAnsi="Times New Roman" w:cs="David"/>
          <w:sz w:val="24"/>
          <w:szCs w:val="24"/>
        </w:rPr>
        <w:t>3 main</w:t>
      </w:r>
      <w:r w:rsidRPr="003B6672">
        <w:rPr>
          <w:rFonts w:ascii="Times New Roman" w:hAnsi="Times New Roman" w:cs="David"/>
          <w:sz w:val="24"/>
          <w:szCs w:val="24"/>
        </w:rPr>
        <w:t xml:space="preserve"> currencies (shekel, dollar, Jordanian dinar). This "multi-currency" reality is reflected, for example, in activity and </w:t>
      </w:r>
      <w:r>
        <w:rPr>
          <w:rFonts w:ascii="Times New Roman" w:hAnsi="Times New Roman" w:cs="David"/>
          <w:sz w:val="24"/>
          <w:szCs w:val="24"/>
        </w:rPr>
        <w:t xml:space="preserve">the share </w:t>
      </w:r>
      <w:r w:rsidRPr="003B6672">
        <w:rPr>
          <w:rFonts w:ascii="Times New Roman" w:hAnsi="Times New Roman" w:cs="David"/>
          <w:sz w:val="24"/>
          <w:szCs w:val="24"/>
        </w:rPr>
        <w:t>of shekel deposits out of total deposits (3</w:t>
      </w:r>
      <w:r>
        <w:rPr>
          <w:rFonts w:ascii="Times New Roman" w:hAnsi="Times New Roman" w:cs="David"/>
          <w:sz w:val="24"/>
          <w:szCs w:val="24"/>
        </w:rPr>
        <w:t>6</w:t>
      </w:r>
      <w:r w:rsidRPr="003B6672">
        <w:rPr>
          <w:rFonts w:ascii="Times New Roman" w:hAnsi="Times New Roman" w:cs="David"/>
          <w:sz w:val="24"/>
          <w:szCs w:val="24"/>
        </w:rPr>
        <w:t xml:space="preserve">%), the </w:t>
      </w:r>
      <w:r>
        <w:rPr>
          <w:rFonts w:ascii="Times New Roman" w:hAnsi="Times New Roman" w:cs="David"/>
          <w:sz w:val="24"/>
          <w:szCs w:val="24"/>
        </w:rPr>
        <w:t xml:space="preserve">share of </w:t>
      </w:r>
      <w:r w:rsidRPr="003B6672">
        <w:rPr>
          <w:rFonts w:ascii="Times New Roman" w:hAnsi="Times New Roman" w:cs="David"/>
          <w:sz w:val="24"/>
          <w:szCs w:val="24"/>
        </w:rPr>
        <w:t xml:space="preserve">credit in shekels </w:t>
      </w:r>
      <w:r>
        <w:rPr>
          <w:rFonts w:ascii="Times New Roman" w:hAnsi="Times New Roman" w:cs="David"/>
          <w:sz w:val="24"/>
          <w:szCs w:val="24"/>
        </w:rPr>
        <w:t xml:space="preserve">out </w:t>
      </w:r>
      <w:r w:rsidRPr="003B6672">
        <w:rPr>
          <w:rFonts w:ascii="Times New Roman" w:hAnsi="Times New Roman" w:cs="David"/>
          <w:sz w:val="24"/>
          <w:szCs w:val="24"/>
        </w:rPr>
        <w:t>of total credit (</w:t>
      </w:r>
      <w:r>
        <w:rPr>
          <w:rFonts w:ascii="Times New Roman" w:hAnsi="Times New Roman" w:cs="David"/>
          <w:sz w:val="24"/>
          <w:szCs w:val="24"/>
        </w:rPr>
        <w:t>40</w:t>
      </w:r>
      <w:r w:rsidRPr="003B6672">
        <w:rPr>
          <w:rFonts w:ascii="Times New Roman" w:hAnsi="Times New Roman" w:cs="David"/>
          <w:sz w:val="24"/>
          <w:szCs w:val="24"/>
        </w:rPr>
        <w:t>%) and checks in shekels presented for clearing (</w:t>
      </w:r>
      <w:r>
        <w:rPr>
          <w:rFonts w:ascii="Times New Roman" w:hAnsi="Times New Roman" w:cs="David"/>
          <w:sz w:val="24"/>
          <w:szCs w:val="24"/>
        </w:rPr>
        <w:t>80</w:t>
      </w:r>
      <w:r w:rsidRPr="003B6672">
        <w:rPr>
          <w:rFonts w:ascii="Times New Roman" w:hAnsi="Times New Roman" w:cs="David"/>
          <w:sz w:val="24"/>
          <w:szCs w:val="24"/>
        </w:rPr>
        <w:t>%) in 201</w:t>
      </w:r>
      <w:r>
        <w:rPr>
          <w:rFonts w:ascii="Times New Roman" w:hAnsi="Times New Roman" w:cs="David"/>
          <w:sz w:val="24"/>
          <w:szCs w:val="24"/>
        </w:rPr>
        <w:t>9</w:t>
      </w:r>
      <w:r w:rsidRPr="003B6672">
        <w:rPr>
          <w:rFonts w:ascii="Times New Roman" w:hAnsi="Times New Roman" w:cs="David"/>
          <w:sz w:val="24"/>
          <w:szCs w:val="24"/>
        </w:rPr>
        <w:t>.</w:t>
      </w:r>
      <w:r w:rsidR="00E4231D">
        <w:rPr>
          <w:rFonts w:ascii="Times New Roman" w:hAnsi="Times New Roman" w:cs="David"/>
          <w:sz w:val="24"/>
          <w:szCs w:val="24"/>
        </w:rPr>
        <w:t xml:space="preserve"> </w:t>
      </w:r>
      <w:r>
        <w:rPr>
          <w:rFonts w:ascii="Times New Roman" w:hAnsi="Times New Roman" w:cs="David"/>
          <w:sz w:val="24"/>
          <w:szCs w:val="24"/>
        </w:rPr>
        <w:t xml:space="preserve">In figures </w:t>
      </w:r>
      <w:r w:rsidR="00E4231D">
        <w:rPr>
          <w:rFonts w:ascii="Times New Roman" w:hAnsi="Times New Roman" w:cs="David"/>
          <w:sz w:val="24"/>
          <w:szCs w:val="24"/>
        </w:rPr>
        <w:t>14</w:t>
      </w:r>
      <w:r>
        <w:rPr>
          <w:rFonts w:ascii="Times New Roman" w:hAnsi="Times New Roman" w:cs="David"/>
          <w:sz w:val="24"/>
          <w:szCs w:val="24"/>
        </w:rPr>
        <w:t>,</w:t>
      </w:r>
      <w:r w:rsidR="00E4231D">
        <w:rPr>
          <w:rFonts w:ascii="Times New Roman" w:hAnsi="Times New Roman" w:cs="David"/>
          <w:sz w:val="24"/>
          <w:szCs w:val="24"/>
        </w:rPr>
        <w:t xml:space="preserve"> 15</w:t>
      </w:r>
      <w:r>
        <w:rPr>
          <w:rFonts w:ascii="Times New Roman" w:hAnsi="Times New Roman" w:cs="David"/>
          <w:sz w:val="24"/>
          <w:szCs w:val="24"/>
        </w:rPr>
        <w:t xml:space="preserve"> and </w:t>
      </w:r>
      <w:r w:rsidR="00E4231D">
        <w:rPr>
          <w:rFonts w:ascii="Times New Roman" w:hAnsi="Times New Roman" w:cs="David"/>
          <w:sz w:val="24"/>
          <w:szCs w:val="24"/>
        </w:rPr>
        <w:t>16</w:t>
      </w:r>
      <w:r>
        <w:rPr>
          <w:rFonts w:ascii="Times New Roman" w:hAnsi="Times New Roman" w:cs="David"/>
          <w:sz w:val="24"/>
          <w:szCs w:val="24"/>
        </w:rPr>
        <w:t xml:space="preserve"> we find upward trend in the use </w:t>
      </w:r>
      <w:r w:rsidRPr="00BA33BC">
        <w:rPr>
          <w:rFonts w:ascii="Times New Roman" w:hAnsi="Times New Roman" w:cs="David"/>
          <w:sz w:val="24"/>
          <w:szCs w:val="24"/>
        </w:rPr>
        <w:t xml:space="preserve">of </w:t>
      </w:r>
      <w:r>
        <w:rPr>
          <w:rFonts w:ascii="Times New Roman" w:hAnsi="Times New Roman" w:cs="David"/>
          <w:sz w:val="24"/>
          <w:szCs w:val="24"/>
        </w:rPr>
        <w:t>NIS</w:t>
      </w:r>
      <w:r w:rsidRPr="00BA33BC">
        <w:rPr>
          <w:rFonts w:ascii="Times New Roman" w:hAnsi="Times New Roman" w:cs="David"/>
          <w:sz w:val="24"/>
          <w:szCs w:val="24"/>
        </w:rPr>
        <w:t xml:space="preserve"> in core banking operations</w:t>
      </w:r>
      <w:r>
        <w:rPr>
          <w:rFonts w:ascii="Times New Roman" w:hAnsi="Times New Roman" w:cs="David"/>
          <w:sz w:val="24"/>
          <w:szCs w:val="24"/>
        </w:rPr>
        <w:t>:</w:t>
      </w:r>
    </w:p>
    <w:p w14:paraId="31CABAA5" w14:textId="77777777" w:rsidR="00E4231D" w:rsidRDefault="00E4231D" w:rsidP="00E4231D">
      <w:pPr>
        <w:bidi w:val="0"/>
        <w:spacing w:line="480" w:lineRule="auto"/>
        <w:ind w:left="857" w:firstLine="583"/>
        <w:jc w:val="both"/>
        <w:rPr>
          <w:rFonts w:ascii="Times New Roman" w:hAnsi="Times New Roman" w:cs="David"/>
          <w:sz w:val="24"/>
          <w:szCs w:val="24"/>
          <w:rtl/>
        </w:rPr>
      </w:pPr>
    </w:p>
    <w:p w14:paraId="6B1A9B90" w14:textId="34CE2E8C" w:rsidR="00863081" w:rsidRDefault="00863081" w:rsidP="00863081">
      <w:pPr>
        <w:bidi w:val="0"/>
        <w:spacing w:line="276" w:lineRule="auto"/>
        <w:ind w:left="720"/>
        <w:jc w:val="center"/>
        <w:rPr>
          <w:rFonts w:ascii="Times New Roman" w:hAnsi="Times New Roman" w:cs="David"/>
          <w:b/>
          <w:bCs/>
          <w:sz w:val="24"/>
          <w:szCs w:val="24"/>
        </w:rPr>
      </w:pPr>
      <w:r>
        <w:rPr>
          <w:rFonts w:ascii="Times New Roman" w:hAnsi="Times New Roman" w:cs="David"/>
          <w:b/>
          <w:bCs/>
          <w:sz w:val="24"/>
          <w:szCs w:val="24"/>
        </w:rPr>
        <w:t>Figure 1</w:t>
      </w:r>
      <w:r w:rsidR="007136D1">
        <w:rPr>
          <w:rFonts w:ascii="Times New Roman" w:hAnsi="Times New Roman" w:cs="David"/>
          <w:b/>
          <w:bCs/>
          <w:sz w:val="24"/>
          <w:szCs w:val="24"/>
        </w:rPr>
        <w:t>4</w:t>
      </w:r>
      <w:r>
        <w:rPr>
          <w:rFonts w:ascii="Times New Roman" w:hAnsi="Times New Roman" w:cs="David"/>
          <w:b/>
          <w:bCs/>
          <w:sz w:val="24"/>
          <w:szCs w:val="24"/>
        </w:rPr>
        <w:t xml:space="preserve"> - </w:t>
      </w:r>
      <w:r w:rsidRPr="00775198">
        <w:rPr>
          <w:rFonts w:ascii="Times New Roman" w:hAnsi="Times New Roman" w:cs="David"/>
          <w:b/>
          <w:bCs/>
          <w:sz w:val="24"/>
          <w:szCs w:val="24"/>
        </w:rPr>
        <w:t>Distribution of deposits governorates</w:t>
      </w:r>
      <w:r w:rsidR="009C59A4" w:rsidRPr="009C59A4">
        <w:rPr>
          <w:rFonts w:ascii="Times New Roman" w:hAnsi="Times New Roman" w:cs="David"/>
          <w:b/>
          <w:bCs/>
          <w:sz w:val="24"/>
          <w:szCs w:val="24"/>
        </w:rPr>
        <w:t xml:space="preserve"> </w:t>
      </w:r>
      <w:r w:rsidR="009C59A4" w:rsidRPr="00775198">
        <w:rPr>
          <w:rFonts w:ascii="Times New Roman" w:hAnsi="Times New Roman" w:cs="David"/>
          <w:b/>
          <w:bCs/>
          <w:sz w:val="24"/>
          <w:szCs w:val="24"/>
        </w:rPr>
        <w:t>by currency</w:t>
      </w:r>
      <w:r w:rsidR="001240F5" w:rsidRPr="001240F5">
        <w:rPr>
          <w:rFonts w:ascii="Times New Roman" w:hAnsi="Times New Roman" w:cs="David"/>
          <w:b/>
          <w:bCs/>
          <w:sz w:val="24"/>
          <w:szCs w:val="24"/>
        </w:rPr>
        <w:t xml:space="preserve"> </w:t>
      </w:r>
      <w:r w:rsidR="001240F5" w:rsidRPr="00D15132">
        <w:rPr>
          <w:rFonts w:ascii="Times New Roman" w:hAnsi="Times New Roman" w:cs="David"/>
          <w:b/>
          <w:bCs/>
          <w:sz w:val="24"/>
          <w:szCs w:val="24"/>
        </w:rPr>
        <w:t xml:space="preserve">in millions of </w:t>
      </w:r>
      <w:r w:rsidR="001240F5">
        <w:rPr>
          <w:rFonts w:ascii="Times New Roman" w:hAnsi="Times New Roman" w:cs="David"/>
          <w:b/>
          <w:bCs/>
          <w:sz w:val="24"/>
          <w:szCs w:val="24"/>
        </w:rPr>
        <w:t>US $</w:t>
      </w:r>
      <w:r w:rsidRPr="00775198">
        <w:rPr>
          <w:rFonts w:ascii="Times New Roman" w:hAnsi="Times New Roman" w:cs="David"/>
          <w:b/>
          <w:bCs/>
          <w:sz w:val="24"/>
          <w:szCs w:val="24"/>
        </w:rPr>
        <w:t xml:space="preserve"> </w:t>
      </w:r>
      <w:r w:rsidR="001240F5">
        <w:rPr>
          <w:rFonts w:ascii="Times New Roman" w:hAnsi="Times New Roman" w:cs="David"/>
          <w:b/>
          <w:bCs/>
          <w:sz w:val="24"/>
          <w:szCs w:val="24"/>
        </w:rPr>
        <w:t xml:space="preserve">and </w:t>
      </w:r>
      <w:r>
        <w:rPr>
          <w:rFonts w:ascii="Times New Roman" w:hAnsi="Times New Roman" w:cs="David"/>
          <w:b/>
          <w:bCs/>
          <w:sz w:val="24"/>
          <w:szCs w:val="24"/>
        </w:rPr>
        <w:t xml:space="preserve">in percentage </w:t>
      </w:r>
    </w:p>
    <w:tbl>
      <w:tblPr>
        <w:tblStyle w:val="TableGrid"/>
        <w:tblW w:w="95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6"/>
      </w:tblGrid>
      <w:tr w:rsidR="00863081" w14:paraId="7148A727" w14:textId="77777777" w:rsidTr="00416373">
        <w:trPr>
          <w:trHeight w:val="3011"/>
        </w:trPr>
        <w:tc>
          <w:tcPr>
            <w:tcW w:w="4776" w:type="dxa"/>
          </w:tcPr>
          <w:p w14:paraId="76CECC82" w14:textId="77777777" w:rsidR="00863081" w:rsidRDefault="00863081" w:rsidP="00416373">
            <w:pPr>
              <w:bidi w:val="0"/>
              <w:spacing w:line="276" w:lineRule="auto"/>
              <w:jc w:val="center"/>
              <w:rPr>
                <w:rFonts w:ascii="Times New Roman" w:hAnsi="Times New Roman" w:cs="David"/>
                <w:b/>
                <w:bCs/>
                <w:sz w:val="24"/>
                <w:szCs w:val="24"/>
              </w:rPr>
            </w:pPr>
            <w:r>
              <w:rPr>
                <w:noProof/>
              </w:rPr>
              <w:drawing>
                <wp:inline distT="0" distB="0" distL="0" distR="0" wp14:anchorId="052CA11E" wp14:editId="1C2DB61F">
                  <wp:extent cx="2880000" cy="1800000"/>
                  <wp:effectExtent l="0" t="0" r="15875" b="10160"/>
                  <wp:docPr id="28" name="תרשים 28">
                    <a:extLst xmlns:a="http://schemas.openxmlformats.org/drawingml/2006/main">
                      <a:ext uri="{FF2B5EF4-FFF2-40B4-BE49-F238E27FC236}">
                        <a16:creationId xmlns:a16="http://schemas.microsoft.com/office/drawing/2014/main" id="{3F2CCC00-51B5-4691-8F5E-95DED9334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776" w:type="dxa"/>
          </w:tcPr>
          <w:p w14:paraId="76889853" w14:textId="77777777" w:rsidR="00863081" w:rsidRDefault="00863081" w:rsidP="00416373">
            <w:pPr>
              <w:bidi w:val="0"/>
              <w:spacing w:line="276" w:lineRule="auto"/>
              <w:jc w:val="center"/>
              <w:rPr>
                <w:rFonts w:ascii="Times New Roman" w:hAnsi="Times New Roman" w:cs="David"/>
                <w:b/>
                <w:bCs/>
                <w:sz w:val="24"/>
                <w:szCs w:val="24"/>
              </w:rPr>
            </w:pPr>
            <w:r>
              <w:rPr>
                <w:noProof/>
              </w:rPr>
              <w:drawing>
                <wp:inline distT="0" distB="0" distL="0" distR="0" wp14:anchorId="20B07BE9" wp14:editId="2D8E5969">
                  <wp:extent cx="2880000" cy="1800000"/>
                  <wp:effectExtent l="0" t="0" r="15875" b="10160"/>
                  <wp:docPr id="27" name="תרשים 27">
                    <a:extLst xmlns:a="http://schemas.openxmlformats.org/drawingml/2006/main">
                      <a:ext uri="{FF2B5EF4-FFF2-40B4-BE49-F238E27FC236}">
                        <a16:creationId xmlns:a16="http://schemas.microsoft.com/office/drawing/2014/main" id="{AB8DD7ED-B2D6-43DF-80C8-77A0D2566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0B417EE1" w14:textId="586BD511" w:rsidR="00863081" w:rsidRDefault="009233C3" w:rsidP="00863081">
      <w:pPr>
        <w:bidi w:val="0"/>
        <w:spacing w:line="276" w:lineRule="auto"/>
        <w:ind w:left="720"/>
        <w:jc w:val="center"/>
        <w:rPr>
          <w:rFonts w:ascii="Times New Roman" w:hAnsi="Times New Roman" w:cs="David"/>
          <w:sz w:val="24"/>
          <w:szCs w:val="24"/>
        </w:rPr>
      </w:pPr>
      <w:r w:rsidRPr="009233C3">
        <w:rPr>
          <w:rFonts w:ascii="Times New Roman" w:hAnsi="Times New Roman" w:cs="David"/>
          <w:sz w:val="24"/>
          <w:szCs w:val="24"/>
        </w:rPr>
        <w:t>Source: PMA</w:t>
      </w:r>
    </w:p>
    <w:p w14:paraId="3D611642" w14:textId="77777777" w:rsidR="009233C3" w:rsidRPr="009233C3" w:rsidRDefault="009233C3" w:rsidP="009233C3">
      <w:pPr>
        <w:bidi w:val="0"/>
        <w:spacing w:line="276" w:lineRule="auto"/>
        <w:ind w:left="720"/>
        <w:jc w:val="center"/>
        <w:rPr>
          <w:rFonts w:ascii="Times New Roman" w:hAnsi="Times New Roman" w:cs="David"/>
          <w:sz w:val="24"/>
          <w:szCs w:val="24"/>
        </w:rPr>
      </w:pPr>
    </w:p>
    <w:p w14:paraId="6AAD2D04" w14:textId="30F9E2A1" w:rsidR="00863081" w:rsidRDefault="00863081" w:rsidP="00863081">
      <w:pPr>
        <w:bidi w:val="0"/>
        <w:spacing w:line="276" w:lineRule="auto"/>
        <w:ind w:left="720"/>
        <w:jc w:val="center"/>
        <w:rPr>
          <w:rFonts w:ascii="Times New Roman" w:hAnsi="Times New Roman" w:cs="David"/>
          <w:b/>
          <w:bCs/>
          <w:sz w:val="24"/>
          <w:szCs w:val="24"/>
        </w:rPr>
      </w:pPr>
      <w:r>
        <w:rPr>
          <w:rFonts w:ascii="Times New Roman" w:hAnsi="Times New Roman" w:cs="David"/>
          <w:b/>
          <w:bCs/>
          <w:sz w:val="24"/>
          <w:szCs w:val="24"/>
        </w:rPr>
        <w:t xml:space="preserve">Figure </w:t>
      </w:r>
      <w:r w:rsidR="007136D1">
        <w:rPr>
          <w:rFonts w:ascii="Times New Roman" w:hAnsi="Times New Roman" w:cs="David"/>
          <w:b/>
          <w:bCs/>
          <w:sz w:val="24"/>
          <w:szCs w:val="24"/>
        </w:rPr>
        <w:t>15</w:t>
      </w:r>
      <w:r>
        <w:rPr>
          <w:rFonts w:ascii="Times New Roman" w:hAnsi="Times New Roman" w:cs="David"/>
          <w:b/>
          <w:bCs/>
          <w:sz w:val="24"/>
          <w:szCs w:val="24"/>
        </w:rPr>
        <w:t xml:space="preserve">- </w:t>
      </w:r>
      <w:r w:rsidRPr="00560A64">
        <w:rPr>
          <w:rFonts w:ascii="Times New Roman" w:hAnsi="Times New Roman" w:cs="David"/>
          <w:b/>
          <w:bCs/>
          <w:sz w:val="24"/>
          <w:szCs w:val="24"/>
        </w:rPr>
        <w:t xml:space="preserve">Distribution of gross credit facilities </w:t>
      </w:r>
      <w:r w:rsidR="008F19A1" w:rsidRPr="00775198">
        <w:rPr>
          <w:rFonts w:ascii="Times New Roman" w:hAnsi="Times New Roman" w:cs="David"/>
          <w:b/>
          <w:bCs/>
          <w:sz w:val="24"/>
          <w:szCs w:val="24"/>
        </w:rPr>
        <w:t>governorates</w:t>
      </w:r>
      <w:r w:rsidR="008F19A1" w:rsidRPr="009C59A4">
        <w:rPr>
          <w:rFonts w:ascii="Times New Roman" w:hAnsi="Times New Roman" w:cs="David"/>
          <w:b/>
          <w:bCs/>
          <w:sz w:val="24"/>
          <w:szCs w:val="24"/>
        </w:rPr>
        <w:t xml:space="preserve"> </w:t>
      </w:r>
      <w:r w:rsidR="008F19A1" w:rsidRPr="00775198">
        <w:rPr>
          <w:rFonts w:ascii="Times New Roman" w:hAnsi="Times New Roman" w:cs="David"/>
          <w:b/>
          <w:bCs/>
          <w:sz w:val="24"/>
          <w:szCs w:val="24"/>
        </w:rPr>
        <w:t>by currency</w:t>
      </w:r>
      <w:r w:rsidR="008F19A1" w:rsidRPr="001240F5">
        <w:rPr>
          <w:rFonts w:ascii="Times New Roman" w:hAnsi="Times New Roman" w:cs="David"/>
          <w:b/>
          <w:bCs/>
          <w:sz w:val="24"/>
          <w:szCs w:val="24"/>
        </w:rPr>
        <w:t xml:space="preserve"> </w:t>
      </w:r>
      <w:r w:rsidR="008F19A1" w:rsidRPr="00D15132">
        <w:rPr>
          <w:rFonts w:ascii="Times New Roman" w:hAnsi="Times New Roman" w:cs="David"/>
          <w:b/>
          <w:bCs/>
          <w:sz w:val="24"/>
          <w:szCs w:val="24"/>
        </w:rPr>
        <w:t xml:space="preserve">in millions of </w:t>
      </w:r>
      <w:r w:rsidR="008F19A1">
        <w:rPr>
          <w:rFonts w:ascii="Times New Roman" w:hAnsi="Times New Roman" w:cs="David"/>
          <w:b/>
          <w:bCs/>
          <w:sz w:val="24"/>
          <w:szCs w:val="24"/>
        </w:rPr>
        <w:t>US $</w:t>
      </w:r>
      <w:r w:rsidR="008F19A1" w:rsidRPr="00775198">
        <w:rPr>
          <w:rFonts w:ascii="Times New Roman" w:hAnsi="Times New Roman" w:cs="David"/>
          <w:b/>
          <w:bCs/>
          <w:sz w:val="24"/>
          <w:szCs w:val="24"/>
        </w:rPr>
        <w:t xml:space="preserve"> </w:t>
      </w:r>
      <w:r w:rsidR="008F19A1">
        <w:rPr>
          <w:rFonts w:ascii="Times New Roman" w:hAnsi="Times New Roman" w:cs="David"/>
          <w:b/>
          <w:bCs/>
          <w:sz w:val="24"/>
          <w:szCs w:val="24"/>
        </w:rPr>
        <w:t>and in percentage</w:t>
      </w:r>
    </w:p>
    <w:tbl>
      <w:tblPr>
        <w:tblStyle w:val="TableGrid"/>
        <w:tblW w:w="95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6"/>
      </w:tblGrid>
      <w:tr w:rsidR="00863081" w14:paraId="25A59E52" w14:textId="77777777" w:rsidTr="00416373">
        <w:trPr>
          <w:trHeight w:val="3011"/>
        </w:trPr>
        <w:tc>
          <w:tcPr>
            <w:tcW w:w="4776" w:type="dxa"/>
          </w:tcPr>
          <w:p w14:paraId="10A4E3E6" w14:textId="77777777" w:rsidR="00863081" w:rsidRDefault="00863081" w:rsidP="00416373">
            <w:pPr>
              <w:bidi w:val="0"/>
              <w:spacing w:line="276" w:lineRule="auto"/>
              <w:jc w:val="center"/>
              <w:rPr>
                <w:rFonts w:ascii="Times New Roman" w:hAnsi="Times New Roman" w:cs="David"/>
                <w:b/>
                <w:bCs/>
                <w:sz w:val="24"/>
                <w:szCs w:val="24"/>
              </w:rPr>
            </w:pPr>
            <w:r>
              <w:rPr>
                <w:noProof/>
              </w:rPr>
              <w:drawing>
                <wp:inline distT="0" distB="0" distL="0" distR="0" wp14:anchorId="4908DAB9" wp14:editId="73BBD348">
                  <wp:extent cx="2880000" cy="1800000"/>
                  <wp:effectExtent l="0" t="0" r="15875" b="10160"/>
                  <wp:docPr id="29" name="תרשים 29">
                    <a:extLst xmlns:a="http://schemas.openxmlformats.org/drawingml/2006/main">
                      <a:ext uri="{FF2B5EF4-FFF2-40B4-BE49-F238E27FC236}">
                        <a16:creationId xmlns:a16="http://schemas.microsoft.com/office/drawing/2014/main" id="{5C4EC76E-0047-4AD5-9B6F-05EDBC06A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76" w:type="dxa"/>
          </w:tcPr>
          <w:p w14:paraId="20C7A22F" w14:textId="77777777" w:rsidR="00863081" w:rsidRDefault="00863081" w:rsidP="00416373">
            <w:pPr>
              <w:bidi w:val="0"/>
              <w:spacing w:line="276" w:lineRule="auto"/>
              <w:jc w:val="center"/>
              <w:rPr>
                <w:rFonts w:ascii="Times New Roman" w:hAnsi="Times New Roman" w:cs="David"/>
                <w:b/>
                <w:bCs/>
                <w:sz w:val="24"/>
                <w:szCs w:val="24"/>
              </w:rPr>
            </w:pPr>
            <w:r>
              <w:rPr>
                <w:noProof/>
              </w:rPr>
              <w:drawing>
                <wp:inline distT="0" distB="0" distL="0" distR="0" wp14:anchorId="07A55677" wp14:editId="6CF2B685">
                  <wp:extent cx="2880000" cy="1800000"/>
                  <wp:effectExtent l="0" t="0" r="15875" b="10160"/>
                  <wp:docPr id="30" name="תרשים 30">
                    <a:extLst xmlns:a="http://schemas.openxmlformats.org/drawingml/2006/main">
                      <a:ext uri="{FF2B5EF4-FFF2-40B4-BE49-F238E27FC236}">
                        <a16:creationId xmlns:a16="http://schemas.microsoft.com/office/drawing/2014/main" id="{BCDF5D22-F805-4F3B-AA45-B8406ECD8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1CDAC6AD" w14:textId="77777777" w:rsidR="009233C3" w:rsidRPr="009233C3" w:rsidRDefault="009233C3" w:rsidP="009233C3">
      <w:pPr>
        <w:bidi w:val="0"/>
        <w:spacing w:line="276" w:lineRule="auto"/>
        <w:ind w:left="720"/>
        <w:jc w:val="center"/>
        <w:rPr>
          <w:rFonts w:ascii="Times New Roman" w:hAnsi="Times New Roman" w:cs="David"/>
          <w:sz w:val="24"/>
          <w:szCs w:val="24"/>
        </w:rPr>
      </w:pPr>
      <w:r w:rsidRPr="009233C3">
        <w:rPr>
          <w:rFonts w:ascii="Times New Roman" w:hAnsi="Times New Roman" w:cs="David"/>
          <w:sz w:val="24"/>
          <w:szCs w:val="24"/>
        </w:rPr>
        <w:t>Source: PMA</w:t>
      </w:r>
    </w:p>
    <w:p w14:paraId="1A5150FA" w14:textId="77777777" w:rsidR="009233C3" w:rsidRDefault="009233C3" w:rsidP="009233C3">
      <w:pPr>
        <w:bidi w:val="0"/>
        <w:spacing w:line="276" w:lineRule="auto"/>
        <w:ind w:left="720"/>
        <w:jc w:val="center"/>
        <w:rPr>
          <w:rFonts w:ascii="Times New Roman" w:hAnsi="Times New Roman" w:cs="David"/>
          <w:b/>
          <w:bCs/>
          <w:sz w:val="24"/>
          <w:szCs w:val="24"/>
        </w:rPr>
      </w:pPr>
    </w:p>
    <w:p w14:paraId="63DA4629" w14:textId="70B90FF2" w:rsidR="00863081" w:rsidRPr="004D56A6" w:rsidRDefault="00863081" w:rsidP="007136D1">
      <w:pPr>
        <w:bidi w:val="0"/>
        <w:spacing w:line="276" w:lineRule="auto"/>
        <w:ind w:left="720"/>
        <w:jc w:val="center"/>
        <w:rPr>
          <w:rFonts w:ascii="Times New Roman" w:hAnsi="Times New Roman" w:cs="David"/>
          <w:b/>
          <w:bCs/>
          <w:sz w:val="24"/>
          <w:szCs w:val="24"/>
        </w:rPr>
      </w:pPr>
      <w:r w:rsidRPr="004B0535">
        <w:rPr>
          <w:rFonts w:ascii="Times New Roman" w:hAnsi="Times New Roman" w:cs="David"/>
          <w:b/>
          <w:bCs/>
          <w:sz w:val="24"/>
          <w:szCs w:val="24"/>
        </w:rPr>
        <w:t xml:space="preserve">Figure </w:t>
      </w:r>
      <w:r w:rsidR="007136D1">
        <w:rPr>
          <w:rFonts w:ascii="Times New Roman" w:hAnsi="Times New Roman" w:cs="David"/>
          <w:b/>
          <w:bCs/>
          <w:sz w:val="24"/>
          <w:szCs w:val="24"/>
        </w:rPr>
        <w:t>16</w:t>
      </w:r>
      <w:r w:rsidRPr="004B0535">
        <w:rPr>
          <w:rFonts w:ascii="Times New Roman" w:hAnsi="Times New Roman" w:cs="David"/>
          <w:b/>
          <w:bCs/>
          <w:sz w:val="24"/>
          <w:szCs w:val="24"/>
        </w:rPr>
        <w:t xml:space="preserve"> </w:t>
      </w:r>
      <w:r>
        <w:rPr>
          <w:rFonts w:ascii="Times New Roman" w:hAnsi="Times New Roman" w:cs="David"/>
          <w:b/>
          <w:bCs/>
          <w:sz w:val="24"/>
          <w:szCs w:val="24"/>
        </w:rPr>
        <w:t>–</w:t>
      </w:r>
      <w:r w:rsidRPr="004B0535">
        <w:rPr>
          <w:rFonts w:ascii="Times New Roman" w:hAnsi="Times New Roman" w:cs="David"/>
          <w:b/>
          <w:bCs/>
          <w:sz w:val="24"/>
          <w:szCs w:val="24"/>
        </w:rPr>
        <w:t xml:space="preserve"> </w:t>
      </w:r>
      <w:r>
        <w:rPr>
          <w:rFonts w:ascii="Times New Roman" w:hAnsi="Times New Roman" w:cs="David"/>
          <w:b/>
          <w:bCs/>
          <w:sz w:val="24"/>
          <w:szCs w:val="24"/>
        </w:rPr>
        <w:t>Distribution</w:t>
      </w:r>
      <w:r w:rsidRPr="00541052">
        <w:rPr>
          <w:rFonts w:ascii="Times New Roman" w:hAnsi="Times New Roman" w:cs="David"/>
          <w:b/>
          <w:bCs/>
          <w:sz w:val="24"/>
          <w:szCs w:val="24"/>
        </w:rPr>
        <w:t xml:space="preserve"> of </w:t>
      </w:r>
      <w:r>
        <w:rPr>
          <w:rFonts w:ascii="Times New Roman" w:hAnsi="Times New Roman" w:cs="David"/>
          <w:b/>
          <w:bCs/>
          <w:sz w:val="24"/>
          <w:szCs w:val="24"/>
        </w:rPr>
        <w:t>c</w:t>
      </w:r>
      <w:r w:rsidRPr="004B0535">
        <w:rPr>
          <w:rFonts w:ascii="Times New Roman" w:hAnsi="Times New Roman" w:cs="David"/>
          <w:b/>
          <w:bCs/>
          <w:sz w:val="24"/>
          <w:szCs w:val="24"/>
        </w:rPr>
        <w:t>hecks presented for clearing in the</w:t>
      </w:r>
      <w:r w:rsidR="007136D1">
        <w:rPr>
          <w:rFonts w:ascii="Times New Roman" w:hAnsi="Times New Roman" w:cs="David"/>
          <w:b/>
          <w:bCs/>
          <w:sz w:val="24"/>
          <w:szCs w:val="24"/>
        </w:rPr>
        <w:t xml:space="preserve"> </w:t>
      </w:r>
      <w:r w:rsidRPr="004B0535">
        <w:rPr>
          <w:rFonts w:ascii="Times New Roman" w:hAnsi="Times New Roman" w:cs="David"/>
          <w:b/>
          <w:bCs/>
          <w:sz w:val="24"/>
          <w:szCs w:val="24"/>
        </w:rPr>
        <w:t xml:space="preserve">Palestinian Authority </w:t>
      </w:r>
      <w:r w:rsidR="008F19A1" w:rsidRPr="00775198">
        <w:rPr>
          <w:rFonts w:ascii="Times New Roman" w:hAnsi="Times New Roman" w:cs="David"/>
          <w:b/>
          <w:bCs/>
          <w:sz w:val="24"/>
          <w:szCs w:val="24"/>
        </w:rPr>
        <w:t>governorates</w:t>
      </w:r>
      <w:r w:rsidR="008F19A1" w:rsidRPr="009C59A4">
        <w:rPr>
          <w:rFonts w:ascii="Times New Roman" w:hAnsi="Times New Roman" w:cs="David"/>
          <w:b/>
          <w:bCs/>
          <w:sz w:val="24"/>
          <w:szCs w:val="24"/>
        </w:rPr>
        <w:t xml:space="preserve"> </w:t>
      </w:r>
      <w:r w:rsidR="008F19A1" w:rsidRPr="00775198">
        <w:rPr>
          <w:rFonts w:ascii="Times New Roman" w:hAnsi="Times New Roman" w:cs="David"/>
          <w:b/>
          <w:bCs/>
          <w:sz w:val="24"/>
          <w:szCs w:val="24"/>
        </w:rPr>
        <w:t>by currency</w:t>
      </w:r>
      <w:r w:rsidR="008F19A1" w:rsidRPr="001240F5">
        <w:rPr>
          <w:rFonts w:ascii="Times New Roman" w:hAnsi="Times New Roman" w:cs="David"/>
          <w:b/>
          <w:bCs/>
          <w:sz w:val="24"/>
          <w:szCs w:val="24"/>
        </w:rPr>
        <w:t xml:space="preserve"> </w:t>
      </w:r>
      <w:r w:rsidR="008F19A1" w:rsidRPr="00D15132">
        <w:rPr>
          <w:rFonts w:ascii="Times New Roman" w:hAnsi="Times New Roman" w:cs="David"/>
          <w:b/>
          <w:bCs/>
          <w:sz w:val="24"/>
          <w:szCs w:val="24"/>
        </w:rPr>
        <w:t xml:space="preserve">in millions of </w:t>
      </w:r>
      <w:r w:rsidR="008F19A1">
        <w:rPr>
          <w:rFonts w:ascii="Times New Roman" w:hAnsi="Times New Roman" w:cs="David"/>
          <w:b/>
          <w:bCs/>
          <w:sz w:val="24"/>
          <w:szCs w:val="24"/>
        </w:rPr>
        <w:t>US $</w:t>
      </w:r>
      <w:r w:rsidR="008F19A1" w:rsidRPr="00775198">
        <w:rPr>
          <w:rFonts w:ascii="Times New Roman" w:hAnsi="Times New Roman" w:cs="David"/>
          <w:b/>
          <w:bCs/>
          <w:sz w:val="24"/>
          <w:szCs w:val="24"/>
        </w:rPr>
        <w:t xml:space="preserve"> </w:t>
      </w:r>
      <w:r w:rsidR="008F19A1">
        <w:rPr>
          <w:rFonts w:ascii="Times New Roman" w:hAnsi="Times New Roman" w:cs="David"/>
          <w:b/>
          <w:bCs/>
          <w:sz w:val="24"/>
          <w:szCs w:val="24"/>
        </w:rPr>
        <w:t>and in percentage</w:t>
      </w:r>
    </w:p>
    <w:tbl>
      <w:tblPr>
        <w:tblStyle w:val="TableGrid"/>
        <w:tblW w:w="95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6"/>
      </w:tblGrid>
      <w:tr w:rsidR="00863081" w14:paraId="1749DB57" w14:textId="77777777" w:rsidTr="00416373">
        <w:trPr>
          <w:trHeight w:val="3011"/>
        </w:trPr>
        <w:tc>
          <w:tcPr>
            <w:tcW w:w="4776" w:type="dxa"/>
          </w:tcPr>
          <w:p w14:paraId="47C27DF8" w14:textId="77777777" w:rsidR="00863081" w:rsidRDefault="00863081" w:rsidP="00416373">
            <w:pPr>
              <w:bidi w:val="0"/>
              <w:spacing w:line="276" w:lineRule="auto"/>
              <w:jc w:val="center"/>
              <w:rPr>
                <w:rFonts w:ascii="Times New Roman" w:hAnsi="Times New Roman" w:cs="David"/>
                <w:b/>
                <w:bCs/>
                <w:sz w:val="24"/>
                <w:szCs w:val="24"/>
              </w:rPr>
            </w:pPr>
            <w:r>
              <w:rPr>
                <w:noProof/>
              </w:rPr>
              <w:drawing>
                <wp:inline distT="0" distB="0" distL="0" distR="0" wp14:anchorId="3650FB5C" wp14:editId="5BC7D9C1">
                  <wp:extent cx="2880000" cy="1800000"/>
                  <wp:effectExtent l="0" t="0" r="15875" b="10160"/>
                  <wp:docPr id="35" name="תרשים 35">
                    <a:extLst xmlns:a="http://schemas.openxmlformats.org/drawingml/2006/main">
                      <a:ext uri="{FF2B5EF4-FFF2-40B4-BE49-F238E27FC236}">
                        <a16:creationId xmlns:a16="http://schemas.microsoft.com/office/drawing/2014/main" id="{0C522E12-41A2-4EA7-AED9-01566B4DA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776" w:type="dxa"/>
          </w:tcPr>
          <w:p w14:paraId="0B675C3A" w14:textId="77777777" w:rsidR="00863081" w:rsidRDefault="00863081" w:rsidP="00416373">
            <w:pPr>
              <w:bidi w:val="0"/>
              <w:spacing w:line="276" w:lineRule="auto"/>
              <w:jc w:val="center"/>
              <w:rPr>
                <w:rFonts w:ascii="Times New Roman" w:hAnsi="Times New Roman" w:cs="David"/>
                <w:b/>
                <w:bCs/>
                <w:sz w:val="24"/>
                <w:szCs w:val="24"/>
              </w:rPr>
            </w:pPr>
            <w:r>
              <w:rPr>
                <w:noProof/>
              </w:rPr>
              <w:drawing>
                <wp:inline distT="0" distB="0" distL="0" distR="0" wp14:anchorId="1CF99915" wp14:editId="2E72778C">
                  <wp:extent cx="2880000" cy="1800000"/>
                  <wp:effectExtent l="0" t="0" r="15875" b="10160"/>
                  <wp:docPr id="31" name="תרשים 31">
                    <a:extLst xmlns:a="http://schemas.openxmlformats.org/drawingml/2006/main">
                      <a:ext uri="{FF2B5EF4-FFF2-40B4-BE49-F238E27FC236}">
                        <a16:creationId xmlns:a16="http://schemas.microsoft.com/office/drawing/2014/main" id="{87D44E8A-1B0F-4BF3-92E7-94E786D193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1307B471" w14:textId="77777777" w:rsidR="009233C3" w:rsidRPr="009233C3" w:rsidRDefault="009233C3" w:rsidP="009233C3">
      <w:pPr>
        <w:bidi w:val="0"/>
        <w:spacing w:line="276" w:lineRule="auto"/>
        <w:ind w:left="720"/>
        <w:jc w:val="center"/>
        <w:rPr>
          <w:rFonts w:ascii="Times New Roman" w:hAnsi="Times New Roman" w:cs="David"/>
          <w:sz w:val="24"/>
          <w:szCs w:val="24"/>
        </w:rPr>
      </w:pPr>
      <w:r w:rsidRPr="009233C3">
        <w:rPr>
          <w:rFonts w:ascii="Times New Roman" w:hAnsi="Times New Roman" w:cs="David"/>
          <w:sz w:val="24"/>
          <w:szCs w:val="24"/>
        </w:rPr>
        <w:t>Source: PMA</w:t>
      </w:r>
    </w:p>
    <w:p w14:paraId="79D0370C" w14:textId="77777777" w:rsidR="00863081" w:rsidRDefault="00863081" w:rsidP="00863081">
      <w:pPr>
        <w:spacing w:line="276" w:lineRule="auto"/>
        <w:ind w:left="720"/>
        <w:rPr>
          <w:rFonts w:cs="David"/>
          <w:b/>
          <w:bCs/>
          <w:rtl/>
        </w:rPr>
      </w:pPr>
    </w:p>
    <w:p w14:paraId="43DCCB88" w14:textId="77777777" w:rsidR="00863081" w:rsidRDefault="00863081" w:rsidP="00863081">
      <w:pPr>
        <w:spacing w:line="276" w:lineRule="auto"/>
        <w:ind w:left="720"/>
        <w:rPr>
          <w:rFonts w:cs="David"/>
          <w:b/>
          <w:bCs/>
          <w:rtl/>
        </w:rPr>
      </w:pPr>
    </w:p>
    <w:p w14:paraId="50716168" w14:textId="77777777" w:rsidR="007E4453" w:rsidRDefault="007E4453" w:rsidP="004979C6">
      <w:pPr>
        <w:bidi w:val="0"/>
        <w:spacing w:line="480" w:lineRule="auto"/>
        <w:ind w:left="851" w:firstLine="589"/>
        <w:jc w:val="both"/>
        <w:rPr>
          <w:rFonts w:ascii="Times New Roman" w:hAnsi="Times New Roman" w:cs="David"/>
          <w:sz w:val="24"/>
          <w:szCs w:val="24"/>
        </w:rPr>
      </w:pPr>
    </w:p>
    <w:p w14:paraId="752AC1D0" w14:textId="28B2C460" w:rsidR="00863081" w:rsidRDefault="00863081" w:rsidP="007E4453">
      <w:pPr>
        <w:bidi w:val="0"/>
        <w:spacing w:line="480" w:lineRule="auto"/>
        <w:ind w:left="851" w:firstLine="589"/>
        <w:jc w:val="both"/>
        <w:rPr>
          <w:rFonts w:ascii="Times New Roman" w:hAnsi="Times New Roman" w:cs="David"/>
          <w:sz w:val="24"/>
          <w:szCs w:val="24"/>
        </w:rPr>
      </w:pPr>
      <w:r w:rsidRPr="00151106">
        <w:rPr>
          <w:rFonts w:ascii="Times New Roman" w:hAnsi="Times New Roman" w:cs="David"/>
          <w:sz w:val="24"/>
          <w:szCs w:val="24"/>
        </w:rPr>
        <w:t>Some scholars have examined a change in the existing mechanism under which the Palestinian Authority will issue its own independent currency:</w:t>
      </w:r>
      <w:r>
        <w:rPr>
          <w:rFonts w:ascii="Times New Roman" w:hAnsi="Times New Roman" w:cs="David"/>
          <w:sz w:val="24"/>
          <w:szCs w:val="24"/>
        </w:rPr>
        <w:t xml:space="preserve"> </w:t>
      </w:r>
      <w:proofErr w:type="spellStart"/>
      <w:r>
        <w:rPr>
          <w:rFonts w:ascii="Times New Roman" w:hAnsi="Times New Roman" w:cs="David"/>
          <w:sz w:val="24"/>
          <w:szCs w:val="24"/>
        </w:rPr>
        <w:t>Arnon</w:t>
      </w:r>
      <w:proofErr w:type="spellEnd"/>
      <w:r>
        <w:rPr>
          <w:rFonts w:ascii="Times New Roman" w:hAnsi="Times New Roman" w:cs="David"/>
          <w:sz w:val="24"/>
          <w:szCs w:val="24"/>
        </w:rPr>
        <w:t xml:space="preserve"> and Spivak (1995) </w:t>
      </w:r>
      <w:r w:rsidRPr="006462F3">
        <w:rPr>
          <w:rFonts w:ascii="Times New Roman" w:hAnsi="Times New Roman" w:cs="David"/>
          <w:sz w:val="24"/>
          <w:szCs w:val="24"/>
        </w:rPr>
        <w:t>found that there are substantial revenues to be gained from the introduc</w:t>
      </w:r>
      <w:r>
        <w:rPr>
          <w:rFonts w:ascii="Times New Roman" w:hAnsi="Times New Roman" w:cs="David"/>
          <w:sz w:val="24"/>
          <w:szCs w:val="24"/>
        </w:rPr>
        <w:t>tion of a Palestinian currency—</w:t>
      </w:r>
      <w:r w:rsidRPr="006462F3">
        <w:rPr>
          <w:rFonts w:ascii="Times New Roman" w:hAnsi="Times New Roman" w:cs="David"/>
          <w:sz w:val="24"/>
          <w:szCs w:val="24"/>
        </w:rPr>
        <w:t>it will yield a short</w:t>
      </w:r>
      <w:r w:rsidRPr="006462F3">
        <w:rPr>
          <w:rFonts w:ascii="Times New Roman" w:hAnsi="Times New Roman" w:cs="David"/>
          <w:sz w:val="24"/>
          <w:szCs w:val="24"/>
        </w:rPr>
        <w:softHyphen/>
      </w:r>
      <w:r>
        <w:rPr>
          <w:rFonts w:ascii="Times New Roman" w:hAnsi="Times New Roman" w:cs="David"/>
          <w:sz w:val="24"/>
          <w:szCs w:val="24"/>
        </w:rPr>
        <w:t>-</w:t>
      </w:r>
      <w:r w:rsidRPr="006462F3">
        <w:rPr>
          <w:rFonts w:ascii="Times New Roman" w:hAnsi="Times New Roman" w:cs="David"/>
          <w:sz w:val="24"/>
          <w:szCs w:val="24"/>
        </w:rPr>
        <w:t>term re</w:t>
      </w:r>
      <w:r>
        <w:rPr>
          <w:rFonts w:ascii="Times New Roman" w:hAnsi="Times New Roman" w:cs="David"/>
          <w:sz w:val="24"/>
          <w:szCs w:val="24"/>
        </w:rPr>
        <w:t xml:space="preserve">venue amounting to more than 22% of the GDP (in the </w:t>
      </w:r>
      <w:r w:rsidRPr="006462F3">
        <w:rPr>
          <w:rFonts w:ascii="Times New Roman" w:hAnsi="Times New Roman" w:cs="David"/>
          <w:sz w:val="24"/>
          <w:szCs w:val="24"/>
        </w:rPr>
        <w:t>f</w:t>
      </w:r>
      <w:r>
        <w:rPr>
          <w:rFonts w:ascii="Times New Roman" w:hAnsi="Times New Roman" w:cs="David"/>
          <w:sz w:val="24"/>
          <w:szCs w:val="24"/>
        </w:rPr>
        <w:t xml:space="preserve">irst </w:t>
      </w:r>
      <w:r w:rsidRPr="006462F3">
        <w:rPr>
          <w:rFonts w:ascii="Times New Roman" w:hAnsi="Times New Roman" w:cs="David"/>
          <w:sz w:val="24"/>
          <w:szCs w:val="24"/>
        </w:rPr>
        <w:t>f</w:t>
      </w:r>
      <w:r>
        <w:rPr>
          <w:rFonts w:ascii="Times New Roman" w:hAnsi="Times New Roman" w:cs="David"/>
          <w:sz w:val="24"/>
          <w:szCs w:val="24"/>
        </w:rPr>
        <w:t>i</w:t>
      </w:r>
      <w:r w:rsidRPr="006462F3">
        <w:rPr>
          <w:rFonts w:ascii="Times New Roman" w:hAnsi="Times New Roman" w:cs="David"/>
          <w:sz w:val="24"/>
          <w:szCs w:val="24"/>
        </w:rPr>
        <w:t>ve years) and around 1.29</w:t>
      </w:r>
      <w:r>
        <w:rPr>
          <w:rFonts w:ascii="Times New Roman" w:hAnsi="Times New Roman" w:cs="David"/>
          <w:sz w:val="24"/>
          <w:szCs w:val="24"/>
        </w:rPr>
        <w:t>%</w:t>
      </w:r>
      <w:r w:rsidRPr="006462F3">
        <w:rPr>
          <w:rFonts w:ascii="Times New Roman" w:hAnsi="Times New Roman" w:cs="David"/>
          <w:sz w:val="24"/>
          <w:szCs w:val="24"/>
        </w:rPr>
        <w:t xml:space="preserve"> annually in the long</w:t>
      </w:r>
      <w:r w:rsidRPr="006462F3">
        <w:rPr>
          <w:rFonts w:ascii="Times New Roman" w:hAnsi="Times New Roman" w:cs="David"/>
          <w:sz w:val="24"/>
          <w:szCs w:val="24"/>
        </w:rPr>
        <w:softHyphen/>
      </w:r>
      <w:r>
        <w:rPr>
          <w:rFonts w:ascii="Times New Roman" w:hAnsi="Times New Roman" w:cs="David"/>
          <w:sz w:val="24"/>
          <w:szCs w:val="24"/>
        </w:rPr>
        <w:t xml:space="preserve">-run. </w:t>
      </w:r>
      <w:r w:rsidRPr="006462F3">
        <w:rPr>
          <w:rFonts w:ascii="Times New Roman" w:hAnsi="Times New Roman" w:cs="David"/>
          <w:sz w:val="24"/>
          <w:szCs w:val="24"/>
        </w:rPr>
        <w:t>The revenues will decrease in direct proportion to an increase in the actual money</w:t>
      </w:r>
      <w:r w:rsidRPr="006462F3">
        <w:rPr>
          <w:rFonts w:ascii="Times New Roman" w:hAnsi="Times New Roman" w:cs="David"/>
          <w:sz w:val="24"/>
          <w:szCs w:val="24"/>
        </w:rPr>
        <w:softHyphen/>
      </w:r>
      <w:r>
        <w:rPr>
          <w:rFonts w:ascii="Times New Roman" w:hAnsi="Times New Roman" w:cs="David"/>
          <w:sz w:val="24"/>
          <w:szCs w:val="24"/>
        </w:rPr>
        <w:t>-</w:t>
      </w:r>
      <w:r w:rsidRPr="006462F3">
        <w:rPr>
          <w:rFonts w:ascii="Times New Roman" w:hAnsi="Times New Roman" w:cs="David"/>
          <w:sz w:val="24"/>
          <w:szCs w:val="24"/>
        </w:rPr>
        <w:t xml:space="preserve">multiplier. </w:t>
      </w:r>
      <w:proofErr w:type="spellStart"/>
      <w:r w:rsidRPr="006B691E">
        <w:rPr>
          <w:rFonts w:ascii="Times New Roman" w:hAnsi="Times New Roman" w:cs="David"/>
          <w:sz w:val="24"/>
          <w:szCs w:val="24"/>
        </w:rPr>
        <w:t>Cobham</w:t>
      </w:r>
      <w:proofErr w:type="spellEnd"/>
      <w:r w:rsidRPr="006B691E">
        <w:rPr>
          <w:rFonts w:ascii="Times New Roman" w:hAnsi="Times New Roman" w:cs="David"/>
          <w:sz w:val="24"/>
          <w:szCs w:val="24"/>
        </w:rPr>
        <w:t xml:space="preserve"> (2004) sugges</w:t>
      </w:r>
      <w:r>
        <w:rPr>
          <w:rFonts w:ascii="Times New Roman" w:hAnsi="Times New Roman" w:cs="David"/>
          <w:sz w:val="24"/>
          <w:szCs w:val="24"/>
        </w:rPr>
        <w:t>t</w:t>
      </w:r>
      <w:r w:rsidR="00D602F7">
        <w:rPr>
          <w:rFonts w:ascii="Times New Roman" w:hAnsi="Times New Roman" w:cs="David"/>
          <w:sz w:val="24"/>
          <w:szCs w:val="24"/>
        </w:rPr>
        <w:t>ed</w:t>
      </w:r>
      <w:r>
        <w:rPr>
          <w:rFonts w:ascii="Times New Roman" w:hAnsi="Times New Roman" w:cs="David"/>
          <w:sz w:val="24"/>
          <w:szCs w:val="24"/>
        </w:rPr>
        <w:t xml:space="preserve"> that a new Palestinian state would</w:t>
      </w:r>
      <w:r w:rsidRPr="006B691E">
        <w:rPr>
          <w:rFonts w:ascii="Times New Roman" w:hAnsi="Times New Roman" w:cs="David"/>
          <w:sz w:val="24"/>
          <w:szCs w:val="24"/>
        </w:rPr>
        <w:t xml:space="preserve"> initially</w:t>
      </w:r>
      <w:r>
        <w:rPr>
          <w:rFonts w:ascii="Times New Roman" w:hAnsi="Times New Roman" w:cs="David"/>
          <w:sz w:val="24"/>
          <w:szCs w:val="24"/>
        </w:rPr>
        <w:t xml:space="preserve"> have</w:t>
      </w:r>
      <w:r w:rsidRPr="006B691E">
        <w:rPr>
          <w:rFonts w:ascii="Times New Roman" w:hAnsi="Times New Roman" w:cs="David"/>
          <w:sz w:val="24"/>
          <w:szCs w:val="24"/>
        </w:rPr>
        <w:t xml:space="preserve"> no alternative but to opt for a relatively hard peg, with a low level </w:t>
      </w:r>
      <w:r>
        <w:rPr>
          <w:rFonts w:ascii="Times New Roman" w:hAnsi="Times New Roman" w:cs="David"/>
          <w:sz w:val="24"/>
          <w:szCs w:val="24"/>
        </w:rPr>
        <w:t>of discretion in monetary policy.</w:t>
      </w:r>
      <w:r w:rsidRPr="006B691E">
        <w:rPr>
          <w:rFonts w:ascii="Times New Roman" w:hAnsi="Times New Roman" w:cs="David"/>
          <w:sz w:val="24"/>
          <w:szCs w:val="24"/>
        </w:rPr>
        <w:t xml:space="preserve"> </w:t>
      </w:r>
      <w:r>
        <w:rPr>
          <w:rFonts w:ascii="Times New Roman" w:hAnsi="Times New Roman" w:cs="David"/>
          <w:sz w:val="24"/>
          <w:szCs w:val="24"/>
        </w:rPr>
        <w:t>He claim</w:t>
      </w:r>
      <w:r w:rsidR="00D602F7">
        <w:rPr>
          <w:rFonts w:ascii="Times New Roman" w:hAnsi="Times New Roman" w:cs="David"/>
          <w:sz w:val="24"/>
          <w:szCs w:val="24"/>
        </w:rPr>
        <w:t>ed</w:t>
      </w:r>
      <w:r>
        <w:rPr>
          <w:rFonts w:ascii="Times New Roman" w:hAnsi="Times New Roman" w:cs="David"/>
          <w:sz w:val="24"/>
          <w:szCs w:val="24"/>
        </w:rPr>
        <w:t xml:space="preserve"> </w:t>
      </w:r>
      <w:r w:rsidRPr="006B691E">
        <w:rPr>
          <w:rFonts w:ascii="Times New Roman" w:hAnsi="Times New Roman" w:cs="David"/>
          <w:sz w:val="24"/>
          <w:szCs w:val="24"/>
        </w:rPr>
        <w:t>that in the long</w:t>
      </w:r>
      <w:r>
        <w:rPr>
          <w:rFonts w:ascii="Times New Roman" w:hAnsi="Times New Roman" w:cs="David"/>
          <w:sz w:val="24"/>
          <w:szCs w:val="24"/>
        </w:rPr>
        <w:t xml:space="preserve"> run,</w:t>
      </w:r>
      <w:r w:rsidRPr="006B691E">
        <w:rPr>
          <w:rFonts w:ascii="Times New Roman" w:hAnsi="Times New Roman" w:cs="David"/>
          <w:sz w:val="24"/>
          <w:szCs w:val="24"/>
        </w:rPr>
        <w:t xml:space="preserve"> the </w:t>
      </w:r>
      <w:r>
        <w:rPr>
          <w:rFonts w:ascii="Times New Roman" w:hAnsi="Times New Roman" w:cs="David"/>
          <w:sz w:val="24"/>
          <w:szCs w:val="24"/>
        </w:rPr>
        <w:t>e</w:t>
      </w:r>
      <w:r w:rsidRPr="006B691E">
        <w:rPr>
          <w:rFonts w:ascii="Times New Roman" w:hAnsi="Times New Roman" w:cs="David"/>
          <w:sz w:val="24"/>
          <w:szCs w:val="24"/>
        </w:rPr>
        <w:t xml:space="preserve">urozone will become </w:t>
      </w:r>
      <w:r>
        <w:rPr>
          <w:rFonts w:ascii="Times New Roman" w:hAnsi="Times New Roman" w:cs="David"/>
          <w:sz w:val="24"/>
          <w:szCs w:val="24"/>
        </w:rPr>
        <w:t>the PA</w:t>
      </w:r>
      <w:r w:rsidRPr="006B691E">
        <w:rPr>
          <w:rFonts w:ascii="Times New Roman" w:hAnsi="Times New Roman" w:cs="David"/>
          <w:sz w:val="24"/>
          <w:szCs w:val="24"/>
        </w:rPr>
        <w:t>’s most</w:t>
      </w:r>
      <w:r>
        <w:rPr>
          <w:rFonts w:ascii="Times New Roman" w:hAnsi="Times New Roman" w:cs="David"/>
          <w:sz w:val="24"/>
          <w:szCs w:val="24"/>
        </w:rPr>
        <w:t xml:space="preserve"> important trading partner, as </w:t>
      </w:r>
      <w:r w:rsidRPr="006B691E">
        <w:rPr>
          <w:rFonts w:ascii="Times New Roman" w:hAnsi="Times New Roman" w:cs="David"/>
          <w:sz w:val="24"/>
          <w:szCs w:val="24"/>
        </w:rPr>
        <w:t>the euro is a stable and suitable anchor currency. The long run goal should therefore be a monetary framework with a peg to the euro</w:t>
      </w:r>
      <w:r>
        <w:rPr>
          <w:rFonts w:ascii="Times New Roman" w:hAnsi="Times New Roman" w:cs="David"/>
          <w:sz w:val="24"/>
          <w:szCs w:val="24"/>
        </w:rPr>
        <w:t>,</w:t>
      </w:r>
      <w:r w:rsidRPr="006B691E">
        <w:rPr>
          <w:rFonts w:ascii="Times New Roman" w:hAnsi="Times New Roman" w:cs="David"/>
          <w:sz w:val="24"/>
          <w:szCs w:val="24"/>
        </w:rPr>
        <w:t xml:space="preserve"> but some scope for short run discretion and for the operation of the </w:t>
      </w:r>
      <w:r>
        <w:rPr>
          <w:rFonts w:ascii="Times New Roman" w:hAnsi="Times New Roman" w:cs="David"/>
          <w:sz w:val="24"/>
          <w:szCs w:val="24"/>
        </w:rPr>
        <w:t>lender of last resort</w:t>
      </w:r>
      <w:r w:rsidRPr="006B691E">
        <w:rPr>
          <w:rFonts w:ascii="Times New Roman" w:hAnsi="Times New Roman" w:cs="David"/>
          <w:sz w:val="24"/>
          <w:szCs w:val="24"/>
        </w:rPr>
        <w:t xml:space="preserve"> function. In the short run, </w:t>
      </w:r>
      <w:r>
        <w:rPr>
          <w:rFonts w:ascii="Times New Roman" w:hAnsi="Times New Roman" w:cs="David"/>
          <w:sz w:val="24"/>
          <w:szCs w:val="24"/>
        </w:rPr>
        <w:t>the PA</w:t>
      </w:r>
      <w:r w:rsidRPr="006B691E">
        <w:rPr>
          <w:rFonts w:ascii="Times New Roman" w:hAnsi="Times New Roman" w:cs="David"/>
          <w:sz w:val="24"/>
          <w:szCs w:val="24"/>
        </w:rPr>
        <w:t xml:space="preserve"> should move toward this goal via the introduction of a Palestinian currency under a currency board, with a peg initially to the NIS</w:t>
      </w:r>
      <w:r>
        <w:rPr>
          <w:rFonts w:ascii="Times New Roman" w:hAnsi="Times New Roman" w:cs="David"/>
          <w:sz w:val="24"/>
          <w:szCs w:val="24"/>
        </w:rPr>
        <w:t>,</w:t>
      </w:r>
      <w:r w:rsidRPr="006B691E">
        <w:rPr>
          <w:rFonts w:ascii="Times New Roman" w:hAnsi="Times New Roman" w:cs="David"/>
          <w:sz w:val="24"/>
          <w:szCs w:val="24"/>
        </w:rPr>
        <w:t xml:space="preserve"> but later to the euro</w:t>
      </w:r>
      <w:r>
        <w:rPr>
          <w:rFonts w:ascii="Times New Roman" w:hAnsi="Times New Roman" w:cs="David"/>
          <w:sz w:val="24"/>
          <w:szCs w:val="24"/>
        </w:rPr>
        <w:t xml:space="preserve">. </w:t>
      </w:r>
      <w:r w:rsidRPr="00625478">
        <w:rPr>
          <w:rFonts w:ascii="Times New Roman" w:hAnsi="Times New Roman" w:cs="David"/>
          <w:sz w:val="24"/>
          <w:szCs w:val="24"/>
        </w:rPr>
        <w:t>Wazir</w:t>
      </w:r>
      <w:r>
        <w:rPr>
          <w:rFonts w:ascii="Times New Roman" w:hAnsi="Times New Roman" w:cs="David"/>
          <w:sz w:val="24"/>
          <w:szCs w:val="24"/>
        </w:rPr>
        <w:t xml:space="preserve">, </w:t>
      </w:r>
      <w:proofErr w:type="spellStart"/>
      <w:r w:rsidRPr="00625478">
        <w:rPr>
          <w:rFonts w:ascii="Times New Roman" w:hAnsi="Times New Roman" w:cs="David"/>
          <w:sz w:val="24"/>
          <w:szCs w:val="24"/>
        </w:rPr>
        <w:t>Atallah</w:t>
      </w:r>
      <w:proofErr w:type="spellEnd"/>
      <w:r>
        <w:rPr>
          <w:rFonts w:ascii="Times New Roman" w:hAnsi="Times New Roman" w:cs="David"/>
          <w:sz w:val="24"/>
          <w:szCs w:val="24"/>
        </w:rPr>
        <w:t xml:space="preserve"> and </w:t>
      </w:r>
      <w:proofErr w:type="spellStart"/>
      <w:r w:rsidRPr="00625478">
        <w:rPr>
          <w:rFonts w:ascii="Times New Roman" w:hAnsi="Times New Roman" w:cs="David"/>
          <w:sz w:val="24"/>
          <w:szCs w:val="24"/>
        </w:rPr>
        <w:t>Sarsour</w:t>
      </w:r>
      <w:proofErr w:type="spellEnd"/>
      <w:r>
        <w:rPr>
          <w:rFonts w:ascii="Times New Roman" w:hAnsi="Times New Roman" w:cs="David"/>
          <w:sz w:val="24"/>
          <w:szCs w:val="24"/>
        </w:rPr>
        <w:t xml:space="preserve"> (2011) considered the problems in estimating the money supply in the PA territories, which is a complex matter because of the absence of a national currency, the regular use of 3 currencies (JD, USD and NIS) and the unavailability of data on currency in circulation in the PA territories. They discussed a method for determining the amount of a Palestinian national currency to be issued, if and when that occurs, using indicative ratios (cash to GDP, cash to bank deposits, and GDP to money supply) from Jordan and Israel to estimate the money supply in the PA territories. More recently, </w:t>
      </w:r>
      <w:proofErr w:type="spellStart"/>
      <w:r w:rsidRPr="00505300">
        <w:rPr>
          <w:rFonts w:ascii="Times New Roman" w:hAnsi="Times New Roman" w:cs="David"/>
          <w:sz w:val="24"/>
          <w:szCs w:val="24"/>
        </w:rPr>
        <w:t>Arnon</w:t>
      </w:r>
      <w:proofErr w:type="spellEnd"/>
      <w:r w:rsidRPr="00505300">
        <w:rPr>
          <w:rFonts w:ascii="Times New Roman" w:hAnsi="Times New Roman" w:cs="David"/>
          <w:sz w:val="24"/>
          <w:szCs w:val="24"/>
        </w:rPr>
        <w:t xml:space="preserve"> and </w:t>
      </w:r>
      <w:proofErr w:type="spellStart"/>
      <w:r w:rsidRPr="00505300">
        <w:rPr>
          <w:rFonts w:ascii="Times New Roman" w:hAnsi="Times New Roman" w:cs="David"/>
          <w:sz w:val="24"/>
          <w:szCs w:val="24"/>
        </w:rPr>
        <w:t>Bamya</w:t>
      </w:r>
      <w:proofErr w:type="spellEnd"/>
      <w:r w:rsidRPr="00505300">
        <w:rPr>
          <w:rFonts w:ascii="Times New Roman" w:hAnsi="Times New Roman" w:cs="David"/>
          <w:sz w:val="24"/>
          <w:szCs w:val="24"/>
        </w:rPr>
        <w:t xml:space="preserve"> (2015)</w:t>
      </w:r>
      <w:r w:rsidRPr="00BB1CEB">
        <w:rPr>
          <w:rFonts w:ascii="Times New Roman" w:hAnsi="Times New Roman" w:cs="David"/>
          <w:sz w:val="24"/>
          <w:szCs w:val="24"/>
        </w:rPr>
        <w:t xml:space="preserve"> </w:t>
      </w:r>
      <w:r>
        <w:rPr>
          <w:rFonts w:ascii="Times New Roman" w:hAnsi="Times New Roman" w:cs="David"/>
          <w:sz w:val="24"/>
          <w:szCs w:val="24"/>
        </w:rPr>
        <w:t>discuss</w:t>
      </w:r>
      <w:r w:rsidR="00B307C6">
        <w:rPr>
          <w:rFonts w:ascii="Times New Roman" w:hAnsi="Times New Roman" w:cs="David"/>
          <w:sz w:val="24"/>
          <w:szCs w:val="24"/>
        </w:rPr>
        <w:t>ed</w:t>
      </w:r>
      <w:r>
        <w:rPr>
          <w:rFonts w:ascii="Times New Roman" w:hAnsi="Times New Roman" w:cs="David"/>
          <w:sz w:val="24"/>
          <w:szCs w:val="24"/>
        </w:rPr>
        <w:t xml:space="preserve"> how the PMA will </w:t>
      </w:r>
      <w:r w:rsidRPr="00505300">
        <w:rPr>
          <w:rFonts w:ascii="Times New Roman" w:hAnsi="Times New Roman" w:cs="David"/>
          <w:sz w:val="24"/>
          <w:szCs w:val="24"/>
        </w:rPr>
        <w:t xml:space="preserve">carry out the functions of a modern central bank in the case of </w:t>
      </w:r>
      <w:r>
        <w:rPr>
          <w:rFonts w:ascii="Times New Roman" w:hAnsi="Times New Roman" w:cs="David"/>
          <w:sz w:val="24"/>
          <w:szCs w:val="24"/>
        </w:rPr>
        <w:t>p</w:t>
      </w:r>
      <w:r w:rsidRPr="00505300">
        <w:rPr>
          <w:rFonts w:ascii="Times New Roman" w:hAnsi="Times New Roman" w:cs="David"/>
          <w:sz w:val="24"/>
          <w:szCs w:val="24"/>
        </w:rPr>
        <w:t xml:space="preserve">olitical and </w:t>
      </w:r>
      <w:r>
        <w:rPr>
          <w:rFonts w:ascii="Times New Roman" w:hAnsi="Times New Roman" w:cs="David"/>
          <w:sz w:val="24"/>
          <w:szCs w:val="24"/>
        </w:rPr>
        <w:t>e</w:t>
      </w:r>
      <w:r w:rsidRPr="00505300">
        <w:rPr>
          <w:rFonts w:ascii="Times New Roman" w:hAnsi="Times New Roman" w:cs="David"/>
          <w:sz w:val="24"/>
          <w:szCs w:val="24"/>
        </w:rPr>
        <w:t xml:space="preserve">conomic </w:t>
      </w:r>
      <w:r>
        <w:rPr>
          <w:rFonts w:ascii="Times New Roman" w:hAnsi="Times New Roman" w:cs="David"/>
          <w:sz w:val="24"/>
          <w:szCs w:val="24"/>
        </w:rPr>
        <w:t>s</w:t>
      </w:r>
      <w:r w:rsidRPr="00505300">
        <w:rPr>
          <w:rFonts w:ascii="Times New Roman" w:hAnsi="Times New Roman" w:cs="David"/>
          <w:sz w:val="24"/>
          <w:szCs w:val="24"/>
        </w:rPr>
        <w:t xml:space="preserve">overeignty. </w:t>
      </w:r>
      <w:r>
        <w:rPr>
          <w:rFonts w:ascii="Times New Roman" w:hAnsi="Times New Roman" w:cs="David"/>
          <w:sz w:val="24"/>
          <w:szCs w:val="24"/>
        </w:rPr>
        <w:t xml:space="preserve"> </w:t>
      </w:r>
      <w:r w:rsidRPr="008C4C3B">
        <w:rPr>
          <w:rFonts w:ascii="Times New Roman" w:hAnsi="Times New Roman" w:cs="David"/>
          <w:sz w:val="24"/>
          <w:szCs w:val="24"/>
        </w:rPr>
        <w:t>A successful launching of a Palestinian currency must be able to convey to the public that the</w:t>
      </w:r>
      <w:r>
        <w:rPr>
          <w:rFonts w:ascii="Times New Roman" w:hAnsi="Times New Roman" w:cs="David"/>
          <w:sz w:val="24"/>
          <w:szCs w:val="24"/>
        </w:rPr>
        <w:t xml:space="preserve"> </w:t>
      </w:r>
      <w:r w:rsidRPr="008C4C3B">
        <w:rPr>
          <w:rFonts w:ascii="Times New Roman" w:hAnsi="Times New Roman" w:cs="David"/>
          <w:sz w:val="24"/>
          <w:szCs w:val="24"/>
        </w:rPr>
        <w:t xml:space="preserve">currency is credible and stable. </w:t>
      </w:r>
    </w:p>
    <w:p w14:paraId="045A4F5D" w14:textId="77777777" w:rsidR="00863081" w:rsidRPr="0002655B" w:rsidRDefault="00863081" w:rsidP="00863081">
      <w:pPr>
        <w:pStyle w:val="ListParagraph"/>
        <w:numPr>
          <w:ilvl w:val="1"/>
          <w:numId w:val="3"/>
        </w:numPr>
        <w:autoSpaceDE w:val="0"/>
        <w:autoSpaceDN w:val="0"/>
        <w:bidi w:val="0"/>
        <w:adjustRightInd w:val="0"/>
        <w:spacing w:line="360" w:lineRule="auto"/>
        <w:rPr>
          <w:rFonts w:ascii="Times New Roman" w:hAnsi="Times New Roman" w:cs="David"/>
          <w:b/>
          <w:bCs/>
          <w:sz w:val="24"/>
          <w:szCs w:val="24"/>
        </w:rPr>
      </w:pPr>
      <w:r w:rsidRPr="0002655B">
        <w:rPr>
          <w:rFonts w:asciiTheme="majorBidi" w:hAnsiTheme="majorBidi" w:cstheme="majorBidi"/>
          <w:b/>
          <w:bCs/>
          <w:sz w:val="24"/>
          <w:szCs w:val="24"/>
        </w:rPr>
        <w:t>Monetary policy in Israel, the transmission mechanism and the effects on the Palestinian economy</w:t>
      </w:r>
      <w:r w:rsidRPr="0002655B">
        <w:rPr>
          <w:rFonts w:ascii="Times New Roman" w:hAnsi="Times New Roman" w:cs="David"/>
          <w:b/>
          <w:bCs/>
          <w:sz w:val="24"/>
          <w:szCs w:val="24"/>
        </w:rPr>
        <w:t>.</w:t>
      </w:r>
    </w:p>
    <w:p w14:paraId="17A34D92" w14:textId="77777777" w:rsidR="00863081" w:rsidRDefault="00863081" w:rsidP="00863081">
      <w:pPr>
        <w:bidi w:val="0"/>
        <w:spacing w:line="480" w:lineRule="auto"/>
        <w:ind w:left="851"/>
        <w:jc w:val="both"/>
        <w:rPr>
          <w:rFonts w:ascii="Times New Roman" w:hAnsi="Times New Roman" w:cs="David"/>
          <w:sz w:val="24"/>
          <w:szCs w:val="24"/>
        </w:rPr>
      </w:pPr>
      <w:proofErr w:type="spellStart"/>
      <w:r>
        <w:rPr>
          <w:rFonts w:ascii="Times New Roman" w:hAnsi="Times New Roman" w:cs="David"/>
          <w:sz w:val="24"/>
          <w:szCs w:val="24"/>
        </w:rPr>
        <w:t>Arnon</w:t>
      </w:r>
      <w:proofErr w:type="spellEnd"/>
      <w:r>
        <w:rPr>
          <w:rFonts w:ascii="Times New Roman" w:hAnsi="Times New Roman" w:cs="David"/>
          <w:sz w:val="24"/>
          <w:szCs w:val="24"/>
        </w:rPr>
        <w:t xml:space="preserve"> and Spivak (1996) found that Israel and </w:t>
      </w:r>
      <w:r w:rsidRPr="001F3614">
        <w:rPr>
          <w:rFonts w:ascii="Times New Roman" w:hAnsi="Times New Roman" w:cs="David"/>
          <w:sz w:val="24"/>
          <w:szCs w:val="24"/>
        </w:rPr>
        <w:t xml:space="preserve">the </w:t>
      </w:r>
      <w:r>
        <w:rPr>
          <w:rFonts w:ascii="Times New Roman" w:hAnsi="Times New Roman" w:cs="David"/>
          <w:sz w:val="24"/>
          <w:szCs w:val="24"/>
        </w:rPr>
        <w:t>WBG</w:t>
      </w:r>
      <w:r w:rsidRPr="001F3614">
        <w:rPr>
          <w:rFonts w:ascii="Times New Roman" w:hAnsi="Times New Roman" w:cs="David"/>
          <w:sz w:val="24"/>
          <w:szCs w:val="24"/>
        </w:rPr>
        <w:t xml:space="preserve"> were closely integrated, whereas economic integration between the </w:t>
      </w:r>
      <w:r>
        <w:rPr>
          <w:rFonts w:ascii="Times New Roman" w:hAnsi="Times New Roman" w:cs="David"/>
          <w:sz w:val="24"/>
          <w:szCs w:val="24"/>
        </w:rPr>
        <w:t>WBG</w:t>
      </w:r>
      <w:r w:rsidRPr="001F3614">
        <w:rPr>
          <w:rFonts w:ascii="Times New Roman" w:hAnsi="Times New Roman" w:cs="David"/>
          <w:sz w:val="24"/>
          <w:szCs w:val="24"/>
        </w:rPr>
        <w:t xml:space="preserve"> and Jordan was much weaker. </w:t>
      </w:r>
      <w:r>
        <w:rPr>
          <w:rFonts w:ascii="Times New Roman" w:hAnsi="Times New Roman" w:cs="David"/>
          <w:sz w:val="24"/>
          <w:szCs w:val="24"/>
        </w:rPr>
        <w:t>They</w:t>
      </w:r>
      <w:r w:rsidRPr="0052105E">
        <w:rPr>
          <w:rFonts w:ascii="Times New Roman" w:hAnsi="Times New Roman" w:cs="David"/>
          <w:sz w:val="24"/>
          <w:szCs w:val="24"/>
        </w:rPr>
        <w:t xml:space="preserve"> computed the shocks to the econo</w:t>
      </w:r>
      <w:r>
        <w:rPr>
          <w:rFonts w:ascii="Times New Roman" w:hAnsi="Times New Roman" w:cs="David"/>
          <w:sz w:val="24"/>
          <w:szCs w:val="24"/>
        </w:rPr>
        <w:t>mies and the</w:t>
      </w:r>
      <w:r w:rsidRPr="0052105E">
        <w:rPr>
          <w:rFonts w:ascii="Times New Roman" w:hAnsi="Times New Roman" w:cs="David"/>
          <w:sz w:val="24"/>
          <w:szCs w:val="24"/>
        </w:rPr>
        <w:t xml:space="preserve"> correlation between the transitory shocks and between the permanent shocks</w:t>
      </w:r>
      <w:r>
        <w:rPr>
          <w:rFonts w:ascii="Times New Roman" w:hAnsi="Times New Roman" w:cs="David"/>
          <w:sz w:val="24"/>
          <w:szCs w:val="24"/>
        </w:rPr>
        <w:t xml:space="preserve">. </w:t>
      </w:r>
      <w:r w:rsidRPr="001F3614">
        <w:rPr>
          <w:rFonts w:ascii="Times New Roman" w:hAnsi="Times New Roman" w:cs="David"/>
          <w:sz w:val="24"/>
          <w:szCs w:val="24"/>
        </w:rPr>
        <w:t>Based on the</w:t>
      </w:r>
      <w:r>
        <w:rPr>
          <w:rFonts w:ascii="Times New Roman" w:hAnsi="Times New Roman" w:cs="David"/>
          <w:sz w:val="24"/>
          <w:szCs w:val="24"/>
        </w:rPr>
        <w:t xml:space="preserve"> </w:t>
      </w:r>
      <w:r w:rsidRPr="001F3614">
        <w:rPr>
          <w:rFonts w:ascii="Times New Roman" w:hAnsi="Times New Roman" w:cs="David"/>
          <w:sz w:val="24"/>
          <w:szCs w:val="24"/>
        </w:rPr>
        <w:t>circumstances of the past, the (imposed) monetary union between Israel and the Palestinian economy was warranted. However, optimal monetary arrangements in the future will depend on the extent of changes in real flows and on a satisfactory settlement of the seigniorage issue.</w:t>
      </w:r>
    </w:p>
    <w:p w14:paraId="6EE3A903" w14:textId="77777777" w:rsidR="00863081" w:rsidRDefault="00863081" w:rsidP="00863081">
      <w:pPr>
        <w:bidi w:val="0"/>
        <w:spacing w:line="480" w:lineRule="auto"/>
        <w:ind w:left="851"/>
        <w:jc w:val="both"/>
        <w:rPr>
          <w:rFonts w:ascii="Times New Roman" w:hAnsi="Times New Roman" w:cs="David"/>
          <w:sz w:val="24"/>
          <w:szCs w:val="24"/>
        </w:rPr>
      </w:pPr>
      <w:proofErr w:type="spellStart"/>
      <w:r w:rsidRPr="00C474B6">
        <w:rPr>
          <w:rFonts w:ascii="Times New Roman" w:hAnsi="Times New Roman" w:cs="David"/>
          <w:sz w:val="24"/>
          <w:szCs w:val="24"/>
        </w:rPr>
        <w:t>Beidas</w:t>
      </w:r>
      <w:proofErr w:type="spellEnd"/>
      <w:r w:rsidRPr="00C474B6">
        <w:rPr>
          <w:rFonts w:ascii="Times New Roman" w:hAnsi="Times New Roman" w:cs="David"/>
          <w:sz w:val="24"/>
          <w:szCs w:val="24"/>
        </w:rPr>
        <w:t xml:space="preserve"> and </w:t>
      </w:r>
      <w:proofErr w:type="spellStart"/>
      <w:r w:rsidRPr="00C474B6">
        <w:rPr>
          <w:rFonts w:ascii="Times New Roman" w:hAnsi="Times New Roman" w:cs="David"/>
          <w:sz w:val="24"/>
          <w:szCs w:val="24"/>
        </w:rPr>
        <w:t>Kandil</w:t>
      </w:r>
      <w:proofErr w:type="spellEnd"/>
      <w:r>
        <w:rPr>
          <w:rFonts w:ascii="Times New Roman" w:hAnsi="Times New Roman" w:cs="David"/>
          <w:sz w:val="24"/>
          <w:szCs w:val="24"/>
        </w:rPr>
        <w:t xml:space="preserve"> </w:t>
      </w:r>
      <w:r w:rsidRPr="00C474B6">
        <w:rPr>
          <w:rFonts w:ascii="Times New Roman" w:hAnsi="Times New Roman" w:cs="David"/>
          <w:sz w:val="24"/>
          <w:szCs w:val="24"/>
        </w:rPr>
        <w:t>(2005)</w:t>
      </w:r>
      <w:r>
        <w:rPr>
          <w:rFonts w:ascii="Times New Roman" w:hAnsi="Times New Roman" w:cs="David"/>
          <w:sz w:val="24"/>
          <w:szCs w:val="24"/>
        </w:rPr>
        <w:t xml:space="preserve"> shed</w:t>
      </w:r>
      <w:r w:rsidRPr="00C474B6">
        <w:rPr>
          <w:rFonts w:ascii="Times New Roman" w:hAnsi="Times New Roman" w:cs="David"/>
          <w:sz w:val="24"/>
          <w:szCs w:val="24"/>
        </w:rPr>
        <w:t xml:space="preserve"> light on the quantitative behavioral responses of key economic variables in</w:t>
      </w:r>
      <w:r>
        <w:rPr>
          <w:rFonts w:ascii="Times New Roman" w:hAnsi="Times New Roman" w:cs="David"/>
          <w:sz w:val="24"/>
          <w:szCs w:val="24"/>
        </w:rPr>
        <w:t xml:space="preserve"> </w:t>
      </w:r>
      <w:r w:rsidRPr="00C474B6">
        <w:rPr>
          <w:rFonts w:ascii="Times New Roman" w:hAnsi="Times New Roman" w:cs="David"/>
          <w:sz w:val="24"/>
          <w:szCs w:val="24"/>
        </w:rPr>
        <w:t xml:space="preserve">the Palestinian economy in the face of major economic shocks. </w:t>
      </w:r>
      <w:r>
        <w:rPr>
          <w:rFonts w:ascii="Times New Roman" w:hAnsi="Times New Roman" w:cs="David"/>
          <w:sz w:val="24"/>
          <w:szCs w:val="24"/>
        </w:rPr>
        <w:t>Their</w:t>
      </w:r>
      <w:r w:rsidRPr="00C474B6">
        <w:rPr>
          <w:rFonts w:ascii="Times New Roman" w:hAnsi="Times New Roman" w:cs="David"/>
          <w:sz w:val="24"/>
          <w:szCs w:val="24"/>
        </w:rPr>
        <w:t xml:space="preserve"> analysis shows that (</w:t>
      </w:r>
      <w:proofErr w:type="spellStart"/>
      <w:r w:rsidRPr="00C474B6">
        <w:rPr>
          <w:rFonts w:ascii="Times New Roman" w:hAnsi="Times New Roman" w:cs="David"/>
          <w:sz w:val="24"/>
          <w:szCs w:val="24"/>
        </w:rPr>
        <w:t>i</w:t>
      </w:r>
      <w:proofErr w:type="spellEnd"/>
      <w:r w:rsidRPr="00C474B6">
        <w:rPr>
          <w:rFonts w:ascii="Times New Roman" w:hAnsi="Times New Roman" w:cs="David"/>
          <w:sz w:val="24"/>
          <w:szCs w:val="24"/>
        </w:rPr>
        <w:t>) wages and prices are flexible in the</w:t>
      </w:r>
      <w:r>
        <w:rPr>
          <w:rFonts w:ascii="Times New Roman" w:hAnsi="Times New Roman" w:cs="David"/>
          <w:sz w:val="24"/>
          <w:szCs w:val="24"/>
        </w:rPr>
        <w:t xml:space="preserve"> </w:t>
      </w:r>
      <w:r w:rsidRPr="00C474B6">
        <w:rPr>
          <w:rFonts w:ascii="Times New Roman" w:hAnsi="Times New Roman" w:cs="David"/>
          <w:sz w:val="24"/>
          <w:szCs w:val="24"/>
        </w:rPr>
        <w:t>face of various shocks; (ii) the real wage appears rigid in the face of various shocks and</w:t>
      </w:r>
      <w:r>
        <w:rPr>
          <w:rFonts w:ascii="Times New Roman" w:hAnsi="Times New Roman" w:cs="David"/>
          <w:sz w:val="24"/>
          <w:szCs w:val="24"/>
        </w:rPr>
        <w:t xml:space="preserve"> </w:t>
      </w:r>
      <w:r w:rsidRPr="00C474B6">
        <w:rPr>
          <w:rFonts w:ascii="Times New Roman" w:hAnsi="Times New Roman" w:cs="David"/>
          <w:sz w:val="24"/>
          <w:szCs w:val="24"/>
        </w:rPr>
        <w:t xml:space="preserve">increases despite higher unemployment; (iii) an appreciation of the </w:t>
      </w:r>
      <w:r>
        <w:rPr>
          <w:rFonts w:ascii="Times New Roman" w:hAnsi="Times New Roman" w:cs="David"/>
          <w:sz w:val="24"/>
          <w:szCs w:val="24"/>
        </w:rPr>
        <w:t>NIS</w:t>
      </w:r>
      <w:r w:rsidRPr="00C474B6">
        <w:rPr>
          <w:rFonts w:ascii="Times New Roman" w:hAnsi="Times New Roman" w:cs="David"/>
          <w:sz w:val="24"/>
          <w:szCs w:val="24"/>
        </w:rPr>
        <w:t xml:space="preserve"> real</w:t>
      </w:r>
      <w:r>
        <w:rPr>
          <w:rFonts w:ascii="Times New Roman" w:hAnsi="Times New Roman" w:cs="David"/>
          <w:sz w:val="24"/>
          <w:szCs w:val="24"/>
        </w:rPr>
        <w:t xml:space="preserve"> </w:t>
      </w:r>
      <w:r w:rsidRPr="00C474B6">
        <w:rPr>
          <w:rFonts w:ascii="Times New Roman" w:hAnsi="Times New Roman" w:cs="David"/>
          <w:sz w:val="24"/>
          <w:szCs w:val="24"/>
        </w:rPr>
        <w:t>effective exchange rate decreases exports and imports; and (iv) money demand appears stable</w:t>
      </w:r>
      <w:r>
        <w:rPr>
          <w:rFonts w:ascii="Times New Roman" w:hAnsi="Times New Roman" w:cs="David"/>
          <w:sz w:val="24"/>
          <w:szCs w:val="24"/>
        </w:rPr>
        <w:t xml:space="preserve"> </w:t>
      </w:r>
      <w:r w:rsidRPr="00C474B6">
        <w:rPr>
          <w:rFonts w:ascii="Times New Roman" w:hAnsi="Times New Roman" w:cs="David"/>
          <w:sz w:val="24"/>
          <w:szCs w:val="24"/>
        </w:rPr>
        <w:t xml:space="preserve">in the face of exchange rate shocks. </w:t>
      </w:r>
      <w:r>
        <w:rPr>
          <w:rFonts w:ascii="Times New Roman" w:hAnsi="Times New Roman" w:cs="David"/>
          <w:sz w:val="24"/>
          <w:szCs w:val="24"/>
        </w:rPr>
        <w:t>They concluded that a</w:t>
      </w:r>
      <w:r w:rsidRPr="00C474B6">
        <w:rPr>
          <w:rFonts w:ascii="Times New Roman" w:hAnsi="Times New Roman" w:cs="David"/>
          <w:sz w:val="24"/>
          <w:szCs w:val="24"/>
        </w:rPr>
        <w:t>lthough a fixed exchange rate system may initially be</w:t>
      </w:r>
      <w:r>
        <w:rPr>
          <w:rFonts w:ascii="Times New Roman" w:hAnsi="Times New Roman" w:cs="David"/>
          <w:sz w:val="24"/>
          <w:szCs w:val="24"/>
        </w:rPr>
        <w:t xml:space="preserve"> </w:t>
      </w:r>
      <w:r w:rsidRPr="00C474B6">
        <w:rPr>
          <w:rFonts w:ascii="Times New Roman" w:hAnsi="Times New Roman" w:cs="David"/>
          <w:sz w:val="24"/>
          <w:szCs w:val="24"/>
        </w:rPr>
        <w:t>desirable to establish credibility of the new currency, some flexibility of the exchange rate is</w:t>
      </w:r>
      <w:r>
        <w:rPr>
          <w:rFonts w:ascii="Times New Roman" w:hAnsi="Times New Roman" w:cs="David"/>
          <w:sz w:val="24"/>
          <w:szCs w:val="24"/>
        </w:rPr>
        <w:t xml:space="preserve"> </w:t>
      </w:r>
      <w:r w:rsidRPr="00C474B6">
        <w:rPr>
          <w:rFonts w:ascii="Times New Roman" w:hAnsi="Times New Roman" w:cs="David"/>
          <w:sz w:val="24"/>
          <w:szCs w:val="24"/>
        </w:rPr>
        <w:t>desirable over time.</w:t>
      </w:r>
    </w:p>
    <w:p w14:paraId="2ED7C32A" w14:textId="77777777" w:rsidR="00863081" w:rsidRDefault="00863081" w:rsidP="00863081">
      <w:pPr>
        <w:bidi w:val="0"/>
        <w:spacing w:line="480" w:lineRule="auto"/>
        <w:ind w:left="851"/>
        <w:jc w:val="both"/>
        <w:rPr>
          <w:rFonts w:ascii="Times New Roman" w:hAnsi="Times New Roman" w:cs="David"/>
          <w:sz w:val="24"/>
          <w:szCs w:val="24"/>
        </w:rPr>
      </w:pPr>
      <w:proofErr w:type="spellStart"/>
      <w:r w:rsidRPr="00D27CE7">
        <w:rPr>
          <w:rFonts w:ascii="Times New Roman" w:hAnsi="Times New Roman" w:cs="David"/>
          <w:sz w:val="24"/>
          <w:szCs w:val="24"/>
        </w:rPr>
        <w:t>Sarsour</w:t>
      </w:r>
      <w:proofErr w:type="spellEnd"/>
      <w:r>
        <w:rPr>
          <w:rFonts w:ascii="Times New Roman" w:hAnsi="Times New Roman" w:cs="David"/>
          <w:sz w:val="24"/>
          <w:szCs w:val="24"/>
        </w:rPr>
        <w:t xml:space="preserve"> (2012) </w:t>
      </w:r>
      <w:r w:rsidRPr="00D27CE7">
        <w:rPr>
          <w:rFonts w:ascii="Times New Roman" w:hAnsi="Times New Roman" w:cs="David"/>
          <w:sz w:val="24"/>
          <w:szCs w:val="24"/>
        </w:rPr>
        <w:t xml:space="preserve">investigates the channels through which external or internal monetary policy shocks can affect the real economy and inflation in </w:t>
      </w:r>
      <w:r>
        <w:rPr>
          <w:rFonts w:ascii="Times New Roman" w:hAnsi="Times New Roman" w:cs="David"/>
          <w:sz w:val="24"/>
          <w:szCs w:val="24"/>
        </w:rPr>
        <w:t>WBG</w:t>
      </w:r>
      <w:r w:rsidRPr="00D27CE7">
        <w:rPr>
          <w:rFonts w:ascii="Times New Roman" w:hAnsi="Times New Roman" w:cs="David"/>
          <w:sz w:val="24"/>
          <w:szCs w:val="24"/>
        </w:rPr>
        <w:t xml:space="preserve">. Empirical results in general indicate that monetary policy shocks have limited influence on economic activities and inflation in </w:t>
      </w:r>
      <w:r>
        <w:rPr>
          <w:rFonts w:ascii="Times New Roman" w:hAnsi="Times New Roman" w:cs="David"/>
          <w:sz w:val="24"/>
          <w:szCs w:val="24"/>
        </w:rPr>
        <w:t>WBG</w:t>
      </w:r>
      <w:r w:rsidRPr="00D27CE7">
        <w:rPr>
          <w:rFonts w:ascii="Times New Roman" w:hAnsi="Times New Roman" w:cs="David"/>
          <w:sz w:val="24"/>
          <w:szCs w:val="24"/>
        </w:rPr>
        <w:t xml:space="preserve">. However, results show that pass-through from domestic lending interest rates of the US dollar (or Jordanian dinar) is higher than for the </w:t>
      </w:r>
      <w:r>
        <w:rPr>
          <w:rFonts w:ascii="Times New Roman" w:hAnsi="Times New Roman" w:cs="David"/>
          <w:sz w:val="24"/>
          <w:szCs w:val="24"/>
        </w:rPr>
        <w:t>NIS</w:t>
      </w:r>
      <w:r w:rsidRPr="00D27CE7">
        <w:rPr>
          <w:rFonts w:ascii="Times New Roman" w:hAnsi="Times New Roman" w:cs="David"/>
          <w:sz w:val="24"/>
          <w:szCs w:val="24"/>
        </w:rPr>
        <w:t xml:space="preserve">. </w:t>
      </w:r>
      <w:r>
        <w:rPr>
          <w:rFonts w:ascii="Times New Roman" w:hAnsi="Times New Roman" w:cs="David"/>
          <w:sz w:val="24"/>
          <w:szCs w:val="24"/>
        </w:rPr>
        <w:t>He</w:t>
      </w:r>
      <w:r w:rsidRPr="00D27CE7">
        <w:rPr>
          <w:rFonts w:ascii="Times New Roman" w:hAnsi="Times New Roman" w:cs="David"/>
          <w:sz w:val="24"/>
          <w:szCs w:val="24"/>
        </w:rPr>
        <w:t xml:space="preserve"> </w:t>
      </w:r>
      <w:r>
        <w:rPr>
          <w:rFonts w:ascii="Times New Roman" w:hAnsi="Times New Roman" w:cs="David"/>
          <w:sz w:val="24"/>
          <w:szCs w:val="24"/>
        </w:rPr>
        <w:t>finds</w:t>
      </w:r>
      <w:r w:rsidRPr="00D27CE7">
        <w:rPr>
          <w:rFonts w:ascii="Times New Roman" w:hAnsi="Times New Roman" w:cs="David"/>
          <w:sz w:val="24"/>
          <w:szCs w:val="24"/>
        </w:rPr>
        <w:t xml:space="preserve"> a presence of significant but relatively low pass-through for policy rates onto domestic lending interest rates, and therefore, on real economic activities. Israeli monetary policy has a significant impact on Palestinian real economic activities, mainly n</w:t>
      </w:r>
      <w:r>
        <w:rPr>
          <w:rFonts w:ascii="Times New Roman" w:hAnsi="Times New Roman" w:cs="David"/>
          <w:sz w:val="24"/>
          <w:szCs w:val="24"/>
        </w:rPr>
        <w:t>et exports and</w:t>
      </w:r>
      <w:r w:rsidRPr="00D27CE7">
        <w:rPr>
          <w:rFonts w:ascii="Times New Roman" w:hAnsi="Times New Roman" w:cs="David"/>
          <w:sz w:val="24"/>
          <w:szCs w:val="24"/>
        </w:rPr>
        <w:t xml:space="preserve"> the inflation rate. Furthermore, the exchange rate channel influences GDP by affecting wealth and net exports. </w:t>
      </w:r>
    </w:p>
    <w:p w14:paraId="2666EB77" w14:textId="77777777" w:rsidR="00863081" w:rsidRDefault="00863081" w:rsidP="00863081">
      <w:pPr>
        <w:bidi w:val="0"/>
        <w:spacing w:line="480" w:lineRule="auto"/>
        <w:ind w:left="851"/>
        <w:jc w:val="both"/>
        <w:rPr>
          <w:rFonts w:ascii="Times New Roman" w:hAnsi="Times New Roman" w:cs="David"/>
          <w:sz w:val="24"/>
          <w:szCs w:val="24"/>
        </w:rPr>
      </w:pPr>
      <w:proofErr w:type="spellStart"/>
      <w:r w:rsidRPr="00D523C2">
        <w:rPr>
          <w:rFonts w:ascii="Times New Roman" w:hAnsi="Times New Roman" w:cs="David"/>
          <w:sz w:val="24"/>
          <w:szCs w:val="24"/>
        </w:rPr>
        <w:t>Draghma</w:t>
      </w:r>
      <w:proofErr w:type="spellEnd"/>
      <w:r>
        <w:rPr>
          <w:rFonts w:ascii="Times New Roman" w:hAnsi="Times New Roman" w:cs="David"/>
          <w:sz w:val="24"/>
          <w:szCs w:val="24"/>
        </w:rPr>
        <w:t xml:space="preserve"> and</w:t>
      </w:r>
      <w:r w:rsidRPr="00D523C2">
        <w:rPr>
          <w:rFonts w:ascii="Times New Roman" w:hAnsi="Times New Roman" w:cs="David"/>
          <w:sz w:val="24"/>
          <w:szCs w:val="24"/>
        </w:rPr>
        <w:t xml:space="preserve"> </w:t>
      </w:r>
      <w:proofErr w:type="spellStart"/>
      <w:r w:rsidRPr="00D523C2">
        <w:rPr>
          <w:rFonts w:ascii="Times New Roman" w:hAnsi="Times New Roman" w:cs="David"/>
          <w:sz w:val="24"/>
          <w:szCs w:val="24"/>
        </w:rPr>
        <w:t>Iriqat</w:t>
      </w:r>
      <w:proofErr w:type="spellEnd"/>
      <w:r w:rsidRPr="00D523C2">
        <w:rPr>
          <w:rFonts w:ascii="Times New Roman" w:hAnsi="Times New Roman" w:cs="David"/>
          <w:sz w:val="24"/>
          <w:szCs w:val="24"/>
        </w:rPr>
        <w:t xml:space="preserve"> (2016) </w:t>
      </w:r>
      <w:r>
        <w:rPr>
          <w:rFonts w:ascii="Times New Roman" w:hAnsi="Times New Roman" w:cs="David"/>
          <w:sz w:val="24"/>
          <w:szCs w:val="24"/>
        </w:rPr>
        <w:t>examined the causality between the Palestinian</w:t>
      </w:r>
      <w:r w:rsidRPr="00D523C2">
        <w:rPr>
          <w:rFonts w:ascii="Times New Roman" w:hAnsi="Times New Roman" w:cs="David"/>
          <w:sz w:val="24"/>
          <w:szCs w:val="24"/>
        </w:rPr>
        <w:t>, Jordan</w:t>
      </w:r>
      <w:r>
        <w:rPr>
          <w:rFonts w:ascii="Times New Roman" w:hAnsi="Times New Roman" w:cs="David"/>
          <w:sz w:val="24"/>
          <w:szCs w:val="24"/>
        </w:rPr>
        <w:t>ian</w:t>
      </w:r>
      <w:r w:rsidRPr="00D523C2">
        <w:rPr>
          <w:rFonts w:ascii="Times New Roman" w:hAnsi="Times New Roman" w:cs="David"/>
          <w:sz w:val="24"/>
          <w:szCs w:val="24"/>
        </w:rPr>
        <w:t>, and Israel</w:t>
      </w:r>
      <w:r>
        <w:rPr>
          <w:rFonts w:ascii="Times New Roman" w:hAnsi="Times New Roman" w:cs="David"/>
          <w:sz w:val="24"/>
          <w:szCs w:val="24"/>
        </w:rPr>
        <w:t>i</w:t>
      </w:r>
      <w:r w:rsidRPr="00D523C2">
        <w:rPr>
          <w:rFonts w:ascii="Times New Roman" w:hAnsi="Times New Roman" w:cs="David"/>
          <w:sz w:val="24"/>
          <w:szCs w:val="24"/>
        </w:rPr>
        <w:t xml:space="preserve"> econom</w:t>
      </w:r>
      <w:r>
        <w:rPr>
          <w:rFonts w:ascii="Times New Roman" w:hAnsi="Times New Roman" w:cs="David"/>
          <w:sz w:val="24"/>
          <w:szCs w:val="24"/>
        </w:rPr>
        <w:t>ies</w:t>
      </w:r>
      <w:r w:rsidRPr="00D523C2">
        <w:rPr>
          <w:rFonts w:ascii="Times New Roman" w:hAnsi="Times New Roman" w:cs="David"/>
          <w:sz w:val="24"/>
          <w:szCs w:val="24"/>
        </w:rPr>
        <w:t xml:space="preserve"> using three macroeconomic measurement indices: Gross Domestic Product, Inflation Rate and Unemployment Rate</w:t>
      </w:r>
      <w:r>
        <w:rPr>
          <w:rFonts w:ascii="Times New Roman" w:hAnsi="Times New Roman" w:cs="David"/>
          <w:sz w:val="24"/>
          <w:szCs w:val="24"/>
        </w:rPr>
        <w:t xml:space="preserve"> over the years</w:t>
      </w:r>
      <w:r w:rsidRPr="00D523C2">
        <w:rPr>
          <w:rFonts w:ascii="Times New Roman" w:hAnsi="Times New Roman" w:cs="David"/>
          <w:sz w:val="24"/>
          <w:szCs w:val="24"/>
        </w:rPr>
        <w:t xml:space="preserve"> 1997</w:t>
      </w:r>
      <w:r>
        <w:rPr>
          <w:rFonts w:ascii="Times New Roman" w:hAnsi="Times New Roman" w:cs="David"/>
          <w:sz w:val="24"/>
          <w:szCs w:val="24"/>
        </w:rPr>
        <w:t>–</w:t>
      </w:r>
      <w:r w:rsidRPr="00D523C2">
        <w:rPr>
          <w:rFonts w:ascii="Times New Roman" w:hAnsi="Times New Roman" w:cs="David"/>
          <w:sz w:val="24"/>
          <w:szCs w:val="24"/>
        </w:rPr>
        <w:t>2014. The</w:t>
      </w:r>
      <w:r>
        <w:rPr>
          <w:rFonts w:ascii="Times New Roman" w:hAnsi="Times New Roman" w:cs="David"/>
          <w:sz w:val="24"/>
          <w:szCs w:val="24"/>
        </w:rPr>
        <w:t>ir</w:t>
      </w:r>
      <w:r w:rsidRPr="00D523C2">
        <w:rPr>
          <w:rFonts w:ascii="Times New Roman" w:hAnsi="Times New Roman" w:cs="David"/>
          <w:sz w:val="24"/>
          <w:szCs w:val="24"/>
        </w:rPr>
        <w:t xml:space="preserve"> findings statistically support the notion that both GDP in Israel and GDP in Jordan </w:t>
      </w:r>
      <w:r>
        <w:rPr>
          <w:rFonts w:ascii="Times New Roman" w:hAnsi="Times New Roman" w:cs="David"/>
          <w:sz w:val="24"/>
          <w:szCs w:val="24"/>
        </w:rPr>
        <w:t>affect</w:t>
      </w:r>
      <w:r w:rsidRPr="00D523C2">
        <w:rPr>
          <w:rFonts w:ascii="Times New Roman" w:hAnsi="Times New Roman" w:cs="David"/>
          <w:sz w:val="24"/>
          <w:szCs w:val="24"/>
        </w:rPr>
        <w:t xml:space="preserve"> Palestinian GDP. </w:t>
      </w:r>
    </w:p>
    <w:p w14:paraId="5563F977" w14:textId="77777777" w:rsidR="00863081" w:rsidRPr="00B90046" w:rsidRDefault="00863081" w:rsidP="00863081">
      <w:pPr>
        <w:bidi w:val="0"/>
        <w:spacing w:line="480" w:lineRule="auto"/>
        <w:ind w:left="851"/>
        <w:jc w:val="both"/>
        <w:rPr>
          <w:rFonts w:ascii="Times New Roman" w:hAnsi="Times New Roman" w:cs="David"/>
          <w:sz w:val="24"/>
          <w:szCs w:val="24"/>
        </w:rPr>
      </w:pPr>
      <w:r>
        <w:rPr>
          <w:rFonts w:ascii="Times New Roman" w:hAnsi="Times New Roman" w:cs="David"/>
          <w:sz w:val="24"/>
          <w:szCs w:val="24"/>
        </w:rPr>
        <w:t>Recent evidence for the impact of the interest rate channel may be seen in Figure 4.</w:t>
      </w:r>
    </w:p>
    <w:p w14:paraId="77661DC6" w14:textId="4BC3FB21" w:rsidR="00863081" w:rsidRPr="00A42AEE" w:rsidRDefault="00863081" w:rsidP="00863081">
      <w:pPr>
        <w:bidi w:val="0"/>
        <w:spacing w:line="360" w:lineRule="auto"/>
        <w:ind w:left="1440"/>
        <w:jc w:val="center"/>
        <w:rPr>
          <w:rFonts w:ascii="Times New Roman" w:hAnsi="Times New Roman" w:cs="David"/>
          <w:b/>
          <w:bCs/>
          <w:sz w:val="24"/>
          <w:szCs w:val="24"/>
          <w:rtl/>
        </w:rPr>
      </w:pPr>
      <w:r>
        <w:rPr>
          <w:rFonts w:ascii="Times New Roman" w:hAnsi="Times New Roman" w:cs="David"/>
          <w:b/>
          <w:bCs/>
          <w:sz w:val="24"/>
          <w:szCs w:val="24"/>
        </w:rPr>
        <w:t xml:space="preserve">Figure </w:t>
      </w:r>
      <w:r w:rsidR="005F0A74">
        <w:rPr>
          <w:rFonts w:ascii="Times New Roman" w:hAnsi="Times New Roman" w:cs="David"/>
          <w:b/>
          <w:bCs/>
          <w:sz w:val="24"/>
          <w:szCs w:val="24"/>
        </w:rPr>
        <w:t>17</w:t>
      </w:r>
      <w:r>
        <w:rPr>
          <w:rFonts w:ascii="Times New Roman" w:hAnsi="Times New Roman" w:cs="David"/>
          <w:b/>
          <w:bCs/>
          <w:sz w:val="24"/>
          <w:szCs w:val="24"/>
        </w:rPr>
        <w:t xml:space="preserve"> - </w:t>
      </w:r>
      <w:r w:rsidRPr="00A42AEE">
        <w:rPr>
          <w:rFonts w:ascii="Times New Roman" w:hAnsi="Times New Roman" w:cs="David"/>
          <w:b/>
          <w:bCs/>
          <w:sz w:val="24"/>
          <w:szCs w:val="24"/>
        </w:rPr>
        <w:t xml:space="preserve">The </w:t>
      </w:r>
      <w:r>
        <w:rPr>
          <w:rFonts w:ascii="Times New Roman" w:hAnsi="Times New Roman" w:cs="David"/>
          <w:b/>
          <w:bCs/>
          <w:sz w:val="24"/>
          <w:szCs w:val="24"/>
        </w:rPr>
        <w:t>BOI key policy</w:t>
      </w:r>
      <w:r w:rsidRPr="00A42AEE">
        <w:rPr>
          <w:rFonts w:ascii="Times New Roman" w:hAnsi="Times New Roman" w:cs="David"/>
          <w:b/>
          <w:bCs/>
          <w:sz w:val="24"/>
          <w:szCs w:val="24"/>
        </w:rPr>
        <w:t xml:space="preserve"> rate and the </w:t>
      </w:r>
      <w:r>
        <w:rPr>
          <w:rFonts w:ascii="Times New Roman" w:hAnsi="Times New Roman" w:cs="David"/>
          <w:b/>
          <w:bCs/>
          <w:sz w:val="24"/>
          <w:szCs w:val="24"/>
        </w:rPr>
        <w:t xml:space="preserve">interest rate on NIS loans </w:t>
      </w:r>
      <w:r w:rsidRPr="00A42AEE">
        <w:rPr>
          <w:rFonts w:ascii="Times New Roman" w:hAnsi="Times New Roman" w:cs="David"/>
          <w:b/>
          <w:bCs/>
          <w:sz w:val="24"/>
          <w:szCs w:val="24"/>
        </w:rPr>
        <w:t>in the Palestinian banking system</w:t>
      </w:r>
    </w:p>
    <w:p w14:paraId="23912314" w14:textId="77777777" w:rsidR="00863081" w:rsidRDefault="00863081" w:rsidP="00863081">
      <w:pPr>
        <w:spacing w:before="240" w:line="480" w:lineRule="auto"/>
        <w:rPr>
          <w:noProof/>
        </w:rPr>
      </w:pPr>
      <w:r>
        <w:rPr>
          <w:noProof/>
        </w:rPr>
        <w:drawing>
          <wp:inline distT="0" distB="0" distL="0" distR="0" wp14:anchorId="7861032F" wp14:editId="3CC40D4C">
            <wp:extent cx="4320000" cy="2520000"/>
            <wp:effectExtent l="0" t="0" r="4445" b="13970"/>
            <wp:docPr id="3" name="תרשים 19">
              <a:extLst xmlns:a="http://schemas.openxmlformats.org/drawingml/2006/main">
                <a:ext uri="{FF2B5EF4-FFF2-40B4-BE49-F238E27FC236}">
                  <a16:creationId xmlns:a16="http://schemas.microsoft.com/office/drawing/2014/main" id="{EE281E52-53C4-4D37-BE83-05D6AA599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15A00A" w14:textId="4BF9A76A" w:rsidR="00EE538D" w:rsidRPr="009233C3" w:rsidRDefault="00EE538D" w:rsidP="00EE538D">
      <w:pPr>
        <w:bidi w:val="0"/>
        <w:spacing w:line="276" w:lineRule="auto"/>
        <w:ind w:left="720"/>
        <w:jc w:val="center"/>
        <w:rPr>
          <w:rFonts w:ascii="Times New Roman" w:hAnsi="Times New Roman" w:cs="David"/>
          <w:sz w:val="24"/>
          <w:szCs w:val="24"/>
        </w:rPr>
      </w:pPr>
      <w:r w:rsidRPr="009233C3">
        <w:rPr>
          <w:rFonts w:ascii="Times New Roman" w:hAnsi="Times New Roman" w:cs="David"/>
          <w:sz w:val="24"/>
          <w:szCs w:val="24"/>
        </w:rPr>
        <w:t xml:space="preserve">Source: </w:t>
      </w:r>
      <w:r>
        <w:rPr>
          <w:rFonts w:ascii="Times New Roman" w:hAnsi="Times New Roman" w:cs="David" w:hint="cs"/>
          <w:sz w:val="24"/>
          <w:szCs w:val="24"/>
        </w:rPr>
        <w:t>BOI</w:t>
      </w:r>
      <w:r>
        <w:rPr>
          <w:rFonts w:ascii="Times New Roman" w:hAnsi="Times New Roman" w:cs="David" w:hint="cs"/>
          <w:sz w:val="24"/>
          <w:szCs w:val="24"/>
          <w:rtl/>
        </w:rPr>
        <w:t xml:space="preserve"> </w:t>
      </w:r>
      <w:r>
        <w:rPr>
          <w:rFonts w:ascii="Times New Roman" w:hAnsi="Times New Roman" w:cs="David"/>
          <w:sz w:val="24"/>
          <w:szCs w:val="24"/>
        </w:rPr>
        <w:t xml:space="preserve">and the </w:t>
      </w:r>
      <w:r w:rsidRPr="009233C3">
        <w:rPr>
          <w:rFonts w:ascii="Times New Roman" w:hAnsi="Times New Roman" w:cs="David"/>
          <w:sz w:val="24"/>
          <w:szCs w:val="24"/>
        </w:rPr>
        <w:t>PMA</w:t>
      </w:r>
    </w:p>
    <w:p w14:paraId="1C3B5AC3" w14:textId="77777777" w:rsidR="00EE538D" w:rsidRPr="00EE538D" w:rsidRDefault="00EE538D" w:rsidP="00EE538D">
      <w:pPr>
        <w:jc w:val="center"/>
        <w:rPr>
          <w:rFonts w:ascii="Times New Roman" w:hAnsi="Times New Roman" w:cs="David"/>
          <w:sz w:val="24"/>
          <w:szCs w:val="24"/>
          <w:rtl/>
        </w:rPr>
      </w:pPr>
    </w:p>
    <w:p w14:paraId="11FB6A58" w14:textId="77777777" w:rsidR="00863081" w:rsidRDefault="00863081" w:rsidP="00863081">
      <w:pPr>
        <w:pStyle w:val="ListParagraph"/>
        <w:bidi w:val="0"/>
        <w:spacing w:before="240" w:line="480" w:lineRule="auto"/>
        <w:jc w:val="both"/>
        <w:rPr>
          <w:rFonts w:ascii="Times New Roman" w:hAnsi="Times New Roman" w:cs="David"/>
          <w:b/>
          <w:bCs/>
          <w:sz w:val="24"/>
          <w:szCs w:val="24"/>
        </w:rPr>
      </w:pPr>
      <w:r w:rsidRPr="00B51DAE">
        <w:rPr>
          <w:rFonts w:ascii="Times New Roman" w:hAnsi="Times New Roman" w:cs="David"/>
          <w:sz w:val="24"/>
          <w:szCs w:val="24"/>
        </w:rPr>
        <w:t xml:space="preserve">In terms of inflation, the West Bank is affected mainly by price trends around the world and </w:t>
      </w:r>
      <w:r>
        <w:rPr>
          <w:rFonts w:ascii="Times New Roman" w:hAnsi="Times New Roman" w:cs="David"/>
          <w:sz w:val="24"/>
          <w:szCs w:val="24"/>
        </w:rPr>
        <w:t xml:space="preserve">in </w:t>
      </w:r>
      <w:r w:rsidRPr="00B51DAE">
        <w:rPr>
          <w:rFonts w:ascii="Times New Roman" w:hAnsi="Times New Roman" w:cs="David"/>
          <w:sz w:val="24"/>
          <w:szCs w:val="24"/>
        </w:rPr>
        <w:t xml:space="preserve">Israel, while the Gaza Strip, where there are barriers to the movement of goods, is less </w:t>
      </w:r>
      <w:r>
        <w:rPr>
          <w:rFonts w:ascii="Times New Roman" w:hAnsi="Times New Roman" w:cs="David"/>
          <w:sz w:val="24"/>
          <w:szCs w:val="24"/>
        </w:rPr>
        <w:t>affected by these</w:t>
      </w:r>
      <w:r w:rsidRPr="00B51DAE">
        <w:rPr>
          <w:rFonts w:ascii="Times New Roman" w:hAnsi="Times New Roman" w:cs="David"/>
          <w:sz w:val="24"/>
          <w:szCs w:val="24"/>
        </w:rPr>
        <w:t xml:space="preserve"> trends. Local prices are therefore affected largely by the prices of basic commodities in the global market as well as by import costs, mainly from Israel, and are</w:t>
      </w:r>
      <w:r>
        <w:rPr>
          <w:rFonts w:ascii="Times New Roman" w:hAnsi="Times New Roman" w:cs="David"/>
          <w:sz w:val="24"/>
          <w:szCs w:val="24"/>
        </w:rPr>
        <w:t xml:space="preserve"> also</w:t>
      </w:r>
      <w:r w:rsidRPr="00B51DAE">
        <w:rPr>
          <w:rFonts w:ascii="Times New Roman" w:hAnsi="Times New Roman" w:cs="David"/>
          <w:sz w:val="24"/>
          <w:szCs w:val="24"/>
        </w:rPr>
        <w:t xml:space="preserve"> affected by local prices of similar goods in Israel</w:t>
      </w:r>
      <w:r>
        <w:rPr>
          <w:rFonts w:ascii="Times New Roman" w:hAnsi="Times New Roman" w:cs="David"/>
          <w:sz w:val="24"/>
          <w:szCs w:val="24"/>
        </w:rPr>
        <w:t>.</w:t>
      </w:r>
      <w:r>
        <w:rPr>
          <w:rStyle w:val="FootnoteReference"/>
          <w:rFonts w:ascii="Times New Roman" w:hAnsi="Times New Roman" w:cs="David"/>
          <w:sz w:val="24"/>
          <w:szCs w:val="24"/>
        </w:rPr>
        <w:footnoteReference w:id="32"/>
      </w:r>
    </w:p>
    <w:p w14:paraId="752B6EA8" w14:textId="70FC9194" w:rsidR="00863081" w:rsidRDefault="00863081" w:rsidP="00863081">
      <w:pPr>
        <w:pStyle w:val="ListParagraph"/>
        <w:bidi w:val="0"/>
        <w:spacing w:before="240" w:line="480" w:lineRule="auto"/>
        <w:ind w:left="1440"/>
        <w:jc w:val="center"/>
        <w:rPr>
          <w:rFonts w:ascii="Times New Roman" w:hAnsi="Times New Roman" w:cs="David"/>
          <w:b/>
          <w:bCs/>
          <w:sz w:val="24"/>
          <w:szCs w:val="24"/>
        </w:rPr>
      </w:pPr>
      <w:r>
        <w:rPr>
          <w:rFonts w:ascii="Times New Roman" w:hAnsi="Times New Roman" w:cs="David"/>
          <w:b/>
          <w:bCs/>
          <w:sz w:val="24"/>
          <w:szCs w:val="24"/>
        </w:rPr>
        <w:t xml:space="preserve">Figure </w:t>
      </w:r>
      <w:r w:rsidR="005F0A74">
        <w:rPr>
          <w:rFonts w:ascii="Times New Roman" w:hAnsi="Times New Roman" w:cs="David"/>
          <w:b/>
          <w:bCs/>
          <w:sz w:val="24"/>
          <w:szCs w:val="24"/>
        </w:rPr>
        <w:t>18</w:t>
      </w:r>
      <w:r>
        <w:rPr>
          <w:rFonts w:ascii="Times New Roman" w:hAnsi="Times New Roman" w:cs="David"/>
          <w:b/>
          <w:bCs/>
          <w:sz w:val="24"/>
          <w:szCs w:val="24"/>
        </w:rPr>
        <w:t xml:space="preserve"> - </w:t>
      </w:r>
      <w:r w:rsidRPr="00B51DAE">
        <w:rPr>
          <w:rFonts w:ascii="Times New Roman" w:hAnsi="Times New Roman" w:cs="David"/>
          <w:b/>
          <w:bCs/>
          <w:sz w:val="24"/>
          <w:szCs w:val="24"/>
        </w:rPr>
        <w:t>Annual inflation rate</w:t>
      </w:r>
      <w:r>
        <w:rPr>
          <w:rFonts w:ascii="Times New Roman" w:hAnsi="Times New Roman" w:cs="David"/>
          <w:b/>
          <w:bCs/>
          <w:sz w:val="24"/>
          <w:szCs w:val="24"/>
        </w:rPr>
        <w:t>,</w:t>
      </w:r>
      <w:r w:rsidRPr="00B51DAE">
        <w:rPr>
          <w:rFonts w:ascii="Times New Roman" w:hAnsi="Times New Roman" w:cs="David"/>
          <w:b/>
          <w:bCs/>
          <w:sz w:val="24"/>
          <w:szCs w:val="24"/>
        </w:rPr>
        <w:t xml:space="preserve"> Israel and the W</w:t>
      </w:r>
      <w:r>
        <w:rPr>
          <w:rFonts w:ascii="Times New Roman" w:hAnsi="Times New Roman" w:cs="David"/>
          <w:b/>
          <w:bCs/>
          <w:sz w:val="24"/>
          <w:szCs w:val="24"/>
        </w:rPr>
        <w:t>BG</w:t>
      </w:r>
    </w:p>
    <w:p w14:paraId="1E41282E" w14:textId="77777777" w:rsidR="00863081" w:rsidRDefault="00863081" w:rsidP="00863081">
      <w:pPr>
        <w:pStyle w:val="ListParagraph"/>
        <w:spacing w:before="240" w:line="480" w:lineRule="auto"/>
        <w:ind w:left="0"/>
        <w:rPr>
          <w:rFonts w:ascii="Times New Roman" w:hAnsi="Times New Roman" w:cs="David"/>
          <w:b/>
          <w:bCs/>
          <w:sz w:val="28"/>
          <w:szCs w:val="28"/>
          <w:rtl/>
        </w:rPr>
      </w:pPr>
      <w:r>
        <w:rPr>
          <w:noProof/>
        </w:rPr>
        <w:drawing>
          <wp:inline distT="0" distB="0" distL="0" distR="0" wp14:anchorId="483EF3C0" wp14:editId="3219F01B">
            <wp:extent cx="4320000" cy="2520000"/>
            <wp:effectExtent l="0" t="0" r="4445" b="13970"/>
            <wp:docPr id="4" name="תרשים 25">
              <a:extLst xmlns:a="http://schemas.openxmlformats.org/drawingml/2006/main">
                <a:ext uri="{FF2B5EF4-FFF2-40B4-BE49-F238E27FC236}">
                  <a16:creationId xmlns:a16="http://schemas.microsoft.com/office/drawing/2014/main" id="{1E6C43B4-A34B-48FF-B696-7A1442D61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9A3383" w14:textId="48397931" w:rsidR="00EE538D" w:rsidRPr="009233C3" w:rsidRDefault="00EE538D" w:rsidP="00EE538D">
      <w:pPr>
        <w:bidi w:val="0"/>
        <w:spacing w:line="276" w:lineRule="auto"/>
        <w:ind w:left="720"/>
        <w:jc w:val="center"/>
        <w:rPr>
          <w:rFonts w:ascii="Times New Roman" w:hAnsi="Times New Roman" w:cs="David"/>
          <w:sz w:val="24"/>
          <w:szCs w:val="24"/>
        </w:rPr>
      </w:pPr>
      <w:r w:rsidRPr="009233C3">
        <w:rPr>
          <w:rFonts w:ascii="Times New Roman" w:hAnsi="Times New Roman" w:cs="David"/>
          <w:sz w:val="24"/>
          <w:szCs w:val="24"/>
        </w:rPr>
        <w:t xml:space="preserve">Source: </w:t>
      </w:r>
      <w:r>
        <w:rPr>
          <w:rFonts w:ascii="Times New Roman" w:hAnsi="Times New Roman" w:cs="David"/>
          <w:sz w:val="24"/>
          <w:szCs w:val="24"/>
        </w:rPr>
        <w:t xml:space="preserve">BOI and the </w:t>
      </w:r>
      <w:r w:rsidRPr="009233C3">
        <w:rPr>
          <w:rFonts w:ascii="Times New Roman" w:hAnsi="Times New Roman" w:cs="David"/>
          <w:sz w:val="24"/>
          <w:szCs w:val="24"/>
        </w:rPr>
        <w:t>PMA</w:t>
      </w:r>
    </w:p>
    <w:p w14:paraId="4ABB7C3E" w14:textId="77777777" w:rsidR="00EE538D" w:rsidRDefault="00EE538D" w:rsidP="005F0A74">
      <w:pPr>
        <w:pStyle w:val="ListParagraph"/>
        <w:bidi w:val="0"/>
        <w:spacing w:before="240" w:line="480" w:lineRule="auto"/>
        <w:jc w:val="both"/>
        <w:rPr>
          <w:rFonts w:ascii="Times New Roman" w:hAnsi="Times New Roman" w:cs="David"/>
          <w:sz w:val="24"/>
          <w:szCs w:val="24"/>
        </w:rPr>
      </w:pPr>
    </w:p>
    <w:p w14:paraId="50709433" w14:textId="43987489" w:rsidR="00D57C4E" w:rsidRPr="005F0A74" w:rsidRDefault="00D57C4E" w:rsidP="00EE538D">
      <w:pPr>
        <w:pStyle w:val="ListParagraph"/>
        <w:bidi w:val="0"/>
        <w:spacing w:before="240" w:line="480" w:lineRule="auto"/>
        <w:jc w:val="both"/>
        <w:rPr>
          <w:rFonts w:ascii="Times New Roman" w:hAnsi="Times New Roman" w:cs="David"/>
          <w:sz w:val="24"/>
          <w:szCs w:val="24"/>
        </w:rPr>
      </w:pPr>
      <w:r w:rsidRPr="005F0A74">
        <w:rPr>
          <w:rFonts w:ascii="Times New Roman" w:hAnsi="Times New Roman" w:cs="David"/>
          <w:sz w:val="24"/>
          <w:szCs w:val="24"/>
        </w:rPr>
        <w:t xml:space="preserve">In figure 17 we </w:t>
      </w:r>
      <w:r w:rsidR="0072379C">
        <w:rPr>
          <w:rFonts w:ascii="Times New Roman" w:hAnsi="Times New Roman" w:cs="David"/>
          <w:sz w:val="24"/>
          <w:szCs w:val="24"/>
        </w:rPr>
        <w:t xml:space="preserve">can </w:t>
      </w:r>
      <w:r w:rsidRPr="005F0A74">
        <w:rPr>
          <w:rFonts w:ascii="Times New Roman" w:hAnsi="Times New Roman" w:cs="David"/>
          <w:sz w:val="24"/>
          <w:szCs w:val="24"/>
        </w:rPr>
        <w:t xml:space="preserve">find the sum of </w:t>
      </w:r>
      <w:r w:rsidR="0072379C">
        <w:rPr>
          <w:rFonts w:ascii="Times New Roman" w:hAnsi="Times New Roman" w:cs="David"/>
          <w:sz w:val="24"/>
          <w:szCs w:val="24"/>
        </w:rPr>
        <w:t>c</w:t>
      </w:r>
      <w:r w:rsidRPr="005F0A74">
        <w:rPr>
          <w:rFonts w:ascii="Times New Roman" w:hAnsi="Times New Roman" w:cs="David"/>
          <w:sz w:val="24"/>
          <w:szCs w:val="24"/>
        </w:rPr>
        <w:t xml:space="preserve">redit and deposits in the Palestinian banking system by currency </w:t>
      </w:r>
      <w:r w:rsidR="0072379C">
        <w:rPr>
          <w:rFonts w:ascii="Times New Roman" w:hAnsi="Times New Roman" w:cs="David"/>
          <w:sz w:val="24"/>
          <w:szCs w:val="24"/>
        </w:rPr>
        <w:t xml:space="preserve">out </w:t>
      </w:r>
      <w:r w:rsidRPr="005F0A74">
        <w:rPr>
          <w:rFonts w:ascii="Times New Roman" w:hAnsi="Times New Roman" w:cs="David"/>
          <w:sz w:val="24"/>
          <w:szCs w:val="24"/>
        </w:rPr>
        <w:t>of GNI. This index may reflect the potential impact of Israel's monetary policy on the Palestinian economy.</w:t>
      </w:r>
    </w:p>
    <w:p w14:paraId="7E83E1C9" w14:textId="77777777" w:rsidR="0042052C" w:rsidRDefault="0042052C" w:rsidP="006F420D">
      <w:pPr>
        <w:pStyle w:val="ListParagraph"/>
        <w:bidi w:val="0"/>
        <w:spacing w:before="240" w:line="360" w:lineRule="auto"/>
        <w:ind w:left="1440"/>
        <w:jc w:val="center"/>
        <w:rPr>
          <w:rFonts w:ascii="Times New Roman" w:hAnsi="Times New Roman" w:cs="David"/>
          <w:b/>
          <w:bCs/>
          <w:sz w:val="24"/>
          <w:szCs w:val="24"/>
        </w:rPr>
      </w:pPr>
    </w:p>
    <w:p w14:paraId="73249B50" w14:textId="77777777" w:rsidR="0042052C" w:rsidRDefault="0042052C" w:rsidP="0042052C">
      <w:pPr>
        <w:pStyle w:val="ListParagraph"/>
        <w:bidi w:val="0"/>
        <w:spacing w:before="240" w:line="360" w:lineRule="auto"/>
        <w:ind w:left="1440"/>
        <w:jc w:val="center"/>
        <w:rPr>
          <w:rFonts w:ascii="Times New Roman" w:hAnsi="Times New Roman" w:cs="David"/>
          <w:b/>
          <w:bCs/>
          <w:sz w:val="24"/>
          <w:szCs w:val="24"/>
        </w:rPr>
      </w:pPr>
    </w:p>
    <w:p w14:paraId="3CB1B558" w14:textId="77777777" w:rsidR="0042052C" w:rsidRDefault="0042052C" w:rsidP="0042052C">
      <w:pPr>
        <w:pStyle w:val="ListParagraph"/>
        <w:bidi w:val="0"/>
        <w:spacing w:before="240" w:line="360" w:lineRule="auto"/>
        <w:ind w:left="1440"/>
        <w:jc w:val="center"/>
        <w:rPr>
          <w:rFonts w:ascii="Times New Roman" w:hAnsi="Times New Roman" w:cs="David"/>
          <w:b/>
          <w:bCs/>
          <w:sz w:val="24"/>
          <w:szCs w:val="24"/>
        </w:rPr>
      </w:pPr>
    </w:p>
    <w:p w14:paraId="3489EB1B" w14:textId="77777777" w:rsidR="0042052C" w:rsidRDefault="0042052C" w:rsidP="0042052C">
      <w:pPr>
        <w:pStyle w:val="ListParagraph"/>
        <w:bidi w:val="0"/>
        <w:spacing w:before="240" w:line="360" w:lineRule="auto"/>
        <w:ind w:left="1440"/>
        <w:jc w:val="center"/>
        <w:rPr>
          <w:rFonts w:ascii="Times New Roman" w:hAnsi="Times New Roman" w:cs="David"/>
          <w:b/>
          <w:bCs/>
          <w:sz w:val="24"/>
          <w:szCs w:val="24"/>
        </w:rPr>
      </w:pPr>
    </w:p>
    <w:p w14:paraId="5AD5BD0D" w14:textId="77777777" w:rsidR="0042052C" w:rsidRDefault="0042052C" w:rsidP="0042052C">
      <w:pPr>
        <w:pStyle w:val="ListParagraph"/>
        <w:bidi w:val="0"/>
        <w:spacing w:before="240" w:line="360" w:lineRule="auto"/>
        <w:ind w:left="1440"/>
        <w:jc w:val="center"/>
        <w:rPr>
          <w:rFonts w:ascii="Times New Roman" w:hAnsi="Times New Roman" w:cs="David"/>
          <w:b/>
          <w:bCs/>
          <w:sz w:val="24"/>
          <w:szCs w:val="24"/>
        </w:rPr>
      </w:pPr>
    </w:p>
    <w:p w14:paraId="2D08ABE9" w14:textId="096FA4B9" w:rsidR="00D57C4E" w:rsidRPr="005F0A74" w:rsidRDefault="00D57C4E" w:rsidP="00D1301F">
      <w:pPr>
        <w:pStyle w:val="ListParagraph"/>
        <w:bidi w:val="0"/>
        <w:spacing w:before="240" w:line="360" w:lineRule="auto"/>
        <w:ind w:left="0"/>
        <w:jc w:val="center"/>
        <w:rPr>
          <w:rFonts w:ascii="Times New Roman" w:hAnsi="Times New Roman" w:cs="David"/>
          <w:b/>
          <w:bCs/>
          <w:sz w:val="24"/>
          <w:szCs w:val="24"/>
        </w:rPr>
      </w:pPr>
      <w:r w:rsidRPr="005F0A74">
        <w:rPr>
          <w:rFonts w:ascii="Times New Roman" w:hAnsi="Times New Roman" w:cs="David"/>
          <w:b/>
          <w:bCs/>
          <w:sz w:val="24"/>
          <w:szCs w:val="24"/>
        </w:rPr>
        <w:t>Figure</w:t>
      </w:r>
      <w:r w:rsidR="005F0A74" w:rsidRPr="005F0A74">
        <w:rPr>
          <w:rFonts w:ascii="Times New Roman" w:hAnsi="Times New Roman" w:cs="David"/>
          <w:b/>
          <w:bCs/>
          <w:sz w:val="24"/>
          <w:szCs w:val="24"/>
        </w:rPr>
        <w:t xml:space="preserve"> 19 -</w:t>
      </w:r>
      <w:r w:rsidRPr="005F0A74">
        <w:rPr>
          <w:rFonts w:ascii="Times New Roman" w:hAnsi="Times New Roman" w:cs="David"/>
          <w:b/>
          <w:bCs/>
          <w:sz w:val="24"/>
          <w:szCs w:val="24"/>
        </w:rPr>
        <w:t xml:space="preserve"> The sum of </w:t>
      </w:r>
      <w:r w:rsidR="0042052C">
        <w:rPr>
          <w:rFonts w:ascii="Times New Roman" w:hAnsi="Times New Roman" w:cs="David"/>
          <w:b/>
          <w:bCs/>
          <w:sz w:val="24"/>
          <w:szCs w:val="24"/>
        </w:rPr>
        <w:t>c</w:t>
      </w:r>
      <w:r w:rsidRPr="005F0A74">
        <w:rPr>
          <w:rFonts w:ascii="Times New Roman" w:hAnsi="Times New Roman" w:cs="David"/>
          <w:b/>
          <w:bCs/>
          <w:sz w:val="24"/>
          <w:szCs w:val="24"/>
        </w:rPr>
        <w:t>redit and deposits in the Palestinian banking system by currency out of Gross national income</w:t>
      </w:r>
    </w:p>
    <w:p w14:paraId="63D9215C" w14:textId="2D1D38CF" w:rsidR="00D57C4E" w:rsidRDefault="00BA1776" w:rsidP="00D1301F">
      <w:pPr>
        <w:pStyle w:val="ListParagraph"/>
        <w:autoSpaceDE w:val="0"/>
        <w:autoSpaceDN w:val="0"/>
        <w:bidi w:val="0"/>
        <w:adjustRightInd w:val="0"/>
        <w:spacing w:line="480" w:lineRule="auto"/>
        <w:rPr>
          <w:rFonts w:ascii="Times New Roman" w:hAnsi="Times New Roman" w:cs="David"/>
          <w:b/>
          <w:bCs/>
          <w:sz w:val="24"/>
          <w:szCs w:val="24"/>
        </w:rPr>
      </w:pPr>
      <w:r>
        <w:rPr>
          <w:noProof/>
        </w:rPr>
        <w:drawing>
          <wp:inline distT="0" distB="0" distL="0" distR="0" wp14:anchorId="5519377D" wp14:editId="76C0407E">
            <wp:extent cx="4320000" cy="2520000"/>
            <wp:effectExtent l="0" t="0" r="4445" b="13970"/>
            <wp:docPr id="82" name="Chart 82">
              <a:extLst xmlns:a="http://schemas.openxmlformats.org/drawingml/2006/main">
                <a:ext uri="{FF2B5EF4-FFF2-40B4-BE49-F238E27FC236}">
                  <a16:creationId xmlns:a16="http://schemas.microsoft.com/office/drawing/2014/main" id="{34EB4919-6304-C8B0-FEB8-68136E1AB6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FEB237E" w14:textId="77777777" w:rsidR="00EE538D" w:rsidRPr="009233C3" w:rsidRDefault="00EE538D" w:rsidP="00EE538D">
      <w:pPr>
        <w:bidi w:val="0"/>
        <w:spacing w:line="276" w:lineRule="auto"/>
        <w:ind w:left="720"/>
        <w:jc w:val="center"/>
        <w:rPr>
          <w:rFonts w:ascii="Times New Roman" w:hAnsi="Times New Roman" w:cs="David"/>
          <w:sz w:val="24"/>
          <w:szCs w:val="24"/>
        </w:rPr>
      </w:pPr>
      <w:r w:rsidRPr="009233C3">
        <w:rPr>
          <w:rFonts w:ascii="Times New Roman" w:hAnsi="Times New Roman" w:cs="David"/>
          <w:sz w:val="24"/>
          <w:szCs w:val="24"/>
        </w:rPr>
        <w:t>Source: PMA</w:t>
      </w:r>
    </w:p>
    <w:p w14:paraId="3CB67A84" w14:textId="77777777" w:rsidR="00D57C4E" w:rsidRDefault="00D57C4E" w:rsidP="00D57C4E">
      <w:pPr>
        <w:pStyle w:val="ListParagraph"/>
        <w:autoSpaceDE w:val="0"/>
        <w:autoSpaceDN w:val="0"/>
        <w:bidi w:val="0"/>
        <w:adjustRightInd w:val="0"/>
        <w:spacing w:line="480" w:lineRule="auto"/>
        <w:ind w:left="851"/>
        <w:rPr>
          <w:rFonts w:ascii="Times New Roman" w:hAnsi="Times New Roman" w:cs="David"/>
          <w:b/>
          <w:bCs/>
          <w:sz w:val="24"/>
          <w:szCs w:val="24"/>
        </w:rPr>
      </w:pPr>
    </w:p>
    <w:p w14:paraId="11EAAFA4" w14:textId="77777777" w:rsidR="00863081" w:rsidRPr="00A42AEE" w:rsidRDefault="00863081" w:rsidP="00863081">
      <w:pPr>
        <w:pStyle w:val="ListParagraph"/>
        <w:numPr>
          <w:ilvl w:val="1"/>
          <w:numId w:val="3"/>
        </w:numPr>
        <w:autoSpaceDE w:val="0"/>
        <w:autoSpaceDN w:val="0"/>
        <w:bidi w:val="0"/>
        <w:adjustRightInd w:val="0"/>
        <w:spacing w:line="480" w:lineRule="auto"/>
        <w:ind w:hanging="432"/>
        <w:rPr>
          <w:rFonts w:ascii="Times New Roman" w:hAnsi="Times New Roman" w:cs="David"/>
          <w:b/>
          <w:bCs/>
          <w:sz w:val="24"/>
          <w:szCs w:val="24"/>
        </w:rPr>
      </w:pPr>
      <w:r w:rsidRPr="00A42AEE">
        <w:rPr>
          <w:rFonts w:ascii="Times New Roman" w:hAnsi="Times New Roman" w:cs="David" w:hint="cs"/>
          <w:b/>
          <w:bCs/>
          <w:sz w:val="24"/>
          <w:szCs w:val="24"/>
        </w:rPr>
        <w:t>C</w:t>
      </w:r>
      <w:r w:rsidRPr="00A42AEE">
        <w:rPr>
          <w:rFonts w:ascii="Times New Roman" w:hAnsi="Times New Roman" w:cs="David"/>
          <w:b/>
          <w:bCs/>
          <w:sz w:val="24"/>
          <w:szCs w:val="24"/>
        </w:rPr>
        <w:t>orresponden</w:t>
      </w:r>
      <w:r>
        <w:rPr>
          <w:rFonts w:ascii="Times New Roman" w:hAnsi="Times New Roman" w:cs="David"/>
          <w:b/>
          <w:bCs/>
          <w:sz w:val="24"/>
          <w:szCs w:val="24"/>
        </w:rPr>
        <w:t>t</w:t>
      </w:r>
      <w:r w:rsidRPr="00A42AEE">
        <w:rPr>
          <w:rFonts w:ascii="Times New Roman" w:hAnsi="Times New Roman" w:cs="David"/>
          <w:b/>
          <w:bCs/>
          <w:sz w:val="24"/>
          <w:szCs w:val="24"/>
        </w:rPr>
        <w:t xml:space="preserve"> bank</w:t>
      </w:r>
      <w:r>
        <w:rPr>
          <w:rFonts w:ascii="Times New Roman" w:hAnsi="Times New Roman" w:cs="David"/>
          <w:b/>
          <w:bCs/>
          <w:sz w:val="24"/>
          <w:szCs w:val="24"/>
        </w:rPr>
        <w:t>ing</w:t>
      </w:r>
      <w:r w:rsidRPr="00A42AEE">
        <w:rPr>
          <w:rFonts w:ascii="Times New Roman" w:hAnsi="Times New Roman" w:cs="David"/>
          <w:b/>
          <w:bCs/>
          <w:sz w:val="24"/>
          <w:szCs w:val="24"/>
        </w:rPr>
        <w:t xml:space="preserve"> relation</w:t>
      </w:r>
      <w:r>
        <w:rPr>
          <w:rFonts w:ascii="Times New Roman" w:hAnsi="Times New Roman" w:cs="David"/>
          <w:b/>
          <w:bCs/>
          <w:sz w:val="24"/>
          <w:szCs w:val="24"/>
        </w:rPr>
        <w:t>ship</w:t>
      </w:r>
      <w:r w:rsidRPr="00A42AEE">
        <w:rPr>
          <w:rFonts w:ascii="Times New Roman" w:hAnsi="Times New Roman" w:cs="David"/>
          <w:b/>
          <w:bCs/>
          <w:sz w:val="24"/>
          <w:szCs w:val="24"/>
        </w:rPr>
        <w:t xml:space="preserve"> between Israel and the </w:t>
      </w:r>
      <w:r>
        <w:rPr>
          <w:rFonts w:ascii="Times New Roman" w:hAnsi="Times New Roman" w:cs="David"/>
          <w:b/>
          <w:bCs/>
          <w:sz w:val="24"/>
          <w:szCs w:val="24"/>
        </w:rPr>
        <w:t>WBG</w:t>
      </w:r>
    </w:p>
    <w:p w14:paraId="7360E30B" w14:textId="77777777" w:rsidR="00863081" w:rsidRPr="003F7D7E" w:rsidRDefault="00863081" w:rsidP="00863081">
      <w:pPr>
        <w:pStyle w:val="ListParagraph"/>
        <w:bidi w:val="0"/>
        <w:spacing w:line="480" w:lineRule="auto"/>
        <w:ind w:left="851"/>
        <w:jc w:val="both"/>
        <w:rPr>
          <w:rFonts w:asciiTheme="majorBidi" w:hAnsiTheme="majorBidi" w:cstheme="majorBidi"/>
          <w:sz w:val="24"/>
          <w:szCs w:val="24"/>
        </w:rPr>
      </w:pPr>
      <w:r w:rsidRPr="003F7D7E">
        <w:rPr>
          <w:rFonts w:asciiTheme="majorBidi" w:hAnsiTheme="majorBidi" w:cstheme="majorBidi"/>
          <w:sz w:val="24"/>
          <w:szCs w:val="24"/>
        </w:rPr>
        <w:t>The definition of correspondent banking by the IMF (2017)</w:t>
      </w:r>
      <w:r>
        <w:rPr>
          <w:rStyle w:val="FootnoteReference"/>
          <w:rFonts w:asciiTheme="majorBidi" w:hAnsiTheme="majorBidi" w:cstheme="majorBidi"/>
          <w:sz w:val="24"/>
          <w:szCs w:val="24"/>
        </w:rPr>
        <w:footnoteReference w:id="33"/>
      </w:r>
      <w:r>
        <w:rPr>
          <w:rFonts w:asciiTheme="majorBidi" w:hAnsiTheme="majorBidi" w:cstheme="majorBidi"/>
          <w:sz w:val="24"/>
          <w:szCs w:val="24"/>
        </w:rPr>
        <w:t xml:space="preserve"> is, </w:t>
      </w:r>
      <w:r w:rsidRPr="003F7D7E">
        <w:rPr>
          <w:rFonts w:asciiTheme="majorBidi" w:hAnsiTheme="majorBidi" w:cstheme="majorBidi"/>
          <w:sz w:val="24"/>
          <w:szCs w:val="24"/>
        </w:rPr>
        <w:t>"The provision of a current account (called a nostro account) by a bank to another bank, which uses this nostro account to facilitate cross-border payments and trade finance transactions of its customers (e.g., individuals, legal entities, or even other banks). The bank may also use the nostro account for its own liquidity management and related services (cash clearing, short</w:t>
      </w:r>
      <w:r>
        <w:rPr>
          <w:rFonts w:asciiTheme="majorBidi" w:hAnsiTheme="majorBidi" w:cstheme="majorBidi"/>
          <w:sz w:val="24"/>
          <w:szCs w:val="24"/>
        </w:rPr>
        <w:t>-</w:t>
      </w:r>
      <w:r w:rsidRPr="003F7D7E">
        <w:rPr>
          <w:rFonts w:asciiTheme="majorBidi" w:hAnsiTheme="majorBidi" w:cstheme="majorBidi"/>
          <w:sz w:val="24"/>
          <w:szCs w:val="24"/>
        </w:rPr>
        <w:t>term borrowing and investment services in other currencies). The bank providing the nostro account is called the correspondent bank, and the bank using the nostro account is called the respondent bank. The relationship between the correspondent and respondent bank is called a Correspondent Banking Relationship (CBR)".</w:t>
      </w:r>
    </w:p>
    <w:p w14:paraId="66F30D3D" w14:textId="77777777" w:rsidR="00863081" w:rsidRPr="00DC458E" w:rsidRDefault="00863081" w:rsidP="00863081">
      <w:pPr>
        <w:bidi w:val="0"/>
        <w:spacing w:line="480" w:lineRule="auto"/>
        <w:ind w:left="851"/>
        <w:jc w:val="both"/>
        <w:rPr>
          <w:rFonts w:ascii="Times New Roman" w:hAnsi="Times New Roman" w:cs="David"/>
          <w:sz w:val="24"/>
          <w:szCs w:val="24"/>
        </w:rPr>
      </w:pPr>
      <w:r w:rsidRPr="00DC458E">
        <w:rPr>
          <w:rFonts w:ascii="Times New Roman" w:hAnsi="Times New Roman" w:cs="David"/>
          <w:sz w:val="24"/>
          <w:szCs w:val="24"/>
        </w:rPr>
        <w:t>According to Article IV of PP: "The clearing of money orders and transactions between banks operating in the areas and banks operating in Israel will be done between the Israeli and the Palestinian clearing houses on the same working day basis, according to agreed arrangements"</w:t>
      </w:r>
      <w:r>
        <w:rPr>
          <w:rFonts w:ascii="Times New Roman" w:hAnsi="Times New Roman" w:cs="David"/>
          <w:sz w:val="24"/>
          <w:szCs w:val="24"/>
        </w:rPr>
        <w:t>, a</w:t>
      </w:r>
      <w:r w:rsidRPr="00DC458E">
        <w:rPr>
          <w:rFonts w:ascii="Times New Roman" w:hAnsi="Times New Roman" w:cs="David"/>
          <w:sz w:val="24"/>
          <w:szCs w:val="24"/>
        </w:rPr>
        <w:t xml:space="preserve">nd "Both sides will allow </w:t>
      </w:r>
      <w:proofErr w:type="spellStart"/>
      <w:r w:rsidRPr="00DC458E">
        <w:rPr>
          <w:rFonts w:ascii="Times New Roman" w:hAnsi="Times New Roman" w:cs="David"/>
          <w:sz w:val="24"/>
          <w:szCs w:val="24"/>
        </w:rPr>
        <w:t>correspondential</w:t>
      </w:r>
      <w:proofErr w:type="spellEnd"/>
      <w:r w:rsidRPr="00DC458E">
        <w:rPr>
          <w:rFonts w:ascii="Times New Roman" w:hAnsi="Times New Roman" w:cs="David"/>
          <w:sz w:val="24"/>
          <w:szCs w:val="24"/>
        </w:rPr>
        <w:t xml:space="preserve"> relations between </w:t>
      </w:r>
      <w:proofErr w:type="spellStart"/>
      <w:r w:rsidRPr="00DC458E">
        <w:rPr>
          <w:rFonts w:ascii="Times New Roman" w:hAnsi="Times New Roman" w:cs="David"/>
          <w:sz w:val="24"/>
          <w:szCs w:val="24"/>
        </w:rPr>
        <w:t>each others'</w:t>
      </w:r>
      <w:proofErr w:type="spellEnd"/>
      <w:r w:rsidRPr="00DC458E">
        <w:rPr>
          <w:rFonts w:ascii="Times New Roman" w:hAnsi="Times New Roman" w:cs="David"/>
          <w:sz w:val="24"/>
          <w:szCs w:val="24"/>
        </w:rPr>
        <w:t xml:space="preserve"> bank</w:t>
      </w:r>
      <w:r>
        <w:rPr>
          <w:rFonts w:ascii="Times New Roman" w:hAnsi="Times New Roman" w:cs="David"/>
          <w:sz w:val="24"/>
          <w:szCs w:val="24"/>
        </w:rPr>
        <w:t>s</w:t>
      </w:r>
      <w:r w:rsidRPr="00DC458E">
        <w:rPr>
          <w:rFonts w:ascii="Times New Roman" w:hAnsi="Times New Roman" w:cs="David"/>
          <w:sz w:val="24"/>
          <w:szCs w:val="24"/>
        </w:rPr>
        <w:t>".</w:t>
      </w:r>
    </w:p>
    <w:p w14:paraId="154FBAE6" w14:textId="77777777" w:rsidR="00863081" w:rsidRPr="00ED21BC" w:rsidRDefault="00863081" w:rsidP="00863081">
      <w:pPr>
        <w:bidi w:val="0"/>
        <w:spacing w:line="360" w:lineRule="auto"/>
        <w:ind w:left="851"/>
        <w:jc w:val="both"/>
        <w:rPr>
          <w:rFonts w:ascii="Times New Roman" w:hAnsi="Times New Roman" w:cs="David"/>
          <w:sz w:val="24"/>
          <w:szCs w:val="24"/>
        </w:rPr>
      </w:pPr>
      <w:r w:rsidRPr="00ED21BC">
        <w:rPr>
          <w:rFonts w:ascii="Times New Roman" w:hAnsi="Times New Roman" w:cs="David"/>
          <w:sz w:val="24"/>
          <w:szCs w:val="24"/>
        </w:rPr>
        <w:t>The means of payment used in transactions between Israel and the WBG include:</w:t>
      </w:r>
    </w:p>
    <w:p w14:paraId="2EC1C5F3" w14:textId="77777777" w:rsidR="00863081" w:rsidRPr="00A42AEE" w:rsidRDefault="00863081" w:rsidP="00863081">
      <w:pPr>
        <w:pStyle w:val="ListParagraph"/>
        <w:numPr>
          <w:ilvl w:val="0"/>
          <w:numId w:val="8"/>
        </w:numPr>
        <w:bidi w:val="0"/>
        <w:spacing w:line="360" w:lineRule="auto"/>
        <w:ind w:left="1211"/>
        <w:jc w:val="both"/>
        <w:rPr>
          <w:rFonts w:ascii="Times New Roman" w:hAnsi="Times New Roman" w:cs="David"/>
          <w:sz w:val="24"/>
          <w:szCs w:val="24"/>
          <w:rtl/>
        </w:rPr>
      </w:pPr>
      <w:r w:rsidRPr="00A42AEE">
        <w:rPr>
          <w:rFonts w:ascii="Times New Roman" w:hAnsi="Times New Roman" w:cs="David"/>
          <w:sz w:val="24"/>
          <w:szCs w:val="24"/>
        </w:rPr>
        <w:t>Checks</w:t>
      </w:r>
      <w:r>
        <w:rPr>
          <w:rFonts w:ascii="Times New Roman" w:hAnsi="Times New Roman" w:cs="David"/>
          <w:sz w:val="24"/>
          <w:szCs w:val="24"/>
        </w:rPr>
        <w:t>—</w:t>
      </w:r>
      <w:r w:rsidRPr="00A42AEE">
        <w:rPr>
          <w:rFonts w:ascii="Times New Roman" w:hAnsi="Times New Roman" w:cs="David"/>
          <w:sz w:val="24"/>
          <w:szCs w:val="24"/>
        </w:rPr>
        <w:t>used for payments whose average value reaches tens of thousands of shekels per check</w:t>
      </w:r>
      <w:r w:rsidRPr="00A42AEE">
        <w:rPr>
          <w:rFonts w:ascii="Times New Roman" w:hAnsi="Times New Roman" w:cs="David"/>
          <w:sz w:val="24"/>
          <w:szCs w:val="24"/>
          <w:rtl/>
        </w:rPr>
        <w:t>.</w:t>
      </w:r>
    </w:p>
    <w:p w14:paraId="5AD3BE30" w14:textId="77777777" w:rsidR="00863081" w:rsidRPr="00A42AEE" w:rsidRDefault="00863081" w:rsidP="00863081">
      <w:pPr>
        <w:pStyle w:val="ListParagraph"/>
        <w:numPr>
          <w:ilvl w:val="0"/>
          <w:numId w:val="8"/>
        </w:numPr>
        <w:bidi w:val="0"/>
        <w:spacing w:line="360" w:lineRule="auto"/>
        <w:ind w:left="1211"/>
        <w:jc w:val="both"/>
        <w:rPr>
          <w:rFonts w:ascii="Times New Roman" w:hAnsi="Times New Roman" w:cs="David"/>
          <w:sz w:val="24"/>
          <w:szCs w:val="24"/>
          <w:rtl/>
        </w:rPr>
      </w:pPr>
      <w:r w:rsidRPr="00A42AEE">
        <w:rPr>
          <w:rFonts w:ascii="Times New Roman" w:hAnsi="Times New Roman" w:cs="David"/>
          <w:sz w:val="24"/>
          <w:szCs w:val="24"/>
        </w:rPr>
        <w:t>Bank transfers</w:t>
      </w:r>
      <w:r>
        <w:t>—</w:t>
      </w:r>
      <w:r w:rsidRPr="00A42AEE">
        <w:rPr>
          <w:rFonts w:ascii="Times New Roman" w:hAnsi="Times New Roman" w:cs="David"/>
          <w:sz w:val="24"/>
          <w:szCs w:val="24"/>
        </w:rPr>
        <w:t>used for payments whose average value reaches millions of shekels for transfer</w:t>
      </w:r>
      <w:r w:rsidRPr="00A42AEE">
        <w:rPr>
          <w:rFonts w:ascii="Times New Roman" w:hAnsi="Times New Roman" w:cs="David"/>
          <w:sz w:val="24"/>
          <w:szCs w:val="24"/>
          <w:rtl/>
        </w:rPr>
        <w:t>.</w:t>
      </w:r>
      <w:r>
        <w:rPr>
          <w:rFonts w:ascii="Times New Roman" w:hAnsi="Times New Roman" w:cs="David"/>
          <w:sz w:val="24"/>
          <w:szCs w:val="24"/>
        </w:rPr>
        <w:t xml:space="preserve"> </w:t>
      </w:r>
    </w:p>
    <w:p w14:paraId="08341926" w14:textId="77777777" w:rsidR="00863081" w:rsidRDefault="00863081" w:rsidP="00863081">
      <w:pPr>
        <w:pStyle w:val="ListParagraph"/>
        <w:bidi w:val="0"/>
        <w:spacing w:line="480" w:lineRule="auto"/>
        <w:ind w:left="1080"/>
        <w:jc w:val="both"/>
        <w:rPr>
          <w:rFonts w:ascii="Times New Roman" w:hAnsi="Times New Roman" w:cs="David"/>
          <w:sz w:val="24"/>
          <w:szCs w:val="24"/>
        </w:rPr>
      </w:pPr>
      <w:r w:rsidRPr="00B51DAE">
        <w:rPr>
          <w:rFonts w:ascii="Times New Roman" w:hAnsi="Times New Roman" w:cs="David"/>
          <w:sz w:val="24"/>
          <w:szCs w:val="24"/>
        </w:rPr>
        <w:t>According to the IMF report to donor countries</w:t>
      </w:r>
      <w:r>
        <w:rPr>
          <w:rFonts w:ascii="Times New Roman" w:hAnsi="Times New Roman" w:cs="David"/>
          <w:sz w:val="24"/>
          <w:szCs w:val="24"/>
        </w:rPr>
        <w:t xml:space="preserve"> (AHLC SEP 2016)</w:t>
      </w:r>
      <w:r>
        <w:rPr>
          <w:rStyle w:val="FootnoteReference"/>
          <w:rFonts w:ascii="Times New Roman" w:hAnsi="Times New Roman" w:cs="David"/>
          <w:sz w:val="24"/>
          <w:szCs w:val="24"/>
        </w:rPr>
        <w:footnoteReference w:id="34"/>
      </w:r>
      <w:r w:rsidRPr="00B51DAE">
        <w:rPr>
          <w:rFonts w:ascii="Times New Roman" w:hAnsi="Times New Roman" w:cs="David"/>
          <w:sz w:val="24"/>
          <w:szCs w:val="24"/>
        </w:rPr>
        <w:t xml:space="preserve">, transactions settled through </w:t>
      </w:r>
      <w:r>
        <w:rPr>
          <w:rFonts w:ascii="Times New Roman" w:hAnsi="Times New Roman" w:cs="David"/>
          <w:sz w:val="24"/>
          <w:szCs w:val="24"/>
        </w:rPr>
        <w:t>CBR</w:t>
      </w:r>
      <w:r w:rsidRPr="00B51DAE">
        <w:rPr>
          <w:rFonts w:ascii="Times New Roman" w:hAnsi="Times New Roman" w:cs="David"/>
          <w:sz w:val="24"/>
          <w:szCs w:val="24"/>
        </w:rPr>
        <w:t xml:space="preserve"> are a large part of the WBG's economic activity. In 2015, approximately 300,000 checks were issued by Palestinians to Israeli beneficiaries deposited with Israeli correspondent banks and 800,000 checks were issued by Israelis to Palestinian</w:t>
      </w:r>
      <w:r>
        <w:rPr>
          <w:rFonts w:ascii="Times New Roman" w:hAnsi="Times New Roman" w:cs="David"/>
          <w:sz w:val="24"/>
          <w:szCs w:val="24"/>
        </w:rPr>
        <w:t xml:space="preserve"> </w:t>
      </w:r>
      <w:r w:rsidRPr="00B51DAE">
        <w:rPr>
          <w:rFonts w:ascii="Times New Roman" w:hAnsi="Times New Roman" w:cs="David"/>
          <w:sz w:val="24"/>
          <w:szCs w:val="24"/>
        </w:rPr>
        <w:t xml:space="preserve">beneficiaries and deposited in Palestinian banks. These transactions </w:t>
      </w:r>
      <w:r>
        <w:rPr>
          <w:rFonts w:ascii="Times New Roman" w:hAnsi="Times New Roman" w:cs="David"/>
          <w:sz w:val="24"/>
          <w:szCs w:val="24"/>
        </w:rPr>
        <w:t>were estimated at NIS 8 billion and</w:t>
      </w:r>
      <w:r w:rsidRPr="00B51DAE">
        <w:rPr>
          <w:rFonts w:ascii="Times New Roman" w:hAnsi="Times New Roman" w:cs="David"/>
          <w:sz w:val="24"/>
          <w:szCs w:val="24"/>
        </w:rPr>
        <w:t xml:space="preserve"> NIS 7 billion, respectively, which </w:t>
      </w:r>
      <w:r>
        <w:rPr>
          <w:rFonts w:ascii="Times New Roman" w:hAnsi="Times New Roman" w:cs="David"/>
          <w:sz w:val="24"/>
          <w:szCs w:val="24"/>
        </w:rPr>
        <w:t>was</w:t>
      </w:r>
      <w:r w:rsidRPr="00B51DAE">
        <w:rPr>
          <w:rFonts w:ascii="Times New Roman" w:hAnsi="Times New Roman" w:cs="David"/>
          <w:sz w:val="24"/>
          <w:szCs w:val="24"/>
        </w:rPr>
        <w:t xml:space="preserve"> about 30% of the WBG's G</w:t>
      </w:r>
      <w:r>
        <w:rPr>
          <w:rFonts w:ascii="Times New Roman" w:hAnsi="Times New Roman" w:cs="David"/>
          <w:sz w:val="24"/>
          <w:szCs w:val="24"/>
        </w:rPr>
        <w:t>DP. A s</w:t>
      </w:r>
      <w:r w:rsidRPr="00B51DAE">
        <w:rPr>
          <w:rFonts w:ascii="Times New Roman" w:hAnsi="Times New Roman" w:cs="David"/>
          <w:sz w:val="24"/>
          <w:szCs w:val="24"/>
        </w:rPr>
        <w:t xml:space="preserve">imilar system </w:t>
      </w:r>
      <w:r>
        <w:rPr>
          <w:rFonts w:ascii="Times New Roman" w:hAnsi="Times New Roman" w:cs="David"/>
          <w:sz w:val="24"/>
          <w:szCs w:val="24"/>
        </w:rPr>
        <w:t xml:space="preserve">was </w:t>
      </w:r>
      <w:r w:rsidRPr="00B51DAE">
        <w:rPr>
          <w:rFonts w:ascii="Times New Roman" w:hAnsi="Times New Roman" w:cs="David"/>
          <w:sz w:val="24"/>
          <w:szCs w:val="24"/>
        </w:rPr>
        <w:t>used to transfer money in and out of the shekel, which amounted to around NIS 8 billion an</w:t>
      </w:r>
      <w:r>
        <w:rPr>
          <w:rFonts w:ascii="Times New Roman" w:hAnsi="Times New Roman" w:cs="David"/>
          <w:sz w:val="24"/>
          <w:szCs w:val="24"/>
        </w:rPr>
        <w:t>d NIS 14 billion, respectively, o</w:t>
      </w:r>
      <w:r w:rsidRPr="00B51DAE">
        <w:rPr>
          <w:rFonts w:ascii="Times New Roman" w:hAnsi="Times New Roman" w:cs="David"/>
          <w:sz w:val="24"/>
          <w:szCs w:val="24"/>
        </w:rPr>
        <w:t>r about 16% and 28% of WBG's GDP</w:t>
      </w:r>
      <w:r>
        <w:rPr>
          <w:rFonts w:ascii="Times New Roman" w:hAnsi="Times New Roman" w:cs="David"/>
          <w:sz w:val="24"/>
          <w:szCs w:val="24"/>
        </w:rPr>
        <w:t>.</w:t>
      </w:r>
    </w:p>
    <w:p w14:paraId="51B574E3" w14:textId="7129B376" w:rsidR="00863081" w:rsidRPr="007333A1" w:rsidRDefault="00863081" w:rsidP="00863081">
      <w:pPr>
        <w:pStyle w:val="ListParagraph"/>
        <w:bidi w:val="0"/>
        <w:spacing w:line="480" w:lineRule="auto"/>
        <w:ind w:left="1080"/>
        <w:jc w:val="both"/>
        <w:rPr>
          <w:rFonts w:ascii="Times New Roman" w:hAnsi="Times New Roman" w:cs="David"/>
          <w:sz w:val="24"/>
          <w:szCs w:val="24"/>
        </w:rPr>
      </w:pPr>
      <w:r>
        <w:rPr>
          <w:rFonts w:ascii="Times New Roman" w:hAnsi="Times New Roman" w:cs="David"/>
          <w:sz w:val="24"/>
          <w:szCs w:val="24"/>
        </w:rPr>
        <w:t xml:space="preserve">In figure 6 below we can find the </w:t>
      </w:r>
      <w:r w:rsidRPr="007333A1">
        <w:rPr>
          <w:rFonts w:ascii="Times New Roman" w:hAnsi="Times New Roman" w:cs="David"/>
          <w:sz w:val="24"/>
          <w:szCs w:val="24"/>
        </w:rPr>
        <w:t>Yearly Checks and Money transfer Volume between Palestinian banks and Israeli banks, in NIS billions</w:t>
      </w:r>
      <w:r>
        <w:rPr>
          <w:rFonts w:ascii="Times New Roman" w:hAnsi="Times New Roman" w:cs="David"/>
          <w:sz w:val="24"/>
          <w:szCs w:val="24"/>
        </w:rPr>
        <w:t xml:space="preserve">. </w:t>
      </w:r>
      <w:r w:rsidRPr="00D41F2D">
        <w:rPr>
          <w:rFonts w:ascii="Times New Roman" w:hAnsi="Times New Roman" w:cs="David"/>
          <w:sz w:val="24"/>
          <w:szCs w:val="24"/>
        </w:rPr>
        <w:t xml:space="preserve">We </w:t>
      </w:r>
      <w:r>
        <w:rPr>
          <w:rFonts w:ascii="Times New Roman" w:hAnsi="Times New Roman" w:cs="David"/>
          <w:sz w:val="24"/>
          <w:szCs w:val="24"/>
        </w:rPr>
        <w:t xml:space="preserve">can </w:t>
      </w:r>
      <w:r w:rsidRPr="00D41F2D">
        <w:rPr>
          <w:rFonts w:ascii="Times New Roman" w:hAnsi="Times New Roman" w:cs="David"/>
          <w:sz w:val="24"/>
          <w:szCs w:val="24"/>
        </w:rPr>
        <w:t xml:space="preserve">see that the </w:t>
      </w:r>
      <w:r>
        <w:rPr>
          <w:rFonts w:ascii="Times New Roman" w:hAnsi="Times New Roman" w:cs="David"/>
          <w:sz w:val="24"/>
          <w:szCs w:val="24"/>
        </w:rPr>
        <w:t>upward</w:t>
      </w:r>
      <w:r w:rsidRPr="00D41F2D">
        <w:rPr>
          <w:rFonts w:ascii="Times New Roman" w:hAnsi="Times New Roman" w:cs="David"/>
          <w:sz w:val="24"/>
          <w:szCs w:val="24"/>
        </w:rPr>
        <w:t xml:space="preserve"> trend stopped at the end of 2016</w:t>
      </w:r>
      <w:r w:rsidR="00197AC0">
        <w:rPr>
          <w:rFonts w:ascii="Times New Roman" w:hAnsi="Times New Roman" w:cs="David"/>
          <w:sz w:val="24"/>
          <w:szCs w:val="24"/>
        </w:rPr>
        <w:t>, a</w:t>
      </w:r>
      <w:r w:rsidRPr="00D41F2D">
        <w:rPr>
          <w:rFonts w:ascii="Times New Roman" w:hAnsi="Times New Roman" w:cs="David"/>
          <w:sz w:val="24"/>
          <w:szCs w:val="24"/>
        </w:rPr>
        <w:t xml:space="preserve">mong other things, because of the </w:t>
      </w:r>
      <w:r>
        <w:rPr>
          <w:rFonts w:ascii="Times New Roman" w:hAnsi="Times New Roman" w:cs="David"/>
          <w:sz w:val="24"/>
          <w:szCs w:val="24"/>
        </w:rPr>
        <w:t>decision</w:t>
      </w:r>
      <w:r w:rsidRPr="00D41F2D">
        <w:rPr>
          <w:rFonts w:ascii="Times New Roman" w:hAnsi="Times New Roman" w:cs="David"/>
          <w:sz w:val="24"/>
          <w:szCs w:val="24"/>
        </w:rPr>
        <w:t xml:space="preserve"> of</w:t>
      </w:r>
      <w:r>
        <w:rPr>
          <w:rFonts w:ascii="Times New Roman" w:hAnsi="Times New Roman" w:cs="David"/>
          <w:sz w:val="24"/>
          <w:szCs w:val="24"/>
        </w:rPr>
        <w:t xml:space="preserve"> the</w:t>
      </w:r>
      <w:r w:rsidRPr="00D41F2D">
        <w:rPr>
          <w:rFonts w:ascii="Times New Roman" w:hAnsi="Times New Roman" w:cs="David"/>
          <w:sz w:val="24"/>
          <w:szCs w:val="24"/>
        </w:rPr>
        <w:t xml:space="preserve"> Israeli banks to end </w:t>
      </w:r>
      <w:r>
        <w:rPr>
          <w:rFonts w:ascii="Times New Roman" w:hAnsi="Times New Roman" w:cs="David"/>
          <w:sz w:val="24"/>
          <w:szCs w:val="24"/>
        </w:rPr>
        <w:t>the CBR</w:t>
      </w:r>
      <w:r w:rsidRPr="00D41F2D">
        <w:rPr>
          <w:rFonts w:ascii="Times New Roman" w:hAnsi="Times New Roman" w:cs="David"/>
          <w:sz w:val="24"/>
          <w:szCs w:val="24"/>
        </w:rPr>
        <w:t>, as</w:t>
      </w:r>
      <w:r>
        <w:rPr>
          <w:rFonts w:ascii="Times New Roman" w:hAnsi="Times New Roman" w:cs="David"/>
          <w:sz w:val="24"/>
          <w:szCs w:val="24"/>
        </w:rPr>
        <w:t xml:space="preserve"> will be</w:t>
      </w:r>
      <w:r w:rsidRPr="00D41F2D">
        <w:rPr>
          <w:rFonts w:ascii="Times New Roman" w:hAnsi="Times New Roman" w:cs="David"/>
          <w:sz w:val="24"/>
          <w:szCs w:val="24"/>
        </w:rPr>
        <w:t xml:space="preserve"> explained below.</w:t>
      </w:r>
      <w:r>
        <w:rPr>
          <w:rFonts w:ascii="Times New Roman" w:hAnsi="Times New Roman" w:cs="David"/>
          <w:sz w:val="24"/>
          <w:szCs w:val="24"/>
        </w:rPr>
        <w:t xml:space="preserve"> </w:t>
      </w:r>
    </w:p>
    <w:p w14:paraId="3951F724" w14:textId="307BE5DD" w:rsidR="00863081" w:rsidRPr="00D41F2D" w:rsidRDefault="00863081" w:rsidP="0042052C">
      <w:pPr>
        <w:pStyle w:val="ListParagraph"/>
        <w:bidi w:val="0"/>
        <w:spacing w:line="360" w:lineRule="auto"/>
        <w:jc w:val="center"/>
        <w:rPr>
          <w:rFonts w:ascii="Times New Roman" w:hAnsi="Times New Roman" w:cs="David"/>
          <w:b/>
          <w:bCs/>
          <w:sz w:val="24"/>
          <w:szCs w:val="24"/>
        </w:rPr>
      </w:pPr>
      <w:r>
        <w:rPr>
          <w:rFonts w:ascii="Times New Roman" w:hAnsi="Times New Roman" w:cs="David"/>
          <w:b/>
          <w:bCs/>
          <w:sz w:val="24"/>
          <w:szCs w:val="24"/>
        </w:rPr>
        <w:t xml:space="preserve">Figure </w:t>
      </w:r>
      <w:r w:rsidR="0042052C">
        <w:rPr>
          <w:rFonts w:ascii="Times New Roman" w:hAnsi="Times New Roman" w:cs="David"/>
          <w:b/>
          <w:bCs/>
          <w:sz w:val="24"/>
          <w:szCs w:val="24"/>
        </w:rPr>
        <w:t>20</w:t>
      </w:r>
      <w:r>
        <w:rPr>
          <w:rFonts w:ascii="Times New Roman" w:hAnsi="Times New Roman" w:cs="David"/>
          <w:b/>
          <w:bCs/>
          <w:sz w:val="24"/>
          <w:szCs w:val="24"/>
        </w:rPr>
        <w:t xml:space="preserve"> – </w:t>
      </w:r>
      <w:r w:rsidRPr="00D41F2D">
        <w:rPr>
          <w:rFonts w:ascii="Times New Roman" w:hAnsi="Times New Roman" w:cs="David"/>
          <w:b/>
          <w:bCs/>
          <w:sz w:val="24"/>
          <w:szCs w:val="24"/>
        </w:rPr>
        <w:t xml:space="preserve">Yearly Checks and Money transfer Volume between Palestinian banks and Israeli banks, in NIS </w:t>
      </w:r>
      <w:r>
        <w:rPr>
          <w:rFonts w:ascii="Times New Roman" w:hAnsi="Times New Roman" w:cs="David"/>
          <w:b/>
          <w:bCs/>
          <w:sz w:val="24"/>
          <w:szCs w:val="24"/>
        </w:rPr>
        <w:t>(</w:t>
      </w:r>
      <w:r w:rsidRPr="00D41F2D">
        <w:rPr>
          <w:rFonts w:ascii="Times New Roman" w:hAnsi="Times New Roman" w:cs="David"/>
          <w:b/>
          <w:bCs/>
          <w:sz w:val="24"/>
          <w:szCs w:val="24"/>
        </w:rPr>
        <w:t>billions</w:t>
      </w:r>
      <w:r>
        <w:rPr>
          <w:rFonts w:ascii="Times New Roman" w:hAnsi="Times New Roman" w:cs="David"/>
          <w:b/>
          <w:bCs/>
          <w:sz w:val="24"/>
          <w:szCs w:val="24"/>
        </w:rPr>
        <w:t>)</w:t>
      </w:r>
    </w:p>
    <w:p w14:paraId="1882EF48" w14:textId="77777777" w:rsidR="00863081" w:rsidRDefault="00863081" w:rsidP="00863081">
      <w:pPr>
        <w:pStyle w:val="ListParagraph"/>
        <w:bidi w:val="0"/>
        <w:spacing w:line="480" w:lineRule="auto"/>
        <w:ind w:left="1080"/>
        <w:jc w:val="both"/>
        <w:rPr>
          <w:rFonts w:ascii="Times New Roman" w:hAnsi="Times New Roman" w:cs="David"/>
          <w:sz w:val="24"/>
          <w:szCs w:val="24"/>
        </w:rPr>
      </w:pPr>
      <w:r>
        <w:rPr>
          <w:noProof/>
        </w:rPr>
        <w:drawing>
          <wp:inline distT="0" distB="0" distL="0" distR="0" wp14:anchorId="281D101B" wp14:editId="7DFF9C8B">
            <wp:extent cx="4320000" cy="2520000"/>
            <wp:effectExtent l="0" t="0" r="4445" b="13970"/>
            <wp:docPr id="8" name="תרשים 18">
              <a:extLst xmlns:a="http://schemas.openxmlformats.org/drawingml/2006/main">
                <a:ext uri="{FF2B5EF4-FFF2-40B4-BE49-F238E27FC236}">
                  <a16:creationId xmlns:a16="http://schemas.microsoft.com/office/drawing/2014/main" id="{3F21F62D-E6EA-4729-BF56-C1FB58349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CB983C" w14:textId="77777777" w:rsidR="00EE538D" w:rsidRPr="009233C3" w:rsidRDefault="00EE538D" w:rsidP="00EE538D">
      <w:pPr>
        <w:bidi w:val="0"/>
        <w:spacing w:line="276" w:lineRule="auto"/>
        <w:ind w:left="720"/>
        <w:jc w:val="center"/>
        <w:rPr>
          <w:rFonts w:ascii="Times New Roman" w:hAnsi="Times New Roman" w:cs="David"/>
          <w:sz w:val="24"/>
          <w:szCs w:val="24"/>
        </w:rPr>
      </w:pPr>
      <w:r w:rsidRPr="009233C3">
        <w:rPr>
          <w:rFonts w:ascii="Times New Roman" w:hAnsi="Times New Roman" w:cs="David"/>
          <w:sz w:val="24"/>
          <w:szCs w:val="24"/>
        </w:rPr>
        <w:t>Source: PMA</w:t>
      </w:r>
    </w:p>
    <w:p w14:paraId="72225068" w14:textId="69EAD6E2" w:rsidR="00863081" w:rsidRPr="007A59EE" w:rsidRDefault="00863081" w:rsidP="00EE538D">
      <w:pPr>
        <w:pStyle w:val="ListParagraph"/>
        <w:numPr>
          <w:ilvl w:val="1"/>
          <w:numId w:val="8"/>
        </w:numPr>
        <w:bidi w:val="0"/>
        <w:spacing w:line="480" w:lineRule="auto"/>
        <w:jc w:val="both"/>
        <w:rPr>
          <w:rFonts w:ascii="Times New Roman" w:hAnsi="Times New Roman" w:cs="David"/>
          <w:sz w:val="24"/>
          <w:szCs w:val="24"/>
        </w:rPr>
      </w:pPr>
      <w:r w:rsidRPr="007A59EE">
        <w:rPr>
          <w:rFonts w:ascii="Times New Roman" w:hAnsi="Times New Roman" w:cs="David"/>
          <w:sz w:val="24"/>
          <w:szCs w:val="24"/>
        </w:rPr>
        <w:t>Cash</w:t>
      </w:r>
      <w:r>
        <w:rPr>
          <w:rFonts w:ascii="Times New Roman" w:hAnsi="Times New Roman" w:cs="David"/>
          <w:sz w:val="24"/>
          <w:szCs w:val="24"/>
        </w:rPr>
        <w:t>—u</w:t>
      </w:r>
      <w:r w:rsidRPr="00D9086A">
        <w:rPr>
          <w:rFonts w:ascii="Times New Roman" w:hAnsi="Times New Roman" w:cs="David"/>
          <w:sz w:val="24"/>
          <w:szCs w:val="24"/>
        </w:rPr>
        <w:t>sed for low-volume transactions, wage payments for Palestinian workers</w:t>
      </w:r>
      <w:r>
        <w:rPr>
          <w:rFonts w:ascii="Times New Roman" w:hAnsi="Times New Roman" w:cs="David"/>
          <w:sz w:val="24"/>
          <w:szCs w:val="24"/>
        </w:rPr>
        <w:t xml:space="preserve"> in Israel</w:t>
      </w:r>
      <w:r w:rsidRPr="00D9086A">
        <w:rPr>
          <w:rFonts w:ascii="Times New Roman" w:hAnsi="Times New Roman" w:cs="David"/>
          <w:sz w:val="24"/>
          <w:szCs w:val="24"/>
        </w:rPr>
        <w:t xml:space="preserve">, and purchases made by Israeli Arabs in the West Bank. </w:t>
      </w:r>
      <w:r>
        <w:rPr>
          <w:rFonts w:ascii="Times New Roman" w:hAnsi="Times New Roman" w:cs="David"/>
          <w:sz w:val="24"/>
          <w:szCs w:val="24"/>
        </w:rPr>
        <w:t>This cash</w:t>
      </w:r>
      <w:r w:rsidRPr="00D9086A">
        <w:rPr>
          <w:rFonts w:ascii="Times New Roman" w:hAnsi="Times New Roman" w:cs="David"/>
          <w:sz w:val="24"/>
          <w:szCs w:val="24"/>
        </w:rPr>
        <w:t xml:space="preserve"> </w:t>
      </w:r>
      <w:r>
        <w:rPr>
          <w:rFonts w:ascii="Times New Roman" w:hAnsi="Times New Roman" w:cs="David"/>
          <w:sz w:val="24"/>
          <w:szCs w:val="24"/>
        </w:rPr>
        <w:t>flows into the WBG</w:t>
      </w:r>
      <w:r w:rsidRPr="00D9086A">
        <w:rPr>
          <w:rFonts w:ascii="Times New Roman" w:hAnsi="Times New Roman" w:cs="David"/>
          <w:sz w:val="24"/>
          <w:szCs w:val="24"/>
        </w:rPr>
        <w:t xml:space="preserve">, and </w:t>
      </w:r>
      <w:r>
        <w:rPr>
          <w:rFonts w:ascii="Times New Roman" w:hAnsi="Times New Roman" w:cs="David"/>
          <w:sz w:val="24"/>
          <w:szCs w:val="24"/>
        </w:rPr>
        <w:t xml:space="preserve">generates excess cash in the </w:t>
      </w:r>
      <w:r w:rsidRPr="00D9086A">
        <w:rPr>
          <w:rFonts w:ascii="Times New Roman" w:hAnsi="Times New Roman" w:cs="David"/>
          <w:sz w:val="24"/>
          <w:szCs w:val="24"/>
        </w:rPr>
        <w:t>Palestinian bank</w:t>
      </w:r>
      <w:r>
        <w:rPr>
          <w:rFonts w:ascii="Times New Roman" w:hAnsi="Times New Roman" w:cs="David"/>
          <w:sz w:val="24"/>
          <w:szCs w:val="24"/>
        </w:rPr>
        <w:t>ing system. The excess cash is deposited in the correspondent bank accounts</w:t>
      </w:r>
      <w:r>
        <w:t>,</w:t>
      </w:r>
      <w:r w:rsidRPr="009C611A">
        <w:t xml:space="preserve"> </w:t>
      </w:r>
      <w:r>
        <w:rPr>
          <w:rFonts w:ascii="Times New Roman" w:hAnsi="Times New Roman" w:cs="David"/>
          <w:sz w:val="24"/>
          <w:szCs w:val="24"/>
        </w:rPr>
        <w:t>u</w:t>
      </w:r>
      <w:r w:rsidRPr="009C611A">
        <w:rPr>
          <w:rFonts w:ascii="Times New Roman" w:hAnsi="Times New Roman" w:cs="David"/>
          <w:sz w:val="24"/>
          <w:szCs w:val="24"/>
        </w:rPr>
        <w:t>sing a quota mechanism</w:t>
      </w:r>
      <w:r>
        <w:rPr>
          <w:rFonts w:ascii="Times New Roman" w:hAnsi="Times New Roman" w:cs="David"/>
          <w:sz w:val="24"/>
          <w:szCs w:val="24"/>
        </w:rPr>
        <w:t xml:space="preserve">. </w:t>
      </w:r>
      <w:r w:rsidRPr="00D9086A">
        <w:rPr>
          <w:rFonts w:ascii="Times New Roman" w:hAnsi="Times New Roman" w:cs="David"/>
          <w:sz w:val="24"/>
          <w:szCs w:val="24"/>
        </w:rPr>
        <w:t>It is important to note that the procedure enables the Palestinian bank</w:t>
      </w:r>
      <w:r>
        <w:rPr>
          <w:rFonts w:ascii="Times New Roman" w:hAnsi="Times New Roman" w:cs="David"/>
          <w:sz w:val="24"/>
          <w:szCs w:val="24"/>
        </w:rPr>
        <w:t>s</w:t>
      </w:r>
      <w:r w:rsidRPr="00D9086A">
        <w:rPr>
          <w:rFonts w:ascii="Times New Roman" w:hAnsi="Times New Roman" w:cs="David"/>
          <w:sz w:val="24"/>
          <w:szCs w:val="24"/>
        </w:rPr>
        <w:t xml:space="preserve"> to manage </w:t>
      </w:r>
      <w:r>
        <w:rPr>
          <w:rFonts w:ascii="Times New Roman" w:hAnsi="Times New Roman" w:cs="David"/>
          <w:sz w:val="24"/>
          <w:szCs w:val="24"/>
        </w:rPr>
        <w:t>their</w:t>
      </w:r>
      <w:r w:rsidRPr="00D9086A">
        <w:rPr>
          <w:rFonts w:ascii="Times New Roman" w:hAnsi="Times New Roman" w:cs="David"/>
          <w:sz w:val="24"/>
          <w:szCs w:val="24"/>
        </w:rPr>
        <w:t xml:space="preserve"> liquidity</w:t>
      </w:r>
      <w:r>
        <w:rPr>
          <w:rFonts w:ascii="Times New Roman" w:hAnsi="Times New Roman" w:cs="David"/>
          <w:sz w:val="24"/>
          <w:szCs w:val="24"/>
        </w:rPr>
        <w:t xml:space="preserve">. The excess cash </w:t>
      </w:r>
      <w:r w:rsidRPr="007A59EE">
        <w:rPr>
          <w:rFonts w:ascii="Times New Roman" w:hAnsi="Times New Roman" w:cs="David"/>
          <w:sz w:val="24"/>
          <w:szCs w:val="24"/>
        </w:rPr>
        <w:t>create significant costs</w:t>
      </w:r>
      <w:r>
        <w:rPr>
          <w:rFonts w:ascii="Times New Roman" w:hAnsi="Times New Roman" w:cs="David"/>
          <w:sz w:val="24"/>
          <w:szCs w:val="24"/>
        </w:rPr>
        <w:t xml:space="preserve"> for the Palestinian banking system (i</w:t>
      </w:r>
      <w:r w:rsidRPr="007A59EE">
        <w:rPr>
          <w:rFonts w:ascii="Times New Roman" w:hAnsi="Times New Roman" w:cs="David"/>
          <w:sz w:val="24"/>
          <w:szCs w:val="24"/>
        </w:rPr>
        <w:t xml:space="preserve">nsurance </w:t>
      </w:r>
      <w:r>
        <w:rPr>
          <w:rFonts w:ascii="Times New Roman" w:hAnsi="Times New Roman" w:cs="David"/>
          <w:sz w:val="24"/>
          <w:szCs w:val="24"/>
        </w:rPr>
        <w:t>fees</w:t>
      </w:r>
      <w:r w:rsidRPr="007A59EE">
        <w:rPr>
          <w:rFonts w:ascii="Times New Roman" w:hAnsi="Times New Roman" w:cs="David"/>
          <w:sz w:val="24"/>
          <w:szCs w:val="24"/>
        </w:rPr>
        <w:t>,</w:t>
      </w:r>
      <w:r>
        <w:rPr>
          <w:rFonts w:ascii="Times New Roman" w:hAnsi="Times New Roman" w:cs="David"/>
          <w:sz w:val="24"/>
          <w:szCs w:val="24"/>
        </w:rPr>
        <w:t xml:space="preserve"> </w:t>
      </w:r>
      <w:r w:rsidRPr="007A59EE">
        <w:rPr>
          <w:rFonts w:ascii="Times New Roman" w:hAnsi="Times New Roman" w:cs="David"/>
          <w:sz w:val="24"/>
          <w:szCs w:val="24"/>
        </w:rPr>
        <w:t>transportation</w:t>
      </w:r>
      <w:r>
        <w:rPr>
          <w:rFonts w:ascii="Times New Roman" w:hAnsi="Times New Roman" w:cs="David"/>
          <w:sz w:val="24"/>
          <w:szCs w:val="24"/>
        </w:rPr>
        <w:t xml:space="preserve"> cost</w:t>
      </w:r>
      <w:r w:rsidRPr="007A59EE">
        <w:rPr>
          <w:rFonts w:ascii="Times New Roman" w:hAnsi="Times New Roman" w:cs="David"/>
          <w:sz w:val="24"/>
          <w:szCs w:val="24"/>
        </w:rPr>
        <w:t xml:space="preserve"> and deposit</w:t>
      </w:r>
      <w:r>
        <w:rPr>
          <w:rFonts w:ascii="Times New Roman" w:hAnsi="Times New Roman" w:cs="David"/>
          <w:sz w:val="24"/>
          <w:szCs w:val="24"/>
        </w:rPr>
        <w:t xml:space="preserve"> fees</w:t>
      </w:r>
      <w:r w:rsidRPr="007A59EE">
        <w:rPr>
          <w:rFonts w:ascii="Times New Roman" w:hAnsi="Times New Roman" w:cs="David"/>
          <w:sz w:val="24"/>
          <w:szCs w:val="24"/>
        </w:rPr>
        <w:t>, loss of alternative yield</w:t>
      </w:r>
      <w:r>
        <w:rPr>
          <w:rFonts w:ascii="Times New Roman" w:hAnsi="Times New Roman" w:cs="David"/>
          <w:sz w:val="24"/>
          <w:szCs w:val="24"/>
        </w:rPr>
        <w:t>).</w:t>
      </w:r>
      <w:r w:rsidR="00033935">
        <w:rPr>
          <w:rFonts w:ascii="Times New Roman" w:hAnsi="Times New Roman" w:cs="David"/>
          <w:sz w:val="24"/>
          <w:szCs w:val="24"/>
        </w:rPr>
        <w:t xml:space="preserve"> In </w:t>
      </w:r>
      <w:r w:rsidR="00B2749D">
        <w:rPr>
          <w:rFonts w:ascii="Times New Roman" w:hAnsi="Times New Roman" w:cs="David"/>
          <w:sz w:val="24"/>
          <w:szCs w:val="24"/>
        </w:rPr>
        <w:t>April</w:t>
      </w:r>
      <w:r w:rsidR="00033935">
        <w:rPr>
          <w:rFonts w:ascii="Times New Roman" w:hAnsi="Times New Roman" w:cs="David"/>
          <w:sz w:val="24"/>
          <w:szCs w:val="24"/>
        </w:rPr>
        <w:t xml:space="preserve"> 2022</w:t>
      </w:r>
      <w:r w:rsidR="009B5EA5">
        <w:rPr>
          <w:rFonts w:ascii="Times New Roman" w:hAnsi="Times New Roman" w:cs="David"/>
          <w:sz w:val="24"/>
          <w:szCs w:val="24"/>
        </w:rPr>
        <w:t xml:space="preserve"> </w:t>
      </w:r>
    </w:p>
    <w:p w14:paraId="1AC13151" w14:textId="0819B292" w:rsidR="001616C4" w:rsidRPr="001616C4" w:rsidRDefault="001616C4" w:rsidP="001616C4">
      <w:pPr>
        <w:pStyle w:val="ListParagraph"/>
        <w:bidi w:val="0"/>
        <w:spacing w:line="480" w:lineRule="auto"/>
        <w:ind w:left="1080"/>
        <w:jc w:val="both"/>
        <w:rPr>
          <w:rFonts w:ascii="Times New Roman" w:hAnsi="Times New Roman" w:cs="David"/>
          <w:sz w:val="24"/>
          <w:szCs w:val="24"/>
        </w:rPr>
      </w:pPr>
      <w:r w:rsidRPr="001616C4">
        <w:rPr>
          <w:rFonts w:ascii="Times New Roman" w:hAnsi="Times New Roman" w:cs="David"/>
          <w:sz w:val="24"/>
          <w:szCs w:val="24"/>
        </w:rPr>
        <w:t>In April 2022, it was reported that during 2022, a mandatory solution would be presented for the transfer of salaries to Palestinian workers in Israel through bank transfer as a substitute for cash payment</w:t>
      </w:r>
      <w:r w:rsidR="007C5FE5">
        <w:rPr>
          <w:rStyle w:val="FootnoteReference"/>
          <w:rFonts w:ascii="Times New Roman" w:hAnsi="Times New Roman" w:cs="David"/>
          <w:sz w:val="24"/>
          <w:szCs w:val="24"/>
        </w:rPr>
        <w:footnoteReference w:id="35"/>
      </w:r>
      <w:r w:rsidRPr="001616C4">
        <w:rPr>
          <w:rFonts w:ascii="Times New Roman" w:hAnsi="Times New Roman" w:cs="David"/>
          <w:sz w:val="24"/>
          <w:szCs w:val="24"/>
        </w:rPr>
        <w:t>.</w:t>
      </w:r>
    </w:p>
    <w:p w14:paraId="18CECD12" w14:textId="77777777" w:rsidR="00D1301F" w:rsidRDefault="00D1301F" w:rsidP="0042052C">
      <w:pPr>
        <w:pStyle w:val="ListParagraph"/>
        <w:bidi w:val="0"/>
        <w:spacing w:before="240" w:line="360" w:lineRule="auto"/>
        <w:ind w:left="792"/>
        <w:jc w:val="center"/>
        <w:rPr>
          <w:rFonts w:ascii="Times New Roman" w:hAnsi="Times New Roman" w:cs="David"/>
          <w:b/>
          <w:bCs/>
          <w:sz w:val="24"/>
          <w:szCs w:val="24"/>
        </w:rPr>
      </w:pPr>
    </w:p>
    <w:p w14:paraId="297388EA" w14:textId="6C912F41" w:rsidR="00863081" w:rsidRDefault="00863081" w:rsidP="00D1301F">
      <w:pPr>
        <w:pStyle w:val="ListParagraph"/>
        <w:bidi w:val="0"/>
        <w:spacing w:before="240" w:line="360" w:lineRule="auto"/>
        <w:ind w:left="792"/>
        <w:jc w:val="center"/>
        <w:rPr>
          <w:rFonts w:ascii="Times New Roman" w:hAnsi="Times New Roman" w:cs="David"/>
          <w:b/>
          <w:bCs/>
          <w:sz w:val="24"/>
          <w:szCs w:val="24"/>
        </w:rPr>
      </w:pPr>
      <w:r>
        <w:rPr>
          <w:rFonts w:ascii="Times New Roman" w:hAnsi="Times New Roman" w:cs="David"/>
          <w:b/>
          <w:bCs/>
          <w:sz w:val="24"/>
          <w:szCs w:val="24"/>
        </w:rPr>
        <w:t xml:space="preserve">Figure </w:t>
      </w:r>
      <w:r w:rsidR="0042052C">
        <w:rPr>
          <w:rFonts w:ascii="Times New Roman" w:hAnsi="Times New Roman" w:cs="David"/>
          <w:b/>
          <w:bCs/>
          <w:sz w:val="24"/>
          <w:szCs w:val="24"/>
        </w:rPr>
        <w:t>21</w:t>
      </w:r>
      <w:r>
        <w:rPr>
          <w:rFonts w:ascii="Times New Roman" w:hAnsi="Times New Roman" w:cs="David"/>
          <w:b/>
          <w:bCs/>
          <w:sz w:val="24"/>
          <w:szCs w:val="24"/>
        </w:rPr>
        <w:t xml:space="preserve"> – Excess cash of the Palestinian banks</w:t>
      </w:r>
      <w:r w:rsidRPr="00B51DAE">
        <w:rPr>
          <w:rFonts w:ascii="Times New Roman" w:hAnsi="Times New Roman" w:cs="David"/>
          <w:b/>
          <w:bCs/>
          <w:sz w:val="24"/>
          <w:szCs w:val="24"/>
        </w:rPr>
        <w:t xml:space="preserve"> (in billions of NIS) deposited in Israel</w:t>
      </w:r>
    </w:p>
    <w:p w14:paraId="50583879" w14:textId="77777777" w:rsidR="00863081" w:rsidRDefault="00863081" w:rsidP="00863081">
      <w:pPr>
        <w:pStyle w:val="ListParagraph"/>
        <w:bidi w:val="0"/>
        <w:spacing w:before="240" w:line="480" w:lineRule="auto"/>
        <w:ind w:left="792"/>
        <w:jc w:val="center"/>
        <w:rPr>
          <w:rFonts w:ascii="Times New Roman" w:hAnsi="Times New Roman" w:cs="David"/>
          <w:b/>
          <w:bCs/>
          <w:sz w:val="24"/>
          <w:szCs w:val="24"/>
        </w:rPr>
      </w:pPr>
      <w:r>
        <w:rPr>
          <w:noProof/>
        </w:rPr>
        <w:drawing>
          <wp:inline distT="0" distB="0" distL="0" distR="0" wp14:anchorId="52257E4D" wp14:editId="036B28EB">
            <wp:extent cx="4320000" cy="2520000"/>
            <wp:effectExtent l="0" t="0" r="4445" b="13970"/>
            <wp:docPr id="9" name="תרשים 17">
              <a:extLst xmlns:a="http://schemas.openxmlformats.org/drawingml/2006/main">
                <a:ext uri="{FF2B5EF4-FFF2-40B4-BE49-F238E27FC236}">
                  <a16:creationId xmlns:a16="http://schemas.microsoft.com/office/drawing/2014/main" id="{78CDAC09-91BE-4AD9-A182-175FA13B4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B735D9" w14:textId="77777777" w:rsidR="00EE538D" w:rsidRPr="009233C3" w:rsidRDefault="00EE538D" w:rsidP="00D1301F">
      <w:pPr>
        <w:bidi w:val="0"/>
        <w:spacing w:after="240" w:line="276" w:lineRule="auto"/>
        <w:ind w:left="720"/>
        <w:jc w:val="center"/>
        <w:rPr>
          <w:rFonts w:ascii="Times New Roman" w:hAnsi="Times New Roman" w:cs="David"/>
          <w:sz w:val="24"/>
          <w:szCs w:val="24"/>
        </w:rPr>
      </w:pPr>
      <w:r w:rsidRPr="009233C3">
        <w:rPr>
          <w:rFonts w:ascii="Times New Roman" w:hAnsi="Times New Roman" w:cs="David"/>
          <w:sz w:val="24"/>
          <w:szCs w:val="24"/>
        </w:rPr>
        <w:t>Source: PMA</w:t>
      </w:r>
    </w:p>
    <w:p w14:paraId="637B4E06" w14:textId="64918F83" w:rsidR="00863081" w:rsidRDefault="00863081" w:rsidP="00EE538D">
      <w:pPr>
        <w:pStyle w:val="ListParagraph"/>
        <w:bidi w:val="0"/>
        <w:spacing w:line="480" w:lineRule="auto"/>
        <w:ind w:left="851"/>
        <w:jc w:val="both"/>
        <w:rPr>
          <w:rFonts w:asciiTheme="majorBidi" w:hAnsiTheme="majorBidi" w:cstheme="majorBidi"/>
          <w:b/>
          <w:bCs/>
          <w:sz w:val="24"/>
          <w:szCs w:val="24"/>
        </w:rPr>
      </w:pPr>
      <w:r w:rsidRPr="003F7D7E">
        <w:rPr>
          <w:rFonts w:asciiTheme="majorBidi" w:hAnsiTheme="majorBidi" w:cstheme="majorBidi"/>
          <w:sz w:val="24"/>
          <w:szCs w:val="24"/>
        </w:rPr>
        <w:t xml:space="preserve">The settlement and clearing processes between Israel and the </w:t>
      </w:r>
      <w:r>
        <w:rPr>
          <w:rFonts w:asciiTheme="majorBidi" w:hAnsiTheme="majorBidi" w:cstheme="majorBidi"/>
          <w:sz w:val="24"/>
          <w:szCs w:val="24"/>
        </w:rPr>
        <w:t>WBG</w:t>
      </w:r>
      <w:r w:rsidRPr="003F7D7E">
        <w:rPr>
          <w:rFonts w:asciiTheme="majorBidi" w:hAnsiTheme="majorBidi" w:cstheme="majorBidi"/>
          <w:sz w:val="24"/>
          <w:szCs w:val="24"/>
        </w:rPr>
        <w:t xml:space="preserve"> </w:t>
      </w:r>
      <w:r>
        <w:rPr>
          <w:rFonts w:asciiTheme="majorBidi" w:hAnsiTheme="majorBidi" w:cstheme="majorBidi"/>
          <w:sz w:val="24"/>
          <w:szCs w:val="24"/>
        </w:rPr>
        <w:t>takes</w:t>
      </w:r>
      <w:r w:rsidRPr="003F7D7E">
        <w:rPr>
          <w:rFonts w:asciiTheme="majorBidi" w:hAnsiTheme="majorBidi" w:cstheme="majorBidi"/>
          <w:sz w:val="24"/>
          <w:szCs w:val="24"/>
        </w:rPr>
        <w:t xml:space="preserve"> place within the framework of the correspondent services that the Palestinian banks receive from Israeli banks. Palestinian banks are members of the Israeli </w:t>
      </w:r>
      <w:r>
        <w:rPr>
          <w:rFonts w:asciiTheme="majorBidi" w:hAnsiTheme="majorBidi" w:cstheme="majorBidi"/>
          <w:sz w:val="24"/>
          <w:szCs w:val="24"/>
        </w:rPr>
        <w:t>B</w:t>
      </w:r>
      <w:r w:rsidRPr="003F7D7E">
        <w:rPr>
          <w:rFonts w:asciiTheme="majorBidi" w:hAnsiTheme="majorBidi" w:cstheme="majorBidi"/>
          <w:sz w:val="24"/>
          <w:szCs w:val="24"/>
        </w:rPr>
        <w:t>anking-Clearing House (CH). The decision in principle regarding their acceptance to the CH was made even before the establishment of the PA</w:t>
      </w:r>
      <w:r>
        <w:rPr>
          <w:rFonts w:asciiTheme="majorBidi" w:hAnsiTheme="majorBidi" w:cstheme="majorBidi"/>
          <w:sz w:val="24"/>
          <w:szCs w:val="24"/>
        </w:rPr>
        <w:t>.</w:t>
      </w:r>
      <w:r w:rsidRPr="003F7D7E">
        <w:rPr>
          <w:rFonts w:asciiTheme="majorBidi" w:hAnsiTheme="majorBidi" w:cstheme="majorBidi"/>
          <w:sz w:val="24"/>
          <w:szCs w:val="24"/>
        </w:rPr>
        <w:t xml:space="preserve"> The members of the CH obligate all its members to act in accordance with the rules and principles anchored in the CH rules</w:t>
      </w:r>
      <w:r>
        <w:rPr>
          <w:rFonts w:asciiTheme="majorBidi" w:hAnsiTheme="majorBidi" w:cstheme="majorBidi"/>
          <w:sz w:val="24"/>
          <w:szCs w:val="24"/>
        </w:rPr>
        <w:t>—</w:t>
      </w:r>
      <w:r w:rsidRPr="003F7D7E">
        <w:rPr>
          <w:rFonts w:asciiTheme="majorBidi" w:hAnsiTheme="majorBidi" w:cstheme="majorBidi"/>
          <w:sz w:val="24"/>
          <w:szCs w:val="24"/>
        </w:rPr>
        <w:t xml:space="preserve">an agreement between the members of the CH, which includes, inter alia, the requirements regarding standardization, records and transmissions, forms and dates, and the transmission of messages between members. The </w:t>
      </w:r>
      <w:r>
        <w:rPr>
          <w:rFonts w:asciiTheme="majorBidi" w:hAnsiTheme="majorBidi" w:cstheme="majorBidi"/>
          <w:sz w:val="24"/>
          <w:szCs w:val="24"/>
        </w:rPr>
        <w:t xml:space="preserve">CH </w:t>
      </w:r>
      <w:r w:rsidRPr="003F7D7E">
        <w:rPr>
          <w:rFonts w:asciiTheme="majorBidi" w:hAnsiTheme="majorBidi" w:cstheme="majorBidi"/>
          <w:sz w:val="24"/>
          <w:szCs w:val="24"/>
        </w:rPr>
        <w:t>rules allow member</w:t>
      </w:r>
      <w:r>
        <w:rPr>
          <w:rFonts w:asciiTheme="majorBidi" w:hAnsiTheme="majorBidi" w:cstheme="majorBidi"/>
          <w:sz w:val="24"/>
          <w:szCs w:val="24"/>
        </w:rPr>
        <w:t>s</w:t>
      </w:r>
      <w:r w:rsidRPr="003F7D7E">
        <w:rPr>
          <w:rFonts w:asciiTheme="majorBidi" w:hAnsiTheme="majorBidi" w:cstheme="majorBidi"/>
          <w:sz w:val="24"/>
          <w:szCs w:val="24"/>
        </w:rPr>
        <w:t xml:space="preserve"> to participate in the clearing settlements </w:t>
      </w:r>
      <w:r>
        <w:rPr>
          <w:rFonts w:asciiTheme="majorBidi" w:hAnsiTheme="majorBidi" w:cstheme="majorBidi"/>
          <w:sz w:val="24"/>
          <w:szCs w:val="24"/>
        </w:rPr>
        <w:t xml:space="preserve">themselves </w:t>
      </w:r>
      <w:r w:rsidRPr="003F7D7E">
        <w:rPr>
          <w:rFonts w:asciiTheme="majorBidi" w:hAnsiTheme="majorBidi" w:cstheme="majorBidi"/>
          <w:sz w:val="24"/>
          <w:szCs w:val="24"/>
        </w:rPr>
        <w:t xml:space="preserve">or to be represented by another CH member (Correspondent Bank). In order to reduce the risks of </w:t>
      </w:r>
      <w:r>
        <w:rPr>
          <w:rFonts w:asciiTheme="majorBidi" w:hAnsiTheme="majorBidi" w:cstheme="majorBidi"/>
          <w:sz w:val="24"/>
          <w:szCs w:val="24"/>
        </w:rPr>
        <w:t xml:space="preserve">the </w:t>
      </w:r>
      <w:r w:rsidRPr="003F7D7E">
        <w:rPr>
          <w:rFonts w:asciiTheme="majorBidi" w:hAnsiTheme="majorBidi" w:cstheme="majorBidi"/>
          <w:sz w:val="24"/>
          <w:szCs w:val="24"/>
        </w:rPr>
        <w:t>clearing process, the Correspondent</w:t>
      </w:r>
      <w:r w:rsidRPr="003F7D7E" w:rsidDel="00C9283E">
        <w:rPr>
          <w:rFonts w:asciiTheme="majorBidi" w:hAnsiTheme="majorBidi" w:cstheme="majorBidi"/>
          <w:sz w:val="24"/>
          <w:szCs w:val="24"/>
        </w:rPr>
        <w:t xml:space="preserve"> </w:t>
      </w:r>
      <w:r w:rsidRPr="003F7D7E">
        <w:rPr>
          <w:rFonts w:asciiTheme="majorBidi" w:hAnsiTheme="majorBidi" w:cstheme="majorBidi"/>
          <w:sz w:val="24"/>
          <w:szCs w:val="24"/>
        </w:rPr>
        <w:t>banks take collateral from the Palestinian banks. It should be noted that the Palestinian banks are not directly connected to the CH, and therefore cannot send payment instructions directly to the system, in which the correspondent banks and the Israeli banking corporations have controls on money laundering and terror financing</w:t>
      </w:r>
      <w:r w:rsidRPr="003F7D7E">
        <w:rPr>
          <w:rFonts w:asciiTheme="majorBidi" w:hAnsiTheme="majorBidi" w:cstheme="majorBidi"/>
          <w:b/>
          <w:bCs/>
          <w:sz w:val="24"/>
          <w:szCs w:val="24"/>
          <w:rtl/>
        </w:rPr>
        <w:t>.</w:t>
      </w:r>
    </w:p>
    <w:p w14:paraId="0C6D34BE" w14:textId="77777777" w:rsidR="00863081" w:rsidRPr="00590EC8" w:rsidRDefault="00863081" w:rsidP="00863081">
      <w:pPr>
        <w:pStyle w:val="ListParagraph"/>
        <w:bidi w:val="0"/>
        <w:spacing w:line="480" w:lineRule="auto"/>
        <w:ind w:left="851" w:firstLine="589"/>
        <w:jc w:val="both"/>
        <w:rPr>
          <w:rFonts w:ascii="Times New Roman" w:hAnsi="Times New Roman" w:cs="David"/>
          <w:sz w:val="24"/>
          <w:szCs w:val="24"/>
        </w:rPr>
      </w:pPr>
      <w:r>
        <w:rPr>
          <w:rFonts w:ascii="Times New Roman" w:hAnsi="Times New Roman" w:cs="David"/>
          <w:sz w:val="24"/>
          <w:szCs w:val="24"/>
        </w:rPr>
        <w:t>Over</w:t>
      </w:r>
      <w:r w:rsidRPr="00636991">
        <w:rPr>
          <w:rFonts w:ascii="Times New Roman" w:hAnsi="Times New Roman" w:cs="David"/>
          <w:sz w:val="24"/>
          <w:szCs w:val="24"/>
        </w:rPr>
        <w:t xml:space="preserve"> the past decade, there has been a phenomenon of reducing relations between banks around the world. This phenomenon has also been called "de-risking"</w:t>
      </w:r>
      <w:r>
        <w:rPr>
          <w:rFonts w:ascii="Times New Roman" w:hAnsi="Times New Roman" w:cs="David"/>
          <w:sz w:val="24"/>
          <w:szCs w:val="24"/>
        </w:rPr>
        <w:t xml:space="preserve">. </w:t>
      </w:r>
      <w:r w:rsidRPr="00636991">
        <w:rPr>
          <w:rFonts w:ascii="Times New Roman" w:hAnsi="Times New Roman" w:cs="David"/>
          <w:sz w:val="24"/>
          <w:szCs w:val="24"/>
        </w:rPr>
        <w:t xml:space="preserve">This phenomenon began due to the attribution of responsibility to the </w:t>
      </w:r>
      <w:r>
        <w:rPr>
          <w:rFonts w:ascii="Times New Roman" w:hAnsi="Times New Roman" w:cs="David"/>
          <w:sz w:val="24"/>
          <w:szCs w:val="24"/>
        </w:rPr>
        <w:t xml:space="preserve">global </w:t>
      </w:r>
      <w:r w:rsidRPr="00636991">
        <w:rPr>
          <w:rFonts w:ascii="Times New Roman" w:hAnsi="Times New Roman" w:cs="David"/>
          <w:sz w:val="24"/>
          <w:szCs w:val="24"/>
        </w:rPr>
        <w:t>correspondent banks for international bank transfers carried out through them, in view of the fact that the transfer data are known to the correspondent banks</w:t>
      </w:r>
      <w:r>
        <w:rPr>
          <w:rFonts w:ascii="Times New Roman" w:hAnsi="Times New Roman" w:cs="David" w:hint="cs"/>
          <w:sz w:val="24"/>
          <w:szCs w:val="24"/>
          <w:rtl/>
        </w:rPr>
        <w:t xml:space="preserve"> </w:t>
      </w:r>
      <w:r w:rsidRPr="00636991">
        <w:rPr>
          <w:rFonts w:ascii="Times New Roman" w:hAnsi="Times New Roman" w:cs="David"/>
          <w:sz w:val="24"/>
          <w:szCs w:val="24"/>
          <w:rtl/>
        </w:rPr>
        <w:t>.</w:t>
      </w:r>
      <w:r w:rsidRPr="00590EC8">
        <w:rPr>
          <w:rFonts w:ascii="Times New Roman" w:hAnsi="Times New Roman" w:cs="David"/>
          <w:sz w:val="24"/>
          <w:szCs w:val="24"/>
        </w:rPr>
        <w:t>Global correspondent banks have been fined billions of dollars by law enforcement agencies and regulators, mainly in the United States, and are also facing tort claims mainly in terms of financing terrorism</w:t>
      </w:r>
      <w:r w:rsidRPr="00590EC8">
        <w:rPr>
          <w:rFonts w:ascii="Times New Roman" w:hAnsi="Times New Roman" w:cs="David"/>
          <w:sz w:val="24"/>
          <w:szCs w:val="24"/>
          <w:rtl/>
        </w:rPr>
        <w:t>.</w:t>
      </w:r>
    </w:p>
    <w:p w14:paraId="548D1A77" w14:textId="54A5302A" w:rsidR="00863081" w:rsidRDefault="00863081" w:rsidP="00863081">
      <w:pPr>
        <w:pStyle w:val="ListParagraph"/>
        <w:bidi w:val="0"/>
        <w:spacing w:line="480" w:lineRule="auto"/>
        <w:ind w:left="851"/>
        <w:jc w:val="both"/>
      </w:pPr>
      <w:r w:rsidRPr="00636991">
        <w:rPr>
          <w:rFonts w:ascii="Times New Roman" w:hAnsi="Times New Roman" w:cs="David"/>
          <w:sz w:val="24"/>
          <w:szCs w:val="24"/>
        </w:rPr>
        <w:t>In recent years, and especially in light of the regulatory uncertainty, the correspondent banks have begun to examine the end customers</w:t>
      </w:r>
      <w:r>
        <w:rPr>
          <w:rFonts w:ascii="Times New Roman" w:hAnsi="Times New Roman" w:cs="David"/>
          <w:sz w:val="24"/>
          <w:szCs w:val="24"/>
        </w:rPr>
        <w:t>,</w:t>
      </w:r>
      <w:r w:rsidRPr="00636991">
        <w:rPr>
          <w:rFonts w:ascii="Times New Roman" w:hAnsi="Times New Roman" w:cs="David"/>
          <w:sz w:val="24"/>
          <w:szCs w:val="24"/>
        </w:rPr>
        <w:t xml:space="preserve"> and demand that the representative banks refrain from transfers related to customers of a certain type</w:t>
      </w:r>
      <w:r>
        <w:rPr>
          <w:rStyle w:val="FootnoteReference"/>
          <w:rFonts w:ascii="Times New Roman" w:hAnsi="Times New Roman" w:cs="David"/>
          <w:sz w:val="24"/>
          <w:szCs w:val="24"/>
        </w:rPr>
        <w:footnoteReference w:id="36"/>
      </w:r>
      <w:r>
        <w:rPr>
          <w:rFonts w:ascii="Times New Roman" w:hAnsi="Times New Roman" w:cs="David"/>
          <w:sz w:val="24"/>
          <w:szCs w:val="24"/>
        </w:rPr>
        <w:t xml:space="preserve">. </w:t>
      </w:r>
      <w:r w:rsidRPr="00636991">
        <w:rPr>
          <w:rFonts w:ascii="Times New Roman" w:hAnsi="Times New Roman" w:cs="David"/>
          <w:sz w:val="24"/>
          <w:szCs w:val="24"/>
        </w:rPr>
        <w:t>Concerned about the economic impact of the phenomenon, in 2017</w:t>
      </w:r>
      <w:r>
        <w:rPr>
          <w:rStyle w:val="FootnoteReference"/>
          <w:rFonts w:ascii="Times New Roman" w:hAnsi="Times New Roman" w:cs="David"/>
          <w:sz w:val="24"/>
          <w:szCs w:val="24"/>
        </w:rPr>
        <w:footnoteReference w:id="37"/>
      </w:r>
      <w:r w:rsidRPr="00636991">
        <w:rPr>
          <w:rFonts w:ascii="Times New Roman" w:hAnsi="Times New Roman" w:cs="David"/>
          <w:sz w:val="24"/>
          <w:szCs w:val="24"/>
        </w:rPr>
        <w:t xml:space="preserve"> t</w:t>
      </w:r>
      <w:r>
        <w:rPr>
          <w:rFonts w:ascii="Times New Roman" w:hAnsi="Times New Roman" w:cs="David"/>
          <w:sz w:val="24"/>
          <w:szCs w:val="24"/>
        </w:rPr>
        <w:t>he IMF recommended to countries</w:t>
      </w:r>
      <w:r w:rsidRPr="00636991">
        <w:rPr>
          <w:rFonts w:ascii="Times New Roman" w:hAnsi="Times New Roman" w:cs="David"/>
          <w:sz w:val="24"/>
          <w:szCs w:val="24"/>
        </w:rPr>
        <w:t>/territories that have been drastically affected by the retreat of CBR, to examine whether it is worthwhile to establish temporary mechanisms, including through public entities, to provide payment and settlement services.</w:t>
      </w:r>
      <w:r>
        <w:rPr>
          <w:rFonts w:ascii="Times New Roman" w:hAnsi="Times New Roman" w:cs="David"/>
          <w:sz w:val="24"/>
          <w:szCs w:val="24"/>
        </w:rPr>
        <w:t xml:space="preserve"> </w:t>
      </w:r>
      <w:r w:rsidR="00B35616">
        <w:rPr>
          <w:rFonts w:ascii="Times New Roman" w:hAnsi="Times New Roman" w:cs="David"/>
          <w:sz w:val="24"/>
          <w:szCs w:val="24"/>
        </w:rPr>
        <w:t>E</w:t>
      </w:r>
      <w:r w:rsidR="0033093F">
        <w:rPr>
          <w:rFonts w:ascii="Times New Roman" w:hAnsi="Times New Roman" w:cs="David"/>
          <w:sz w:val="24"/>
          <w:szCs w:val="24"/>
        </w:rPr>
        <w:t xml:space="preserve">arlier </w:t>
      </w:r>
      <w:r w:rsidR="00042CA8">
        <w:rPr>
          <w:rFonts w:ascii="Times New Roman" w:hAnsi="Times New Roman" w:cs="David"/>
          <w:sz w:val="24"/>
          <w:szCs w:val="24"/>
        </w:rPr>
        <w:t>i</w:t>
      </w:r>
      <w:r w:rsidRPr="00042CA8">
        <w:rPr>
          <w:rFonts w:ascii="Times New Roman" w:hAnsi="Times New Roman" w:cs="David"/>
          <w:sz w:val="24"/>
          <w:szCs w:val="24"/>
        </w:rPr>
        <w:t>n 2016, due to the money laundering and terror financing risks involved in those services, the Israeli correspondent banks informed the Government of Israel (GOI) that they planned to terminate the services they were providing to the Palestinian banks</w:t>
      </w:r>
      <w:r w:rsidRPr="00042CA8">
        <w:rPr>
          <w:rFonts w:ascii="Times New Roman" w:hAnsi="Times New Roman" w:cs="David"/>
          <w:sz w:val="24"/>
          <w:szCs w:val="24"/>
          <w:rtl/>
        </w:rPr>
        <w:t>.</w:t>
      </w:r>
    </w:p>
    <w:p w14:paraId="443D1EF9" w14:textId="77777777" w:rsidR="00863081" w:rsidRPr="00590EC8" w:rsidRDefault="00863081" w:rsidP="00863081">
      <w:pPr>
        <w:pStyle w:val="Default"/>
        <w:spacing w:line="480" w:lineRule="auto"/>
        <w:ind w:left="851"/>
        <w:jc w:val="both"/>
        <w:rPr>
          <w:rtl/>
        </w:rPr>
      </w:pPr>
      <w:r>
        <w:t>Due to the high level of integration between Israel and the WBG, t</w:t>
      </w:r>
      <w:r w:rsidRPr="00C936A1">
        <w:t>he implications of CBR termination</w:t>
      </w:r>
      <w:r>
        <w:t xml:space="preserve"> could generate the following events: </w:t>
      </w:r>
    </w:p>
    <w:p w14:paraId="77DA04D4" w14:textId="77777777" w:rsidR="00863081" w:rsidRPr="00C936A1" w:rsidRDefault="00863081" w:rsidP="00863081">
      <w:pPr>
        <w:pStyle w:val="ListParagraph"/>
        <w:numPr>
          <w:ilvl w:val="0"/>
          <w:numId w:val="9"/>
        </w:numPr>
        <w:bidi w:val="0"/>
        <w:spacing w:line="360" w:lineRule="auto"/>
        <w:jc w:val="both"/>
        <w:rPr>
          <w:rFonts w:ascii="Times New Roman" w:hAnsi="Times New Roman" w:cs="David"/>
          <w:sz w:val="24"/>
          <w:szCs w:val="24"/>
        </w:rPr>
      </w:pPr>
      <w:r w:rsidRPr="00C936A1">
        <w:rPr>
          <w:rFonts w:ascii="Times New Roman" w:hAnsi="Times New Roman" w:cs="David"/>
          <w:sz w:val="24"/>
          <w:szCs w:val="24"/>
        </w:rPr>
        <w:t xml:space="preserve">Reducing transactions between Israelis and Palestinians in a manner that will harm consumers, employment and the Palestinian </w:t>
      </w:r>
      <w:r>
        <w:rPr>
          <w:rFonts w:ascii="Times New Roman" w:hAnsi="Times New Roman" w:cs="David"/>
          <w:sz w:val="24"/>
          <w:szCs w:val="24"/>
        </w:rPr>
        <w:t>economic growth</w:t>
      </w:r>
      <w:r w:rsidRPr="00C936A1">
        <w:rPr>
          <w:rFonts w:ascii="Times New Roman" w:hAnsi="Times New Roman" w:cs="David"/>
          <w:sz w:val="24"/>
          <w:szCs w:val="24"/>
        </w:rPr>
        <w:t>.</w:t>
      </w:r>
    </w:p>
    <w:p w14:paraId="01F83912" w14:textId="77777777" w:rsidR="00863081" w:rsidRPr="00C936A1" w:rsidRDefault="00863081" w:rsidP="00863081">
      <w:pPr>
        <w:pStyle w:val="ListParagraph"/>
        <w:numPr>
          <w:ilvl w:val="0"/>
          <w:numId w:val="9"/>
        </w:numPr>
        <w:bidi w:val="0"/>
        <w:spacing w:before="240" w:line="360" w:lineRule="auto"/>
        <w:jc w:val="both"/>
        <w:rPr>
          <w:rFonts w:ascii="Times New Roman" w:hAnsi="Times New Roman" w:cs="David"/>
          <w:sz w:val="24"/>
          <w:szCs w:val="24"/>
          <w:rtl/>
        </w:rPr>
      </w:pPr>
      <w:r>
        <w:rPr>
          <w:rFonts w:ascii="Times New Roman" w:hAnsi="Times New Roman" w:cs="David"/>
          <w:sz w:val="24"/>
          <w:szCs w:val="24"/>
        </w:rPr>
        <w:t>Adverse impact</w:t>
      </w:r>
      <w:r w:rsidRPr="00C936A1">
        <w:rPr>
          <w:rFonts w:ascii="Times New Roman" w:hAnsi="Times New Roman" w:cs="David"/>
          <w:sz w:val="24"/>
          <w:szCs w:val="24"/>
        </w:rPr>
        <w:t xml:space="preserve"> to the supply of essential services to the PA (electricity, fuel, water) and an inability to transfer tax revenues.</w:t>
      </w:r>
    </w:p>
    <w:p w14:paraId="2AB22B5A" w14:textId="77777777" w:rsidR="00863081" w:rsidRPr="00C936A1" w:rsidRDefault="00863081" w:rsidP="00863081">
      <w:pPr>
        <w:pStyle w:val="ListParagraph"/>
        <w:numPr>
          <w:ilvl w:val="0"/>
          <w:numId w:val="9"/>
        </w:numPr>
        <w:bidi w:val="0"/>
        <w:spacing w:before="240" w:line="360" w:lineRule="auto"/>
        <w:jc w:val="both"/>
        <w:rPr>
          <w:rFonts w:ascii="Times New Roman" w:hAnsi="Times New Roman" w:cs="David"/>
          <w:sz w:val="24"/>
          <w:szCs w:val="24"/>
          <w:rtl/>
        </w:rPr>
      </w:pPr>
      <w:r w:rsidRPr="00C936A1">
        <w:rPr>
          <w:rFonts w:ascii="Times New Roman" w:hAnsi="Times New Roman" w:cs="David"/>
          <w:sz w:val="24"/>
          <w:szCs w:val="24"/>
        </w:rPr>
        <w:t>A</w:t>
      </w:r>
      <w:r>
        <w:rPr>
          <w:rFonts w:ascii="Times New Roman" w:hAnsi="Times New Roman" w:cs="David"/>
          <w:sz w:val="24"/>
          <w:szCs w:val="24"/>
        </w:rPr>
        <w:t xml:space="preserve"> shock to the s</w:t>
      </w:r>
      <w:r w:rsidRPr="00C936A1">
        <w:rPr>
          <w:rFonts w:ascii="Times New Roman" w:hAnsi="Times New Roman" w:cs="David"/>
          <w:sz w:val="24"/>
          <w:szCs w:val="24"/>
        </w:rPr>
        <w:t>tability of the Palestinian financial system through the payment systems</w:t>
      </w:r>
      <w:r>
        <w:rPr>
          <w:rFonts w:ascii="Times New Roman" w:hAnsi="Times New Roman" w:cs="David"/>
          <w:sz w:val="24"/>
          <w:szCs w:val="24"/>
        </w:rPr>
        <w:t>.</w:t>
      </w:r>
      <w:r>
        <w:rPr>
          <w:rStyle w:val="FootnoteReference"/>
          <w:rFonts w:ascii="Times New Roman" w:hAnsi="Times New Roman" w:cs="David"/>
          <w:sz w:val="24"/>
          <w:szCs w:val="24"/>
        </w:rPr>
        <w:footnoteReference w:id="38"/>
      </w:r>
    </w:p>
    <w:p w14:paraId="1035DDF0" w14:textId="77777777" w:rsidR="00863081" w:rsidRPr="00C936A1" w:rsidRDefault="00863081" w:rsidP="00863081">
      <w:pPr>
        <w:pStyle w:val="ListParagraph"/>
        <w:numPr>
          <w:ilvl w:val="0"/>
          <w:numId w:val="9"/>
        </w:numPr>
        <w:bidi w:val="0"/>
        <w:spacing w:before="240" w:line="360" w:lineRule="auto"/>
        <w:jc w:val="both"/>
        <w:rPr>
          <w:rFonts w:ascii="Times New Roman" w:hAnsi="Times New Roman" w:cs="David"/>
          <w:sz w:val="24"/>
          <w:szCs w:val="24"/>
          <w:rtl/>
        </w:rPr>
      </w:pPr>
      <w:r>
        <w:rPr>
          <w:rFonts w:ascii="Times New Roman" w:hAnsi="Times New Roman" w:cs="David"/>
          <w:sz w:val="24"/>
          <w:szCs w:val="24"/>
        </w:rPr>
        <w:t>The possibility of further de</w:t>
      </w:r>
      <w:r w:rsidRPr="00C936A1">
        <w:rPr>
          <w:rFonts w:ascii="Times New Roman" w:hAnsi="Times New Roman" w:cs="David"/>
          <w:sz w:val="24"/>
          <w:szCs w:val="24"/>
        </w:rPr>
        <w:t>-risking with foreign banks.</w:t>
      </w:r>
    </w:p>
    <w:p w14:paraId="7D8FFA2E" w14:textId="28CED7AC" w:rsidR="00863081" w:rsidRPr="00C936A1" w:rsidRDefault="00863081" w:rsidP="00863081">
      <w:pPr>
        <w:pStyle w:val="ListParagraph"/>
        <w:numPr>
          <w:ilvl w:val="0"/>
          <w:numId w:val="9"/>
        </w:numPr>
        <w:bidi w:val="0"/>
        <w:spacing w:before="240" w:line="360" w:lineRule="auto"/>
        <w:jc w:val="both"/>
        <w:rPr>
          <w:rFonts w:ascii="Times New Roman" w:hAnsi="Times New Roman" w:cs="David"/>
          <w:sz w:val="24"/>
          <w:szCs w:val="24"/>
          <w:rtl/>
        </w:rPr>
      </w:pPr>
      <w:r w:rsidRPr="00C936A1">
        <w:rPr>
          <w:rFonts w:ascii="Times New Roman" w:hAnsi="Times New Roman" w:cs="David"/>
          <w:sz w:val="24"/>
          <w:szCs w:val="24"/>
        </w:rPr>
        <w:t xml:space="preserve">A decrease in the effectiveness of the </w:t>
      </w:r>
      <w:r>
        <w:rPr>
          <w:rFonts w:ascii="Times New Roman" w:hAnsi="Times New Roman" w:cs="David"/>
          <w:sz w:val="24"/>
          <w:szCs w:val="24"/>
        </w:rPr>
        <w:t>anti-money laundering and</w:t>
      </w:r>
      <w:r w:rsidR="00932C53" w:rsidRPr="00932C53">
        <w:rPr>
          <w:rFonts w:ascii="Times New Roman" w:hAnsi="Times New Roman" w:cs="David"/>
          <w:sz w:val="24"/>
          <w:szCs w:val="24"/>
        </w:rPr>
        <w:t xml:space="preserve"> </w:t>
      </w:r>
      <w:r w:rsidR="00932C53">
        <w:rPr>
          <w:rFonts w:ascii="Times New Roman" w:hAnsi="Times New Roman" w:cs="David"/>
          <w:sz w:val="24"/>
          <w:szCs w:val="24"/>
        </w:rPr>
        <w:t>counter terror</w:t>
      </w:r>
      <w:r w:rsidR="00817155">
        <w:rPr>
          <w:rFonts w:ascii="Times New Roman" w:hAnsi="Times New Roman" w:cs="David"/>
          <w:sz w:val="24"/>
          <w:szCs w:val="24"/>
        </w:rPr>
        <w:t>ist</w:t>
      </w:r>
      <w:r>
        <w:rPr>
          <w:rFonts w:ascii="Times New Roman" w:hAnsi="Times New Roman" w:cs="David"/>
          <w:sz w:val="24"/>
          <w:szCs w:val="24"/>
        </w:rPr>
        <w:t xml:space="preserve"> financing </w:t>
      </w:r>
      <w:r w:rsidRPr="00C936A1">
        <w:rPr>
          <w:rFonts w:ascii="Times New Roman" w:hAnsi="Times New Roman" w:cs="David"/>
          <w:sz w:val="24"/>
          <w:szCs w:val="24"/>
        </w:rPr>
        <w:t>regime by expanding the use of means of payment and financial agents whose supervision is not tight.</w:t>
      </w:r>
    </w:p>
    <w:p w14:paraId="177DA72E" w14:textId="0CFDDB19" w:rsidR="00863081" w:rsidRDefault="00863081" w:rsidP="00863081">
      <w:pPr>
        <w:pStyle w:val="ListParagraph"/>
        <w:bidi w:val="0"/>
        <w:spacing w:line="480" w:lineRule="auto"/>
        <w:ind w:left="851" w:firstLine="360"/>
        <w:jc w:val="both"/>
        <w:rPr>
          <w:rFonts w:ascii="Times New Roman" w:hAnsi="Times New Roman" w:cs="David"/>
          <w:sz w:val="24"/>
          <w:szCs w:val="24"/>
        </w:rPr>
      </w:pPr>
      <w:r>
        <w:rPr>
          <w:rFonts w:ascii="Times New Roman" w:hAnsi="Times New Roman" w:cs="David"/>
          <w:sz w:val="24"/>
          <w:szCs w:val="24"/>
        </w:rPr>
        <w:t xml:space="preserve">In </w:t>
      </w:r>
      <w:r w:rsidRPr="00636991">
        <w:rPr>
          <w:rFonts w:ascii="Times New Roman" w:hAnsi="Times New Roman" w:cs="David"/>
          <w:sz w:val="24"/>
          <w:szCs w:val="24"/>
        </w:rPr>
        <w:t>2017</w:t>
      </w:r>
      <w:r>
        <w:rPr>
          <w:rFonts w:ascii="Times New Roman" w:hAnsi="Times New Roman" w:cs="David"/>
          <w:sz w:val="24"/>
          <w:szCs w:val="24"/>
        </w:rPr>
        <w:t>, t</w:t>
      </w:r>
      <w:r w:rsidRPr="00636991">
        <w:rPr>
          <w:rFonts w:ascii="Times New Roman" w:hAnsi="Times New Roman" w:cs="David"/>
          <w:sz w:val="24"/>
          <w:szCs w:val="24"/>
        </w:rPr>
        <w:t xml:space="preserve">he </w:t>
      </w:r>
      <w:r>
        <w:rPr>
          <w:rFonts w:ascii="Times New Roman" w:hAnsi="Times New Roman" w:cs="David"/>
          <w:sz w:val="24"/>
          <w:szCs w:val="24"/>
        </w:rPr>
        <w:t>GOI</w:t>
      </w:r>
      <w:r w:rsidRPr="00636991">
        <w:rPr>
          <w:rFonts w:ascii="Times New Roman" w:hAnsi="Times New Roman" w:cs="David"/>
          <w:sz w:val="24"/>
          <w:szCs w:val="24"/>
        </w:rPr>
        <w:t xml:space="preserve"> approved the provision of letters of indemnification and immunity to the Israeli correspondent bank</w:t>
      </w:r>
      <w:r>
        <w:rPr>
          <w:rFonts w:ascii="Times New Roman" w:hAnsi="Times New Roman" w:cs="David"/>
          <w:sz w:val="24"/>
          <w:szCs w:val="24"/>
        </w:rPr>
        <w:t>s</w:t>
      </w:r>
      <w:r w:rsidRPr="00636991">
        <w:rPr>
          <w:rFonts w:ascii="Times New Roman" w:hAnsi="Times New Roman" w:cs="David"/>
          <w:sz w:val="24"/>
          <w:szCs w:val="24"/>
        </w:rPr>
        <w:t>, for a limited period</w:t>
      </w:r>
      <w:r>
        <w:rPr>
          <w:rStyle w:val="FootnoteReference"/>
          <w:rFonts w:ascii="Times New Roman" w:hAnsi="Times New Roman" w:cs="David"/>
          <w:sz w:val="24"/>
          <w:szCs w:val="24"/>
        </w:rPr>
        <w:footnoteReference w:id="39"/>
      </w:r>
      <w:r>
        <w:rPr>
          <w:rFonts w:ascii="Times New Roman" w:hAnsi="Times New Roman" w:cs="David"/>
          <w:sz w:val="24"/>
          <w:szCs w:val="24"/>
        </w:rPr>
        <w:t>,</w:t>
      </w:r>
      <w:r w:rsidRPr="00636991">
        <w:rPr>
          <w:rFonts w:ascii="Times New Roman" w:hAnsi="Times New Roman" w:cs="David"/>
          <w:sz w:val="24"/>
          <w:szCs w:val="24"/>
        </w:rPr>
        <w:t xml:space="preserve"> and instructed the authorities to find a long-term solution for the CBR with the Palestinian banking system</w:t>
      </w:r>
      <w:r w:rsidRPr="00636991">
        <w:rPr>
          <w:rFonts w:ascii="Times New Roman" w:hAnsi="Times New Roman" w:cs="David"/>
          <w:sz w:val="24"/>
          <w:szCs w:val="24"/>
          <w:rtl/>
        </w:rPr>
        <w:t>.</w:t>
      </w:r>
      <w:r>
        <w:rPr>
          <w:rFonts w:ascii="Times New Roman" w:hAnsi="Times New Roman" w:cs="David"/>
          <w:sz w:val="24"/>
          <w:szCs w:val="24"/>
        </w:rPr>
        <w:t xml:space="preserve"> In </w:t>
      </w:r>
      <w:r w:rsidRPr="00636991">
        <w:rPr>
          <w:rFonts w:ascii="Times New Roman" w:hAnsi="Times New Roman" w:cs="David"/>
          <w:sz w:val="24"/>
          <w:szCs w:val="24"/>
        </w:rPr>
        <w:t>2018</w:t>
      </w:r>
      <w:r>
        <w:rPr>
          <w:rFonts w:ascii="Times New Roman" w:hAnsi="Times New Roman" w:cs="David"/>
          <w:sz w:val="24"/>
          <w:szCs w:val="24"/>
        </w:rPr>
        <w:t>,</w:t>
      </w:r>
      <w:r w:rsidRPr="00636991">
        <w:rPr>
          <w:rFonts w:ascii="Times New Roman" w:hAnsi="Times New Roman" w:cs="David"/>
          <w:sz w:val="24"/>
          <w:szCs w:val="24"/>
        </w:rPr>
        <w:t xml:space="preserve"> </w:t>
      </w:r>
      <w:r>
        <w:rPr>
          <w:rFonts w:ascii="Times New Roman" w:hAnsi="Times New Roman" w:cs="David"/>
          <w:sz w:val="24"/>
          <w:szCs w:val="24"/>
        </w:rPr>
        <w:t>t</w:t>
      </w:r>
      <w:r w:rsidRPr="00636991">
        <w:rPr>
          <w:rFonts w:ascii="Times New Roman" w:hAnsi="Times New Roman" w:cs="David"/>
          <w:sz w:val="24"/>
          <w:szCs w:val="24"/>
        </w:rPr>
        <w:t xml:space="preserve">he </w:t>
      </w:r>
      <w:r>
        <w:rPr>
          <w:rFonts w:ascii="Times New Roman" w:hAnsi="Times New Roman" w:cs="David"/>
          <w:sz w:val="24"/>
          <w:szCs w:val="24"/>
        </w:rPr>
        <w:t>GOI</w:t>
      </w:r>
      <w:r w:rsidRPr="00636991">
        <w:rPr>
          <w:rFonts w:ascii="Times New Roman" w:hAnsi="Times New Roman" w:cs="David"/>
          <w:sz w:val="24"/>
          <w:szCs w:val="24"/>
        </w:rPr>
        <w:t xml:space="preserve"> approved the recommendations of an </w:t>
      </w:r>
      <w:proofErr w:type="spellStart"/>
      <w:r>
        <w:rPr>
          <w:rFonts w:ascii="Times New Roman" w:hAnsi="Times New Roman" w:cs="David"/>
          <w:sz w:val="24"/>
          <w:szCs w:val="24"/>
        </w:rPr>
        <w:t>i</w:t>
      </w:r>
      <w:r w:rsidRPr="00636991">
        <w:rPr>
          <w:rFonts w:ascii="Times New Roman" w:hAnsi="Times New Roman" w:cs="David"/>
          <w:sz w:val="24"/>
          <w:szCs w:val="24"/>
        </w:rPr>
        <w:t>nterministerial</w:t>
      </w:r>
      <w:proofErr w:type="spellEnd"/>
      <w:r w:rsidRPr="00636991">
        <w:rPr>
          <w:rFonts w:ascii="Times New Roman" w:hAnsi="Times New Roman" w:cs="David"/>
          <w:sz w:val="24"/>
          <w:szCs w:val="24"/>
        </w:rPr>
        <w:t xml:space="preserve"> team led by the B</w:t>
      </w:r>
      <w:r>
        <w:rPr>
          <w:rFonts w:ascii="Times New Roman" w:hAnsi="Times New Roman" w:cs="David"/>
          <w:sz w:val="24"/>
          <w:szCs w:val="24"/>
        </w:rPr>
        <w:t>O</w:t>
      </w:r>
      <w:r w:rsidRPr="00636991">
        <w:rPr>
          <w:rFonts w:ascii="Times New Roman" w:hAnsi="Times New Roman" w:cs="David"/>
          <w:sz w:val="24"/>
          <w:szCs w:val="24"/>
        </w:rPr>
        <w:t>I</w:t>
      </w:r>
      <w:r>
        <w:rPr>
          <w:rFonts w:ascii="Times New Roman" w:hAnsi="Times New Roman" w:cs="David" w:hint="cs"/>
          <w:sz w:val="24"/>
          <w:szCs w:val="24"/>
          <w:rtl/>
        </w:rPr>
        <w:t xml:space="preserve"> </w:t>
      </w:r>
      <w:r>
        <w:rPr>
          <w:rFonts w:ascii="Times New Roman" w:hAnsi="Times New Roman" w:cs="David"/>
          <w:sz w:val="24"/>
          <w:szCs w:val="24"/>
        </w:rPr>
        <w:t xml:space="preserve">and </w:t>
      </w:r>
      <w:r w:rsidRPr="00636991">
        <w:rPr>
          <w:rFonts w:ascii="Times New Roman" w:hAnsi="Times New Roman" w:cs="David"/>
          <w:sz w:val="24"/>
          <w:szCs w:val="24"/>
        </w:rPr>
        <w:t>established</w:t>
      </w:r>
      <w:r>
        <w:rPr>
          <w:rStyle w:val="FootnoteReference"/>
          <w:rFonts w:ascii="Times New Roman" w:hAnsi="Times New Roman" w:cs="David"/>
          <w:sz w:val="24"/>
          <w:szCs w:val="24"/>
        </w:rPr>
        <w:footnoteReference w:id="40"/>
      </w:r>
      <w:r w:rsidRPr="00636991">
        <w:rPr>
          <w:rFonts w:ascii="Times New Roman" w:hAnsi="Times New Roman" w:cs="David"/>
          <w:sz w:val="24"/>
          <w:szCs w:val="24"/>
        </w:rPr>
        <w:t xml:space="preserve"> a new government</w:t>
      </w:r>
      <w:r>
        <w:rPr>
          <w:rFonts w:ascii="Times New Roman" w:hAnsi="Times New Roman" w:cs="David"/>
          <w:sz w:val="24"/>
          <w:szCs w:val="24"/>
        </w:rPr>
        <w:t>al</w:t>
      </w:r>
      <w:r w:rsidRPr="00636991">
        <w:rPr>
          <w:rFonts w:ascii="Times New Roman" w:hAnsi="Times New Roman" w:cs="David"/>
          <w:sz w:val="24"/>
          <w:szCs w:val="24"/>
        </w:rPr>
        <w:t xml:space="preserve"> company whose role is to provide the correspondent services instead of the Israeli correspondent banks</w:t>
      </w:r>
      <w:r>
        <w:rPr>
          <w:rFonts w:ascii="Times New Roman" w:hAnsi="Times New Roman" w:cs="David"/>
          <w:sz w:val="24"/>
          <w:szCs w:val="24"/>
        </w:rPr>
        <w:t xml:space="preserve">. This company will represent the PMA vis-à-vis the CH and the PMA will represent the Palestinian banks (Government-to-Government sector solution). Following Israel, in Feb 2021 the PMA announced the establishment of </w:t>
      </w:r>
      <w:r w:rsidRPr="00F50BF0">
        <w:rPr>
          <w:rFonts w:ascii="Times New Roman" w:hAnsi="Times New Roman" w:cs="David"/>
          <w:sz w:val="24"/>
          <w:szCs w:val="24"/>
        </w:rPr>
        <w:t>the Palestinian Correspondent Company to facilitate the implementation of financial transactions</w:t>
      </w:r>
      <w:r w:rsidR="00E1038D">
        <w:rPr>
          <w:rFonts w:ascii="Times New Roman" w:hAnsi="Times New Roman" w:cs="David"/>
          <w:sz w:val="24"/>
          <w:szCs w:val="24"/>
        </w:rPr>
        <w:t xml:space="preserve">, </w:t>
      </w:r>
      <w:r w:rsidR="00B35CBF">
        <w:rPr>
          <w:rFonts w:ascii="Times New Roman" w:hAnsi="Times New Roman" w:cs="David"/>
          <w:sz w:val="24"/>
          <w:szCs w:val="24"/>
        </w:rPr>
        <w:t>and</w:t>
      </w:r>
      <w:r w:rsidRPr="002E0605">
        <w:rPr>
          <w:rFonts w:ascii="Times New Roman" w:hAnsi="Times New Roman" w:cs="David"/>
          <w:sz w:val="24"/>
          <w:szCs w:val="24"/>
        </w:rPr>
        <w:t xml:space="preserve"> procedures for paying the prices of purchases and sales and making cash transfers, which will contribute to accelerating the economic cycle</w:t>
      </w:r>
      <w:r>
        <w:rPr>
          <w:rStyle w:val="FootnoteReference"/>
          <w:rFonts w:ascii="Times New Roman" w:hAnsi="Times New Roman" w:cs="David"/>
          <w:sz w:val="24"/>
          <w:szCs w:val="24"/>
        </w:rPr>
        <w:footnoteReference w:id="41"/>
      </w:r>
      <w:r>
        <w:rPr>
          <w:rFonts w:ascii="Times New Roman" w:hAnsi="Times New Roman" w:cs="David"/>
          <w:sz w:val="24"/>
          <w:szCs w:val="24"/>
        </w:rPr>
        <w:t>.</w:t>
      </w:r>
    </w:p>
    <w:p w14:paraId="348F8AA5" w14:textId="77777777" w:rsidR="00D1301F" w:rsidRDefault="00D1301F" w:rsidP="00D1301F">
      <w:pPr>
        <w:pStyle w:val="ListParagraph"/>
        <w:autoSpaceDE w:val="0"/>
        <w:autoSpaceDN w:val="0"/>
        <w:bidi w:val="0"/>
        <w:adjustRightInd w:val="0"/>
        <w:spacing w:line="360" w:lineRule="auto"/>
        <w:ind w:left="851"/>
        <w:rPr>
          <w:rFonts w:asciiTheme="majorBidi" w:hAnsiTheme="majorBidi" w:cstheme="majorBidi"/>
          <w:b/>
          <w:bCs/>
          <w:sz w:val="24"/>
          <w:szCs w:val="24"/>
        </w:rPr>
      </w:pPr>
    </w:p>
    <w:p w14:paraId="2C69EF6F" w14:textId="41D21C2C" w:rsidR="00863081" w:rsidRPr="005E1BEE" w:rsidRDefault="00863081" w:rsidP="00D1301F">
      <w:pPr>
        <w:pStyle w:val="ListParagraph"/>
        <w:numPr>
          <w:ilvl w:val="1"/>
          <w:numId w:val="3"/>
        </w:numPr>
        <w:autoSpaceDE w:val="0"/>
        <w:autoSpaceDN w:val="0"/>
        <w:bidi w:val="0"/>
        <w:adjustRightInd w:val="0"/>
        <w:spacing w:line="360" w:lineRule="auto"/>
        <w:rPr>
          <w:rFonts w:asciiTheme="majorBidi" w:hAnsiTheme="majorBidi" w:cstheme="majorBidi"/>
          <w:b/>
          <w:bCs/>
          <w:sz w:val="24"/>
          <w:szCs w:val="24"/>
        </w:rPr>
      </w:pPr>
      <w:r w:rsidRPr="005E1BEE">
        <w:rPr>
          <w:rFonts w:asciiTheme="majorBidi" w:hAnsiTheme="majorBidi" w:cstheme="majorBidi"/>
          <w:b/>
          <w:bCs/>
          <w:sz w:val="24"/>
          <w:szCs w:val="24"/>
        </w:rPr>
        <w:t xml:space="preserve">Assessing the amount of NIS cash in circulation in the WBG </w:t>
      </w:r>
    </w:p>
    <w:p w14:paraId="77133D7A" w14:textId="07D7C997" w:rsidR="00863081" w:rsidRDefault="00863081" w:rsidP="00863081">
      <w:pPr>
        <w:bidi w:val="0"/>
        <w:spacing w:line="480" w:lineRule="auto"/>
        <w:ind w:left="851"/>
        <w:jc w:val="both"/>
        <w:rPr>
          <w:rFonts w:ascii="Times New Roman" w:hAnsi="Times New Roman" w:cs="David"/>
          <w:sz w:val="24"/>
          <w:szCs w:val="24"/>
        </w:rPr>
      </w:pPr>
      <w:r w:rsidRPr="002E6E17">
        <w:rPr>
          <w:rFonts w:ascii="Times New Roman" w:hAnsi="Times New Roman" w:cs="David"/>
          <w:sz w:val="24"/>
          <w:szCs w:val="24"/>
        </w:rPr>
        <w:t xml:space="preserve">It would seem that physical currency should be fading out as the world of payments is increasingly electronic, with new technologies emerging at a rapid pace, and as governments look to restrictions on </w:t>
      </w:r>
      <w:r>
        <w:rPr>
          <w:rFonts w:ascii="Times New Roman" w:hAnsi="Times New Roman" w:cs="David"/>
          <w:sz w:val="24"/>
          <w:szCs w:val="24"/>
        </w:rPr>
        <w:t>transaction based on cash,</w:t>
      </w:r>
      <w:r w:rsidRPr="002E6E17">
        <w:rPr>
          <w:rFonts w:ascii="Times New Roman" w:hAnsi="Times New Roman" w:cs="David"/>
          <w:sz w:val="24"/>
          <w:szCs w:val="24"/>
        </w:rPr>
        <w:t xml:space="preserve"> as a way to reduce crime and tax evasion. Nonetheless, </w:t>
      </w:r>
      <w:r w:rsidR="00EB5948">
        <w:rPr>
          <w:rFonts w:ascii="Times New Roman" w:hAnsi="Times New Roman" w:cs="David"/>
          <w:sz w:val="24"/>
          <w:szCs w:val="24"/>
        </w:rPr>
        <w:t>t</w:t>
      </w:r>
      <w:r w:rsidRPr="00403ED3">
        <w:rPr>
          <w:rFonts w:ascii="Times New Roman" w:hAnsi="Times New Roman" w:cs="David"/>
          <w:sz w:val="24"/>
          <w:szCs w:val="24"/>
        </w:rPr>
        <w:t xml:space="preserve">he quantity and value of banknotes and coins in circulation are affected by several factors, such as changes in the extent and number of transactions, the rate of inflation, population growth, and the use of automated teller machines, checks, credit </w:t>
      </w:r>
      <w:r>
        <w:rPr>
          <w:rFonts w:ascii="Times New Roman" w:hAnsi="Times New Roman" w:cs="David"/>
          <w:sz w:val="24"/>
          <w:szCs w:val="24"/>
        </w:rPr>
        <w:t xml:space="preserve">and debit </w:t>
      </w:r>
      <w:r w:rsidRPr="00403ED3">
        <w:rPr>
          <w:rFonts w:ascii="Times New Roman" w:hAnsi="Times New Roman" w:cs="David"/>
          <w:sz w:val="24"/>
          <w:szCs w:val="24"/>
        </w:rPr>
        <w:t>cards</w:t>
      </w:r>
      <w:r>
        <w:rPr>
          <w:rFonts w:ascii="Times New Roman" w:hAnsi="Times New Roman" w:cs="David"/>
          <w:sz w:val="24"/>
          <w:szCs w:val="24"/>
        </w:rPr>
        <w:t xml:space="preserve"> and advanced means of payments (</w:t>
      </w:r>
      <w:r w:rsidRPr="005277D6">
        <w:rPr>
          <w:rFonts w:ascii="Times New Roman" w:hAnsi="Times New Roman" w:cs="David"/>
          <w:sz w:val="24"/>
          <w:szCs w:val="24"/>
        </w:rPr>
        <w:t>Judson 2017)</w:t>
      </w:r>
      <w:r w:rsidRPr="00403ED3">
        <w:rPr>
          <w:rFonts w:ascii="Times New Roman" w:hAnsi="Times New Roman" w:cs="David"/>
          <w:sz w:val="24"/>
          <w:szCs w:val="24"/>
        </w:rPr>
        <w:t>.</w:t>
      </w:r>
    </w:p>
    <w:p w14:paraId="382A6E74" w14:textId="725B4289" w:rsidR="00863081" w:rsidRPr="00B7610B" w:rsidRDefault="00863081" w:rsidP="00863081">
      <w:pPr>
        <w:bidi w:val="0"/>
        <w:spacing w:line="480" w:lineRule="auto"/>
        <w:jc w:val="center"/>
        <w:rPr>
          <w:rFonts w:ascii="Times New Roman" w:hAnsi="Times New Roman" w:cs="David"/>
          <w:b/>
          <w:bCs/>
          <w:sz w:val="24"/>
          <w:szCs w:val="24"/>
        </w:rPr>
      </w:pPr>
      <w:r>
        <w:rPr>
          <w:rFonts w:ascii="Times New Roman" w:hAnsi="Times New Roman" w:cs="David"/>
          <w:b/>
          <w:bCs/>
          <w:sz w:val="24"/>
          <w:szCs w:val="24"/>
        </w:rPr>
        <w:t xml:space="preserve">Figure </w:t>
      </w:r>
      <w:r w:rsidR="0042052C">
        <w:rPr>
          <w:rFonts w:ascii="Times New Roman" w:hAnsi="Times New Roman" w:cs="David"/>
          <w:b/>
          <w:bCs/>
          <w:sz w:val="24"/>
          <w:szCs w:val="24"/>
        </w:rPr>
        <w:t>22</w:t>
      </w:r>
      <w:r>
        <w:rPr>
          <w:rFonts w:ascii="Times New Roman" w:hAnsi="Times New Roman" w:cs="David"/>
          <w:b/>
          <w:bCs/>
          <w:sz w:val="24"/>
          <w:szCs w:val="24"/>
        </w:rPr>
        <w:t xml:space="preserve"> - </w:t>
      </w:r>
      <w:r w:rsidRPr="00B7610B">
        <w:rPr>
          <w:rFonts w:ascii="Times New Roman" w:hAnsi="Times New Roman" w:cs="David"/>
          <w:b/>
          <w:bCs/>
          <w:sz w:val="24"/>
          <w:szCs w:val="24"/>
        </w:rPr>
        <w:t>Cash in circulation to GDP – Selected countries</w:t>
      </w:r>
    </w:p>
    <w:p w14:paraId="4EDC18CE" w14:textId="77777777" w:rsidR="00863081" w:rsidRDefault="00863081" w:rsidP="00863081">
      <w:pPr>
        <w:bidi w:val="0"/>
        <w:spacing w:line="480" w:lineRule="auto"/>
        <w:ind w:left="851"/>
        <w:jc w:val="both"/>
        <w:rPr>
          <w:rFonts w:ascii="Times New Roman" w:hAnsi="Times New Roman" w:cs="David"/>
          <w:sz w:val="24"/>
          <w:szCs w:val="24"/>
        </w:rPr>
      </w:pPr>
      <w:r>
        <w:rPr>
          <w:noProof/>
        </w:rPr>
        <w:drawing>
          <wp:inline distT="0" distB="0" distL="0" distR="0" wp14:anchorId="410D63C9" wp14:editId="39B9FA80">
            <wp:extent cx="4572000" cy="2743200"/>
            <wp:effectExtent l="0" t="0" r="0" b="0"/>
            <wp:docPr id="11" name="תרשים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64106F1" w14:textId="1BD3CC9C" w:rsidR="00D1301F" w:rsidRDefault="00D1301F" w:rsidP="00D1301F">
      <w:pPr>
        <w:bidi w:val="0"/>
        <w:spacing w:line="480" w:lineRule="auto"/>
        <w:ind w:left="851"/>
        <w:jc w:val="center"/>
        <w:rPr>
          <w:rFonts w:ascii="Times New Roman" w:hAnsi="Times New Roman" w:cs="David"/>
          <w:sz w:val="24"/>
          <w:szCs w:val="24"/>
        </w:rPr>
      </w:pPr>
      <w:r>
        <w:rPr>
          <w:rFonts w:ascii="Times New Roman" w:hAnsi="Times New Roman" w:cs="David"/>
          <w:sz w:val="24"/>
          <w:szCs w:val="24"/>
        </w:rPr>
        <w:t xml:space="preserve">Source: </w:t>
      </w:r>
      <w:r w:rsidR="001967F5">
        <w:rPr>
          <w:rFonts w:ascii="Times New Roman" w:hAnsi="Times New Roman" w:cs="David"/>
          <w:sz w:val="24"/>
          <w:szCs w:val="24"/>
        </w:rPr>
        <w:t xml:space="preserve">Department of currency report, 2019, Bank of Israel </w:t>
      </w:r>
    </w:p>
    <w:p w14:paraId="77FA9D33" w14:textId="47CB8884" w:rsidR="00863081" w:rsidRDefault="00863081" w:rsidP="00D1301F">
      <w:pPr>
        <w:bidi w:val="0"/>
        <w:spacing w:line="480" w:lineRule="auto"/>
        <w:ind w:left="851"/>
        <w:jc w:val="both"/>
        <w:rPr>
          <w:rFonts w:ascii="Times New Roman" w:hAnsi="Times New Roman" w:cs="David"/>
          <w:sz w:val="24"/>
          <w:szCs w:val="24"/>
        </w:rPr>
      </w:pPr>
      <w:r w:rsidRPr="00403ED3">
        <w:rPr>
          <w:rFonts w:ascii="Times New Roman" w:hAnsi="Times New Roman" w:cs="David"/>
          <w:sz w:val="24"/>
          <w:szCs w:val="24"/>
        </w:rPr>
        <w:t xml:space="preserve">The Bank of Israel has the sole right to issue currency in Israel. </w:t>
      </w:r>
      <w:r>
        <w:rPr>
          <w:rFonts w:ascii="Times New Roman" w:hAnsi="Times New Roman" w:cs="David"/>
          <w:sz w:val="24"/>
          <w:szCs w:val="24"/>
        </w:rPr>
        <w:t xml:space="preserve">According to </w:t>
      </w:r>
      <w:proofErr w:type="spellStart"/>
      <w:r>
        <w:rPr>
          <w:rFonts w:ascii="Times New Roman" w:hAnsi="Times New Roman" w:cs="David"/>
          <w:sz w:val="24"/>
          <w:szCs w:val="24"/>
        </w:rPr>
        <w:t>BoI</w:t>
      </w:r>
      <w:proofErr w:type="spellEnd"/>
      <w:r>
        <w:rPr>
          <w:rFonts w:ascii="Times New Roman" w:hAnsi="Times New Roman" w:cs="David"/>
          <w:sz w:val="24"/>
          <w:szCs w:val="24"/>
        </w:rPr>
        <w:t xml:space="preserve"> (2019), t</w:t>
      </w:r>
      <w:r w:rsidRPr="00403ED3">
        <w:rPr>
          <w:rFonts w:ascii="Times New Roman" w:hAnsi="Times New Roman" w:cs="David"/>
          <w:sz w:val="24"/>
          <w:szCs w:val="24"/>
        </w:rPr>
        <w:t xml:space="preserve">he use habits of cash and other means of payment are influenced more now than in the past by changes in technology and regulation. The </w:t>
      </w:r>
      <w:proofErr w:type="spellStart"/>
      <w:r>
        <w:rPr>
          <w:rFonts w:ascii="Times New Roman" w:hAnsi="Times New Roman" w:cs="David"/>
          <w:sz w:val="24"/>
          <w:szCs w:val="24"/>
        </w:rPr>
        <w:t>BoI</w:t>
      </w:r>
      <w:proofErr w:type="spellEnd"/>
      <w:r w:rsidRPr="00403ED3">
        <w:rPr>
          <w:rFonts w:ascii="Times New Roman" w:hAnsi="Times New Roman" w:cs="David"/>
          <w:sz w:val="24"/>
          <w:szCs w:val="24"/>
        </w:rPr>
        <w:t xml:space="preserve"> encourages the use of advanced </w:t>
      </w:r>
      <w:proofErr w:type="spellStart"/>
      <w:r w:rsidRPr="00403ED3">
        <w:rPr>
          <w:rFonts w:ascii="Times New Roman" w:hAnsi="Times New Roman" w:cs="David"/>
          <w:sz w:val="24"/>
          <w:szCs w:val="24"/>
        </w:rPr>
        <w:t>nonpaper</w:t>
      </w:r>
      <w:proofErr w:type="spellEnd"/>
      <w:r w:rsidRPr="00403ED3">
        <w:rPr>
          <w:rFonts w:ascii="Times New Roman" w:hAnsi="Times New Roman" w:cs="David"/>
          <w:sz w:val="24"/>
          <w:szCs w:val="24"/>
        </w:rPr>
        <w:t xml:space="preserve">-based means of payment, and as such </w:t>
      </w:r>
      <w:r w:rsidR="0075052C">
        <w:rPr>
          <w:rFonts w:ascii="Times New Roman" w:hAnsi="Times New Roman" w:cs="David"/>
          <w:sz w:val="24"/>
          <w:szCs w:val="24"/>
        </w:rPr>
        <w:t>supported</w:t>
      </w:r>
      <w:r w:rsidRPr="00403ED3">
        <w:rPr>
          <w:rFonts w:ascii="Times New Roman" w:hAnsi="Times New Roman" w:cs="David"/>
          <w:sz w:val="24"/>
          <w:szCs w:val="24"/>
        </w:rPr>
        <w:t xml:space="preserve"> the legislative process for the </w:t>
      </w:r>
      <w:r w:rsidR="00A173D6">
        <w:rPr>
          <w:rFonts w:ascii="Times New Roman" w:hAnsi="Times New Roman" w:cs="David"/>
          <w:sz w:val="24"/>
          <w:szCs w:val="24"/>
        </w:rPr>
        <w:t>“</w:t>
      </w:r>
      <w:r w:rsidRPr="00403ED3">
        <w:rPr>
          <w:rFonts w:ascii="Times New Roman" w:hAnsi="Times New Roman" w:cs="David"/>
          <w:sz w:val="24"/>
          <w:szCs w:val="24"/>
        </w:rPr>
        <w:t>Reducing the Use of Cash Law, 5778–2018</w:t>
      </w:r>
      <w:r w:rsidR="00A173D6">
        <w:rPr>
          <w:rFonts w:ascii="Times New Roman" w:hAnsi="Times New Roman" w:cs="David"/>
          <w:sz w:val="24"/>
          <w:szCs w:val="24"/>
        </w:rPr>
        <w:t>”</w:t>
      </w:r>
      <w:r w:rsidRPr="00403ED3">
        <w:rPr>
          <w:rFonts w:ascii="Times New Roman" w:hAnsi="Times New Roman" w:cs="David"/>
          <w:sz w:val="24"/>
          <w:szCs w:val="24"/>
        </w:rPr>
        <w:t>, which came into force in January 2019.</w:t>
      </w:r>
      <w:r>
        <w:rPr>
          <w:rFonts w:ascii="Times New Roman" w:hAnsi="Times New Roman" w:cs="David"/>
          <w:sz w:val="24"/>
          <w:szCs w:val="24"/>
        </w:rPr>
        <w:t xml:space="preserve"> </w:t>
      </w:r>
      <w:r w:rsidRPr="00403ED3">
        <w:rPr>
          <w:rFonts w:ascii="Times New Roman" w:hAnsi="Times New Roman" w:cs="David"/>
          <w:sz w:val="24"/>
          <w:szCs w:val="24"/>
        </w:rPr>
        <w:t xml:space="preserve">The continued increase in the circulation of cash, as well as survey findings, show that cash is a significant means of conducting transactions in Israel.  Cash expenditures constituted about 26 percent of total daily expenditures, while credit cards or debit cards accounted for about 38 percent. Cash transactions are mostly in low amounts.  </w:t>
      </w:r>
    </w:p>
    <w:p w14:paraId="646DA21D" w14:textId="16AC9224" w:rsidR="00863081" w:rsidRDefault="00863081" w:rsidP="00863081">
      <w:pPr>
        <w:bidi w:val="0"/>
        <w:spacing w:line="480" w:lineRule="auto"/>
        <w:ind w:left="851"/>
        <w:jc w:val="center"/>
        <w:rPr>
          <w:rFonts w:ascii="Times New Roman" w:hAnsi="Times New Roman" w:cs="David"/>
          <w:sz w:val="24"/>
          <w:szCs w:val="24"/>
        </w:rPr>
      </w:pPr>
      <w:r>
        <w:rPr>
          <w:rFonts w:ascii="Times New Roman" w:hAnsi="Times New Roman" w:cs="David"/>
          <w:b/>
          <w:bCs/>
          <w:sz w:val="24"/>
          <w:szCs w:val="24"/>
        </w:rPr>
        <w:t xml:space="preserve">Figure </w:t>
      </w:r>
      <w:r w:rsidR="00B27B3D">
        <w:rPr>
          <w:rFonts w:ascii="Times New Roman" w:hAnsi="Times New Roman" w:cs="David"/>
          <w:b/>
          <w:bCs/>
          <w:sz w:val="24"/>
          <w:szCs w:val="24"/>
        </w:rPr>
        <w:t>23</w:t>
      </w:r>
      <w:r>
        <w:rPr>
          <w:rFonts w:ascii="Times New Roman" w:hAnsi="Times New Roman" w:cs="David"/>
          <w:b/>
          <w:bCs/>
          <w:sz w:val="24"/>
          <w:szCs w:val="24"/>
        </w:rPr>
        <w:t xml:space="preserve"> - </w:t>
      </w:r>
      <w:r w:rsidRPr="002A1791">
        <w:rPr>
          <w:rFonts w:ascii="Times New Roman" w:hAnsi="Times New Roman" w:cs="David"/>
          <w:b/>
          <w:bCs/>
          <w:sz w:val="24"/>
          <w:szCs w:val="24"/>
        </w:rPr>
        <w:t>Cash in Circulation</w:t>
      </w:r>
      <w:r>
        <w:rPr>
          <w:rFonts w:ascii="Times New Roman" w:hAnsi="Times New Roman" w:cs="David"/>
          <w:b/>
          <w:bCs/>
          <w:sz w:val="24"/>
          <w:szCs w:val="24"/>
        </w:rPr>
        <w:t xml:space="preserve"> (NIS)</w:t>
      </w:r>
      <w:r>
        <w:rPr>
          <w:noProof/>
        </w:rPr>
        <w:drawing>
          <wp:inline distT="0" distB="0" distL="0" distR="0" wp14:anchorId="2ECBCA3B" wp14:editId="31B300A1">
            <wp:extent cx="4320000" cy="2520000"/>
            <wp:effectExtent l="0" t="0" r="4445" b="13970"/>
            <wp:docPr id="2" name="תרשים 2">
              <a:extLst xmlns:a="http://schemas.openxmlformats.org/drawingml/2006/main">
                <a:ext uri="{FF2B5EF4-FFF2-40B4-BE49-F238E27FC236}">
                  <a16:creationId xmlns:a16="http://schemas.microsoft.com/office/drawing/2014/main" id="{74BF2CE2-17CC-4AFC-ACE8-3A8AD9390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B8F6519" w14:textId="77777777" w:rsidR="00D1301F" w:rsidRDefault="00D1301F" w:rsidP="00D1301F">
      <w:pPr>
        <w:bidi w:val="0"/>
        <w:spacing w:line="480" w:lineRule="auto"/>
        <w:ind w:left="851"/>
        <w:jc w:val="center"/>
        <w:rPr>
          <w:rFonts w:ascii="Times New Roman" w:hAnsi="Times New Roman" w:cs="David"/>
          <w:sz w:val="24"/>
          <w:szCs w:val="24"/>
        </w:rPr>
      </w:pPr>
      <w:r>
        <w:rPr>
          <w:rFonts w:ascii="Times New Roman" w:hAnsi="Times New Roman" w:cs="David"/>
          <w:sz w:val="24"/>
          <w:szCs w:val="24"/>
        </w:rPr>
        <w:t>Source: BOI</w:t>
      </w:r>
    </w:p>
    <w:p w14:paraId="5CF124A6" w14:textId="2B8B8A71" w:rsidR="00863081" w:rsidRDefault="00863081" w:rsidP="007F1AB2">
      <w:pPr>
        <w:pStyle w:val="ListParagraph"/>
        <w:autoSpaceDE w:val="0"/>
        <w:autoSpaceDN w:val="0"/>
        <w:bidi w:val="0"/>
        <w:adjustRightInd w:val="0"/>
        <w:spacing w:line="480" w:lineRule="auto"/>
        <w:ind w:left="851"/>
        <w:jc w:val="both"/>
        <w:rPr>
          <w:rFonts w:ascii="Times New Roman" w:hAnsi="Times New Roman" w:cs="David"/>
          <w:sz w:val="24"/>
          <w:szCs w:val="24"/>
        </w:rPr>
      </w:pPr>
      <w:r w:rsidRPr="0089604C">
        <w:rPr>
          <w:rFonts w:ascii="Times New Roman" w:hAnsi="Times New Roman" w:cs="David"/>
          <w:sz w:val="24"/>
          <w:szCs w:val="24"/>
        </w:rPr>
        <w:t xml:space="preserve">But NIS cash is also heavily used in the </w:t>
      </w:r>
      <w:r w:rsidR="00A24E7D">
        <w:rPr>
          <w:rFonts w:ascii="Times New Roman" w:hAnsi="Times New Roman" w:cs="David"/>
          <w:sz w:val="24"/>
          <w:szCs w:val="24"/>
        </w:rPr>
        <w:t>WBG</w:t>
      </w:r>
      <w:r w:rsidRPr="0089604C">
        <w:rPr>
          <w:rFonts w:ascii="Times New Roman" w:hAnsi="Times New Roman" w:cs="David"/>
          <w:sz w:val="24"/>
          <w:szCs w:val="24"/>
        </w:rPr>
        <w:t>. One should ask</w:t>
      </w:r>
      <w:r>
        <w:rPr>
          <w:rFonts w:ascii="Times New Roman" w:hAnsi="Times New Roman" w:cs="David"/>
          <w:sz w:val="24"/>
          <w:szCs w:val="24"/>
        </w:rPr>
        <w:t xml:space="preserve"> </w:t>
      </w:r>
      <w:r w:rsidRPr="0089604C">
        <w:rPr>
          <w:rFonts w:ascii="Times New Roman" w:hAnsi="Times New Roman" w:cs="David"/>
          <w:sz w:val="24"/>
          <w:szCs w:val="24"/>
        </w:rPr>
        <w:t>how much cash</w:t>
      </w:r>
      <w:r>
        <w:rPr>
          <w:rFonts w:ascii="Times New Roman" w:hAnsi="Times New Roman" w:cs="David"/>
          <w:sz w:val="24"/>
          <w:szCs w:val="24"/>
        </w:rPr>
        <w:t xml:space="preserve"> (NIS)</w:t>
      </w:r>
      <w:r w:rsidRPr="0089604C">
        <w:rPr>
          <w:rFonts w:ascii="Times New Roman" w:hAnsi="Times New Roman" w:cs="David"/>
          <w:sz w:val="24"/>
          <w:szCs w:val="24"/>
        </w:rPr>
        <w:t xml:space="preserve"> circulate</w:t>
      </w:r>
      <w:r w:rsidR="00AD36A6">
        <w:rPr>
          <w:rFonts w:ascii="Times New Roman" w:hAnsi="Times New Roman" w:cs="David"/>
          <w:sz w:val="24"/>
          <w:szCs w:val="24"/>
        </w:rPr>
        <w:t>s</w:t>
      </w:r>
      <w:r w:rsidRPr="0089604C">
        <w:rPr>
          <w:rFonts w:ascii="Times New Roman" w:hAnsi="Times New Roman" w:cs="David"/>
          <w:sz w:val="24"/>
          <w:szCs w:val="24"/>
        </w:rPr>
        <w:t xml:space="preserve"> in Israel and how much circulate in the </w:t>
      </w:r>
      <w:r w:rsidR="00A24E7D">
        <w:rPr>
          <w:rFonts w:ascii="Times New Roman" w:hAnsi="Times New Roman" w:cs="David"/>
          <w:sz w:val="24"/>
          <w:szCs w:val="24"/>
        </w:rPr>
        <w:t>WBG</w:t>
      </w:r>
      <w:r w:rsidRPr="0089604C">
        <w:rPr>
          <w:rFonts w:ascii="Times New Roman" w:hAnsi="Times New Roman" w:cs="David"/>
          <w:sz w:val="24"/>
          <w:szCs w:val="24"/>
        </w:rPr>
        <w:t>.</w:t>
      </w:r>
      <w:r>
        <w:rPr>
          <w:rFonts w:ascii="Times New Roman" w:hAnsi="Times New Roman" w:cs="David"/>
          <w:sz w:val="24"/>
          <w:szCs w:val="24"/>
        </w:rPr>
        <w:t xml:space="preserve"> This question is very important for policy makers, </w:t>
      </w:r>
      <w:r w:rsidR="00876BBB">
        <w:rPr>
          <w:rFonts w:ascii="Times New Roman" w:hAnsi="Times New Roman" w:cs="David"/>
          <w:sz w:val="24"/>
          <w:szCs w:val="24"/>
        </w:rPr>
        <w:t>anti-money</w:t>
      </w:r>
      <w:r>
        <w:rPr>
          <w:rFonts w:ascii="Times New Roman" w:hAnsi="Times New Roman" w:cs="David"/>
          <w:sz w:val="24"/>
          <w:szCs w:val="24"/>
        </w:rPr>
        <w:t xml:space="preserve"> laundering authorities and for financial inclusion strategies.</w:t>
      </w:r>
    </w:p>
    <w:p w14:paraId="2A17E6A6" w14:textId="7757F737" w:rsidR="00863081" w:rsidRDefault="00863081" w:rsidP="007F1AB2">
      <w:pPr>
        <w:pStyle w:val="ListParagraph"/>
        <w:autoSpaceDE w:val="0"/>
        <w:autoSpaceDN w:val="0"/>
        <w:bidi w:val="0"/>
        <w:adjustRightInd w:val="0"/>
        <w:spacing w:line="480" w:lineRule="auto"/>
        <w:ind w:left="851"/>
        <w:jc w:val="both"/>
        <w:rPr>
          <w:rFonts w:ascii="Times New Roman" w:hAnsi="Times New Roman" w:cs="David"/>
          <w:sz w:val="24"/>
          <w:szCs w:val="24"/>
        </w:rPr>
      </w:pPr>
      <w:r>
        <w:rPr>
          <w:rFonts w:ascii="Times New Roman" w:hAnsi="Times New Roman" w:cs="David"/>
          <w:sz w:val="24"/>
          <w:szCs w:val="24"/>
        </w:rPr>
        <w:t xml:space="preserve">Although part of that circulation is related to </w:t>
      </w:r>
      <w:r w:rsidR="00A111C5">
        <w:rPr>
          <w:rFonts w:ascii="Times New Roman" w:hAnsi="Times New Roman" w:cs="David"/>
          <w:sz w:val="24"/>
          <w:szCs w:val="24"/>
        </w:rPr>
        <w:t>illegitimate</w:t>
      </w:r>
      <w:r>
        <w:rPr>
          <w:rFonts w:ascii="Times New Roman" w:hAnsi="Times New Roman" w:cs="David"/>
          <w:sz w:val="24"/>
          <w:szCs w:val="24"/>
        </w:rPr>
        <w:t xml:space="preserve"> activities (such as tax evasion) most of it related to real economic activity (trade and employment) and should </w:t>
      </w:r>
      <w:r w:rsidR="00E2142F">
        <w:rPr>
          <w:rFonts w:ascii="Times New Roman" w:hAnsi="Times New Roman" w:cs="David"/>
          <w:sz w:val="24"/>
          <w:szCs w:val="24"/>
        </w:rPr>
        <w:t>indicate</w:t>
      </w:r>
      <w:r w:rsidR="00E2142F">
        <w:rPr>
          <w:rFonts w:ascii="Times New Roman" w:hAnsi="Times New Roman" w:cs="David"/>
          <w:sz w:val="24"/>
          <w:szCs w:val="24"/>
        </w:rPr>
        <w:tab/>
        <w:t>a</w:t>
      </w:r>
      <w:r>
        <w:rPr>
          <w:rFonts w:ascii="Times New Roman" w:hAnsi="Times New Roman" w:cs="David"/>
          <w:sz w:val="24"/>
          <w:szCs w:val="24"/>
        </w:rPr>
        <w:t xml:space="preserve"> level of economic integration.</w:t>
      </w:r>
    </w:p>
    <w:p w14:paraId="5842FB2C" w14:textId="7B62C77D" w:rsidR="00863081" w:rsidRPr="00536CCD" w:rsidRDefault="00536CCD" w:rsidP="00536CCD">
      <w:pPr>
        <w:pStyle w:val="ListParagraph"/>
        <w:autoSpaceDE w:val="0"/>
        <w:autoSpaceDN w:val="0"/>
        <w:bidi w:val="0"/>
        <w:adjustRightInd w:val="0"/>
        <w:spacing w:line="360" w:lineRule="auto"/>
        <w:ind w:left="851"/>
        <w:rPr>
          <w:rFonts w:ascii="Times New Roman" w:hAnsi="Times New Roman" w:cs="David"/>
          <w:b/>
          <w:bCs/>
          <w:sz w:val="24"/>
          <w:szCs w:val="24"/>
        </w:rPr>
      </w:pPr>
      <w:r>
        <w:rPr>
          <w:rFonts w:ascii="Times New Roman" w:hAnsi="Times New Roman" w:cs="David"/>
          <w:b/>
          <w:bCs/>
          <w:sz w:val="24"/>
          <w:szCs w:val="24"/>
        </w:rPr>
        <w:t>Possible</w:t>
      </w:r>
      <w:r w:rsidR="006872F4">
        <w:rPr>
          <w:rFonts w:ascii="Times New Roman" w:hAnsi="Times New Roman" w:cs="David"/>
          <w:b/>
          <w:bCs/>
          <w:sz w:val="24"/>
          <w:szCs w:val="24"/>
        </w:rPr>
        <w:t xml:space="preserve"> </w:t>
      </w:r>
      <w:r>
        <w:rPr>
          <w:rFonts w:ascii="Times New Roman" w:hAnsi="Times New Roman" w:cs="David"/>
          <w:b/>
          <w:bCs/>
          <w:sz w:val="24"/>
          <w:szCs w:val="24"/>
        </w:rPr>
        <w:t>methodologie</w:t>
      </w:r>
      <w:r w:rsidR="003202BB">
        <w:rPr>
          <w:rFonts w:ascii="Times New Roman" w:hAnsi="Times New Roman" w:cs="David"/>
          <w:b/>
          <w:bCs/>
          <w:sz w:val="24"/>
          <w:szCs w:val="24"/>
        </w:rPr>
        <w:t>s - d</w:t>
      </w:r>
      <w:r w:rsidR="00863081" w:rsidRPr="00536CCD">
        <w:rPr>
          <w:rFonts w:ascii="Times New Roman" w:hAnsi="Times New Roman" w:cs="David"/>
          <w:b/>
          <w:bCs/>
          <w:sz w:val="24"/>
          <w:szCs w:val="24"/>
        </w:rPr>
        <w:t>irect methods and indirect methods</w:t>
      </w:r>
    </w:p>
    <w:p w14:paraId="1CAA9CA1" w14:textId="3FE05585" w:rsidR="00863081" w:rsidRDefault="00863081" w:rsidP="00863081">
      <w:pPr>
        <w:bidi w:val="0"/>
        <w:spacing w:line="480" w:lineRule="auto"/>
        <w:ind w:left="851"/>
        <w:jc w:val="both"/>
        <w:rPr>
          <w:rFonts w:ascii="Times New Roman" w:hAnsi="Times New Roman" w:cs="David"/>
          <w:sz w:val="24"/>
          <w:szCs w:val="24"/>
        </w:rPr>
      </w:pPr>
      <w:r w:rsidRPr="006A2989">
        <w:rPr>
          <w:rFonts w:ascii="Times New Roman" w:hAnsi="Times New Roman" w:cs="David"/>
          <w:sz w:val="24"/>
          <w:szCs w:val="24"/>
        </w:rPr>
        <w:t xml:space="preserve">Wazir, </w:t>
      </w:r>
      <w:proofErr w:type="spellStart"/>
      <w:r w:rsidRPr="006A2989">
        <w:rPr>
          <w:rFonts w:ascii="Times New Roman" w:hAnsi="Times New Roman" w:cs="David"/>
          <w:sz w:val="24"/>
          <w:szCs w:val="24"/>
        </w:rPr>
        <w:t>Atallah</w:t>
      </w:r>
      <w:proofErr w:type="spellEnd"/>
      <w:r w:rsidRPr="006A2989">
        <w:rPr>
          <w:rFonts w:ascii="Times New Roman" w:hAnsi="Times New Roman" w:cs="David"/>
          <w:sz w:val="24"/>
          <w:szCs w:val="24"/>
        </w:rPr>
        <w:t xml:space="preserve"> and </w:t>
      </w:r>
      <w:proofErr w:type="spellStart"/>
      <w:r w:rsidRPr="006A2989">
        <w:rPr>
          <w:rFonts w:ascii="Times New Roman" w:hAnsi="Times New Roman" w:cs="David"/>
          <w:sz w:val="24"/>
          <w:szCs w:val="24"/>
        </w:rPr>
        <w:t>Sarsour</w:t>
      </w:r>
      <w:proofErr w:type="spellEnd"/>
      <w:r w:rsidRPr="006A2989">
        <w:rPr>
          <w:rFonts w:ascii="Times New Roman" w:hAnsi="Times New Roman" w:cs="David"/>
          <w:sz w:val="24"/>
          <w:szCs w:val="24"/>
        </w:rPr>
        <w:t xml:space="preserve"> (2011) considered</w:t>
      </w:r>
      <w:r>
        <w:rPr>
          <w:rFonts w:ascii="Times New Roman" w:hAnsi="Times New Roman" w:cs="David"/>
          <w:sz w:val="24"/>
          <w:szCs w:val="24"/>
        </w:rPr>
        <w:t xml:space="preserve"> the problems in estimating the money supply in the </w:t>
      </w:r>
      <w:r w:rsidR="00441499">
        <w:rPr>
          <w:rFonts w:ascii="Times New Roman" w:hAnsi="Times New Roman" w:cs="David"/>
          <w:sz w:val="24"/>
          <w:szCs w:val="24"/>
        </w:rPr>
        <w:t>WBG</w:t>
      </w:r>
      <w:r>
        <w:rPr>
          <w:rFonts w:ascii="Times New Roman" w:hAnsi="Times New Roman" w:cs="David"/>
          <w:sz w:val="24"/>
          <w:szCs w:val="24"/>
        </w:rPr>
        <w:t xml:space="preserve">, which is a complex matter because of the absence of a national currency, the regular use of 3 currencies (JD, USD and NIS) and the unavailability of data on currency in circulation in the </w:t>
      </w:r>
      <w:r w:rsidR="00441499">
        <w:rPr>
          <w:rFonts w:ascii="Times New Roman" w:hAnsi="Times New Roman" w:cs="David"/>
          <w:sz w:val="24"/>
          <w:szCs w:val="24"/>
        </w:rPr>
        <w:t>WBG</w:t>
      </w:r>
      <w:r>
        <w:rPr>
          <w:rFonts w:ascii="Times New Roman" w:hAnsi="Times New Roman" w:cs="David"/>
          <w:sz w:val="24"/>
          <w:szCs w:val="24"/>
        </w:rPr>
        <w:t>. They discussed a method for determining the amount of a Palestinian national currency to be issued, if and when that occurs, using 3 indicative ratios</w:t>
      </w:r>
      <w:r w:rsidRPr="00634669">
        <w:rPr>
          <w:rFonts w:ascii="Times New Roman" w:hAnsi="Times New Roman" w:cs="David"/>
          <w:sz w:val="24"/>
          <w:szCs w:val="24"/>
        </w:rPr>
        <w:t xml:space="preserve"> </w:t>
      </w:r>
      <w:r>
        <w:rPr>
          <w:rFonts w:ascii="Times New Roman" w:hAnsi="Times New Roman" w:cs="David"/>
          <w:sz w:val="24"/>
          <w:szCs w:val="24"/>
        </w:rPr>
        <w:t xml:space="preserve">from Jordan and Israel (cash in circulation to GDP, cash in circulation to bank deposits, and GDP to money supply) to estimate the money supply in the </w:t>
      </w:r>
      <w:r w:rsidR="00210932">
        <w:rPr>
          <w:rFonts w:ascii="Times New Roman" w:hAnsi="Times New Roman" w:cs="David"/>
          <w:sz w:val="24"/>
          <w:szCs w:val="24"/>
        </w:rPr>
        <w:t>WBG</w:t>
      </w:r>
      <w:r>
        <w:rPr>
          <w:rFonts w:ascii="Times New Roman" w:hAnsi="Times New Roman" w:cs="David"/>
          <w:sz w:val="24"/>
          <w:szCs w:val="24"/>
        </w:rPr>
        <w:t>. In each case they assume</w:t>
      </w:r>
      <w:r w:rsidR="005D5D8D">
        <w:rPr>
          <w:rFonts w:ascii="Times New Roman" w:hAnsi="Times New Roman" w:cs="David"/>
          <w:sz w:val="24"/>
          <w:szCs w:val="24"/>
        </w:rPr>
        <w:t>d</w:t>
      </w:r>
      <w:r>
        <w:rPr>
          <w:rFonts w:ascii="Times New Roman" w:hAnsi="Times New Roman" w:cs="David"/>
          <w:sz w:val="24"/>
          <w:szCs w:val="24"/>
        </w:rPr>
        <w:t xml:space="preserve"> that the same ratio holds in the </w:t>
      </w:r>
      <w:r w:rsidR="00210932">
        <w:rPr>
          <w:rFonts w:ascii="Times New Roman" w:hAnsi="Times New Roman" w:cs="David"/>
          <w:sz w:val="24"/>
          <w:szCs w:val="24"/>
        </w:rPr>
        <w:t>WBG</w:t>
      </w:r>
      <w:r>
        <w:rPr>
          <w:rFonts w:ascii="Times New Roman" w:hAnsi="Times New Roman" w:cs="David"/>
          <w:sz w:val="24"/>
          <w:szCs w:val="24"/>
        </w:rPr>
        <w:t xml:space="preserve"> and appl</w:t>
      </w:r>
      <w:r w:rsidR="00FD3495">
        <w:rPr>
          <w:rFonts w:ascii="Times New Roman" w:hAnsi="Times New Roman" w:cs="David"/>
          <w:sz w:val="24"/>
          <w:szCs w:val="24"/>
        </w:rPr>
        <w:t>ied</w:t>
      </w:r>
      <w:r>
        <w:rPr>
          <w:rFonts w:ascii="Times New Roman" w:hAnsi="Times New Roman" w:cs="David"/>
          <w:sz w:val="24"/>
          <w:szCs w:val="24"/>
        </w:rPr>
        <w:t xml:space="preserve"> it to the known total of bank deposits and nominal GDP. </w:t>
      </w:r>
      <w:r w:rsidRPr="00897636">
        <w:rPr>
          <w:rFonts w:ascii="Times New Roman" w:hAnsi="Times New Roman" w:cs="David"/>
          <w:sz w:val="24"/>
          <w:szCs w:val="24"/>
        </w:rPr>
        <w:t xml:space="preserve">The results derived from </w:t>
      </w:r>
      <w:r>
        <w:rPr>
          <w:rFonts w:ascii="Times New Roman" w:hAnsi="Times New Roman" w:cs="David"/>
          <w:sz w:val="24"/>
          <w:szCs w:val="24"/>
        </w:rPr>
        <w:t>the cash in circulation and GDP to money supply</w:t>
      </w:r>
      <w:r w:rsidRPr="00897636">
        <w:rPr>
          <w:rFonts w:ascii="Times New Roman" w:hAnsi="Times New Roman" w:cs="David"/>
          <w:sz w:val="24"/>
          <w:szCs w:val="24"/>
        </w:rPr>
        <w:t xml:space="preserve"> produce</w:t>
      </w:r>
      <w:r w:rsidR="00C14025">
        <w:rPr>
          <w:rFonts w:ascii="Times New Roman" w:hAnsi="Times New Roman" w:cs="David"/>
          <w:sz w:val="24"/>
          <w:szCs w:val="24"/>
        </w:rPr>
        <w:t>d</w:t>
      </w:r>
      <w:r>
        <w:rPr>
          <w:rFonts w:ascii="Times New Roman" w:hAnsi="Times New Roman" w:cs="David"/>
          <w:sz w:val="24"/>
          <w:szCs w:val="24"/>
        </w:rPr>
        <w:t xml:space="preserve"> poor results</w:t>
      </w:r>
      <w:r w:rsidRPr="00897636">
        <w:rPr>
          <w:rFonts w:ascii="Times New Roman" w:hAnsi="Times New Roman" w:cs="David"/>
          <w:sz w:val="24"/>
          <w:szCs w:val="24"/>
        </w:rPr>
        <w:t xml:space="preserve"> that are inconsistent with the Palestinian reality</w:t>
      </w:r>
      <w:r>
        <w:rPr>
          <w:rFonts w:ascii="Times New Roman" w:hAnsi="Times New Roman" w:cs="David"/>
          <w:sz w:val="24"/>
          <w:szCs w:val="24"/>
        </w:rPr>
        <w:t>.</w:t>
      </w:r>
      <w:r w:rsidRPr="00897636">
        <w:rPr>
          <w:rFonts w:ascii="Times New Roman" w:hAnsi="Times New Roman" w:cs="David"/>
          <w:sz w:val="24"/>
          <w:szCs w:val="24"/>
        </w:rPr>
        <w:t xml:space="preserve"> On the other hand, the cash to demand deposit ratios predict broadly similar amounts of cash in both cases. </w:t>
      </w:r>
    </w:p>
    <w:p w14:paraId="58479791" w14:textId="77777777" w:rsidR="00863081" w:rsidRDefault="00C27BF5" w:rsidP="00863081">
      <w:pPr>
        <w:bidi w:val="0"/>
        <w:spacing w:line="480" w:lineRule="auto"/>
        <w:ind w:left="851"/>
        <w:jc w:val="both"/>
        <w:rPr>
          <w:rFonts w:ascii="Times New Roman" w:hAnsi="Times New Roman" w:cs="David"/>
          <w:sz w:val="24"/>
          <w:szCs w:val="24"/>
        </w:rPr>
      </w:pPr>
      <m:oMathPara>
        <m:oMath>
          <m:f>
            <m:fPr>
              <m:ctrlPr>
                <w:rPr>
                  <w:rFonts w:ascii="Cambria Math" w:hAnsi="Cambria Math" w:cs="David"/>
                  <w:i/>
                  <w:sz w:val="24"/>
                  <w:szCs w:val="24"/>
                </w:rPr>
              </m:ctrlPr>
            </m:fPr>
            <m:num>
              <m:r>
                <w:rPr>
                  <w:rFonts w:ascii="Cambria Math" w:hAnsi="Cambria Math" w:cs="David"/>
                  <w:sz w:val="24"/>
                  <w:szCs w:val="24"/>
                </w:rPr>
                <m:t>CC</m:t>
              </m:r>
            </m:num>
            <m:den>
              <m:r>
                <w:rPr>
                  <w:rFonts w:ascii="Cambria Math" w:hAnsi="Cambria Math" w:cs="David"/>
                  <w:sz w:val="24"/>
                  <w:szCs w:val="24"/>
                </w:rPr>
                <m:t>DD</m:t>
              </m:r>
            </m:den>
          </m:f>
          <m:r>
            <w:rPr>
              <w:rFonts w:ascii="Cambria Math" w:hAnsi="Cambria Math" w:cs="David"/>
              <w:sz w:val="24"/>
              <w:szCs w:val="24"/>
            </w:rPr>
            <m:t xml:space="preserve">* </m:t>
          </m:r>
          <m:sSub>
            <m:sSubPr>
              <m:ctrlPr>
                <w:rPr>
                  <w:rFonts w:ascii="Cambria Math" w:hAnsi="Cambria Math" w:cs="David"/>
                  <w:i/>
                  <w:sz w:val="24"/>
                  <w:szCs w:val="24"/>
                </w:rPr>
              </m:ctrlPr>
            </m:sSubPr>
            <m:e>
              <m:r>
                <w:rPr>
                  <w:rFonts w:ascii="Cambria Math" w:hAnsi="Cambria Math" w:cs="David"/>
                  <w:sz w:val="24"/>
                  <w:szCs w:val="24"/>
                </w:rPr>
                <m:t>DD</m:t>
              </m:r>
            </m:e>
            <m:sub>
              <m:r>
                <w:rPr>
                  <w:rFonts w:ascii="Cambria Math" w:hAnsi="Cambria Math" w:cs="David"/>
                  <w:sz w:val="24"/>
                  <w:szCs w:val="24"/>
                </w:rPr>
                <m:t>pal</m:t>
              </m:r>
            </m:sub>
          </m:sSub>
          <m:r>
            <w:rPr>
              <w:rFonts w:ascii="Cambria Math" w:hAnsi="Cambria Math" w:cs="David"/>
              <w:sz w:val="24"/>
              <w:szCs w:val="24"/>
            </w:rPr>
            <m:t xml:space="preserve">= </m:t>
          </m:r>
          <m:sSub>
            <m:sSubPr>
              <m:ctrlPr>
                <w:rPr>
                  <w:rFonts w:ascii="Cambria Math" w:hAnsi="Cambria Math" w:cs="David"/>
                  <w:i/>
                  <w:sz w:val="24"/>
                  <w:szCs w:val="24"/>
                </w:rPr>
              </m:ctrlPr>
            </m:sSubPr>
            <m:e>
              <m:r>
                <w:rPr>
                  <w:rFonts w:ascii="Cambria Math" w:hAnsi="Cambria Math" w:cs="David"/>
                  <w:sz w:val="24"/>
                  <w:szCs w:val="24"/>
                </w:rPr>
                <m:t>CC</m:t>
              </m:r>
            </m:e>
            <m:sub>
              <m:r>
                <w:rPr>
                  <w:rFonts w:ascii="Cambria Math" w:hAnsi="Cambria Math" w:cs="David"/>
                  <w:sz w:val="24"/>
                  <w:szCs w:val="24"/>
                </w:rPr>
                <m:t>pal</m:t>
              </m:r>
            </m:sub>
          </m:sSub>
        </m:oMath>
      </m:oMathPara>
    </w:p>
    <w:p w14:paraId="4D8E6FAA" w14:textId="77777777" w:rsidR="00863081" w:rsidRDefault="00863081" w:rsidP="00863081">
      <w:pPr>
        <w:bidi w:val="0"/>
        <w:spacing w:line="480" w:lineRule="auto"/>
        <w:ind w:left="851"/>
        <w:jc w:val="both"/>
        <w:rPr>
          <w:rFonts w:ascii="Times New Roman" w:hAnsi="Times New Roman" w:cs="David"/>
          <w:sz w:val="24"/>
          <w:szCs w:val="24"/>
        </w:rPr>
      </w:pPr>
      <w:r>
        <w:rPr>
          <w:rFonts w:ascii="Times New Roman" w:hAnsi="Times New Roman" w:cs="David"/>
          <w:sz w:val="24"/>
          <w:szCs w:val="24"/>
        </w:rPr>
        <w:t>Where,</w:t>
      </w:r>
    </w:p>
    <w:p w14:paraId="6C5EAC5D" w14:textId="2E686EF4" w:rsidR="00863081" w:rsidRDefault="00C27BF5" w:rsidP="00863081">
      <w:pPr>
        <w:bidi w:val="0"/>
        <w:spacing w:line="480" w:lineRule="auto"/>
        <w:ind w:left="851"/>
        <w:jc w:val="both"/>
        <w:rPr>
          <w:rFonts w:ascii="Times New Roman" w:hAnsi="Times New Roman" w:cs="David"/>
          <w:sz w:val="24"/>
          <w:szCs w:val="24"/>
        </w:rPr>
      </w:pPr>
      <m:oMath>
        <m:sSub>
          <m:sSubPr>
            <m:ctrlPr>
              <w:rPr>
                <w:rFonts w:ascii="Cambria Math" w:hAnsi="Cambria Math" w:cs="David"/>
                <w:i/>
                <w:sz w:val="24"/>
                <w:szCs w:val="24"/>
              </w:rPr>
            </m:ctrlPr>
          </m:sSubPr>
          <m:e>
            <m:r>
              <w:rPr>
                <w:rFonts w:ascii="Cambria Math" w:hAnsi="Cambria Math" w:cs="David"/>
                <w:sz w:val="24"/>
                <w:szCs w:val="24"/>
              </w:rPr>
              <m:t>CC</m:t>
            </m:r>
          </m:e>
          <m:sub>
            <m:r>
              <w:rPr>
                <w:rFonts w:ascii="Cambria Math" w:hAnsi="Cambria Math" w:cs="David"/>
                <w:sz w:val="24"/>
                <w:szCs w:val="24"/>
              </w:rPr>
              <m:t>pal</m:t>
            </m:r>
          </m:sub>
        </m:sSub>
      </m:oMath>
      <w:r w:rsidR="00863081">
        <w:rPr>
          <w:rFonts w:ascii="Times New Roman" w:hAnsi="Times New Roman" w:cs="David"/>
          <w:sz w:val="24"/>
          <w:szCs w:val="24"/>
        </w:rPr>
        <w:t xml:space="preserve"> </w:t>
      </w:r>
      <w:r w:rsidR="00863081" w:rsidRPr="004D674F">
        <w:rPr>
          <w:rFonts w:ascii="Times New Roman" w:hAnsi="Times New Roman" w:cs="David"/>
          <w:sz w:val="24"/>
          <w:szCs w:val="24"/>
        </w:rPr>
        <w:t xml:space="preserve">= cash in circulation in </w:t>
      </w:r>
      <w:r w:rsidR="00065A6D">
        <w:rPr>
          <w:rFonts w:ascii="Times New Roman" w:hAnsi="Times New Roman" w:cs="David"/>
          <w:sz w:val="24"/>
          <w:szCs w:val="24"/>
        </w:rPr>
        <w:t>WBG</w:t>
      </w:r>
      <w:r w:rsidR="00863081" w:rsidRPr="004D674F">
        <w:rPr>
          <w:rFonts w:ascii="Times New Roman" w:hAnsi="Times New Roman" w:cs="David"/>
          <w:sz w:val="24"/>
          <w:szCs w:val="24"/>
        </w:rPr>
        <w:t xml:space="preserve"> outside the banking system</w:t>
      </w:r>
      <w:r w:rsidR="00863081">
        <w:rPr>
          <w:rFonts w:ascii="Times New Roman" w:hAnsi="Times New Roman" w:cs="David"/>
          <w:sz w:val="24"/>
          <w:szCs w:val="24"/>
        </w:rPr>
        <w:t>.</w:t>
      </w:r>
    </w:p>
    <w:p w14:paraId="0707634D" w14:textId="0216DBDE" w:rsidR="00863081" w:rsidRDefault="00C27BF5" w:rsidP="00863081">
      <w:pPr>
        <w:bidi w:val="0"/>
        <w:spacing w:line="480" w:lineRule="auto"/>
        <w:ind w:left="851"/>
        <w:jc w:val="both"/>
        <w:rPr>
          <w:rFonts w:ascii="Times New Roman" w:hAnsi="Times New Roman" w:cs="David"/>
          <w:sz w:val="24"/>
          <w:szCs w:val="24"/>
        </w:rPr>
      </w:pPr>
      <m:oMath>
        <m:sSub>
          <m:sSubPr>
            <m:ctrlPr>
              <w:rPr>
                <w:rFonts w:ascii="Cambria Math" w:hAnsi="Cambria Math" w:cs="David"/>
                <w:i/>
                <w:sz w:val="24"/>
                <w:szCs w:val="24"/>
              </w:rPr>
            </m:ctrlPr>
          </m:sSubPr>
          <m:e>
            <m:r>
              <w:rPr>
                <w:rFonts w:ascii="Cambria Math" w:hAnsi="Cambria Math" w:cs="David"/>
                <w:sz w:val="24"/>
                <w:szCs w:val="24"/>
              </w:rPr>
              <m:t>DD</m:t>
            </m:r>
          </m:e>
          <m:sub>
            <m:r>
              <w:rPr>
                <w:rFonts w:ascii="Cambria Math" w:hAnsi="Cambria Math" w:cs="David"/>
                <w:sz w:val="24"/>
                <w:szCs w:val="24"/>
              </w:rPr>
              <m:t>pal</m:t>
            </m:r>
          </m:sub>
        </m:sSub>
      </m:oMath>
      <w:r w:rsidR="00863081">
        <w:rPr>
          <w:rFonts w:ascii="Times New Roman" w:hAnsi="Times New Roman" w:cs="David"/>
          <w:sz w:val="24"/>
          <w:szCs w:val="24"/>
        </w:rPr>
        <w:t xml:space="preserve"> </w:t>
      </w:r>
      <w:r w:rsidR="00863081" w:rsidRPr="004D674F">
        <w:rPr>
          <w:rFonts w:ascii="Times New Roman" w:hAnsi="Times New Roman" w:cs="David"/>
          <w:sz w:val="24"/>
          <w:szCs w:val="24"/>
        </w:rPr>
        <w:t xml:space="preserve">= demand deposits in </w:t>
      </w:r>
      <w:r w:rsidR="00065A6D">
        <w:rPr>
          <w:rFonts w:ascii="Times New Roman" w:hAnsi="Times New Roman" w:cs="David"/>
          <w:sz w:val="24"/>
          <w:szCs w:val="24"/>
        </w:rPr>
        <w:t>WBG</w:t>
      </w:r>
      <w:r w:rsidR="00863081" w:rsidRPr="004D674F">
        <w:rPr>
          <w:rFonts w:ascii="Times New Roman" w:hAnsi="Times New Roman" w:cs="David"/>
          <w:sz w:val="24"/>
          <w:szCs w:val="24"/>
        </w:rPr>
        <w:t xml:space="preserve"> in all currencies</w:t>
      </w:r>
      <w:r w:rsidR="00863081">
        <w:rPr>
          <w:rFonts w:ascii="Times New Roman" w:hAnsi="Times New Roman" w:cs="David"/>
          <w:sz w:val="24"/>
          <w:szCs w:val="24"/>
        </w:rPr>
        <w:t>.</w:t>
      </w:r>
    </w:p>
    <w:p w14:paraId="417929A9" w14:textId="77777777" w:rsidR="00863081" w:rsidRDefault="00863081" w:rsidP="00863081">
      <w:pPr>
        <w:bidi w:val="0"/>
        <w:spacing w:line="480" w:lineRule="auto"/>
        <w:ind w:left="851"/>
        <w:jc w:val="both"/>
        <w:rPr>
          <w:rFonts w:ascii="Times New Roman" w:hAnsi="Times New Roman" w:cs="David"/>
          <w:sz w:val="24"/>
          <w:szCs w:val="24"/>
        </w:rPr>
      </w:pPr>
      <w:r w:rsidRPr="004D674F">
        <w:rPr>
          <w:rFonts w:ascii="Times New Roman" w:hAnsi="Times New Roman" w:cs="David"/>
          <w:sz w:val="24"/>
          <w:szCs w:val="24"/>
        </w:rPr>
        <w:t xml:space="preserve">CC/DD = ratio of cash in circulation to demand deposits in Jordan </w:t>
      </w:r>
      <w:r>
        <w:rPr>
          <w:rFonts w:ascii="Times New Roman" w:hAnsi="Times New Roman" w:cs="David"/>
          <w:sz w:val="24"/>
          <w:szCs w:val="24"/>
        </w:rPr>
        <w:t xml:space="preserve">or </w:t>
      </w:r>
      <w:r w:rsidRPr="004D674F">
        <w:rPr>
          <w:rFonts w:ascii="Times New Roman" w:hAnsi="Times New Roman" w:cs="David"/>
          <w:sz w:val="24"/>
          <w:szCs w:val="24"/>
        </w:rPr>
        <w:t>Israel</w:t>
      </w:r>
      <w:r>
        <w:rPr>
          <w:rStyle w:val="FootnoteReference"/>
          <w:rFonts w:ascii="Times New Roman" w:hAnsi="Times New Roman" w:cs="David"/>
          <w:sz w:val="24"/>
          <w:szCs w:val="24"/>
        </w:rPr>
        <w:footnoteReference w:id="42"/>
      </w:r>
      <w:r>
        <w:rPr>
          <w:rFonts w:ascii="Times New Roman" w:hAnsi="Times New Roman" w:cs="David"/>
          <w:sz w:val="24"/>
          <w:szCs w:val="24"/>
        </w:rPr>
        <w:t>.</w:t>
      </w:r>
      <w:r w:rsidRPr="004D674F">
        <w:rPr>
          <w:rFonts w:ascii="Times New Roman" w:hAnsi="Times New Roman" w:cs="David"/>
          <w:sz w:val="24"/>
          <w:szCs w:val="24"/>
        </w:rPr>
        <w:t xml:space="preserve"> </w:t>
      </w:r>
    </w:p>
    <w:p w14:paraId="60400412" w14:textId="1701F69C" w:rsidR="00863081" w:rsidRDefault="00863081" w:rsidP="00863081">
      <w:pPr>
        <w:bidi w:val="0"/>
        <w:spacing w:line="480" w:lineRule="auto"/>
        <w:ind w:left="851"/>
        <w:jc w:val="both"/>
        <w:rPr>
          <w:rFonts w:ascii="Times New Roman" w:hAnsi="Times New Roman" w:cs="David"/>
          <w:sz w:val="24"/>
          <w:szCs w:val="24"/>
        </w:rPr>
      </w:pPr>
      <w:r>
        <w:rPr>
          <w:rFonts w:ascii="Times New Roman" w:hAnsi="Times New Roman" w:cs="David"/>
          <w:sz w:val="24"/>
          <w:szCs w:val="24"/>
        </w:rPr>
        <w:t>Below we can find the results of their exercise</w:t>
      </w:r>
      <w:r w:rsidR="005056B1">
        <w:rPr>
          <w:rFonts w:ascii="Times New Roman" w:hAnsi="Times New Roman" w:cs="David"/>
          <w:sz w:val="24"/>
          <w:szCs w:val="24"/>
        </w:rPr>
        <w:t xml:space="preserve">, </w:t>
      </w:r>
      <w:r w:rsidR="009A3146">
        <w:rPr>
          <w:rFonts w:ascii="Times New Roman" w:hAnsi="Times New Roman" w:cs="David"/>
          <w:sz w:val="24"/>
          <w:szCs w:val="24"/>
        </w:rPr>
        <w:t xml:space="preserve">in addition to </w:t>
      </w:r>
      <w:r>
        <w:rPr>
          <w:rFonts w:ascii="Times New Roman" w:hAnsi="Times New Roman" w:cs="David"/>
          <w:sz w:val="24"/>
          <w:szCs w:val="24"/>
        </w:rPr>
        <w:t>the average results of cash in circulation to GDP ratio</w:t>
      </w:r>
      <w:r w:rsidR="00054756">
        <w:rPr>
          <w:rFonts w:ascii="Times New Roman" w:hAnsi="Times New Roman" w:cs="David"/>
          <w:sz w:val="24"/>
          <w:szCs w:val="24"/>
        </w:rPr>
        <w:t>.</w:t>
      </w:r>
    </w:p>
    <w:p w14:paraId="3E2F36E4" w14:textId="77777777" w:rsidR="007F1AB2" w:rsidRDefault="007F1AB2" w:rsidP="00863081">
      <w:pPr>
        <w:bidi w:val="0"/>
        <w:spacing w:line="360" w:lineRule="auto"/>
        <w:ind w:left="851"/>
        <w:jc w:val="center"/>
        <w:rPr>
          <w:rFonts w:ascii="Times New Roman" w:hAnsi="Times New Roman" w:cs="David"/>
          <w:b/>
          <w:bCs/>
          <w:sz w:val="24"/>
          <w:szCs w:val="24"/>
        </w:rPr>
      </w:pPr>
    </w:p>
    <w:p w14:paraId="6B94A4E1" w14:textId="77777777" w:rsidR="007F1AB2" w:rsidRDefault="007F1AB2" w:rsidP="007F1AB2">
      <w:pPr>
        <w:bidi w:val="0"/>
        <w:spacing w:line="360" w:lineRule="auto"/>
        <w:ind w:left="851"/>
        <w:jc w:val="center"/>
        <w:rPr>
          <w:rFonts w:ascii="Times New Roman" w:hAnsi="Times New Roman" w:cs="David"/>
          <w:b/>
          <w:bCs/>
          <w:sz w:val="24"/>
          <w:szCs w:val="24"/>
        </w:rPr>
      </w:pPr>
    </w:p>
    <w:p w14:paraId="7A1F39AD" w14:textId="77777777" w:rsidR="007F1AB2" w:rsidRDefault="007F1AB2" w:rsidP="007F1AB2">
      <w:pPr>
        <w:bidi w:val="0"/>
        <w:spacing w:line="360" w:lineRule="auto"/>
        <w:ind w:left="851"/>
        <w:jc w:val="center"/>
        <w:rPr>
          <w:rFonts w:ascii="Times New Roman" w:hAnsi="Times New Roman" w:cs="David"/>
          <w:b/>
          <w:bCs/>
          <w:sz w:val="24"/>
          <w:szCs w:val="24"/>
        </w:rPr>
      </w:pPr>
    </w:p>
    <w:p w14:paraId="33CED781" w14:textId="77777777" w:rsidR="007F1AB2" w:rsidRDefault="007F1AB2" w:rsidP="007F1AB2">
      <w:pPr>
        <w:bidi w:val="0"/>
        <w:spacing w:line="360" w:lineRule="auto"/>
        <w:ind w:left="851"/>
        <w:jc w:val="center"/>
        <w:rPr>
          <w:rFonts w:ascii="Times New Roman" w:hAnsi="Times New Roman" w:cs="David"/>
          <w:b/>
          <w:bCs/>
          <w:sz w:val="24"/>
          <w:szCs w:val="24"/>
        </w:rPr>
      </w:pPr>
    </w:p>
    <w:p w14:paraId="0849EA81" w14:textId="77777777" w:rsidR="007F1AB2" w:rsidRDefault="007F1AB2" w:rsidP="007F1AB2">
      <w:pPr>
        <w:bidi w:val="0"/>
        <w:spacing w:line="360" w:lineRule="auto"/>
        <w:ind w:left="851"/>
        <w:jc w:val="center"/>
        <w:rPr>
          <w:rFonts w:ascii="Times New Roman" w:hAnsi="Times New Roman" w:cs="David"/>
          <w:b/>
          <w:bCs/>
          <w:sz w:val="24"/>
          <w:szCs w:val="24"/>
        </w:rPr>
      </w:pPr>
    </w:p>
    <w:p w14:paraId="12E911EA" w14:textId="212E4CED" w:rsidR="00863081" w:rsidRPr="00D7435C" w:rsidRDefault="00863081" w:rsidP="007F1AB2">
      <w:pPr>
        <w:bidi w:val="0"/>
        <w:spacing w:line="360" w:lineRule="auto"/>
        <w:ind w:left="851"/>
        <w:jc w:val="center"/>
        <w:rPr>
          <w:rFonts w:ascii="Times New Roman" w:hAnsi="Times New Roman" w:cs="David"/>
          <w:b/>
          <w:bCs/>
          <w:sz w:val="24"/>
          <w:szCs w:val="24"/>
        </w:rPr>
      </w:pPr>
      <w:r w:rsidRPr="00D7435C">
        <w:rPr>
          <w:rFonts w:ascii="Times New Roman" w:hAnsi="Times New Roman" w:cs="David"/>
          <w:b/>
          <w:bCs/>
          <w:sz w:val="24"/>
          <w:szCs w:val="24"/>
        </w:rPr>
        <w:t xml:space="preserve">Figure </w:t>
      </w:r>
      <w:r w:rsidR="00B27B3D">
        <w:rPr>
          <w:rFonts w:ascii="Times New Roman" w:hAnsi="Times New Roman" w:cs="David"/>
          <w:b/>
          <w:bCs/>
          <w:sz w:val="24"/>
          <w:szCs w:val="24"/>
        </w:rPr>
        <w:t>24 -</w:t>
      </w:r>
      <w:r w:rsidRPr="00D7435C">
        <w:rPr>
          <w:rFonts w:ascii="Times New Roman" w:hAnsi="Times New Roman" w:cs="David"/>
          <w:b/>
          <w:bCs/>
          <w:sz w:val="24"/>
          <w:szCs w:val="24"/>
        </w:rPr>
        <w:t xml:space="preserve"> Currency in circulation in Palestine according to cash to demand deposit ratio (million USD)</w:t>
      </w:r>
    </w:p>
    <w:p w14:paraId="1260FCA7" w14:textId="77777777" w:rsidR="00863081" w:rsidRDefault="00863081" w:rsidP="00863081">
      <w:pPr>
        <w:bidi w:val="0"/>
        <w:spacing w:line="480" w:lineRule="auto"/>
        <w:ind w:left="1440"/>
        <w:jc w:val="both"/>
        <w:rPr>
          <w:rFonts w:ascii="Times New Roman" w:hAnsi="Times New Roman" w:cs="David"/>
          <w:sz w:val="24"/>
          <w:szCs w:val="24"/>
        </w:rPr>
      </w:pPr>
      <w:r>
        <w:rPr>
          <w:noProof/>
        </w:rPr>
        <w:drawing>
          <wp:inline distT="0" distB="0" distL="0" distR="0" wp14:anchorId="10DB47B1" wp14:editId="33167D45">
            <wp:extent cx="4320000" cy="2520000"/>
            <wp:effectExtent l="0" t="0" r="4445" b="13970"/>
            <wp:docPr id="5" name="תרשים 5">
              <a:extLst xmlns:a="http://schemas.openxmlformats.org/drawingml/2006/main">
                <a:ext uri="{FF2B5EF4-FFF2-40B4-BE49-F238E27FC236}">
                  <a16:creationId xmlns:a16="http://schemas.microsoft.com/office/drawing/2014/main" id="{6A64C714-5AFB-484B-BAC1-8E9176DE0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DC94073" w14:textId="206122C0" w:rsidR="00863081" w:rsidRDefault="00EB45C2" w:rsidP="00EB45C2">
      <w:pPr>
        <w:bidi w:val="0"/>
        <w:spacing w:line="480" w:lineRule="auto"/>
        <w:jc w:val="center"/>
        <w:rPr>
          <w:rFonts w:asciiTheme="majorBidi" w:hAnsiTheme="majorBidi" w:cstheme="majorBidi"/>
          <w:sz w:val="24"/>
          <w:szCs w:val="24"/>
        </w:rPr>
      </w:pPr>
      <w:r>
        <w:rPr>
          <w:rFonts w:asciiTheme="majorBidi" w:hAnsiTheme="majorBidi" w:cstheme="majorBidi"/>
          <w:sz w:val="24"/>
          <w:szCs w:val="24"/>
        </w:rPr>
        <w:t>Source</w:t>
      </w:r>
      <w:r w:rsidR="00323933">
        <w:rPr>
          <w:rFonts w:asciiTheme="majorBidi" w:hAnsiTheme="majorBidi" w:cstheme="majorBidi"/>
          <w:sz w:val="24"/>
          <w:szCs w:val="24"/>
        </w:rPr>
        <w:t xml:space="preserve">: </w:t>
      </w:r>
      <w:r w:rsidR="00323933" w:rsidRPr="006A2989">
        <w:rPr>
          <w:rFonts w:ascii="Times New Roman" w:hAnsi="Times New Roman" w:cs="David"/>
          <w:sz w:val="24"/>
          <w:szCs w:val="24"/>
        </w:rPr>
        <w:t xml:space="preserve">Wazir, </w:t>
      </w:r>
      <w:proofErr w:type="spellStart"/>
      <w:r w:rsidR="00323933" w:rsidRPr="006A2989">
        <w:rPr>
          <w:rFonts w:ascii="Times New Roman" w:hAnsi="Times New Roman" w:cs="David"/>
          <w:sz w:val="24"/>
          <w:szCs w:val="24"/>
        </w:rPr>
        <w:t>Atallah</w:t>
      </w:r>
      <w:proofErr w:type="spellEnd"/>
      <w:r w:rsidR="00323933" w:rsidRPr="006A2989">
        <w:rPr>
          <w:rFonts w:ascii="Times New Roman" w:hAnsi="Times New Roman" w:cs="David"/>
          <w:sz w:val="24"/>
          <w:szCs w:val="24"/>
        </w:rPr>
        <w:t xml:space="preserve"> and </w:t>
      </w:r>
      <w:proofErr w:type="spellStart"/>
      <w:r w:rsidR="00323933" w:rsidRPr="006A2989">
        <w:rPr>
          <w:rFonts w:ascii="Times New Roman" w:hAnsi="Times New Roman" w:cs="David"/>
          <w:sz w:val="24"/>
          <w:szCs w:val="24"/>
        </w:rPr>
        <w:t>Sarsour</w:t>
      </w:r>
      <w:proofErr w:type="spellEnd"/>
      <w:r w:rsidR="00323933" w:rsidRPr="006A2989">
        <w:rPr>
          <w:rFonts w:ascii="Times New Roman" w:hAnsi="Times New Roman" w:cs="David"/>
          <w:sz w:val="24"/>
          <w:szCs w:val="24"/>
        </w:rPr>
        <w:t xml:space="preserve"> (2011)</w:t>
      </w:r>
    </w:p>
    <w:p w14:paraId="1CBA54F2" w14:textId="61CC68BA" w:rsidR="00863081" w:rsidRPr="007B52AE" w:rsidRDefault="00863081" w:rsidP="00863081">
      <w:pPr>
        <w:bidi w:val="0"/>
        <w:spacing w:line="480" w:lineRule="auto"/>
        <w:ind w:left="851"/>
        <w:jc w:val="both"/>
        <w:rPr>
          <w:rFonts w:asciiTheme="majorBidi" w:hAnsiTheme="majorBidi" w:cstheme="majorBidi"/>
          <w:sz w:val="24"/>
          <w:szCs w:val="24"/>
        </w:rPr>
      </w:pPr>
      <w:r w:rsidRPr="00A04B6E">
        <w:rPr>
          <w:rFonts w:asciiTheme="majorBidi" w:hAnsiTheme="majorBidi" w:cstheme="majorBidi"/>
          <w:sz w:val="24"/>
          <w:szCs w:val="24"/>
        </w:rPr>
        <w:t>The European Central Bank (2017) </w:t>
      </w:r>
      <w:r w:rsidRPr="007B52AE">
        <w:rPr>
          <w:rFonts w:asciiTheme="majorBidi" w:hAnsiTheme="majorBidi" w:cstheme="majorBidi"/>
          <w:sz w:val="24"/>
          <w:szCs w:val="24"/>
        </w:rPr>
        <w:t>uses</w:t>
      </w:r>
      <w:r>
        <w:rPr>
          <w:rStyle w:val="FootnoteReference"/>
          <w:rFonts w:asciiTheme="majorBidi" w:hAnsiTheme="majorBidi" w:cstheme="majorBidi"/>
          <w:sz w:val="24"/>
          <w:szCs w:val="24"/>
        </w:rPr>
        <w:footnoteReference w:id="43"/>
      </w:r>
      <w:r w:rsidRPr="007B52AE">
        <w:rPr>
          <w:rFonts w:asciiTheme="majorBidi" w:hAnsiTheme="majorBidi" w:cstheme="majorBidi"/>
          <w:sz w:val="24"/>
          <w:szCs w:val="24"/>
        </w:rPr>
        <w:t xml:space="preserve"> a linear combination of two methods. Two estimates </w:t>
      </w:r>
      <w:r w:rsidR="00F37048">
        <w:rPr>
          <w:rFonts w:asciiTheme="majorBidi" w:hAnsiTheme="majorBidi" w:cstheme="majorBidi"/>
          <w:sz w:val="24"/>
          <w:szCs w:val="24"/>
        </w:rPr>
        <w:t>were</w:t>
      </w:r>
      <w:r w:rsidRPr="007B52AE">
        <w:rPr>
          <w:rFonts w:asciiTheme="majorBidi" w:hAnsiTheme="majorBidi" w:cstheme="majorBidi"/>
          <w:sz w:val="24"/>
          <w:szCs w:val="24"/>
        </w:rPr>
        <w:t xml:space="preserve"> chosen to set boundaries to circulation outside the euro area by establishing a lower limit and an upper limit. The mean point of the interval is proposed as the point estimate of circulation outside the euro area. </w:t>
      </w:r>
    </w:p>
    <w:p w14:paraId="3359813C" w14:textId="77777777" w:rsidR="00863081" w:rsidRPr="00420E5D" w:rsidRDefault="00863081" w:rsidP="00863081">
      <w:pPr>
        <w:pStyle w:val="ListParagraph"/>
        <w:bidi w:val="0"/>
        <w:spacing w:line="480" w:lineRule="auto"/>
        <w:ind w:left="864"/>
        <w:jc w:val="both"/>
        <w:rPr>
          <w:rFonts w:asciiTheme="majorBidi" w:hAnsiTheme="majorBidi" w:cstheme="majorBidi"/>
          <w:sz w:val="28"/>
          <w:szCs w:val="28"/>
        </w:rPr>
      </w:pPr>
      <w:r w:rsidRPr="003F7DD6">
        <w:rPr>
          <w:rFonts w:asciiTheme="majorBidi" w:hAnsiTheme="majorBidi" w:cstheme="majorBidi"/>
          <w:b/>
          <w:bCs/>
          <w:sz w:val="24"/>
          <w:szCs w:val="24"/>
        </w:rPr>
        <w:t>Lower bound:</w:t>
      </w:r>
      <w:r w:rsidRPr="003F7DD6">
        <w:rPr>
          <w:rFonts w:asciiTheme="majorBidi" w:hAnsiTheme="majorBidi" w:cstheme="majorBidi"/>
          <w:sz w:val="24"/>
          <w:szCs w:val="24"/>
        </w:rPr>
        <w:t xml:space="preserve"> accumulated shipments of high denomination banknotes</w:t>
      </w:r>
      <w:r>
        <w:rPr>
          <w:rFonts w:asciiTheme="majorBidi" w:hAnsiTheme="majorBidi" w:cstheme="majorBidi"/>
          <w:sz w:val="24"/>
          <w:szCs w:val="24"/>
        </w:rPr>
        <w:t>:</w:t>
      </w:r>
    </w:p>
    <w:p w14:paraId="0BBFB2EB" w14:textId="77777777" w:rsidR="00863081" w:rsidRPr="003F7DD6" w:rsidRDefault="00863081" w:rsidP="00863081">
      <w:pPr>
        <w:pStyle w:val="ListParagraph"/>
        <w:bidi w:val="0"/>
        <w:spacing w:line="480" w:lineRule="auto"/>
        <w:ind w:left="864"/>
        <w:jc w:val="both"/>
        <w:rPr>
          <w:rFonts w:asciiTheme="majorBidi" w:hAnsiTheme="majorBidi" w:cstheme="majorBidi"/>
          <w:sz w:val="28"/>
          <w:szCs w:val="28"/>
        </w:rPr>
      </w:pPr>
      <w:r w:rsidRPr="003F7DD6">
        <w:rPr>
          <w:rFonts w:asciiTheme="majorBidi" w:hAnsiTheme="majorBidi" w:cstheme="majorBidi"/>
          <w:sz w:val="24"/>
          <w:szCs w:val="24"/>
        </w:rPr>
        <w:t xml:space="preserve"> </w:t>
      </w:r>
      <w:r>
        <w:rPr>
          <w:rFonts w:asciiTheme="majorBidi" w:hAnsiTheme="majorBidi" w:cstheme="majorBidi"/>
          <w:sz w:val="24"/>
          <w:szCs w:val="24"/>
        </w:rPr>
        <w:t xml:space="preserve">                      </w:t>
      </w:r>
      <w:r w:rsidRPr="003F7DD6">
        <w:rPr>
          <w:rFonts w:asciiTheme="majorBidi" w:hAnsiTheme="majorBidi" w:cstheme="majorBidi"/>
          <w:sz w:val="24"/>
          <w:szCs w:val="24"/>
        </w:rPr>
        <w:t xml:space="preserve"> </w:t>
      </w:r>
      <m:oMath>
        <m:sSup>
          <m:sSupPr>
            <m:ctrlPr>
              <w:rPr>
                <w:rFonts w:ascii="Cambria Math" w:hAnsi="Cambria Math" w:cs="Cambria Math"/>
                <w:sz w:val="24"/>
                <w:szCs w:val="24"/>
              </w:rPr>
            </m:ctrlPr>
          </m:sSupPr>
          <m:e>
            <m:r>
              <w:rPr>
                <w:rFonts w:ascii="Cambria Math" w:hAnsi="Cambria Math" w:cs="Cambria Math"/>
                <w:sz w:val="24"/>
                <w:szCs w:val="24"/>
              </w:rPr>
              <m:t>F</m:t>
            </m:r>
          </m:e>
          <m:sup>
            <m:r>
              <w:rPr>
                <w:rFonts w:ascii="Cambria Math" w:hAnsi="Cambria Math" w:cs="Cambria Math"/>
                <w:sz w:val="24"/>
                <w:szCs w:val="24"/>
              </w:rPr>
              <m:t>LB</m:t>
            </m:r>
          </m:sup>
        </m:sSup>
        <m:r>
          <m:rPr>
            <m:sty m:val="p"/>
          </m:rPr>
          <w:rPr>
            <w:rFonts w:ascii="Cambria Math" w:hAnsi="Cambria Math"/>
            <w:sz w:val="24"/>
            <w:szCs w:val="24"/>
          </w:rPr>
          <m:t xml:space="preserve"> = </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sz w:val="24"/>
                <w:szCs w:val="24"/>
              </w:rPr>
              <m:t>t</m:t>
            </m:r>
          </m:sub>
        </m:sSub>
        <m:r>
          <m:rPr>
            <m:sty m:val="p"/>
          </m:rPr>
          <w:rPr>
            <w:rFonts w:ascii="Cambria Math" w:hAnsi="Cambria Math"/>
            <w:sz w:val="24"/>
            <w:szCs w:val="24"/>
          </w:rPr>
          <m:t xml:space="preserve"> </m:t>
        </m:r>
        <m:sSubSup>
          <m:sSubSupPr>
            <m:ctrlPr>
              <w:rPr>
                <w:rFonts w:ascii="Cambria Math" w:hAnsi="Cambria Math" w:cs="Cambria Math"/>
                <w:sz w:val="24"/>
                <w:szCs w:val="24"/>
              </w:rPr>
            </m:ctrlPr>
          </m:sSubSupPr>
          <m:e>
            <m:r>
              <w:rPr>
                <w:rFonts w:ascii="Cambria Math" w:hAnsi="Cambria Math" w:cs="Cambria Math"/>
                <w:sz w:val="24"/>
                <w:szCs w:val="24"/>
              </w:rPr>
              <m:t>x</m:t>
            </m:r>
          </m:e>
          <m:sub>
            <m:r>
              <w:rPr>
                <w:rFonts w:ascii="Cambria Math" w:hAnsi="Cambria Math" w:cs="Cambria Math"/>
                <w:sz w:val="24"/>
                <w:szCs w:val="24"/>
              </w:rPr>
              <m:t>t</m:t>
            </m:r>
          </m:sub>
          <m:sup>
            <m:r>
              <w:rPr>
                <w:rFonts w:ascii="Cambria Math" w:hAnsi="Cambria Math" w:cs="Cambria Math"/>
                <w:sz w:val="24"/>
                <w:szCs w:val="24"/>
              </w:rPr>
              <m:t>o</m:t>
            </m:r>
          </m:sup>
        </m:sSubSup>
        <m:r>
          <m:rPr>
            <m:sty m:val="p"/>
          </m:rPr>
          <w:rPr>
            <w:rFonts w:ascii="Cambria Math" w:hAnsi="Cambria Math"/>
            <w:sz w:val="24"/>
            <w:szCs w:val="24"/>
          </w:rPr>
          <m:t xml:space="preserve"> - </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sz w:val="24"/>
                <w:szCs w:val="24"/>
              </w:rPr>
              <m:t>t</m:t>
            </m:r>
          </m:sub>
        </m:sSub>
        <m:r>
          <m:rPr>
            <m:sty m:val="p"/>
          </m:rPr>
          <w:rPr>
            <w:rFonts w:ascii="Cambria Math" w:hAnsi="Cambria Math"/>
            <w:sz w:val="24"/>
            <w:szCs w:val="24"/>
          </w:rPr>
          <m:t xml:space="preserve"> </m:t>
        </m:r>
        <m:sSubSup>
          <m:sSubSupPr>
            <m:ctrlPr>
              <w:rPr>
                <w:rFonts w:ascii="Cambria Math" w:hAnsi="Cambria Math" w:cs="Cambria Math"/>
                <w:sz w:val="24"/>
                <w:szCs w:val="24"/>
              </w:rPr>
            </m:ctrlPr>
          </m:sSubSupPr>
          <m:e>
            <m:r>
              <w:rPr>
                <w:rFonts w:ascii="Cambria Math" w:hAnsi="Cambria Math" w:cs="Cambria Math"/>
                <w:sz w:val="24"/>
                <w:szCs w:val="24"/>
              </w:rPr>
              <m:t>x</m:t>
            </m:r>
          </m:e>
          <m:sub>
            <m:r>
              <w:rPr>
                <w:rFonts w:ascii="Cambria Math" w:hAnsi="Cambria Math" w:cs="Cambria Math"/>
                <w:sz w:val="24"/>
                <w:szCs w:val="24"/>
              </w:rPr>
              <m:t>t</m:t>
            </m:r>
          </m:sub>
          <m:sup>
            <m:r>
              <w:rPr>
                <w:rFonts w:ascii="Cambria Math" w:hAnsi="Cambria Math" w:cs="Cambria Math"/>
                <w:sz w:val="24"/>
                <w:szCs w:val="24"/>
              </w:rPr>
              <m:t>i</m:t>
            </m:r>
          </m:sup>
        </m:sSubSup>
        <m:r>
          <m:rPr>
            <m:sty m:val="p"/>
          </m:rPr>
          <w:rPr>
            <w:rFonts w:ascii="Cambria Math" w:hAnsi="Cambria Math"/>
            <w:sz w:val="24"/>
            <w:szCs w:val="24"/>
          </w:rPr>
          <m:t xml:space="preserve"> + </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sz w:val="24"/>
                <w:szCs w:val="24"/>
              </w:rPr>
              <m:t>t</m:t>
            </m:r>
          </m:sub>
        </m:sSub>
        <m:r>
          <m:rPr>
            <m:sty m:val="p"/>
          </m:rPr>
          <w:rPr>
            <w:rFonts w:ascii="Cambria Math" w:hAnsi="Cambria Math"/>
            <w:sz w:val="24"/>
            <w:szCs w:val="24"/>
          </w:rPr>
          <m:t xml:space="preserve"> </m:t>
        </m:r>
        <m:sSubSup>
          <m:sSubSupPr>
            <m:ctrlPr>
              <w:rPr>
                <w:rFonts w:ascii="Cambria Math" w:hAnsi="Cambria Math" w:cs="Cambria Math"/>
                <w:sz w:val="24"/>
                <w:szCs w:val="24"/>
              </w:rPr>
            </m:ctrlPr>
          </m:sSubSupPr>
          <m:e>
            <m:r>
              <w:rPr>
                <w:rFonts w:ascii="Cambria Math" w:hAnsi="Cambria Math" w:cs="Cambria Math"/>
                <w:sz w:val="24"/>
                <w:szCs w:val="24"/>
              </w:rPr>
              <m:t>x</m:t>
            </m:r>
          </m:e>
          <m:sub>
            <m:r>
              <w:rPr>
                <w:rFonts w:ascii="Cambria Math" w:hAnsi="Cambria Math" w:cs="Cambria Math"/>
                <w:sz w:val="24"/>
                <w:szCs w:val="24"/>
              </w:rPr>
              <m:t>t</m:t>
            </m:r>
          </m:sub>
          <m:sup>
            <m:r>
              <w:rPr>
                <w:rFonts w:ascii="Cambria Math" w:hAnsi="Cambria Math" w:cs="Cambria Math"/>
                <w:sz w:val="24"/>
                <w:szCs w:val="24"/>
              </w:rPr>
              <m:t>u</m:t>
            </m:r>
          </m:sup>
        </m:sSubSup>
        <m:r>
          <m:rPr>
            <m:sty m:val="p"/>
          </m:rPr>
          <w:rPr>
            <w:rFonts w:ascii="Cambria Math" w:hAnsi="Cambria Math"/>
            <w:sz w:val="24"/>
            <w:szCs w:val="24"/>
          </w:rPr>
          <m:t xml:space="preserve"> - </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sz w:val="24"/>
                <w:szCs w:val="24"/>
              </w:rPr>
              <m:t>t</m:t>
            </m:r>
          </m:sub>
        </m:sSub>
        <m:r>
          <m:rPr>
            <m:sty m:val="p"/>
          </m:rPr>
          <w:rPr>
            <w:rFonts w:ascii="Cambria Math" w:hAnsi="Cambria Math"/>
            <w:sz w:val="24"/>
            <w:szCs w:val="24"/>
          </w:rPr>
          <m:t xml:space="preserve"> </m:t>
        </m:r>
        <m:sSubSup>
          <m:sSubSupPr>
            <m:ctrlPr>
              <w:rPr>
                <w:rFonts w:ascii="Cambria Math" w:hAnsi="Cambria Math" w:cs="Cambria Math"/>
                <w:sz w:val="24"/>
                <w:szCs w:val="24"/>
              </w:rPr>
            </m:ctrlPr>
          </m:sSubSupPr>
          <m:e>
            <m:r>
              <w:rPr>
                <w:rFonts w:ascii="Cambria Math" w:hAnsi="Cambria Math" w:cs="Cambria Math"/>
                <w:sz w:val="24"/>
                <w:szCs w:val="24"/>
              </w:rPr>
              <m:t>i</m:t>
            </m:r>
          </m:e>
          <m:sub>
            <m:r>
              <w:rPr>
                <w:rFonts w:ascii="Cambria Math" w:hAnsi="Cambria Math" w:cs="Cambria Math"/>
                <w:sz w:val="24"/>
                <w:szCs w:val="24"/>
              </w:rPr>
              <m:t>t</m:t>
            </m:r>
          </m:sub>
          <m:sup>
            <m:r>
              <w:rPr>
                <w:rFonts w:ascii="Cambria Math" w:hAnsi="Cambria Math" w:cs="Cambria Math"/>
                <w:sz w:val="24"/>
                <w:szCs w:val="24"/>
              </w:rPr>
              <m:t>u</m:t>
            </m:r>
          </m:sup>
        </m:sSubSup>
        <m:r>
          <m:rPr>
            <m:sty m:val="p"/>
          </m:rPr>
          <w:rPr>
            <w:rFonts w:ascii="Cambria Math" w:hAnsi="Cambria Math"/>
            <w:sz w:val="24"/>
            <w:szCs w:val="24"/>
          </w:rPr>
          <m:t xml:space="preserve"> </m:t>
        </m:r>
      </m:oMath>
    </w:p>
    <w:p w14:paraId="543F85DC" w14:textId="5588F193" w:rsidR="00863081" w:rsidRPr="00A551BC" w:rsidRDefault="00585F8C" w:rsidP="00863081">
      <w:pPr>
        <w:pStyle w:val="ListParagraph"/>
        <w:bidi w:val="0"/>
        <w:spacing w:line="480" w:lineRule="auto"/>
        <w:ind w:left="864"/>
        <w:jc w:val="both"/>
        <w:rPr>
          <w:rFonts w:asciiTheme="majorBidi" w:hAnsiTheme="majorBidi" w:cstheme="majorBidi"/>
          <w:sz w:val="24"/>
          <w:szCs w:val="24"/>
          <w:rtl/>
        </w:rPr>
      </w:pPr>
      <w:r>
        <w:rPr>
          <w:rFonts w:asciiTheme="majorBidi" w:hAnsiTheme="majorBidi" w:cstheme="majorBidi"/>
          <w:sz w:val="24"/>
          <w:szCs w:val="24"/>
        </w:rPr>
        <w:t>w</w:t>
      </w:r>
      <w:r w:rsidR="00863081" w:rsidRPr="00A551BC">
        <w:rPr>
          <w:rFonts w:asciiTheme="majorBidi" w:hAnsiTheme="majorBidi" w:cstheme="majorBidi"/>
          <w:sz w:val="24"/>
          <w:szCs w:val="24"/>
        </w:rPr>
        <w:t xml:space="preserve">here </w:t>
      </w:r>
      <m:oMath>
        <m:sSubSup>
          <m:sSubSupPr>
            <m:ctrlPr>
              <w:rPr>
                <w:rFonts w:ascii="Cambria Math" w:hAnsi="Cambria Math" w:cstheme="majorBidi"/>
                <w:sz w:val="24"/>
                <w:szCs w:val="24"/>
              </w:rPr>
            </m:ctrlPr>
          </m:sSubSupPr>
          <m:e>
            <m:r>
              <w:rPr>
                <w:rFonts w:ascii="Cambria Math" w:hAnsi="Cambria Math" w:cstheme="majorBidi"/>
                <w:sz w:val="24"/>
                <w:szCs w:val="24"/>
              </w:rPr>
              <m:t>F</m:t>
            </m:r>
          </m:e>
          <m:sub>
            <m:r>
              <w:rPr>
                <w:rFonts w:ascii="Cambria Math" w:hAnsi="Cambria Math" w:cstheme="majorBidi"/>
                <w:sz w:val="24"/>
                <w:szCs w:val="24"/>
              </w:rPr>
              <m:t>t</m:t>
            </m:r>
          </m:sub>
          <m:sup>
            <m:r>
              <w:rPr>
                <w:rFonts w:ascii="Cambria Math" w:hAnsi="Cambria Math" w:cstheme="majorBidi"/>
                <w:sz w:val="24"/>
                <w:szCs w:val="24"/>
              </w:rPr>
              <m:t>LB</m:t>
            </m:r>
          </m:sup>
        </m:sSubSup>
      </m:oMath>
      <w:r w:rsidR="00863081" w:rsidRPr="00A551BC">
        <w:rPr>
          <w:rFonts w:asciiTheme="majorBidi" w:hAnsiTheme="majorBidi" w:cstheme="majorBidi"/>
          <w:sz w:val="24"/>
          <w:szCs w:val="24"/>
        </w:rPr>
        <w:t xml:space="preserve"> represent the circulation abroad as the accumulation of official exports and imports (</w:t>
      </w:r>
      <m:oMath>
        <m:sSubSup>
          <m:sSubSupPr>
            <m:ctrlPr>
              <w:rPr>
                <w:rFonts w:ascii="Cambria Math" w:hAnsi="Cambria Math" w:cstheme="majorBidi"/>
                <w:sz w:val="24"/>
                <w:szCs w:val="24"/>
              </w:rPr>
            </m:ctrlPr>
          </m:sSubSupPr>
          <m:e>
            <m:r>
              <w:rPr>
                <w:rFonts w:ascii="Cambria Math" w:hAnsi="Cambria Math" w:cstheme="majorBidi"/>
                <w:sz w:val="24"/>
                <w:szCs w:val="24"/>
              </w:rPr>
              <m:t>x</m:t>
            </m:r>
          </m:e>
          <m:sub>
            <m:r>
              <w:rPr>
                <w:rFonts w:ascii="Cambria Math" w:hAnsi="Cambria Math" w:cstheme="majorBidi"/>
                <w:sz w:val="24"/>
                <w:szCs w:val="24"/>
              </w:rPr>
              <m:t>t</m:t>
            </m:r>
          </m:sub>
          <m:sup>
            <m:r>
              <w:rPr>
                <w:rFonts w:ascii="Cambria Math" w:hAnsi="Cambria Math" w:cstheme="majorBidi"/>
                <w:sz w:val="24"/>
                <w:szCs w:val="24"/>
              </w:rPr>
              <m:t>o</m:t>
            </m:r>
          </m:sup>
        </m:sSubSup>
      </m:oMath>
      <w:r w:rsidR="00863081" w:rsidRPr="00A551BC">
        <w:rPr>
          <w:rFonts w:asciiTheme="majorBidi" w:hAnsiTheme="majorBidi" w:cstheme="majorBidi"/>
          <w:sz w:val="24"/>
          <w:szCs w:val="24"/>
        </w:rPr>
        <w:t>,</w:t>
      </w:r>
      <m:oMath>
        <m:r>
          <m:rPr>
            <m:sty m:val="p"/>
          </m:rPr>
          <w:rPr>
            <w:rFonts w:ascii="Cambria Math" w:hAnsi="Cambria Math" w:cstheme="majorBidi"/>
            <w:sz w:val="24"/>
            <w:szCs w:val="24"/>
          </w:rPr>
          <m:t xml:space="preserve"> </m:t>
        </m:r>
        <m:sSubSup>
          <m:sSubSupPr>
            <m:ctrlPr>
              <w:rPr>
                <w:rFonts w:ascii="Cambria Math" w:hAnsi="Cambria Math" w:cstheme="majorBidi"/>
                <w:sz w:val="24"/>
                <w:szCs w:val="24"/>
              </w:rPr>
            </m:ctrlPr>
          </m:sSubSupPr>
          <m:e>
            <m:r>
              <w:rPr>
                <w:rFonts w:ascii="Cambria Math" w:hAnsi="Cambria Math" w:cstheme="majorBidi"/>
                <w:sz w:val="24"/>
                <w:szCs w:val="24"/>
              </w:rPr>
              <m:t>x</m:t>
            </m:r>
          </m:e>
          <m:sub>
            <m:r>
              <w:rPr>
                <w:rFonts w:ascii="Cambria Math" w:hAnsi="Cambria Math" w:cstheme="majorBidi"/>
                <w:sz w:val="24"/>
                <w:szCs w:val="24"/>
              </w:rPr>
              <m:t>t</m:t>
            </m:r>
          </m:sub>
          <m:sup>
            <m:r>
              <w:rPr>
                <w:rFonts w:ascii="Cambria Math" w:hAnsi="Cambria Math" w:cstheme="majorBidi"/>
                <w:sz w:val="24"/>
                <w:szCs w:val="24"/>
              </w:rPr>
              <m:t>i</m:t>
            </m:r>
          </m:sup>
        </m:sSubSup>
      </m:oMath>
      <w:r w:rsidR="00863081" w:rsidRPr="00A551BC">
        <w:rPr>
          <w:rFonts w:asciiTheme="majorBidi" w:hAnsiTheme="majorBidi" w:cstheme="majorBidi"/>
          <w:sz w:val="24"/>
          <w:szCs w:val="24"/>
        </w:rPr>
        <w:t>) based on information of official exports and imports shipments of euro banknotes to/from countries outside the euro-area, and the accumulation of other unofficial cross-border flows (</w:t>
      </w:r>
      <m:oMath>
        <m:sSubSup>
          <m:sSubSupPr>
            <m:ctrlPr>
              <w:rPr>
                <w:rFonts w:ascii="Cambria Math" w:hAnsi="Cambria Math" w:cstheme="majorBidi"/>
                <w:sz w:val="24"/>
                <w:szCs w:val="24"/>
              </w:rPr>
            </m:ctrlPr>
          </m:sSubSupPr>
          <m:e>
            <m:r>
              <w:rPr>
                <w:rFonts w:ascii="Cambria Math" w:hAnsi="Cambria Math" w:cstheme="majorBidi"/>
                <w:sz w:val="24"/>
                <w:szCs w:val="24"/>
              </w:rPr>
              <m:t>x</m:t>
            </m:r>
          </m:e>
          <m:sub>
            <m:r>
              <w:rPr>
                <w:rFonts w:ascii="Cambria Math" w:hAnsi="Cambria Math" w:cstheme="majorBidi"/>
                <w:sz w:val="24"/>
                <w:szCs w:val="24"/>
              </w:rPr>
              <m:t>t</m:t>
            </m:r>
          </m:sub>
          <m:sup>
            <m:r>
              <w:rPr>
                <w:rFonts w:ascii="Cambria Math" w:hAnsi="Cambria Math" w:cstheme="majorBidi"/>
                <w:sz w:val="24"/>
                <w:szCs w:val="24"/>
              </w:rPr>
              <m:t>u</m:t>
            </m:r>
          </m:sup>
        </m:sSubSup>
      </m:oMath>
      <w:r w:rsidR="00863081" w:rsidRPr="00A551BC">
        <w:rPr>
          <w:rFonts w:asciiTheme="majorBidi" w:hAnsiTheme="majorBidi" w:cstheme="majorBidi"/>
          <w:sz w:val="24"/>
          <w:szCs w:val="24"/>
        </w:rPr>
        <w:t xml:space="preserve">, </w:t>
      </w:r>
      <m:oMath>
        <m:sSubSup>
          <m:sSubSupPr>
            <m:ctrlPr>
              <w:rPr>
                <w:rFonts w:ascii="Cambria Math" w:hAnsi="Cambria Math" w:cstheme="majorBidi"/>
                <w:sz w:val="24"/>
                <w:szCs w:val="24"/>
              </w:rPr>
            </m:ctrlPr>
          </m:sSubSupPr>
          <m:e>
            <m:r>
              <w:rPr>
                <w:rFonts w:ascii="Cambria Math" w:hAnsi="Cambria Math" w:cstheme="majorBidi"/>
                <w:sz w:val="24"/>
                <w:szCs w:val="24"/>
              </w:rPr>
              <m:t>i</m:t>
            </m:r>
          </m:e>
          <m:sub>
            <m:r>
              <w:rPr>
                <w:rFonts w:ascii="Cambria Math" w:hAnsi="Cambria Math" w:cstheme="majorBidi"/>
                <w:sz w:val="24"/>
                <w:szCs w:val="24"/>
              </w:rPr>
              <m:t>t</m:t>
            </m:r>
          </m:sub>
          <m:sup>
            <m:r>
              <w:rPr>
                <w:rFonts w:ascii="Cambria Math" w:hAnsi="Cambria Math" w:cstheme="majorBidi"/>
                <w:sz w:val="24"/>
                <w:szCs w:val="24"/>
              </w:rPr>
              <m:t>u</m:t>
            </m:r>
          </m:sup>
        </m:sSubSup>
      </m:oMath>
      <w:r w:rsidR="00863081" w:rsidRPr="00A551BC">
        <w:rPr>
          <w:rFonts w:asciiTheme="majorBidi" w:hAnsiTheme="majorBidi" w:cstheme="majorBidi"/>
          <w:sz w:val="24"/>
          <w:szCs w:val="24"/>
        </w:rPr>
        <w:t>), e.g. travel/tourism or other cross-border cash payments. Given that there is no suitable information for the unofficial flows, net shipments serve as a lower bound to F if the assumption is that the unofficial channel presents net positive outflows</w:t>
      </w:r>
      <w:r w:rsidR="00863081" w:rsidRPr="00A551BC">
        <w:rPr>
          <w:rStyle w:val="FootnoteReference"/>
          <w:rFonts w:asciiTheme="majorBidi" w:hAnsiTheme="majorBidi" w:cstheme="majorBidi"/>
          <w:sz w:val="24"/>
          <w:szCs w:val="24"/>
        </w:rPr>
        <w:footnoteReference w:id="44"/>
      </w:r>
      <w:r w:rsidR="00863081" w:rsidRPr="00A551BC">
        <w:rPr>
          <w:rFonts w:asciiTheme="majorBidi" w:hAnsiTheme="majorBidi" w:cstheme="majorBidi"/>
          <w:sz w:val="24"/>
          <w:szCs w:val="24"/>
        </w:rPr>
        <w:t>.</w:t>
      </w:r>
    </w:p>
    <w:p w14:paraId="23FF345F" w14:textId="77777777" w:rsidR="00863081" w:rsidRPr="00A551BC" w:rsidRDefault="00863081" w:rsidP="00863081">
      <w:pPr>
        <w:pStyle w:val="ListParagraph"/>
        <w:bidi w:val="0"/>
        <w:spacing w:line="480" w:lineRule="auto"/>
        <w:ind w:left="792"/>
        <w:jc w:val="both"/>
        <w:rPr>
          <w:rFonts w:asciiTheme="majorBidi" w:hAnsiTheme="majorBidi" w:cstheme="majorBidi"/>
          <w:sz w:val="24"/>
          <w:szCs w:val="24"/>
        </w:rPr>
      </w:pPr>
      <w:r w:rsidRPr="00A551BC">
        <w:rPr>
          <w:rFonts w:asciiTheme="majorBidi" w:hAnsiTheme="majorBidi" w:cstheme="majorBidi"/>
          <w:b/>
          <w:bCs/>
          <w:sz w:val="24"/>
          <w:szCs w:val="24"/>
        </w:rPr>
        <w:t>Upper bound:</w:t>
      </w:r>
      <w:r w:rsidRPr="00A551BC">
        <w:rPr>
          <w:rFonts w:asciiTheme="majorBidi" w:hAnsiTheme="majorBidi" w:cstheme="majorBidi"/>
          <w:sz w:val="24"/>
          <w:szCs w:val="24"/>
        </w:rPr>
        <w:t xml:space="preserve"> ratio of coins to banknotes</w:t>
      </w:r>
      <w:r>
        <w:rPr>
          <w:rFonts w:asciiTheme="majorBidi" w:hAnsiTheme="majorBidi" w:cstheme="majorBidi"/>
          <w:sz w:val="24"/>
          <w:szCs w:val="24"/>
        </w:rPr>
        <w:t>:</w:t>
      </w:r>
    </w:p>
    <w:p w14:paraId="1088E620" w14:textId="77777777" w:rsidR="00863081" w:rsidRPr="00A551BC" w:rsidRDefault="00C27BF5" w:rsidP="00863081">
      <w:pPr>
        <w:pStyle w:val="ListParagraph"/>
        <w:bidi w:val="0"/>
        <w:spacing w:line="480" w:lineRule="auto"/>
        <w:ind w:left="864"/>
        <w:jc w:val="both"/>
        <w:rPr>
          <w:rFonts w:asciiTheme="majorBidi" w:hAnsiTheme="majorBidi" w:cstheme="majorBidi"/>
          <w:sz w:val="24"/>
          <w:szCs w:val="24"/>
        </w:rPr>
      </w:pPr>
      <m:oMathPara>
        <m:oMathParaPr>
          <m:jc m:val="center"/>
        </m:oMathParaPr>
        <m:oMath>
          <m:sSup>
            <m:sSupPr>
              <m:ctrlPr>
                <w:rPr>
                  <w:rFonts w:ascii="Cambria Math" w:hAnsi="Cambria Math" w:cstheme="majorBidi"/>
                  <w:sz w:val="24"/>
                  <w:szCs w:val="24"/>
                </w:rPr>
              </m:ctrlPr>
            </m:sSupPr>
            <m:e>
              <m:r>
                <w:rPr>
                  <w:rFonts w:ascii="Cambria Math" w:hAnsi="Cambria Math" w:cstheme="majorBidi"/>
                  <w:sz w:val="24"/>
                  <w:szCs w:val="24"/>
                </w:rPr>
                <m:t>F</m:t>
              </m:r>
            </m:e>
            <m:sup>
              <m:r>
                <w:rPr>
                  <w:rFonts w:ascii="Cambria Math" w:hAnsi="Cambria Math" w:cstheme="majorBidi"/>
                  <w:sz w:val="24"/>
                  <w:szCs w:val="24"/>
                </w:rPr>
                <m:t>UB</m:t>
              </m:r>
            </m:sup>
          </m:sSup>
          <m:r>
            <w:rPr>
              <w:rFonts w:ascii="Cambria Math" w:hAnsi="Cambria Math" w:cstheme="majorBidi"/>
              <w:sz w:val="24"/>
              <w:szCs w:val="24"/>
            </w:rPr>
            <m:t xml:space="preserve">= </m:t>
          </m:r>
          <m:r>
            <m:rPr>
              <m:sty m:val="p"/>
            </m:rPr>
            <w:rPr>
              <w:rFonts w:ascii="Cambria Math" w:hAnsi="Cambria Math" w:cstheme="majorBidi"/>
              <w:sz w:val="24"/>
              <w:szCs w:val="24"/>
            </w:rPr>
            <m:t>B-</m:t>
          </m:r>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C</m:t>
              </m:r>
            </m:num>
            <m:den>
              <m:r>
                <w:rPr>
                  <w:rFonts w:ascii="Cambria Math" w:hAnsi="Cambria Math" w:cstheme="majorBidi"/>
                  <w:sz w:val="24"/>
                  <w:szCs w:val="24"/>
                </w:rPr>
                <m:t>r</m:t>
              </m:r>
            </m:den>
          </m:f>
          <m:r>
            <w:rPr>
              <w:rFonts w:ascii="Cambria Math" w:hAnsi="Cambria Math" w:cstheme="majorBidi"/>
              <w:sz w:val="24"/>
              <w:szCs w:val="24"/>
            </w:rPr>
            <m:t xml:space="preserve"> </m:t>
          </m:r>
        </m:oMath>
      </m:oMathPara>
    </w:p>
    <w:p w14:paraId="6EF10348" w14:textId="77777777" w:rsidR="00863081" w:rsidRPr="00A551BC" w:rsidRDefault="00863081" w:rsidP="00863081">
      <w:pPr>
        <w:pStyle w:val="ListParagraph"/>
        <w:bidi w:val="0"/>
        <w:spacing w:line="480" w:lineRule="auto"/>
        <w:ind w:left="864"/>
        <w:jc w:val="both"/>
        <w:rPr>
          <w:rFonts w:asciiTheme="majorBidi" w:hAnsiTheme="majorBidi" w:cstheme="majorBidi"/>
          <w:sz w:val="24"/>
          <w:szCs w:val="24"/>
        </w:rPr>
      </w:pPr>
      <w:r w:rsidRPr="00A551BC">
        <w:rPr>
          <w:rFonts w:asciiTheme="majorBidi" w:hAnsiTheme="majorBidi" w:cstheme="majorBidi"/>
          <w:sz w:val="24"/>
          <w:szCs w:val="24"/>
        </w:rPr>
        <w:t>Where “B” is total banknotes in circulation, “C” coins and “r” the maximum value of the coins-to-banknotes ratio. The upper bound uses an indirect method, combining observed information on domestic circulation, coin circulation and assumptions on what is not observed, in turn based on an assumption of the maximum possible ratio of coins to banknotes in domestic circulation.</w:t>
      </w:r>
    </w:p>
    <w:p w14:paraId="2F17E10F" w14:textId="77777777" w:rsidR="00863081" w:rsidRPr="00A551BC" w:rsidRDefault="00863081" w:rsidP="00863081">
      <w:pPr>
        <w:bidi w:val="0"/>
        <w:spacing w:line="480" w:lineRule="auto"/>
        <w:ind w:left="864"/>
        <w:jc w:val="both"/>
        <w:rPr>
          <w:rFonts w:asciiTheme="majorBidi" w:hAnsiTheme="majorBidi" w:cstheme="majorBidi"/>
          <w:b/>
          <w:bCs/>
          <w:sz w:val="24"/>
          <w:szCs w:val="24"/>
        </w:rPr>
      </w:pPr>
      <w:r w:rsidRPr="00A551BC">
        <w:rPr>
          <w:rFonts w:asciiTheme="majorBidi" w:hAnsiTheme="majorBidi" w:cstheme="majorBidi"/>
          <w:sz w:val="24"/>
          <w:szCs w:val="24"/>
        </w:rPr>
        <w:t>The observed coins to total banknotes ratio prevailing in 2002 (4.16%) was chosen as the maximum ratio (r), i.e. the actual unobserved ratio is assumed to lie below that level,</w:t>
      </w:r>
      <w:r w:rsidRPr="00A551BC">
        <w:rPr>
          <w:rFonts w:asciiTheme="majorBidi" w:hAnsiTheme="majorBidi" w:cstheme="majorBidi"/>
          <w:b/>
          <w:bCs/>
          <w:sz w:val="24"/>
          <w:szCs w:val="24"/>
        </w:rPr>
        <w:t xml:space="preserve"> </w:t>
      </w:r>
      <w:r w:rsidRPr="00A551BC">
        <w:rPr>
          <w:rFonts w:asciiTheme="majorBidi" w:hAnsiTheme="majorBidi" w:cstheme="majorBidi"/>
          <w:sz w:val="24"/>
          <w:szCs w:val="24"/>
        </w:rPr>
        <w:t>using the fixed coins-to banknote ratio estimated for 2002 implies that the growth of banknote issuances since that year that exceeded the growth of coin issuances is entirely attributed to non-resident holdings, an assumption that may indeed only be justifiable for an upper bound estimate</w:t>
      </w:r>
      <w:r w:rsidRPr="00A551BC">
        <w:rPr>
          <w:rFonts w:asciiTheme="majorBidi" w:hAnsiTheme="majorBidi" w:cstheme="majorBidi"/>
          <w:b/>
          <w:bCs/>
          <w:sz w:val="24"/>
          <w:szCs w:val="24"/>
        </w:rPr>
        <w:t>.</w:t>
      </w:r>
    </w:p>
    <w:p w14:paraId="4221D8B0" w14:textId="77777777" w:rsidR="00863081" w:rsidRDefault="00863081" w:rsidP="00863081">
      <w:pPr>
        <w:pStyle w:val="ListParagraph"/>
        <w:bidi w:val="0"/>
        <w:spacing w:line="480" w:lineRule="auto"/>
        <w:ind w:left="864"/>
        <w:jc w:val="both"/>
        <w:rPr>
          <w:rFonts w:asciiTheme="majorBidi" w:hAnsiTheme="majorBidi" w:cstheme="majorBidi"/>
          <w:sz w:val="24"/>
          <w:szCs w:val="24"/>
        </w:rPr>
      </w:pPr>
      <w:r w:rsidRPr="00A551BC">
        <w:rPr>
          <w:rFonts w:asciiTheme="majorBidi" w:hAnsiTheme="majorBidi" w:cstheme="majorBidi"/>
          <w:sz w:val="24"/>
          <w:szCs w:val="24"/>
        </w:rPr>
        <w:t xml:space="preserve">By taking the average of the lower and upper bounds, the method estimates the results below: </w:t>
      </w:r>
    </w:p>
    <w:p w14:paraId="2782A26B" w14:textId="37B3E1E4" w:rsidR="00863081" w:rsidRDefault="00863081" w:rsidP="00863081">
      <w:pPr>
        <w:pStyle w:val="ListParagraph"/>
        <w:bidi w:val="0"/>
        <w:spacing w:before="240" w:line="360" w:lineRule="auto"/>
        <w:ind w:left="1224"/>
        <w:jc w:val="center"/>
        <w:rPr>
          <w:rFonts w:ascii="Times New Roman" w:hAnsi="Times New Roman" w:cs="David"/>
          <w:b/>
          <w:bCs/>
          <w:sz w:val="24"/>
          <w:szCs w:val="24"/>
        </w:rPr>
      </w:pPr>
    </w:p>
    <w:p w14:paraId="21B3A728" w14:textId="77777777" w:rsidR="00323933" w:rsidRDefault="00323933" w:rsidP="00863081">
      <w:pPr>
        <w:pStyle w:val="ListParagraph"/>
        <w:bidi w:val="0"/>
        <w:spacing w:before="240" w:line="360" w:lineRule="auto"/>
        <w:ind w:left="1224"/>
        <w:jc w:val="center"/>
        <w:rPr>
          <w:rFonts w:ascii="Times New Roman" w:hAnsi="Times New Roman" w:cs="David"/>
          <w:b/>
          <w:bCs/>
          <w:sz w:val="24"/>
          <w:szCs w:val="24"/>
        </w:rPr>
      </w:pPr>
    </w:p>
    <w:p w14:paraId="6D70EFC9" w14:textId="77777777" w:rsidR="00323933" w:rsidRDefault="00323933" w:rsidP="00323933">
      <w:pPr>
        <w:pStyle w:val="ListParagraph"/>
        <w:bidi w:val="0"/>
        <w:spacing w:before="240" w:line="360" w:lineRule="auto"/>
        <w:ind w:left="1224"/>
        <w:jc w:val="center"/>
        <w:rPr>
          <w:rFonts w:ascii="Times New Roman" w:hAnsi="Times New Roman" w:cs="David"/>
          <w:b/>
          <w:bCs/>
          <w:sz w:val="24"/>
          <w:szCs w:val="24"/>
        </w:rPr>
      </w:pPr>
    </w:p>
    <w:p w14:paraId="7E4D53E6" w14:textId="77777777" w:rsidR="00323933" w:rsidRDefault="00323933" w:rsidP="00323933">
      <w:pPr>
        <w:pStyle w:val="ListParagraph"/>
        <w:bidi w:val="0"/>
        <w:spacing w:before="240" w:line="360" w:lineRule="auto"/>
        <w:ind w:left="1224"/>
        <w:jc w:val="center"/>
        <w:rPr>
          <w:rFonts w:ascii="Times New Roman" w:hAnsi="Times New Roman" w:cs="David"/>
          <w:b/>
          <w:bCs/>
          <w:sz w:val="24"/>
          <w:szCs w:val="24"/>
        </w:rPr>
      </w:pPr>
    </w:p>
    <w:p w14:paraId="370653AB" w14:textId="77777777" w:rsidR="00323933" w:rsidRDefault="00323933" w:rsidP="00323933">
      <w:pPr>
        <w:pStyle w:val="ListParagraph"/>
        <w:bidi w:val="0"/>
        <w:spacing w:before="240" w:line="360" w:lineRule="auto"/>
        <w:ind w:left="1224"/>
        <w:jc w:val="center"/>
        <w:rPr>
          <w:rFonts w:ascii="Times New Roman" w:hAnsi="Times New Roman" w:cs="David"/>
          <w:b/>
          <w:bCs/>
          <w:sz w:val="24"/>
          <w:szCs w:val="24"/>
        </w:rPr>
      </w:pPr>
    </w:p>
    <w:p w14:paraId="599DAB7A" w14:textId="7798ABDE" w:rsidR="00863081" w:rsidRDefault="00863081" w:rsidP="00323933">
      <w:pPr>
        <w:pStyle w:val="ListParagraph"/>
        <w:bidi w:val="0"/>
        <w:spacing w:before="240" w:line="360" w:lineRule="auto"/>
        <w:ind w:left="1224"/>
        <w:jc w:val="center"/>
        <w:rPr>
          <w:rFonts w:ascii="Times New Roman" w:hAnsi="Times New Roman" w:cs="David"/>
          <w:b/>
          <w:bCs/>
          <w:sz w:val="24"/>
          <w:szCs w:val="24"/>
        </w:rPr>
      </w:pPr>
      <w:r>
        <w:rPr>
          <w:rFonts w:ascii="Times New Roman" w:hAnsi="Times New Roman" w:cs="David"/>
          <w:b/>
          <w:bCs/>
          <w:sz w:val="24"/>
          <w:szCs w:val="24"/>
        </w:rPr>
        <w:t xml:space="preserve">Figure </w:t>
      </w:r>
      <w:r w:rsidR="00B27B3D">
        <w:rPr>
          <w:rFonts w:ascii="Times New Roman" w:hAnsi="Times New Roman" w:cs="David"/>
          <w:b/>
          <w:bCs/>
          <w:sz w:val="24"/>
          <w:szCs w:val="24"/>
        </w:rPr>
        <w:t>25</w:t>
      </w:r>
      <w:r>
        <w:rPr>
          <w:rFonts w:ascii="Times New Roman" w:hAnsi="Times New Roman" w:cs="David"/>
          <w:b/>
          <w:bCs/>
          <w:sz w:val="24"/>
          <w:szCs w:val="24"/>
        </w:rPr>
        <w:t xml:space="preserve"> - </w:t>
      </w:r>
      <w:r w:rsidRPr="003F7DD6">
        <w:rPr>
          <w:rFonts w:ascii="Times New Roman" w:hAnsi="Times New Roman" w:cs="David"/>
          <w:b/>
          <w:bCs/>
          <w:sz w:val="24"/>
          <w:szCs w:val="24"/>
        </w:rPr>
        <w:t>Holdings of euro banknotes by non-euro area residents</w:t>
      </w:r>
    </w:p>
    <w:p w14:paraId="10C8418A" w14:textId="77777777" w:rsidR="00863081" w:rsidRPr="003F7DD6" w:rsidRDefault="00863081" w:rsidP="00863081">
      <w:pPr>
        <w:pStyle w:val="ListParagraph"/>
        <w:bidi w:val="0"/>
        <w:spacing w:before="240" w:line="360" w:lineRule="auto"/>
        <w:ind w:left="1224"/>
        <w:jc w:val="center"/>
        <w:rPr>
          <w:rFonts w:ascii="Times New Roman" w:hAnsi="Times New Roman" w:cs="David"/>
          <w:b/>
          <w:bCs/>
          <w:sz w:val="24"/>
          <w:szCs w:val="24"/>
        </w:rPr>
      </w:pPr>
      <w:r w:rsidRPr="003F7DD6">
        <w:rPr>
          <w:rFonts w:ascii="Times New Roman" w:hAnsi="Times New Roman" w:cs="David"/>
          <w:b/>
          <w:bCs/>
          <w:sz w:val="24"/>
          <w:szCs w:val="24"/>
        </w:rPr>
        <w:t xml:space="preserve"> (EUR billion at end of period)</w:t>
      </w:r>
    </w:p>
    <w:p w14:paraId="6D86F2EB" w14:textId="77777777" w:rsidR="00863081" w:rsidRDefault="00863081" w:rsidP="00863081">
      <w:pPr>
        <w:pStyle w:val="ListParagraph"/>
        <w:bidi w:val="0"/>
        <w:spacing w:line="480" w:lineRule="auto"/>
        <w:ind w:left="1152"/>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66E5B064" wp14:editId="312461DF">
            <wp:extent cx="4668750" cy="2160000"/>
            <wp:effectExtent l="0" t="0" r="0" b="0"/>
            <wp:docPr id="12" name="תמונה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7" descr="Chart, line ch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8750" cy="2160000"/>
                    </a:xfrm>
                    <a:prstGeom prst="rect">
                      <a:avLst/>
                    </a:prstGeom>
                    <a:noFill/>
                    <a:ln>
                      <a:noFill/>
                    </a:ln>
                  </pic:spPr>
                </pic:pic>
              </a:graphicData>
            </a:graphic>
          </wp:inline>
        </w:drawing>
      </w:r>
    </w:p>
    <w:p w14:paraId="6D220C84" w14:textId="059672BA" w:rsidR="00863081" w:rsidRPr="00323933" w:rsidRDefault="00323933" w:rsidP="00077212">
      <w:pPr>
        <w:bidi w:val="0"/>
        <w:spacing w:line="360" w:lineRule="auto"/>
        <w:ind w:left="720"/>
        <w:jc w:val="center"/>
        <w:rPr>
          <w:rFonts w:ascii="Times New Roman" w:hAnsi="Times New Roman" w:cs="David"/>
          <w:sz w:val="24"/>
          <w:szCs w:val="24"/>
        </w:rPr>
      </w:pPr>
      <w:r w:rsidRPr="00323933">
        <w:rPr>
          <w:rFonts w:ascii="Times New Roman" w:hAnsi="Times New Roman" w:cs="David"/>
          <w:sz w:val="24"/>
          <w:szCs w:val="24"/>
        </w:rPr>
        <w:t>Source: Estimation of euro currency in circulation outside the euro area, ECB</w:t>
      </w:r>
    </w:p>
    <w:p w14:paraId="22781141" w14:textId="131D4D2A" w:rsidR="00863081" w:rsidRPr="002E0565" w:rsidRDefault="00863081" w:rsidP="00863081">
      <w:pPr>
        <w:pStyle w:val="ListParagraph"/>
        <w:bidi w:val="0"/>
        <w:spacing w:before="240" w:line="360" w:lineRule="auto"/>
        <w:ind w:left="1224"/>
        <w:jc w:val="center"/>
        <w:rPr>
          <w:rFonts w:ascii="Times New Roman" w:hAnsi="Times New Roman" w:cs="David"/>
          <w:b/>
          <w:bCs/>
          <w:sz w:val="24"/>
          <w:szCs w:val="24"/>
        </w:rPr>
      </w:pPr>
      <w:r>
        <w:rPr>
          <w:rFonts w:ascii="Times New Roman" w:hAnsi="Times New Roman" w:cs="David"/>
          <w:b/>
          <w:bCs/>
          <w:sz w:val="24"/>
          <w:szCs w:val="24"/>
        </w:rPr>
        <w:t xml:space="preserve">Figure </w:t>
      </w:r>
      <w:r w:rsidR="00B27B3D">
        <w:rPr>
          <w:rFonts w:ascii="Times New Roman" w:hAnsi="Times New Roman" w:cs="David"/>
          <w:b/>
          <w:bCs/>
          <w:sz w:val="24"/>
          <w:szCs w:val="24"/>
        </w:rPr>
        <w:t>26</w:t>
      </w:r>
      <w:r>
        <w:rPr>
          <w:rFonts w:ascii="Times New Roman" w:hAnsi="Times New Roman" w:cs="David"/>
          <w:b/>
          <w:bCs/>
          <w:sz w:val="24"/>
          <w:szCs w:val="24"/>
        </w:rPr>
        <w:t xml:space="preserve"> - </w:t>
      </w:r>
      <w:r w:rsidRPr="002E0565">
        <w:rPr>
          <w:rFonts w:ascii="Times New Roman" w:hAnsi="Times New Roman" w:cs="David"/>
          <w:b/>
          <w:bCs/>
          <w:sz w:val="24"/>
          <w:szCs w:val="24"/>
        </w:rPr>
        <w:t>Net monthly shipments of euro banknotes to destinations outside the euro area</w:t>
      </w:r>
      <w:r>
        <w:rPr>
          <w:rFonts w:ascii="Times New Roman" w:hAnsi="Times New Roman" w:cs="David"/>
          <w:b/>
          <w:bCs/>
          <w:sz w:val="24"/>
          <w:szCs w:val="24"/>
        </w:rPr>
        <w:t xml:space="preserve"> </w:t>
      </w:r>
      <w:r w:rsidRPr="002E0565">
        <w:rPr>
          <w:rFonts w:ascii="Times New Roman" w:hAnsi="Times New Roman" w:cs="David"/>
          <w:b/>
          <w:bCs/>
          <w:sz w:val="24"/>
          <w:szCs w:val="24"/>
        </w:rPr>
        <w:t>(EUR billions; adjusted for seasonal effects)</w:t>
      </w:r>
    </w:p>
    <w:p w14:paraId="733AA92D" w14:textId="77777777" w:rsidR="00863081" w:rsidRPr="00A551BC" w:rsidRDefault="00863081" w:rsidP="00863081">
      <w:pPr>
        <w:pStyle w:val="ListParagraph"/>
        <w:bidi w:val="0"/>
        <w:spacing w:line="480" w:lineRule="auto"/>
        <w:ind w:left="1152"/>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43E7A989" wp14:editId="295FB514">
            <wp:extent cx="4340920" cy="2160000"/>
            <wp:effectExtent l="0" t="0" r="2540" b="0"/>
            <wp:docPr id="14" name="תמונה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3" descr="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0920" cy="2160000"/>
                    </a:xfrm>
                    <a:prstGeom prst="rect">
                      <a:avLst/>
                    </a:prstGeom>
                    <a:noFill/>
                    <a:ln>
                      <a:noFill/>
                    </a:ln>
                  </pic:spPr>
                </pic:pic>
              </a:graphicData>
            </a:graphic>
          </wp:inline>
        </w:drawing>
      </w:r>
    </w:p>
    <w:p w14:paraId="61BE8E06" w14:textId="77777777" w:rsidR="00077212" w:rsidRPr="00323933" w:rsidRDefault="00077212" w:rsidP="00077212">
      <w:pPr>
        <w:bidi w:val="0"/>
        <w:spacing w:line="360" w:lineRule="auto"/>
        <w:ind w:left="720"/>
        <w:jc w:val="center"/>
        <w:rPr>
          <w:rFonts w:ascii="Times New Roman" w:hAnsi="Times New Roman" w:cs="David"/>
          <w:sz w:val="24"/>
          <w:szCs w:val="24"/>
        </w:rPr>
      </w:pPr>
      <w:r w:rsidRPr="00323933">
        <w:rPr>
          <w:rFonts w:ascii="Times New Roman" w:hAnsi="Times New Roman" w:cs="David"/>
          <w:sz w:val="24"/>
          <w:szCs w:val="24"/>
        </w:rPr>
        <w:t>Source: Estimation of euro currency in circulation outside the euro area, ECB</w:t>
      </w:r>
    </w:p>
    <w:p w14:paraId="2C7916E3" w14:textId="77777777" w:rsidR="00863081" w:rsidRPr="00A551BC" w:rsidRDefault="00863081" w:rsidP="00863081">
      <w:pPr>
        <w:pStyle w:val="ListParagraph"/>
        <w:bidi w:val="0"/>
        <w:spacing w:line="480" w:lineRule="auto"/>
        <w:ind w:left="1584"/>
        <w:jc w:val="both"/>
        <w:rPr>
          <w:rFonts w:asciiTheme="majorBidi" w:hAnsiTheme="majorBidi" w:cstheme="majorBidi"/>
          <w:b/>
          <w:bCs/>
          <w:sz w:val="24"/>
          <w:szCs w:val="24"/>
        </w:rPr>
      </w:pPr>
    </w:p>
    <w:p w14:paraId="3C6FDFE7" w14:textId="77777777" w:rsidR="00863081" w:rsidRDefault="00863081" w:rsidP="00A2211D">
      <w:pPr>
        <w:pStyle w:val="ListParagraph"/>
        <w:bidi w:val="0"/>
        <w:spacing w:line="480" w:lineRule="auto"/>
        <w:ind w:left="864" w:firstLine="288"/>
        <w:jc w:val="both"/>
        <w:rPr>
          <w:rFonts w:ascii="Times New Roman" w:hAnsi="Times New Roman" w:cs="David"/>
          <w:sz w:val="24"/>
          <w:szCs w:val="24"/>
        </w:rPr>
      </w:pPr>
      <w:r w:rsidRPr="002E6E17">
        <w:rPr>
          <w:rFonts w:ascii="Times New Roman" w:hAnsi="Times New Roman" w:cs="David"/>
          <w:sz w:val="24"/>
          <w:szCs w:val="24"/>
        </w:rPr>
        <w:t>According to Judson (2017) demand for U.S. dollar banknotes continues to grow, and consistently increases at times of crisis both within and outside the United States because it remains a desirable store of value and medium of exchange in times and places where local currency or bank deposits are inferior. Judson presents updates on indirect methods of estimating the stock of currency held abroad. These methods continue to indicate that a large share of U.S. currency is held abroad, especially in the $100 denomination. Judson</w:t>
      </w:r>
      <w:r>
        <w:rPr>
          <w:rFonts w:ascii="Times New Roman" w:hAnsi="Times New Roman" w:cs="David"/>
          <w:sz w:val="24"/>
          <w:szCs w:val="24"/>
        </w:rPr>
        <w:t xml:space="preserve"> uses the following indirect methods:</w:t>
      </w:r>
    </w:p>
    <w:p w14:paraId="2AED67CD" w14:textId="77777777" w:rsidR="00863081" w:rsidRPr="001E5FDF" w:rsidRDefault="00863081" w:rsidP="00863081">
      <w:pPr>
        <w:pStyle w:val="ListParagraph"/>
        <w:numPr>
          <w:ilvl w:val="0"/>
          <w:numId w:val="7"/>
        </w:numPr>
        <w:bidi w:val="0"/>
        <w:spacing w:line="480" w:lineRule="auto"/>
        <w:jc w:val="both"/>
        <w:rPr>
          <w:rFonts w:asciiTheme="majorBidi" w:hAnsiTheme="majorBidi" w:cstheme="majorBidi"/>
          <w:sz w:val="24"/>
          <w:szCs w:val="24"/>
        </w:rPr>
      </w:pPr>
      <w:r w:rsidRPr="001E5FDF">
        <w:rPr>
          <w:rFonts w:asciiTheme="majorBidi" w:hAnsiTheme="majorBidi" w:cstheme="majorBidi"/>
          <w:b/>
          <w:bCs/>
          <w:sz w:val="24"/>
          <w:szCs w:val="24"/>
        </w:rPr>
        <w:t>Estimates Based on Money Demand and Comparisons with Canada</w:t>
      </w:r>
      <w:r w:rsidRPr="001E5FDF">
        <w:rPr>
          <w:rFonts w:asciiTheme="majorBidi" w:hAnsiTheme="majorBidi" w:cstheme="majorBidi"/>
          <w:sz w:val="24"/>
          <w:szCs w:val="24"/>
        </w:rPr>
        <w:t>.  Canada has similar income levels, payments technologies, holiday patterns, and GDP growth rates to those in the United States, but little Canadian currency is believed to circulate externally. If we assume that the Canadian ratio of currency to nominal GDP is the same as its U.S. counterpart for domestic demand, then the foreign share of U.S. demand can be estimated (foreign</w:t>
      </w:r>
      <w:r>
        <w:rPr>
          <w:rFonts w:asciiTheme="majorBidi" w:hAnsiTheme="majorBidi" w:cstheme="majorBidi"/>
          <w:sz w:val="24"/>
          <w:szCs w:val="24"/>
        </w:rPr>
        <w:t xml:space="preserve"> component) as:</w:t>
      </w:r>
    </w:p>
    <w:p w14:paraId="70B3F6DD" w14:textId="77777777" w:rsidR="00863081" w:rsidRDefault="00C27BF5" w:rsidP="00863081">
      <w:pPr>
        <w:pStyle w:val="ListParagraph"/>
        <w:bidi w:val="0"/>
        <w:ind w:left="1152"/>
      </w:pPr>
      <m:oMathPara>
        <m:oMath>
          <m:sSub>
            <m:sSubPr>
              <m:ctrlPr>
                <w:rPr>
                  <w:rFonts w:ascii="Cambria Math" w:hAnsi="Cambria Math"/>
                  <w:i/>
                </w:rPr>
              </m:ctrlPr>
            </m:sSubPr>
            <m:e>
              <m:r>
                <w:rPr>
                  <w:rFonts w:ascii="Cambria Math" w:hAnsi="Cambria Math"/>
                </w:rPr>
                <m:t>ForeignShare</m:t>
              </m:r>
            </m:e>
            <m:sub>
              <m:r>
                <w:rPr>
                  <w:rFonts w:ascii="Cambria Math" w:hAnsi="Cambria Math"/>
                </w:rPr>
                <m:t>USA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CurrUSA</m:t>
                  </m:r>
                </m:e>
                <m:sub>
                  <m:r>
                    <w:rPr>
                      <w:rFonts w:ascii="Cambria Math" w:hAnsi="Cambria Math"/>
                    </w:rPr>
                    <m:t>Foreign</m:t>
                  </m:r>
                </m:sub>
              </m:sSub>
            </m:num>
            <m:den>
              <m:sSub>
                <m:sSubPr>
                  <m:ctrlPr>
                    <w:rPr>
                      <w:rFonts w:ascii="Cambria Math" w:hAnsi="Cambria Math"/>
                      <w:i/>
                    </w:rPr>
                  </m:ctrlPr>
                </m:sSubPr>
                <m:e>
                  <m:r>
                    <w:rPr>
                      <w:rFonts w:ascii="Cambria Math" w:hAnsi="Cambria Math"/>
                    </w:rPr>
                    <m:t>CurrUSA</m:t>
                  </m:r>
                </m:e>
                <m:sub>
                  <m:r>
                    <w:rPr>
                      <w:rFonts w:ascii="Cambria Math" w:hAnsi="Cambria Math"/>
                    </w:rPr>
                    <m:t>Total</m:t>
                  </m:r>
                </m:sub>
              </m:sSub>
            </m:den>
          </m:f>
          <m:r>
            <w:rPr>
              <w:rFonts w:ascii="Cambria Math" w:hAnsi="Cambria Math"/>
            </w:rPr>
            <m:t xml:space="preserve">= 1- </m:t>
          </m:r>
          <m:f>
            <m:fPr>
              <m:ctrlPr>
                <w:rPr>
                  <w:rFonts w:ascii="Cambria Math" w:hAnsi="Cambria Math"/>
                  <w:i/>
                </w:rPr>
              </m:ctrlPr>
            </m:fPr>
            <m:num>
              <m:sSub>
                <m:sSubPr>
                  <m:ctrlPr>
                    <w:rPr>
                      <w:rFonts w:ascii="Cambria Math" w:hAnsi="Cambria Math"/>
                      <w:i/>
                    </w:rPr>
                  </m:ctrlPr>
                </m:sSubPr>
                <m:e>
                  <m:f>
                    <m:fPr>
                      <m:ctrlPr>
                        <w:rPr>
                          <w:rFonts w:ascii="Cambria Math" w:hAnsi="Cambria Math"/>
                          <w:i/>
                        </w:rPr>
                      </m:ctrlPr>
                    </m:fPr>
                    <m:num>
                      <m:r>
                        <w:rPr>
                          <w:rFonts w:ascii="Cambria Math" w:hAnsi="Cambria Math"/>
                        </w:rPr>
                        <m:t>Curr</m:t>
                      </m:r>
                    </m:num>
                    <m:den>
                      <m:r>
                        <w:rPr>
                          <w:rFonts w:ascii="Cambria Math" w:hAnsi="Cambria Math"/>
                        </w:rPr>
                        <m:t>GDP</m:t>
                      </m:r>
                    </m:den>
                  </m:f>
                </m:e>
                <m:sub>
                  <m:r>
                    <w:rPr>
                      <w:rFonts w:ascii="Cambria Math" w:hAnsi="Cambria Math"/>
                    </w:rPr>
                    <m:t>Canda</m:t>
                  </m:r>
                </m:sub>
              </m:sSub>
            </m:num>
            <m:den>
              <m:sSub>
                <m:sSubPr>
                  <m:ctrlPr>
                    <w:rPr>
                      <w:rFonts w:ascii="Cambria Math" w:hAnsi="Cambria Math"/>
                      <w:i/>
                    </w:rPr>
                  </m:ctrlPr>
                </m:sSubPr>
                <m:e>
                  <m:f>
                    <m:fPr>
                      <m:ctrlPr>
                        <w:rPr>
                          <w:rFonts w:ascii="Cambria Math" w:hAnsi="Cambria Math"/>
                          <w:i/>
                        </w:rPr>
                      </m:ctrlPr>
                    </m:fPr>
                    <m:num>
                      <m:r>
                        <w:rPr>
                          <w:rFonts w:ascii="Cambria Math" w:hAnsi="Cambria Math"/>
                        </w:rPr>
                        <m:t>Curr</m:t>
                      </m:r>
                    </m:num>
                    <m:den>
                      <m:r>
                        <w:rPr>
                          <w:rFonts w:ascii="Cambria Math" w:hAnsi="Cambria Math"/>
                        </w:rPr>
                        <m:t>GDP</m:t>
                      </m:r>
                    </m:den>
                  </m:f>
                </m:e>
                <m:sub>
                  <m:r>
                    <w:rPr>
                      <w:rFonts w:ascii="Cambria Math" w:hAnsi="Cambria Math"/>
                    </w:rPr>
                    <m:t>USA</m:t>
                  </m:r>
                </m:sub>
              </m:sSub>
            </m:den>
          </m:f>
        </m:oMath>
      </m:oMathPara>
    </w:p>
    <w:p w14:paraId="431282DB" w14:textId="77777777" w:rsidR="00863081" w:rsidRDefault="00863081" w:rsidP="00863081">
      <w:pPr>
        <w:pStyle w:val="ListParagraph"/>
        <w:bidi w:val="0"/>
        <w:spacing w:line="480" w:lineRule="auto"/>
        <w:ind w:left="1152"/>
        <w:jc w:val="both"/>
        <w:rPr>
          <w:rFonts w:asciiTheme="majorBidi" w:hAnsiTheme="majorBidi" w:cstheme="majorBidi"/>
          <w:sz w:val="24"/>
          <w:szCs w:val="24"/>
        </w:rPr>
      </w:pPr>
    </w:p>
    <w:p w14:paraId="3832EE17" w14:textId="72E02198" w:rsidR="00863081" w:rsidRPr="001E5FDF" w:rsidRDefault="00863081" w:rsidP="00863081">
      <w:pPr>
        <w:pStyle w:val="ListParagraph"/>
        <w:bidi w:val="0"/>
        <w:spacing w:line="480" w:lineRule="auto"/>
        <w:ind w:left="1152"/>
        <w:jc w:val="both"/>
        <w:rPr>
          <w:rFonts w:asciiTheme="majorBidi" w:hAnsiTheme="majorBidi" w:cstheme="majorBidi"/>
          <w:sz w:val="24"/>
          <w:szCs w:val="24"/>
        </w:rPr>
      </w:pPr>
      <w:r>
        <w:rPr>
          <w:rFonts w:asciiTheme="majorBidi" w:hAnsiTheme="majorBidi" w:cstheme="majorBidi"/>
          <w:sz w:val="24"/>
          <w:szCs w:val="24"/>
        </w:rPr>
        <w:t>A</w:t>
      </w:r>
      <w:r w:rsidRPr="001E5FDF">
        <w:rPr>
          <w:rFonts w:asciiTheme="majorBidi" w:hAnsiTheme="majorBidi" w:cstheme="majorBidi"/>
          <w:sz w:val="24"/>
          <w:szCs w:val="24"/>
        </w:rPr>
        <w:t>n alternative assumption would be that Canadian and U.S. domestic demands for currency relative to income are the same at the same levels of per capita income. In order to construct an estimate of the share of U.S. currency abroad using this assumption, Judson regress</w:t>
      </w:r>
      <w:r w:rsidR="00142DB0">
        <w:rPr>
          <w:rFonts w:asciiTheme="majorBidi" w:hAnsiTheme="majorBidi" w:cstheme="majorBidi"/>
          <w:sz w:val="24"/>
          <w:szCs w:val="24"/>
        </w:rPr>
        <w:t>ed</w:t>
      </w:r>
      <w:r w:rsidRPr="001E5FDF">
        <w:rPr>
          <w:rFonts w:asciiTheme="majorBidi" w:hAnsiTheme="majorBidi" w:cstheme="majorBidi"/>
          <w:sz w:val="24"/>
          <w:szCs w:val="24"/>
        </w:rPr>
        <w:t xml:space="preserve"> the ratio of Canadian currency to GDP on the log and level of Canadian per capita GDP</w:t>
      </w:r>
      <w:r w:rsidR="00A30108">
        <w:rPr>
          <w:rFonts w:asciiTheme="majorBidi" w:hAnsiTheme="majorBidi" w:cstheme="majorBidi"/>
          <w:sz w:val="24"/>
          <w:szCs w:val="24"/>
        </w:rPr>
        <w:t xml:space="preserve"> and</w:t>
      </w:r>
      <w:r w:rsidRPr="001E5FDF">
        <w:rPr>
          <w:rFonts w:asciiTheme="majorBidi" w:hAnsiTheme="majorBidi" w:cstheme="majorBidi"/>
          <w:sz w:val="24"/>
          <w:szCs w:val="24"/>
        </w:rPr>
        <w:t xml:space="preserve"> then construct</w:t>
      </w:r>
      <w:r w:rsidR="00D15CA4">
        <w:rPr>
          <w:rFonts w:asciiTheme="majorBidi" w:hAnsiTheme="majorBidi" w:cstheme="majorBidi"/>
          <w:sz w:val="24"/>
          <w:szCs w:val="24"/>
        </w:rPr>
        <w:t>ed</w:t>
      </w:r>
      <w:r w:rsidRPr="001E5FDF">
        <w:rPr>
          <w:rFonts w:asciiTheme="majorBidi" w:hAnsiTheme="majorBidi" w:cstheme="majorBidi"/>
          <w:sz w:val="24"/>
          <w:szCs w:val="24"/>
        </w:rPr>
        <w:t xml:space="preserve"> the estimated domestic share of U.S currency for a given level of U</w:t>
      </w:r>
      <w:r>
        <w:rPr>
          <w:rFonts w:asciiTheme="majorBidi" w:hAnsiTheme="majorBidi" w:cstheme="majorBidi"/>
          <w:sz w:val="24"/>
          <w:szCs w:val="24"/>
        </w:rPr>
        <w:t>.</w:t>
      </w:r>
      <w:r w:rsidRPr="001E5FDF">
        <w:rPr>
          <w:rFonts w:asciiTheme="majorBidi" w:hAnsiTheme="majorBidi" w:cstheme="majorBidi"/>
          <w:sz w:val="24"/>
          <w:szCs w:val="24"/>
        </w:rPr>
        <w:t>S</w:t>
      </w:r>
      <w:r>
        <w:rPr>
          <w:rFonts w:asciiTheme="majorBidi" w:hAnsiTheme="majorBidi" w:cstheme="majorBidi"/>
          <w:sz w:val="24"/>
          <w:szCs w:val="24"/>
        </w:rPr>
        <w:t>.</w:t>
      </w:r>
      <w:r w:rsidRPr="001E5FDF">
        <w:rPr>
          <w:rFonts w:asciiTheme="majorBidi" w:hAnsiTheme="majorBidi" w:cstheme="majorBidi"/>
          <w:sz w:val="24"/>
          <w:szCs w:val="24"/>
        </w:rPr>
        <w:t xml:space="preserve"> per capita GDP using the regression results. The estimate is then constructed as:</w:t>
      </w:r>
    </w:p>
    <w:p w14:paraId="14E4BCBA" w14:textId="77777777" w:rsidR="00863081" w:rsidRDefault="00C27BF5" w:rsidP="00863081">
      <w:pPr>
        <w:pStyle w:val="ListParagraph"/>
        <w:bidi w:val="0"/>
        <w:ind w:left="1152"/>
      </w:pPr>
      <m:oMathPara>
        <m:oMath>
          <m:sSub>
            <m:sSubPr>
              <m:ctrlPr>
                <w:rPr>
                  <w:rFonts w:ascii="Cambria Math" w:hAnsi="Cambria Math"/>
                  <w:i/>
                </w:rPr>
              </m:ctrlPr>
            </m:sSubPr>
            <m:e>
              <m:r>
                <w:rPr>
                  <w:rFonts w:ascii="Cambria Math" w:hAnsi="Cambria Math"/>
                </w:rPr>
                <m:t>ForeignShare</m:t>
              </m:r>
            </m:e>
            <m:sub>
              <m:r>
                <w:rPr>
                  <w:rFonts w:ascii="Cambria Math" w:hAnsi="Cambria Math"/>
                </w:rPr>
                <m:t>USA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CurrUSA</m:t>
                  </m:r>
                </m:e>
                <m:sub>
                  <m:r>
                    <w:rPr>
                      <w:rFonts w:ascii="Cambria Math" w:hAnsi="Cambria Math"/>
                    </w:rPr>
                    <m:t>Foreign</m:t>
                  </m:r>
                </m:sub>
              </m:sSub>
            </m:num>
            <m:den>
              <m:sSub>
                <m:sSubPr>
                  <m:ctrlPr>
                    <w:rPr>
                      <w:rFonts w:ascii="Cambria Math" w:hAnsi="Cambria Math"/>
                      <w:i/>
                    </w:rPr>
                  </m:ctrlPr>
                </m:sSubPr>
                <m:e>
                  <m:r>
                    <w:rPr>
                      <w:rFonts w:ascii="Cambria Math" w:hAnsi="Cambria Math"/>
                    </w:rPr>
                    <m:t>CurrUSA</m:t>
                  </m:r>
                </m:e>
                <m:sub>
                  <m:r>
                    <w:rPr>
                      <w:rFonts w:ascii="Cambria Math" w:hAnsi="Cambria Math"/>
                    </w:rPr>
                    <m:t>Total</m:t>
                  </m:r>
                </m:sub>
              </m:sSub>
            </m:den>
          </m:f>
          <m:r>
            <w:rPr>
              <w:rFonts w:ascii="Cambria Math" w:hAnsi="Cambria Math"/>
            </w:rPr>
            <m:t xml:space="preserve">= 1- </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f>
                        <m:fPr>
                          <m:ctrlPr>
                            <w:rPr>
                              <w:rFonts w:ascii="Cambria Math" w:hAnsi="Cambria Math"/>
                              <w:i/>
                            </w:rPr>
                          </m:ctrlPr>
                        </m:fPr>
                        <m:num>
                          <m:r>
                            <w:rPr>
                              <w:rFonts w:ascii="Cambria Math" w:hAnsi="Cambria Math"/>
                            </w:rPr>
                            <m:t>Curr</m:t>
                          </m:r>
                        </m:num>
                        <m:den>
                          <m:r>
                            <w:rPr>
                              <w:rFonts w:ascii="Cambria Math" w:hAnsi="Cambria Math"/>
                            </w:rPr>
                            <m:t>GDP</m:t>
                          </m:r>
                        </m:den>
                      </m:f>
                    </m:e>
                  </m:acc>
                </m:e>
                <m:sub>
                  <m:r>
                    <w:rPr>
                      <w:rFonts w:ascii="Cambria Math" w:hAnsi="Cambria Math"/>
                    </w:rPr>
                    <m:t>USADomestic</m:t>
                  </m:r>
                </m:sub>
              </m:sSub>
            </m:num>
            <m:den>
              <m:sSub>
                <m:sSubPr>
                  <m:ctrlPr>
                    <w:rPr>
                      <w:rFonts w:ascii="Cambria Math" w:hAnsi="Cambria Math"/>
                      <w:i/>
                    </w:rPr>
                  </m:ctrlPr>
                </m:sSubPr>
                <m:e>
                  <m:f>
                    <m:fPr>
                      <m:ctrlPr>
                        <w:rPr>
                          <w:rFonts w:ascii="Cambria Math" w:hAnsi="Cambria Math"/>
                          <w:i/>
                        </w:rPr>
                      </m:ctrlPr>
                    </m:fPr>
                    <m:num>
                      <m:r>
                        <w:rPr>
                          <w:rFonts w:ascii="Cambria Math" w:hAnsi="Cambria Math"/>
                        </w:rPr>
                        <m:t>Curr</m:t>
                      </m:r>
                    </m:num>
                    <m:den>
                      <m:r>
                        <w:rPr>
                          <w:rFonts w:ascii="Cambria Math" w:hAnsi="Cambria Math"/>
                        </w:rPr>
                        <m:t>GDP</m:t>
                      </m:r>
                    </m:den>
                  </m:f>
                </m:e>
                <m:sub>
                  <m:r>
                    <w:rPr>
                      <w:rFonts w:ascii="Cambria Math" w:hAnsi="Cambria Math"/>
                    </w:rPr>
                    <m:t>USA</m:t>
                  </m:r>
                </m:sub>
              </m:sSub>
            </m:den>
          </m:f>
        </m:oMath>
      </m:oMathPara>
    </w:p>
    <w:p w14:paraId="2628F347" w14:textId="77777777" w:rsidR="00863081" w:rsidRDefault="00863081" w:rsidP="00863081">
      <w:pPr>
        <w:pStyle w:val="ListParagraph"/>
        <w:bidi w:val="0"/>
        <w:spacing w:line="480" w:lineRule="auto"/>
        <w:ind w:left="1152"/>
        <w:jc w:val="both"/>
        <w:rPr>
          <w:rFonts w:ascii="Times New Roman" w:hAnsi="Times New Roman" w:cs="David"/>
          <w:sz w:val="24"/>
          <w:szCs w:val="24"/>
        </w:rPr>
      </w:pPr>
    </w:p>
    <w:p w14:paraId="0C09BE1E" w14:textId="77777777" w:rsidR="00863081" w:rsidRPr="00A74BB3" w:rsidRDefault="00863081" w:rsidP="00863081">
      <w:pPr>
        <w:pStyle w:val="ListParagraph"/>
        <w:numPr>
          <w:ilvl w:val="0"/>
          <w:numId w:val="7"/>
        </w:numPr>
        <w:bidi w:val="0"/>
        <w:spacing w:line="480" w:lineRule="auto"/>
        <w:jc w:val="both"/>
        <w:rPr>
          <w:rFonts w:asciiTheme="majorBidi" w:hAnsiTheme="majorBidi" w:cstheme="majorBidi"/>
          <w:b/>
          <w:bCs/>
          <w:sz w:val="28"/>
          <w:szCs w:val="28"/>
        </w:rPr>
      </w:pPr>
      <w:r w:rsidRPr="00A74BB3">
        <w:rPr>
          <w:rFonts w:asciiTheme="majorBidi" w:hAnsiTheme="majorBidi" w:cstheme="majorBidi"/>
          <w:b/>
          <w:bCs/>
          <w:sz w:val="24"/>
          <w:szCs w:val="24"/>
        </w:rPr>
        <w:t>The Seasonal Method</w:t>
      </w:r>
      <w:r>
        <w:rPr>
          <w:rFonts w:asciiTheme="majorBidi" w:hAnsiTheme="majorBidi" w:cstheme="majorBidi"/>
          <w:b/>
          <w:bCs/>
          <w:sz w:val="24"/>
          <w:szCs w:val="24"/>
        </w:rPr>
        <w:t>.</w:t>
      </w:r>
    </w:p>
    <w:p w14:paraId="6CCF37C6" w14:textId="77777777" w:rsidR="00863081" w:rsidRPr="00AA0D2D" w:rsidRDefault="00863081" w:rsidP="00863081">
      <w:pPr>
        <w:pStyle w:val="ListParagraph"/>
        <w:bidi w:val="0"/>
        <w:spacing w:line="480" w:lineRule="auto"/>
        <w:ind w:left="1152"/>
        <w:jc w:val="both"/>
        <w:rPr>
          <w:rFonts w:asciiTheme="majorBidi" w:hAnsiTheme="majorBidi" w:cstheme="majorBidi"/>
          <w:b/>
          <w:bCs/>
          <w:sz w:val="32"/>
          <w:szCs w:val="32"/>
        </w:rPr>
      </w:pPr>
      <w:r w:rsidRPr="00AA0D2D">
        <w:rPr>
          <w:rFonts w:asciiTheme="majorBidi" w:hAnsiTheme="majorBidi" w:cstheme="majorBidi"/>
          <w:sz w:val="24"/>
          <w:szCs w:val="24"/>
        </w:rPr>
        <w:t>In general, the seasonal method presupposes that U.S. currency held abroad behaves differently from U.S</w:t>
      </w:r>
      <w:r w:rsidRPr="00AA0D2D">
        <w:rPr>
          <w:rFonts w:asciiTheme="majorBidi" w:hAnsiTheme="majorBidi" w:cstheme="majorBidi"/>
          <w:sz w:val="24"/>
          <w:szCs w:val="24"/>
          <w:rtl/>
        </w:rPr>
        <w:t xml:space="preserve"> </w:t>
      </w:r>
      <w:r w:rsidRPr="00AA0D2D">
        <w:rPr>
          <w:rFonts w:asciiTheme="majorBidi" w:hAnsiTheme="majorBidi" w:cstheme="majorBidi"/>
          <w:sz w:val="24"/>
          <w:szCs w:val="24"/>
        </w:rPr>
        <w:t xml:space="preserve">currency held at home in some measurable respect. The average measured characteristic of currency, say X, will be a weighted average of the characteristic for the domestically held currency,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d</m:t>
            </m:r>
          </m:sup>
        </m:sSup>
      </m:oMath>
      <w:r w:rsidRPr="00AA0D2D">
        <w:rPr>
          <w:rFonts w:asciiTheme="majorBidi" w:hAnsiTheme="majorBidi" w:cstheme="majorBidi"/>
          <w:sz w:val="24"/>
          <w:szCs w:val="24"/>
        </w:rPr>
        <w:t>,</w:t>
      </w:r>
      <w:r w:rsidRPr="00AA0D2D">
        <w:rPr>
          <w:rFonts w:asciiTheme="majorBidi" w:hAnsiTheme="majorBidi" w:cstheme="majorBidi"/>
          <w:b/>
          <w:bCs/>
          <w:sz w:val="32"/>
          <w:szCs w:val="32"/>
        </w:rPr>
        <w:t xml:space="preserve"> </w:t>
      </w:r>
      <w:r w:rsidRPr="00AA0D2D">
        <w:rPr>
          <w:rFonts w:asciiTheme="majorBidi" w:hAnsiTheme="majorBidi" w:cstheme="majorBidi"/>
          <w:sz w:val="24"/>
          <w:szCs w:val="24"/>
        </w:rPr>
        <w:t xml:space="preserve">and of that for the foreign-held currency,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f</m:t>
            </m:r>
          </m:sup>
        </m:sSup>
      </m:oMath>
      <w:r w:rsidRPr="00AA0D2D">
        <w:rPr>
          <w:rFonts w:asciiTheme="majorBidi" w:hAnsiTheme="majorBidi" w:cstheme="majorBidi"/>
          <w:sz w:val="24"/>
          <w:szCs w:val="24"/>
        </w:rPr>
        <w:t>, as follows:</w:t>
      </w:r>
    </w:p>
    <w:p w14:paraId="649B8D94" w14:textId="77777777" w:rsidR="00863081" w:rsidRPr="00AA0D2D" w:rsidRDefault="00863081" w:rsidP="00863081">
      <w:pPr>
        <w:pStyle w:val="ListParagraph"/>
        <w:bidi w:val="0"/>
        <w:spacing w:line="480" w:lineRule="auto"/>
        <w:ind w:left="1152"/>
        <w:jc w:val="center"/>
        <w:rPr>
          <w:rFonts w:asciiTheme="majorBidi" w:hAnsiTheme="majorBidi" w:cstheme="majorBidi"/>
          <w:b/>
          <w:bCs/>
          <w:sz w:val="32"/>
          <w:szCs w:val="32"/>
        </w:rPr>
      </w:pPr>
      <m:oMathPara>
        <m:oMathParaPr>
          <m:jc m:val="center"/>
        </m:oMathParaPr>
        <m:oMath>
          <m:r>
            <m:rPr>
              <m:sty m:val="p"/>
            </m:rPr>
            <w:rPr>
              <w:rFonts w:ascii="Cambria Math" w:hAnsi="Cambria Math" w:cstheme="majorBidi"/>
              <w:sz w:val="24"/>
              <w:szCs w:val="24"/>
            </w:rPr>
            <m:t>X = β</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d</m:t>
              </m:r>
            </m:sup>
          </m:sSup>
          <m:r>
            <m:rPr>
              <m:sty m:val="p"/>
            </m:rPr>
            <w:rPr>
              <w:rFonts w:ascii="Cambria Math" w:hAnsi="Cambria Math" w:cstheme="majorBidi"/>
              <w:sz w:val="24"/>
              <w:szCs w:val="24"/>
            </w:rPr>
            <m:t>+ (1 - β)</m:t>
          </m:r>
          <m:r>
            <w:rPr>
              <w:rFonts w:ascii="Cambria Math" w:hAnsi="Cambria Math" w:cstheme="majorBidi"/>
              <w:sz w:val="24"/>
              <w:szCs w:val="24"/>
            </w:rPr>
            <m:t xml:space="preserve"> </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f</m:t>
              </m:r>
            </m:sup>
          </m:sSup>
        </m:oMath>
      </m:oMathPara>
    </w:p>
    <w:p w14:paraId="3E936146" w14:textId="2DD1C2BA" w:rsidR="00863081" w:rsidRPr="00AA0D2D" w:rsidRDefault="00863081" w:rsidP="00863081">
      <w:pPr>
        <w:pStyle w:val="ListParagraph"/>
        <w:bidi w:val="0"/>
        <w:spacing w:line="480" w:lineRule="auto"/>
        <w:ind w:left="1152"/>
        <w:jc w:val="both"/>
        <w:rPr>
          <w:rFonts w:asciiTheme="majorBidi" w:hAnsiTheme="majorBidi" w:cstheme="majorBidi"/>
          <w:sz w:val="24"/>
          <w:szCs w:val="24"/>
        </w:rPr>
      </w:pPr>
      <w:r w:rsidRPr="00AA0D2D">
        <w:rPr>
          <w:rFonts w:asciiTheme="majorBidi" w:hAnsiTheme="majorBidi" w:cstheme="majorBidi"/>
          <w:sz w:val="24"/>
          <w:szCs w:val="24"/>
        </w:rPr>
        <w:t xml:space="preserve">Where the weight β is the domestic share of total currency outstanding, and                       1 − β is the foreign share. By observing the overall behavior of currency, we know X. </w:t>
      </w:r>
      <w:r w:rsidR="00EB11FA">
        <w:rPr>
          <w:rFonts w:asciiTheme="majorBidi" w:hAnsiTheme="majorBidi" w:cstheme="majorBidi"/>
          <w:sz w:val="24"/>
          <w:szCs w:val="24"/>
        </w:rPr>
        <w:t>It is necessary</w:t>
      </w:r>
      <w:r w:rsidRPr="00AA0D2D">
        <w:rPr>
          <w:rFonts w:asciiTheme="majorBidi" w:hAnsiTheme="majorBidi" w:cstheme="majorBidi"/>
          <w:sz w:val="24"/>
          <w:szCs w:val="24"/>
        </w:rPr>
        <w:t xml:space="preserve"> to exploit various data to infer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d</m:t>
            </m:r>
          </m:sup>
        </m:sSup>
      </m:oMath>
      <w:r w:rsidRPr="00AA0D2D">
        <w:rPr>
          <w:rFonts w:asciiTheme="majorBidi" w:hAnsiTheme="majorBidi" w:cstheme="majorBidi"/>
          <w:sz w:val="24"/>
          <w:szCs w:val="24"/>
        </w:rPr>
        <w:t xml:space="preserve"> or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f</m:t>
            </m:r>
          </m:sup>
        </m:sSup>
      </m:oMath>
      <w:r w:rsidRPr="00AA0D2D">
        <w:rPr>
          <w:rFonts w:asciiTheme="majorBidi" w:hAnsiTheme="majorBidi" w:cstheme="majorBidi"/>
          <w:sz w:val="24"/>
          <w:szCs w:val="24"/>
        </w:rPr>
        <w:t xml:space="preserve"> , thus allowing an estimate of the shares of currency held at home and abroad.</w:t>
      </w:r>
    </w:p>
    <w:p w14:paraId="37079398" w14:textId="77777777" w:rsidR="00863081" w:rsidRDefault="00863081" w:rsidP="00863081">
      <w:pPr>
        <w:pStyle w:val="ListParagraph"/>
        <w:bidi w:val="0"/>
        <w:spacing w:line="480" w:lineRule="auto"/>
        <w:ind w:left="1152"/>
        <w:jc w:val="both"/>
        <w:rPr>
          <w:rFonts w:asciiTheme="majorBidi" w:hAnsiTheme="majorBidi" w:cstheme="majorBidi"/>
          <w:sz w:val="24"/>
          <w:szCs w:val="24"/>
        </w:rPr>
      </w:pPr>
      <w:r w:rsidRPr="00AA0D2D">
        <w:rPr>
          <w:rFonts w:asciiTheme="majorBidi" w:hAnsiTheme="majorBidi" w:cstheme="majorBidi"/>
          <w:sz w:val="24"/>
          <w:szCs w:val="24"/>
        </w:rPr>
        <w:t>The seasonal method</w:t>
      </w:r>
      <w:r>
        <w:rPr>
          <w:rFonts w:asciiTheme="majorBidi" w:hAnsiTheme="majorBidi" w:cstheme="majorBidi"/>
          <w:sz w:val="24"/>
          <w:szCs w:val="24"/>
        </w:rPr>
        <w:t xml:space="preserve"> (also known as </w:t>
      </w:r>
      <w:r w:rsidRPr="00AA1508">
        <w:rPr>
          <w:rFonts w:asciiTheme="majorBidi" w:hAnsiTheme="majorBidi" w:cstheme="majorBidi"/>
          <w:sz w:val="24"/>
          <w:szCs w:val="24"/>
        </w:rPr>
        <w:t>The Seasonal Variation Technique</w:t>
      </w:r>
      <w:r>
        <w:t>)</w:t>
      </w:r>
      <w:r w:rsidRPr="00AA0D2D">
        <w:rPr>
          <w:rFonts w:asciiTheme="majorBidi" w:hAnsiTheme="majorBidi" w:cstheme="majorBidi"/>
          <w:sz w:val="24"/>
          <w:szCs w:val="24"/>
        </w:rPr>
        <w:t xml:space="preserve"> uses relative seasonal variations in the currency circulating in the United States and Canada to infer overseas holdings of dollars. The share of U.S. currency abroad can be deduced by comparing the seasonality of Canadian currency in circulation to the seasonality of all U.S. currency in circulation.</w:t>
      </w:r>
    </w:p>
    <w:p w14:paraId="38B60DE7" w14:textId="77777777" w:rsidR="00863081" w:rsidRPr="00A74BB3" w:rsidRDefault="00863081" w:rsidP="00863081">
      <w:pPr>
        <w:pStyle w:val="ListParagraph"/>
        <w:bidi w:val="0"/>
        <w:spacing w:line="480" w:lineRule="auto"/>
        <w:ind w:left="1152"/>
        <w:jc w:val="both"/>
        <w:rPr>
          <w:rFonts w:asciiTheme="majorBidi" w:hAnsiTheme="majorBidi" w:cstheme="majorBidi"/>
          <w:b/>
          <w:bCs/>
          <w:sz w:val="24"/>
          <w:szCs w:val="24"/>
        </w:rPr>
      </w:pPr>
    </w:p>
    <w:p w14:paraId="6F2A51FE" w14:textId="77777777" w:rsidR="005A375D" w:rsidRPr="005A375D" w:rsidRDefault="00863081" w:rsidP="00863081">
      <w:pPr>
        <w:pStyle w:val="ListParagraph"/>
        <w:numPr>
          <w:ilvl w:val="0"/>
          <w:numId w:val="7"/>
        </w:numPr>
        <w:bidi w:val="0"/>
        <w:spacing w:line="480" w:lineRule="auto"/>
        <w:jc w:val="both"/>
        <w:rPr>
          <w:rFonts w:asciiTheme="majorBidi" w:hAnsiTheme="majorBidi" w:cstheme="majorBidi"/>
          <w:sz w:val="24"/>
          <w:szCs w:val="24"/>
        </w:rPr>
      </w:pPr>
      <w:r w:rsidRPr="00901955">
        <w:rPr>
          <w:rFonts w:asciiTheme="majorBidi" w:hAnsiTheme="majorBidi" w:cstheme="majorBidi"/>
          <w:b/>
          <w:bCs/>
          <w:sz w:val="24"/>
          <w:szCs w:val="24"/>
        </w:rPr>
        <w:t>Biometric method.</w:t>
      </w:r>
      <w:r w:rsidRPr="00AA1508">
        <w:t xml:space="preserve"> </w:t>
      </w:r>
    </w:p>
    <w:p w14:paraId="3B402F09" w14:textId="6277CCF2" w:rsidR="00863081" w:rsidRDefault="005A375D" w:rsidP="005A375D">
      <w:pPr>
        <w:pStyle w:val="ListParagraph"/>
        <w:bidi w:val="0"/>
        <w:spacing w:line="480" w:lineRule="auto"/>
        <w:ind w:left="1152"/>
        <w:jc w:val="both"/>
        <w:rPr>
          <w:rFonts w:asciiTheme="majorBidi" w:hAnsiTheme="majorBidi" w:cstheme="majorBidi"/>
          <w:sz w:val="24"/>
          <w:szCs w:val="24"/>
        </w:rPr>
      </w:pPr>
      <w:r>
        <w:t>T</w:t>
      </w:r>
      <w:r w:rsidR="00863081" w:rsidRPr="00901955">
        <w:rPr>
          <w:rFonts w:asciiTheme="majorBidi" w:hAnsiTheme="majorBidi" w:cstheme="majorBidi"/>
          <w:sz w:val="24"/>
          <w:szCs w:val="24"/>
        </w:rPr>
        <w:t>he method mimics a technique used by biologists to estimate the size of an animal population when they are able to capture only a sample of the population at any given time</w:t>
      </w:r>
      <w:r w:rsidR="00863081" w:rsidRPr="00786BB6">
        <w:rPr>
          <w:rStyle w:val="FootnoteReference"/>
          <w:rFonts w:asciiTheme="majorBidi" w:hAnsiTheme="majorBidi" w:cstheme="majorBidi"/>
          <w:sz w:val="24"/>
          <w:szCs w:val="24"/>
        </w:rPr>
        <w:footnoteReference w:id="45"/>
      </w:r>
      <w:r w:rsidR="00863081" w:rsidRPr="00901955">
        <w:rPr>
          <w:rFonts w:asciiTheme="majorBidi" w:hAnsiTheme="majorBidi" w:cstheme="majorBidi"/>
          <w:sz w:val="24"/>
          <w:szCs w:val="24"/>
        </w:rPr>
        <w:t>. The approach</w:t>
      </w:r>
      <w:r w:rsidR="00863081">
        <w:rPr>
          <w:rFonts w:asciiTheme="majorBidi" w:hAnsiTheme="majorBidi" w:cstheme="majorBidi"/>
          <w:sz w:val="24"/>
          <w:szCs w:val="24"/>
        </w:rPr>
        <w:t xml:space="preserve"> used </w:t>
      </w:r>
      <w:r w:rsidR="00121A3A" w:rsidRPr="00901955">
        <w:rPr>
          <w:rFonts w:asciiTheme="majorBidi" w:hAnsiTheme="majorBidi" w:cstheme="majorBidi"/>
          <w:sz w:val="24"/>
          <w:szCs w:val="24"/>
        </w:rPr>
        <w:t>estimate</w:t>
      </w:r>
      <w:r w:rsidR="00671370">
        <w:rPr>
          <w:rFonts w:asciiTheme="majorBidi" w:hAnsiTheme="majorBidi" w:cstheme="majorBidi"/>
          <w:sz w:val="24"/>
          <w:szCs w:val="24"/>
        </w:rPr>
        <w:t>s</w:t>
      </w:r>
      <w:r w:rsidR="00863081" w:rsidRPr="00901955">
        <w:rPr>
          <w:rFonts w:asciiTheme="majorBidi" w:hAnsiTheme="majorBidi" w:cstheme="majorBidi"/>
          <w:sz w:val="24"/>
          <w:szCs w:val="24"/>
        </w:rPr>
        <w:t xml:space="preserve"> how much U.S. currency is abroad by combining information of currency shipped to and from local banks allow to obtain virtually continuous ‘‘samples’’ of currency</w:t>
      </w:r>
      <w:r w:rsidR="00863081">
        <w:rPr>
          <w:rFonts w:asciiTheme="majorBidi" w:hAnsiTheme="majorBidi" w:cstheme="majorBidi"/>
          <w:sz w:val="24"/>
          <w:szCs w:val="24"/>
        </w:rPr>
        <w:t xml:space="preserve">, and </w:t>
      </w:r>
      <w:r w:rsidR="00863081" w:rsidRPr="00901955">
        <w:rPr>
          <w:rFonts w:asciiTheme="majorBidi" w:hAnsiTheme="majorBidi" w:cstheme="majorBidi"/>
          <w:sz w:val="24"/>
          <w:szCs w:val="24"/>
        </w:rPr>
        <w:t xml:space="preserve">statistics for the series note which contains an embedded security thread. </w:t>
      </w:r>
      <w:r w:rsidR="00863081">
        <w:rPr>
          <w:rFonts w:asciiTheme="majorBidi" w:hAnsiTheme="majorBidi" w:cstheme="majorBidi"/>
          <w:sz w:val="24"/>
          <w:szCs w:val="24"/>
        </w:rPr>
        <w:t>Thus, f</w:t>
      </w:r>
      <w:r w:rsidR="00863081" w:rsidRPr="00901955">
        <w:rPr>
          <w:rFonts w:asciiTheme="majorBidi" w:hAnsiTheme="majorBidi" w:cstheme="majorBidi"/>
          <w:sz w:val="24"/>
          <w:szCs w:val="24"/>
        </w:rPr>
        <w:t>or any geographic area, the total population of notes to be estimated, N, can be expressed in relation to three known numbers: M, the total number of marked notes; n, the number of notes in a sample; and m, the number of marked notes in a sample. Assuming that the notes circulate freely and randomly, so that the sampled proportions of marked notes are representative of the notes circulating in the area chosen, thus the biometric approach tells us that the sample proportion of marked notes is equal to the proportion of marked notes in the whole population:</w:t>
      </w:r>
    </w:p>
    <w:p w14:paraId="28593720" w14:textId="77777777" w:rsidR="00863081" w:rsidRPr="00901955" w:rsidRDefault="00C27BF5" w:rsidP="00863081">
      <w:pPr>
        <w:bidi w:val="0"/>
        <w:spacing w:line="480" w:lineRule="auto"/>
        <w:jc w:val="both"/>
        <w:rPr>
          <w:rFonts w:asciiTheme="majorBidi" w:hAnsiTheme="majorBidi" w:cstheme="majorBidi"/>
          <w:sz w:val="24"/>
          <w:szCs w:val="24"/>
        </w:rPr>
      </w:pPr>
      <m:oMathPara>
        <m:oMathParaPr>
          <m:jc m:val="center"/>
        </m:oMathParaPr>
        <m:oMath>
          <m:f>
            <m:fPr>
              <m:ctrlPr>
                <w:rPr>
                  <w:rFonts w:ascii="Cambria Math" w:hAnsi="Cambria Math" w:cstheme="majorBidi"/>
                  <w:i/>
                  <w:sz w:val="24"/>
                  <w:szCs w:val="24"/>
                </w:rPr>
              </m:ctrlPr>
            </m:fPr>
            <m:num>
              <m:r>
                <w:rPr>
                  <w:rFonts w:ascii="Cambria Math" w:hAnsi="Cambria Math" w:cstheme="majorBidi"/>
                  <w:sz w:val="24"/>
                  <w:szCs w:val="24"/>
                </w:rPr>
                <m:t>M</m:t>
              </m:r>
            </m:num>
            <m:den>
              <m:r>
                <w:rPr>
                  <w:rFonts w:ascii="Cambria Math" w:hAnsi="Cambria Math" w:cstheme="majorBidi"/>
                  <w:sz w:val="24"/>
                  <w:szCs w:val="24"/>
                </w:rPr>
                <m:t>N</m:t>
              </m:r>
            </m:den>
          </m:f>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m</m:t>
              </m:r>
            </m:num>
            <m:den>
              <m:r>
                <w:rPr>
                  <w:rFonts w:ascii="Cambria Math" w:hAnsi="Cambria Math" w:cstheme="majorBidi"/>
                  <w:sz w:val="24"/>
                  <w:szCs w:val="24"/>
                </w:rPr>
                <m:t>n</m:t>
              </m:r>
            </m:den>
          </m:f>
        </m:oMath>
      </m:oMathPara>
    </w:p>
    <w:p w14:paraId="01A48BB7" w14:textId="717F5825" w:rsidR="00863081" w:rsidRDefault="00863081" w:rsidP="00863081">
      <w:pPr>
        <w:pStyle w:val="ListParagraph"/>
        <w:numPr>
          <w:ilvl w:val="0"/>
          <w:numId w:val="7"/>
        </w:numPr>
        <w:bidi w:val="0"/>
        <w:spacing w:line="480" w:lineRule="auto"/>
        <w:jc w:val="both"/>
        <w:rPr>
          <w:rFonts w:asciiTheme="majorBidi" w:hAnsiTheme="majorBidi" w:cstheme="majorBidi"/>
          <w:b/>
          <w:bCs/>
          <w:sz w:val="24"/>
          <w:szCs w:val="24"/>
        </w:rPr>
      </w:pPr>
      <w:r w:rsidRPr="004B2BD1">
        <w:rPr>
          <w:rFonts w:asciiTheme="majorBidi" w:hAnsiTheme="majorBidi" w:cstheme="majorBidi"/>
          <w:b/>
          <w:bCs/>
          <w:sz w:val="24"/>
          <w:szCs w:val="24"/>
        </w:rPr>
        <w:t xml:space="preserve">Estimating a Currency Demand Function. </w:t>
      </w:r>
      <w:r w:rsidRPr="004B2BD1">
        <w:rPr>
          <w:rFonts w:asciiTheme="majorBidi" w:hAnsiTheme="majorBidi" w:cstheme="majorBidi"/>
          <w:sz w:val="24"/>
          <w:szCs w:val="24"/>
        </w:rPr>
        <w:t>Th</w:t>
      </w:r>
      <w:r w:rsidR="00C51613">
        <w:rPr>
          <w:rFonts w:asciiTheme="majorBidi" w:hAnsiTheme="majorBidi" w:cstheme="majorBidi"/>
          <w:sz w:val="24"/>
          <w:szCs w:val="24"/>
        </w:rPr>
        <w:t>is</w:t>
      </w:r>
      <w:r w:rsidRPr="004B2BD1">
        <w:rPr>
          <w:rFonts w:asciiTheme="majorBidi" w:hAnsiTheme="majorBidi" w:cstheme="majorBidi"/>
          <w:sz w:val="24"/>
          <w:szCs w:val="24"/>
        </w:rPr>
        <w:t xml:space="preserve"> approach specif</w:t>
      </w:r>
      <w:r w:rsidR="00C51613">
        <w:rPr>
          <w:rFonts w:asciiTheme="majorBidi" w:hAnsiTheme="majorBidi" w:cstheme="majorBidi"/>
          <w:sz w:val="24"/>
          <w:szCs w:val="24"/>
        </w:rPr>
        <w:t>ies</w:t>
      </w:r>
      <w:r w:rsidRPr="004B2BD1">
        <w:rPr>
          <w:rFonts w:asciiTheme="majorBidi" w:hAnsiTheme="majorBidi" w:cstheme="majorBidi"/>
          <w:sz w:val="24"/>
          <w:szCs w:val="24"/>
        </w:rPr>
        <w:t xml:space="preserve"> a demand function for U.S. currency that allows for foreign shipments as well as domestic factors. The general assumption has been that currency demand consists of two components: a domestic component, which should be correlated with the typical determinants of money demand (GDP, Short-term interest rate); and an international component, which is driven by routine as well as crisis-related fluctuations in foreign demand for U.S. currency. </w:t>
      </w:r>
    </w:p>
    <w:p w14:paraId="20908ABA" w14:textId="77777777" w:rsidR="00863081" w:rsidRDefault="00863081" w:rsidP="00863081">
      <w:pPr>
        <w:pStyle w:val="ListParagraph"/>
        <w:bidi w:val="0"/>
        <w:spacing w:line="480" w:lineRule="auto"/>
        <w:ind w:left="1152"/>
        <w:jc w:val="both"/>
        <w:rPr>
          <w:rFonts w:asciiTheme="majorBidi" w:hAnsiTheme="majorBidi" w:cstheme="majorBidi"/>
          <w:sz w:val="24"/>
          <w:szCs w:val="24"/>
        </w:rPr>
      </w:pPr>
    </w:p>
    <w:p w14:paraId="6426D198" w14:textId="789A7963" w:rsidR="00863081" w:rsidRDefault="00863081" w:rsidP="00863081">
      <w:pPr>
        <w:bidi w:val="0"/>
        <w:spacing w:line="480" w:lineRule="auto"/>
        <w:ind w:left="792"/>
        <w:jc w:val="both"/>
        <w:rPr>
          <w:rFonts w:ascii="Times New Roman" w:hAnsi="Times New Roman" w:cs="David"/>
          <w:sz w:val="24"/>
          <w:szCs w:val="24"/>
        </w:rPr>
      </w:pPr>
      <w:r w:rsidRPr="002E6E17">
        <w:rPr>
          <w:rFonts w:ascii="Times New Roman" w:hAnsi="Times New Roman" w:cs="David"/>
          <w:sz w:val="24"/>
          <w:szCs w:val="24"/>
        </w:rPr>
        <w:t>Dias (2018) discuss</w:t>
      </w:r>
      <w:r w:rsidR="00163336">
        <w:rPr>
          <w:rFonts w:ascii="Times New Roman" w:hAnsi="Times New Roman" w:cs="David"/>
          <w:sz w:val="24"/>
          <w:szCs w:val="24"/>
        </w:rPr>
        <w:t>es</w:t>
      </w:r>
      <w:r w:rsidRPr="002E6E17">
        <w:rPr>
          <w:rFonts w:ascii="Times New Roman" w:hAnsi="Times New Roman" w:cs="David"/>
          <w:sz w:val="24"/>
          <w:szCs w:val="24"/>
        </w:rPr>
        <w:t xml:space="preserve"> the non-trivial problem of a country’s currency circulation within a monetary union, focusing on an internationally relevant currency with significant intra monetary union cash flows: the euro. Dias examine a set of alternatives to estimate the Euros in circulation in some Euro area countries, based on different hypothesis, techniques and data. Although using a structural money demand model may be useful for some countries, his conclusions suggest that allocating a proportion of the Euros estimated to circulate in the Euro area to each country is more adoption ready and could offer relatively harmonized estimates.</w:t>
      </w:r>
    </w:p>
    <w:p w14:paraId="5911703D" w14:textId="77777777" w:rsidR="00863081" w:rsidRPr="00AE64BE" w:rsidRDefault="00863081" w:rsidP="00863081">
      <w:pPr>
        <w:bidi w:val="0"/>
        <w:spacing w:line="480" w:lineRule="auto"/>
        <w:ind w:left="792"/>
        <w:jc w:val="both"/>
        <w:rPr>
          <w:rFonts w:ascii="Times New Roman" w:hAnsi="Times New Roman" w:cs="David"/>
          <w:b/>
          <w:bCs/>
          <w:sz w:val="24"/>
          <w:szCs w:val="24"/>
          <w:u w:val="single"/>
        </w:rPr>
      </w:pPr>
      <w:r w:rsidRPr="00AE64BE">
        <w:rPr>
          <w:rFonts w:ascii="Times New Roman" w:hAnsi="Times New Roman" w:cs="David"/>
          <w:b/>
          <w:bCs/>
          <w:sz w:val="24"/>
          <w:szCs w:val="24"/>
          <w:u w:val="single"/>
        </w:rPr>
        <w:t>Chosen methodology</w:t>
      </w:r>
    </w:p>
    <w:p w14:paraId="0D0BC53B" w14:textId="6A433E6A" w:rsidR="00863081" w:rsidRPr="00E53529" w:rsidRDefault="00863081" w:rsidP="00863081">
      <w:pPr>
        <w:bidi w:val="0"/>
        <w:spacing w:line="480" w:lineRule="auto"/>
        <w:ind w:left="792"/>
        <w:jc w:val="both"/>
        <w:rPr>
          <w:rFonts w:ascii="Times New Roman" w:hAnsi="Times New Roman" w:cs="David"/>
          <w:sz w:val="24"/>
          <w:szCs w:val="24"/>
        </w:rPr>
      </w:pPr>
      <w:r w:rsidRPr="00E53529">
        <w:rPr>
          <w:rFonts w:ascii="Times New Roman" w:hAnsi="Times New Roman" w:cs="David"/>
          <w:sz w:val="24"/>
          <w:szCs w:val="24"/>
        </w:rPr>
        <w:t xml:space="preserve">Given the data available to us, we have chosen to adopt the methodology used by the ECB to try and assess how much of the NIS </w:t>
      </w:r>
      <w:r>
        <w:rPr>
          <w:rFonts w:ascii="Times New Roman" w:hAnsi="Times New Roman" w:cs="David"/>
          <w:sz w:val="24"/>
          <w:szCs w:val="24"/>
        </w:rPr>
        <w:t>cash</w:t>
      </w:r>
      <w:r w:rsidRPr="00E53529">
        <w:rPr>
          <w:rFonts w:ascii="Times New Roman" w:hAnsi="Times New Roman" w:cs="David"/>
          <w:sz w:val="24"/>
          <w:szCs w:val="24"/>
        </w:rPr>
        <w:t xml:space="preserve"> circulat</w:t>
      </w:r>
      <w:r>
        <w:rPr>
          <w:rFonts w:ascii="Times New Roman" w:hAnsi="Times New Roman" w:cs="David"/>
          <w:sz w:val="24"/>
          <w:szCs w:val="24"/>
        </w:rPr>
        <w:t>e</w:t>
      </w:r>
      <w:r w:rsidR="00A31682">
        <w:rPr>
          <w:rFonts w:ascii="Times New Roman" w:hAnsi="Times New Roman" w:cs="David"/>
          <w:sz w:val="24"/>
          <w:szCs w:val="24"/>
        </w:rPr>
        <w:t>s</w:t>
      </w:r>
      <w:r w:rsidRPr="00E53529">
        <w:rPr>
          <w:rFonts w:ascii="Times New Roman" w:hAnsi="Times New Roman" w:cs="David"/>
          <w:sz w:val="24"/>
          <w:szCs w:val="24"/>
        </w:rPr>
        <w:t xml:space="preserve"> in the </w:t>
      </w:r>
      <w:r w:rsidR="00A31682">
        <w:rPr>
          <w:rFonts w:ascii="Times New Roman" w:hAnsi="Times New Roman" w:cs="David"/>
          <w:sz w:val="24"/>
          <w:szCs w:val="24"/>
        </w:rPr>
        <w:t>WBG</w:t>
      </w:r>
      <w:r w:rsidRPr="00E53529">
        <w:rPr>
          <w:rFonts w:ascii="Times New Roman" w:hAnsi="Times New Roman" w:cs="David"/>
          <w:sz w:val="24"/>
          <w:szCs w:val="24"/>
        </w:rPr>
        <w:t>.</w:t>
      </w:r>
      <w:r>
        <w:rPr>
          <w:rFonts w:ascii="Times New Roman" w:hAnsi="Times New Roman" w:cs="David"/>
          <w:sz w:val="24"/>
          <w:szCs w:val="24"/>
        </w:rPr>
        <w:t xml:space="preserve"> </w:t>
      </w:r>
      <w:r w:rsidR="007E3B3C">
        <w:rPr>
          <w:rFonts w:ascii="Times New Roman" w:hAnsi="Times New Roman" w:cs="David"/>
          <w:sz w:val="24"/>
          <w:szCs w:val="24"/>
        </w:rPr>
        <w:t xml:space="preserve">Using </w:t>
      </w:r>
      <w:r w:rsidR="007E3B3C" w:rsidRPr="005906E5">
        <w:rPr>
          <w:rFonts w:ascii="Times New Roman" w:hAnsi="Times New Roman" w:cs="David"/>
          <w:sz w:val="24"/>
          <w:szCs w:val="24"/>
        </w:rPr>
        <w:t>data published by the BOI and the PMA</w:t>
      </w:r>
      <w:r w:rsidR="007E3B3C">
        <w:rPr>
          <w:rFonts w:ascii="Times New Roman" w:hAnsi="Times New Roman" w:cs="David"/>
          <w:sz w:val="24"/>
          <w:szCs w:val="24"/>
        </w:rPr>
        <w:t>, w</w:t>
      </w:r>
      <w:r w:rsidRPr="00577D94">
        <w:rPr>
          <w:rFonts w:ascii="Times New Roman" w:hAnsi="Times New Roman" w:cs="David"/>
          <w:sz w:val="24"/>
          <w:szCs w:val="24"/>
        </w:rPr>
        <w:t xml:space="preserve">e have calculated an upper </w:t>
      </w:r>
      <w:r>
        <w:rPr>
          <w:rFonts w:ascii="Times New Roman" w:hAnsi="Times New Roman" w:cs="David"/>
          <w:sz w:val="24"/>
          <w:szCs w:val="24"/>
        </w:rPr>
        <w:t>bound</w:t>
      </w:r>
      <w:r w:rsidRPr="00577D94">
        <w:rPr>
          <w:rFonts w:ascii="Times New Roman" w:hAnsi="Times New Roman" w:cs="David"/>
          <w:sz w:val="24"/>
          <w:szCs w:val="24"/>
        </w:rPr>
        <w:t xml:space="preserve"> and a lower </w:t>
      </w:r>
      <w:r>
        <w:rPr>
          <w:rFonts w:ascii="Times New Roman" w:hAnsi="Times New Roman" w:cs="David"/>
          <w:sz w:val="24"/>
          <w:szCs w:val="24"/>
        </w:rPr>
        <w:t>bound</w:t>
      </w:r>
      <w:r w:rsidRPr="00577D94">
        <w:rPr>
          <w:rFonts w:ascii="Times New Roman" w:hAnsi="Times New Roman" w:cs="David"/>
          <w:sz w:val="24"/>
          <w:szCs w:val="24"/>
        </w:rPr>
        <w:t xml:space="preserve"> and their average is </w:t>
      </w:r>
      <w:r>
        <w:rPr>
          <w:rFonts w:ascii="Times New Roman" w:hAnsi="Times New Roman" w:cs="David"/>
          <w:sz w:val="24"/>
          <w:szCs w:val="24"/>
        </w:rPr>
        <w:t>our</w:t>
      </w:r>
      <w:r w:rsidRPr="00577D94">
        <w:rPr>
          <w:rFonts w:ascii="Times New Roman" w:hAnsi="Times New Roman" w:cs="David"/>
          <w:sz w:val="24"/>
          <w:szCs w:val="24"/>
        </w:rPr>
        <w:t xml:space="preserve"> </w:t>
      </w:r>
      <w:r>
        <w:rPr>
          <w:rFonts w:ascii="Times New Roman" w:hAnsi="Times New Roman" w:cs="David"/>
          <w:sz w:val="24"/>
          <w:szCs w:val="24"/>
        </w:rPr>
        <w:t xml:space="preserve">final </w:t>
      </w:r>
      <w:r w:rsidRPr="00577D94">
        <w:rPr>
          <w:rFonts w:ascii="Times New Roman" w:hAnsi="Times New Roman" w:cs="David"/>
          <w:sz w:val="24"/>
          <w:szCs w:val="24"/>
        </w:rPr>
        <w:t>estimate.</w:t>
      </w:r>
    </w:p>
    <w:p w14:paraId="1FC0C076" w14:textId="2C25C259" w:rsidR="00863081" w:rsidRPr="005906E5" w:rsidRDefault="00863081" w:rsidP="00041864">
      <w:pPr>
        <w:bidi w:val="0"/>
        <w:spacing w:line="480" w:lineRule="auto"/>
        <w:ind w:left="792"/>
        <w:jc w:val="both"/>
        <w:rPr>
          <w:rFonts w:ascii="Times New Roman" w:hAnsi="Times New Roman" w:cs="David"/>
          <w:sz w:val="24"/>
          <w:szCs w:val="24"/>
        </w:rPr>
      </w:pPr>
      <w:r w:rsidRPr="003D0F26">
        <w:rPr>
          <w:rFonts w:ascii="Times New Roman" w:hAnsi="Times New Roman" w:cs="David"/>
          <w:sz w:val="24"/>
          <w:szCs w:val="24"/>
        </w:rPr>
        <w:t xml:space="preserve">The upper </w:t>
      </w:r>
      <w:r>
        <w:rPr>
          <w:rFonts w:ascii="Times New Roman" w:hAnsi="Times New Roman" w:cs="David"/>
          <w:sz w:val="24"/>
          <w:szCs w:val="24"/>
        </w:rPr>
        <w:t>bound</w:t>
      </w:r>
      <w:r w:rsidRPr="003D0F26">
        <w:rPr>
          <w:rFonts w:ascii="Times New Roman" w:hAnsi="Times New Roman" w:cs="David"/>
          <w:sz w:val="24"/>
          <w:szCs w:val="24"/>
        </w:rPr>
        <w:t xml:space="preserve"> is also based on the ratio between coins </w:t>
      </w:r>
      <w:r>
        <w:rPr>
          <w:rFonts w:ascii="Times New Roman" w:hAnsi="Times New Roman" w:cs="David"/>
          <w:sz w:val="24"/>
          <w:szCs w:val="24"/>
        </w:rPr>
        <w:t>and total cash in circulation.</w:t>
      </w:r>
      <w:r w:rsidRPr="003D0F26">
        <w:rPr>
          <w:rFonts w:ascii="Times New Roman" w:hAnsi="Times New Roman" w:cs="David"/>
          <w:sz w:val="24"/>
          <w:szCs w:val="24"/>
        </w:rPr>
        <w:t xml:space="preserve"> we took a ratio of 4.</w:t>
      </w:r>
      <w:r>
        <w:rPr>
          <w:rFonts w:ascii="Times New Roman" w:hAnsi="Times New Roman" w:cs="David"/>
          <w:sz w:val="24"/>
          <w:szCs w:val="24"/>
        </w:rPr>
        <w:t>8</w:t>
      </w:r>
      <w:r w:rsidRPr="003D0F26">
        <w:rPr>
          <w:rFonts w:ascii="Times New Roman" w:hAnsi="Times New Roman" w:cs="David"/>
          <w:sz w:val="24"/>
          <w:szCs w:val="24"/>
        </w:rPr>
        <w:t xml:space="preserve">% </w:t>
      </w:r>
      <w:r>
        <w:rPr>
          <w:rFonts w:ascii="Times New Roman" w:hAnsi="Times New Roman" w:cs="David"/>
          <w:sz w:val="24"/>
          <w:szCs w:val="24"/>
        </w:rPr>
        <w:t xml:space="preserve">- average of </w:t>
      </w:r>
      <w:r w:rsidRPr="003D0F26">
        <w:rPr>
          <w:rFonts w:ascii="Times New Roman" w:hAnsi="Times New Roman" w:cs="David"/>
          <w:sz w:val="24"/>
          <w:szCs w:val="24"/>
        </w:rPr>
        <w:t xml:space="preserve">the </w:t>
      </w:r>
      <w:r>
        <w:rPr>
          <w:rFonts w:ascii="Times New Roman" w:hAnsi="Times New Roman" w:cs="David"/>
          <w:sz w:val="24"/>
          <w:szCs w:val="24"/>
        </w:rPr>
        <w:t xml:space="preserve">years of the </w:t>
      </w:r>
      <w:r w:rsidRPr="003D0F26">
        <w:rPr>
          <w:rFonts w:ascii="Times New Roman" w:hAnsi="Times New Roman" w:cs="David"/>
          <w:sz w:val="24"/>
          <w:szCs w:val="24"/>
        </w:rPr>
        <w:t>second intifada</w:t>
      </w:r>
      <w:r>
        <w:rPr>
          <w:rFonts w:ascii="Times New Roman" w:hAnsi="Times New Roman" w:cs="David"/>
          <w:sz w:val="24"/>
          <w:szCs w:val="24"/>
        </w:rPr>
        <w:t xml:space="preserve"> (2002-2004)</w:t>
      </w:r>
      <w:r w:rsidRPr="003D0F26">
        <w:rPr>
          <w:rFonts w:ascii="Times New Roman" w:hAnsi="Times New Roman" w:cs="David"/>
          <w:sz w:val="24"/>
          <w:szCs w:val="24"/>
        </w:rPr>
        <w:t xml:space="preserve"> </w:t>
      </w:r>
      <w:r>
        <w:rPr>
          <w:rFonts w:ascii="Times New Roman" w:hAnsi="Times New Roman" w:cs="David"/>
          <w:sz w:val="24"/>
          <w:szCs w:val="24"/>
        </w:rPr>
        <w:t xml:space="preserve">where </w:t>
      </w:r>
      <w:r w:rsidRPr="003D0F26">
        <w:rPr>
          <w:rFonts w:ascii="Times New Roman" w:hAnsi="Times New Roman" w:cs="David"/>
          <w:sz w:val="24"/>
          <w:szCs w:val="24"/>
        </w:rPr>
        <w:t xml:space="preserve">the volume of </w:t>
      </w:r>
      <w:r>
        <w:rPr>
          <w:rFonts w:ascii="Times New Roman" w:hAnsi="Times New Roman" w:cs="David"/>
          <w:sz w:val="24"/>
          <w:szCs w:val="24"/>
        </w:rPr>
        <w:t xml:space="preserve">economic </w:t>
      </w:r>
      <w:r w:rsidRPr="003D0F26">
        <w:rPr>
          <w:rFonts w:ascii="Times New Roman" w:hAnsi="Times New Roman" w:cs="David"/>
          <w:sz w:val="24"/>
          <w:szCs w:val="24"/>
        </w:rPr>
        <w:t xml:space="preserve">activity between Israel and the </w:t>
      </w:r>
      <w:r w:rsidR="00CB0404">
        <w:rPr>
          <w:rFonts w:ascii="Times New Roman" w:hAnsi="Times New Roman" w:cs="David"/>
          <w:sz w:val="24"/>
          <w:szCs w:val="24"/>
        </w:rPr>
        <w:t>WBG</w:t>
      </w:r>
      <w:r w:rsidRPr="003D0F26">
        <w:rPr>
          <w:rFonts w:ascii="Times New Roman" w:hAnsi="Times New Roman" w:cs="David"/>
          <w:sz w:val="24"/>
          <w:szCs w:val="24"/>
        </w:rPr>
        <w:t xml:space="preserve"> </w:t>
      </w:r>
      <w:r w:rsidRPr="00D87988">
        <w:rPr>
          <w:rFonts w:ascii="Times New Roman" w:hAnsi="Times New Roman" w:cs="David"/>
          <w:sz w:val="24"/>
          <w:szCs w:val="24"/>
        </w:rPr>
        <w:t>decreased significantly</w:t>
      </w:r>
      <w:r w:rsidRPr="003D0F26">
        <w:rPr>
          <w:rFonts w:ascii="Times New Roman" w:hAnsi="Times New Roman" w:cs="David"/>
          <w:sz w:val="24"/>
          <w:szCs w:val="24"/>
        </w:rPr>
        <w:t>.</w:t>
      </w:r>
      <w:r>
        <w:rPr>
          <w:rFonts w:ascii="Times New Roman" w:hAnsi="Times New Roman" w:cs="David"/>
          <w:sz w:val="24"/>
          <w:szCs w:val="24"/>
        </w:rPr>
        <w:t xml:space="preserve"> </w:t>
      </w:r>
      <w:r w:rsidRPr="006E5583">
        <w:rPr>
          <w:rFonts w:ascii="Times New Roman" w:hAnsi="Times New Roman" w:cs="David"/>
          <w:sz w:val="24"/>
          <w:szCs w:val="24"/>
        </w:rPr>
        <w:t>We have chosen these years to reflect</w:t>
      </w:r>
      <w:r>
        <w:rPr>
          <w:rFonts w:ascii="Times New Roman" w:hAnsi="Times New Roman" w:cs="David"/>
          <w:sz w:val="24"/>
          <w:szCs w:val="24"/>
        </w:rPr>
        <w:t>--</w:t>
      </w:r>
      <w:r w:rsidRPr="006E5583">
        <w:rPr>
          <w:rFonts w:ascii="Times New Roman" w:hAnsi="Times New Roman" w:cs="David"/>
          <w:sz w:val="24"/>
          <w:szCs w:val="24"/>
        </w:rPr>
        <w:t>as much as possible</w:t>
      </w:r>
      <w:r>
        <w:rPr>
          <w:rFonts w:ascii="Times New Roman" w:hAnsi="Times New Roman" w:cs="David"/>
          <w:sz w:val="24"/>
          <w:szCs w:val="24"/>
        </w:rPr>
        <w:t>--</w:t>
      </w:r>
      <w:r w:rsidRPr="006E5583">
        <w:rPr>
          <w:rFonts w:ascii="Times New Roman" w:hAnsi="Times New Roman" w:cs="David"/>
          <w:sz w:val="24"/>
          <w:szCs w:val="24"/>
        </w:rPr>
        <w:t xml:space="preserve"> a ratio </w:t>
      </w:r>
      <w:r>
        <w:rPr>
          <w:rFonts w:ascii="Times New Roman" w:hAnsi="Times New Roman" w:cs="David"/>
          <w:sz w:val="24"/>
          <w:szCs w:val="24"/>
        </w:rPr>
        <w:t>of coins to total cash in circulation</w:t>
      </w:r>
      <w:r w:rsidRPr="006E5583">
        <w:rPr>
          <w:rFonts w:ascii="Times New Roman" w:hAnsi="Times New Roman" w:cs="David"/>
          <w:sz w:val="24"/>
          <w:szCs w:val="24"/>
        </w:rPr>
        <w:t xml:space="preserve"> based mainly on the use of Israel</w:t>
      </w:r>
      <w:r>
        <w:rPr>
          <w:rFonts w:ascii="Times New Roman" w:hAnsi="Times New Roman" w:cs="David"/>
          <w:sz w:val="24"/>
          <w:szCs w:val="24"/>
        </w:rPr>
        <w:t>is</w:t>
      </w:r>
      <w:r w:rsidR="00474709">
        <w:rPr>
          <w:rFonts w:ascii="Times New Roman" w:hAnsi="Times New Roman" w:cs="David"/>
          <w:sz w:val="24"/>
          <w:szCs w:val="24"/>
        </w:rPr>
        <w:t xml:space="preserve"> </w:t>
      </w:r>
      <w:r w:rsidR="00474709" w:rsidRPr="006E5583">
        <w:rPr>
          <w:rFonts w:ascii="Times New Roman" w:hAnsi="Times New Roman" w:cs="David"/>
          <w:sz w:val="24"/>
          <w:szCs w:val="24"/>
        </w:rPr>
        <w:t>(similar to the ECB that chose the year 2002 - the year of the launch of the euro currency)</w:t>
      </w:r>
      <w:r w:rsidRPr="006E5583">
        <w:rPr>
          <w:rFonts w:ascii="Times New Roman" w:hAnsi="Times New Roman" w:cs="David"/>
          <w:sz w:val="24"/>
          <w:szCs w:val="24"/>
        </w:rPr>
        <w:t xml:space="preserve">. </w:t>
      </w:r>
      <w:r w:rsidRPr="003D0F26">
        <w:rPr>
          <w:rFonts w:ascii="Times New Roman" w:hAnsi="Times New Roman" w:cs="David"/>
          <w:sz w:val="24"/>
          <w:szCs w:val="24"/>
        </w:rPr>
        <w:t xml:space="preserve">The lower </w:t>
      </w:r>
      <w:r>
        <w:rPr>
          <w:rFonts w:ascii="Times New Roman" w:hAnsi="Times New Roman" w:cs="David"/>
          <w:sz w:val="24"/>
          <w:szCs w:val="24"/>
        </w:rPr>
        <w:t>bound</w:t>
      </w:r>
      <w:r w:rsidRPr="003D0F26">
        <w:rPr>
          <w:rFonts w:ascii="Times New Roman" w:hAnsi="Times New Roman" w:cs="David"/>
          <w:sz w:val="24"/>
          <w:szCs w:val="24"/>
        </w:rPr>
        <w:t xml:space="preserve"> is based on the amount of </w:t>
      </w:r>
      <w:r>
        <w:rPr>
          <w:rFonts w:ascii="Times New Roman" w:hAnsi="Times New Roman" w:cs="David"/>
          <w:sz w:val="24"/>
          <w:szCs w:val="24"/>
        </w:rPr>
        <w:t xml:space="preserve">NIS </w:t>
      </w:r>
      <w:r w:rsidRPr="003D0F26">
        <w:rPr>
          <w:rFonts w:ascii="Times New Roman" w:hAnsi="Times New Roman" w:cs="David"/>
          <w:sz w:val="24"/>
          <w:szCs w:val="24"/>
        </w:rPr>
        <w:t>cash held</w:t>
      </w:r>
      <w:r>
        <w:rPr>
          <w:rFonts w:ascii="Times New Roman" w:hAnsi="Times New Roman" w:cs="David"/>
          <w:sz w:val="24"/>
          <w:szCs w:val="24"/>
        </w:rPr>
        <w:t xml:space="preserve"> in vaults</w:t>
      </w:r>
      <w:r w:rsidRPr="003D0F26">
        <w:rPr>
          <w:rFonts w:ascii="Times New Roman" w:hAnsi="Times New Roman" w:cs="David"/>
          <w:sz w:val="24"/>
          <w:szCs w:val="24"/>
        </w:rPr>
        <w:t xml:space="preserve"> by the Palestinian banking system.</w:t>
      </w:r>
      <w:r w:rsidR="00317D86">
        <w:rPr>
          <w:rFonts w:ascii="Times New Roman" w:hAnsi="Times New Roman" w:cs="David"/>
          <w:sz w:val="24"/>
          <w:szCs w:val="24"/>
        </w:rPr>
        <w:t xml:space="preserve"> </w:t>
      </w:r>
      <w:r>
        <w:rPr>
          <w:rFonts w:ascii="Times New Roman" w:hAnsi="Times New Roman" w:cs="David"/>
          <w:sz w:val="24"/>
          <w:szCs w:val="24"/>
        </w:rPr>
        <w:t>The estimate is a simple average of the lower and upper bounds.</w:t>
      </w:r>
    </w:p>
    <w:p w14:paraId="40A42916" w14:textId="77777777" w:rsidR="00863081" w:rsidRDefault="00863081" w:rsidP="00863081">
      <w:pPr>
        <w:bidi w:val="0"/>
        <w:spacing w:line="480" w:lineRule="auto"/>
        <w:ind w:left="792"/>
        <w:jc w:val="both"/>
        <w:rPr>
          <w:rFonts w:ascii="Times New Roman" w:hAnsi="Times New Roman" w:cs="David"/>
          <w:b/>
          <w:bCs/>
          <w:sz w:val="24"/>
          <w:szCs w:val="24"/>
          <w:u w:val="single"/>
        </w:rPr>
      </w:pPr>
      <w:r w:rsidRPr="009151D0">
        <w:rPr>
          <w:rFonts w:ascii="Times New Roman" w:hAnsi="Times New Roman" w:cs="David"/>
          <w:b/>
          <w:bCs/>
          <w:sz w:val="24"/>
          <w:szCs w:val="24"/>
          <w:u w:val="single"/>
        </w:rPr>
        <w:t>Results</w:t>
      </w:r>
    </w:p>
    <w:p w14:paraId="74C91000" w14:textId="2D305C31" w:rsidR="00863081" w:rsidRDefault="00863081" w:rsidP="00863081">
      <w:pPr>
        <w:bidi w:val="0"/>
        <w:spacing w:line="480" w:lineRule="auto"/>
        <w:ind w:left="792"/>
        <w:jc w:val="both"/>
        <w:rPr>
          <w:rFonts w:ascii="Times New Roman" w:hAnsi="Times New Roman" w:cs="David"/>
          <w:sz w:val="24"/>
          <w:szCs w:val="24"/>
        </w:rPr>
      </w:pPr>
      <w:r w:rsidRPr="007D6973">
        <w:rPr>
          <w:rFonts w:ascii="Times New Roman" w:hAnsi="Times New Roman" w:cs="David"/>
          <w:sz w:val="24"/>
          <w:szCs w:val="24"/>
        </w:rPr>
        <w:t xml:space="preserve">We find that the </w:t>
      </w:r>
      <w:r>
        <w:rPr>
          <w:rFonts w:ascii="Times New Roman" w:hAnsi="Times New Roman" w:cs="David"/>
          <w:sz w:val="24"/>
          <w:szCs w:val="24"/>
        </w:rPr>
        <w:t>share</w:t>
      </w:r>
      <w:r w:rsidRPr="007D6973">
        <w:rPr>
          <w:rFonts w:ascii="Times New Roman" w:hAnsi="Times New Roman" w:cs="David"/>
          <w:sz w:val="24"/>
          <w:szCs w:val="24"/>
        </w:rPr>
        <w:t xml:space="preserve"> of </w:t>
      </w:r>
      <w:r>
        <w:rPr>
          <w:rFonts w:ascii="Times New Roman" w:hAnsi="Times New Roman" w:cs="David"/>
          <w:sz w:val="24"/>
          <w:szCs w:val="24"/>
        </w:rPr>
        <w:t>NIS cash</w:t>
      </w:r>
      <w:r w:rsidRPr="007D6973">
        <w:rPr>
          <w:rFonts w:ascii="Times New Roman" w:hAnsi="Times New Roman" w:cs="David"/>
          <w:sz w:val="24"/>
          <w:szCs w:val="24"/>
        </w:rPr>
        <w:t xml:space="preserve"> </w:t>
      </w:r>
      <w:r>
        <w:rPr>
          <w:rFonts w:ascii="Times New Roman" w:hAnsi="Times New Roman" w:cs="David"/>
          <w:sz w:val="24"/>
          <w:szCs w:val="24"/>
        </w:rPr>
        <w:t>that circulates</w:t>
      </w:r>
      <w:r w:rsidRPr="007D6973">
        <w:rPr>
          <w:rFonts w:ascii="Times New Roman" w:hAnsi="Times New Roman" w:cs="David"/>
          <w:sz w:val="24"/>
          <w:szCs w:val="24"/>
        </w:rPr>
        <w:t xml:space="preserve"> in the </w:t>
      </w:r>
      <w:r w:rsidR="00CB0404">
        <w:rPr>
          <w:rFonts w:ascii="Times New Roman" w:hAnsi="Times New Roman" w:cs="David"/>
          <w:sz w:val="24"/>
          <w:szCs w:val="24"/>
        </w:rPr>
        <w:t>WBG</w:t>
      </w:r>
      <w:r>
        <w:rPr>
          <w:rFonts w:ascii="Times New Roman" w:hAnsi="Times New Roman" w:cs="David"/>
          <w:sz w:val="24"/>
          <w:szCs w:val="24"/>
        </w:rPr>
        <w:t xml:space="preserve"> is</w:t>
      </w:r>
      <w:r w:rsidRPr="007D6973">
        <w:rPr>
          <w:rFonts w:ascii="Times New Roman" w:hAnsi="Times New Roman" w:cs="David"/>
          <w:sz w:val="24"/>
          <w:szCs w:val="24"/>
        </w:rPr>
        <w:t xml:space="preserve"> </w:t>
      </w:r>
      <w:r>
        <w:rPr>
          <w:rFonts w:ascii="Times New Roman" w:hAnsi="Times New Roman" w:cs="David"/>
          <w:sz w:val="24"/>
          <w:szCs w:val="24"/>
        </w:rPr>
        <w:t>on average</w:t>
      </w:r>
      <w:r w:rsidRPr="007D6973">
        <w:rPr>
          <w:rFonts w:ascii="Times New Roman" w:hAnsi="Times New Roman" w:cs="David"/>
          <w:sz w:val="24"/>
          <w:szCs w:val="24"/>
        </w:rPr>
        <w:t xml:space="preserve"> 20% of </w:t>
      </w:r>
      <w:r>
        <w:rPr>
          <w:rFonts w:ascii="Times New Roman" w:hAnsi="Times New Roman" w:cs="David"/>
          <w:sz w:val="24"/>
          <w:szCs w:val="24"/>
        </w:rPr>
        <w:t>total NIS circulation</w:t>
      </w:r>
      <w:r w:rsidRPr="007D6973">
        <w:rPr>
          <w:rFonts w:ascii="Times New Roman" w:hAnsi="Times New Roman" w:cs="David"/>
          <w:sz w:val="24"/>
          <w:szCs w:val="24"/>
        </w:rPr>
        <w:t xml:space="preserve"> between 2010-2019</w:t>
      </w:r>
      <w:r>
        <w:rPr>
          <w:rFonts w:ascii="Times New Roman" w:hAnsi="Times New Roman" w:cs="David"/>
          <w:sz w:val="24"/>
          <w:szCs w:val="24"/>
        </w:rPr>
        <w:t>, and is</w:t>
      </w:r>
      <w:r w:rsidRPr="007D6973">
        <w:rPr>
          <w:rFonts w:ascii="Times New Roman" w:hAnsi="Times New Roman" w:cs="David"/>
          <w:sz w:val="24"/>
          <w:szCs w:val="24"/>
        </w:rPr>
        <w:t xml:space="preserve"> </w:t>
      </w:r>
      <w:r>
        <w:rPr>
          <w:rFonts w:ascii="Times New Roman" w:hAnsi="Times New Roman" w:cs="David"/>
          <w:sz w:val="24"/>
          <w:szCs w:val="24"/>
        </w:rPr>
        <w:t>estimated at</w:t>
      </w:r>
      <w:r w:rsidRPr="007D6973">
        <w:rPr>
          <w:rFonts w:ascii="Times New Roman" w:hAnsi="Times New Roman" w:cs="David"/>
          <w:sz w:val="24"/>
          <w:szCs w:val="24"/>
        </w:rPr>
        <w:t xml:space="preserve"> NIS 18 billion in 2019.</w:t>
      </w:r>
      <w:r>
        <w:rPr>
          <w:rFonts w:ascii="Times New Roman" w:hAnsi="Times New Roman" w:cs="David"/>
          <w:sz w:val="24"/>
          <w:szCs w:val="24"/>
        </w:rPr>
        <w:t xml:space="preserve"> Excess cash deposited in Israel by Palestinian banks is positively correlated with our estimate. </w:t>
      </w:r>
      <w:r w:rsidRPr="00C23189">
        <w:rPr>
          <w:rFonts w:ascii="Times New Roman" w:hAnsi="Times New Roman" w:cs="David"/>
          <w:sz w:val="24"/>
          <w:szCs w:val="24"/>
        </w:rPr>
        <w:t xml:space="preserve">This means that some of the </w:t>
      </w:r>
      <w:r>
        <w:rPr>
          <w:rFonts w:ascii="Times New Roman" w:hAnsi="Times New Roman" w:cs="David"/>
          <w:sz w:val="24"/>
          <w:szCs w:val="24"/>
        </w:rPr>
        <w:t>NIS cash</w:t>
      </w:r>
      <w:r w:rsidRPr="00C23189">
        <w:rPr>
          <w:rFonts w:ascii="Times New Roman" w:hAnsi="Times New Roman" w:cs="David"/>
          <w:sz w:val="24"/>
          <w:szCs w:val="24"/>
        </w:rPr>
        <w:t xml:space="preserve"> that flow</w:t>
      </w:r>
      <w:r>
        <w:rPr>
          <w:rFonts w:ascii="Times New Roman" w:hAnsi="Times New Roman" w:cs="David"/>
          <w:sz w:val="24"/>
          <w:szCs w:val="24"/>
        </w:rPr>
        <w:t>s</w:t>
      </w:r>
      <w:r w:rsidRPr="00C23189">
        <w:rPr>
          <w:rFonts w:ascii="Times New Roman" w:hAnsi="Times New Roman" w:cs="David"/>
          <w:sz w:val="24"/>
          <w:szCs w:val="24"/>
        </w:rPr>
        <w:t xml:space="preserve"> to the </w:t>
      </w:r>
      <w:r w:rsidR="00C80ACE">
        <w:rPr>
          <w:rFonts w:ascii="Times New Roman" w:hAnsi="Times New Roman" w:cs="David"/>
          <w:sz w:val="24"/>
          <w:szCs w:val="24"/>
        </w:rPr>
        <w:t>WBGs</w:t>
      </w:r>
      <w:r>
        <w:rPr>
          <w:rFonts w:ascii="Times New Roman" w:hAnsi="Times New Roman" w:cs="David"/>
          <w:sz w:val="24"/>
          <w:szCs w:val="24"/>
        </w:rPr>
        <w:t xml:space="preserve"> </w:t>
      </w:r>
      <w:r w:rsidRPr="00C23189">
        <w:rPr>
          <w:rFonts w:ascii="Times New Roman" w:hAnsi="Times New Roman" w:cs="David"/>
          <w:sz w:val="24"/>
          <w:szCs w:val="24"/>
        </w:rPr>
        <w:t>remain</w:t>
      </w:r>
      <w:r w:rsidR="00C80ACE">
        <w:rPr>
          <w:rFonts w:ascii="Times New Roman" w:hAnsi="Times New Roman" w:cs="David"/>
          <w:sz w:val="24"/>
          <w:szCs w:val="24"/>
        </w:rPr>
        <w:t>s</w:t>
      </w:r>
      <w:r w:rsidRPr="00C23189">
        <w:rPr>
          <w:rFonts w:ascii="Times New Roman" w:hAnsi="Times New Roman" w:cs="David"/>
          <w:sz w:val="24"/>
          <w:szCs w:val="24"/>
        </w:rPr>
        <w:t xml:space="preserve"> in the Palestinian economy for the purpose of</w:t>
      </w:r>
      <w:r>
        <w:rPr>
          <w:rFonts w:ascii="Times New Roman" w:hAnsi="Times New Roman" w:cs="David"/>
          <w:sz w:val="24"/>
          <w:szCs w:val="24"/>
        </w:rPr>
        <w:t xml:space="preserve"> store of value and means of payment. </w:t>
      </w:r>
      <w:r w:rsidRPr="00C23189">
        <w:rPr>
          <w:rFonts w:ascii="Times New Roman" w:hAnsi="Times New Roman" w:cs="David"/>
          <w:sz w:val="24"/>
          <w:szCs w:val="24"/>
        </w:rPr>
        <w:t xml:space="preserve">The increase in </w:t>
      </w:r>
      <w:r>
        <w:rPr>
          <w:rFonts w:ascii="Times New Roman" w:hAnsi="Times New Roman" w:cs="David"/>
          <w:sz w:val="24"/>
          <w:szCs w:val="24"/>
        </w:rPr>
        <w:t xml:space="preserve">NIS </w:t>
      </w:r>
      <w:r w:rsidRPr="00C23189">
        <w:rPr>
          <w:rFonts w:ascii="Times New Roman" w:hAnsi="Times New Roman" w:cs="David"/>
          <w:sz w:val="24"/>
          <w:szCs w:val="24"/>
        </w:rPr>
        <w:t xml:space="preserve">cash in </w:t>
      </w:r>
      <w:r>
        <w:rPr>
          <w:rFonts w:ascii="Times New Roman" w:hAnsi="Times New Roman" w:cs="David"/>
          <w:sz w:val="24"/>
          <w:szCs w:val="24"/>
        </w:rPr>
        <w:t>Palestinian banks vaults</w:t>
      </w:r>
      <w:r w:rsidRPr="00C23189">
        <w:rPr>
          <w:rFonts w:ascii="Times New Roman" w:hAnsi="Times New Roman" w:cs="David"/>
          <w:sz w:val="24"/>
          <w:szCs w:val="24"/>
        </w:rPr>
        <w:t xml:space="preserve"> reflects, among other things, liquidity needs</w:t>
      </w:r>
      <w:r w:rsidR="00AB386E">
        <w:rPr>
          <w:rFonts w:ascii="Times New Roman" w:hAnsi="Times New Roman" w:cs="David"/>
          <w:sz w:val="24"/>
          <w:szCs w:val="24"/>
        </w:rPr>
        <w:t>,</w:t>
      </w:r>
      <w:r>
        <w:rPr>
          <w:rFonts w:ascii="Times New Roman" w:hAnsi="Times New Roman" w:cs="David"/>
          <w:sz w:val="24"/>
          <w:szCs w:val="24"/>
        </w:rPr>
        <w:t xml:space="preserve"> </w:t>
      </w:r>
      <w:r w:rsidRPr="00C23189">
        <w:rPr>
          <w:rFonts w:ascii="Times New Roman" w:hAnsi="Times New Roman" w:cs="David"/>
          <w:sz w:val="24"/>
          <w:szCs w:val="24"/>
        </w:rPr>
        <w:t xml:space="preserve">but also the inability of the Palestinian banks to deposit the excess cash </w:t>
      </w:r>
      <w:r>
        <w:rPr>
          <w:rFonts w:ascii="Times New Roman" w:hAnsi="Times New Roman" w:cs="David"/>
          <w:sz w:val="24"/>
          <w:szCs w:val="24"/>
        </w:rPr>
        <w:t>back to the</w:t>
      </w:r>
      <w:r w:rsidRPr="00C23189">
        <w:rPr>
          <w:rFonts w:ascii="Times New Roman" w:hAnsi="Times New Roman" w:cs="David"/>
          <w:sz w:val="24"/>
          <w:szCs w:val="24"/>
        </w:rPr>
        <w:t xml:space="preserve"> Israeli banking system, as explained above.</w:t>
      </w:r>
    </w:p>
    <w:p w14:paraId="3867AEF8" w14:textId="77777777" w:rsidR="00266AF3" w:rsidRDefault="00266AF3" w:rsidP="00266AF3">
      <w:pPr>
        <w:bidi w:val="0"/>
        <w:spacing w:line="480" w:lineRule="auto"/>
        <w:ind w:left="792"/>
        <w:jc w:val="both"/>
        <w:rPr>
          <w:rFonts w:ascii="Times New Roman" w:hAnsi="Times New Roman" w:cs="David"/>
          <w:sz w:val="24"/>
          <w:szCs w:val="24"/>
        </w:rPr>
      </w:pPr>
    </w:p>
    <w:p w14:paraId="6077B620" w14:textId="6B39BD26" w:rsidR="00863081" w:rsidRPr="00D7435C" w:rsidRDefault="00863081" w:rsidP="00266AF3">
      <w:pPr>
        <w:bidi w:val="0"/>
        <w:spacing w:line="360" w:lineRule="auto"/>
        <w:ind w:left="792"/>
        <w:jc w:val="center"/>
        <w:rPr>
          <w:rFonts w:asciiTheme="majorBidi" w:hAnsiTheme="majorBidi" w:cstheme="majorBidi"/>
          <w:b/>
          <w:bCs/>
          <w:sz w:val="24"/>
          <w:szCs w:val="24"/>
        </w:rPr>
      </w:pPr>
      <w:r w:rsidRPr="006B7DC0">
        <w:rPr>
          <w:rFonts w:asciiTheme="majorBidi" w:hAnsiTheme="majorBidi" w:cstheme="majorBidi"/>
          <w:b/>
          <w:bCs/>
          <w:sz w:val="24"/>
          <w:szCs w:val="24"/>
        </w:rPr>
        <w:t xml:space="preserve">Figure </w:t>
      </w:r>
      <w:r w:rsidR="00657431">
        <w:rPr>
          <w:rFonts w:asciiTheme="majorBidi" w:hAnsiTheme="majorBidi" w:cstheme="majorBidi"/>
          <w:b/>
          <w:bCs/>
          <w:sz w:val="24"/>
          <w:szCs w:val="24"/>
        </w:rPr>
        <w:t>27</w:t>
      </w:r>
      <w:r w:rsidRPr="000C366E">
        <w:rPr>
          <w:rFonts w:asciiTheme="majorBidi" w:hAnsiTheme="majorBidi" w:cstheme="majorBidi"/>
          <w:b/>
          <w:bCs/>
          <w:sz w:val="24"/>
          <w:szCs w:val="24"/>
        </w:rPr>
        <w:t xml:space="preserve"> - </w:t>
      </w:r>
      <w:r w:rsidR="000C366E">
        <w:rPr>
          <w:rFonts w:asciiTheme="majorBidi" w:hAnsiTheme="majorBidi" w:cstheme="majorBidi"/>
          <w:b/>
          <w:bCs/>
          <w:sz w:val="24"/>
          <w:szCs w:val="24"/>
        </w:rPr>
        <w:t>E</w:t>
      </w:r>
      <w:r w:rsidR="000C366E" w:rsidRPr="000C366E">
        <w:rPr>
          <w:rFonts w:asciiTheme="majorBidi" w:hAnsiTheme="majorBidi" w:cstheme="majorBidi"/>
          <w:b/>
          <w:bCs/>
          <w:sz w:val="24"/>
          <w:szCs w:val="24"/>
        </w:rPr>
        <w:t xml:space="preserve">stimated </w:t>
      </w:r>
      <w:r w:rsidRPr="00D7435C">
        <w:rPr>
          <w:rFonts w:asciiTheme="majorBidi" w:hAnsiTheme="majorBidi" w:cstheme="majorBidi"/>
          <w:b/>
          <w:bCs/>
          <w:sz w:val="24"/>
          <w:szCs w:val="24"/>
        </w:rPr>
        <w:t xml:space="preserve">amount of cash (NIS) circulates in the </w:t>
      </w:r>
      <w:r w:rsidR="00FA65AF">
        <w:rPr>
          <w:rFonts w:asciiTheme="majorBidi" w:hAnsiTheme="majorBidi" w:cstheme="majorBidi"/>
          <w:b/>
          <w:bCs/>
          <w:sz w:val="24"/>
          <w:szCs w:val="24"/>
        </w:rPr>
        <w:t xml:space="preserve">WBG                      </w:t>
      </w:r>
      <w:r w:rsidRPr="00D7435C">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D7435C">
        <w:rPr>
          <w:rFonts w:asciiTheme="majorBidi" w:hAnsiTheme="majorBidi" w:cstheme="majorBidi"/>
          <w:b/>
          <w:bCs/>
          <w:sz w:val="24"/>
          <w:szCs w:val="24"/>
        </w:rPr>
        <w:t>(in billions)</w:t>
      </w:r>
    </w:p>
    <w:p w14:paraId="6B92D9A4" w14:textId="77777777" w:rsidR="00863081" w:rsidRDefault="00863081" w:rsidP="00863081">
      <w:pPr>
        <w:bidi w:val="0"/>
        <w:spacing w:line="480" w:lineRule="auto"/>
        <w:ind w:left="792"/>
        <w:jc w:val="center"/>
        <w:rPr>
          <w:rFonts w:ascii="Times New Roman" w:hAnsi="Times New Roman" w:cs="David"/>
          <w:sz w:val="24"/>
          <w:szCs w:val="24"/>
        </w:rPr>
      </w:pPr>
      <w:r w:rsidRPr="007D6973">
        <w:rPr>
          <w:rFonts w:ascii="Times New Roman" w:hAnsi="Times New Roman" w:cs="David"/>
          <w:noProof/>
          <w:sz w:val="24"/>
          <w:szCs w:val="24"/>
        </w:rPr>
        <w:drawing>
          <wp:inline distT="0" distB="0" distL="0" distR="0" wp14:anchorId="57B27E9B" wp14:editId="75AFDEF1">
            <wp:extent cx="4320000" cy="2520000"/>
            <wp:effectExtent l="0" t="0" r="4445" b="13970"/>
            <wp:docPr id="16" name="תרשים 24">
              <a:extLst xmlns:a="http://schemas.openxmlformats.org/drawingml/2006/main">
                <a:ext uri="{FF2B5EF4-FFF2-40B4-BE49-F238E27FC236}">
                  <a16:creationId xmlns:a16="http://schemas.microsoft.com/office/drawing/2014/main" id="{B733B070-56CE-439B-99BE-7693D4804C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B4579E" w14:textId="4D352CCF" w:rsidR="00863081" w:rsidRPr="00BA33BC" w:rsidRDefault="00863081" w:rsidP="00863081">
      <w:pPr>
        <w:bidi w:val="0"/>
        <w:spacing w:line="480" w:lineRule="auto"/>
        <w:ind w:left="792"/>
        <w:jc w:val="center"/>
        <w:rPr>
          <w:rFonts w:asciiTheme="majorBidi" w:hAnsiTheme="majorBidi" w:cstheme="majorBidi"/>
          <w:b/>
          <w:bCs/>
          <w:sz w:val="24"/>
          <w:szCs w:val="24"/>
        </w:rPr>
      </w:pPr>
      <w:r w:rsidRPr="00BA33BC">
        <w:rPr>
          <w:rFonts w:asciiTheme="majorBidi" w:hAnsiTheme="majorBidi" w:cstheme="majorBidi"/>
          <w:b/>
          <w:bCs/>
          <w:sz w:val="24"/>
          <w:szCs w:val="24"/>
        </w:rPr>
        <w:t xml:space="preserve">Figure </w:t>
      </w:r>
      <w:r w:rsidR="00657431">
        <w:rPr>
          <w:rFonts w:asciiTheme="majorBidi" w:hAnsiTheme="majorBidi" w:cstheme="majorBidi"/>
          <w:b/>
          <w:bCs/>
          <w:sz w:val="24"/>
          <w:szCs w:val="24"/>
        </w:rPr>
        <w:t>28</w:t>
      </w:r>
      <w:r w:rsidRPr="00BA33BC">
        <w:rPr>
          <w:rFonts w:asciiTheme="majorBidi" w:hAnsiTheme="majorBidi" w:cstheme="majorBidi"/>
          <w:b/>
          <w:bCs/>
          <w:sz w:val="24"/>
          <w:szCs w:val="24"/>
        </w:rPr>
        <w:t xml:space="preserve"> - </w:t>
      </w:r>
      <w:r w:rsidR="000C366E">
        <w:rPr>
          <w:rFonts w:asciiTheme="majorBidi" w:hAnsiTheme="majorBidi" w:cstheme="majorBidi"/>
          <w:b/>
          <w:bCs/>
          <w:sz w:val="24"/>
          <w:szCs w:val="24"/>
        </w:rPr>
        <w:t>E</w:t>
      </w:r>
      <w:r w:rsidR="000C366E" w:rsidRPr="000C366E">
        <w:rPr>
          <w:rFonts w:asciiTheme="majorBidi" w:hAnsiTheme="majorBidi" w:cstheme="majorBidi"/>
          <w:b/>
          <w:bCs/>
          <w:sz w:val="24"/>
          <w:szCs w:val="24"/>
        </w:rPr>
        <w:t xml:space="preserve">stimated </w:t>
      </w:r>
      <w:r w:rsidRPr="00BA33BC">
        <w:rPr>
          <w:rFonts w:asciiTheme="majorBidi" w:hAnsiTheme="majorBidi" w:cstheme="majorBidi"/>
          <w:b/>
          <w:bCs/>
          <w:sz w:val="24"/>
          <w:szCs w:val="24"/>
        </w:rPr>
        <w:t xml:space="preserve">Share of NIS cash circulates in the </w:t>
      </w:r>
      <w:r w:rsidR="00FA65AF">
        <w:rPr>
          <w:rFonts w:asciiTheme="majorBidi" w:hAnsiTheme="majorBidi" w:cstheme="majorBidi"/>
          <w:b/>
          <w:bCs/>
          <w:sz w:val="24"/>
          <w:szCs w:val="24"/>
        </w:rPr>
        <w:t>WBG</w:t>
      </w:r>
      <w:r w:rsidRPr="00BA33BC">
        <w:rPr>
          <w:rFonts w:asciiTheme="majorBidi" w:hAnsiTheme="majorBidi" w:cstheme="majorBidi"/>
          <w:b/>
          <w:bCs/>
          <w:sz w:val="24"/>
          <w:szCs w:val="24"/>
        </w:rPr>
        <w:t xml:space="preserve"> out of total NIS cash in circulation </w:t>
      </w:r>
    </w:p>
    <w:p w14:paraId="50925018" w14:textId="77777777" w:rsidR="00863081" w:rsidRDefault="00863081" w:rsidP="00863081">
      <w:pPr>
        <w:pStyle w:val="ListParagraph"/>
        <w:bidi w:val="0"/>
        <w:spacing w:line="480" w:lineRule="auto"/>
        <w:jc w:val="center"/>
        <w:rPr>
          <w:rFonts w:asciiTheme="majorBidi" w:hAnsiTheme="majorBidi" w:cstheme="majorBidi"/>
          <w:sz w:val="28"/>
          <w:szCs w:val="28"/>
        </w:rPr>
      </w:pPr>
      <w:r>
        <w:rPr>
          <w:noProof/>
        </w:rPr>
        <w:drawing>
          <wp:inline distT="0" distB="0" distL="0" distR="0" wp14:anchorId="7708AD32" wp14:editId="22E95BDD">
            <wp:extent cx="4320000" cy="2520000"/>
            <wp:effectExtent l="0" t="0" r="4445" b="13970"/>
            <wp:docPr id="23" name="תרשים 15">
              <a:extLst xmlns:a="http://schemas.openxmlformats.org/drawingml/2006/main">
                <a:ext uri="{FF2B5EF4-FFF2-40B4-BE49-F238E27FC236}">
                  <a16:creationId xmlns:a16="http://schemas.microsoft.com/office/drawing/2014/main" id="{32B860D6-A1C0-4669-BF1B-A9E1808BD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81780C3" w14:textId="190D9762" w:rsidR="00863081" w:rsidRDefault="00460291" w:rsidP="00460291">
      <w:pPr>
        <w:pStyle w:val="ListParagraph"/>
        <w:bidi w:val="0"/>
        <w:spacing w:line="480" w:lineRule="auto"/>
        <w:jc w:val="center"/>
        <w:rPr>
          <w:rFonts w:asciiTheme="majorBidi" w:hAnsiTheme="majorBidi" w:cstheme="majorBidi"/>
          <w:sz w:val="24"/>
          <w:szCs w:val="24"/>
        </w:rPr>
      </w:pPr>
      <w:r>
        <w:rPr>
          <w:rFonts w:asciiTheme="majorBidi" w:hAnsiTheme="majorBidi" w:cstheme="majorBidi"/>
          <w:sz w:val="24"/>
          <w:szCs w:val="24"/>
        </w:rPr>
        <w:t>Source: author calculations</w:t>
      </w:r>
    </w:p>
    <w:p w14:paraId="58B37CB9" w14:textId="77777777" w:rsidR="00863081" w:rsidRDefault="00863081" w:rsidP="00863081">
      <w:pPr>
        <w:pStyle w:val="ListParagraph"/>
        <w:bidi w:val="0"/>
        <w:spacing w:line="480" w:lineRule="auto"/>
        <w:jc w:val="both"/>
        <w:rPr>
          <w:rFonts w:asciiTheme="majorBidi" w:hAnsiTheme="majorBidi" w:cstheme="majorBidi"/>
          <w:sz w:val="24"/>
          <w:szCs w:val="24"/>
        </w:rPr>
      </w:pPr>
    </w:p>
    <w:p w14:paraId="78C4B4C6" w14:textId="77777777" w:rsidR="00863081" w:rsidRDefault="00863081" w:rsidP="00863081">
      <w:pPr>
        <w:pStyle w:val="ListParagraph"/>
        <w:bidi w:val="0"/>
        <w:spacing w:line="480" w:lineRule="auto"/>
        <w:jc w:val="both"/>
        <w:rPr>
          <w:rFonts w:asciiTheme="majorBidi" w:hAnsiTheme="majorBidi" w:cstheme="majorBidi"/>
          <w:sz w:val="24"/>
          <w:szCs w:val="24"/>
        </w:rPr>
      </w:pPr>
    </w:p>
    <w:p w14:paraId="2D57FB87" w14:textId="77777777" w:rsidR="00863081" w:rsidRDefault="00863081" w:rsidP="00863081">
      <w:pPr>
        <w:pStyle w:val="ListParagraph"/>
        <w:bidi w:val="0"/>
        <w:spacing w:line="480" w:lineRule="auto"/>
        <w:jc w:val="both"/>
        <w:rPr>
          <w:rFonts w:asciiTheme="majorBidi" w:hAnsiTheme="majorBidi" w:cstheme="majorBidi"/>
          <w:sz w:val="24"/>
          <w:szCs w:val="24"/>
        </w:rPr>
      </w:pPr>
    </w:p>
    <w:p w14:paraId="319C91A3" w14:textId="77777777" w:rsidR="00863081" w:rsidRDefault="00863081" w:rsidP="00863081">
      <w:pPr>
        <w:pStyle w:val="ListParagraph"/>
        <w:bidi w:val="0"/>
        <w:spacing w:line="480" w:lineRule="auto"/>
        <w:jc w:val="both"/>
        <w:rPr>
          <w:rFonts w:asciiTheme="majorBidi" w:hAnsiTheme="majorBidi" w:cstheme="majorBidi"/>
          <w:sz w:val="24"/>
          <w:szCs w:val="24"/>
        </w:rPr>
      </w:pPr>
    </w:p>
    <w:p w14:paraId="5E8BF480" w14:textId="77777777" w:rsidR="00863081" w:rsidRDefault="00863081" w:rsidP="00863081">
      <w:pPr>
        <w:pStyle w:val="ListParagraph"/>
        <w:bidi w:val="0"/>
        <w:spacing w:line="480" w:lineRule="auto"/>
        <w:jc w:val="both"/>
        <w:rPr>
          <w:rFonts w:asciiTheme="majorBidi" w:hAnsiTheme="majorBidi" w:cstheme="majorBidi"/>
          <w:b/>
          <w:bCs/>
          <w:sz w:val="24"/>
          <w:szCs w:val="24"/>
        </w:rPr>
      </w:pPr>
      <w:r w:rsidRPr="00027121">
        <w:rPr>
          <w:rFonts w:asciiTheme="majorBidi" w:hAnsiTheme="majorBidi" w:cstheme="majorBidi"/>
          <w:sz w:val="24"/>
          <w:szCs w:val="24"/>
        </w:rPr>
        <w:t>The estimate of cash in NIS relative to GNI is on average 23% over this  period.</w:t>
      </w:r>
      <w:r w:rsidRPr="00027121">
        <w:rPr>
          <w:rFonts w:asciiTheme="majorBidi" w:hAnsiTheme="majorBidi" w:cstheme="majorBidi"/>
          <w:b/>
          <w:bCs/>
          <w:sz w:val="24"/>
          <w:szCs w:val="24"/>
        </w:rPr>
        <w:t xml:space="preserve"> </w:t>
      </w:r>
    </w:p>
    <w:p w14:paraId="3A2FCDFC" w14:textId="1739AF71" w:rsidR="00863081" w:rsidRPr="00BA33BC" w:rsidRDefault="00863081" w:rsidP="00863081">
      <w:pPr>
        <w:pStyle w:val="ListParagraph"/>
        <w:bidi w:val="0"/>
        <w:spacing w:line="480" w:lineRule="auto"/>
        <w:jc w:val="center"/>
        <w:rPr>
          <w:rFonts w:asciiTheme="majorBidi" w:hAnsiTheme="majorBidi" w:cstheme="majorBidi"/>
          <w:b/>
          <w:bCs/>
        </w:rPr>
      </w:pPr>
      <w:r>
        <w:rPr>
          <w:rFonts w:asciiTheme="majorBidi" w:hAnsiTheme="majorBidi" w:cstheme="majorBidi"/>
          <w:b/>
          <w:bCs/>
          <w:sz w:val="24"/>
          <w:szCs w:val="24"/>
        </w:rPr>
        <w:t xml:space="preserve">Figure </w:t>
      </w:r>
      <w:r w:rsidR="00657431">
        <w:rPr>
          <w:rFonts w:asciiTheme="majorBidi" w:hAnsiTheme="majorBidi" w:cstheme="majorBidi"/>
          <w:b/>
          <w:bCs/>
          <w:sz w:val="24"/>
          <w:szCs w:val="24"/>
        </w:rPr>
        <w:t>29</w:t>
      </w:r>
      <w:r>
        <w:rPr>
          <w:rFonts w:asciiTheme="majorBidi" w:hAnsiTheme="majorBidi" w:cstheme="majorBidi"/>
          <w:b/>
          <w:bCs/>
          <w:sz w:val="24"/>
          <w:szCs w:val="24"/>
        </w:rPr>
        <w:t xml:space="preserve"> - </w:t>
      </w:r>
      <w:r w:rsidR="00FA65AF">
        <w:rPr>
          <w:rFonts w:asciiTheme="majorBidi" w:hAnsiTheme="majorBidi" w:cstheme="majorBidi"/>
          <w:b/>
          <w:bCs/>
        </w:rPr>
        <w:t>WBG</w:t>
      </w:r>
      <w:r w:rsidRPr="00BA33BC">
        <w:rPr>
          <w:rFonts w:asciiTheme="majorBidi" w:hAnsiTheme="majorBidi" w:cstheme="majorBidi"/>
          <w:b/>
          <w:bCs/>
        </w:rPr>
        <w:t xml:space="preserve"> - </w:t>
      </w:r>
      <w:r w:rsidR="000C366E">
        <w:rPr>
          <w:rFonts w:asciiTheme="majorBidi" w:hAnsiTheme="majorBidi" w:cstheme="majorBidi"/>
          <w:b/>
          <w:bCs/>
          <w:sz w:val="24"/>
          <w:szCs w:val="24"/>
        </w:rPr>
        <w:t>E</w:t>
      </w:r>
      <w:r w:rsidR="000C366E" w:rsidRPr="000C366E">
        <w:rPr>
          <w:rFonts w:asciiTheme="majorBidi" w:hAnsiTheme="majorBidi" w:cstheme="majorBidi"/>
          <w:b/>
          <w:bCs/>
          <w:sz w:val="24"/>
          <w:szCs w:val="24"/>
        </w:rPr>
        <w:t xml:space="preserve">stimated </w:t>
      </w:r>
      <w:r w:rsidR="00460291">
        <w:rPr>
          <w:rFonts w:asciiTheme="majorBidi" w:hAnsiTheme="majorBidi" w:cstheme="majorBidi"/>
          <w:b/>
          <w:bCs/>
          <w:sz w:val="24"/>
          <w:szCs w:val="24"/>
        </w:rPr>
        <w:t xml:space="preserve">amount </w:t>
      </w:r>
      <w:r w:rsidRPr="00BA33BC">
        <w:rPr>
          <w:rFonts w:asciiTheme="majorBidi" w:hAnsiTheme="majorBidi" w:cstheme="majorBidi"/>
          <w:b/>
          <w:bCs/>
        </w:rPr>
        <w:t>of NIS cash to GNI</w:t>
      </w:r>
    </w:p>
    <w:p w14:paraId="56FDFD35" w14:textId="77777777" w:rsidR="00863081" w:rsidRDefault="00863081" w:rsidP="00863081">
      <w:pPr>
        <w:pStyle w:val="ListParagraph"/>
        <w:bidi w:val="0"/>
        <w:spacing w:line="480" w:lineRule="auto"/>
        <w:ind w:left="1440"/>
        <w:rPr>
          <w:noProof/>
        </w:rPr>
      </w:pPr>
      <w:r>
        <w:rPr>
          <w:noProof/>
        </w:rPr>
        <w:drawing>
          <wp:inline distT="0" distB="0" distL="0" distR="0" wp14:anchorId="6D75FB22" wp14:editId="62303CFD">
            <wp:extent cx="4320000" cy="2520000"/>
            <wp:effectExtent l="0" t="0" r="4445" b="13970"/>
            <wp:docPr id="21" name="תרשים 21">
              <a:extLst xmlns:a="http://schemas.openxmlformats.org/drawingml/2006/main">
                <a:ext uri="{FF2B5EF4-FFF2-40B4-BE49-F238E27FC236}">
                  <a16:creationId xmlns:a16="http://schemas.microsoft.com/office/drawing/2014/main" id="{03BC431E-F35C-46B5-A69C-7005FF928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5C782F" w14:textId="77777777" w:rsidR="00460291" w:rsidRDefault="00460291" w:rsidP="00460291">
      <w:pPr>
        <w:pStyle w:val="ListParagraph"/>
        <w:bidi w:val="0"/>
        <w:spacing w:line="480" w:lineRule="auto"/>
        <w:jc w:val="center"/>
        <w:rPr>
          <w:rFonts w:asciiTheme="majorBidi" w:hAnsiTheme="majorBidi" w:cstheme="majorBidi"/>
          <w:sz w:val="24"/>
          <w:szCs w:val="24"/>
        </w:rPr>
      </w:pPr>
      <w:r>
        <w:rPr>
          <w:rFonts w:asciiTheme="majorBidi" w:hAnsiTheme="majorBidi" w:cstheme="majorBidi"/>
          <w:sz w:val="24"/>
          <w:szCs w:val="24"/>
        </w:rPr>
        <w:t>Source: author calculations</w:t>
      </w:r>
    </w:p>
    <w:p w14:paraId="6972ACCF" w14:textId="77777777" w:rsidR="00460291" w:rsidRDefault="00460291" w:rsidP="00863081">
      <w:pPr>
        <w:bidi w:val="0"/>
        <w:spacing w:line="480" w:lineRule="auto"/>
        <w:ind w:left="792"/>
        <w:jc w:val="both"/>
        <w:rPr>
          <w:rFonts w:ascii="Times New Roman" w:hAnsi="Times New Roman" w:cs="David"/>
          <w:sz w:val="24"/>
          <w:szCs w:val="24"/>
        </w:rPr>
      </w:pPr>
    </w:p>
    <w:p w14:paraId="68E7D117" w14:textId="2A21B03C" w:rsidR="00863081" w:rsidRDefault="00863081" w:rsidP="00460291">
      <w:pPr>
        <w:bidi w:val="0"/>
        <w:spacing w:line="480" w:lineRule="auto"/>
        <w:ind w:left="792"/>
        <w:jc w:val="both"/>
      </w:pPr>
      <w:r w:rsidRPr="00D40CA8">
        <w:rPr>
          <w:rFonts w:ascii="Times New Roman" w:hAnsi="Times New Roman" w:cs="David"/>
          <w:sz w:val="24"/>
          <w:szCs w:val="24"/>
        </w:rPr>
        <w:t>Israel revised ratio of NIS in circulation to GDP is 4.9% against the published ratio of 6.2%.</w:t>
      </w:r>
    </w:p>
    <w:p w14:paraId="204D3C58" w14:textId="4BD9AE86" w:rsidR="00863081" w:rsidRPr="00BA33BC" w:rsidRDefault="00863081" w:rsidP="00863081">
      <w:pPr>
        <w:pStyle w:val="ListParagraph"/>
        <w:bidi w:val="0"/>
        <w:spacing w:line="480" w:lineRule="auto"/>
        <w:jc w:val="center"/>
        <w:rPr>
          <w:rFonts w:asciiTheme="majorBidi" w:hAnsiTheme="majorBidi" w:cstheme="majorBidi"/>
          <w:b/>
          <w:bCs/>
        </w:rPr>
      </w:pPr>
      <w:r w:rsidRPr="00BA33BC">
        <w:rPr>
          <w:rFonts w:asciiTheme="majorBidi" w:hAnsiTheme="majorBidi" w:cstheme="majorBidi"/>
          <w:b/>
          <w:bCs/>
        </w:rPr>
        <w:t xml:space="preserve">Figure </w:t>
      </w:r>
      <w:r w:rsidR="00657431">
        <w:rPr>
          <w:rFonts w:asciiTheme="majorBidi" w:hAnsiTheme="majorBidi" w:cstheme="majorBidi"/>
          <w:b/>
          <w:bCs/>
        </w:rPr>
        <w:t>30</w:t>
      </w:r>
      <w:r w:rsidRPr="00BA33BC">
        <w:rPr>
          <w:rFonts w:asciiTheme="majorBidi" w:hAnsiTheme="majorBidi" w:cstheme="majorBidi"/>
          <w:b/>
          <w:bCs/>
        </w:rPr>
        <w:t xml:space="preserve"> - Israel - cash in circulation to GDP</w:t>
      </w:r>
    </w:p>
    <w:p w14:paraId="4E10BF67" w14:textId="77777777" w:rsidR="00863081" w:rsidRDefault="00863081" w:rsidP="00863081">
      <w:pPr>
        <w:pStyle w:val="ListParagraph"/>
        <w:bidi w:val="0"/>
        <w:spacing w:line="480" w:lineRule="auto"/>
        <w:ind w:left="1440"/>
        <w:jc w:val="center"/>
        <w:rPr>
          <w:rFonts w:asciiTheme="majorBidi" w:hAnsiTheme="majorBidi" w:cstheme="majorBidi"/>
          <w:b/>
          <w:bCs/>
          <w:sz w:val="28"/>
          <w:szCs w:val="28"/>
        </w:rPr>
      </w:pPr>
      <w:r>
        <w:rPr>
          <w:noProof/>
        </w:rPr>
        <w:drawing>
          <wp:inline distT="0" distB="0" distL="0" distR="0" wp14:anchorId="6FA096A4" wp14:editId="7EBFFE85">
            <wp:extent cx="4320000" cy="2520000"/>
            <wp:effectExtent l="0" t="0" r="4445" b="13970"/>
            <wp:docPr id="20" name="תרשים 20">
              <a:extLst xmlns:a="http://schemas.openxmlformats.org/drawingml/2006/main">
                <a:ext uri="{FF2B5EF4-FFF2-40B4-BE49-F238E27FC236}">
                  <a16:creationId xmlns:a16="http://schemas.microsoft.com/office/drawing/2014/main" id="{ED6B81C0-28B9-4686-950E-043F4B040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4035145" w14:textId="77777777" w:rsidR="00460291" w:rsidRDefault="00460291" w:rsidP="00460291">
      <w:pPr>
        <w:pStyle w:val="ListParagraph"/>
        <w:bidi w:val="0"/>
        <w:spacing w:line="480" w:lineRule="auto"/>
        <w:jc w:val="center"/>
        <w:rPr>
          <w:rFonts w:asciiTheme="majorBidi" w:hAnsiTheme="majorBidi" w:cstheme="majorBidi"/>
          <w:sz w:val="24"/>
          <w:szCs w:val="24"/>
        </w:rPr>
      </w:pPr>
      <w:r>
        <w:rPr>
          <w:rFonts w:asciiTheme="majorBidi" w:hAnsiTheme="majorBidi" w:cstheme="majorBidi"/>
          <w:sz w:val="24"/>
          <w:szCs w:val="24"/>
        </w:rPr>
        <w:t>Source: author calculations</w:t>
      </w:r>
    </w:p>
    <w:p w14:paraId="738BBE89" w14:textId="77777777" w:rsidR="00863081" w:rsidRDefault="00863081" w:rsidP="00863081">
      <w:pPr>
        <w:tabs>
          <w:tab w:val="left" w:pos="1425"/>
        </w:tabs>
        <w:bidi w:val="0"/>
      </w:pPr>
    </w:p>
    <w:p w14:paraId="3A339012" w14:textId="77777777" w:rsidR="00460291" w:rsidRDefault="00460291" w:rsidP="00460291">
      <w:pPr>
        <w:tabs>
          <w:tab w:val="left" w:pos="1425"/>
        </w:tabs>
        <w:bidi w:val="0"/>
      </w:pPr>
    </w:p>
    <w:p w14:paraId="72D3C138" w14:textId="77777777" w:rsidR="00460291" w:rsidRDefault="00460291" w:rsidP="00460291">
      <w:pPr>
        <w:tabs>
          <w:tab w:val="left" w:pos="1425"/>
        </w:tabs>
        <w:bidi w:val="0"/>
      </w:pPr>
    </w:p>
    <w:p w14:paraId="17401A7E" w14:textId="77777777" w:rsidR="00460291" w:rsidRDefault="00460291" w:rsidP="00460291">
      <w:pPr>
        <w:tabs>
          <w:tab w:val="left" w:pos="1425"/>
        </w:tabs>
        <w:bidi w:val="0"/>
      </w:pPr>
    </w:p>
    <w:p w14:paraId="24A92095" w14:textId="77777777" w:rsidR="00460291" w:rsidRDefault="00460291" w:rsidP="00460291">
      <w:pPr>
        <w:tabs>
          <w:tab w:val="left" w:pos="1425"/>
        </w:tabs>
        <w:bidi w:val="0"/>
      </w:pPr>
    </w:p>
    <w:p w14:paraId="3148C05A" w14:textId="77777777" w:rsidR="00460291" w:rsidRDefault="00460291" w:rsidP="00460291">
      <w:pPr>
        <w:tabs>
          <w:tab w:val="left" w:pos="1425"/>
        </w:tabs>
        <w:bidi w:val="0"/>
      </w:pPr>
    </w:p>
    <w:p w14:paraId="47174BC2" w14:textId="77777777" w:rsidR="00863081" w:rsidRPr="00096344" w:rsidRDefault="00863081" w:rsidP="00863081">
      <w:pPr>
        <w:bidi w:val="0"/>
        <w:spacing w:line="480" w:lineRule="auto"/>
        <w:jc w:val="both"/>
        <w:rPr>
          <w:rFonts w:ascii="Times New Roman" w:hAnsi="Times New Roman" w:cs="David"/>
          <w:b/>
          <w:bCs/>
          <w:sz w:val="24"/>
          <w:szCs w:val="24"/>
        </w:rPr>
      </w:pPr>
      <w:r w:rsidRPr="00096344">
        <w:rPr>
          <w:rFonts w:ascii="Times New Roman" w:hAnsi="Times New Roman" w:cs="David"/>
          <w:b/>
          <w:bCs/>
          <w:sz w:val="24"/>
          <w:szCs w:val="24"/>
        </w:rPr>
        <w:t>Summary</w:t>
      </w:r>
    </w:p>
    <w:p w14:paraId="63C22EFC" w14:textId="6CB91E94" w:rsidR="00863081" w:rsidRDefault="00863081" w:rsidP="00863081">
      <w:pPr>
        <w:bidi w:val="0"/>
        <w:spacing w:line="480" w:lineRule="auto"/>
        <w:jc w:val="both"/>
        <w:rPr>
          <w:rFonts w:ascii="Times New Roman" w:hAnsi="Times New Roman" w:cs="David"/>
          <w:sz w:val="24"/>
          <w:szCs w:val="24"/>
        </w:rPr>
      </w:pPr>
      <w:r w:rsidRPr="00096344">
        <w:rPr>
          <w:rFonts w:ascii="Times New Roman" w:hAnsi="Times New Roman" w:cs="David"/>
          <w:sz w:val="24"/>
          <w:szCs w:val="24"/>
        </w:rPr>
        <w:t xml:space="preserve">This chapter finds that monetary </w:t>
      </w:r>
      <w:r>
        <w:rPr>
          <w:rFonts w:ascii="Times New Roman" w:hAnsi="Times New Roman" w:cs="David"/>
          <w:sz w:val="24"/>
          <w:szCs w:val="24"/>
        </w:rPr>
        <w:t>relations</w:t>
      </w:r>
      <w:r w:rsidRPr="00096344">
        <w:rPr>
          <w:rFonts w:ascii="Times New Roman" w:hAnsi="Times New Roman" w:cs="David"/>
          <w:sz w:val="24"/>
          <w:szCs w:val="24"/>
        </w:rPr>
        <w:t xml:space="preserve"> between Israel and the </w:t>
      </w:r>
      <w:r w:rsidR="00420881">
        <w:rPr>
          <w:rFonts w:ascii="Times New Roman" w:hAnsi="Times New Roman" w:cs="David"/>
          <w:sz w:val="24"/>
          <w:szCs w:val="24"/>
        </w:rPr>
        <w:t>WBG</w:t>
      </w:r>
      <w:r w:rsidRPr="00096344">
        <w:rPr>
          <w:rFonts w:ascii="Times New Roman" w:hAnsi="Times New Roman" w:cs="David"/>
          <w:sz w:val="24"/>
          <w:szCs w:val="24"/>
        </w:rPr>
        <w:t xml:space="preserve"> are significant for both sides and especially for the Palestinian economy. It was found that economic integration affects the use of the </w:t>
      </w:r>
      <w:r>
        <w:rPr>
          <w:rFonts w:ascii="Times New Roman" w:hAnsi="Times New Roman" w:cs="David"/>
          <w:sz w:val="24"/>
          <w:szCs w:val="24"/>
        </w:rPr>
        <w:t>NIS</w:t>
      </w:r>
      <w:r w:rsidRPr="00096344">
        <w:rPr>
          <w:rFonts w:ascii="Times New Roman" w:hAnsi="Times New Roman" w:cs="David"/>
          <w:sz w:val="24"/>
          <w:szCs w:val="24"/>
        </w:rPr>
        <w:t xml:space="preserve"> within the Palestinian economy and not only</w:t>
      </w:r>
      <w:r>
        <w:rPr>
          <w:rFonts w:ascii="Times New Roman" w:hAnsi="Times New Roman" w:cs="David"/>
          <w:sz w:val="24"/>
          <w:szCs w:val="24"/>
        </w:rPr>
        <w:t xml:space="preserve"> on activity</w:t>
      </w:r>
      <w:r w:rsidRPr="00096344">
        <w:rPr>
          <w:rFonts w:ascii="Times New Roman" w:hAnsi="Times New Roman" w:cs="David"/>
          <w:sz w:val="24"/>
          <w:szCs w:val="24"/>
        </w:rPr>
        <w:t xml:space="preserve"> between the regions. </w:t>
      </w:r>
    </w:p>
    <w:p w14:paraId="2B916DC3" w14:textId="0DA0F1C5" w:rsidR="00863081" w:rsidRDefault="00863081" w:rsidP="00863081">
      <w:pPr>
        <w:bidi w:val="0"/>
        <w:spacing w:line="480" w:lineRule="auto"/>
        <w:jc w:val="both"/>
        <w:rPr>
          <w:rFonts w:ascii="Times New Roman" w:hAnsi="Times New Roman" w:cs="David"/>
          <w:sz w:val="24"/>
          <w:szCs w:val="24"/>
        </w:rPr>
      </w:pPr>
      <w:r w:rsidRPr="00C13764">
        <w:rPr>
          <w:rFonts w:ascii="Times New Roman" w:hAnsi="Times New Roman" w:cs="David"/>
          <w:sz w:val="24"/>
          <w:szCs w:val="24"/>
        </w:rPr>
        <w:t>On the one hand</w:t>
      </w:r>
      <w:r>
        <w:rPr>
          <w:rFonts w:ascii="Times New Roman" w:hAnsi="Times New Roman" w:cs="David"/>
          <w:sz w:val="24"/>
          <w:szCs w:val="24"/>
        </w:rPr>
        <w:t>, t</w:t>
      </w:r>
      <w:r w:rsidRPr="00F72221">
        <w:rPr>
          <w:rFonts w:ascii="Times New Roman" w:hAnsi="Times New Roman" w:cs="David"/>
          <w:sz w:val="24"/>
          <w:szCs w:val="24"/>
        </w:rPr>
        <w:t xml:space="preserve">ermination </w:t>
      </w:r>
      <w:r w:rsidRPr="00096344">
        <w:rPr>
          <w:rFonts w:ascii="Times New Roman" w:hAnsi="Times New Roman" w:cs="David"/>
          <w:sz w:val="24"/>
          <w:szCs w:val="24"/>
        </w:rPr>
        <w:t xml:space="preserve">of the ability to carry out banking </w:t>
      </w:r>
      <w:r>
        <w:rPr>
          <w:rFonts w:ascii="Times New Roman" w:hAnsi="Times New Roman" w:cs="David"/>
          <w:sz w:val="24"/>
          <w:szCs w:val="24"/>
        </w:rPr>
        <w:t>activity</w:t>
      </w:r>
      <w:r w:rsidRPr="00096344">
        <w:rPr>
          <w:rFonts w:ascii="Times New Roman" w:hAnsi="Times New Roman" w:cs="David"/>
          <w:sz w:val="24"/>
          <w:szCs w:val="24"/>
        </w:rPr>
        <w:t xml:space="preserve"> in NIS between Israel and the PA may </w:t>
      </w:r>
      <w:r>
        <w:rPr>
          <w:rFonts w:ascii="Times New Roman" w:hAnsi="Times New Roman" w:cs="David"/>
          <w:sz w:val="24"/>
          <w:szCs w:val="24"/>
        </w:rPr>
        <w:t>be</w:t>
      </w:r>
      <w:r w:rsidRPr="00096344">
        <w:rPr>
          <w:rFonts w:ascii="Times New Roman" w:hAnsi="Times New Roman" w:cs="David"/>
          <w:sz w:val="24"/>
          <w:szCs w:val="24"/>
        </w:rPr>
        <w:t xml:space="preserve"> </w:t>
      </w:r>
      <w:r w:rsidRPr="00F72221">
        <w:rPr>
          <w:rFonts w:ascii="Times New Roman" w:hAnsi="Times New Roman" w:cs="David"/>
          <w:sz w:val="24"/>
          <w:szCs w:val="24"/>
        </w:rPr>
        <w:t xml:space="preserve">destructive </w:t>
      </w:r>
      <w:r w:rsidRPr="00096344">
        <w:rPr>
          <w:rFonts w:ascii="Times New Roman" w:hAnsi="Times New Roman" w:cs="David"/>
          <w:sz w:val="24"/>
          <w:szCs w:val="24"/>
        </w:rPr>
        <w:t xml:space="preserve">to economic integration, </w:t>
      </w:r>
      <w:r>
        <w:rPr>
          <w:rFonts w:ascii="Times New Roman" w:hAnsi="Times New Roman" w:cs="David"/>
          <w:sz w:val="24"/>
          <w:szCs w:val="24"/>
        </w:rPr>
        <w:t xml:space="preserve">while </w:t>
      </w:r>
      <w:r w:rsidR="003724E2">
        <w:rPr>
          <w:rFonts w:ascii="Times New Roman" w:hAnsi="Times New Roman" w:cs="David"/>
          <w:sz w:val="24"/>
          <w:szCs w:val="24"/>
        </w:rPr>
        <w:t>on</w:t>
      </w:r>
      <w:r>
        <w:rPr>
          <w:rFonts w:ascii="Times New Roman" w:hAnsi="Times New Roman" w:cs="David"/>
          <w:sz w:val="24"/>
          <w:szCs w:val="24"/>
        </w:rPr>
        <w:t xml:space="preserve"> the other hand,</w:t>
      </w:r>
      <w:r w:rsidRPr="00F72221">
        <w:rPr>
          <w:rFonts w:ascii="Times New Roman" w:hAnsi="Times New Roman" w:cs="David"/>
          <w:sz w:val="24"/>
          <w:szCs w:val="24"/>
        </w:rPr>
        <w:t xml:space="preserve"> </w:t>
      </w:r>
      <w:r w:rsidRPr="00096344">
        <w:rPr>
          <w:rFonts w:ascii="Times New Roman" w:hAnsi="Times New Roman" w:cs="David"/>
          <w:sz w:val="24"/>
          <w:szCs w:val="24"/>
        </w:rPr>
        <w:t>improving the ability to carry out digital banking transactions will certainly strengthen economic integration between the regions</w:t>
      </w:r>
      <w:r w:rsidR="003724E2">
        <w:rPr>
          <w:rFonts w:ascii="Times New Roman" w:hAnsi="Times New Roman" w:cs="David"/>
          <w:sz w:val="24"/>
          <w:szCs w:val="24"/>
        </w:rPr>
        <w:t>,</w:t>
      </w:r>
      <w:r w:rsidRPr="00096344">
        <w:rPr>
          <w:rFonts w:ascii="Times New Roman" w:hAnsi="Times New Roman" w:cs="David"/>
          <w:sz w:val="24"/>
          <w:szCs w:val="24"/>
        </w:rPr>
        <w:t xml:space="preserve"> and the dominance of </w:t>
      </w:r>
      <w:r>
        <w:rPr>
          <w:rFonts w:ascii="Times New Roman" w:hAnsi="Times New Roman" w:cs="David"/>
          <w:sz w:val="24"/>
          <w:szCs w:val="24"/>
        </w:rPr>
        <w:t xml:space="preserve">NIS </w:t>
      </w:r>
      <w:r w:rsidRPr="00096344">
        <w:rPr>
          <w:rFonts w:ascii="Times New Roman" w:hAnsi="Times New Roman" w:cs="David"/>
          <w:sz w:val="24"/>
          <w:szCs w:val="24"/>
        </w:rPr>
        <w:t>in the PA.</w:t>
      </w:r>
    </w:p>
    <w:p w14:paraId="52AD4057" w14:textId="77777777" w:rsidR="00742E70" w:rsidRDefault="00742E70" w:rsidP="00742E70">
      <w:pPr>
        <w:bidi w:val="0"/>
        <w:spacing w:line="480" w:lineRule="auto"/>
        <w:jc w:val="both"/>
        <w:rPr>
          <w:rFonts w:ascii="Times New Roman" w:hAnsi="Times New Roman" w:cs="David"/>
          <w:sz w:val="24"/>
          <w:szCs w:val="24"/>
        </w:rPr>
      </w:pPr>
    </w:p>
    <w:p w14:paraId="1D988CD3" w14:textId="77777777" w:rsidR="00CB0404" w:rsidRDefault="00CB0404" w:rsidP="00742E70">
      <w:pPr>
        <w:bidi w:val="0"/>
        <w:spacing w:line="480" w:lineRule="auto"/>
        <w:jc w:val="both"/>
        <w:rPr>
          <w:rFonts w:ascii="Times New Roman" w:hAnsi="Times New Roman" w:cs="David"/>
          <w:sz w:val="24"/>
          <w:szCs w:val="24"/>
        </w:rPr>
        <w:sectPr w:rsidR="00CB0404" w:rsidSect="00EC513F">
          <w:pgSz w:w="11906" w:h="16838"/>
          <w:pgMar w:top="1440" w:right="1800" w:bottom="1440" w:left="1800" w:header="708" w:footer="708" w:gutter="0"/>
          <w:cols w:space="708"/>
          <w:bidi/>
          <w:rtlGutter/>
          <w:docGrid w:linePitch="360"/>
        </w:sectPr>
      </w:pPr>
    </w:p>
    <w:p w14:paraId="723CF754" w14:textId="54BDC748" w:rsidR="007E48B3" w:rsidRDefault="00052229" w:rsidP="00742E70">
      <w:pPr>
        <w:pStyle w:val="ListParagraph"/>
        <w:numPr>
          <w:ilvl w:val="0"/>
          <w:numId w:val="3"/>
        </w:numPr>
        <w:autoSpaceDE w:val="0"/>
        <w:autoSpaceDN w:val="0"/>
        <w:bidi w:val="0"/>
        <w:adjustRightInd w:val="0"/>
        <w:spacing w:after="240"/>
        <w:ind w:left="357" w:hanging="357"/>
        <w:contextualSpacing w:val="0"/>
        <w:rPr>
          <w:rFonts w:asciiTheme="majorBidi" w:hAnsiTheme="majorBidi" w:cstheme="majorBidi"/>
          <w:b/>
          <w:bCs/>
          <w:sz w:val="28"/>
          <w:szCs w:val="28"/>
        </w:rPr>
      </w:pPr>
      <w:r>
        <w:rPr>
          <w:rFonts w:asciiTheme="majorBidi" w:hAnsiTheme="majorBidi" w:cstheme="majorBidi"/>
          <w:b/>
          <w:bCs/>
          <w:sz w:val="28"/>
          <w:szCs w:val="28"/>
        </w:rPr>
        <w:t xml:space="preserve">Chapter 4: </w:t>
      </w:r>
      <w:r w:rsidR="007E48B3" w:rsidRPr="001946EF">
        <w:rPr>
          <w:rFonts w:asciiTheme="majorBidi" w:hAnsiTheme="majorBidi" w:cstheme="majorBidi"/>
          <w:b/>
          <w:bCs/>
          <w:sz w:val="28"/>
          <w:szCs w:val="28"/>
        </w:rPr>
        <w:t xml:space="preserve">Israel-WBG integration index </w:t>
      </w:r>
    </w:p>
    <w:p w14:paraId="0F74ACBA" w14:textId="77777777" w:rsidR="00C50A40" w:rsidRPr="005760EB" w:rsidRDefault="00C50A40" w:rsidP="00C50A40">
      <w:pPr>
        <w:pStyle w:val="ListParagraph"/>
        <w:bidi w:val="0"/>
        <w:spacing w:line="480" w:lineRule="auto"/>
        <w:ind w:left="36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In this c</w:t>
      </w:r>
      <w:r w:rsidRPr="005760EB">
        <w:rPr>
          <w:rFonts w:ascii="Times New Roman" w:eastAsiaTheme="minorHAnsi" w:hAnsi="Times New Roman" w:cs="Times New Roman"/>
          <w:sz w:val="24"/>
          <w:szCs w:val="24"/>
        </w:rPr>
        <w:t xml:space="preserve">hapter </w:t>
      </w:r>
      <w:r>
        <w:rPr>
          <w:rFonts w:ascii="Times New Roman" w:eastAsiaTheme="minorHAnsi" w:hAnsi="Times New Roman" w:cs="Times New Roman"/>
          <w:sz w:val="24"/>
          <w:szCs w:val="24"/>
        </w:rPr>
        <w:t>we</w:t>
      </w:r>
      <w:r w:rsidRPr="005760EB">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develop</w:t>
      </w:r>
      <w:r w:rsidRPr="005760EB">
        <w:rPr>
          <w:rFonts w:ascii="Times New Roman" w:eastAsiaTheme="minorHAnsi" w:hAnsi="Times New Roman" w:cs="Times New Roman"/>
          <w:sz w:val="24"/>
          <w:szCs w:val="24"/>
        </w:rPr>
        <w:t xml:space="preserve"> the Israel-WBG integration index (I</w:t>
      </w:r>
      <w:r>
        <w:rPr>
          <w:rFonts w:ascii="Times New Roman" w:eastAsiaTheme="minorHAnsi" w:hAnsi="Times New Roman" w:cs="Times New Roman"/>
          <w:sz w:val="24"/>
          <w:szCs w:val="24"/>
        </w:rPr>
        <w:t>SR-</w:t>
      </w:r>
      <w:r w:rsidRPr="005760EB">
        <w:rPr>
          <w:rFonts w:ascii="Times New Roman" w:eastAsiaTheme="minorHAnsi" w:hAnsi="Times New Roman" w:cs="Times New Roman"/>
          <w:sz w:val="24"/>
          <w:szCs w:val="24"/>
        </w:rPr>
        <w:t>WBG</w:t>
      </w:r>
      <w:r>
        <w:rPr>
          <w:rFonts w:ascii="Times New Roman" w:eastAsiaTheme="minorHAnsi" w:hAnsi="Times New Roman" w:cs="Times New Roman"/>
          <w:sz w:val="24"/>
          <w:szCs w:val="24"/>
        </w:rPr>
        <w:t>-</w:t>
      </w:r>
      <w:r w:rsidRPr="005760EB">
        <w:rPr>
          <w:rFonts w:ascii="Times New Roman" w:eastAsiaTheme="minorHAnsi" w:hAnsi="Times New Roman" w:cs="Times New Roman"/>
          <w:sz w:val="24"/>
          <w:szCs w:val="24"/>
        </w:rPr>
        <w:t xml:space="preserve">II). </w:t>
      </w:r>
      <w:r>
        <w:rPr>
          <w:rFonts w:ascii="Times New Roman" w:eastAsiaTheme="minorHAnsi" w:hAnsi="Times New Roman" w:cs="Times New Roman"/>
          <w:sz w:val="24"/>
          <w:szCs w:val="24"/>
        </w:rPr>
        <w:t>We first present</w:t>
      </w:r>
      <w:r w:rsidRPr="005760EB">
        <w:rPr>
          <w:rFonts w:ascii="Times New Roman" w:eastAsiaTheme="minorHAnsi" w:hAnsi="Times New Roman" w:cs="Times New Roman"/>
          <w:sz w:val="24"/>
          <w:szCs w:val="24"/>
        </w:rPr>
        <w:t xml:space="preserve"> our dataset and </w:t>
      </w:r>
      <w:r>
        <w:rPr>
          <w:rFonts w:ascii="Times New Roman" w:eastAsiaTheme="minorHAnsi" w:hAnsi="Times New Roman" w:cs="Times New Roman"/>
          <w:sz w:val="24"/>
          <w:szCs w:val="24"/>
        </w:rPr>
        <w:t>proceed to</w:t>
      </w:r>
      <w:r w:rsidRPr="005760EB">
        <w:rPr>
          <w:rFonts w:ascii="Times New Roman" w:eastAsiaTheme="minorHAnsi" w:hAnsi="Times New Roman" w:cs="Times New Roman"/>
          <w:sz w:val="24"/>
          <w:szCs w:val="24"/>
        </w:rPr>
        <w:t xml:space="preserve"> the structure of the I</w:t>
      </w:r>
      <w:r>
        <w:rPr>
          <w:rFonts w:ascii="Times New Roman" w:eastAsiaTheme="minorHAnsi" w:hAnsi="Times New Roman" w:cs="Times New Roman"/>
          <w:sz w:val="24"/>
          <w:szCs w:val="24"/>
        </w:rPr>
        <w:t>SR-</w:t>
      </w:r>
      <w:r w:rsidRPr="005760EB">
        <w:rPr>
          <w:rFonts w:ascii="Times New Roman" w:eastAsiaTheme="minorHAnsi" w:hAnsi="Times New Roman" w:cs="Times New Roman"/>
          <w:sz w:val="24"/>
          <w:szCs w:val="24"/>
        </w:rPr>
        <w:t>WBG</w:t>
      </w:r>
      <w:r>
        <w:rPr>
          <w:rFonts w:ascii="Times New Roman" w:eastAsiaTheme="minorHAnsi" w:hAnsi="Times New Roman" w:cs="Times New Roman"/>
          <w:sz w:val="24"/>
          <w:szCs w:val="24"/>
        </w:rPr>
        <w:t>-</w:t>
      </w:r>
      <w:r w:rsidRPr="005760EB">
        <w:rPr>
          <w:rFonts w:ascii="Times New Roman" w:eastAsiaTheme="minorHAnsi" w:hAnsi="Times New Roman" w:cs="Times New Roman"/>
          <w:sz w:val="24"/>
          <w:szCs w:val="24"/>
        </w:rPr>
        <w:t>II</w:t>
      </w:r>
      <w:r>
        <w:rPr>
          <w:rFonts w:ascii="Times New Roman" w:eastAsiaTheme="minorHAnsi" w:hAnsi="Times New Roman" w:cs="Times New Roman"/>
          <w:sz w:val="24"/>
          <w:szCs w:val="24"/>
        </w:rPr>
        <w:t xml:space="preserve"> developed</w:t>
      </w:r>
      <w:r w:rsidRPr="005760EB">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focusing on</w:t>
      </w:r>
      <w:r w:rsidRPr="005760EB">
        <w:rPr>
          <w:rFonts w:ascii="Times New Roman" w:eastAsiaTheme="minorHAnsi" w:hAnsi="Times New Roman" w:cs="Times New Roman"/>
          <w:sz w:val="24"/>
          <w:szCs w:val="24"/>
        </w:rPr>
        <w:t xml:space="preserve"> data treatment</w:t>
      </w:r>
      <w:r>
        <w:rPr>
          <w:rFonts w:ascii="Times New Roman" w:eastAsiaTheme="minorHAnsi" w:hAnsi="Times New Roman" w:cs="Times New Roman"/>
          <w:sz w:val="24"/>
          <w:szCs w:val="24"/>
        </w:rPr>
        <w:t xml:space="preserve"> and</w:t>
      </w:r>
      <w:r w:rsidRPr="005760EB">
        <w:rPr>
          <w:rFonts w:ascii="Times New Roman" w:eastAsiaTheme="minorHAnsi" w:hAnsi="Times New Roman" w:cs="Times New Roman"/>
          <w:sz w:val="24"/>
          <w:szCs w:val="24"/>
        </w:rPr>
        <w:t xml:space="preserve"> the methodology</w:t>
      </w:r>
      <w:r>
        <w:rPr>
          <w:rFonts w:ascii="Times New Roman" w:eastAsiaTheme="minorHAnsi" w:hAnsi="Times New Roman" w:cs="Times New Roman"/>
          <w:sz w:val="24"/>
          <w:szCs w:val="24"/>
        </w:rPr>
        <w:t>. Finally,</w:t>
      </w:r>
      <w:r w:rsidRPr="005760EB">
        <w:rPr>
          <w:rFonts w:ascii="Times New Roman" w:eastAsiaTheme="minorHAnsi" w:hAnsi="Times New Roman" w:cs="Times New Roman"/>
          <w:sz w:val="24"/>
          <w:szCs w:val="24"/>
        </w:rPr>
        <w:t xml:space="preserve"> the results</w:t>
      </w:r>
      <w:r>
        <w:rPr>
          <w:rFonts w:ascii="Times New Roman" w:eastAsiaTheme="minorHAnsi" w:hAnsi="Times New Roman" w:cs="Times New Roman"/>
          <w:sz w:val="24"/>
          <w:szCs w:val="24"/>
        </w:rPr>
        <w:t>,</w:t>
      </w:r>
      <w:r w:rsidRPr="005760EB">
        <w:rPr>
          <w:rFonts w:ascii="Times New Roman" w:eastAsiaTheme="minorHAnsi" w:hAnsi="Times New Roman" w:cs="Times New Roman"/>
          <w:sz w:val="24"/>
          <w:szCs w:val="24"/>
        </w:rPr>
        <w:t xml:space="preserve"> as well as Sub-indexes of the individual components of the index</w:t>
      </w:r>
      <w:r>
        <w:rPr>
          <w:rFonts w:ascii="Times New Roman" w:eastAsiaTheme="minorHAnsi" w:hAnsi="Times New Roman" w:cs="Times New Roman"/>
          <w:sz w:val="24"/>
          <w:szCs w:val="24"/>
        </w:rPr>
        <w:t>, are presented.</w:t>
      </w:r>
    </w:p>
    <w:p w14:paraId="0A131232" w14:textId="77777777" w:rsidR="00C50A40" w:rsidRPr="0099127C" w:rsidRDefault="00C50A40" w:rsidP="00C50A40">
      <w:pPr>
        <w:pStyle w:val="ListParagraph"/>
        <w:numPr>
          <w:ilvl w:val="1"/>
          <w:numId w:val="25"/>
        </w:numPr>
        <w:autoSpaceDE w:val="0"/>
        <w:autoSpaceDN w:val="0"/>
        <w:bidi w:val="0"/>
        <w:adjustRightInd w:val="0"/>
        <w:spacing w:after="240" w:line="480" w:lineRule="auto"/>
        <w:jc w:val="both"/>
        <w:rPr>
          <w:rFonts w:asciiTheme="majorBidi" w:hAnsiTheme="majorBidi" w:cstheme="majorBidi"/>
          <w:sz w:val="24"/>
          <w:szCs w:val="24"/>
        </w:rPr>
      </w:pPr>
      <w:r w:rsidRPr="0099127C">
        <w:rPr>
          <w:rFonts w:asciiTheme="majorBidi" w:hAnsiTheme="majorBidi" w:cstheme="majorBidi"/>
          <w:b/>
          <w:bCs/>
          <w:sz w:val="28"/>
          <w:szCs w:val="28"/>
        </w:rPr>
        <w:t xml:space="preserve">Methodology  </w:t>
      </w:r>
    </w:p>
    <w:p w14:paraId="18ADCB9A" w14:textId="14328349" w:rsidR="00C50A40" w:rsidRDefault="00C50A40" w:rsidP="00C50A40">
      <w:pPr>
        <w:pStyle w:val="ListParagraph"/>
        <w:autoSpaceDE w:val="0"/>
        <w:autoSpaceDN w:val="0"/>
        <w:bidi w:val="0"/>
        <w:adjustRightInd w:val="0"/>
        <w:spacing w:after="240" w:line="480" w:lineRule="auto"/>
        <w:ind w:left="790"/>
        <w:jc w:val="both"/>
        <w:rPr>
          <w:rFonts w:ascii="Times New Roman" w:eastAsiaTheme="minorHAnsi" w:hAnsi="Times New Roman" w:cs="Times New Roman"/>
          <w:sz w:val="24"/>
          <w:szCs w:val="24"/>
        </w:rPr>
      </w:pPr>
      <w:r w:rsidRPr="0050267D">
        <w:rPr>
          <w:rFonts w:asciiTheme="majorBidi" w:hAnsiTheme="majorBidi" w:cstheme="majorBidi"/>
          <w:sz w:val="24"/>
          <w:szCs w:val="24"/>
        </w:rPr>
        <w:t>Several criteria have been developed to evaluate the degree of economic integration in</w:t>
      </w:r>
      <w:r>
        <w:rPr>
          <w:rFonts w:asciiTheme="majorBidi" w:hAnsiTheme="majorBidi" w:cstheme="majorBidi"/>
          <w:sz w:val="24"/>
          <w:szCs w:val="24"/>
        </w:rPr>
        <w:t xml:space="preserve">, </w:t>
      </w:r>
      <w:r w:rsidRPr="0050267D">
        <w:rPr>
          <w:rFonts w:asciiTheme="majorBidi" w:hAnsiTheme="majorBidi" w:cstheme="majorBidi"/>
          <w:sz w:val="24"/>
          <w:szCs w:val="24"/>
        </w:rPr>
        <w:t>and between regions</w:t>
      </w:r>
      <w:r>
        <w:rPr>
          <w:rFonts w:asciiTheme="majorBidi" w:hAnsiTheme="majorBidi" w:cstheme="majorBidi"/>
          <w:sz w:val="24"/>
          <w:szCs w:val="24"/>
        </w:rPr>
        <w:t>,</w:t>
      </w:r>
      <w:r w:rsidRPr="0050267D">
        <w:rPr>
          <w:rFonts w:asciiTheme="majorBidi" w:hAnsiTheme="majorBidi" w:cstheme="majorBidi"/>
          <w:sz w:val="24"/>
          <w:szCs w:val="24"/>
        </w:rPr>
        <w:t xml:space="preserve"> globally.</w:t>
      </w:r>
      <w:r w:rsidRPr="007E6E79">
        <w:rPr>
          <w:rFonts w:asciiTheme="majorBidi" w:hAnsiTheme="majorBidi" w:cstheme="majorBidi"/>
          <w:sz w:val="24"/>
          <w:szCs w:val="24"/>
        </w:rPr>
        <w:t xml:space="preserve"> The criteria</w:t>
      </w:r>
      <w:r>
        <w:rPr>
          <w:rFonts w:asciiTheme="majorBidi" w:hAnsiTheme="majorBidi" w:cstheme="majorBidi"/>
          <w:sz w:val="24"/>
          <w:szCs w:val="24"/>
        </w:rPr>
        <w:t xml:space="preserve"> of integration</w:t>
      </w:r>
      <w:r w:rsidRPr="007E6E79">
        <w:rPr>
          <w:rFonts w:asciiTheme="majorBidi" w:hAnsiTheme="majorBidi" w:cstheme="majorBidi"/>
          <w:sz w:val="24"/>
          <w:szCs w:val="24"/>
        </w:rPr>
        <w:t xml:space="preserve"> can be broadly classified into two categories, namely quantity-based and price-based measur</w:t>
      </w:r>
      <w:r>
        <w:rPr>
          <w:rFonts w:asciiTheme="majorBidi" w:hAnsiTheme="majorBidi" w:cstheme="majorBidi"/>
          <w:sz w:val="24"/>
          <w:szCs w:val="24"/>
        </w:rPr>
        <w:t>ements</w:t>
      </w:r>
      <w:r w:rsidRPr="007E6E79">
        <w:rPr>
          <w:rFonts w:asciiTheme="majorBidi" w:hAnsiTheme="majorBidi" w:cstheme="majorBidi"/>
          <w:sz w:val="24"/>
          <w:szCs w:val="24"/>
        </w:rPr>
        <w:t>. The quantity-based category includes measurements</w:t>
      </w:r>
      <w:r>
        <w:rPr>
          <w:rFonts w:asciiTheme="majorBidi" w:hAnsiTheme="majorBidi" w:cstheme="majorBidi"/>
          <w:sz w:val="24"/>
          <w:szCs w:val="24"/>
        </w:rPr>
        <w:t xml:space="preserve"> such as</w:t>
      </w:r>
      <w:r w:rsidRPr="007E6E79">
        <w:rPr>
          <w:rFonts w:asciiTheme="majorBidi" w:hAnsiTheme="majorBidi" w:cstheme="majorBidi"/>
          <w:sz w:val="24"/>
          <w:szCs w:val="24"/>
        </w:rPr>
        <w:t xml:space="preserve"> openness and restrictiveness in trade and financial transactions, capital flows, output correlation, savings-investment correlation and consumption correlation. The price-based category consists of tests derived from price differentials in goods and financial markets (Cheung, </w:t>
      </w:r>
      <w:proofErr w:type="spellStart"/>
      <w:r w:rsidRPr="007E6E79">
        <w:rPr>
          <w:rFonts w:asciiTheme="majorBidi" w:hAnsiTheme="majorBidi" w:cstheme="majorBidi"/>
          <w:sz w:val="24"/>
          <w:szCs w:val="24"/>
        </w:rPr>
        <w:t>Yiu</w:t>
      </w:r>
      <w:proofErr w:type="spellEnd"/>
      <w:r w:rsidRPr="007E6E79">
        <w:rPr>
          <w:rFonts w:asciiTheme="majorBidi" w:hAnsiTheme="majorBidi" w:cstheme="majorBidi"/>
          <w:sz w:val="24"/>
          <w:szCs w:val="24"/>
        </w:rPr>
        <w:t xml:space="preserve"> and Chow 2008).</w:t>
      </w:r>
      <w:r>
        <w:rPr>
          <w:rFonts w:asciiTheme="majorBidi" w:hAnsiTheme="majorBidi" w:cstheme="majorBidi"/>
          <w:sz w:val="24"/>
          <w:szCs w:val="24"/>
        </w:rPr>
        <w:t xml:space="preserve"> </w:t>
      </w:r>
      <w:r w:rsidRPr="00C4144E">
        <w:rPr>
          <w:rFonts w:ascii="Times New Roman" w:hAnsi="Times New Roman" w:cs="David"/>
          <w:sz w:val="24"/>
          <w:szCs w:val="24"/>
        </w:rPr>
        <w:t xml:space="preserve">Economic Integration indices have already been used for analyzing </w:t>
      </w:r>
      <w:r w:rsidRPr="00C4144E">
        <w:rPr>
          <w:rFonts w:asciiTheme="majorBidi" w:hAnsiTheme="majorBidi" w:cstheme="majorBidi"/>
          <w:sz w:val="24"/>
          <w:szCs w:val="24"/>
        </w:rPr>
        <w:t xml:space="preserve">trade integration, monetary integration, capital market integration, labor market integration </w:t>
      </w:r>
      <w:r>
        <w:rPr>
          <w:rFonts w:asciiTheme="majorBidi" w:hAnsiTheme="majorBidi" w:cstheme="majorBidi"/>
          <w:sz w:val="24"/>
          <w:szCs w:val="24"/>
        </w:rPr>
        <w:t>and</w:t>
      </w:r>
      <w:r w:rsidRPr="00C4144E">
        <w:rPr>
          <w:rFonts w:asciiTheme="majorBidi" w:hAnsiTheme="majorBidi" w:cstheme="majorBidi"/>
          <w:sz w:val="24"/>
          <w:szCs w:val="24"/>
        </w:rPr>
        <w:t xml:space="preserve"> institutional integration, and have been used to examine the degree of integration of different regions, such as the Globalization Index</w:t>
      </w:r>
      <w:r>
        <w:rPr>
          <w:rStyle w:val="FootnoteReference"/>
          <w:rFonts w:asciiTheme="majorBidi" w:hAnsiTheme="majorBidi" w:cstheme="majorBidi"/>
          <w:sz w:val="24"/>
          <w:szCs w:val="24"/>
        </w:rPr>
        <w:footnoteReference w:id="46"/>
      </w:r>
      <w:r w:rsidRPr="00C4144E">
        <w:rPr>
          <w:rFonts w:asciiTheme="majorBidi" w:hAnsiTheme="majorBidi" w:cstheme="majorBidi"/>
          <w:sz w:val="24"/>
          <w:szCs w:val="24"/>
        </w:rPr>
        <w:t>, EU</w:t>
      </w:r>
      <w:r>
        <w:rPr>
          <w:rStyle w:val="FootnoteReference"/>
          <w:rFonts w:asciiTheme="majorBidi" w:hAnsiTheme="majorBidi" w:cstheme="majorBidi"/>
          <w:sz w:val="24"/>
          <w:szCs w:val="24"/>
        </w:rPr>
        <w:footnoteReference w:id="47"/>
      </w:r>
      <w:r w:rsidRPr="00C4144E">
        <w:rPr>
          <w:rFonts w:asciiTheme="majorBidi" w:hAnsiTheme="majorBidi" w:cstheme="majorBidi"/>
          <w:sz w:val="24"/>
          <w:szCs w:val="24"/>
        </w:rPr>
        <w:t>, Africa</w:t>
      </w:r>
      <w:r>
        <w:rPr>
          <w:rStyle w:val="FootnoteReference"/>
          <w:rFonts w:asciiTheme="majorBidi" w:hAnsiTheme="majorBidi" w:cstheme="majorBidi"/>
          <w:sz w:val="24"/>
          <w:szCs w:val="24"/>
        </w:rPr>
        <w:footnoteReference w:id="48"/>
      </w:r>
      <w:r w:rsidRPr="00C4144E">
        <w:rPr>
          <w:rFonts w:asciiTheme="majorBidi" w:hAnsiTheme="majorBidi" w:cstheme="majorBidi"/>
          <w:sz w:val="24"/>
          <w:szCs w:val="24"/>
        </w:rPr>
        <w:t>, Asia-Pacific Region</w:t>
      </w:r>
      <w:r>
        <w:rPr>
          <w:rStyle w:val="FootnoteReference"/>
          <w:rFonts w:asciiTheme="majorBidi" w:hAnsiTheme="majorBidi" w:cstheme="majorBidi"/>
          <w:sz w:val="24"/>
          <w:szCs w:val="24"/>
        </w:rPr>
        <w:footnoteReference w:id="49"/>
      </w:r>
      <w:r w:rsidRPr="00C4144E">
        <w:rPr>
          <w:rFonts w:asciiTheme="majorBidi" w:hAnsiTheme="majorBidi" w:cstheme="majorBidi"/>
          <w:sz w:val="24"/>
          <w:szCs w:val="24"/>
        </w:rPr>
        <w:t xml:space="preserve">, and more. </w:t>
      </w:r>
      <w:r w:rsidRPr="00773694">
        <w:rPr>
          <w:rFonts w:asciiTheme="majorBidi" w:hAnsiTheme="majorBidi" w:cstheme="majorBidi"/>
          <w:sz w:val="24"/>
          <w:szCs w:val="24"/>
        </w:rPr>
        <w:t>We also used the "Handbook on Constructing Composite Indicators" by the OECD (2005) as a methodolog</w:t>
      </w:r>
      <w:r>
        <w:rPr>
          <w:rFonts w:asciiTheme="majorBidi" w:hAnsiTheme="majorBidi" w:cstheme="majorBidi"/>
          <w:sz w:val="24"/>
          <w:szCs w:val="24"/>
        </w:rPr>
        <w:t>ical</w:t>
      </w:r>
      <w:r w:rsidRPr="00773694">
        <w:rPr>
          <w:rFonts w:asciiTheme="majorBidi" w:hAnsiTheme="majorBidi" w:cstheme="majorBidi"/>
          <w:sz w:val="24"/>
          <w:szCs w:val="24"/>
        </w:rPr>
        <w:t xml:space="preserve"> tool and user guide to construct </w:t>
      </w:r>
      <w:r w:rsidRPr="00773694">
        <w:rPr>
          <w:rFonts w:ascii="Times New Roman" w:eastAsiaTheme="minorHAnsi" w:hAnsi="Times New Roman" w:cs="Times New Roman"/>
          <w:sz w:val="24"/>
          <w:szCs w:val="24"/>
        </w:rPr>
        <w:t xml:space="preserve">the ISR-WBG-II.  </w:t>
      </w:r>
    </w:p>
    <w:p w14:paraId="5E6898B4" w14:textId="77777777" w:rsidR="00C50A40" w:rsidRDefault="00C50A40" w:rsidP="00C50A40">
      <w:pPr>
        <w:pStyle w:val="ListParagraph"/>
        <w:autoSpaceDE w:val="0"/>
        <w:autoSpaceDN w:val="0"/>
        <w:bidi w:val="0"/>
        <w:adjustRightInd w:val="0"/>
        <w:spacing w:after="240" w:line="480" w:lineRule="auto"/>
        <w:ind w:left="790"/>
        <w:jc w:val="both"/>
        <w:rPr>
          <w:rFonts w:asciiTheme="majorBidi" w:hAnsiTheme="majorBidi" w:cstheme="majorBidi"/>
          <w:sz w:val="24"/>
          <w:szCs w:val="24"/>
        </w:rPr>
      </w:pPr>
      <w:r>
        <w:rPr>
          <w:rFonts w:asciiTheme="majorBidi" w:hAnsiTheme="majorBidi" w:cstheme="majorBidi"/>
          <w:sz w:val="24"/>
          <w:szCs w:val="24"/>
        </w:rPr>
        <w:t>Below</w:t>
      </w:r>
      <w:r w:rsidRPr="005760EB">
        <w:rPr>
          <w:rFonts w:asciiTheme="majorBidi" w:hAnsiTheme="majorBidi" w:cstheme="majorBidi"/>
          <w:sz w:val="24"/>
          <w:szCs w:val="24"/>
        </w:rPr>
        <w:t xml:space="preserve"> the 4 steps </w:t>
      </w:r>
      <w:r>
        <w:rPr>
          <w:rFonts w:asciiTheme="majorBidi" w:hAnsiTheme="majorBidi" w:cstheme="majorBidi"/>
          <w:sz w:val="24"/>
          <w:szCs w:val="24"/>
        </w:rPr>
        <w:t>we followed so as</w:t>
      </w:r>
      <w:r w:rsidRPr="005760EB">
        <w:rPr>
          <w:rFonts w:asciiTheme="majorBidi" w:hAnsiTheme="majorBidi" w:cstheme="majorBidi"/>
          <w:sz w:val="24"/>
          <w:szCs w:val="24"/>
        </w:rPr>
        <w:t xml:space="preserve"> to </w:t>
      </w:r>
      <w:r>
        <w:rPr>
          <w:rFonts w:asciiTheme="majorBidi" w:hAnsiTheme="majorBidi" w:cstheme="majorBidi"/>
          <w:sz w:val="24"/>
          <w:szCs w:val="24"/>
        </w:rPr>
        <w:t>construct</w:t>
      </w:r>
      <w:r w:rsidRPr="005760EB">
        <w:rPr>
          <w:rFonts w:asciiTheme="majorBidi" w:hAnsiTheme="majorBidi" w:cstheme="majorBidi"/>
          <w:sz w:val="24"/>
          <w:szCs w:val="24"/>
        </w:rPr>
        <w:t xml:space="preserve"> </w:t>
      </w:r>
      <w:r>
        <w:rPr>
          <w:rFonts w:asciiTheme="majorBidi" w:hAnsiTheme="majorBidi" w:cstheme="majorBidi"/>
          <w:sz w:val="24"/>
          <w:szCs w:val="24"/>
        </w:rPr>
        <w:t>the</w:t>
      </w:r>
      <w:r w:rsidRPr="005760EB">
        <w:rPr>
          <w:rFonts w:asciiTheme="majorBidi" w:hAnsiTheme="majorBidi" w:cstheme="majorBidi"/>
          <w:sz w:val="24"/>
          <w:szCs w:val="24"/>
        </w:rPr>
        <w:t xml:space="preserve"> </w:t>
      </w:r>
      <w:r w:rsidRPr="005760EB">
        <w:rPr>
          <w:rFonts w:ascii="Times New Roman" w:eastAsiaTheme="minorHAnsi" w:hAnsi="Times New Roman" w:cs="Times New Roman"/>
          <w:sz w:val="24"/>
          <w:szCs w:val="24"/>
        </w:rPr>
        <w:t>I</w:t>
      </w:r>
      <w:r>
        <w:rPr>
          <w:rFonts w:ascii="Times New Roman" w:eastAsiaTheme="minorHAnsi" w:hAnsi="Times New Roman" w:cs="Times New Roman"/>
          <w:sz w:val="24"/>
          <w:szCs w:val="24"/>
        </w:rPr>
        <w:t>SR-</w:t>
      </w:r>
      <w:r w:rsidRPr="005760EB">
        <w:rPr>
          <w:rFonts w:ascii="Times New Roman" w:eastAsiaTheme="minorHAnsi" w:hAnsi="Times New Roman" w:cs="Times New Roman"/>
          <w:sz w:val="24"/>
          <w:szCs w:val="24"/>
        </w:rPr>
        <w:t>WBG</w:t>
      </w:r>
      <w:r>
        <w:rPr>
          <w:rFonts w:ascii="Times New Roman" w:eastAsiaTheme="minorHAnsi" w:hAnsi="Times New Roman" w:cs="Times New Roman"/>
          <w:sz w:val="24"/>
          <w:szCs w:val="24"/>
        </w:rPr>
        <w:t>-</w:t>
      </w:r>
      <w:r w:rsidRPr="005760EB">
        <w:rPr>
          <w:rFonts w:ascii="Times New Roman" w:eastAsiaTheme="minorHAnsi" w:hAnsi="Times New Roman" w:cs="Times New Roman"/>
          <w:sz w:val="24"/>
          <w:szCs w:val="24"/>
        </w:rPr>
        <w:t>II</w:t>
      </w:r>
      <w:r>
        <w:rPr>
          <w:rFonts w:ascii="Times New Roman" w:eastAsiaTheme="minorHAnsi" w:hAnsi="Times New Roman" w:cs="Times New Roman"/>
          <w:sz w:val="24"/>
          <w:szCs w:val="24"/>
        </w:rPr>
        <w:t xml:space="preserve"> </w:t>
      </w:r>
      <w:r>
        <w:rPr>
          <w:rFonts w:asciiTheme="majorBidi" w:hAnsiTheme="majorBidi" w:cstheme="majorBidi"/>
          <w:sz w:val="24"/>
          <w:szCs w:val="24"/>
        </w:rPr>
        <w:t xml:space="preserve">composite </w:t>
      </w:r>
      <w:r w:rsidRPr="005760EB">
        <w:rPr>
          <w:rFonts w:asciiTheme="majorBidi" w:hAnsiTheme="majorBidi" w:cstheme="majorBidi"/>
          <w:sz w:val="24"/>
          <w:szCs w:val="24"/>
        </w:rPr>
        <w:t>index</w:t>
      </w:r>
      <w:r>
        <w:rPr>
          <w:rFonts w:asciiTheme="majorBidi" w:hAnsiTheme="majorBidi" w:cstheme="majorBidi"/>
          <w:sz w:val="24"/>
          <w:szCs w:val="24"/>
        </w:rPr>
        <w:t>:</w:t>
      </w:r>
    </w:p>
    <w:p w14:paraId="2C11CECD" w14:textId="77777777" w:rsidR="007E48B3" w:rsidRDefault="007E48B3" w:rsidP="007E48B3">
      <w:pPr>
        <w:pStyle w:val="ListParagraph"/>
        <w:numPr>
          <w:ilvl w:val="0"/>
          <w:numId w:val="16"/>
        </w:numPr>
        <w:bidi w:val="0"/>
        <w:spacing w:line="360" w:lineRule="auto"/>
        <w:jc w:val="both"/>
        <w:rPr>
          <w:rFonts w:asciiTheme="majorBidi" w:hAnsiTheme="majorBidi" w:cstheme="majorBidi"/>
          <w:sz w:val="24"/>
          <w:szCs w:val="24"/>
        </w:rPr>
      </w:pPr>
      <w:r w:rsidRPr="005760EB">
        <w:rPr>
          <w:rFonts w:asciiTheme="majorBidi" w:hAnsiTheme="majorBidi" w:cstheme="majorBidi"/>
          <w:sz w:val="24"/>
          <w:szCs w:val="24"/>
        </w:rPr>
        <w:t>Data selection</w:t>
      </w:r>
    </w:p>
    <w:p w14:paraId="423765EA" w14:textId="77777777" w:rsidR="007E48B3" w:rsidRPr="005760EB" w:rsidRDefault="007E48B3" w:rsidP="007E48B3">
      <w:pPr>
        <w:pStyle w:val="ListParagraph"/>
        <w:numPr>
          <w:ilvl w:val="0"/>
          <w:numId w:val="16"/>
        </w:numPr>
        <w:bidi w:val="0"/>
        <w:spacing w:line="360" w:lineRule="auto"/>
        <w:jc w:val="both"/>
        <w:rPr>
          <w:rFonts w:asciiTheme="majorBidi" w:hAnsiTheme="majorBidi" w:cstheme="majorBidi"/>
          <w:sz w:val="24"/>
          <w:szCs w:val="24"/>
        </w:rPr>
      </w:pPr>
      <w:r w:rsidRPr="005760EB">
        <w:rPr>
          <w:rFonts w:asciiTheme="majorBidi" w:hAnsiTheme="majorBidi" w:cstheme="majorBidi"/>
          <w:sz w:val="24"/>
          <w:szCs w:val="24"/>
        </w:rPr>
        <w:t xml:space="preserve">Normalization </w:t>
      </w:r>
    </w:p>
    <w:p w14:paraId="624D9ADF" w14:textId="77777777" w:rsidR="007E48B3" w:rsidRPr="005760EB" w:rsidRDefault="007E48B3" w:rsidP="007E48B3">
      <w:pPr>
        <w:pStyle w:val="ListParagraph"/>
        <w:numPr>
          <w:ilvl w:val="0"/>
          <w:numId w:val="16"/>
        </w:numPr>
        <w:bidi w:val="0"/>
        <w:spacing w:line="360" w:lineRule="auto"/>
        <w:jc w:val="both"/>
        <w:rPr>
          <w:rFonts w:asciiTheme="majorBidi" w:hAnsiTheme="majorBidi" w:cstheme="majorBidi"/>
          <w:sz w:val="24"/>
          <w:szCs w:val="24"/>
        </w:rPr>
      </w:pPr>
      <w:r w:rsidRPr="005760EB">
        <w:rPr>
          <w:rFonts w:asciiTheme="majorBidi" w:hAnsiTheme="majorBidi" w:cstheme="majorBidi"/>
          <w:sz w:val="24"/>
          <w:szCs w:val="24"/>
        </w:rPr>
        <w:t xml:space="preserve">Weighting </w:t>
      </w:r>
    </w:p>
    <w:p w14:paraId="563B472F" w14:textId="77777777" w:rsidR="007E48B3" w:rsidRDefault="007E48B3" w:rsidP="007E48B3">
      <w:pPr>
        <w:pStyle w:val="ListParagraph"/>
        <w:numPr>
          <w:ilvl w:val="0"/>
          <w:numId w:val="16"/>
        </w:numPr>
        <w:bidi w:val="0"/>
        <w:spacing w:line="360" w:lineRule="auto"/>
        <w:jc w:val="both"/>
        <w:rPr>
          <w:rFonts w:asciiTheme="majorBidi" w:hAnsiTheme="majorBidi" w:cstheme="majorBidi"/>
          <w:sz w:val="24"/>
          <w:szCs w:val="24"/>
        </w:rPr>
      </w:pPr>
      <w:r w:rsidRPr="005760EB">
        <w:rPr>
          <w:rFonts w:asciiTheme="majorBidi" w:hAnsiTheme="majorBidi" w:cstheme="majorBidi"/>
          <w:sz w:val="24"/>
          <w:szCs w:val="24"/>
        </w:rPr>
        <w:t xml:space="preserve">Aggregation </w:t>
      </w:r>
    </w:p>
    <w:p w14:paraId="3B26BEAD" w14:textId="77777777" w:rsidR="007E48B3" w:rsidRPr="00E57901" w:rsidRDefault="007E48B3" w:rsidP="007E48B3">
      <w:pPr>
        <w:pStyle w:val="ListParagraph"/>
        <w:autoSpaceDE w:val="0"/>
        <w:autoSpaceDN w:val="0"/>
        <w:bidi w:val="0"/>
        <w:adjustRightInd w:val="0"/>
        <w:spacing w:before="240" w:line="480" w:lineRule="auto"/>
        <w:ind w:left="851"/>
        <w:contextualSpacing w:val="0"/>
        <w:rPr>
          <w:rFonts w:asciiTheme="majorBidi" w:hAnsiTheme="majorBidi" w:cstheme="majorBidi"/>
          <w:b/>
          <w:bCs/>
          <w:sz w:val="24"/>
          <w:szCs w:val="24"/>
          <w:u w:val="single"/>
        </w:rPr>
      </w:pPr>
      <w:r w:rsidRPr="00E57901">
        <w:rPr>
          <w:rFonts w:asciiTheme="majorBidi" w:hAnsiTheme="majorBidi" w:cstheme="majorBidi"/>
          <w:b/>
          <w:bCs/>
          <w:sz w:val="24"/>
          <w:szCs w:val="24"/>
          <w:u w:val="single"/>
        </w:rPr>
        <w:t xml:space="preserve">Data selection  </w:t>
      </w:r>
    </w:p>
    <w:p w14:paraId="0A6F5EB0" w14:textId="77777777" w:rsidR="00C50A40" w:rsidRDefault="00C50A40" w:rsidP="00C50A40">
      <w:pPr>
        <w:pStyle w:val="ListParagraph"/>
        <w:autoSpaceDE w:val="0"/>
        <w:autoSpaceDN w:val="0"/>
        <w:bidi w:val="0"/>
        <w:adjustRightInd w:val="0"/>
        <w:spacing w:after="240" w:line="480" w:lineRule="auto"/>
        <w:ind w:left="851"/>
        <w:jc w:val="both"/>
        <w:rPr>
          <w:rFonts w:asciiTheme="majorBidi" w:hAnsiTheme="majorBidi" w:cstheme="majorBidi"/>
          <w:sz w:val="24"/>
          <w:szCs w:val="24"/>
        </w:rPr>
      </w:pPr>
      <w:r>
        <w:rPr>
          <w:rFonts w:asciiTheme="majorBidi" w:hAnsiTheme="majorBidi" w:cstheme="majorBidi"/>
          <w:sz w:val="24"/>
          <w:szCs w:val="24"/>
        </w:rPr>
        <w:t>The i</w:t>
      </w:r>
      <w:r w:rsidRPr="00AE6795">
        <w:rPr>
          <w:rFonts w:asciiTheme="majorBidi" w:hAnsiTheme="majorBidi" w:cstheme="majorBidi"/>
          <w:sz w:val="24"/>
          <w:szCs w:val="24"/>
        </w:rPr>
        <w:t xml:space="preserve">ndicators </w:t>
      </w:r>
      <w:r w:rsidRPr="002526CD">
        <w:rPr>
          <w:rFonts w:asciiTheme="majorBidi" w:hAnsiTheme="majorBidi" w:cstheme="majorBidi"/>
          <w:sz w:val="24"/>
          <w:szCs w:val="24"/>
        </w:rPr>
        <w:t>should be selected</w:t>
      </w:r>
      <w:r>
        <w:rPr>
          <w:rFonts w:asciiTheme="majorBidi" w:hAnsiTheme="majorBidi" w:cstheme="majorBidi"/>
          <w:sz w:val="24"/>
          <w:szCs w:val="24"/>
        </w:rPr>
        <w:t xml:space="preserve"> were</w:t>
      </w:r>
      <w:r w:rsidRPr="002526CD">
        <w:rPr>
          <w:rFonts w:asciiTheme="majorBidi" w:hAnsiTheme="majorBidi" w:cstheme="majorBidi"/>
          <w:sz w:val="24"/>
          <w:szCs w:val="24"/>
        </w:rPr>
        <w:t xml:space="preserve"> based on their analytical soundness,</w:t>
      </w:r>
      <w:r>
        <w:rPr>
          <w:rFonts w:asciiTheme="majorBidi" w:hAnsiTheme="majorBidi" w:cstheme="majorBidi"/>
          <w:sz w:val="24"/>
          <w:szCs w:val="24"/>
        </w:rPr>
        <w:t xml:space="preserve"> </w:t>
      </w:r>
      <w:r w:rsidRPr="002526CD">
        <w:rPr>
          <w:rFonts w:asciiTheme="majorBidi" w:hAnsiTheme="majorBidi" w:cstheme="majorBidi"/>
          <w:sz w:val="24"/>
          <w:szCs w:val="24"/>
        </w:rPr>
        <w:t>measurability</w:t>
      </w:r>
      <w:r>
        <w:rPr>
          <w:rFonts w:asciiTheme="majorBidi" w:hAnsiTheme="majorBidi" w:cstheme="majorBidi"/>
          <w:sz w:val="24"/>
          <w:szCs w:val="24"/>
        </w:rPr>
        <w:t>, and</w:t>
      </w:r>
      <w:r w:rsidRPr="002526CD">
        <w:rPr>
          <w:rFonts w:asciiTheme="majorBidi" w:hAnsiTheme="majorBidi" w:cstheme="majorBidi"/>
          <w:sz w:val="24"/>
          <w:szCs w:val="24"/>
        </w:rPr>
        <w:t xml:space="preserve"> relevance to the phenomenon being measured and relationship to each other.</w:t>
      </w:r>
      <w:r>
        <w:rPr>
          <w:rFonts w:asciiTheme="majorBidi" w:hAnsiTheme="majorBidi" w:cstheme="majorBidi"/>
          <w:sz w:val="24"/>
          <w:szCs w:val="24"/>
        </w:rPr>
        <w:t xml:space="preserve"> </w:t>
      </w:r>
    </w:p>
    <w:p w14:paraId="04D9EA11" w14:textId="77777777" w:rsidR="007E48B3" w:rsidRDefault="007E48B3" w:rsidP="007E48B3">
      <w:pPr>
        <w:pStyle w:val="ListParagraph"/>
        <w:autoSpaceDE w:val="0"/>
        <w:autoSpaceDN w:val="0"/>
        <w:bidi w:val="0"/>
        <w:adjustRightInd w:val="0"/>
        <w:spacing w:after="240" w:line="480" w:lineRule="auto"/>
        <w:ind w:left="851"/>
        <w:rPr>
          <w:rFonts w:asciiTheme="majorBidi" w:hAnsiTheme="majorBidi" w:cstheme="majorBidi"/>
          <w:sz w:val="24"/>
          <w:szCs w:val="24"/>
        </w:rPr>
      </w:pPr>
      <w:r w:rsidRPr="00AE6795">
        <w:rPr>
          <w:rFonts w:asciiTheme="majorBidi" w:hAnsiTheme="majorBidi" w:cstheme="majorBidi"/>
          <w:sz w:val="24"/>
          <w:szCs w:val="24"/>
        </w:rPr>
        <w:t xml:space="preserve">The </w:t>
      </w:r>
      <w:r>
        <w:rPr>
          <w:rFonts w:asciiTheme="majorBidi" w:hAnsiTheme="majorBidi" w:cstheme="majorBidi"/>
          <w:sz w:val="24"/>
          <w:szCs w:val="24"/>
        </w:rPr>
        <w:t xml:space="preserve">Israel-WBG </w:t>
      </w:r>
      <w:r w:rsidRPr="001E5B2F">
        <w:rPr>
          <w:rFonts w:asciiTheme="majorBidi" w:hAnsiTheme="majorBidi" w:cstheme="majorBidi"/>
          <w:sz w:val="24"/>
          <w:szCs w:val="24"/>
        </w:rPr>
        <w:t>index</w:t>
      </w:r>
      <w:r w:rsidRPr="00AE6795">
        <w:rPr>
          <w:rFonts w:asciiTheme="majorBidi" w:hAnsiTheme="majorBidi" w:cstheme="majorBidi"/>
          <w:sz w:val="24"/>
          <w:szCs w:val="24"/>
        </w:rPr>
        <w:t xml:space="preserve"> comprises </w:t>
      </w:r>
      <w:r>
        <w:rPr>
          <w:rFonts w:asciiTheme="majorBidi" w:hAnsiTheme="majorBidi" w:cstheme="majorBidi"/>
          <w:sz w:val="24"/>
          <w:szCs w:val="24"/>
        </w:rPr>
        <w:t>5</w:t>
      </w:r>
      <w:r w:rsidRPr="00AE6795">
        <w:rPr>
          <w:rFonts w:asciiTheme="majorBidi" w:hAnsiTheme="majorBidi" w:cstheme="majorBidi"/>
          <w:sz w:val="24"/>
          <w:szCs w:val="24"/>
        </w:rPr>
        <w:t xml:space="preserve"> dimensions of integration</w:t>
      </w:r>
      <w:r>
        <w:rPr>
          <w:rFonts w:asciiTheme="majorBidi" w:hAnsiTheme="majorBidi" w:cstheme="majorBidi"/>
          <w:sz w:val="24"/>
          <w:szCs w:val="24"/>
        </w:rPr>
        <w:t>:</w:t>
      </w:r>
    </w:p>
    <w:p w14:paraId="36F5331E" w14:textId="56CD174D" w:rsidR="007E48B3" w:rsidRDefault="007E48B3" w:rsidP="007E48B3">
      <w:pPr>
        <w:pStyle w:val="ListParagraph"/>
        <w:numPr>
          <w:ilvl w:val="0"/>
          <w:numId w:val="10"/>
        </w:numPr>
        <w:autoSpaceDE w:val="0"/>
        <w:autoSpaceDN w:val="0"/>
        <w:bidi w:val="0"/>
        <w:adjustRightInd w:val="0"/>
        <w:spacing w:after="240" w:line="360" w:lineRule="auto"/>
        <w:jc w:val="both"/>
        <w:rPr>
          <w:rFonts w:asciiTheme="majorBidi" w:hAnsiTheme="majorBidi" w:cstheme="majorBidi"/>
          <w:sz w:val="24"/>
          <w:szCs w:val="24"/>
        </w:rPr>
      </w:pPr>
      <w:r w:rsidRPr="007A7F9E">
        <w:rPr>
          <w:rFonts w:asciiTheme="majorBidi" w:hAnsiTheme="majorBidi" w:cstheme="majorBidi"/>
          <w:b/>
          <w:bCs/>
          <w:sz w:val="24"/>
          <w:szCs w:val="24"/>
        </w:rPr>
        <w:t>Trade, employment, and taxes</w:t>
      </w:r>
      <w:r>
        <w:rPr>
          <w:rFonts w:asciiTheme="majorBidi" w:hAnsiTheme="majorBidi" w:cstheme="majorBidi"/>
          <w:sz w:val="24"/>
          <w:szCs w:val="24"/>
        </w:rPr>
        <w:t xml:space="preserve"> - </w:t>
      </w:r>
      <w:r w:rsidRPr="00357FFE">
        <w:rPr>
          <w:rFonts w:asciiTheme="majorBidi" w:hAnsiTheme="majorBidi" w:cstheme="majorBidi"/>
          <w:sz w:val="24"/>
          <w:szCs w:val="24"/>
        </w:rPr>
        <w:t>Real economic activity is the main channel through which the Israeli and Palestinian economies integrate</w:t>
      </w:r>
      <w:r>
        <w:rPr>
          <w:rFonts w:asciiTheme="majorBidi" w:hAnsiTheme="majorBidi" w:cstheme="majorBidi"/>
          <w:sz w:val="24"/>
          <w:szCs w:val="24"/>
        </w:rPr>
        <w:t xml:space="preserve">. </w:t>
      </w:r>
      <w:r w:rsidRPr="00CF5241">
        <w:rPr>
          <w:rFonts w:asciiTheme="majorBidi" w:hAnsiTheme="majorBidi" w:cstheme="majorBidi"/>
          <w:sz w:val="24"/>
          <w:szCs w:val="24"/>
        </w:rPr>
        <w:t>The unified customs envelope encourages trade between the Israeli and</w:t>
      </w:r>
      <w:r>
        <w:rPr>
          <w:rFonts w:asciiTheme="majorBidi" w:hAnsiTheme="majorBidi" w:cstheme="majorBidi"/>
          <w:sz w:val="24"/>
          <w:szCs w:val="24"/>
        </w:rPr>
        <w:t xml:space="preserve"> the</w:t>
      </w:r>
      <w:r w:rsidRPr="00CF5241">
        <w:rPr>
          <w:rFonts w:asciiTheme="majorBidi" w:hAnsiTheme="majorBidi" w:cstheme="majorBidi"/>
          <w:sz w:val="24"/>
          <w:szCs w:val="24"/>
        </w:rPr>
        <w:t xml:space="preserve"> Palestinian economies because it reduces barriers to mutual trade.</w:t>
      </w:r>
      <w:r w:rsidRPr="002935DB">
        <w:rPr>
          <w:rFonts w:asciiTheme="majorBidi" w:hAnsiTheme="majorBidi" w:cstheme="majorBidi"/>
          <w:sz w:val="24"/>
          <w:szCs w:val="24"/>
        </w:rPr>
        <w:t xml:space="preserve"> Employment of Palestinians in Israel plays a key factor and </w:t>
      </w:r>
      <w:r w:rsidR="00C50A40">
        <w:rPr>
          <w:rFonts w:asciiTheme="majorBidi" w:hAnsiTheme="majorBidi" w:cstheme="majorBidi"/>
          <w:sz w:val="24"/>
          <w:szCs w:val="24"/>
        </w:rPr>
        <w:t>is a</w:t>
      </w:r>
      <w:r w:rsidR="00C50A40" w:rsidRPr="002935DB">
        <w:rPr>
          <w:rFonts w:asciiTheme="majorBidi" w:hAnsiTheme="majorBidi" w:cstheme="majorBidi"/>
          <w:sz w:val="24"/>
          <w:szCs w:val="24"/>
        </w:rPr>
        <w:t xml:space="preserve"> </w:t>
      </w:r>
      <w:r w:rsidRPr="002935DB">
        <w:rPr>
          <w:rFonts w:asciiTheme="majorBidi" w:hAnsiTheme="majorBidi" w:cstheme="majorBidi"/>
          <w:sz w:val="24"/>
          <w:szCs w:val="24"/>
        </w:rPr>
        <w:t>significant anchor of the Palestinian economy.</w:t>
      </w:r>
    </w:p>
    <w:p w14:paraId="77B6CE6D" w14:textId="77777777" w:rsidR="007E48B3" w:rsidRDefault="007E48B3" w:rsidP="007E48B3">
      <w:pPr>
        <w:pStyle w:val="ListParagraph"/>
        <w:numPr>
          <w:ilvl w:val="0"/>
          <w:numId w:val="10"/>
        </w:numPr>
        <w:autoSpaceDE w:val="0"/>
        <w:autoSpaceDN w:val="0"/>
        <w:bidi w:val="0"/>
        <w:adjustRightInd w:val="0"/>
        <w:spacing w:after="240" w:line="360" w:lineRule="auto"/>
        <w:jc w:val="both"/>
        <w:rPr>
          <w:rFonts w:asciiTheme="majorBidi" w:hAnsiTheme="majorBidi" w:cstheme="majorBidi"/>
          <w:sz w:val="24"/>
          <w:szCs w:val="24"/>
        </w:rPr>
      </w:pPr>
      <w:r w:rsidRPr="007A7F9E">
        <w:rPr>
          <w:rFonts w:asciiTheme="majorBidi" w:hAnsiTheme="majorBidi" w:cstheme="majorBidi"/>
          <w:b/>
          <w:bCs/>
          <w:sz w:val="24"/>
          <w:szCs w:val="24"/>
        </w:rPr>
        <w:t>Movement of people -</w:t>
      </w:r>
      <w:r w:rsidRPr="0060466A">
        <w:rPr>
          <w:rFonts w:asciiTheme="majorBidi" w:hAnsiTheme="majorBidi" w:cstheme="majorBidi"/>
          <w:sz w:val="24"/>
          <w:szCs w:val="24"/>
        </w:rPr>
        <w:t xml:space="preserve"> Allowing people to move more freely helps build </w:t>
      </w:r>
      <w:r>
        <w:rPr>
          <w:rFonts w:asciiTheme="majorBidi" w:hAnsiTheme="majorBidi" w:cstheme="majorBidi"/>
          <w:sz w:val="24"/>
          <w:szCs w:val="24"/>
        </w:rPr>
        <w:t>economies of scale</w:t>
      </w:r>
      <w:r w:rsidRPr="0060466A">
        <w:rPr>
          <w:rFonts w:asciiTheme="majorBidi" w:hAnsiTheme="majorBidi" w:cstheme="majorBidi"/>
          <w:sz w:val="24"/>
          <w:szCs w:val="24"/>
        </w:rPr>
        <w:t>, develop effective value chains, and foster social links. These aspects are very relevant, including</w:t>
      </w:r>
      <w:r>
        <w:rPr>
          <w:rFonts w:asciiTheme="majorBidi" w:hAnsiTheme="majorBidi" w:cstheme="majorBidi"/>
          <w:sz w:val="24"/>
          <w:szCs w:val="24"/>
        </w:rPr>
        <w:t xml:space="preserve"> to</w:t>
      </w:r>
      <w:r w:rsidRPr="0060466A">
        <w:rPr>
          <w:rFonts w:asciiTheme="majorBidi" w:hAnsiTheme="majorBidi" w:cstheme="majorBidi"/>
          <w:sz w:val="24"/>
          <w:szCs w:val="24"/>
        </w:rPr>
        <w:t xml:space="preserve"> trade, employment and manufacturing, medicine, and tourism.</w:t>
      </w:r>
      <w:r>
        <w:rPr>
          <w:rFonts w:asciiTheme="majorBidi" w:hAnsiTheme="majorBidi" w:cstheme="majorBidi"/>
          <w:sz w:val="24"/>
          <w:szCs w:val="24"/>
        </w:rPr>
        <w:t xml:space="preserve"> </w:t>
      </w:r>
      <w:r w:rsidRPr="00A40D61">
        <w:rPr>
          <w:rFonts w:asciiTheme="majorBidi" w:hAnsiTheme="majorBidi" w:cstheme="majorBidi"/>
          <w:sz w:val="24"/>
          <w:szCs w:val="24"/>
        </w:rPr>
        <w:t>Israel maintains a system of permits for the entry of Palestinians into Israel, mainly for the following needs: health, legal, education, employment, economy, religious worship, family reunification, tourism and more.</w:t>
      </w:r>
    </w:p>
    <w:p w14:paraId="3B1A2535" w14:textId="1503D78A" w:rsidR="007E48B3" w:rsidRDefault="007E48B3" w:rsidP="007E48B3">
      <w:pPr>
        <w:pStyle w:val="ListParagraph"/>
        <w:numPr>
          <w:ilvl w:val="0"/>
          <w:numId w:val="10"/>
        </w:numPr>
        <w:autoSpaceDE w:val="0"/>
        <w:autoSpaceDN w:val="0"/>
        <w:bidi w:val="0"/>
        <w:adjustRightInd w:val="0"/>
        <w:spacing w:after="240" w:line="360" w:lineRule="auto"/>
        <w:jc w:val="both"/>
        <w:rPr>
          <w:rFonts w:asciiTheme="majorBidi" w:hAnsiTheme="majorBidi" w:cstheme="majorBidi"/>
          <w:sz w:val="24"/>
          <w:szCs w:val="24"/>
        </w:rPr>
      </w:pPr>
      <w:r w:rsidRPr="00A445DB">
        <w:rPr>
          <w:rFonts w:asciiTheme="majorBidi" w:hAnsiTheme="majorBidi" w:cstheme="majorBidi"/>
          <w:b/>
          <w:bCs/>
          <w:sz w:val="24"/>
          <w:szCs w:val="24"/>
        </w:rPr>
        <w:t xml:space="preserve">Resources and </w:t>
      </w:r>
      <w:r w:rsidRPr="00735228">
        <w:rPr>
          <w:rFonts w:asciiTheme="majorBidi" w:hAnsiTheme="majorBidi" w:cstheme="majorBidi"/>
          <w:b/>
          <w:bCs/>
          <w:sz w:val="24"/>
          <w:szCs w:val="24"/>
        </w:rPr>
        <w:t>infrastructure</w:t>
      </w:r>
      <w:r>
        <w:rPr>
          <w:rFonts w:asciiTheme="majorBidi" w:hAnsiTheme="majorBidi" w:cstheme="majorBidi"/>
          <w:sz w:val="24"/>
          <w:szCs w:val="24"/>
        </w:rPr>
        <w:t xml:space="preserve"> </w:t>
      </w:r>
      <w:r w:rsidRPr="00A445DB">
        <w:rPr>
          <w:rFonts w:asciiTheme="majorBidi" w:hAnsiTheme="majorBidi" w:cstheme="majorBidi"/>
          <w:b/>
          <w:bCs/>
          <w:sz w:val="24"/>
          <w:szCs w:val="24"/>
        </w:rPr>
        <w:t>-</w:t>
      </w:r>
      <w:r>
        <w:rPr>
          <w:rFonts w:asciiTheme="majorBidi" w:hAnsiTheme="majorBidi" w:cstheme="majorBidi"/>
          <w:sz w:val="24"/>
          <w:szCs w:val="24"/>
        </w:rPr>
        <w:t xml:space="preserve"> The</w:t>
      </w:r>
      <w:r w:rsidRPr="0086754B">
        <w:rPr>
          <w:rFonts w:asciiTheme="majorBidi" w:hAnsiTheme="majorBidi" w:cstheme="majorBidi"/>
          <w:sz w:val="24"/>
          <w:szCs w:val="24"/>
        </w:rPr>
        <w:t xml:space="preserve"> </w:t>
      </w:r>
      <w:r>
        <w:rPr>
          <w:rFonts w:asciiTheme="majorBidi" w:hAnsiTheme="majorBidi" w:cstheme="majorBidi"/>
          <w:sz w:val="24"/>
          <w:szCs w:val="24"/>
        </w:rPr>
        <w:t xml:space="preserve">share of resources such as </w:t>
      </w:r>
      <w:r w:rsidRPr="00783115">
        <w:rPr>
          <w:rFonts w:asciiTheme="majorBidi" w:hAnsiTheme="majorBidi" w:cstheme="majorBidi"/>
          <w:sz w:val="24"/>
          <w:szCs w:val="24"/>
        </w:rPr>
        <w:t>information and communication technology, water and</w:t>
      </w:r>
      <w:r>
        <w:rPr>
          <w:rFonts w:asciiTheme="majorBidi" w:hAnsiTheme="majorBidi" w:cstheme="majorBidi" w:hint="cs"/>
          <w:sz w:val="24"/>
          <w:szCs w:val="24"/>
          <w:rtl/>
        </w:rPr>
        <w:t xml:space="preserve"> </w:t>
      </w:r>
      <w:r w:rsidRPr="00783115">
        <w:rPr>
          <w:rFonts w:asciiTheme="majorBidi" w:hAnsiTheme="majorBidi" w:cstheme="majorBidi"/>
          <w:sz w:val="24"/>
          <w:szCs w:val="24"/>
        </w:rPr>
        <w:t>cross-border electrical infrastructure</w:t>
      </w:r>
      <w:r>
        <w:rPr>
          <w:rFonts w:asciiTheme="majorBidi" w:hAnsiTheme="majorBidi" w:cstheme="majorBidi"/>
          <w:sz w:val="24"/>
          <w:szCs w:val="24"/>
        </w:rPr>
        <w:t xml:space="preserve"> </w:t>
      </w:r>
      <w:r w:rsidRPr="0086754B">
        <w:rPr>
          <w:rFonts w:asciiTheme="majorBidi" w:hAnsiTheme="majorBidi" w:cstheme="majorBidi"/>
          <w:sz w:val="24"/>
          <w:szCs w:val="24"/>
        </w:rPr>
        <w:t>directly affect transaction costs, prosperity,</w:t>
      </w:r>
      <w:r>
        <w:rPr>
          <w:rFonts w:asciiTheme="majorBidi" w:hAnsiTheme="majorBidi" w:cstheme="majorBidi"/>
          <w:sz w:val="24"/>
          <w:szCs w:val="24"/>
        </w:rPr>
        <w:t xml:space="preserve"> </w:t>
      </w:r>
      <w:r w:rsidRPr="0086754B">
        <w:rPr>
          <w:rFonts w:asciiTheme="majorBidi" w:hAnsiTheme="majorBidi" w:cstheme="majorBidi"/>
          <w:sz w:val="24"/>
          <w:szCs w:val="24"/>
        </w:rPr>
        <w:t>stability</w:t>
      </w:r>
      <w:r>
        <w:rPr>
          <w:rFonts w:asciiTheme="majorBidi" w:hAnsiTheme="majorBidi" w:cstheme="majorBidi"/>
          <w:sz w:val="24"/>
          <w:szCs w:val="24"/>
        </w:rPr>
        <w:t xml:space="preserve"> and encourages </w:t>
      </w:r>
      <w:r w:rsidRPr="00E01B19">
        <w:rPr>
          <w:rFonts w:asciiTheme="majorBidi" w:hAnsiTheme="majorBidi" w:cstheme="majorBidi"/>
          <w:sz w:val="24"/>
          <w:szCs w:val="24"/>
        </w:rPr>
        <w:t>economic growth.</w:t>
      </w:r>
      <w:r>
        <w:rPr>
          <w:rFonts w:asciiTheme="majorBidi" w:hAnsiTheme="majorBidi" w:cstheme="majorBidi"/>
          <w:sz w:val="24"/>
          <w:szCs w:val="24"/>
        </w:rPr>
        <w:t xml:space="preserve"> </w:t>
      </w:r>
      <w:r w:rsidRPr="00505C9D">
        <w:rPr>
          <w:rFonts w:asciiTheme="majorBidi" w:hAnsiTheme="majorBidi" w:cstheme="majorBidi"/>
          <w:sz w:val="24"/>
          <w:szCs w:val="24"/>
        </w:rPr>
        <w:t>With the rapid development of mobile telephony and the global expansion of the Internet, information and communication technologies are increasingly recognized as essential tools of development, contributing to integration.</w:t>
      </w:r>
    </w:p>
    <w:p w14:paraId="78CCEC2B" w14:textId="77777777" w:rsidR="00C50A40" w:rsidRDefault="00C50A40" w:rsidP="00C50A40">
      <w:pPr>
        <w:pStyle w:val="ListParagraph"/>
        <w:numPr>
          <w:ilvl w:val="0"/>
          <w:numId w:val="10"/>
        </w:numPr>
        <w:autoSpaceDE w:val="0"/>
        <w:autoSpaceDN w:val="0"/>
        <w:bidi w:val="0"/>
        <w:adjustRightInd w:val="0"/>
        <w:spacing w:after="240" w:line="360" w:lineRule="auto"/>
        <w:jc w:val="both"/>
        <w:rPr>
          <w:rFonts w:asciiTheme="majorBidi" w:hAnsiTheme="majorBidi" w:cstheme="majorBidi"/>
          <w:sz w:val="24"/>
          <w:szCs w:val="24"/>
        </w:rPr>
      </w:pPr>
      <w:r w:rsidRPr="00F75043">
        <w:rPr>
          <w:rFonts w:asciiTheme="majorBidi" w:hAnsiTheme="majorBidi" w:cstheme="majorBidi"/>
          <w:b/>
          <w:bCs/>
          <w:sz w:val="24"/>
          <w:szCs w:val="24"/>
        </w:rPr>
        <w:t>Banking and money</w:t>
      </w:r>
      <w:r>
        <w:rPr>
          <w:rFonts w:asciiTheme="majorBidi" w:hAnsiTheme="majorBidi" w:cstheme="majorBidi"/>
          <w:sz w:val="24"/>
          <w:szCs w:val="24"/>
        </w:rPr>
        <w:t xml:space="preserve"> - </w:t>
      </w:r>
      <w:r w:rsidRPr="00961759">
        <w:rPr>
          <w:rFonts w:asciiTheme="majorBidi" w:hAnsiTheme="majorBidi" w:cstheme="majorBidi"/>
          <w:sz w:val="24"/>
          <w:szCs w:val="24"/>
        </w:rPr>
        <w:t xml:space="preserve">A high rate of </w:t>
      </w:r>
      <w:r>
        <w:rPr>
          <w:rFonts w:asciiTheme="majorBidi" w:hAnsiTheme="majorBidi" w:cstheme="majorBidi"/>
          <w:sz w:val="24"/>
          <w:szCs w:val="24"/>
        </w:rPr>
        <w:t>u</w:t>
      </w:r>
      <w:r w:rsidRPr="00CC2380">
        <w:rPr>
          <w:rFonts w:asciiTheme="majorBidi" w:hAnsiTheme="majorBidi" w:cstheme="majorBidi"/>
          <w:sz w:val="24"/>
          <w:szCs w:val="24"/>
        </w:rPr>
        <w:t>sage</w:t>
      </w:r>
      <w:r>
        <w:rPr>
          <w:rFonts w:asciiTheme="majorBidi" w:hAnsiTheme="majorBidi" w:cstheme="majorBidi"/>
          <w:sz w:val="24"/>
          <w:szCs w:val="24"/>
        </w:rPr>
        <w:t xml:space="preserve"> </w:t>
      </w:r>
      <w:r w:rsidRPr="00961759">
        <w:rPr>
          <w:rFonts w:asciiTheme="majorBidi" w:hAnsiTheme="majorBidi" w:cstheme="majorBidi"/>
          <w:sz w:val="24"/>
          <w:szCs w:val="24"/>
        </w:rPr>
        <w:t xml:space="preserve">of the Israeli shekel in the Palestinian Authority will indicate high monetary integration between the regions in a way that </w:t>
      </w:r>
      <w:r w:rsidRPr="000F078F">
        <w:rPr>
          <w:rFonts w:asciiTheme="majorBidi" w:hAnsiTheme="majorBidi" w:cstheme="majorBidi"/>
          <w:sz w:val="24"/>
          <w:szCs w:val="24"/>
        </w:rPr>
        <w:t xml:space="preserve">helps reduce transaction costs </w:t>
      </w:r>
      <w:r>
        <w:rPr>
          <w:rFonts w:asciiTheme="majorBidi" w:hAnsiTheme="majorBidi" w:cstheme="majorBidi"/>
          <w:sz w:val="24"/>
          <w:szCs w:val="24"/>
        </w:rPr>
        <w:t xml:space="preserve">and </w:t>
      </w:r>
      <w:r w:rsidRPr="0074355C">
        <w:rPr>
          <w:rFonts w:asciiTheme="majorBidi" w:hAnsiTheme="majorBidi" w:cstheme="majorBidi"/>
          <w:sz w:val="24"/>
          <w:szCs w:val="24"/>
        </w:rPr>
        <w:t>promot</w:t>
      </w:r>
      <w:r>
        <w:rPr>
          <w:rFonts w:asciiTheme="majorBidi" w:hAnsiTheme="majorBidi" w:cstheme="majorBidi"/>
          <w:sz w:val="24"/>
          <w:szCs w:val="24"/>
        </w:rPr>
        <w:t>es</w:t>
      </w:r>
      <w:r w:rsidRPr="0074355C">
        <w:rPr>
          <w:rFonts w:asciiTheme="majorBidi" w:hAnsiTheme="majorBidi" w:cstheme="majorBidi"/>
          <w:sz w:val="24"/>
          <w:szCs w:val="24"/>
        </w:rPr>
        <w:t xml:space="preserve"> monetary stability</w:t>
      </w:r>
      <w:r>
        <w:rPr>
          <w:rFonts w:asciiTheme="majorBidi" w:hAnsiTheme="majorBidi" w:cstheme="majorBidi"/>
          <w:sz w:val="24"/>
          <w:szCs w:val="24"/>
        </w:rPr>
        <w:t xml:space="preserve">. </w:t>
      </w:r>
    </w:p>
    <w:p w14:paraId="688D28E0" w14:textId="77777777" w:rsidR="00C50A40" w:rsidRDefault="00C50A40" w:rsidP="00C50A40">
      <w:pPr>
        <w:pStyle w:val="ListParagraph"/>
        <w:numPr>
          <w:ilvl w:val="0"/>
          <w:numId w:val="10"/>
        </w:numPr>
        <w:autoSpaceDE w:val="0"/>
        <w:autoSpaceDN w:val="0"/>
        <w:bidi w:val="0"/>
        <w:adjustRightInd w:val="0"/>
        <w:spacing w:after="240" w:line="360" w:lineRule="auto"/>
        <w:jc w:val="both"/>
        <w:rPr>
          <w:rFonts w:asciiTheme="majorBidi" w:hAnsiTheme="majorBidi" w:cstheme="majorBidi"/>
          <w:b/>
          <w:bCs/>
          <w:sz w:val="24"/>
          <w:szCs w:val="24"/>
        </w:rPr>
      </w:pPr>
      <w:r w:rsidRPr="004F652D">
        <w:rPr>
          <w:rFonts w:asciiTheme="majorBidi" w:hAnsiTheme="majorBidi" w:cstheme="majorBidi"/>
          <w:sz w:val="24"/>
          <w:szCs w:val="24"/>
        </w:rPr>
        <w:t> </w:t>
      </w:r>
      <w:r w:rsidRPr="00222C56">
        <w:rPr>
          <w:rFonts w:asciiTheme="majorBidi" w:hAnsiTheme="majorBidi" w:cstheme="majorBidi"/>
          <w:b/>
          <w:bCs/>
          <w:sz w:val="24"/>
          <w:szCs w:val="24"/>
        </w:rPr>
        <w:t>Wealth and Standard of living</w:t>
      </w:r>
      <w:r>
        <w:rPr>
          <w:rFonts w:asciiTheme="majorBidi" w:hAnsiTheme="majorBidi" w:cstheme="majorBidi"/>
          <w:b/>
          <w:bCs/>
          <w:sz w:val="24"/>
          <w:szCs w:val="24"/>
        </w:rPr>
        <w:t xml:space="preserve"> – </w:t>
      </w:r>
      <w:r w:rsidRPr="008B4112">
        <w:rPr>
          <w:rFonts w:asciiTheme="majorBidi" w:hAnsiTheme="majorBidi" w:cstheme="majorBidi"/>
          <w:sz w:val="24"/>
          <w:szCs w:val="24"/>
        </w:rPr>
        <w:t>A positive process of integration will enable</w:t>
      </w:r>
      <w:r w:rsidRPr="00893CBA">
        <w:rPr>
          <w:rFonts w:asciiTheme="majorBidi" w:hAnsiTheme="majorBidi" w:cstheme="majorBidi"/>
          <w:sz w:val="24"/>
          <w:szCs w:val="24"/>
        </w:rPr>
        <w:t xml:space="preserve"> </w:t>
      </w:r>
      <w:r w:rsidRPr="00961759">
        <w:rPr>
          <w:rFonts w:asciiTheme="majorBidi" w:hAnsiTheme="majorBidi" w:cstheme="majorBidi"/>
          <w:sz w:val="24"/>
          <w:szCs w:val="24"/>
        </w:rPr>
        <w:t xml:space="preserve">economic </w:t>
      </w:r>
      <w:r>
        <w:rPr>
          <w:rFonts w:asciiTheme="majorBidi" w:hAnsiTheme="majorBidi" w:cstheme="majorBidi"/>
          <w:sz w:val="24"/>
          <w:szCs w:val="24"/>
        </w:rPr>
        <w:t>convergence and</w:t>
      </w:r>
      <w:r w:rsidRPr="008B4112">
        <w:rPr>
          <w:rFonts w:asciiTheme="majorBidi" w:hAnsiTheme="majorBidi" w:cstheme="majorBidi"/>
          <w:sz w:val="24"/>
          <w:szCs w:val="24"/>
        </w:rPr>
        <w:t xml:space="preserve"> closing the gaps in the standard of living between the regions</w:t>
      </w:r>
      <w:r>
        <w:rPr>
          <w:rFonts w:asciiTheme="majorBidi" w:hAnsiTheme="majorBidi" w:cstheme="majorBidi"/>
          <w:sz w:val="24"/>
          <w:szCs w:val="24"/>
        </w:rPr>
        <w:t>.</w:t>
      </w:r>
    </w:p>
    <w:p w14:paraId="71EA16CC" w14:textId="4F70988E" w:rsidR="007E48B3" w:rsidRDefault="007E48B3" w:rsidP="007E48B3">
      <w:pPr>
        <w:autoSpaceDE w:val="0"/>
        <w:autoSpaceDN w:val="0"/>
        <w:bidi w:val="0"/>
        <w:adjustRightInd w:val="0"/>
        <w:spacing w:line="480" w:lineRule="auto"/>
        <w:ind w:left="851"/>
        <w:jc w:val="both"/>
        <w:rPr>
          <w:rFonts w:asciiTheme="majorBidi" w:hAnsiTheme="majorBidi" w:cstheme="majorBidi"/>
          <w:sz w:val="24"/>
          <w:szCs w:val="24"/>
        </w:rPr>
      </w:pPr>
      <w:r w:rsidRPr="008F3980">
        <w:rPr>
          <w:rFonts w:asciiTheme="majorBidi" w:hAnsiTheme="majorBidi" w:cstheme="majorBidi"/>
          <w:sz w:val="24"/>
          <w:szCs w:val="24"/>
        </w:rPr>
        <w:t xml:space="preserve">In light of the fact that the Palestinian economy is significantly dependent on the Israeli economy and not the other way around, we chose to </w:t>
      </w:r>
      <w:r w:rsidR="00C50A40">
        <w:rPr>
          <w:rFonts w:asciiTheme="majorBidi" w:hAnsiTheme="majorBidi" w:cstheme="majorBidi"/>
          <w:sz w:val="24"/>
          <w:szCs w:val="24"/>
        </w:rPr>
        <w:t>assess</w:t>
      </w:r>
      <w:r w:rsidRPr="008F3980">
        <w:rPr>
          <w:rFonts w:asciiTheme="majorBidi" w:hAnsiTheme="majorBidi" w:cstheme="majorBidi"/>
          <w:sz w:val="24"/>
          <w:szCs w:val="24"/>
        </w:rPr>
        <w:t xml:space="preserve"> -</w:t>
      </w:r>
      <w:r>
        <w:rPr>
          <w:rFonts w:asciiTheme="majorBidi" w:hAnsiTheme="majorBidi" w:cstheme="majorBidi"/>
          <w:sz w:val="24"/>
          <w:szCs w:val="24"/>
        </w:rPr>
        <w:t>-</w:t>
      </w:r>
      <w:r w:rsidRPr="008F3980">
        <w:rPr>
          <w:rFonts w:asciiTheme="majorBidi" w:hAnsiTheme="majorBidi" w:cstheme="majorBidi"/>
          <w:sz w:val="24"/>
          <w:szCs w:val="24"/>
        </w:rPr>
        <w:t xml:space="preserve"> through the selected indicators </w:t>
      </w:r>
      <w:r>
        <w:rPr>
          <w:rFonts w:asciiTheme="majorBidi" w:hAnsiTheme="majorBidi" w:cstheme="majorBidi"/>
          <w:sz w:val="24"/>
          <w:szCs w:val="24"/>
        </w:rPr>
        <w:t>-</w:t>
      </w:r>
      <w:r w:rsidRPr="008F3980">
        <w:rPr>
          <w:rFonts w:asciiTheme="majorBidi" w:hAnsiTheme="majorBidi" w:cstheme="majorBidi"/>
          <w:sz w:val="24"/>
          <w:szCs w:val="24"/>
        </w:rPr>
        <w:t xml:space="preserve">- </w:t>
      </w:r>
      <w:r w:rsidRPr="005613AC">
        <w:rPr>
          <w:rFonts w:asciiTheme="majorBidi" w:hAnsiTheme="majorBidi" w:cstheme="majorBidi"/>
          <w:b/>
          <w:bCs/>
          <w:sz w:val="24"/>
          <w:szCs w:val="24"/>
        </w:rPr>
        <w:t>the level of integration of the Palestinian economy into the Israeli economy and not the other way around</w:t>
      </w:r>
      <w:r w:rsidRPr="008F3980">
        <w:rPr>
          <w:rFonts w:asciiTheme="majorBidi" w:hAnsiTheme="majorBidi" w:cstheme="majorBidi"/>
          <w:sz w:val="24"/>
          <w:szCs w:val="24"/>
        </w:rPr>
        <w:t xml:space="preserve">. </w:t>
      </w:r>
      <w:r w:rsidRPr="00AE788B">
        <w:rPr>
          <w:rFonts w:asciiTheme="majorBidi" w:hAnsiTheme="majorBidi" w:cstheme="majorBidi"/>
          <w:sz w:val="24"/>
          <w:szCs w:val="24"/>
        </w:rPr>
        <w:t>That is, the indicators were calculated so that the measurement is made on each issue in relation to the Palestinian economy. For example, the volume of imports or exports between the regions is measured in relation to the total Palestinian exports or imports.</w:t>
      </w:r>
    </w:p>
    <w:p w14:paraId="3C799389" w14:textId="2D996E1B" w:rsidR="007E48B3" w:rsidRPr="00806EC3" w:rsidRDefault="007E48B3" w:rsidP="007E48B3">
      <w:pPr>
        <w:autoSpaceDE w:val="0"/>
        <w:autoSpaceDN w:val="0"/>
        <w:bidi w:val="0"/>
        <w:adjustRightInd w:val="0"/>
        <w:spacing w:line="480" w:lineRule="auto"/>
        <w:ind w:left="851"/>
        <w:rPr>
          <w:rFonts w:asciiTheme="majorBidi" w:hAnsiTheme="majorBidi" w:cstheme="majorBidi"/>
          <w:sz w:val="24"/>
          <w:szCs w:val="24"/>
          <w:u w:val="single"/>
        </w:rPr>
      </w:pPr>
      <w:r w:rsidRPr="00806EC3">
        <w:rPr>
          <w:rFonts w:asciiTheme="majorBidi" w:hAnsiTheme="majorBidi" w:cstheme="majorBidi"/>
          <w:sz w:val="24"/>
          <w:szCs w:val="24"/>
          <w:u w:val="single"/>
        </w:rPr>
        <w:t xml:space="preserve">Data limitations, missing data treatment and </w:t>
      </w:r>
      <w:r w:rsidR="00C50A40">
        <w:rPr>
          <w:rFonts w:asciiTheme="majorBidi" w:hAnsiTheme="majorBidi" w:cstheme="majorBidi"/>
          <w:sz w:val="24"/>
          <w:szCs w:val="24"/>
          <w:u w:val="single"/>
        </w:rPr>
        <w:t>data</w:t>
      </w:r>
      <w:r w:rsidRPr="00806EC3">
        <w:rPr>
          <w:rFonts w:asciiTheme="majorBidi" w:hAnsiTheme="majorBidi" w:cstheme="majorBidi"/>
          <w:sz w:val="24"/>
          <w:szCs w:val="24"/>
          <w:u w:val="single"/>
        </w:rPr>
        <w:t xml:space="preserve"> coverage</w:t>
      </w:r>
    </w:p>
    <w:p w14:paraId="1F1DB953" w14:textId="260CA048" w:rsidR="007E48B3" w:rsidRDefault="007E48B3" w:rsidP="007E48B3">
      <w:pPr>
        <w:autoSpaceDE w:val="0"/>
        <w:autoSpaceDN w:val="0"/>
        <w:bidi w:val="0"/>
        <w:adjustRightInd w:val="0"/>
        <w:spacing w:after="240" w:line="480" w:lineRule="auto"/>
        <w:ind w:left="851"/>
        <w:jc w:val="both"/>
        <w:rPr>
          <w:rFonts w:asciiTheme="majorBidi" w:hAnsiTheme="majorBidi" w:cstheme="majorBidi"/>
          <w:sz w:val="24"/>
          <w:szCs w:val="24"/>
        </w:rPr>
      </w:pPr>
      <w:r>
        <w:rPr>
          <w:rFonts w:asciiTheme="majorBidi" w:hAnsiTheme="majorBidi" w:cstheme="majorBidi"/>
          <w:sz w:val="24"/>
          <w:szCs w:val="24"/>
        </w:rPr>
        <w:t>The</w:t>
      </w:r>
      <w:r w:rsidRPr="007A794D">
        <w:rPr>
          <w:rFonts w:asciiTheme="majorBidi" w:hAnsiTheme="majorBidi" w:cstheme="majorBidi"/>
          <w:sz w:val="24"/>
          <w:szCs w:val="24"/>
        </w:rPr>
        <w:t xml:space="preserve"> indicators</w:t>
      </w:r>
      <w:r>
        <w:rPr>
          <w:rFonts w:asciiTheme="majorBidi" w:hAnsiTheme="majorBidi" w:cstheme="majorBidi"/>
          <w:sz w:val="24"/>
          <w:szCs w:val="24"/>
        </w:rPr>
        <w:t xml:space="preserve"> in each</w:t>
      </w:r>
      <w:r w:rsidRPr="00D813CA">
        <w:rPr>
          <w:rFonts w:asciiTheme="majorBidi" w:hAnsiTheme="majorBidi" w:cstheme="majorBidi"/>
          <w:sz w:val="24"/>
          <w:szCs w:val="24"/>
        </w:rPr>
        <w:t xml:space="preserve"> </w:t>
      </w:r>
      <w:r w:rsidRPr="00AE6795">
        <w:rPr>
          <w:rFonts w:asciiTheme="majorBidi" w:hAnsiTheme="majorBidi" w:cstheme="majorBidi"/>
          <w:sz w:val="24"/>
          <w:szCs w:val="24"/>
        </w:rPr>
        <w:t>dimension</w:t>
      </w:r>
      <w:r>
        <w:rPr>
          <w:rFonts w:asciiTheme="majorBidi" w:hAnsiTheme="majorBidi" w:cstheme="majorBidi"/>
          <w:sz w:val="24"/>
          <w:szCs w:val="24"/>
        </w:rPr>
        <w:t xml:space="preserve"> </w:t>
      </w:r>
      <w:r w:rsidRPr="007A794D">
        <w:rPr>
          <w:rFonts w:asciiTheme="majorBidi" w:hAnsiTheme="majorBidi" w:cstheme="majorBidi"/>
          <w:sz w:val="24"/>
          <w:szCs w:val="24"/>
        </w:rPr>
        <w:t xml:space="preserve">were chosen </w:t>
      </w:r>
      <w:r w:rsidR="00C50A40">
        <w:rPr>
          <w:rFonts w:asciiTheme="majorBidi" w:hAnsiTheme="majorBidi" w:cstheme="majorBidi"/>
          <w:sz w:val="24"/>
          <w:szCs w:val="24"/>
        </w:rPr>
        <w:t>so</w:t>
      </w:r>
      <w:r w:rsidR="00C50A40" w:rsidRPr="007A794D">
        <w:rPr>
          <w:rFonts w:asciiTheme="majorBidi" w:hAnsiTheme="majorBidi" w:cstheme="majorBidi"/>
          <w:sz w:val="24"/>
          <w:szCs w:val="24"/>
        </w:rPr>
        <w:t xml:space="preserve"> </w:t>
      </w:r>
      <w:r w:rsidRPr="007A794D">
        <w:rPr>
          <w:rFonts w:asciiTheme="majorBidi" w:hAnsiTheme="majorBidi" w:cstheme="majorBidi"/>
          <w:sz w:val="24"/>
          <w:szCs w:val="24"/>
        </w:rPr>
        <w:t xml:space="preserve">as </w:t>
      </w:r>
      <w:r w:rsidR="00C50A40">
        <w:rPr>
          <w:rFonts w:asciiTheme="majorBidi" w:hAnsiTheme="majorBidi" w:cstheme="majorBidi"/>
          <w:sz w:val="24"/>
          <w:szCs w:val="24"/>
        </w:rPr>
        <w:t>to</w:t>
      </w:r>
      <w:r w:rsidRPr="007A794D">
        <w:rPr>
          <w:rFonts w:asciiTheme="majorBidi" w:hAnsiTheme="majorBidi" w:cstheme="majorBidi"/>
          <w:sz w:val="24"/>
          <w:szCs w:val="24"/>
        </w:rPr>
        <w:t xml:space="preserve"> </w:t>
      </w:r>
      <w:r>
        <w:rPr>
          <w:rFonts w:asciiTheme="majorBidi" w:hAnsiTheme="majorBidi" w:cstheme="majorBidi"/>
          <w:sz w:val="24"/>
          <w:szCs w:val="24"/>
        </w:rPr>
        <w:t>represent</w:t>
      </w:r>
      <w:r w:rsidRPr="007A794D">
        <w:rPr>
          <w:rFonts w:asciiTheme="majorBidi" w:hAnsiTheme="majorBidi" w:cstheme="majorBidi"/>
          <w:sz w:val="24"/>
          <w:szCs w:val="24"/>
        </w:rPr>
        <w:t xml:space="preserve"> significant activities</w:t>
      </w:r>
      <w:r>
        <w:rPr>
          <w:rFonts w:asciiTheme="majorBidi" w:hAnsiTheme="majorBidi" w:cstheme="majorBidi"/>
          <w:sz w:val="24"/>
          <w:szCs w:val="24"/>
        </w:rPr>
        <w:t xml:space="preserve"> and </w:t>
      </w:r>
      <w:r w:rsidRPr="000D5AF1">
        <w:rPr>
          <w:rFonts w:asciiTheme="majorBidi" w:hAnsiTheme="majorBidi" w:cstheme="majorBidi"/>
          <w:sz w:val="24"/>
          <w:szCs w:val="24"/>
        </w:rPr>
        <w:t>the state of </w:t>
      </w:r>
      <w:r>
        <w:rPr>
          <w:rFonts w:asciiTheme="majorBidi" w:hAnsiTheme="majorBidi" w:cstheme="majorBidi"/>
          <w:sz w:val="24"/>
          <w:szCs w:val="24"/>
        </w:rPr>
        <w:t>integration</w:t>
      </w:r>
      <w:r w:rsidRPr="007A794D">
        <w:rPr>
          <w:rFonts w:asciiTheme="majorBidi" w:hAnsiTheme="majorBidi" w:cstheme="majorBidi"/>
          <w:sz w:val="24"/>
          <w:szCs w:val="24"/>
        </w:rPr>
        <w:t xml:space="preserve"> that take place between</w:t>
      </w:r>
      <w:r>
        <w:rPr>
          <w:rFonts w:asciiTheme="majorBidi" w:hAnsiTheme="majorBidi" w:cstheme="majorBidi"/>
          <w:sz w:val="24"/>
          <w:szCs w:val="24"/>
        </w:rPr>
        <w:t xml:space="preserve"> the</w:t>
      </w:r>
      <w:r w:rsidRPr="007A794D">
        <w:rPr>
          <w:rFonts w:asciiTheme="majorBidi" w:hAnsiTheme="majorBidi" w:cstheme="majorBidi"/>
          <w:sz w:val="24"/>
          <w:szCs w:val="24"/>
        </w:rPr>
        <w:t xml:space="preserve"> regions</w:t>
      </w:r>
      <w:r w:rsidR="00C50A40">
        <w:rPr>
          <w:rFonts w:asciiTheme="majorBidi" w:hAnsiTheme="majorBidi" w:cstheme="majorBidi"/>
          <w:sz w:val="24"/>
          <w:szCs w:val="24"/>
        </w:rPr>
        <w:t>,</w:t>
      </w:r>
      <w:r>
        <w:rPr>
          <w:rFonts w:asciiTheme="majorBidi" w:hAnsiTheme="majorBidi" w:cstheme="majorBidi"/>
          <w:sz w:val="24"/>
          <w:szCs w:val="24"/>
        </w:rPr>
        <w:t xml:space="preserve"> and </w:t>
      </w:r>
      <w:r w:rsidRPr="007A794D">
        <w:rPr>
          <w:rFonts w:asciiTheme="majorBidi" w:hAnsiTheme="majorBidi" w:cstheme="majorBidi"/>
          <w:sz w:val="24"/>
          <w:szCs w:val="24"/>
        </w:rPr>
        <w:t>adequately</w:t>
      </w:r>
      <w:r>
        <w:rPr>
          <w:rFonts w:asciiTheme="majorBidi" w:hAnsiTheme="majorBidi" w:cstheme="majorBidi"/>
          <w:sz w:val="24"/>
          <w:szCs w:val="24"/>
        </w:rPr>
        <w:t xml:space="preserve"> </w:t>
      </w:r>
      <w:r w:rsidR="00C50A40" w:rsidRPr="007A794D">
        <w:rPr>
          <w:rFonts w:asciiTheme="majorBidi" w:hAnsiTheme="majorBidi" w:cstheme="majorBidi"/>
          <w:sz w:val="24"/>
          <w:szCs w:val="24"/>
        </w:rPr>
        <w:t>represent</w:t>
      </w:r>
      <w:r w:rsidR="00C50A40">
        <w:rPr>
          <w:rFonts w:asciiTheme="majorBidi" w:hAnsiTheme="majorBidi" w:cstheme="majorBidi"/>
          <w:sz w:val="24"/>
          <w:szCs w:val="24"/>
        </w:rPr>
        <w:t>s</w:t>
      </w:r>
      <w:r w:rsidRPr="007A794D">
        <w:rPr>
          <w:rFonts w:asciiTheme="majorBidi" w:hAnsiTheme="majorBidi" w:cstheme="majorBidi"/>
          <w:sz w:val="24"/>
          <w:szCs w:val="24"/>
        </w:rPr>
        <w:t xml:space="preserve"> the dimension to which they belong. Of course, there are other relevant indicators, but it </w:t>
      </w:r>
      <w:r w:rsidR="00C50A40">
        <w:rPr>
          <w:rFonts w:asciiTheme="majorBidi" w:hAnsiTheme="majorBidi" w:cstheme="majorBidi"/>
          <w:sz w:val="24"/>
          <w:szCs w:val="24"/>
        </w:rPr>
        <w:t>was</w:t>
      </w:r>
      <w:r w:rsidRPr="007A794D">
        <w:rPr>
          <w:rFonts w:asciiTheme="majorBidi" w:hAnsiTheme="majorBidi" w:cstheme="majorBidi"/>
          <w:sz w:val="24"/>
          <w:szCs w:val="24"/>
        </w:rPr>
        <w:t xml:space="preserve"> not possible to find reliable</w:t>
      </w:r>
      <w:r>
        <w:rPr>
          <w:rFonts w:asciiTheme="majorBidi" w:hAnsiTheme="majorBidi" w:cstheme="majorBidi"/>
          <w:sz w:val="24"/>
          <w:szCs w:val="24"/>
        </w:rPr>
        <w:t xml:space="preserve"> data</w:t>
      </w:r>
      <w:r w:rsidRPr="007A794D">
        <w:rPr>
          <w:rFonts w:asciiTheme="majorBidi" w:hAnsiTheme="majorBidi" w:cstheme="majorBidi"/>
          <w:sz w:val="24"/>
          <w:szCs w:val="24"/>
        </w:rPr>
        <w:t xml:space="preserve"> </w:t>
      </w:r>
      <w:r>
        <w:rPr>
          <w:rFonts w:asciiTheme="majorBidi" w:hAnsiTheme="majorBidi" w:cstheme="majorBidi"/>
          <w:sz w:val="24"/>
          <w:szCs w:val="24"/>
        </w:rPr>
        <w:t>for them</w:t>
      </w:r>
      <w:r w:rsidRPr="007A794D">
        <w:rPr>
          <w:rFonts w:asciiTheme="majorBidi" w:hAnsiTheme="majorBidi" w:cstheme="majorBidi"/>
          <w:sz w:val="24"/>
          <w:szCs w:val="24"/>
        </w:rPr>
        <w:t>. It is important to note that</w:t>
      </w:r>
      <w:r>
        <w:rPr>
          <w:rFonts w:asciiTheme="majorBidi" w:hAnsiTheme="majorBidi" w:cstheme="majorBidi"/>
          <w:sz w:val="24"/>
          <w:szCs w:val="24"/>
        </w:rPr>
        <w:t xml:space="preserve"> the frequency of all</w:t>
      </w:r>
      <w:r w:rsidRPr="007A794D">
        <w:rPr>
          <w:rFonts w:asciiTheme="majorBidi" w:hAnsiTheme="majorBidi" w:cstheme="majorBidi"/>
          <w:sz w:val="24"/>
          <w:szCs w:val="24"/>
        </w:rPr>
        <w:t xml:space="preserve"> indicator</w:t>
      </w:r>
      <w:r>
        <w:rPr>
          <w:rFonts w:asciiTheme="majorBidi" w:hAnsiTheme="majorBidi" w:cstheme="majorBidi"/>
          <w:sz w:val="24"/>
          <w:szCs w:val="24"/>
        </w:rPr>
        <w:t>s is</w:t>
      </w:r>
      <w:r w:rsidRPr="007A794D">
        <w:rPr>
          <w:rFonts w:asciiTheme="majorBidi" w:hAnsiTheme="majorBidi" w:cstheme="majorBidi"/>
          <w:sz w:val="24"/>
          <w:szCs w:val="24"/>
        </w:rPr>
        <w:t xml:space="preserve"> </w:t>
      </w:r>
      <w:r w:rsidR="00C50A40">
        <w:rPr>
          <w:rFonts w:asciiTheme="majorBidi" w:hAnsiTheme="majorBidi" w:cstheme="majorBidi"/>
          <w:sz w:val="24"/>
          <w:szCs w:val="24"/>
        </w:rPr>
        <w:t xml:space="preserve">on </w:t>
      </w:r>
      <w:r>
        <w:rPr>
          <w:rFonts w:asciiTheme="majorBidi" w:hAnsiTheme="majorBidi" w:cstheme="majorBidi"/>
          <w:sz w:val="24"/>
          <w:szCs w:val="24"/>
        </w:rPr>
        <w:t xml:space="preserve">an </w:t>
      </w:r>
      <w:r w:rsidRPr="007A794D">
        <w:rPr>
          <w:rFonts w:asciiTheme="majorBidi" w:hAnsiTheme="majorBidi" w:cstheme="majorBidi"/>
          <w:sz w:val="24"/>
          <w:szCs w:val="24"/>
        </w:rPr>
        <w:t xml:space="preserve">annual </w:t>
      </w:r>
      <w:r>
        <w:rPr>
          <w:rFonts w:asciiTheme="majorBidi" w:hAnsiTheme="majorBidi" w:cstheme="majorBidi"/>
          <w:sz w:val="24"/>
          <w:szCs w:val="24"/>
        </w:rPr>
        <w:t>basis</w:t>
      </w:r>
      <w:r w:rsidRPr="007A794D">
        <w:rPr>
          <w:rFonts w:asciiTheme="majorBidi" w:hAnsiTheme="majorBidi" w:cstheme="majorBidi"/>
          <w:sz w:val="24"/>
          <w:szCs w:val="24"/>
        </w:rPr>
        <w:t xml:space="preserve">. </w:t>
      </w:r>
      <w:r>
        <w:rPr>
          <w:rFonts w:asciiTheme="majorBidi" w:hAnsiTheme="majorBidi" w:cstheme="majorBidi"/>
          <w:sz w:val="24"/>
          <w:szCs w:val="24"/>
        </w:rPr>
        <w:t xml:space="preserve">But each </w:t>
      </w:r>
      <w:r w:rsidRPr="007A794D">
        <w:rPr>
          <w:rFonts w:asciiTheme="majorBidi" w:hAnsiTheme="majorBidi" w:cstheme="majorBidi"/>
          <w:sz w:val="24"/>
          <w:szCs w:val="24"/>
        </w:rPr>
        <w:t xml:space="preserve">indicator has a different time </w:t>
      </w:r>
      <w:r w:rsidR="009666CA">
        <w:rPr>
          <w:rFonts w:asciiTheme="majorBidi" w:hAnsiTheme="majorBidi" w:cstheme="majorBidi"/>
          <w:sz w:val="24"/>
          <w:szCs w:val="24"/>
        </w:rPr>
        <w:t xml:space="preserve">which necessitated </w:t>
      </w:r>
      <w:r w:rsidR="00212A31">
        <w:rPr>
          <w:rFonts w:asciiTheme="majorBidi" w:hAnsiTheme="majorBidi" w:cstheme="majorBidi"/>
          <w:sz w:val="24"/>
          <w:szCs w:val="24"/>
        </w:rPr>
        <w:t>creation of a number</w:t>
      </w:r>
      <w:r w:rsidR="007419DA">
        <w:rPr>
          <w:rFonts w:asciiTheme="majorBidi" w:hAnsiTheme="majorBidi" w:cstheme="majorBidi"/>
          <w:sz w:val="24"/>
          <w:szCs w:val="24"/>
        </w:rPr>
        <w:t xml:space="preserve"> of </w:t>
      </w:r>
      <w:r w:rsidR="00F6374A">
        <w:rPr>
          <w:rFonts w:asciiTheme="majorBidi" w:hAnsiTheme="majorBidi" w:cstheme="majorBidi"/>
          <w:sz w:val="24"/>
          <w:szCs w:val="24"/>
        </w:rPr>
        <w:t>integration indices</w:t>
      </w:r>
      <w:r w:rsidR="00C50A40" w:rsidRPr="007A794D">
        <w:rPr>
          <w:rFonts w:asciiTheme="majorBidi" w:hAnsiTheme="majorBidi" w:cstheme="majorBidi"/>
          <w:sz w:val="24"/>
          <w:szCs w:val="24"/>
        </w:rPr>
        <w:t>.</w:t>
      </w:r>
      <w:r w:rsidRPr="007A794D">
        <w:rPr>
          <w:rFonts w:asciiTheme="majorBidi" w:hAnsiTheme="majorBidi" w:cstheme="majorBidi"/>
          <w:sz w:val="24"/>
          <w:szCs w:val="24"/>
        </w:rPr>
        <w:t xml:space="preserve"> </w:t>
      </w:r>
      <w:r w:rsidRPr="00125F69">
        <w:rPr>
          <w:rFonts w:asciiTheme="majorBidi" w:hAnsiTheme="majorBidi" w:cstheme="majorBidi"/>
          <w:sz w:val="24"/>
          <w:szCs w:val="24"/>
        </w:rPr>
        <w:t>Indicators were included</w:t>
      </w:r>
      <w:r>
        <w:rPr>
          <w:rFonts w:asciiTheme="majorBidi" w:hAnsiTheme="majorBidi" w:cstheme="majorBidi"/>
          <w:sz w:val="24"/>
          <w:szCs w:val="24"/>
        </w:rPr>
        <w:t>, only</w:t>
      </w:r>
      <w:r w:rsidRPr="00125F69">
        <w:rPr>
          <w:rFonts w:asciiTheme="majorBidi" w:hAnsiTheme="majorBidi" w:cstheme="majorBidi"/>
          <w:sz w:val="24"/>
          <w:szCs w:val="24"/>
        </w:rPr>
        <w:t xml:space="preserve"> where </w:t>
      </w:r>
      <w:r w:rsidR="00C50A40">
        <w:rPr>
          <w:rFonts w:asciiTheme="majorBidi" w:hAnsiTheme="majorBidi" w:cstheme="majorBidi"/>
          <w:sz w:val="24"/>
          <w:szCs w:val="24"/>
        </w:rPr>
        <w:t>reliable</w:t>
      </w:r>
      <w:r w:rsidRPr="00125F69">
        <w:rPr>
          <w:rFonts w:asciiTheme="majorBidi" w:hAnsiTheme="majorBidi" w:cstheme="majorBidi"/>
          <w:sz w:val="24"/>
          <w:szCs w:val="24"/>
        </w:rPr>
        <w:t xml:space="preserve"> data was available for most of years </w:t>
      </w:r>
      <w:r w:rsidR="00C50A40">
        <w:rPr>
          <w:rFonts w:asciiTheme="majorBidi" w:hAnsiTheme="majorBidi" w:cstheme="majorBidi"/>
          <w:sz w:val="24"/>
          <w:szCs w:val="24"/>
        </w:rPr>
        <w:t>of</w:t>
      </w:r>
      <w:r w:rsidR="00C50A40" w:rsidRPr="00125F69">
        <w:rPr>
          <w:rFonts w:asciiTheme="majorBidi" w:hAnsiTheme="majorBidi" w:cstheme="majorBidi"/>
          <w:sz w:val="24"/>
          <w:szCs w:val="24"/>
        </w:rPr>
        <w:t xml:space="preserve"> </w:t>
      </w:r>
      <w:r w:rsidRPr="00125F69">
        <w:rPr>
          <w:rFonts w:asciiTheme="majorBidi" w:hAnsiTheme="majorBidi" w:cstheme="majorBidi"/>
          <w:sz w:val="24"/>
          <w:szCs w:val="24"/>
        </w:rPr>
        <w:t xml:space="preserve">coverage. In a few cases where data was missing, we used the most similar datasets or an average of the </w:t>
      </w:r>
      <w:r>
        <w:rPr>
          <w:rFonts w:asciiTheme="majorBidi" w:hAnsiTheme="majorBidi" w:cstheme="majorBidi"/>
          <w:sz w:val="24"/>
          <w:szCs w:val="24"/>
        </w:rPr>
        <w:t>a</w:t>
      </w:r>
      <w:r w:rsidRPr="00125F69">
        <w:rPr>
          <w:rFonts w:asciiTheme="majorBidi" w:hAnsiTheme="majorBidi" w:cstheme="majorBidi"/>
          <w:sz w:val="24"/>
          <w:szCs w:val="24"/>
        </w:rPr>
        <w:t>djacent years.</w:t>
      </w:r>
      <w:r>
        <w:rPr>
          <w:rFonts w:asciiTheme="majorBidi" w:hAnsiTheme="majorBidi" w:cstheme="majorBidi"/>
          <w:sz w:val="24"/>
          <w:szCs w:val="24"/>
        </w:rPr>
        <w:t xml:space="preserve"> </w:t>
      </w:r>
    </w:p>
    <w:p w14:paraId="525B74BA" w14:textId="2B968D67" w:rsidR="007E48B3" w:rsidRDefault="00C55F95" w:rsidP="007E48B3">
      <w:pPr>
        <w:autoSpaceDE w:val="0"/>
        <w:autoSpaceDN w:val="0"/>
        <w:bidi w:val="0"/>
        <w:adjustRightInd w:val="0"/>
        <w:spacing w:after="240" w:line="480" w:lineRule="auto"/>
        <w:ind w:left="851"/>
        <w:jc w:val="both"/>
        <w:rPr>
          <w:rFonts w:asciiTheme="majorBidi" w:hAnsiTheme="majorBidi" w:cstheme="majorBidi"/>
          <w:sz w:val="24"/>
          <w:szCs w:val="24"/>
        </w:rPr>
      </w:pPr>
      <w:r>
        <w:rPr>
          <w:rFonts w:asciiTheme="majorBidi" w:hAnsiTheme="majorBidi" w:cstheme="majorBidi"/>
          <w:sz w:val="24"/>
          <w:szCs w:val="24"/>
        </w:rPr>
        <w:t>Table 1 below</w:t>
      </w:r>
      <w:r w:rsidR="007E48B3">
        <w:rPr>
          <w:rFonts w:asciiTheme="majorBidi" w:hAnsiTheme="majorBidi" w:cstheme="majorBidi"/>
          <w:sz w:val="24"/>
          <w:szCs w:val="24"/>
        </w:rPr>
        <w:t xml:space="preserve"> </w:t>
      </w:r>
      <w:r w:rsidR="00C50A40">
        <w:rPr>
          <w:rFonts w:asciiTheme="majorBidi" w:hAnsiTheme="majorBidi" w:cstheme="majorBidi"/>
          <w:sz w:val="24"/>
          <w:szCs w:val="24"/>
        </w:rPr>
        <w:t>summarize</w:t>
      </w:r>
      <w:r w:rsidR="00A314D6">
        <w:rPr>
          <w:rFonts w:asciiTheme="majorBidi" w:hAnsiTheme="majorBidi" w:cstheme="majorBidi"/>
          <w:sz w:val="24"/>
          <w:szCs w:val="24"/>
        </w:rPr>
        <w:t>s</w:t>
      </w:r>
      <w:r w:rsidR="007E48B3">
        <w:rPr>
          <w:rFonts w:asciiTheme="majorBidi" w:hAnsiTheme="majorBidi" w:cstheme="majorBidi"/>
          <w:sz w:val="24"/>
          <w:szCs w:val="24"/>
        </w:rPr>
        <w:t xml:space="preserve"> the dimensions and relevant indicators and </w:t>
      </w:r>
      <w:r w:rsidR="007E48B3" w:rsidRPr="00DA642B">
        <w:rPr>
          <w:rFonts w:asciiTheme="majorBidi" w:hAnsiTheme="majorBidi" w:cstheme="majorBidi"/>
          <w:sz w:val="24"/>
          <w:szCs w:val="24"/>
        </w:rPr>
        <w:t xml:space="preserve">details </w:t>
      </w:r>
      <w:r w:rsidR="00DE4617">
        <w:rPr>
          <w:rFonts w:asciiTheme="majorBidi" w:hAnsiTheme="majorBidi" w:cstheme="majorBidi"/>
          <w:sz w:val="24"/>
          <w:szCs w:val="24"/>
        </w:rPr>
        <w:t>of</w:t>
      </w:r>
      <w:r w:rsidR="007E48B3" w:rsidRPr="00DA642B">
        <w:rPr>
          <w:rFonts w:asciiTheme="majorBidi" w:hAnsiTheme="majorBidi" w:cstheme="majorBidi"/>
          <w:sz w:val="24"/>
          <w:szCs w:val="24"/>
        </w:rPr>
        <w:t xml:space="preserve"> </w:t>
      </w:r>
      <w:r w:rsidR="00C50A40" w:rsidRPr="00DA642B">
        <w:rPr>
          <w:rFonts w:asciiTheme="majorBidi" w:hAnsiTheme="majorBidi" w:cstheme="majorBidi"/>
          <w:sz w:val="24"/>
          <w:szCs w:val="24"/>
        </w:rPr>
        <w:t>data</w:t>
      </w:r>
      <w:r w:rsidR="008B14E8">
        <w:rPr>
          <w:rFonts w:asciiTheme="majorBidi" w:hAnsiTheme="majorBidi" w:cstheme="majorBidi"/>
          <w:sz w:val="24"/>
          <w:szCs w:val="24"/>
        </w:rPr>
        <w:t xml:space="preserve"> </w:t>
      </w:r>
      <w:r w:rsidR="007E48B3" w:rsidRPr="00DA642B">
        <w:rPr>
          <w:rFonts w:asciiTheme="majorBidi" w:hAnsiTheme="majorBidi" w:cstheme="majorBidi"/>
          <w:sz w:val="24"/>
          <w:szCs w:val="24"/>
        </w:rPr>
        <w:t xml:space="preserve">sources and years </w:t>
      </w:r>
      <w:r w:rsidR="00C50A40" w:rsidRPr="00DA642B">
        <w:rPr>
          <w:rFonts w:asciiTheme="majorBidi" w:hAnsiTheme="majorBidi" w:cstheme="majorBidi"/>
          <w:sz w:val="24"/>
          <w:szCs w:val="24"/>
        </w:rPr>
        <w:t>cover</w:t>
      </w:r>
      <w:r w:rsidR="00515BA3">
        <w:rPr>
          <w:rFonts w:asciiTheme="majorBidi" w:hAnsiTheme="majorBidi" w:cstheme="majorBidi"/>
          <w:sz w:val="24"/>
          <w:szCs w:val="24"/>
        </w:rPr>
        <w:t>ed</w:t>
      </w:r>
      <w:r w:rsidR="007E48B3">
        <w:rPr>
          <w:rFonts w:asciiTheme="majorBidi" w:hAnsiTheme="majorBidi" w:cstheme="majorBidi"/>
          <w:sz w:val="24"/>
          <w:szCs w:val="24"/>
        </w:rPr>
        <w:t>:</w:t>
      </w:r>
    </w:p>
    <w:p w14:paraId="1999D9AA" w14:textId="77777777" w:rsidR="007E48B3" w:rsidRPr="00CE79B1" w:rsidRDefault="007E48B3" w:rsidP="007E48B3">
      <w:pPr>
        <w:autoSpaceDE w:val="0"/>
        <w:autoSpaceDN w:val="0"/>
        <w:bidi w:val="0"/>
        <w:adjustRightInd w:val="0"/>
        <w:spacing w:line="480" w:lineRule="auto"/>
        <w:ind w:left="851"/>
        <w:jc w:val="center"/>
        <w:rPr>
          <w:rFonts w:asciiTheme="majorBidi" w:hAnsiTheme="majorBidi" w:cstheme="majorBidi"/>
          <w:b/>
          <w:bCs/>
          <w:sz w:val="24"/>
          <w:szCs w:val="24"/>
        </w:rPr>
      </w:pPr>
      <w:r w:rsidRPr="00FE1FAE">
        <w:rPr>
          <w:b/>
          <w:bCs/>
          <w:sz w:val="24"/>
          <w:szCs w:val="24"/>
        </w:rPr>
        <w:t>Table 1: Dimensions and</w:t>
      </w:r>
      <w:r w:rsidRPr="00CE79B1">
        <w:rPr>
          <w:rFonts w:asciiTheme="majorBidi" w:hAnsiTheme="majorBidi" w:cstheme="majorBidi"/>
          <w:b/>
          <w:bCs/>
          <w:sz w:val="24"/>
          <w:szCs w:val="24"/>
        </w:rPr>
        <w:t xml:space="preserve"> indicators</w:t>
      </w:r>
    </w:p>
    <w:tbl>
      <w:tblPr>
        <w:tblStyle w:val="TableGrid"/>
        <w:bidiVisual/>
        <w:tblW w:w="9360" w:type="dxa"/>
        <w:tblInd w:w="12409" w:type="dxa"/>
        <w:tblLook w:val="04A0" w:firstRow="1" w:lastRow="0" w:firstColumn="1" w:lastColumn="0" w:noHBand="0" w:noVBand="1"/>
      </w:tblPr>
      <w:tblGrid>
        <w:gridCol w:w="1247"/>
        <w:gridCol w:w="1122"/>
        <w:gridCol w:w="5360"/>
        <w:gridCol w:w="1631"/>
      </w:tblGrid>
      <w:tr w:rsidR="007E48B3" w:rsidRPr="003A3484" w14:paraId="11CBF9E5" w14:textId="77777777" w:rsidTr="00416373">
        <w:tc>
          <w:tcPr>
            <w:tcW w:w="1247" w:type="dxa"/>
          </w:tcPr>
          <w:p w14:paraId="3E401D48" w14:textId="4430A683" w:rsidR="007E48B3" w:rsidRPr="0014012E" w:rsidRDefault="007E48B3" w:rsidP="00416373">
            <w:pPr>
              <w:bidi w:val="0"/>
              <w:jc w:val="center"/>
              <w:rPr>
                <w:b/>
                <w:bCs/>
              </w:rPr>
            </w:pPr>
            <w:r w:rsidRPr="0014012E">
              <w:rPr>
                <w:b/>
                <w:bCs/>
              </w:rPr>
              <w:t xml:space="preserve">Years </w:t>
            </w:r>
            <w:r w:rsidR="001F17D9">
              <w:rPr>
                <w:b/>
                <w:bCs/>
              </w:rPr>
              <w:t xml:space="preserve">of </w:t>
            </w:r>
            <w:r w:rsidRPr="0014012E">
              <w:rPr>
                <w:b/>
                <w:bCs/>
              </w:rPr>
              <w:t>coverage</w:t>
            </w:r>
          </w:p>
        </w:tc>
        <w:tc>
          <w:tcPr>
            <w:tcW w:w="1122" w:type="dxa"/>
          </w:tcPr>
          <w:p w14:paraId="3CB03AC8" w14:textId="7E98B3ED" w:rsidR="007E48B3" w:rsidRPr="0014012E" w:rsidRDefault="008A0390" w:rsidP="00416373">
            <w:pPr>
              <w:jc w:val="center"/>
              <w:rPr>
                <w:b/>
                <w:bCs/>
              </w:rPr>
            </w:pPr>
            <w:bookmarkStart w:id="5" w:name="_Hlk70325866"/>
            <w:r>
              <w:rPr>
                <w:b/>
                <w:bCs/>
              </w:rPr>
              <w:t>Data s</w:t>
            </w:r>
            <w:r w:rsidR="00C50A40" w:rsidRPr="0014012E">
              <w:rPr>
                <w:b/>
                <w:bCs/>
              </w:rPr>
              <w:t>ources</w:t>
            </w:r>
          </w:p>
        </w:tc>
        <w:tc>
          <w:tcPr>
            <w:tcW w:w="5360" w:type="dxa"/>
          </w:tcPr>
          <w:p w14:paraId="4FCBEC83" w14:textId="77777777" w:rsidR="007E48B3" w:rsidRPr="0014012E" w:rsidRDefault="007E48B3" w:rsidP="008A0390">
            <w:pPr>
              <w:bidi w:val="0"/>
              <w:rPr>
                <w:b/>
                <w:bCs/>
                <w:rtl/>
              </w:rPr>
            </w:pPr>
            <w:r w:rsidRPr="0014012E">
              <w:rPr>
                <w:b/>
                <w:bCs/>
              </w:rPr>
              <w:t>Indicator</w:t>
            </w:r>
          </w:p>
        </w:tc>
        <w:tc>
          <w:tcPr>
            <w:tcW w:w="1631" w:type="dxa"/>
          </w:tcPr>
          <w:p w14:paraId="5D3D3FF8" w14:textId="77777777" w:rsidR="007E48B3" w:rsidRPr="0014012E" w:rsidRDefault="007E48B3" w:rsidP="00416373">
            <w:pPr>
              <w:rPr>
                <w:b/>
                <w:bCs/>
                <w:rtl/>
              </w:rPr>
            </w:pPr>
            <w:r w:rsidRPr="0014012E">
              <w:rPr>
                <w:b/>
                <w:bCs/>
              </w:rPr>
              <w:t>Dimension</w:t>
            </w:r>
          </w:p>
        </w:tc>
      </w:tr>
      <w:tr w:rsidR="007E48B3" w:rsidRPr="003A3484" w14:paraId="473A6399" w14:textId="77777777" w:rsidTr="00416373">
        <w:trPr>
          <w:trHeight w:val="585"/>
        </w:trPr>
        <w:tc>
          <w:tcPr>
            <w:tcW w:w="1247" w:type="dxa"/>
          </w:tcPr>
          <w:p w14:paraId="593E6FC7" w14:textId="77777777" w:rsidR="007E48B3" w:rsidRPr="0014012E" w:rsidRDefault="007E48B3" w:rsidP="00416373">
            <w:pPr>
              <w:bidi w:val="0"/>
            </w:pPr>
            <w:r w:rsidRPr="0014012E">
              <w:t>1968-2019</w:t>
            </w:r>
          </w:p>
        </w:tc>
        <w:tc>
          <w:tcPr>
            <w:tcW w:w="1122" w:type="dxa"/>
          </w:tcPr>
          <w:p w14:paraId="4B52F7DD" w14:textId="77777777" w:rsidR="007E48B3" w:rsidRPr="0014012E" w:rsidRDefault="007E48B3" w:rsidP="00416373">
            <w:pPr>
              <w:bidi w:val="0"/>
            </w:pPr>
            <w:r w:rsidRPr="0014012E">
              <w:t>PCBS, ICBS, WB</w:t>
            </w:r>
          </w:p>
        </w:tc>
        <w:tc>
          <w:tcPr>
            <w:tcW w:w="5360" w:type="dxa"/>
          </w:tcPr>
          <w:p w14:paraId="48FBB991" w14:textId="77777777" w:rsidR="007E48B3" w:rsidRPr="0014012E" w:rsidRDefault="007E48B3" w:rsidP="00416373">
            <w:pPr>
              <w:bidi w:val="0"/>
            </w:pPr>
            <w:r w:rsidRPr="0014012E">
              <w:t>Palestinian exports of goods and services to Israel out of total Palestinian exports</w:t>
            </w:r>
          </w:p>
        </w:tc>
        <w:tc>
          <w:tcPr>
            <w:tcW w:w="1631" w:type="dxa"/>
            <w:vMerge w:val="restart"/>
            <w:vAlign w:val="center"/>
          </w:tcPr>
          <w:p w14:paraId="7C0AD92C" w14:textId="77777777" w:rsidR="007E48B3" w:rsidRPr="0014012E" w:rsidRDefault="007E48B3" w:rsidP="00416373">
            <w:pPr>
              <w:bidi w:val="0"/>
              <w:jc w:val="center"/>
              <w:rPr>
                <w:b/>
                <w:bCs/>
              </w:rPr>
            </w:pPr>
            <w:r w:rsidRPr="0014012E">
              <w:rPr>
                <w:b/>
                <w:bCs/>
              </w:rPr>
              <w:t>Trade, Employment and Taxes</w:t>
            </w:r>
          </w:p>
        </w:tc>
      </w:tr>
      <w:tr w:rsidR="007E48B3" w:rsidRPr="003A3484" w14:paraId="70C1ADC9" w14:textId="77777777" w:rsidTr="00416373">
        <w:trPr>
          <w:trHeight w:val="126"/>
        </w:trPr>
        <w:tc>
          <w:tcPr>
            <w:tcW w:w="1247" w:type="dxa"/>
          </w:tcPr>
          <w:p w14:paraId="260BACBD" w14:textId="77777777" w:rsidR="007E48B3" w:rsidRPr="0014012E" w:rsidRDefault="007E48B3" w:rsidP="00416373">
            <w:pPr>
              <w:bidi w:val="0"/>
            </w:pPr>
            <w:r w:rsidRPr="0014012E">
              <w:t>1968-2019</w:t>
            </w:r>
          </w:p>
        </w:tc>
        <w:tc>
          <w:tcPr>
            <w:tcW w:w="1122" w:type="dxa"/>
          </w:tcPr>
          <w:p w14:paraId="28EEA56E" w14:textId="77777777" w:rsidR="007E48B3" w:rsidRPr="0014012E" w:rsidRDefault="007E48B3" w:rsidP="00416373">
            <w:pPr>
              <w:bidi w:val="0"/>
            </w:pPr>
            <w:r w:rsidRPr="0014012E">
              <w:t>PCBS, ICBS, WB</w:t>
            </w:r>
          </w:p>
        </w:tc>
        <w:tc>
          <w:tcPr>
            <w:tcW w:w="5360" w:type="dxa"/>
          </w:tcPr>
          <w:p w14:paraId="664D2D79" w14:textId="77777777" w:rsidR="007E48B3" w:rsidRPr="0014012E" w:rsidRDefault="007E48B3" w:rsidP="00416373">
            <w:pPr>
              <w:bidi w:val="0"/>
              <w:rPr>
                <w:rtl/>
              </w:rPr>
            </w:pPr>
            <w:r w:rsidRPr="0014012E">
              <w:t>Palestinian imports of goods and services from Israel out of total Palestinian imports</w:t>
            </w:r>
          </w:p>
        </w:tc>
        <w:tc>
          <w:tcPr>
            <w:tcW w:w="1631" w:type="dxa"/>
            <w:vMerge/>
            <w:vAlign w:val="center"/>
          </w:tcPr>
          <w:p w14:paraId="39D663DB" w14:textId="77777777" w:rsidR="007E48B3" w:rsidRPr="0014012E" w:rsidRDefault="007E48B3" w:rsidP="00416373">
            <w:pPr>
              <w:bidi w:val="0"/>
              <w:jc w:val="center"/>
              <w:rPr>
                <w:b/>
                <w:bCs/>
              </w:rPr>
            </w:pPr>
          </w:p>
        </w:tc>
      </w:tr>
      <w:tr w:rsidR="007E48B3" w:rsidRPr="003A3484" w14:paraId="3E8C4F5C" w14:textId="77777777" w:rsidTr="00416373">
        <w:trPr>
          <w:trHeight w:val="126"/>
        </w:trPr>
        <w:tc>
          <w:tcPr>
            <w:tcW w:w="1247" w:type="dxa"/>
          </w:tcPr>
          <w:p w14:paraId="5134E111" w14:textId="77777777" w:rsidR="007E48B3" w:rsidRPr="0014012E" w:rsidRDefault="007E48B3" w:rsidP="00416373">
            <w:pPr>
              <w:bidi w:val="0"/>
            </w:pPr>
            <w:r w:rsidRPr="0014012E">
              <w:t>1996-2019</w:t>
            </w:r>
          </w:p>
        </w:tc>
        <w:tc>
          <w:tcPr>
            <w:tcW w:w="1122" w:type="dxa"/>
          </w:tcPr>
          <w:p w14:paraId="74AB3C7D" w14:textId="77777777" w:rsidR="007E48B3" w:rsidRPr="0014012E" w:rsidRDefault="007E48B3" w:rsidP="00416373">
            <w:pPr>
              <w:bidi w:val="0"/>
            </w:pPr>
            <w:r w:rsidRPr="0014012E">
              <w:t>PMA</w:t>
            </w:r>
          </w:p>
        </w:tc>
        <w:tc>
          <w:tcPr>
            <w:tcW w:w="5360" w:type="dxa"/>
          </w:tcPr>
          <w:p w14:paraId="683C7627" w14:textId="77777777" w:rsidR="007E48B3" w:rsidRPr="0014012E" w:rsidRDefault="007E48B3" w:rsidP="00416373">
            <w:pPr>
              <w:bidi w:val="0"/>
              <w:rPr>
                <w:rtl/>
              </w:rPr>
            </w:pPr>
            <w:r w:rsidRPr="0014012E">
              <w:t>Share of gross clearance revenues out of total PA net revenues and grants</w:t>
            </w:r>
          </w:p>
        </w:tc>
        <w:tc>
          <w:tcPr>
            <w:tcW w:w="1631" w:type="dxa"/>
            <w:vMerge/>
            <w:vAlign w:val="center"/>
          </w:tcPr>
          <w:p w14:paraId="728DA1FD" w14:textId="77777777" w:rsidR="007E48B3" w:rsidRPr="0014012E" w:rsidRDefault="007E48B3" w:rsidP="00416373">
            <w:pPr>
              <w:bidi w:val="0"/>
              <w:jc w:val="center"/>
              <w:rPr>
                <w:b/>
                <w:bCs/>
              </w:rPr>
            </w:pPr>
          </w:p>
        </w:tc>
      </w:tr>
      <w:tr w:rsidR="007E48B3" w:rsidRPr="003A3484" w14:paraId="3A678C40" w14:textId="77777777" w:rsidTr="00416373">
        <w:trPr>
          <w:trHeight w:val="570"/>
        </w:trPr>
        <w:tc>
          <w:tcPr>
            <w:tcW w:w="1247" w:type="dxa"/>
          </w:tcPr>
          <w:p w14:paraId="27CD5E5B" w14:textId="77777777" w:rsidR="007E48B3" w:rsidRPr="0014012E" w:rsidRDefault="007E48B3" w:rsidP="00416373">
            <w:pPr>
              <w:bidi w:val="0"/>
            </w:pPr>
            <w:r w:rsidRPr="0014012E">
              <w:t>1968-2019</w:t>
            </w:r>
          </w:p>
        </w:tc>
        <w:tc>
          <w:tcPr>
            <w:tcW w:w="1122" w:type="dxa"/>
          </w:tcPr>
          <w:p w14:paraId="0CA98C0C" w14:textId="77777777" w:rsidR="007E48B3" w:rsidRPr="0014012E" w:rsidRDefault="007E48B3" w:rsidP="00416373">
            <w:pPr>
              <w:bidi w:val="0"/>
            </w:pPr>
            <w:r w:rsidRPr="0014012E">
              <w:t>PCBS, ICBS</w:t>
            </w:r>
          </w:p>
        </w:tc>
        <w:tc>
          <w:tcPr>
            <w:tcW w:w="5360" w:type="dxa"/>
          </w:tcPr>
          <w:p w14:paraId="5F6E6AAB" w14:textId="19855577" w:rsidR="007E48B3" w:rsidRPr="0014012E" w:rsidRDefault="007E48B3" w:rsidP="00416373">
            <w:pPr>
              <w:bidi w:val="0"/>
              <w:rPr>
                <w:rtl/>
              </w:rPr>
            </w:pPr>
            <w:r w:rsidRPr="0014012E">
              <w:t xml:space="preserve">Palestinians employed in Israel out of total Palestinian </w:t>
            </w:r>
            <w:r w:rsidR="00223894">
              <w:t>i</w:t>
            </w:r>
            <w:r w:rsidR="00223894" w:rsidRPr="00291477">
              <w:t xml:space="preserve">ndividuals </w:t>
            </w:r>
            <w:r w:rsidRPr="0014012E">
              <w:t>employed</w:t>
            </w:r>
          </w:p>
        </w:tc>
        <w:tc>
          <w:tcPr>
            <w:tcW w:w="1631" w:type="dxa"/>
            <w:vMerge/>
            <w:vAlign w:val="center"/>
          </w:tcPr>
          <w:p w14:paraId="29FF18CF" w14:textId="77777777" w:rsidR="007E48B3" w:rsidRPr="0014012E" w:rsidRDefault="007E48B3" w:rsidP="00416373">
            <w:pPr>
              <w:bidi w:val="0"/>
              <w:jc w:val="center"/>
              <w:rPr>
                <w:b/>
                <w:bCs/>
              </w:rPr>
            </w:pPr>
          </w:p>
        </w:tc>
      </w:tr>
      <w:tr w:rsidR="007E48B3" w:rsidRPr="003A3484" w14:paraId="7B747EBC" w14:textId="77777777" w:rsidTr="00416373">
        <w:trPr>
          <w:trHeight w:val="85"/>
        </w:trPr>
        <w:tc>
          <w:tcPr>
            <w:tcW w:w="1247" w:type="dxa"/>
          </w:tcPr>
          <w:p w14:paraId="317C3EEE" w14:textId="77777777" w:rsidR="007E48B3" w:rsidRPr="0014012E" w:rsidRDefault="007E48B3" w:rsidP="00416373">
            <w:pPr>
              <w:bidi w:val="0"/>
            </w:pPr>
            <w:r w:rsidRPr="0014012E">
              <w:t>1968-2019</w:t>
            </w:r>
          </w:p>
        </w:tc>
        <w:tc>
          <w:tcPr>
            <w:tcW w:w="1122" w:type="dxa"/>
          </w:tcPr>
          <w:p w14:paraId="0686F579" w14:textId="77777777" w:rsidR="007E48B3" w:rsidRPr="0014012E" w:rsidRDefault="007E48B3" w:rsidP="00416373">
            <w:pPr>
              <w:bidi w:val="0"/>
              <w:rPr>
                <w:rFonts w:asciiTheme="minorHAnsi" w:eastAsiaTheme="minorHAnsi" w:hAnsiTheme="minorHAnsi" w:cstheme="minorBidi"/>
              </w:rPr>
            </w:pPr>
            <w:r w:rsidRPr="0014012E">
              <w:t>PCBS</w:t>
            </w:r>
            <w:r w:rsidRPr="0014012E">
              <w:rPr>
                <w:rFonts w:asciiTheme="minorHAnsi" w:eastAsiaTheme="minorHAnsi" w:hAnsiTheme="minorHAnsi" w:cstheme="minorBidi"/>
              </w:rPr>
              <w:t>, ICBS</w:t>
            </w:r>
          </w:p>
        </w:tc>
        <w:tc>
          <w:tcPr>
            <w:tcW w:w="5360" w:type="dxa"/>
          </w:tcPr>
          <w:p w14:paraId="0283E19A" w14:textId="77777777" w:rsidR="007E48B3" w:rsidRPr="0014012E" w:rsidRDefault="007E48B3" w:rsidP="00416373">
            <w:pPr>
              <w:bidi w:val="0"/>
            </w:pPr>
            <w:r w:rsidRPr="0014012E">
              <w:rPr>
                <w:rFonts w:eastAsiaTheme="minorHAnsi"/>
              </w:rPr>
              <w:t>Remittances of Palestinians workers in Israel out of WBG GNI</w:t>
            </w:r>
          </w:p>
        </w:tc>
        <w:tc>
          <w:tcPr>
            <w:tcW w:w="1631" w:type="dxa"/>
            <w:vMerge/>
            <w:vAlign w:val="center"/>
          </w:tcPr>
          <w:p w14:paraId="18727EBB" w14:textId="77777777" w:rsidR="007E48B3" w:rsidRPr="0014012E" w:rsidRDefault="007E48B3" w:rsidP="00416373">
            <w:pPr>
              <w:bidi w:val="0"/>
              <w:jc w:val="center"/>
              <w:rPr>
                <w:b/>
                <w:bCs/>
              </w:rPr>
            </w:pPr>
          </w:p>
        </w:tc>
      </w:tr>
      <w:tr w:rsidR="007E48B3" w:rsidRPr="003A3484" w14:paraId="5F6EF155" w14:textId="77777777" w:rsidTr="00416373">
        <w:trPr>
          <w:trHeight w:val="85"/>
        </w:trPr>
        <w:tc>
          <w:tcPr>
            <w:tcW w:w="1247" w:type="dxa"/>
          </w:tcPr>
          <w:p w14:paraId="3F2EE8FC" w14:textId="77777777" w:rsidR="007E48B3" w:rsidRPr="0014012E" w:rsidRDefault="007E48B3" w:rsidP="00416373">
            <w:pPr>
              <w:bidi w:val="0"/>
            </w:pPr>
            <w:r w:rsidRPr="0014012E">
              <w:t>2010-2019</w:t>
            </w:r>
          </w:p>
        </w:tc>
        <w:tc>
          <w:tcPr>
            <w:tcW w:w="1122" w:type="dxa"/>
          </w:tcPr>
          <w:p w14:paraId="05ACDA9A" w14:textId="77777777" w:rsidR="007E48B3" w:rsidRPr="0014012E" w:rsidRDefault="007E48B3" w:rsidP="00416373">
            <w:pPr>
              <w:bidi w:val="0"/>
            </w:pPr>
            <w:r w:rsidRPr="0014012E">
              <w:t>ICA, ICBS</w:t>
            </w:r>
          </w:p>
        </w:tc>
        <w:tc>
          <w:tcPr>
            <w:tcW w:w="5360" w:type="dxa"/>
            <w:vAlign w:val="bottom"/>
          </w:tcPr>
          <w:p w14:paraId="534AEB42" w14:textId="61123799" w:rsidR="007E48B3" w:rsidRPr="0014012E" w:rsidRDefault="007E48B3" w:rsidP="00416373">
            <w:pPr>
              <w:bidi w:val="0"/>
            </w:pPr>
            <w:r w:rsidRPr="0014012E">
              <w:t xml:space="preserve">Percentage of Israeli cars </w:t>
            </w:r>
            <w:r w:rsidR="00567AB4">
              <w:t>entering</w:t>
            </w:r>
            <w:r w:rsidRPr="0014012E">
              <w:t xml:space="preserve"> the WB</w:t>
            </w:r>
          </w:p>
        </w:tc>
        <w:tc>
          <w:tcPr>
            <w:tcW w:w="1631" w:type="dxa"/>
            <w:vMerge w:val="restart"/>
            <w:vAlign w:val="center"/>
          </w:tcPr>
          <w:p w14:paraId="7C302E58" w14:textId="77777777" w:rsidR="007E48B3" w:rsidRPr="0014012E" w:rsidRDefault="007E48B3" w:rsidP="00416373">
            <w:pPr>
              <w:bidi w:val="0"/>
              <w:jc w:val="center"/>
              <w:rPr>
                <w:b/>
                <w:bCs/>
                <w:rtl/>
              </w:rPr>
            </w:pPr>
            <w:r w:rsidRPr="0014012E">
              <w:rPr>
                <w:b/>
                <w:bCs/>
              </w:rPr>
              <w:t xml:space="preserve">Movement of people </w:t>
            </w:r>
          </w:p>
        </w:tc>
      </w:tr>
      <w:tr w:rsidR="007E48B3" w:rsidRPr="003A3484" w14:paraId="697C4CCC" w14:textId="77777777" w:rsidTr="00416373">
        <w:trPr>
          <w:trHeight w:val="84"/>
        </w:trPr>
        <w:tc>
          <w:tcPr>
            <w:tcW w:w="1247" w:type="dxa"/>
          </w:tcPr>
          <w:p w14:paraId="3E2D4463" w14:textId="77777777" w:rsidR="007E48B3" w:rsidRPr="0014012E" w:rsidRDefault="007E48B3" w:rsidP="00416373">
            <w:pPr>
              <w:bidi w:val="0"/>
            </w:pPr>
            <w:r w:rsidRPr="0014012E">
              <w:t>2010-2019</w:t>
            </w:r>
          </w:p>
        </w:tc>
        <w:tc>
          <w:tcPr>
            <w:tcW w:w="1122" w:type="dxa"/>
          </w:tcPr>
          <w:p w14:paraId="69A56321" w14:textId="77777777" w:rsidR="007E48B3" w:rsidRPr="0014012E" w:rsidRDefault="007E48B3" w:rsidP="00416373">
            <w:pPr>
              <w:bidi w:val="0"/>
            </w:pPr>
            <w:r w:rsidRPr="0014012E">
              <w:t>ICA, PCBS</w:t>
            </w:r>
          </w:p>
        </w:tc>
        <w:tc>
          <w:tcPr>
            <w:tcW w:w="5360" w:type="dxa"/>
            <w:vAlign w:val="bottom"/>
          </w:tcPr>
          <w:p w14:paraId="08D8C8AD" w14:textId="77777777" w:rsidR="007E48B3" w:rsidRPr="0014012E" w:rsidRDefault="007E48B3" w:rsidP="00416373">
            <w:pPr>
              <w:bidi w:val="0"/>
              <w:rPr>
                <w:rtl/>
              </w:rPr>
            </w:pPr>
            <w:r w:rsidRPr="0014012E">
              <w:rPr>
                <w:rFonts w:cs="Calibri"/>
                <w:color w:val="000000"/>
              </w:rPr>
              <w:t>Movement of people between Israel and the WB</w:t>
            </w:r>
          </w:p>
        </w:tc>
        <w:tc>
          <w:tcPr>
            <w:tcW w:w="1631" w:type="dxa"/>
            <w:vMerge/>
            <w:vAlign w:val="center"/>
          </w:tcPr>
          <w:p w14:paraId="7F974699" w14:textId="77777777" w:rsidR="007E48B3" w:rsidRPr="0014012E" w:rsidRDefault="007E48B3" w:rsidP="00416373">
            <w:pPr>
              <w:bidi w:val="0"/>
              <w:jc w:val="center"/>
              <w:rPr>
                <w:b/>
                <w:bCs/>
              </w:rPr>
            </w:pPr>
          </w:p>
        </w:tc>
      </w:tr>
      <w:tr w:rsidR="007E48B3" w:rsidRPr="003A3484" w14:paraId="3B3F1C2B" w14:textId="77777777" w:rsidTr="00416373">
        <w:trPr>
          <w:trHeight w:val="84"/>
        </w:trPr>
        <w:tc>
          <w:tcPr>
            <w:tcW w:w="1247" w:type="dxa"/>
          </w:tcPr>
          <w:p w14:paraId="609B19A1" w14:textId="77777777" w:rsidR="007E48B3" w:rsidRPr="0014012E" w:rsidRDefault="007E48B3" w:rsidP="00416373">
            <w:pPr>
              <w:bidi w:val="0"/>
            </w:pPr>
            <w:r w:rsidRPr="0014012E">
              <w:t>2010-2019</w:t>
            </w:r>
          </w:p>
        </w:tc>
        <w:tc>
          <w:tcPr>
            <w:tcW w:w="1122" w:type="dxa"/>
          </w:tcPr>
          <w:p w14:paraId="3933286E" w14:textId="77777777" w:rsidR="007E48B3" w:rsidRPr="0014012E" w:rsidRDefault="007E48B3" w:rsidP="00416373">
            <w:pPr>
              <w:bidi w:val="0"/>
            </w:pPr>
            <w:r w:rsidRPr="0014012E">
              <w:t>COGAT, PCBS</w:t>
            </w:r>
          </w:p>
        </w:tc>
        <w:tc>
          <w:tcPr>
            <w:tcW w:w="5360" w:type="dxa"/>
            <w:vAlign w:val="bottom"/>
          </w:tcPr>
          <w:p w14:paraId="7AA2CFDC" w14:textId="278914D5" w:rsidR="007E48B3" w:rsidRPr="0014012E" w:rsidRDefault="007E48B3" w:rsidP="00416373">
            <w:pPr>
              <w:bidi w:val="0"/>
            </w:pPr>
            <w:r w:rsidRPr="0014012E">
              <w:t xml:space="preserve">Percentage of Palestinians </w:t>
            </w:r>
            <w:r w:rsidR="00281749" w:rsidRPr="00281749">
              <w:t>entering</w:t>
            </w:r>
            <w:r w:rsidRPr="0014012E">
              <w:t xml:space="preserve"> Israel for medical treatment</w:t>
            </w:r>
          </w:p>
        </w:tc>
        <w:tc>
          <w:tcPr>
            <w:tcW w:w="1631" w:type="dxa"/>
            <w:vMerge/>
            <w:vAlign w:val="center"/>
          </w:tcPr>
          <w:p w14:paraId="530D2B33" w14:textId="77777777" w:rsidR="007E48B3" w:rsidRPr="0014012E" w:rsidRDefault="007E48B3" w:rsidP="00416373">
            <w:pPr>
              <w:bidi w:val="0"/>
              <w:jc w:val="center"/>
              <w:rPr>
                <w:b/>
                <w:bCs/>
              </w:rPr>
            </w:pPr>
          </w:p>
        </w:tc>
      </w:tr>
      <w:tr w:rsidR="007E48B3" w:rsidRPr="003A3484" w14:paraId="4C21686A" w14:textId="77777777" w:rsidTr="00416373">
        <w:trPr>
          <w:trHeight w:val="84"/>
        </w:trPr>
        <w:tc>
          <w:tcPr>
            <w:tcW w:w="1247" w:type="dxa"/>
          </w:tcPr>
          <w:p w14:paraId="7F2872E3" w14:textId="77777777" w:rsidR="007E48B3" w:rsidRPr="0014012E" w:rsidRDefault="007E48B3" w:rsidP="00416373">
            <w:pPr>
              <w:bidi w:val="0"/>
            </w:pPr>
            <w:r w:rsidRPr="0014012E">
              <w:t>2010-2019</w:t>
            </w:r>
          </w:p>
        </w:tc>
        <w:tc>
          <w:tcPr>
            <w:tcW w:w="1122" w:type="dxa"/>
          </w:tcPr>
          <w:p w14:paraId="4DCC636D" w14:textId="77777777" w:rsidR="007E48B3" w:rsidRPr="0014012E" w:rsidRDefault="007E48B3" w:rsidP="00416373">
            <w:pPr>
              <w:bidi w:val="0"/>
            </w:pPr>
            <w:r w:rsidRPr="0014012E">
              <w:t>PCBS</w:t>
            </w:r>
          </w:p>
        </w:tc>
        <w:tc>
          <w:tcPr>
            <w:tcW w:w="5360" w:type="dxa"/>
          </w:tcPr>
          <w:p w14:paraId="350F3B45" w14:textId="77777777" w:rsidR="007E48B3" w:rsidRPr="0014012E" w:rsidRDefault="007E48B3" w:rsidP="00416373">
            <w:pPr>
              <w:bidi w:val="0"/>
            </w:pPr>
            <w:r w:rsidRPr="0014012E">
              <w:t>Percentage of Israeli guests’ nights in WB Hotels</w:t>
            </w:r>
          </w:p>
        </w:tc>
        <w:tc>
          <w:tcPr>
            <w:tcW w:w="1631" w:type="dxa"/>
            <w:vMerge/>
            <w:vAlign w:val="center"/>
          </w:tcPr>
          <w:p w14:paraId="24618469" w14:textId="77777777" w:rsidR="007E48B3" w:rsidRPr="0014012E" w:rsidRDefault="007E48B3" w:rsidP="00416373">
            <w:pPr>
              <w:bidi w:val="0"/>
              <w:jc w:val="center"/>
              <w:rPr>
                <w:b/>
                <w:bCs/>
              </w:rPr>
            </w:pPr>
          </w:p>
        </w:tc>
      </w:tr>
      <w:tr w:rsidR="007E48B3" w:rsidRPr="003A3484" w14:paraId="0C10AD38" w14:textId="77777777" w:rsidTr="00416373">
        <w:trPr>
          <w:trHeight w:val="84"/>
        </w:trPr>
        <w:tc>
          <w:tcPr>
            <w:tcW w:w="1247" w:type="dxa"/>
          </w:tcPr>
          <w:p w14:paraId="38AF9428" w14:textId="77777777" w:rsidR="007E48B3" w:rsidRPr="0014012E" w:rsidRDefault="007E48B3" w:rsidP="00416373">
            <w:pPr>
              <w:bidi w:val="0"/>
            </w:pPr>
            <w:r w:rsidRPr="0014012E">
              <w:t>1996-2019</w:t>
            </w:r>
          </w:p>
        </w:tc>
        <w:tc>
          <w:tcPr>
            <w:tcW w:w="1122" w:type="dxa"/>
          </w:tcPr>
          <w:p w14:paraId="42D3A0B7" w14:textId="77777777" w:rsidR="007E48B3" w:rsidRPr="0014012E" w:rsidRDefault="007E48B3" w:rsidP="00416373">
            <w:pPr>
              <w:bidi w:val="0"/>
            </w:pPr>
            <w:r w:rsidRPr="0014012E">
              <w:t>PCBS</w:t>
            </w:r>
          </w:p>
        </w:tc>
        <w:tc>
          <w:tcPr>
            <w:tcW w:w="5360" w:type="dxa"/>
          </w:tcPr>
          <w:p w14:paraId="4BC972AF" w14:textId="77777777" w:rsidR="007E48B3" w:rsidRPr="0014012E" w:rsidRDefault="007E48B3" w:rsidP="00416373">
            <w:pPr>
              <w:bidi w:val="0"/>
            </w:pPr>
            <w:r w:rsidRPr="0014012E">
              <w:t>Percentage of Palestinian households that conducted Outbound Trips to Israel</w:t>
            </w:r>
          </w:p>
        </w:tc>
        <w:tc>
          <w:tcPr>
            <w:tcW w:w="1631" w:type="dxa"/>
            <w:vMerge/>
            <w:vAlign w:val="center"/>
          </w:tcPr>
          <w:p w14:paraId="0A417420" w14:textId="77777777" w:rsidR="007E48B3" w:rsidRPr="0014012E" w:rsidRDefault="007E48B3" w:rsidP="00416373">
            <w:pPr>
              <w:bidi w:val="0"/>
              <w:jc w:val="center"/>
              <w:rPr>
                <w:b/>
                <w:bCs/>
              </w:rPr>
            </w:pPr>
          </w:p>
        </w:tc>
      </w:tr>
      <w:tr w:rsidR="007E48B3" w:rsidRPr="003A3484" w14:paraId="64263463" w14:textId="77777777" w:rsidTr="00416373">
        <w:trPr>
          <w:trHeight w:val="363"/>
        </w:trPr>
        <w:tc>
          <w:tcPr>
            <w:tcW w:w="1247" w:type="dxa"/>
          </w:tcPr>
          <w:p w14:paraId="76D1FCA8" w14:textId="77777777" w:rsidR="007E48B3" w:rsidRPr="0014012E" w:rsidRDefault="007E48B3" w:rsidP="00416373">
            <w:pPr>
              <w:bidi w:val="0"/>
            </w:pPr>
            <w:r w:rsidRPr="0014012E">
              <w:t>2000-2019</w:t>
            </w:r>
          </w:p>
        </w:tc>
        <w:tc>
          <w:tcPr>
            <w:tcW w:w="1122" w:type="dxa"/>
          </w:tcPr>
          <w:p w14:paraId="70D6A586" w14:textId="77777777" w:rsidR="007E48B3" w:rsidRPr="0014012E" w:rsidRDefault="007E48B3" w:rsidP="00416373">
            <w:pPr>
              <w:bidi w:val="0"/>
            </w:pPr>
            <w:r w:rsidRPr="0014012E">
              <w:t xml:space="preserve">World Bank </w:t>
            </w:r>
          </w:p>
        </w:tc>
        <w:tc>
          <w:tcPr>
            <w:tcW w:w="5360" w:type="dxa"/>
          </w:tcPr>
          <w:p w14:paraId="7599067A" w14:textId="61A093EF" w:rsidR="007E48B3" w:rsidRPr="0014012E" w:rsidRDefault="007E48B3" w:rsidP="00416373">
            <w:pPr>
              <w:bidi w:val="0"/>
            </w:pPr>
            <w:r w:rsidRPr="0014012E">
              <w:t xml:space="preserve">Mobile cellular subscriptions </w:t>
            </w:r>
            <w:r w:rsidR="005D142E">
              <w:t>(</w:t>
            </w:r>
            <w:r w:rsidRPr="0014012E">
              <w:t xml:space="preserve">ratio </w:t>
            </w:r>
            <w:r w:rsidR="005D142E">
              <w:t>)</w:t>
            </w:r>
          </w:p>
        </w:tc>
        <w:tc>
          <w:tcPr>
            <w:tcW w:w="1631" w:type="dxa"/>
            <w:vMerge w:val="restart"/>
            <w:vAlign w:val="center"/>
          </w:tcPr>
          <w:p w14:paraId="0A9A7FD1" w14:textId="77777777" w:rsidR="007E48B3" w:rsidRPr="0014012E" w:rsidRDefault="007E48B3" w:rsidP="00416373">
            <w:pPr>
              <w:bidi w:val="0"/>
              <w:jc w:val="center"/>
              <w:rPr>
                <w:b/>
                <w:bCs/>
              </w:rPr>
            </w:pPr>
            <w:r w:rsidRPr="0014012E">
              <w:rPr>
                <w:b/>
                <w:bCs/>
              </w:rPr>
              <w:t>Resources and infrastructure</w:t>
            </w:r>
          </w:p>
        </w:tc>
      </w:tr>
      <w:tr w:rsidR="007E48B3" w:rsidRPr="003A3484" w14:paraId="7746D163" w14:textId="77777777" w:rsidTr="00416373">
        <w:trPr>
          <w:trHeight w:val="363"/>
        </w:trPr>
        <w:tc>
          <w:tcPr>
            <w:tcW w:w="1247" w:type="dxa"/>
          </w:tcPr>
          <w:p w14:paraId="28B4B466" w14:textId="77777777" w:rsidR="007E48B3" w:rsidRPr="0014012E" w:rsidRDefault="007E48B3" w:rsidP="00416373">
            <w:pPr>
              <w:bidi w:val="0"/>
            </w:pPr>
            <w:r w:rsidRPr="0014012E">
              <w:t>2000-2019</w:t>
            </w:r>
          </w:p>
        </w:tc>
        <w:tc>
          <w:tcPr>
            <w:tcW w:w="1122" w:type="dxa"/>
          </w:tcPr>
          <w:p w14:paraId="37797F40" w14:textId="77777777" w:rsidR="007E48B3" w:rsidRPr="0014012E" w:rsidRDefault="007E48B3" w:rsidP="00416373">
            <w:pPr>
              <w:bidi w:val="0"/>
            </w:pPr>
            <w:r w:rsidRPr="0014012E">
              <w:t xml:space="preserve">World Bank </w:t>
            </w:r>
          </w:p>
        </w:tc>
        <w:tc>
          <w:tcPr>
            <w:tcW w:w="5360" w:type="dxa"/>
          </w:tcPr>
          <w:p w14:paraId="4B139E0E" w14:textId="18D70129" w:rsidR="007E48B3" w:rsidRPr="0014012E" w:rsidRDefault="007E48B3" w:rsidP="00416373">
            <w:pPr>
              <w:bidi w:val="0"/>
            </w:pPr>
            <w:r w:rsidRPr="0014012E">
              <w:t xml:space="preserve">Individuals using the Internet </w:t>
            </w:r>
            <w:r w:rsidR="005D142E">
              <w:t>(</w:t>
            </w:r>
            <w:r w:rsidRPr="0014012E">
              <w:t>ratio</w:t>
            </w:r>
            <w:r w:rsidR="005D142E">
              <w:t>)</w:t>
            </w:r>
            <w:r w:rsidRPr="0014012E">
              <w:t xml:space="preserve"> </w:t>
            </w:r>
          </w:p>
        </w:tc>
        <w:tc>
          <w:tcPr>
            <w:tcW w:w="1631" w:type="dxa"/>
            <w:vMerge/>
            <w:vAlign w:val="center"/>
          </w:tcPr>
          <w:p w14:paraId="4AA356D4" w14:textId="77777777" w:rsidR="007E48B3" w:rsidRPr="0014012E" w:rsidRDefault="007E48B3" w:rsidP="00416373">
            <w:pPr>
              <w:bidi w:val="0"/>
              <w:jc w:val="center"/>
              <w:rPr>
                <w:b/>
                <w:bCs/>
              </w:rPr>
            </w:pPr>
          </w:p>
        </w:tc>
      </w:tr>
      <w:tr w:rsidR="007E48B3" w:rsidRPr="003A3484" w14:paraId="3878DD08" w14:textId="77777777" w:rsidTr="00416373">
        <w:trPr>
          <w:trHeight w:val="84"/>
        </w:trPr>
        <w:tc>
          <w:tcPr>
            <w:tcW w:w="1247" w:type="dxa"/>
          </w:tcPr>
          <w:p w14:paraId="72DBC304" w14:textId="77777777" w:rsidR="007E48B3" w:rsidRPr="0014012E" w:rsidRDefault="007E48B3" w:rsidP="00416373">
            <w:pPr>
              <w:bidi w:val="0"/>
            </w:pPr>
            <w:r w:rsidRPr="0014012E">
              <w:t>2010-2019</w:t>
            </w:r>
          </w:p>
        </w:tc>
        <w:tc>
          <w:tcPr>
            <w:tcW w:w="1122" w:type="dxa"/>
          </w:tcPr>
          <w:p w14:paraId="73D55AA0" w14:textId="77777777" w:rsidR="007E48B3" w:rsidRPr="0014012E" w:rsidRDefault="007E48B3" w:rsidP="00416373">
            <w:pPr>
              <w:bidi w:val="0"/>
            </w:pPr>
            <w:r w:rsidRPr="0014012E">
              <w:t xml:space="preserve">World Bank </w:t>
            </w:r>
          </w:p>
        </w:tc>
        <w:tc>
          <w:tcPr>
            <w:tcW w:w="5360" w:type="dxa"/>
          </w:tcPr>
          <w:p w14:paraId="5B0294CC" w14:textId="380C1522" w:rsidR="007E48B3" w:rsidRPr="0014012E" w:rsidRDefault="007E48B3" w:rsidP="00416373">
            <w:pPr>
              <w:bidi w:val="0"/>
            </w:pPr>
            <w:r w:rsidRPr="0014012E">
              <w:t xml:space="preserve">Fixed broadband subscriptions </w:t>
            </w:r>
            <w:r w:rsidR="005D142E">
              <w:t>(</w:t>
            </w:r>
            <w:r w:rsidRPr="0014012E">
              <w:t>ratio</w:t>
            </w:r>
            <w:r w:rsidR="005D142E">
              <w:t>)</w:t>
            </w:r>
            <w:r w:rsidRPr="0014012E">
              <w:t xml:space="preserve"> </w:t>
            </w:r>
          </w:p>
        </w:tc>
        <w:tc>
          <w:tcPr>
            <w:tcW w:w="1631" w:type="dxa"/>
            <w:vMerge/>
            <w:vAlign w:val="center"/>
          </w:tcPr>
          <w:p w14:paraId="0D134CE0" w14:textId="77777777" w:rsidR="007E48B3" w:rsidRPr="0014012E" w:rsidRDefault="007E48B3" w:rsidP="00416373">
            <w:pPr>
              <w:bidi w:val="0"/>
              <w:jc w:val="center"/>
              <w:rPr>
                <w:b/>
                <w:bCs/>
              </w:rPr>
            </w:pPr>
          </w:p>
        </w:tc>
      </w:tr>
      <w:tr w:rsidR="007E48B3" w:rsidRPr="003A3484" w14:paraId="2C33C278" w14:textId="77777777" w:rsidTr="00416373">
        <w:trPr>
          <w:trHeight w:val="84"/>
        </w:trPr>
        <w:tc>
          <w:tcPr>
            <w:tcW w:w="1247" w:type="dxa"/>
          </w:tcPr>
          <w:p w14:paraId="0FC44377" w14:textId="77777777" w:rsidR="007E48B3" w:rsidRPr="0014012E" w:rsidRDefault="007E48B3" w:rsidP="00416373">
            <w:pPr>
              <w:bidi w:val="0"/>
            </w:pPr>
            <w:r w:rsidRPr="0014012E">
              <w:t>2004-2019</w:t>
            </w:r>
          </w:p>
        </w:tc>
        <w:tc>
          <w:tcPr>
            <w:tcW w:w="1122" w:type="dxa"/>
          </w:tcPr>
          <w:p w14:paraId="775CF19C" w14:textId="77777777" w:rsidR="007E48B3" w:rsidRPr="0014012E" w:rsidRDefault="007E48B3" w:rsidP="00416373">
            <w:pPr>
              <w:bidi w:val="0"/>
            </w:pPr>
            <w:r w:rsidRPr="0014012E">
              <w:t>PCBS</w:t>
            </w:r>
          </w:p>
        </w:tc>
        <w:tc>
          <w:tcPr>
            <w:tcW w:w="5360" w:type="dxa"/>
            <w:vAlign w:val="bottom"/>
          </w:tcPr>
          <w:p w14:paraId="43ADF584" w14:textId="77777777" w:rsidR="007E48B3" w:rsidRPr="0014012E" w:rsidRDefault="007E48B3" w:rsidP="00416373">
            <w:pPr>
              <w:bidi w:val="0"/>
            </w:pPr>
            <w:r w:rsidRPr="0014012E">
              <w:rPr>
                <w:rFonts w:cs="Calibri"/>
                <w:color w:val="000000"/>
              </w:rPr>
              <w:t>Electricity imported from Israel out of total available electricity in the WBG</w:t>
            </w:r>
          </w:p>
        </w:tc>
        <w:tc>
          <w:tcPr>
            <w:tcW w:w="1631" w:type="dxa"/>
            <w:vMerge/>
            <w:vAlign w:val="center"/>
          </w:tcPr>
          <w:p w14:paraId="03B0AEEF" w14:textId="77777777" w:rsidR="007E48B3" w:rsidRPr="0014012E" w:rsidRDefault="007E48B3" w:rsidP="00416373">
            <w:pPr>
              <w:bidi w:val="0"/>
              <w:jc w:val="center"/>
              <w:rPr>
                <w:b/>
                <w:bCs/>
              </w:rPr>
            </w:pPr>
          </w:p>
        </w:tc>
      </w:tr>
      <w:tr w:rsidR="007E48B3" w:rsidRPr="003A3484" w14:paraId="46F07717" w14:textId="77777777" w:rsidTr="00416373">
        <w:trPr>
          <w:trHeight w:val="84"/>
        </w:trPr>
        <w:tc>
          <w:tcPr>
            <w:tcW w:w="1247" w:type="dxa"/>
          </w:tcPr>
          <w:p w14:paraId="58B83F8C" w14:textId="77777777" w:rsidR="007E48B3" w:rsidRPr="0014012E" w:rsidRDefault="007E48B3" w:rsidP="00416373">
            <w:pPr>
              <w:bidi w:val="0"/>
            </w:pPr>
            <w:r w:rsidRPr="0014012E">
              <w:t>2000-2019</w:t>
            </w:r>
          </w:p>
        </w:tc>
        <w:tc>
          <w:tcPr>
            <w:tcW w:w="1122" w:type="dxa"/>
          </w:tcPr>
          <w:p w14:paraId="2F6AC26A" w14:textId="77777777" w:rsidR="007E48B3" w:rsidRPr="0014012E" w:rsidRDefault="007E48B3" w:rsidP="00416373">
            <w:pPr>
              <w:bidi w:val="0"/>
            </w:pPr>
            <w:r w:rsidRPr="0014012E">
              <w:t>PCBS</w:t>
            </w:r>
          </w:p>
        </w:tc>
        <w:tc>
          <w:tcPr>
            <w:tcW w:w="5360" w:type="dxa"/>
            <w:vAlign w:val="bottom"/>
          </w:tcPr>
          <w:p w14:paraId="2DB12D35" w14:textId="77777777" w:rsidR="007E48B3" w:rsidRPr="0014012E" w:rsidRDefault="007E48B3" w:rsidP="00416373">
            <w:pPr>
              <w:bidi w:val="0"/>
              <w:rPr>
                <w:rtl/>
              </w:rPr>
            </w:pPr>
            <w:r w:rsidRPr="0014012E">
              <w:t>Water Purchased from Israel out of available water quantity in the WBG</w:t>
            </w:r>
          </w:p>
        </w:tc>
        <w:tc>
          <w:tcPr>
            <w:tcW w:w="1631" w:type="dxa"/>
            <w:vMerge/>
            <w:vAlign w:val="center"/>
          </w:tcPr>
          <w:p w14:paraId="012015C9" w14:textId="77777777" w:rsidR="007E48B3" w:rsidRPr="0014012E" w:rsidRDefault="007E48B3" w:rsidP="00416373">
            <w:pPr>
              <w:bidi w:val="0"/>
              <w:jc w:val="center"/>
              <w:rPr>
                <w:b/>
                <w:bCs/>
              </w:rPr>
            </w:pPr>
          </w:p>
        </w:tc>
      </w:tr>
      <w:tr w:rsidR="007E48B3" w:rsidRPr="003A3484" w14:paraId="36253E85" w14:textId="77777777" w:rsidTr="00416373">
        <w:tc>
          <w:tcPr>
            <w:tcW w:w="1247" w:type="dxa"/>
          </w:tcPr>
          <w:p w14:paraId="12159A9B" w14:textId="77777777" w:rsidR="007E48B3" w:rsidRPr="0014012E" w:rsidRDefault="007E48B3" w:rsidP="00416373">
            <w:pPr>
              <w:bidi w:val="0"/>
            </w:pPr>
            <w:r w:rsidRPr="0014012E">
              <w:t>2010-2019</w:t>
            </w:r>
          </w:p>
        </w:tc>
        <w:tc>
          <w:tcPr>
            <w:tcW w:w="1122" w:type="dxa"/>
          </w:tcPr>
          <w:p w14:paraId="61D8E4CE" w14:textId="77777777" w:rsidR="007E48B3" w:rsidRPr="0014012E" w:rsidRDefault="007E48B3" w:rsidP="00416373">
            <w:pPr>
              <w:bidi w:val="0"/>
            </w:pPr>
            <w:r w:rsidRPr="0014012E">
              <w:t>PMA</w:t>
            </w:r>
          </w:p>
          <w:p w14:paraId="58CE8B06" w14:textId="77777777" w:rsidR="007E48B3" w:rsidRPr="0014012E" w:rsidRDefault="007E48B3" w:rsidP="00416373">
            <w:pPr>
              <w:bidi w:val="0"/>
            </w:pPr>
          </w:p>
        </w:tc>
        <w:tc>
          <w:tcPr>
            <w:tcW w:w="5360" w:type="dxa"/>
          </w:tcPr>
          <w:p w14:paraId="06B85D5E" w14:textId="77777777" w:rsidR="007E48B3" w:rsidRPr="0014012E" w:rsidRDefault="007E48B3" w:rsidP="00416373">
            <w:pPr>
              <w:bidi w:val="0"/>
            </w:pPr>
            <w:r w:rsidRPr="0014012E">
              <w:t>Share of NIS deposits in the Palestinian banking system</w:t>
            </w:r>
          </w:p>
        </w:tc>
        <w:tc>
          <w:tcPr>
            <w:tcW w:w="1631" w:type="dxa"/>
            <w:vMerge w:val="restart"/>
            <w:vAlign w:val="center"/>
          </w:tcPr>
          <w:p w14:paraId="69E2A01C" w14:textId="77777777" w:rsidR="007E48B3" w:rsidRPr="0014012E" w:rsidRDefault="007E48B3" w:rsidP="00416373">
            <w:pPr>
              <w:bidi w:val="0"/>
              <w:jc w:val="center"/>
              <w:rPr>
                <w:b/>
                <w:bCs/>
              </w:rPr>
            </w:pPr>
            <w:r w:rsidRPr="0014012E">
              <w:rPr>
                <w:b/>
                <w:bCs/>
              </w:rPr>
              <w:t>Banking and money</w:t>
            </w:r>
          </w:p>
        </w:tc>
      </w:tr>
      <w:tr w:rsidR="007E48B3" w:rsidRPr="003A3484" w14:paraId="2BCB2AC4" w14:textId="77777777" w:rsidTr="00416373">
        <w:tc>
          <w:tcPr>
            <w:tcW w:w="1247" w:type="dxa"/>
          </w:tcPr>
          <w:p w14:paraId="4DDC40D1" w14:textId="77777777" w:rsidR="007E48B3" w:rsidRPr="0014012E" w:rsidRDefault="007E48B3" w:rsidP="00416373">
            <w:pPr>
              <w:bidi w:val="0"/>
            </w:pPr>
            <w:r w:rsidRPr="0014012E">
              <w:t>1996-2019</w:t>
            </w:r>
          </w:p>
        </w:tc>
        <w:tc>
          <w:tcPr>
            <w:tcW w:w="1122" w:type="dxa"/>
          </w:tcPr>
          <w:p w14:paraId="15AF7D3A" w14:textId="77777777" w:rsidR="007E48B3" w:rsidRPr="0014012E" w:rsidRDefault="007E48B3" w:rsidP="00416373">
            <w:pPr>
              <w:bidi w:val="0"/>
            </w:pPr>
            <w:r w:rsidRPr="0014012E">
              <w:t>PMA</w:t>
            </w:r>
          </w:p>
          <w:p w14:paraId="0863D1BF" w14:textId="77777777" w:rsidR="007E48B3" w:rsidRPr="0014012E" w:rsidRDefault="007E48B3" w:rsidP="00416373">
            <w:pPr>
              <w:rPr>
                <w:rtl/>
              </w:rPr>
            </w:pPr>
          </w:p>
        </w:tc>
        <w:tc>
          <w:tcPr>
            <w:tcW w:w="5360" w:type="dxa"/>
          </w:tcPr>
          <w:p w14:paraId="78723E49" w14:textId="77777777" w:rsidR="007E48B3" w:rsidRPr="0014012E" w:rsidRDefault="007E48B3" w:rsidP="00416373">
            <w:pPr>
              <w:jc w:val="right"/>
              <w:rPr>
                <w:rtl/>
              </w:rPr>
            </w:pPr>
            <w:r w:rsidRPr="0014012E">
              <w:t>Share of NIS credit in the Palestinian banking system</w:t>
            </w:r>
          </w:p>
        </w:tc>
        <w:tc>
          <w:tcPr>
            <w:tcW w:w="1631" w:type="dxa"/>
            <w:vMerge/>
          </w:tcPr>
          <w:p w14:paraId="51CC75AC" w14:textId="77777777" w:rsidR="007E48B3" w:rsidRPr="0014012E" w:rsidRDefault="007E48B3" w:rsidP="00416373">
            <w:pPr>
              <w:bidi w:val="0"/>
              <w:rPr>
                <w:rtl/>
              </w:rPr>
            </w:pPr>
          </w:p>
        </w:tc>
      </w:tr>
      <w:tr w:rsidR="007E48B3" w:rsidRPr="003A3484" w14:paraId="629F20BE" w14:textId="77777777" w:rsidTr="00416373">
        <w:tc>
          <w:tcPr>
            <w:tcW w:w="1247" w:type="dxa"/>
          </w:tcPr>
          <w:p w14:paraId="2C346E88" w14:textId="77777777" w:rsidR="007E48B3" w:rsidRPr="0014012E" w:rsidRDefault="007E48B3" w:rsidP="00416373">
            <w:pPr>
              <w:bidi w:val="0"/>
            </w:pPr>
            <w:r w:rsidRPr="0014012E">
              <w:t>2000-2019</w:t>
            </w:r>
          </w:p>
        </w:tc>
        <w:tc>
          <w:tcPr>
            <w:tcW w:w="1122" w:type="dxa"/>
          </w:tcPr>
          <w:p w14:paraId="72811C43" w14:textId="77777777" w:rsidR="007E48B3" w:rsidRPr="0014012E" w:rsidRDefault="007E48B3" w:rsidP="00416373">
            <w:pPr>
              <w:bidi w:val="0"/>
            </w:pPr>
            <w:r w:rsidRPr="0014012E">
              <w:t>PMA</w:t>
            </w:r>
          </w:p>
          <w:p w14:paraId="5E2633C5" w14:textId="77777777" w:rsidR="007E48B3" w:rsidRPr="0014012E" w:rsidRDefault="007E48B3" w:rsidP="00416373">
            <w:pPr>
              <w:rPr>
                <w:rtl/>
              </w:rPr>
            </w:pPr>
          </w:p>
        </w:tc>
        <w:tc>
          <w:tcPr>
            <w:tcW w:w="5360" w:type="dxa"/>
            <w:vAlign w:val="bottom"/>
          </w:tcPr>
          <w:p w14:paraId="7A9CE919" w14:textId="77777777" w:rsidR="007E48B3" w:rsidRPr="0014012E" w:rsidRDefault="007E48B3" w:rsidP="00416373">
            <w:pPr>
              <w:jc w:val="right"/>
              <w:rPr>
                <w:rtl/>
              </w:rPr>
            </w:pPr>
            <w:r w:rsidRPr="0014012E">
              <w:t>Share of NIS checks presented for clearing in the Palestinian banking system</w:t>
            </w:r>
          </w:p>
        </w:tc>
        <w:tc>
          <w:tcPr>
            <w:tcW w:w="1631" w:type="dxa"/>
            <w:vMerge/>
          </w:tcPr>
          <w:p w14:paraId="70A770CB" w14:textId="77777777" w:rsidR="007E48B3" w:rsidRPr="0014012E" w:rsidRDefault="007E48B3" w:rsidP="00416373">
            <w:pPr>
              <w:bidi w:val="0"/>
              <w:rPr>
                <w:rtl/>
              </w:rPr>
            </w:pPr>
          </w:p>
        </w:tc>
      </w:tr>
      <w:tr w:rsidR="007E48B3" w:rsidRPr="003A3484" w14:paraId="558ADA5A" w14:textId="77777777" w:rsidTr="00416373">
        <w:trPr>
          <w:trHeight w:val="259"/>
        </w:trPr>
        <w:tc>
          <w:tcPr>
            <w:tcW w:w="1247" w:type="dxa"/>
          </w:tcPr>
          <w:p w14:paraId="0DB802C0" w14:textId="77777777" w:rsidR="007E48B3" w:rsidRPr="0014012E" w:rsidRDefault="007E48B3" w:rsidP="00416373">
            <w:pPr>
              <w:jc w:val="right"/>
            </w:pPr>
            <w:r w:rsidRPr="0014012E">
              <w:t>2010-2019</w:t>
            </w:r>
          </w:p>
        </w:tc>
        <w:tc>
          <w:tcPr>
            <w:tcW w:w="1122" w:type="dxa"/>
          </w:tcPr>
          <w:p w14:paraId="674E3E8A" w14:textId="77777777" w:rsidR="007E48B3" w:rsidRPr="0014012E" w:rsidRDefault="007E48B3" w:rsidP="00416373">
            <w:pPr>
              <w:jc w:val="right"/>
              <w:rPr>
                <w:rtl/>
              </w:rPr>
            </w:pPr>
            <w:r w:rsidRPr="0014012E">
              <w:t xml:space="preserve">PMA, </w:t>
            </w:r>
            <w:proofErr w:type="spellStart"/>
            <w:r w:rsidRPr="0014012E">
              <w:t>BoI</w:t>
            </w:r>
            <w:proofErr w:type="spellEnd"/>
          </w:p>
        </w:tc>
        <w:tc>
          <w:tcPr>
            <w:tcW w:w="5360" w:type="dxa"/>
            <w:vAlign w:val="bottom"/>
          </w:tcPr>
          <w:p w14:paraId="3FC21637" w14:textId="77777777" w:rsidR="007E48B3" w:rsidRPr="0014012E" w:rsidRDefault="007E48B3" w:rsidP="00416373">
            <w:pPr>
              <w:bidi w:val="0"/>
              <w:jc w:val="both"/>
              <w:rPr>
                <w:rFonts w:cs="Calibri"/>
                <w:color w:val="000000"/>
                <w:rtl/>
              </w:rPr>
            </w:pPr>
            <w:r w:rsidRPr="0014012E">
              <w:t>Excess NIS cash deposited in Israel out of total NIS circulation</w:t>
            </w:r>
          </w:p>
        </w:tc>
        <w:tc>
          <w:tcPr>
            <w:tcW w:w="1631" w:type="dxa"/>
            <w:vMerge/>
          </w:tcPr>
          <w:p w14:paraId="13DB0CE8" w14:textId="77777777" w:rsidR="007E48B3" w:rsidRPr="0014012E" w:rsidRDefault="007E48B3" w:rsidP="00416373">
            <w:pPr>
              <w:bidi w:val="0"/>
              <w:rPr>
                <w:rtl/>
              </w:rPr>
            </w:pPr>
          </w:p>
        </w:tc>
      </w:tr>
      <w:tr w:rsidR="007E48B3" w:rsidRPr="003A3484" w14:paraId="15677760" w14:textId="77777777" w:rsidTr="00416373">
        <w:trPr>
          <w:trHeight w:val="259"/>
        </w:trPr>
        <w:tc>
          <w:tcPr>
            <w:tcW w:w="1247" w:type="dxa"/>
          </w:tcPr>
          <w:p w14:paraId="4AE77FC4" w14:textId="77777777" w:rsidR="007E48B3" w:rsidRPr="0014012E" w:rsidRDefault="007E48B3" w:rsidP="00416373">
            <w:pPr>
              <w:jc w:val="right"/>
            </w:pPr>
            <w:r w:rsidRPr="0014012E">
              <w:t>2010-2019</w:t>
            </w:r>
          </w:p>
        </w:tc>
        <w:tc>
          <w:tcPr>
            <w:tcW w:w="1122" w:type="dxa"/>
          </w:tcPr>
          <w:p w14:paraId="2E1D7093" w14:textId="77777777" w:rsidR="007E48B3" w:rsidRPr="0014012E" w:rsidRDefault="007E48B3" w:rsidP="00416373">
            <w:pPr>
              <w:jc w:val="right"/>
            </w:pPr>
            <w:r w:rsidRPr="0014012E">
              <w:t>PMA</w:t>
            </w:r>
          </w:p>
        </w:tc>
        <w:tc>
          <w:tcPr>
            <w:tcW w:w="5360" w:type="dxa"/>
            <w:vAlign w:val="bottom"/>
          </w:tcPr>
          <w:p w14:paraId="3A74803C" w14:textId="77777777" w:rsidR="007E48B3" w:rsidRPr="0014012E" w:rsidRDefault="007E48B3" w:rsidP="00416373">
            <w:pPr>
              <w:bidi w:val="0"/>
              <w:jc w:val="both"/>
              <w:rPr>
                <w:rFonts w:cs="Calibri"/>
                <w:color w:val="000000"/>
              </w:rPr>
            </w:pPr>
            <w:r w:rsidRPr="0014012E">
              <w:t>Checks and Money transfers volume out of WBG GNI</w:t>
            </w:r>
          </w:p>
        </w:tc>
        <w:tc>
          <w:tcPr>
            <w:tcW w:w="1631" w:type="dxa"/>
            <w:vMerge/>
          </w:tcPr>
          <w:p w14:paraId="2268468E" w14:textId="77777777" w:rsidR="007E48B3" w:rsidRPr="0014012E" w:rsidRDefault="007E48B3" w:rsidP="00416373">
            <w:pPr>
              <w:bidi w:val="0"/>
              <w:rPr>
                <w:rtl/>
              </w:rPr>
            </w:pPr>
          </w:p>
        </w:tc>
      </w:tr>
      <w:tr w:rsidR="007E48B3" w:rsidRPr="003A3484" w14:paraId="1C6EC3D2" w14:textId="77777777" w:rsidTr="00416373">
        <w:tc>
          <w:tcPr>
            <w:tcW w:w="1247" w:type="dxa"/>
          </w:tcPr>
          <w:p w14:paraId="3D5B63C9" w14:textId="77777777" w:rsidR="007E48B3" w:rsidRPr="0014012E" w:rsidRDefault="007E48B3" w:rsidP="00416373">
            <w:pPr>
              <w:jc w:val="right"/>
            </w:pPr>
            <w:r w:rsidRPr="0014012E">
              <w:t>1968-2019</w:t>
            </w:r>
          </w:p>
        </w:tc>
        <w:tc>
          <w:tcPr>
            <w:tcW w:w="1122" w:type="dxa"/>
          </w:tcPr>
          <w:p w14:paraId="760FDB8D" w14:textId="77777777" w:rsidR="007E48B3" w:rsidRPr="0014012E" w:rsidRDefault="007E48B3" w:rsidP="00416373">
            <w:pPr>
              <w:jc w:val="right"/>
              <w:rPr>
                <w:rtl/>
              </w:rPr>
            </w:pPr>
            <w:r w:rsidRPr="0014012E">
              <w:t>WB</w:t>
            </w:r>
          </w:p>
        </w:tc>
        <w:tc>
          <w:tcPr>
            <w:tcW w:w="5360" w:type="dxa"/>
          </w:tcPr>
          <w:p w14:paraId="59669FA4" w14:textId="0309E76C" w:rsidR="007E48B3" w:rsidRPr="0014012E" w:rsidRDefault="007E48B3" w:rsidP="00416373">
            <w:pPr>
              <w:jc w:val="right"/>
            </w:pPr>
            <w:r w:rsidRPr="0014012E">
              <w:t xml:space="preserve">GDP per Capita </w:t>
            </w:r>
            <w:r w:rsidR="005D142E">
              <w:t>(</w:t>
            </w:r>
            <w:r w:rsidRPr="0014012E">
              <w:t>ratio</w:t>
            </w:r>
            <w:r w:rsidR="005D142E">
              <w:t>)</w:t>
            </w:r>
          </w:p>
        </w:tc>
        <w:tc>
          <w:tcPr>
            <w:tcW w:w="1631" w:type="dxa"/>
            <w:vMerge w:val="restart"/>
            <w:vAlign w:val="center"/>
          </w:tcPr>
          <w:p w14:paraId="51073450" w14:textId="77777777" w:rsidR="007E48B3" w:rsidRPr="0014012E" w:rsidRDefault="007E48B3" w:rsidP="00416373">
            <w:pPr>
              <w:bidi w:val="0"/>
              <w:jc w:val="center"/>
              <w:rPr>
                <w:b/>
                <w:bCs/>
                <w:rtl/>
              </w:rPr>
            </w:pPr>
            <w:r w:rsidRPr="0014012E">
              <w:rPr>
                <w:b/>
                <w:bCs/>
              </w:rPr>
              <w:t>Wealth and Standard of living</w:t>
            </w:r>
          </w:p>
        </w:tc>
      </w:tr>
      <w:tr w:rsidR="007E48B3" w:rsidRPr="003A3484" w14:paraId="58ABBABA" w14:textId="77777777" w:rsidTr="00416373">
        <w:tc>
          <w:tcPr>
            <w:tcW w:w="1247" w:type="dxa"/>
          </w:tcPr>
          <w:p w14:paraId="605B1233" w14:textId="77777777" w:rsidR="007E48B3" w:rsidRPr="0014012E" w:rsidRDefault="007E48B3" w:rsidP="00416373">
            <w:pPr>
              <w:jc w:val="right"/>
            </w:pPr>
            <w:r w:rsidRPr="0014012E">
              <w:t>1996-2019</w:t>
            </w:r>
          </w:p>
        </w:tc>
        <w:tc>
          <w:tcPr>
            <w:tcW w:w="1122" w:type="dxa"/>
          </w:tcPr>
          <w:p w14:paraId="20D6103C" w14:textId="77777777" w:rsidR="007E48B3" w:rsidRPr="0014012E" w:rsidRDefault="007E48B3" w:rsidP="00416373">
            <w:pPr>
              <w:jc w:val="right"/>
              <w:rPr>
                <w:rtl/>
              </w:rPr>
            </w:pPr>
            <w:r w:rsidRPr="0014012E">
              <w:t>WB</w:t>
            </w:r>
          </w:p>
        </w:tc>
        <w:tc>
          <w:tcPr>
            <w:tcW w:w="5360" w:type="dxa"/>
          </w:tcPr>
          <w:p w14:paraId="4F39A23E" w14:textId="495E3279" w:rsidR="007E48B3" w:rsidRPr="0014012E" w:rsidRDefault="007E48B3" w:rsidP="00416373">
            <w:pPr>
              <w:jc w:val="right"/>
            </w:pPr>
            <w:r w:rsidRPr="0014012E">
              <w:t xml:space="preserve">Price level </w:t>
            </w:r>
            <w:r w:rsidR="005D142E">
              <w:t>(</w:t>
            </w:r>
            <w:r w:rsidRPr="0014012E">
              <w:t>ratio</w:t>
            </w:r>
            <w:r w:rsidR="005D142E">
              <w:t>)</w:t>
            </w:r>
            <w:r w:rsidRPr="0014012E">
              <w:t xml:space="preserve"> </w:t>
            </w:r>
          </w:p>
        </w:tc>
        <w:tc>
          <w:tcPr>
            <w:tcW w:w="1631" w:type="dxa"/>
            <w:vMerge/>
          </w:tcPr>
          <w:p w14:paraId="7111F332" w14:textId="77777777" w:rsidR="007E48B3" w:rsidRPr="0014012E" w:rsidRDefault="007E48B3" w:rsidP="00416373">
            <w:pPr>
              <w:bidi w:val="0"/>
              <w:rPr>
                <w:rtl/>
              </w:rPr>
            </w:pPr>
          </w:p>
        </w:tc>
      </w:tr>
      <w:tr w:rsidR="007E48B3" w:rsidRPr="003A3484" w14:paraId="7B1E6FD4" w14:textId="77777777" w:rsidTr="00416373">
        <w:tc>
          <w:tcPr>
            <w:tcW w:w="1247" w:type="dxa"/>
          </w:tcPr>
          <w:p w14:paraId="4F274B42" w14:textId="77777777" w:rsidR="007E48B3" w:rsidRPr="0014012E" w:rsidRDefault="007E48B3" w:rsidP="00416373">
            <w:pPr>
              <w:jc w:val="right"/>
            </w:pPr>
            <w:r w:rsidRPr="0014012E">
              <w:t>2000-2019</w:t>
            </w:r>
          </w:p>
        </w:tc>
        <w:tc>
          <w:tcPr>
            <w:tcW w:w="1122" w:type="dxa"/>
          </w:tcPr>
          <w:p w14:paraId="317F0D14" w14:textId="77777777" w:rsidR="007E48B3" w:rsidRPr="0014012E" w:rsidRDefault="007E48B3" w:rsidP="00416373">
            <w:pPr>
              <w:jc w:val="right"/>
              <w:rPr>
                <w:rtl/>
              </w:rPr>
            </w:pPr>
            <w:r w:rsidRPr="0014012E">
              <w:t xml:space="preserve">PMA, TASE </w:t>
            </w:r>
          </w:p>
        </w:tc>
        <w:tc>
          <w:tcPr>
            <w:tcW w:w="5360" w:type="dxa"/>
          </w:tcPr>
          <w:p w14:paraId="72257388" w14:textId="0276D5D2" w:rsidR="007E48B3" w:rsidRPr="0014012E" w:rsidRDefault="007E48B3" w:rsidP="00416373">
            <w:pPr>
              <w:jc w:val="right"/>
              <w:rPr>
                <w:rtl/>
              </w:rPr>
            </w:pPr>
            <w:r w:rsidRPr="0014012E">
              <w:t xml:space="preserve">Market capitalization </w:t>
            </w:r>
            <w:r w:rsidR="005D142E">
              <w:t>(</w:t>
            </w:r>
            <w:r w:rsidRPr="0014012E">
              <w:t>ratio</w:t>
            </w:r>
            <w:r w:rsidR="005D142E">
              <w:t>)</w:t>
            </w:r>
            <w:r w:rsidRPr="0014012E">
              <w:t xml:space="preserve"> </w:t>
            </w:r>
          </w:p>
        </w:tc>
        <w:tc>
          <w:tcPr>
            <w:tcW w:w="1631" w:type="dxa"/>
            <w:vMerge/>
          </w:tcPr>
          <w:p w14:paraId="21CE1C3F" w14:textId="77777777" w:rsidR="007E48B3" w:rsidRPr="0014012E" w:rsidRDefault="007E48B3" w:rsidP="00416373">
            <w:pPr>
              <w:bidi w:val="0"/>
              <w:rPr>
                <w:rtl/>
              </w:rPr>
            </w:pPr>
          </w:p>
        </w:tc>
      </w:tr>
      <w:tr w:rsidR="007E48B3" w:rsidRPr="003A3484" w14:paraId="26050C4A" w14:textId="77777777" w:rsidTr="00416373">
        <w:tc>
          <w:tcPr>
            <w:tcW w:w="1247" w:type="dxa"/>
          </w:tcPr>
          <w:p w14:paraId="59B51B24" w14:textId="77777777" w:rsidR="007E48B3" w:rsidRPr="0014012E" w:rsidRDefault="007E48B3" w:rsidP="00416373">
            <w:pPr>
              <w:jc w:val="right"/>
            </w:pPr>
            <w:r w:rsidRPr="0014012E">
              <w:t>1968-2019</w:t>
            </w:r>
          </w:p>
        </w:tc>
        <w:tc>
          <w:tcPr>
            <w:tcW w:w="1122" w:type="dxa"/>
          </w:tcPr>
          <w:p w14:paraId="13DF0920" w14:textId="77777777" w:rsidR="007E48B3" w:rsidRPr="0014012E" w:rsidRDefault="007E48B3" w:rsidP="00416373">
            <w:pPr>
              <w:jc w:val="right"/>
              <w:rPr>
                <w:rtl/>
              </w:rPr>
            </w:pPr>
            <w:r w:rsidRPr="0014012E">
              <w:rPr>
                <w:rFonts w:hint="cs"/>
              </w:rPr>
              <w:t>PCBS</w:t>
            </w:r>
          </w:p>
        </w:tc>
        <w:tc>
          <w:tcPr>
            <w:tcW w:w="5360" w:type="dxa"/>
          </w:tcPr>
          <w:p w14:paraId="6E6DCA51" w14:textId="1D45D6F8" w:rsidR="007E48B3" w:rsidRPr="0014012E" w:rsidRDefault="007E48B3" w:rsidP="00416373">
            <w:pPr>
              <w:jc w:val="right"/>
              <w:rPr>
                <w:rtl/>
              </w:rPr>
            </w:pPr>
            <w:r w:rsidRPr="0014012E">
              <w:t xml:space="preserve">Daily wage </w:t>
            </w:r>
            <w:r w:rsidR="005D142E">
              <w:t>(</w:t>
            </w:r>
            <w:r w:rsidRPr="0014012E">
              <w:t>ratio</w:t>
            </w:r>
            <w:r w:rsidR="005D142E">
              <w:t>)</w:t>
            </w:r>
            <w:r w:rsidRPr="0014012E">
              <w:t xml:space="preserve"> </w:t>
            </w:r>
          </w:p>
        </w:tc>
        <w:tc>
          <w:tcPr>
            <w:tcW w:w="1631" w:type="dxa"/>
            <w:vMerge/>
          </w:tcPr>
          <w:p w14:paraId="04F78063" w14:textId="77777777" w:rsidR="007E48B3" w:rsidRPr="0014012E" w:rsidRDefault="007E48B3" w:rsidP="00416373">
            <w:pPr>
              <w:bidi w:val="0"/>
              <w:rPr>
                <w:rtl/>
              </w:rPr>
            </w:pPr>
          </w:p>
        </w:tc>
      </w:tr>
    </w:tbl>
    <w:bookmarkEnd w:id="5"/>
    <w:p w14:paraId="48EE89A1" w14:textId="77777777" w:rsidR="00C50A40" w:rsidRDefault="00C50A40" w:rsidP="00C50A40">
      <w:pPr>
        <w:pStyle w:val="ListParagraph"/>
        <w:autoSpaceDE w:val="0"/>
        <w:autoSpaceDN w:val="0"/>
        <w:bidi w:val="0"/>
        <w:adjustRightInd w:val="0"/>
        <w:spacing w:after="240" w:line="480" w:lineRule="auto"/>
        <w:ind w:left="851"/>
        <w:jc w:val="both"/>
        <w:rPr>
          <w:rFonts w:asciiTheme="majorBidi" w:hAnsiTheme="majorBidi" w:cstheme="majorBidi"/>
          <w:sz w:val="24"/>
          <w:szCs w:val="24"/>
        </w:rPr>
      </w:pPr>
      <w:r w:rsidRPr="00142615">
        <w:rPr>
          <w:rFonts w:asciiTheme="majorBidi" w:hAnsiTheme="majorBidi" w:cstheme="majorBidi"/>
          <w:sz w:val="24"/>
          <w:szCs w:val="24"/>
        </w:rPr>
        <w:t xml:space="preserve">As can be </w:t>
      </w:r>
      <w:r>
        <w:rPr>
          <w:rFonts w:asciiTheme="majorBidi" w:hAnsiTheme="majorBidi" w:cstheme="majorBidi"/>
          <w:sz w:val="24"/>
          <w:szCs w:val="24"/>
        </w:rPr>
        <w:t>seen</w:t>
      </w:r>
      <w:r w:rsidRPr="00142615">
        <w:rPr>
          <w:rFonts w:asciiTheme="majorBidi" w:hAnsiTheme="majorBidi" w:cstheme="majorBidi"/>
          <w:sz w:val="24"/>
          <w:szCs w:val="24"/>
        </w:rPr>
        <w:t xml:space="preserve"> in table </w:t>
      </w:r>
      <w:r>
        <w:rPr>
          <w:rFonts w:asciiTheme="majorBidi" w:hAnsiTheme="majorBidi" w:cstheme="majorBidi"/>
          <w:sz w:val="24"/>
          <w:szCs w:val="24"/>
        </w:rPr>
        <w:t>1 above</w:t>
      </w:r>
      <w:r w:rsidRPr="00142615">
        <w:rPr>
          <w:rFonts w:asciiTheme="majorBidi" w:hAnsiTheme="majorBidi" w:cstheme="majorBidi"/>
          <w:sz w:val="24"/>
          <w:szCs w:val="24"/>
        </w:rPr>
        <w:t xml:space="preserve">, not all indicators have observations starting in 1968, </w:t>
      </w:r>
      <w:r>
        <w:rPr>
          <w:rFonts w:asciiTheme="majorBidi" w:hAnsiTheme="majorBidi" w:cstheme="majorBidi"/>
          <w:sz w:val="24"/>
          <w:szCs w:val="24"/>
        </w:rPr>
        <w:t>b</w:t>
      </w:r>
      <w:r w:rsidRPr="00CA6C83">
        <w:rPr>
          <w:rFonts w:asciiTheme="majorBidi" w:hAnsiTheme="majorBidi" w:cstheme="majorBidi"/>
          <w:sz w:val="24"/>
          <w:szCs w:val="24"/>
        </w:rPr>
        <w:t>ut rather</w:t>
      </w:r>
      <w:r>
        <w:rPr>
          <w:rFonts w:asciiTheme="majorBidi" w:hAnsiTheme="majorBidi" w:cstheme="majorBidi"/>
          <w:sz w:val="24"/>
          <w:szCs w:val="24"/>
        </w:rPr>
        <w:t xml:space="preserve"> </w:t>
      </w:r>
      <w:r w:rsidRPr="00142615">
        <w:rPr>
          <w:rFonts w:asciiTheme="majorBidi" w:hAnsiTheme="majorBidi" w:cstheme="majorBidi"/>
          <w:sz w:val="24"/>
          <w:szCs w:val="24"/>
        </w:rPr>
        <w:t xml:space="preserve">only from a later period. Our way </w:t>
      </w:r>
      <w:r>
        <w:rPr>
          <w:rFonts w:asciiTheme="majorBidi" w:hAnsiTheme="majorBidi" w:cstheme="majorBidi"/>
          <w:sz w:val="24"/>
          <w:szCs w:val="24"/>
        </w:rPr>
        <w:t>to solve this matching problem</w:t>
      </w:r>
      <w:r w:rsidRPr="00142615">
        <w:rPr>
          <w:rFonts w:asciiTheme="majorBidi" w:hAnsiTheme="majorBidi" w:cstheme="majorBidi"/>
          <w:sz w:val="24"/>
          <w:szCs w:val="24"/>
        </w:rPr>
        <w:t xml:space="preserve"> was to produce several indices that start at different periods and include a different number of indicators. Thus, the more advanced the period, the greater the number of indicators</w:t>
      </w:r>
      <w:r>
        <w:rPr>
          <w:rFonts w:asciiTheme="majorBidi" w:hAnsiTheme="majorBidi" w:cstheme="majorBidi"/>
          <w:sz w:val="24"/>
          <w:szCs w:val="24"/>
        </w:rPr>
        <w:t xml:space="preserve"> and dimensions can be found in the index, as expressed below:</w:t>
      </w:r>
    </w:p>
    <w:p w14:paraId="06841B72" w14:textId="77777777" w:rsidR="007E48B3" w:rsidRDefault="007E48B3" w:rsidP="007E48B3">
      <w:pPr>
        <w:pStyle w:val="ListParagraph"/>
        <w:numPr>
          <w:ilvl w:val="0"/>
          <w:numId w:val="18"/>
        </w:numPr>
        <w:autoSpaceDE w:val="0"/>
        <w:autoSpaceDN w:val="0"/>
        <w:bidi w:val="0"/>
        <w:adjustRightInd w:val="0"/>
        <w:spacing w:after="240" w:line="480" w:lineRule="auto"/>
        <w:jc w:val="both"/>
        <w:rPr>
          <w:rFonts w:ascii="Times New Roman" w:hAnsi="Times New Roman" w:cs="David"/>
          <w:sz w:val="24"/>
          <w:szCs w:val="24"/>
        </w:rPr>
      </w:pPr>
      <w:r w:rsidRPr="00F71D13">
        <w:rPr>
          <w:rFonts w:ascii="Times New Roman" w:hAnsi="Times New Roman" w:cs="David"/>
          <w:sz w:val="24"/>
          <w:szCs w:val="24"/>
        </w:rPr>
        <w:t xml:space="preserve">the </w:t>
      </w:r>
      <w:r>
        <w:rPr>
          <w:rFonts w:ascii="Times New Roman" w:hAnsi="Times New Roman" w:cs="David"/>
          <w:sz w:val="24"/>
          <w:szCs w:val="24"/>
        </w:rPr>
        <w:t>index</w:t>
      </w:r>
      <w:r w:rsidRPr="00F71D13">
        <w:rPr>
          <w:rFonts w:ascii="Times New Roman" w:hAnsi="Times New Roman" w:cs="David"/>
          <w:sz w:val="24"/>
          <w:szCs w:val="24"/>
        </w:rPr>
        <w:t xml:space="preserve"> starting in 1968 includes</w:t>
      </w:r>
      <w:r>
        <w:rPr>
          <w:rFonts w:ascii="Times New Roman" w:hAnsi="Times New Roman" w:cs="David"/>
          <w:sz w:val="24"/>
          <w:szCs w:val="24"/>
        </w:rPr>
        <w:t xml:space="preserve"> 3 dimensions</w:t>
      </w:r>
      <w:r w:rsidRPr="00F71D13">
        <w:rPr>
          <w:rFonts w:ascii="Times New Roman" w:hAnsi="Times New Roman" w:cs="David"/>
          <w:sz w:val="24"/>
          <w:szCs w:val="24"/>
        </w:rPr>
        <w:t xml:space="preserve"> </w:t>
      </w:r>
      <w:r>
        <w:rPr>
          <w:rFonts w:ascii="Times New Roman" w:hAnsi="Times New Roman" w:cs="David"/>
          <w:sz w:val="24"/>
          <w:szCs w:val="24"/>
        </w:rPr>
        <w:t>and</w:t>
      </w:r>
      <w:r w:rsidRPr="00F71D13">
        <w:rPr>
          <w:rFonts w:ascii="Times New Roman" w:hAnsi="Times New Roman" w:cs="David"/>
          <w:sz w:val="24"/>
          <w:szCs w:val="24"/>
        </w:rPr>
        <w:t xml:space="preserve"> 6 indicators, </w:t>
      </w:r>
    </w:p>
    <w:p w14:paraId="151D9A84" w14:textId="77777777" w:rsidR="007E48B3" w:rsidRDefault="007E48B3" w:rsidP="007E48B3">
      <w:pPr>
        <w:pStyle w:val="ListParagraph"/>
        <w:numPr>
          <w:ilvl w:val="0"/>
          <w:numId w:val="18"/>
        </w:numPr>
        <w:autoSpaceDE w:val="0"/>
        <w:autoSpaceDN w:val="0"/>
        <w:bidi w:val="0"/>
        <w:adjustRightInd w:val="0"/>
        <w:spacing w:after="240" w:line="480" w:lineRule="auto"/>
        <w:jc w:val="both"/>
        <w:rPr>
          <w:rFonts w:ascii="Times New Roman" w:hAnsi="Times New Roman" w:cs="David"/>
          <w:sz w:val="24"/>
          <w:szCs w:val="24"/>
        </w:rPr>
      </w:pPr>
      <w:r w:rsidRPr="00F71D13">
        <w:rPr>
          <w:rFonts w:ascii="Times New Roman" w:hAnsi="Times New Roman" w:cs="David"/>
          <w:sz w:val="24"/>
          <w:szCs w:val="24"/>
        </w:rPr>
        <w:t xml:space="preserve">the </w:t>
      </w:r>
      <w:r>
        <w:rPr>
          <w:rFonts w:ascii="Times New Roman" w:hAnsi="Times New Roman" w:cs="David"/>
          <w:sz w:val="24"/>
          <w:szCs w:val="24"/>
        </w:rPr>
        <w:t>index</w:t>
      </w:r>
      <w:r w:rsidRPr="00F71D13">
        <w:rPr>
          <w:rFonts w:ascii="Times New Roman" w:hAnsi="Times New Roman" w:cs="David"/>
          <w:sz w:val="24"/>
          <w:szCs w:val="24"/>
        </w:rPr>
        <w:t xml:space="preserve"> starting in 1996 includes</w:t>
      </w:r>
      <w:r>
        <w:rPr>
          <w:rFonts w:ascii="Times New Roman" w:hAnsi="Times New Roman" w:cs="David"/>
          <w:sz w:val="24"/>
          <w:szCs w:val="24"/>
        </w:rPr>
        <w:t xml:space="preserve"> 4 dimensions and</w:t>
      </w:r>
      <w:r w:rsidRPr="00F71D13">
        <w:rPr>
          <w:rFonts w:ascii="Times New Roman" w:hAnsi="Times New Roman" w:cs="David"/>
          <w:sz w:val="24"/>
          <w:szCs w:val="24"/>
        </w:rPr>
        <w:t xml:space="preserve"> 1</w:t>
      </w:r>
      <w:r>
        <w:rPr>
          <w:rFonts w:ascii="Times New Roman" w:hAnsi="Times New Roman" w:cs="David"/>
          <w:sz w:val="24"/>
          <w:szCs w:val="24"/>
        </w:rPr>
        <w:t>0</w:t>
      </w:r>
      <w:r w:rsidRPr="00F71D13">
        <w:rPr>
          <w:rFonts w:ascii="Times New Roman" w:hAnsi="Times New Roman" w:cs="David"/>
          <w:sz w:val="24"/>
          <w:szCs w:val="24"/>
        </w:rPr>
        <w:t xml:space="preserve"> indicators, </w:t>
      </w:r>
    </w:p>
    <w:p w14:paraId="2BBD72FA" w14:textId="77777777" w:rsidR="007E48B3" w:rsidRDefault="007E48B3" w:rsidP="007E48B3">
      <w:pPr>
        <w:pStyle w:val="ListParagraph"/>
        <w:numPr>
          <w:ilvl w:val="0"/>
          <w:numId w:val="18"/>
        </w:numPr>
        <w:autoSpaceDE w:val="0"/>
        <w:autoSpaceDN w:val="0"/>
        <w:bidi w:val="0"/>
        <w:adjustRightInd w:val="0"/>
        <w:spacing w:after="240" w:line="480" w:lineRule="auto"/>
        <w:jc w:val="both"/>
        <w:rPr>
          <w:rFonts w:ascii="Times New Roman" w:hAnsi="Times New Roman" w:cs="David"/>
          <w:sz w:val="24"/>
          <w:szCs w:val="24"/>
        </w:rPr>
      </w:pPr>
      <w:r w:rsidRPr="00F71D13">
        <w:rPr>
          <w:rFonts w:ascii="Times New Roman" w:hAnsi="Times New Roman" w:cs="David"/>
          <w:sz w:val="24"/>
          <w:szCs w:val="24"/>
        </w:rPr>
        <w:t xml:space="preserve">the </w:t>
      </w:r>
      <w:r>
        <w:rPr>
          <w:rFonts w:ascii="Times New Roman" w:hAnsi="Times New Roman" w:cs="David"/>
          <w:sz w:val="24"/>
          <w:szCs w:val="24"/>
        </w:rPr>
        <w:t>index</w:t>
      </w:r>
      <w:r w:rsidRPr="00F71D13">
        <w:rPr>
          <w:rFonts w:ascii="Times New Roman" w:hAnsi="Times New Roman" w:cs="David"/>
          <w:sz w:val="24"/>
          <w:szCs w:val="24"/>
        </w:rPr>
        <w:t xml:space="preserve"> starting in 2000 includes</w:t>
      </w:r>
      <w:r>
        <w:rPr>
          <w:rFonts w:ascii="Times New Roman" w:hAnsi="Times New Roman" w:cs="David"/>
          <w:sz w:val="24"/>
          <w:szCs w:val="24"/>
        </w:rPr>
        <w:t xml:space="preserve"> 5 dimensions</w:t>
      </w:r>
      <w:r w:rsidRPr="00F71D13">
        <w:rPr>
          <w:rFonts w:ascii="Times New Roman" w:hAnsi="Times New Roman" w:cs="David"/>
          <w:sz w:val="24"/>
          <w:szCs w:val="24"/>
        </w:rPr>
        <w:t xml:space="preserve"> </w:t>
      </w:r>
      <w:r>
        <w:rPr>
          <w:rFonts w:ascii="Times New Roman" w:hAnsi="Times New Roman" w:cs="David"/>
          <w:sz w:val="24"/>
          <w:szCs w:val="24"/>
        </w:rPr>
        <w:t xml:space="preserve">and </w:t>
      </w:r>
      <w:r w:rsidRPr="00F71D13">
        <w:rPr>
          <w:rFonts w:ascii="Times New Roman" w:hAnsi="Times New Roman" w:cs="David"/>
          <w:sz w:val="24"/>
          <w:szCs w:val="24"/>
        </w:rPr>
        <w:t>1</w:t>
      </w:r>
      <w:r>
        <w:rPr>
          <w:rFonts w:ascii="Times New Roman" w:hAnsi="Times New Roman" w:cs="David"/>
          <w:sz w:val="24"/>
          <w:szCs w:val="24"/>
        </w:rPr>
        <w:t>5</w:t>
      </w:r>
      <w:r w:rsidRPr="00F71D13">
        <w:rPr>
          <w:rFonts w:ascii="Times New Roman" w:hAnsi="Times New Roman" w:cs="David"/>
          <w:sz w:val="24"/>
          <w:szCs w:val="24"/>
        </w:rPr>
        <w:t xml:space="preserve"> indicators, </w:t>
      </w:r>
    </w:p>
    <w:p w14:paraId="1DF09D11" w14:textId="77777777" w:rsidR="007E48B3" w:rsidRPr="003B3BF5" w:rsidRDefault="007E48B3" w:rsidP="007E48B3">
      <w:pPr>
        <w:pStyle w:val="ListParagraph"/>
        <w:numPr>
          <w:ilvl w:val="0"/>
          <w:numId w:val="18"/>
        </w:numPr>
        <w:autoSpaceDE w:val="0"/>
        <w:autoSpaceDN w:val="0"/>
        <w:bidi w:val="0"/>
        <w:adjustRightInd w:val="0"/>
        <w:spacing w:after="240" w:line="480" w:lineRule="auto"/>
        <w:jc w:val="both"/>
        <w:rPr>
          <w:rFonts w:ascii="Times New Roman" w:hAnsi="Times New Roman" w:cs="David"/>
          <w:sz w:val="24"/>
          <w:szCs w:val="24"/>
        </w:rPr>
      </w:pPr>
      <w:r w:rsidRPr="00F71D13">
        <w:rPr>
          <w:rFonts w:ascii="Times New Roman" w:hAnsi="Times New Roman" w:cs="David"/>
          <w:sz w:val="24"/>
          <w:szCs w:val="24"/>
        </w:rPr>
        <w:t xml:space="preserve">the </w:t>
      </w:r>
      <w:r>
        <w:rPr>
          <w:rFonts w:ascii="Times New Roman" w:hAnsi="Times New Roman" w:cs="David"/>
          <w:sz w:val="24"/>
          <w:szCs w:val="24"/>
        </w:rPr>
        <w:t>index</w:t>
      </w:r>
      <w:r w:rsidRPr="00D72F8E">
        <w:rPr>
          <w:rFonts w:ascii="Times New Roman" w:hAnsi="Times New Roman" w:cs="David"/>
          <w:sz w:val="24"/>
          <w:szCs w:val="24"/>
        </w:rPr>
        <w:t xml:space="preserve"> </w:t>
      </w:r>
      <w:r w:rsidRPr="00F71D13">
        <w:rPr>
          <w:rFonts w:ascii="Times New Roman" w:hAnsi="Times New Roman" w:cs="David"/>
          <w:sz w:val="24"/>
          <w:szCs w:val="24"/>
        </w:rPr>
        <w:t>starting in 2010 includes</w:t>
      </w:r>
      <w:r>
        <w:rPr>
          <w:rFonts w:ascii="Times New Roman" w:hAnsi="Times New Roman" w:cs="David"/>
          <w:sz w:val="24"/>
          <w:szCs w:val="24"/>
        </w:rPr>
        <w:t xml:space="preserve"> 5 dimensions and</w:t>
      </w:r>
      <w:r w:rsidRPr="00F71D13">
        <w:rPr>
          <w:rFonts w:ascii="Times New Roman" w:hAnsi="Times New Roman" w:cs="David"/>
          <w:sz w:val="24"/>
          <w:szCs w:val="24"/>
        </w:rPr>
        <w:t xml:space="preserve"> 24 indicators</w:t>
      </w:r>
    </w:p>
    <w:p w14:paraId="32C64A27" w14:textId="77777777" w:rsidR="007E48B3" w:rsidRDefault="007E48B3" w:rsidP="007E48B3">
      <w:pPr>
        <w:pStyle w:val="ListParagraph"/>
        <w:autoSpaceDE w:val="0"/>
        <w:autoSpaceDN w:val="0"/>
        <w:bidi w:val="0"/>
        <w:adjustRightInd w:val="0"/>
        <w:spacing w:after="240" w:line="480" w:lineRule="auto"/>
        <w:ind w:left="851"/>
        <w:jc w:val="both"/>
        <w:rPr>
          <w:rFonts w:asciiTheme="majorBidi" w:hAnsiTheme="majorBidi" w:cstheme="majorBidi"/>
          <w:sz w:val="24"/>
          <w:szCs w:val="24"/>
        </w:rPr>
      </w:pPr>
      <w:r w:rsidRPr="00D36641">
        <w:rPr>
          <w:rFonts w:asciiTheme="majorBidi" w:hAnsiTheme="majorBidi" w:cstheme="majorBidi"/>
          <w:sz w:val="24"/>
          <w:szCs w:val="24"/>
        </w:rPr>
        <w:t xml:space="preserve">Additional explanations and graphs of the indicators that make up the integration </w:t>
      </w:r>
      <w:r>
        <w:rPr>
          <w:rFonts w:asciiTheme="majorBidi" w:hAnsiTheme="majorBidi" w:cstheme="majorBidi"/>
          <w:sz w:val="24"/>
          <w:szCs w:val="24"/>
        </w:rPr>
        <w:t>indices</w:t>
      </w:r>
      <w:r w:rsidRPr="00D36641">
        <w:rPr>
          <w:rFonts w:asciiTheme="majorBidi" w:hAnsiTheme="majorBidi" w:cstheme="majorBidi"/>
          <w:sz w:val="24"/>
          <w:szCs w:val="24"/>
        </w:rPr>
        <w:t xml:space="preserve"> can be found in </w:t>
      </w:r>
      <w:r w:rsidRPr="00D96A24">
        <w:rPr>
          <w:rFonts w:asciiTheme="majorBidi" w:hAnsiTheme="majorBidi" w:cstheme="majorBidi"/>
          <w:b/>
          <w:bCs/>
          <w:sz w:val="24"/>
          <w:szCs w:val="24"/>
        </w:rPr>
        <w:t xml:space="preserve">Appendix </w:t>
      </w:r>
      <w:r>
        <w:rPr>
          <w:rFonts w:asciiTheme="majorBidi" w:hAnsiTheme="majorBidi" w:cstheme="majorBidi"/>
          <w:b/>
          <w:bCs/>
          <w:sz w:val="24"/>
          <w:szCs w:val="24"/>
        </w:rPr>
        <w:t>I</w:t>
      </w:r>
      <w:r w:rsidRPr="00D36641">
        <w:rPr>
          <w:rFonts w:asciiTheme="majorBidi" w:hAnsiTheme="majorBidi" w:cstheme="majorBidi"/>
          <w:sz w:val="24"/>
          <w:szCs w:val="24"/>
        </w:rPr>
        <w:t>.</w:t>
      </w:r>
    </w:p>
    <w:p w14:paraId="7C177DC0" w14:textId="77777777" w:rsidR="007E48B3" w:rsidRPr="005463FB" w:rsidRDefault="007E48B3" w:rsidP="007E48B3">
      <w:pPr>
        <w:pStyle w:val="ListParagraph"/>
        <w:autoSpaceDE w:val="0"/>
        <w:autoSpaceDN w:val="0"/>
        <w:bidi w:val="0"/>
        <w:adjustRightInd w:val="0"/>
        <w:spacing w:before="240" w:line="480" w:lineRule="auto"/>
        <w:ind w:left="851"/>
        <w:contextualSpacing w:val="0"/>
        <w:rPr>
          <w:rFonts w:asciiTheme="majorBidi" w:hAnsiTheme="majorBidi" w:cstheme="majorBidi"/>
          <w:b/>
          <w:bCs/>
          <w:sz w:val="24"/>
          <w:szCs w:val="24"/>
          <w:u w:val="single"/>
        </w:rPr>
      </w:pPr>
      <w:r w:rsidRPr="005463FB">
        <w:rPr>
          <w:rFonts w:asciiTheme="majorBidi" w:hAnsiTheme="majorBidi" w:cstheme="majorBidi"/>
          <w:b/>
          <w:bCs/>
          <w:sz w:val="24"/>
          <w:szCs w:val="24"/>
          <w:u w:val="single"/>
        </w:rPr>
        <w:t>Normalization method</w:t>
      </w:r>
    </w:p>
    <w:p w14:paraId="0D5D13F4" w14:textId="77777777" w:rsidR="00C50A40" w:rsidRPr="008C365E" w:rsidRDefault="00C50A40" w:rsidP="00C50A40">
      <w:pPr>
        <w:bidi w:val="0"/>
        <w:spacing w:line="480" w:lineRule="auto"/>
        <w:ind w:left="851"/>
        <w:jc w:val="both"/>
        <w:rPr>
          <w:rFonts w:asciiTheme="majorBidi" w:hAnsiTheme="majorBidi" w:cstheme="majorBidi"/>
          <w:sz w:val="24"/>
          <w:szCs w:val="24"/>
        </w:rPr>
      </w:pPr>
      <w:r w:rsidRPr="00D36641">
        <w:rPr>
          <w:rFonts w:asciiTheme="majorBidi" w:hAnsiTheme="majorBidi" w:cstheme="majorBidi"/>
          <w:sz w:val="24"/>
          <w:szCs w:val="24"/>
        </w:rPr>
        <w:t>ISWBGII is made up of varied indicators measured in different units</w:t>
      </w:r>
      <w:r>
        <w:rPr>
          <w:rFonts w:asciiTheme="majorBidi" w:hAnsiTheme="majorBidi" w:cstheme="majorBidi"/>
          <w:sz w:val="24"/>
          <w:szCs w:val="24"/>
        </w:rPr>
        <w:t>,</w:t>
      </w:r>
      <w:r w:rsidRPr="00D36641">
        <w:rPr>
          <w:rFonts w:asciiTheme="majorBidi" w:hAnsiTheme="majorBidi" w:cstheme="majorBidi"/>
          <w:sz w:val="24"/>
          <w:szCs w:val="24"/>
        </w:rPr>
        <w:t xml:space="preserve"> from the </w:t>
      </w:r>
      <w:r>
        <w:rPr>
          <w:rFonts w:asciiTheme="majorBidi" w:hAnsiTheme="majorBidi" w:cstheme="majorBidi"/>
          <w:sz w:val="24"/>
          <w:szCs w:val="24"/>
        </w:rPr>
        <w:t>s</w:t>
      </w:r>
      <w:r w:rsidRPr="00D36641">
        <w:rPr>
          <w:rFonts w:asciiTheme="majorBidi" w:hAnsiTheme="majorBidi" w:cstheme="majorBidi"/>
          <w:sz w:val="24"/>
          <w:szCs w:val="24"/>
        </w:rPr>
        <w:t xml:space="preserve">hare of NIS deposits in the Palestinian banking system to Palestinians employed in Israel out of total </w:t>
      </w:r>
      <w:r w:rsidRPr="003A3484">
        <w:rPr>
          <w:rFonts w:asciiTheme="majorBidi" w:hAnsiTheme="majorBidi" w:cstheme="majorBidi"/>
          <w:sz w:val="24"/>
          <w:szCs w:val="24"/>
        </w:rPr>
        <w:t>Palestinian</w:t>
      </w:r>
      <w:r w:rsidRPr="00D36641">
        <w:rPr>
          <w:rFonts w:asciiTheme="majorBidi" w:hAnsiTheme="majorBidi" w:cstheme="majorBidi"/>
          <w:sz w:val="24"/>
          <w:szCs w:val="24"/>
        </w:rPr>
        <w:t xml:space="preserve"> </w:t>
      </w:r>
      <w:r>
        <w:rPr>
          <w:rFonts w:asciiTheme="majorBidi" w:hAnsiTheme="majorBidi" w:cstheme="majorBidi"/>
          <w:sz w:val="24"/>
          <w:szCs w:val="24"/>
        </w:rPr>
        <w:t>i</w:t>
      </w:r>
      <w:r w:rsidRPr="00D36641">
        <w:rPr>
          <w:rFonts w:asciiTheme="majorBidi" w:hAnsiTheme="majorBidi" w:cstheme="majorBidi"/>
          <w:sz w:val="24"/>
          <w:szCs w:val="24"/>
        </w:rPr>
        <w:t>ndividuals</w:t>
      </w:r>
      <w:r w:rsidRPr="00CF1382">
        <w:rPr>
          <w:rFonts w:asciiTheme="majorBidi" w:hAnsiTheme="majorBidi" w:cstheme="majorBidi"/>
          <w:sz w:val="24"/>
          <w:szCs w:val="24"/>
        </w:rPr>
        <w:t xml:space="preserve"> </w:t>
      </w:r>
      <w:r w:rsidRPr="00D36641">
        <w:rPr>
          <w:rFonts w:asciiTheme="majorBidi" w:hAnsiTheme="majorBidi" w:cstheme="majorBidi"/>
          <w:sz w:val="24"/>
          <w:szCs w:val="24"/>
        </w:rPr>
        <w:t>employed.</w:t>
      </w:r>
      <w:r>
        <w:rPr>
          <w:rFonts w:asciiTheme="majorBidi" w:hAnsiTheme="majorBidi" w:cstheme="majorBidi"/>
          <w:sz w:val="24"/>
          <w:szCs w:val="24"/>
        </w:rPr>
        <w:t xml:space="preserve"> A</w:t>
      </w:r>
      <w:r w:rsidRPr="008C365E">
        <w:rPr>
          <w:rFonts w:asciiTheme="majorBidi" w:hAnsiTheme="majorBidi" w:cstheme="majorBidi"/>
          <w:sz w:val="24"/>
          <w:szCs w:val="24"/>
        </w:rPr>
        <w:t xml:space="preserve"> common scale</w:t>
      </w:r>
      <w:r>
        <w:rPr>
          <w:rFonts w:asciiTheme="majorBidi" w:hAnsiTheme="majorBidi" w:cstheme="majorBidi"/>
          <w:sz w:val="24"/>
          <w:szCs w:val="24"/>
        </w:rPr>
        <w:t xml:space="preserve"> (n</w:t>
      </w:r>
      <w:r w:rsidRPr="008F24E0">
        <w:rPr>
          <w:rFonts w:asciiTheme="majorBidi" w:hAnsiTheme="majorBidi" w:cstheme="majorBidi"/>
          <w:sz w:val="24"/>
          <w:szCs w:val="24"/>
        </w:rPr>
        <w:t>ormalization</w:t>
      </w:r>
      <w:r>
        <w:rPr>
          <w:rFonts w:asciiTheme="majorBidi" w:hAnsiTheme="majorBidi" w:cstheme="majorBidi"/>
          <w:sz w:val="24"/>
          <w:szCs w:val="24"/>
        </w:rPr>
        <w:t>)</w:t>
      </w:r>
      <w:r w:rsidRPr="008C365E">
        <w:rPr>
          <w:rFonts w:asciiTheme="majorBidi" w:hAnsiTheme="majorBidi" w:cstheme="majorBidi"/>
          <w:sz w:val="24"/>
          <w:szCs w:val="24"/>
        </w:rPr>
        <w:t xml:space="preserve"> </w:t>
      </w:r>
      <w:r w:rsidRPr="008F24E0">
        <w:rPr>
          <w:rFonts w:asciiTheme="majorBidi" w:hAnsiTheme="majorBidi" w:cstheme="majorBidi"/>
          <w:sz w:val="24"/>
          <w:szCs w:val="24"/>
        </w:rPr>
        <w:t>is</w:t>
      </w:r>
      <w:r>
        <w:rPr>
          <w:rFonts w:asciiTheme="majorBidi" w:hAnsiTheme="majorBidi" w:cstheme="majorBidi"/>
          <w:sz w:val="24"/>
          <w:szCs w:val="24"/>
        </w:rPr>
        <w:t xml:space="preserve"> thus</w:t>
      </w:r>
      <w:r w:rsidRPr="008F24E0">
        <w:rPr>
          <w:rFonts w:asciiTheme="majorBidi" w:hAnsiTheme="majorBidi" w:cstheme="majorBidi"/>
          <w:sz w:val="24"/>
          <w:szCs w:val="24"/>
        </w:rPr>
        <w:t xml:space="preserve"> required prior to aggregation</w:t>
      </w:r>
      <w:r>
        <w:rPr>
          <w:rFonts w:asciiTheme="majorBidi" w:hAnsiTheme="majorBidi" w:cstheme="majorBidi"/>
          <w:sz w:val="24"/>
          <w:szCs w:val="24"/>
        </w:rPr>
        <w:t>.</w:t>
      </w:r>
      <w:r w:rsidRPr="00F13B0D">
        <w:rPr>
          <w:rFonts w:asciiTheme="majorBidi" w:hAnsiTheme="majorBidi" w:cstheme="majorBidi"/>
          <w:sz w:val="24"/>
          <w:szCs w:val="24"/>
        </w:rPr>
        <w:t xml:space="preserve"> </w:t>
      </w:r>
      <w:r w:rsidRPr="008F24E0">
        <w:rPr>
          <w:rFonts w:asciiTheme="majorBidi" w:hAnsiTheme="majorBidi" w:cstheme="majorBidi"/>
          <w:sz w:val="24"/>
          <w:szCs w:val="24"/>
        </w:rPr>
        <w:t xml:space="preserve">We adopt min–max rescaling, which has been used in several </w:t>
      </w:r>
      <w:r>
        <w:rPr>
          <w:rFonts w:asciiTheme="majorBidi" w:hAnsiTheme="majorBidi" w:cstheme="majorBidi"/>
          <w:sz w:val="24"/>
          <w:szCs w:val="24"/>
        </w:rPr>
        <w:t>integration indexes mentioned above</w:t>
      </w:r>
      <w:r>
        <w:rPr>
          <w:rStyle w:val="FootnoteReference"/>
          <w:rFonts w:asciiTheme="majorBidi" w:hAnsiTheme="majorBidi" w:cstheme="majorBidi"/>
          <w:sz w:val="24"/>
          <w:szCs w:val="24"/>
        </w:rPr>
        <w:footnoteReference w:id="50"/>
      </w:r>
      <w:r>
        <w:rPr>
          <w:rFonts w:asciiTheme="majorBidi" w:hAnsiTheme="majorBidi" w:cstheme="majorBidi"/>
          <w:sz w:val="24"/>
          <w:szCs w:val="24"/>
        </w:rPr>
        <w:t>. T</w:t>
      </w:r>
      <w:r w:rsidRPr="008C365E">
        <w:rPr>
          <w:rFonts w:asciiTheme="majorBidi" w:hAnsiTheme="majorBidi" w:cstheme="majorBidi"/>
          <w:sz w:val="24"/>
          <w:szCs w:val="24"/>
        </w:rPr>
        <w:t>he indicators are normalized so</w:t>
      </w:r>
      <w:r>
        <w:rPr>
          <w:rFonts w:asciiTheme="majorBidi" w:hAnsiTheme="majorBidi" w:cstheme="majorBidi"/>
          <w:sz w:val="24"/>
          <w:szCs w:val="24"/>
        </w:rPr>
        <w:t xml:space="preserve"> </w:t>
      </w:r>
      <w:r w:rsidRPr="008C365E">
        <w:rPr>
          <w:rFonts w:asciiTheme="majorBidi" w:hAnsiTheme="majorBidi" w:cstheme="majorBidi"/>
          <w:sz w:val="24"/>
          <w:szCs w:val="24"/>
        </w:rPr>
        <w:t>that they range between 0 and 1</w:t>
      </w:r>
      <w:r>
        <w:rPr>
          <w:rFonts w:asciiTheme="majorBidi" w:hAnsiTheme="majorBidi" w:cstheme="majorBidi"/>
          <w:sz w:val="24"/>
          <w:szCs w:val="24"/>
        </w:rPr>
        <w:t>,</w:t>
      </w:r>
      <w:r w:rsidRPr="008C365E">
        <w:rPr>
          <w:rFonts w:asciiTheme="majorBidi" w:hAnsiTheme="majorBidi" w:cstheme="majorBidi"/>
          <w:sz w:val="24"/>
          <w:szCs w:val="24"/>
        </w:rPr>
        <w:t xml:space="preserve"> where 0 denotes the lowest integration level and 1 the</w:t>
      </w:r>
      <w:r>
        <w:rPr>
          <w:rFonts w:asciiTheme="majorBidi" w:hAnsiTheme="majorBidi" w:cstheme="majorBidi"/>
          <w:sz w:val="24"/>
          <w:szCs w:val="24"/>
        </w:rPr>
        <w:t xml:space="preserve"> </w:t>
      </w:r>
      <w:r w:rsidRPr="008C365E">
        <w:rPr>
          <w:rFonts w:asciiTheme="majorBidi" w:hAnsiTheme="majorBidi" w:cstheme="majorBidi"/>
          <w:sz w:val="24"/>
          <w:szCs w:val="24"/>
        </w:rPr>
        <w:t>highest level</w:t>
      </w:r>
      <w:r>
        <w:rPr>
          <w:rFonts w:asciiTheme="majorBidi" w:hAnsiTheme="majorBidi" w:cstheme="majorBidi"/>
          <w:sz w:val="24"/>
          <w:szCs w:val="24"/>
        </w:rPr>
        <w:t>:</w:t>
      </w:r>
      <w:r w:rsidRPr="008C365E">
        <w:rPr>
          <w:rFonts w:asciiTheme="majorBidi" w:hAnsiTheme="majorBidi" w:cstheme="majorBidi"/>
          <w:sz w:val="24"/>
          <w:szCs w:val="24"/>
        </w:rPr>
        <w:t xml:space="preserve"> </w:t>
      </w:r>
    </w:p>
    <w:p w14:paraId="46D33083" w14:textId="77777777" w:rsidR="007E48B3" w:rsidRPr="00B93987" w:rsidRDefault="00C27BF5" w:rsidP="007E48B3">
      <w:pPr>
        <w:pStyle w:val="ListParagraph"/>
        <w:autoSpaceDE w:val="0"/>
        <w:autoSpaceDN w:val="0"/>
        <w:bidi w:val="0"/>
        <w:adjustRightInd w:val="0"/>
        <w:spacing w:after="240"/>
        <w:ind w:left="851"/>
        <w:rPr>
          <w:rFonts w:asciiTheme="majorBidi" w:hAnsiTheme="majorBidi" w:cstheme="majorBidi"/>
          <w:b/>
          <w:bCs/>
          <w:sz w:val="28"/>
          <w:szCs w:val="28"/>
        </w:rPr>
      </w:pPr>
      <m:oMathPara>
        <m:oMath>
          <m:f>
            <m:fPr>
              <m:ctrlPr>
                <w:rPr>
                  <w:rFonts w:ascii="Cambria Math" w:hAnsi="Cambria Math" w:cstheme="majorBidi"/>
                  <w:i/>
                  <w:sz w:val="24"/>
                  <w:szCs w:val="24"/>
                </w:rPr>
              </m:ctrlPr>
            </m:fPr>
            <m:num>
              <m:r>
                <w:rPr>
                  <w:rFonts w:ascii="Cambria Math" w:hAnsi="Cambria Math" w:cstheme="majorBidi"/>
                  <w:sz w:val="24"/>
                  <w:szCs w:val="24"/>
                </w:rPr>
                <m:t>Value-Min</m:t>
              </m:r>
            </m:num>
            <m:den>
              <m:r>
                <w:rPr>
                  <w:rFonts w:ascii="Cambria Math" w:hAnsi="Cambria Math" w:cstheme="majorBidi"/>
                  <w:sz w:val="24"/>
                  <w:szCs w:val="24"/>
                </w:rPr>
                <m:t>Max-Min</m:t>
              </m:r>
            </m:den>
          </m:f>
        </m:oMath>
      </m:oMathPara>
    </w:p>
    <w:p w14:paraId="2EF8E643" w14:textId="77777777" w:rsidR="007E48B3" w:rsidRDefault="007E48B3" w:rsidP="007E48B3">
      <w:pPr>
        <w:pStyle w:val="ListParagraph"/>
        <w:bidi w:val="0"/>
        <w:spacing w:line="480" w:lineRule="auto"/>
        <w:ind w:left="792"/>
        <w:jc w:val="both"/>
        <w:rPr>
          <w:rFonts w:asciiTheme="majorBidi" w:hAnsiTheme="majorBidi" w:cstheme="majorBidi"/>
          <w:b/>
          <w:bCs/>
          <w:sz w:val="24"/>
          <w:szCs w:val="24"/>
        </w:rPr>
      </w:pPr>
    </w:p>
    <w:p w14:paraId="1DA6558F" w14:textId="77777777" w:rsidR="00C50A40" w:rsidRDefault="00C50A40" w:rsidP="00C50A40">
      <w:pPr>
        <w:pStyle w:val="ListParagraph"/>
        <w:bidi w:val="0"/>
        <w:spacing w:line="480" w:lineRule="auto"/>
        <w:ind w:left="792"/>
        <w:jc w:val="both"/>
        <w:rPr>
          <w:rFonts w:asciiTheme="majorBidi" w:hAnsiTheme="majorBidi" w:cstheme="majorBidi"/>
          <w:b/>
          <w:bCs/>
          <w:sz w:val="24"/>
          <w:szCs w:val="24"/>
        </w:rPr>
      </w:pPr>
    </w:p>
    <w:p w14:paraId="112D11CA" w14:textId="77777777" w:rsidR="00C50A40" w:rsidRPr="00365FD7" w:rsidRDefault="00C50A40" w:rsidP="00C50A40">
      <w:pPr>
        <w:pStyle w:val="ListParagraph"/>
        <w:bidi w:val="0"/>
        <w:spacing w:line="480" w:lineRule="auto"/>
        <w:ind w:left="792"/>
        <w:jc w:val="both"/>
        <w:rPr>
          <w:rFonts w:asciiTheme="majorBidi" w:hAnsiTheme="majorBidi" w:cstheme="majorBidi"/>
          <w:b/>
          <w:bCs/>
          <w:sz w:val="24"/>
          <w:szCs w:val="24"/>
          <w:u w:val="single"/>
        </w:rPr>
      </w:pPr>
      <w:r w:rsidRPr="00365FD7">
        <w:rPr>
          <w:rFonts w:asciiTheme="majorBidi" w:hAnsiTheme="majorBidi" w:cstheme="majorBidi"/>
          <w:b/>
          <w:bCs/>
          <w:sz w:val="24"/>
          <w:szCs w:val="24"/>
          <w:u w:val="single"/>
        </w:rPr>
        <w:t xml:space="preserve">Weighting </w:t>
      </w:r>
    </w:p>
    <w:p w14:paraId="091026C3" w14:textId="64D1EAC4" w:rsidR="00C50A40" w:rsidRPr="00311785" w:rsidRDefault="00C50A40" w:rsidP="00C50A40">
      <w:pPr>
        <w:bidi w:val="0"/>
        <w:spacing w:line="480" w:lineRule="auto"/>
        <w:ind w:left="851"/>
        <w:jc w:val="both"/>
        <w:rPr>
          <w:rFonts w:asciiTheme="majorBidi" w:hAnsiTheme="majorBidi" w:cstheme="majorBidi"/>
          <w:sz w:val="24"/>
          <w:szCs w:val="24"/>
        </w:rPr>
      </w:pPr>
      <w:r w:rsidRPr="005724CF">
        <w:rPr>
          <w:rFonts w:asciiTheme="majorBidi" w:hAnsiTheme="majorBidi" w:cstheme="majorBidi"/>
          <w:sz w:val="24"/>
          <w:szCs w:val="24"/>
        </w:rPr>
        <w:t>Although all the indicators used in IS</w:t>
      </w:r>
      <w:r>
        <w:rPr>
          <w:rFonts w:asciiTheme="majorBidi" w:hAnsiTheme="majorBidi" w:cstheme="majorBidi"/>
          <w:sz w:val="24"/>
          <w:szCs w:val="24"/>
        </w:rPr>
        <w:t>R-</w:t>
      </w:r>
      <w:r w:rsidRPr="005724CF">
        <w:rPr>
          <w:rFonts w:asciiTheme="majorBidi" w:hAnsiTheme="majorBidi" w:cstheme="majorBidi"/>
          <w:sz w:val="24"/>
          <w:szCs w:val="24"/>
        </w:rPr>
        <w:t>WBG</w:t>
      </w:r>
      <w:r>
        <w:rPr>
          <w:rFonts w:asciiTheme="majorBidi" w:hAnsiTheme="majorBidi" w:cstheme="majorBidi"/>
          <w:sz w:val="24"/>
          <w:szCs w:val="24"/>
        </w:rPr>
        <w:t>-</w:t>
      </w:r>
      <w:r w:rsidRPr="005724CF">
        <w:rPr>
          <w:rFonts w:asciiTheme="majorBidi" w:hAnsiTheme="majorBidi" w:cstheme="majorBidi"/>
          <w:sz w:val="24"/>
          <w:szCs w:val="24"/>
        </w:rPr>
        <w:t xml:space="preserve">II are relevant, their </w:t>
      </w:r>
      <w:r>
        <w:rPr>
          <w:rFonts w:asciiTheme="majorBidi" w:hAnsiTheme="majorBidi" w:cstheme="majorBidi"/>
          <w:sz w:val="24"/>
          <w:szCs w:val="24"/>
        </w:rPr>
        <w:t xml:space="preserve">relative </w:t>
      </w:r>
      <w:r w:rsidRPr="005724CF">
        <w:rPr>
          <w:rFonts w:asciiTheme="majorBidi" w:hAnsiTheme="majorBidi" w:cstheme="majorBidi"/>
          <w:sz w:val="24"/>
          <w:szCs w:val="24"/>
        </w:rPr>
        <w:t xml:space="preserve">influence on regional integration may vary. </w:t>
      </w:r>
      <w:r>
        <w:rPr>
          <w:rFonts w:asciiTheme="majorBidi" w:hAnsiTheme="majorBidi" w:cstheme="majorBidi"/>
          <w:sz w:val="24"/>
          <w:szCs w:val="24"/>
        </w:rPr>
        <w:t>D</w:t>
      </w:r>
      <w:r w:rsidRPr="005724CF">
        <w:rPr>
          <w:rFonts w:asciiTheme="majorBidi" w:hAnsiTheme="majorBidi" w:cstheme="majorBidi"/>
          <w:sz w:val="24"/>
          <w:szCs w:val="24"/>
        </w:rPr>
        <w:t>ifferent indicators do not necessarily have the same economic significance; therefore, weights are necessary to account for these differences.</w:t>
      </w:r>
      <w:r>
        <w:rPr>
          <w:rFonts w:asciiTheme="majorBidi" w:hAnsiTheme="majorBidi" w:cstheme="majorBidi"/>
          <w:sz w:val="24"/>
          <w:szCs w:val="24"/>
        </w:rPr>
        <w:t xml:space="preserve"> </w:t>
      </w:r>
      <w:r w:rsidRPr="00311785">
        <w:rPr>
          <w:rFonts w:asciiTheme="majorBidi" w:hAnsiTheme="majorBidi" w:cstheme="majorBidi"/>
          <w:sz w:val="24"/>
          <w:szCs w:val="24"/>
        </w:rPr>
        <w:t xml:space="preserve">As such, we can use an equal weighting system where all indicators have the same weight. This approach assures that </w:t>
      </w:r>
      <w:r>
        <w:rPr>
          <w:rFonts w:asciiTheme="majorBidi" w:hAnsiTheme="majorBidi" w:cstheme="majorBidi"/>
          <w:sz w:val="24"/>
          <w:szCs w:val="24"/>
        </w:rPr>
        <w:t>weighting</w:t>
      </w:r>
      <w:r w:rsidRPr="00311785">
        <w:rPr>
          <w:rFonts w:asciiTheme="majorBidi" w:hAnsiTheme="majorBidi" w:cstheme="majorBidi"/>
          <w:sz w:val="24"/>
          <w:szCs w:val="24"/>
        </w:rPr>
        <w:t xml:space="preserve"> </w:t>
      </w:r>
      <w:r w:rsidR="005A736F" w:rsidRPr="00EB222E">
        <w:rPr>
          <w:rFonts w:asciiTheme="majorBidi" w:hAnsiTheme="majorBidi" w:cstheme="majorBidi"/>
          <w:sz w:val="24"/>
          <w:szCs w:val="24"/>
        </w:rPr>
        <w:t>does</w:t>
      </w:r>
      <w:r w:rsidRPr="00311785">
        <w:rPr>
          <w:rFonts w:asciiTheme="majorBidi" w:hAnsiTheme="majorBidi" w:cstheme="majorBidi"/>
          <w:sz w:val="24"/>
          <w:szCs w:val="24"/>
        </w:rPr>
        <w:t xml:space="preserve"> not have </w:t>
      </w:r>
      <w:r w:rsidRPr="00EB222E">
        <w:rPr>
          <w:rFonts w:asciiTheme="majorBidi" w:hAnsiTheme="majorBidi" w:cstheme="majorBidi"/>
          <w:sz w:val="24"/>
          <w:szCs w:val="24"/>
        </w:rPr>
        <w:t xml:space="preserve">a </w:t>
      </w:r>
      <w:r w:rsidR="00701A10" w:rsidRPr="00EB222E">
        <w:rPr>
          <w:rFonts w:asciiTheme="majorBidi" w:hAnsiTheme="majorBidi" w:cstheme="majorBidi"/>
          <w:sz w:val="24"/>
          <w:szCs w:val="24"/>
        </w:rPr>
        <w:t>differen</w:t>
      </w:r>
      <w:r w:rsidR="00EB222E" w:rsidRPr="00EB222E">
        <w:rPr>
          <w:rFonts w:asciiTheme="majorBidi" w:hAnsiTheme="majorBidi" w:cstheme="majorBidi"/>
          <w:sz w:val="24"/>
          <w:szCs w:val="24"/>
        </w:rPr>
        <w:t>tial</w:t>
      </w:r>
      <w:r w:rsidRPr="00EB222E">
        <w:rPr>
          <w:rFonts w:asciiTheme="majorBidi" w:hAnsiTheme="majorBidi" w:cstheme="majorBidi"/>
          <w:sz w:val="24"/>
          <w:szCs w:val="24"/>
        </w:rPr>
        <w:t xml:space="preserve"> impact</w:t>
      </w:r>
      <w:r w:rsidRPr="00311785">
        <w:rPr>
          <w:rFonts w:asciiTheme="majorBidi" w:hAnsiTheme="majorBidi" w:cstheme="majorBidi"/>
          <w:sz w:val="24"/>
          <w:szCs w:val="24"/>
        </w:rPr>
        <w:t xml:space="preserve"> on the results. Another approach can be set</w:t>
      </w:r>
      <w:r>
        <w:rPr>
          <w:rFonts w:asciiTheme="majorBidi" w:hAnsiTheme="majorBidi" w:cstheme="majorBidi"/>
          <w:sz w:val="24"/>
          <w:szCs w:val="24"/>
        </w:rPr>
        <w:t>ting</w:t>
      </w:r>
      <w:r w:rsidRPr="00311785">
        <w:rPr>
          <w:rFonts w:asciiTheme="majorBidi" w:hAnsiTheme="majorBidi" w:cstheme="majorBidi"/>
          <w:sz w:val="24"/>
          <w:szCs w:val="24"/>
        </w:rPr>
        <w:t xml:space="preserve"> the weights,</w:t>
      </w:r>
      <w:r>
        <w:rPr>
          <w:rFonts w:asciiTheme="majorBidi" w:hAnsiTheme="majorBidi" w:cstheme="majorBidi"/>
          <w:sz w:val="24"/>
          <w:szCs w:val="24"/>
        </w:rPr>
        <w:t xml:space="preserve"> </w:t>
      </w:r>
      <w:r w:rsidRPr="00311785">
        <w:rPr>
          <w:rFonts w:asciiTheme="majorBidi" w:hAnsiTheme="majorBidi" w:cstheme="majorBidi"/>
          <w:sz w:val="24"/>
          <w:szCs w:val="24"/>
        </w:rPr>
        <w:t>in an objective manner</w:t>
      </w:r>
      <w:r>
        <w:rPr>
          <w:rFonts w:asciiTheme="majorBidi" w:hAnsiTheme="majorBidi" w:cstheme="majorBidi"/>
          <w:sz w:val="24"/>
          <w:szCs w:val="24"/>
        </w:rPr>
        <w:t>, however it is</w:t>
      </w:r>
      <w:r w:rsidRPr="00311785">
        <w:rPr>
          <w:rFonts w:asciiTheme="majorBidi" w:hAnsiTheme="majorBidi" w:cstheme="majorBidi"/>
          <w:sz w:val="24"/>
          <w:szCs w:val="24"/>
        </w:rPr>
        <w:t xml:space="preserve"> a daunting task as there exists no consensus in the literature as to which method is the best</w:t>
      </w:r>
      <w:r>
        <w:rPr>
          <w:rFonts w:asciiTheme="majorBidi" w:hAnsiTheme="majorBidi" w:cstheme="majorBidi"/>
          <w:sz w:val="24"/>
          <w:szCs w:val="24"/>
        </w:rPr>
        <w:t>. H</w:t>
      </w:r>
      <w:r w:rsidRPr="007F174C">
        <w:rPr>
          <w:rFonts w:asciiTheme="majorBidi" w:hAnsiTheme="majorBidi" w:cstheme="majorBidi"/>
          <w:sz w:val="24"/>
          <w:szCs w:val="24"/>
        </w:rPr>
        <w:t>eavy weights on indicators can strongly influence the final scores and they should, therefore, be assigned using a sound methodology</w:t>
      </w:r>
      <w:r w:rsidRPr="00311785">
        <w:rPr>
          <w:rFonts w:asciiTheme="majorBidi" w:hAnsiTheme="majorBidi" w:cstheme="majorBidi"/>
          <w:sz w:val="24"/>
          <w:szCs w:val="24"/>
        </w:rPr>
        <w:t xml:space="preserve"> (</w:t>
      </w:r>
      <w:proofErr w:type="spellStart"/>
      <w:r w:rsidRPr="00311785">
        <w:rPr>
          <w:rFonts w:asciiTheme="majorBidi" w:hAnsiTheme="majorBidi" w:cstheme="majorBidi"/>
          <w:sz w:val="24"/>
          <w:szCs w:val="24"/>
        </w:rPr>
        <w:t>Nardo</w:t>
      </w:r>
      <w:proofErr w:type="spellEnd"/>
      <w:r w:rsidRPr="00311785">
        <w:rPr>
          <w:rFonts w:asciiTheme="majorBidi" w:hAnsiTheme="majorBidi" w:cstheme="majorBidi"/>
          <w:sz w:val="24"/>
          <w:szCs w:val="24"/>
        </w:rPr>
        <w:t xml:space="preserve"> et al., 2005). </w:t>
      </w:r>
    </w:p>
    <w:p w14:paraId="4BABB90B" w14:textId="62EE8966" w:rsidR="00C50A40" w:rsidRDefault="00C50A40" w:rsidP="00C50A40">
      <w:pPr>
        <w:bidi w:val="0"/>
        <w:spacing w:line="480" w:lineRule="auto"/>
        <w:ind w:left="851"/>
        <w:jc w:val="both"/>
        <w:rPr>
          <w:rFonts w:asciiTheme="majorBidi" w:hAnsiTheme="majorBidi" w:cstheme="majorBidi"/>
          <w:sz w:val="24"/>
          <w:szCs w:val="24"/>
        </w:rPr>
      </w:pPr>
      <w:r w:rsidRPr="007F174C">
        <w:rPr>
          <w:rFonts w:asciiTheme="majorBidi" w:hAnsiTheme="majorBidi" w:cstheme="majorBidi"/>
          <w:sz w:val="24"/>
          <w:szCs w:val="24"/>
        </w:rPr>
        <w:t>Principal components analysis</w:t>
      </w:r>
      <w:r>
        <w:rPr>
          <w:rFonts w:asciiTheme="majorBidi" w:hAnsiTheme="majorBidi" w:cstheme="majorBidi"/>
          <w:sz w:val="24"/>
          <w:szCs w:val="24"/>
        </w:rPr>
        <w:t xml:space="preserve"> (PCA)</w:t>
      </w:r>
      <w:r w:rsidRPr="007F174C">
        <w:rPr>
          <w:rFonts w:asciiTheme="majorBidi" w:hAnsiTheme="majorBidi" w:cstheme="majorBidi"/>
          <w:sz w:val="24"/>
          <w:szCs w:val="24"/>
        </w:rPr>
        <w:t xml:space="preserve"> is</w:t>
      </w:r>
      <w:r>
        <w:rPr>
          <w:rFonts w:asciiTheme="majorBidi" w:hAnsiTheme="majorBidi" w:cstheme="majorBidi"/>
          <w:sz w:val="24"/>
          <w:szCs w:val="24"/>
        </w:rPr>
        <w:t xml:space="preserve"> a </w:t>
      </w:r>
      <w:r w:rsidRPr="007F174C">
        <w:rPr>
          <w:rFonts w:asciiTheme="majorBidi" w:hAnsiTheme="majorBidi" w:cstheme="majorBidi"/>
          <w:sz w:val="24"/>
          <w:szCs w:val="24"/>
        </w:rPr>
        <w:t>methodology</w:t>
      </w:r>
      <w:r>
        <w:rPr>
          <w:rFonts w:asciiTheme="majorBidi" w:hAnsiTheme="majorBidi" w:cstheme="majorBidi"/>
          <w:sz w:val="24"/>
          <w:szCs w:val="24"/>
        </w:rPr>
        <w:t xml:space="preserve"> been </w:t>
      </w:r>
      <w:r w:rsidRPr="007F174C">
        <w:rPr>
          <w:rFonts w:asciiTheme="majorBidi" w:hAnsiTheme="majorBidi" w:cstheme="majorBidi"/>
          <w:sz w:val="24"/>
          <w:szCs w:val="24"/>
        </w:rPr>
        <w:t>used</w:t>
      </w:r>
      <w:r>
        <w:rPr>
          <w:rFonts w:asciiTheme="majorBidi" w:hAnsiTheme="majorBidi" w:cstheme="majorBidi"/>
          <w:sz w:val="24"/>
          <w:szCs w:val="24"/>
        </w:rPr>
        <w:t xml:space="preserve"> in constructive a number of important and well-known indices such as: </w:t>
      </w:r>
      <w:r w:rsidRPr="007636DE">
        <w:rPr>
          <w:rFonts w:asciiTheme="majorBidi" w:hAnsiTheme="majorBidi" w:cstheme="majorBidi"/>
          <w:sz w:val="24"/>
          <w:szCs w:val="24"/>
        </w:rPr>
        <w:t>Asia-Pacific Regional Cooperation and Integration Index</w:t>
      </w:r>
      <w:r>
        <w:rPr>
          <w:rFonts w:asciiTheme="majorBidi" w:hAnsiTheme="majorBidi" w:cstheme="majorBidi"/>
          <w:sz w:val="24"/>
          <w:szCs w:val="24"/>
        </w:rPr>
        <w:t xml:space="preserve"> and </w:t>
      </w:r>
      <w:r w:rsidRPr="00C23F4A">
        <w:rPr>
          <w:rFonts w:asciiTheme="majorBidi" w:hAnsiTheme="majorBidi" w:cstheme="majorBidi"/>
          <w:sz w:val="24"/>
          <w:szCs w:val="24"/>
        </w:rPr>
        <w:t>Africa Regional Integration Index</w:t>
      </w:r>
      <w:r>
        <w:rPr>
          <w:rStyle w:val="FootnoteReference"/>
          <w:rFonts w:asciiTheme="majorBidi" w:hAnsiTheme="majorBidi" w:cstheme="majorBidi"/>
          <w:sz w:val="24"/>
          <w:szCs w:val="24"/>
        </w:rPr>
        <w:footnoteReference w:id="51"/>
      </w:r>
      <w:r>
        <w:rPr>
          <w:rFonts w:asciiTheme="majorBidi" w:hAnsiTheme="majorBidi" w:cstheme="majorBidi"/>
          <w:sz w:val="24"/>
          <w:szCs w:val="24"/>
        </w:rPr>
        <w:t xml:space="preserve">. </w:t>
      </w:r>
      <w:r w:rsidRPr="00C36D83">
        <w:rPr>
          <w:rFonts w:asciiTheme="majorBidi" w:hAnsiTheme="majorBidi" w:cstheme="majorBidi"/>
          <w:sz w:val="24"/>
          <w:szCs w:val="24"/>
        </w:rPr>
        <w:t>PCA is a statistical methodology that allows robust computation of weights while maintaining objectivity. PCA derives weights based on the structure of the data. It also preserves variations in the data</w:t>
      </w:r>
      <w:r w:rsidR="00B34569">
        <w:rPr>
          <w:rFonts w:asciiTheme="majorBidi" w:hAnsiTheme="majorBidi" w:cstheme="majorBidi"/>
          <w:sz w:val="24"/>
          <w:szCs w:val="24"/>
        </w:rPr>
        <w:t xml:space="preserve">. We also use the </w:t>
      </w:r>
      <w:r w:rsidR="00B34569" w:rsidRPr="00992A35">
        <w:rPr>
          <w:rFonts w:asciiTheme="majorBidi" w:hAnsiTheme="majorBidi" w:cstheme="majorBidi"/>
          <w:sz w:val="24"/>
          <w:szCs w:val="24"/>
        </w:rPr>
        <w:t>Kaiser-Meyer-Olkin (KMO) Test</w:t>
      </w:r>
      <w:r w:rsidR="00B34569">
        <w:rPr>
          <w:rFonts w:asciiTheme="majorBidi" w:hAnsiTheme="majorBidi" w:cstheme="majorBidi"/>
          <w:sz w:val="24"/>
          <w:szCs w:val="24"/>
        </w:rPr>
        <w:t xml:space="preserve"> to </w:t>
      </w:r>
      <w:r w:rsidR="00B34569" w:rsidRPr="00EA2C9D">
        <w:rPr>
          <w:rFonts w:asciiTheme="majorBidi" w:hAnsiTheme="majorBidi" w:cstheme="majorBidi"/>
          <w:sz w:val="24"/>
          <w:szCs w:val="24"/>
        </w:rPr>
        <w:t xml:space="preserve">measure how </w:t>
      </w:r>
      <w:r w:rsidR="00B34569">
        <w:rPr>
          <w:rFonts w:asciiTheme="majorBidi" w:hAnsiTheme="majorBidi" w:cstheme="majorBidi"/>
          <w:sz w:val="24"/>
          <w:szCs w:val="24"/>
        </w:rPr>
        <w:t>suitable are</w:t>
      </w:r>
      <w:r w:rsidR="00B34569" w:rsidRPr="00EA2C9D">
        <w:rPr>
          <w:rFonts w:asciiTheme="majorBidi" w:hAnsiTheme="majorBidi" w:cstheme="majorBidi"/>
          <w:sz w:val="24"/>
          <w:szCs w:val="24"/>
        </w:rPr>
        <w:t xml:space="preserve"> our indicators</w:t>
      </w:r>
      <w:r w:rsidR="00B34569">
        <w:rPr>
          <w:rFonts w:asciiTheme="majorBidi" w:hAnsiTheme="majorBidi" w:cstheme="majorBidi"/>
          <w:sz w:val="24"/>
          <w:szCs w:val="24"/>
        </w:rPr>
        <w:t xml:space="preserve"> - </w:t>
      </w:r>
      <w:r w:rsidR="00B34569" w:rsidRPr="00D94631">
        <w:rPr>
          <w:rFonts w:asciiTheme="majorBidi" w:hAnsiTheme="majorBidi" w:cstheme="majorBidi"/>
          <w:sz w:val="24"/>
          <w:szCs w:val="24"/>
        </w:rPr>
        <w:t xml:space="preserve">A high KMO </w:t>
      </w:r>
      <w:r w:rsidR="00B34569">
        <w:rPr>
          <w:rFonts w:asciiTheme="majorBidi" w:hAnsiTheme="majorBidi" w:cstheme="majorBidi"/>
          <w:sz w:val="24"/>
          <w:szCs w:val="24"/>
        </w:rPr>
        <w:t>(</w:t>
      </w:r>
      <w:r w:rsidR="00B34569" w:rsidRPr="00D94631">
        <w:rPr>
          <w:rFonts w:asciiTheme="majorBidi" w:hAnsiTheme="majorBidi" w:cstheme="majorBidi"/>
          <w:sz w:val="24"/>
          <w:szCs w:val="24"/>
        </w:rPr>
        <w:t xml:space="preserve">&gt; 0.5) indicates that PCA is </w:t>
      </w:r>
      <w:r w:rsidR="00B34569" w:rsidRPr="00B34569">
        <w:rPr>
          <w:rFonts w:asciiTheme="majorBidi" w:hAnsiTheme="majorBidi" w:cstheme="majorBidi"/>
          <w:sz w:val="24"/>
          <w:szCs w:val="24"/>
        </w:rPr>
        <w:t>relevant</w:t>
      </w:r>
      <w:r w:rsidR="00B34569" w:rsidRPr="00D94631">
        <w:rPr>
          <w:rFonts w:asciiTheme="majorBidi" w:hAnsiTheme="majorBidi" w:cstheme="majorBidi"/>
          <w:sz w:val="24"/>
          <w:szCs w:val="24"/>
        </w:rPr>
        <w:t>.</w:t>
      </w:r>
      <w:r w:rsidR="00B34569">
        <w:rPr>
          <w:rFonts w:asciiTheme="majorBidi" w:hAnsiTheme="majorBidi" w:cstheme="majorBidi"/>
          <w:sz w:val="24"/>
          <w:szCs w:val="24"/>
        </w:rPr>
        <w:t xml:space="preserve"> </w:t>
      </w:r>
      <w:r w:rsidR="00B34569">
        <w:rPr>
          <w:rFonts w:asciiTheme="majorBidi" w:hAnsiTheme="majorBidi" w:cstheme="majorBidi" w:hint="cs"/>
          <w:sz w:val="24"/>
          <w:szCs w:val="24"/>
        </w:rPr>
        <w:t>I</w:t>
      </w:r>
      <w:r w:rsidR="00B34569">
        <w:rPr>
          <w:rFonts w:asciiTheme="majorBidi" w:hAnsiTheme="majorBidi" w:cstheme="majorBidi"/>
          <w:sz w:val="24"/>
          <w:szCs w:val="24"/>
        </w:rPr>
        <w:t>n a few of the</w:t>
      </w:r>
      <w:r w:rsidR="00B34569" w:rsidRPr="00986D42">
        <w:rPr>
          <w:rFonts w:asciiTheme="majorBidi" w:hAnsiTheme="majorBidi" w:cstheme="majorBidi"/>
          <w:sz w:val="24"/>
          <w:szCs w:val="24"/>
        </w:rPr>
        <w:t xml:space="preserve"> individual </w:t>
      </w:r>
      <w:r w:rsidR="00B34569">
        <w:rPr>
          <w:rFonts w:asciiTheme="majorBidi" w:hAnsiTheme="majorBidi" w:cstheme="majorBidi"/>
          <w:sz w:val="24"/>
          <w:szCs w:val="24"/>
        </w:rPr>
        <w:t>indicators,</w:t>
      </w:r>
      <w:r w:rsidR="00B34569" w:rsidRPr="00986D42">
        <w:rPr>
          <w:rFonts w:asciiTheme="majorBidi" w:hAnsiTheme="majorBidi" w:cstheme="majorBidi"/>
          <w:sz w:val="24"/>
          <w:szCs w:val="24"/>
        </w:rPr>
        <w:t xml:space="preserve"> </w:t>
      </w:r>
      <w:r w:rsidR="00B34569">
        <w:rPr>
          <w:rFonts w:asciiTheme="majorBidi" w:hAnsiTheme="majorBidi" w:cstheme="majorBidi"/>
          <w:sz w:val="24"/>
          <w:szCs w:val="24"/>
        </w:rPr>
        <w:t>the KMO</w:t>
      </w:r>
      <w:r w:rsidR="00B34569" w:rsidRPr="00986D42">
        <w:rPr>
          <w:rFonts w:asciiTheme="majorBidi" w:hAnsiTheme="majorBidi" w:cstheme="majorBidi"/>
          <w:sz w:val="24"/>
          <w:szCs w:val="24"/>
        </w:rPr>
        <w:t xml:space="preserve"> </w:t>
      </w:r>
      <w:r w:rsidR="00B34569">
        <w:rPr>
          <w:rFonts w:asciiTheme="majorBidi" w:hAnsiTheme="majorBidi" w:cstheme="majorBidi"/>
          <w:sz w:val="24"/>
          <w:szCs w:val="24"/>
        </w:rPr>
        <w:t>test showed poor results (&lt;0.5)</w:t>
      </w:r>
      <w:r w:rsidR="00B34569" w:rsidRPr="00986D42">
        <w:rPr>
          <w:rFonts w:asciiTheme="majorBidi" w:hAnsiTheme="majorBidi" w:cstheme="majorBidi"/>
          <w:sz w:val="24"/>
          <w:szCs w:val="24"/>
        </w:rPr>
        <w:t>.</w:t>
      </w:r>
      <w:r w:rsidR="00B34569" w:rsidRPr="0026605D">
        <w:t xml:space="preserve"> </w:t>
      </w:r>
      <w:r w:rsidR="00B34569" w:rsidRPr="0026605D">
        <w:rPr>
          <w:rFonts w:asciiTheme="majorBidi" w:hAnsiTheme="majorBidi" w:cstheme="majorBidi"/>
          <w:sz w:val="24"/>
          <w:szCs w:val="24"/>
        </w:rPr>
        <w:t xml:space="preserve">Despite </w:t>
      </w:r>
      <w:r w:rsidR="00B34569">
        <w:rPr>
          <w:rFonts w:asciiTheme="majorBidi" w:hAnsiTheme="majorBidi" w:cstheme="majorBidi"/>
          <w:sz w:val="24"/>
          <w:szCs w:val="24"/>
        </w:rPr>
        <w:t>this</w:t>
      </w:r>
      <w:r w:rsidR="00B34569" w:rsidRPr="0026605D">
        <w:rPr>
          <w:rFonts w:asciiTheme="majorBidi" w:hAnsiTheme="majorBidi" w:cstheme="majorBidi"/>
          <w:sz w:val="24"/>
          <w:szCs w:val="24"/>
        </w:rPr>
        <w:t xml:space="preserve">, we have chosen to maintain the results of the PCA method </w:t>
      </w:r>
      <w:r w:rsidR="00B34569">
        <w:rPr>
          <w:rFonts w:asciiTheme="majorBidi" w:hAnsiTheme="majorBidi" w:cstheme="majorBidi"/>
          <w:sz w:val="24"/>
          <w:szCs w:val="24"/>
        </w:rPr>
        <w:t>as we</w:t>
      </w:r>
      <w:r w:rsidR="00B34569" w:rsidRPr="0026605D">
        <w:rPr>
          <w:rFonts w:asciiTheme="majorBidi" w:hAnsiTheme="majorBidi" w:cstheme="majorBidi"/>
          <w:sz w:val="24"/>
          <w:szCs w:val="24"/>
        </w:rPr>
        <w:t xml:space="preserve"> </w:t>
      </w:r>
      <w:r w:rsidR="00B34569">
        <w:rPr>
          <w:rFonts w:asciiTheme="majorBidi" w:hAnsiTheme="majorBidi" w:cstheme="majorBidi"/>
          <w:sz w:val="24"/>
          <w:szCs w:val="24"/>
        </w:rPr>
        <w:t xml:space="preserve">implemented the </w:t>
      </w:r>
      <w:r w:rsidR="00B34569" w:rsidRPr="0001567B">
        <w:rPr>
          <w:rFonts w:asciiTheme="majorBidi" w:hAnsiTheme="majorBidi" w:cstheme="majorBidi"/>
          <w:sz w:val="24"/>
          <w:szCs w:val="24"/>
        </w:rPr>
        <w:t xml:space="preserve">equal weighting system </w:t>
      </w:r>
      <w:r w:rsidR="00B34569">
        <w:rPr>
          <w:rFonts w:asciiTheme="majorBidi" w:hAnsiTheme="majorBidi" w:cstheme="majorBidi"/>
          <w:sz w:val="24"/>
          <w:szCs w:val="24"/>
        </w:rPr>
        <w:t>and found</w:t>
      </w:r>
      <w:r w:rsidR="00B34569" w:rsidRPr="0001567B">
        <w:rPr>
          <w:rFonts w:asciiTheme="majorBidi" w:hAnsiTheme="majorBidi" w:cstheme="majorBidi"/>
          <w:sz w:val="24"/>
          <w:szCs w:val="24"/>
        </w:rPr>
        <w:t xml:space="preserve"> there are</w:t>
      </w:r>
      <w:r w:rsidR="00B34569">
        <w:rPr>
          <w:rFonts w:asciiTheme="majorBidi" w:hAnsiTheme="majorBidi" w:cstheme="majorBidi"/>
          <w:sz w:val="24"/>
          <w:szCs w:val="24"/>
        </w:rPr>
        <w:t xml:space="preserve"> no</w:t>
      </w:r>
      <w:r w:rsidR="00B34569" w:rsidRPr="0001567B">
        <w:rPr>
          <w:rFonts w:asciiTheme="majorBidi" w:hAnsiTheme="majorBidi" w:cstheme="majorBidi"/>
          <w:sz w:val="24"/>
          <w:szCs w:val="24"/>
        </w:rPr>
        <w:t xml:space="preserve"> significant discrepancies in results</w:t>
      </w:r>
      <w:r w:rsidRPr="00C36D83">
        <w:rPr>
          <w:rFonts w:asciiTheme="majorBidi" w:hAnsiTheme="majorBidi" w:cstheme="majorBidi"/>
          <w:sz w:val="24"/>
          <w:szCs w:val="24"/>
        </w:rPr>
        <w:t>.</w:t>
      </w:r>
    </w:p>
    <w:p w14:paraId="15E6A94D" w14:textId="77777777" w:rsidR="00C50A40" w:rsidRDefault="00C50A40" w:rsidP="00C50A40">
      <w:pPr>
        <w:bidi w:val="0"/>
        <w:spacing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We decided to use </w:t>
      </w:r>
      <w:r w:rsidRPr="0030290F">
        <w:rPr>
          <w:rFonts w:asciiTheme="majorBidi" w:hAnsiTheme="majorBidi" w:cstheme="majorBidi"/>
          <w:b/>
          <w:bCs/>
          <w:sz w:val="24"/>
          <w:szCs w:val="24"/>
          <w:u w:val="single"/>
        </w:rPr>
        <w:t>both</w:t>
      </w:r>
      <w:r>
        <w:rPr>
          <w:rFonts w:asciiTheme="majorBidi" w:hAnsiTheme="majorBidi" w:cstheme="majorBidi"/>
          <w:sz w:val="24"/>
          <w:szCs w:val="24"/>
        </w:rPr>
        <w:t xml:space="preserve"> methodologies (</w:t>
      </w:r>
      <w:r w:rsidRPr="00311785">
        <w:rPr>
          <w:rFonts w:asciiTheme="majorBidi" w:hAnsiTheme="majorBidi" w:cstheme="majorBidi"/>
          <w:sz w:val="24"/>
          <w:szCs w:val="24"/>
        </w:rPr>
        <w:t>an equal weighting system where all indicators have the same weight</w:t>
      </w:r>
      <w:r>
        <w:rPr>
          <w:rFonts w:asciiTheme="majorBidi" w:hAnsiTheme="majorBidi" w:cstheme="majorBidi"/>
          <w:sz w:val="24"/>
          <w:szCs w:val="24"/>
        </w:rPr>
        <w:t>, and PCA)</w:t>
      </w:r>
      <w:r w:rsidRPr="007F174C">
        <w:rPr>
          <w:rFonts w:asciiTheme="majorBidi" w:hAnsiTheme="majorBidi" w:cstheme="majorBidi"/>
          <w:sz w:val="24"/>
          <w:szCs w:val="24"/>
        </w:rPr>
        <w:t xml:space="preserve"> to compute </w:t>
      </w:r>
      <w:r>
        <w:rPr>
          <w:rFonts w:asciiTheme="majorBidi" w:hAnsiTheme="majorBidi" w:cstheme="majorBidi"/>
          <w:sz w:val="24"/>
          <w:szCs w:val="24"/>
        </w:rPr>
        <w:t>the</w:t>
      </w:r>
      <w:r w:rsidRPr="007F174C">
        <w:rPr>
          <w:rFonts w:asciiTheme="majorBidi" w:hAnsiTheme="majorBidi" w:cstheme="majorBidi"/>
          <w:sz w:val="24"/>
          <w:szCs w:val="24"/>
        </w:rPr>
        <w:t xml:space="preserve"> weights to assign to each indicator and dimensions before building the aggregate index.</w:t>
      </w:r>
      <w:r>
        <w:rPr>
          <w:rFonts w:asciiTheme="majorBidi" w:hAnsiTheme="majorBidi" w:cstheme="majorBidi"/>
          <w:sz w:val="24"/>
          <w:szCs w:val="24"/>
        </w:rPr>
        <w:t xml:space="preserve"> </w:t>
      </w:r>
    </w:p>
    <w:p w14:paraId="4CF99B54" w14:textId="77777777" w:rsidR="00C50A40" w:rsidRDefault="00C50A40" w:rsidP="00C50A40">
      <w:pPr>
        <w:autoSpaceDE w:val="0"/>
        <w:autoSpaceDN w:val="0"/>
        <w:bidi w:val="0"/>
        <w:adjustRightInd w:val="0"/>
        <w:spacing w:line="480" w:lineRule="auto"/>
        <w:ind w:left="851"/>
        <w:jc w:val="both"/>
        <w:rPr>
          <w:rFonts w:asciiTheme="majorBidi" w:hAnsiTheme="majorBidi" w:cstheme="majorBidi"/>
          <w:sz w:val="24"/>
          <w:szCs w:val="24"/>
        </w:rPr>
      </w:pPr>
      <w:r w:rsidRPr="000B4434">
        <w:rPr>
          <w:rFonts w:asciiTheme="majorBidi" w:hAnsiTheme="majorBidi" w:cstheme="majorBidi"/>
          <w:sz w:val="24"/>
          <w:szCs w:val="24"/>
        </w:rPr>
        <w:t xml:space="preserve">For the </w:t>
      </w:r>
      <w:r w:rsidRPr="000B4434">
        <w:rPr>
          <w:rFonts w:ascii="Times New Roman" w:hAnsi="Times New Roman" w:cs="David"/>
          <w:sz w:val="24"/>
          <w:szCs w:val="24"/>
        </w:rPr>
        <w:t>indi</w:t>
      </w:r>
      <w:r>
        <w:rPr>
          <w:rFonts w:ascii="Times New Roman" w:hAnsi="Times New Roman" w:cs="David"/>
          <w:sz w:val="24"/>
          <w:szCs w:val="24"/>
        </w:rPr>
        <w:t>ces</w:t>
      </w:r>
      <w:r w:rsidRPr="000B4434">
        <w:rPr>
          <w:rFonts w:ascii="Times New Roman" w:hAnsi="Times New Roman" w:cs="David"/>
          <w:sz w:val="24"/>
          <w:szCs w:val="24"/>
        </w:rPr>
        <w:t xml:space="preserve"> starting in 1968 </w:t>
      </w:r>
      <w:r>
        <w:rPr>
          <w:rFonts w:ascii="Times New Roman" w:hAnsi="Times New Roman" w:cs="David"/>
          <w:sz w:val="24"/>
          <w:szCs w:val="24"/>
        </w:rPr>
        <w:t>(</w:t>
      </w:r>
      <w:r w:rsidRPr="000B4434">
        <w:rPr>
          <w:rFonts w:ascii="Times New Roman" w:hAnsi="Times New Roman" w:cs="David"/>
          <w:sz w:val="24"/>
          <w:szCs w:val="24"/>
        </w:rPr>
        <w:t>6 indicators</w:t>
      </w:r>
      <w:r>
        <w:rPr>
          <w:rFonts w:ascii="Times New Roman" w:hAnsi="Times New Roman" w:cs="David"/>
          <w:sz w:val="24"/>
          <w:szCs w:val="24"/>
        </w:rPr>
        <w:t>)</w:t>
      </w:r>
      <w:r w:rsidRPr="000B4434">
        <w:rPr>
          <w:rFonts w:ascii="Times New Roman" w:hAnsi="Times New Roman" w:cs="David"/>
          <w:sz w:val="24"/>
          <w:szCs w:val="24"/>
        </w:rPr>
        <w:t xml:space="preserve">, </w:t>
      </w:r>
      <w:r w:rsidRPr="00F71D13">
        <w:rPr>
          <w:rFonts w:ascii="Times New Roman" w:hAnsi="Times New Roman" w:cs="David"/>
          <w:sz w:val="24"/>
          <w:szCs w:val="24"/>
        </w:rPr>
        <w:t xml:space="preserve">1996 </w:t>
      </w:r>
      <w:r>
        <w:rPr>
          <w:rFonts w:ascii="Times New Roman" w:hAnsi="Times New Roman" w:cs="David"/>
          <w:sz w:val="24"/>
          <w:szCs w:val="24"/>
        </w:rPr>
        <w:t>(10</w:t>
      </w:r>
      <w:r w:rsidRPr="00F71D13">
        <w:rPr>
          <w:rFonts w:ascii="Times New Roman" w:hAnsi="Times New Roman" w:cs="David"/>
          <w:sz w:val="24"/>
          <w:szCs w:val="24"/>
        </w:rPr>
        <w:t xml:space="preserve"> indicators</w:t>
      </w:r>
      <w:r>
        <w:rPr>
          <w:rFonts w:ascii="Times New Roman" w:hAnsi="Times New Roman" w:cs="David"/>
          <w:sz w:val="24"/>
          <w:szCs w:val="24"/>
        </w:rPr>
        <w:t>)</w:t>
      </w:r>
      <w:r w:rsidRPr="00F71D13">
        <w:rPr>
          <w:rFonts w:ascii="Times New Roman" w:hAnsi="Times New Roman" w:cs="David"/>
          <w:sz w:val="24"/>
          <w:szCs w:val="24"/>
        </w:rPr>
        <w:t>,</w:t>
      </w:r>
      <w:r>
        <w:rPr>
          <w:rFonts w:ascii="Times New Roman" w:hAnsi="Times New Roman" w:cs="David"/>
          <w:sz w:val="24"/>
          <w:szCs w:val="24"/>
        </w:rPr>
        <w:t xml:space="preserve"> and</w:t>
      </w:r>
      <w:r w:rsidRPr="00F71D13">
        <w:rPr>
          <w:rFonts w:ascii="Times New Roman" w:hAnsi="Times New Roman" w:cs="David"/>
          <w:sz w:val="24"/>
          <w:szCs w:val="24"/>
        </w:rPr>
        <w:t xml:space="preserve"> 2000 </w:t>
      </w:r>
      <w:r>
        <w:rPr>
          <w:rFonts w:ascii="Times New Roman" w:hAnsi="Times New Roman" w:cs="David"/>
          <w:sz w:val="24"/>
          <w:szCs w:val="24"/>
        </w:rPr>
        <w:t>(</w:t>
      </w:r>
      <w:r w:rsidRPr="00F71D13">
        <w:rPr>
          <w:rFonts w:ascii="Times New Roman" w:hAnsi="Times New Roman" w:cs="David"/>
          <w:sz w:val="24"/>
          <w:szCs w:val="24"/>
        </w:rPr>
        <w:t>1</w:t>
      </w:r>
      <w:r>
        <w:rPr>
          <w:rFonts w:ascii="Times New Roman" w:hAnsi="Times New Roman" w:cs="David"/>
          <w:sz w:val="24"/>
          <w:szCs w:val="24"/>
        </w:rPr>
        <w:t>5</w:t>
      </w:r>
      <w:r w:rsidRPr="00F71D13">
        <w:rPr>
          <w:rFonts w:ascii="Times New Roman" w:hAnsi="Times New Roman" w:cs="David"/>
          <w:sz w:val="24"/>
          <w:szCs w:val="24"/>
        </w:rPr>
        <w:t xml:space="preserve"> indicators</w:t>
      </w:r>
      <w:r>
        <w:rPr>
          <w:rFonts w:ascii="Times New Roman" w:hAnsi="Times New Roman" w:cs="David"/>
          <w:sz w:val="24"/>
          <w:szCs w:val="24"/>
        </w:rPr>
        <w:t xml:space="preserve">) </w:t>
      </w:r>
      <w:r>
        <w:rPr>
          <w:rFonts w:asciiTheme="majorBidi" w:hAnsiTheme="majorBidi" w:cstheme="majorBidi"/>
          <w:sz w:val="24"/>
          <w:szCs w:val="24"/>
        </w:rPr>
        <w:t>we decided to use</w:t>
      </w:r>
      <w:r>
        <w:rPr>
          <w:rFonts w:ascii="Times New Roman" w:hAnsi="Times New Roman" w:cs="David"/>
          <w:sz w:val="24"/>
          <w:szCs w:val="24"/>
        </w:rPr>
        <w:t xml:space="preserve"> </w:t>
      </w:r>
      <w:r w:rsidRPr="00311785">
        <w:rPr>
          <w:rFonts w:asciiTheme="majorBidi" w:hAnsiTheme="majorBidi" w:cstheme="majorBidi"/>
          <w:sz w:val="24"/>
          <w:szCs w:val="24"/>
        </w:rPr>
        <w:t>an equal weighting system</w:t>
      </w:r>
      <w:r>
        <w:rPr>
          <w:rFonts w:asciiTheme="majorBidi" w:hAnsiTheme="majorBidi" w:cstheme="majorBidi"/>
          <w:sz w:val="24"/>
          <w:szCs w:val="24"/>
        </w:rPr>
        <w:t xml:space="preserve"> while for </w:t>
      </w:r>
      <w:r w:rsidRPr="00BB48CF">
        <w:rPr>
          <w:rFonts w:ascii="Times New Roman" w:hAnsi="Times New Roman" w:cs="David"/>
          <w:sz w:val="24"/>
          <w:szCs w:val="24"/>
        </w:rPr>
        <w:t xml:space="preserve">the index starting in 2010 </w:t>
      </w:r>
      <w:r>
        <w:rPr>
          <w:rFonts w:ascii="Times New Roman" w:hAnsi="Times New Roman" w:cs="David"/>
          <w:sz w:val="24"/>
          <w:szCs w:val="24"/>
        </w:rPr>
        <w:t>(</w:t>
      </w:r>
      <w:r w:rsidRPr="00BB48CF">
        <w:rPr>
          <w:rFonts w:ascii="Times New Roman" w:hAnsi="Times New Roman" w:cs="David"/>
          <w:sz w:val="24"/>
          <w:szCs w:val="24"/>
        </w:rPr>
        <w:t>24 indicators)</w:t>
      </w:r>
      <w:r>
        <w:rPr>
          <w:rFonts w:ascii="Times New Roman" w:hAnsi="Times New Roman" w:cs="David"/>
          <w:sz w:val="24"/>
          <w:szCs w:val="24"/>
        </w:rPr>
        <w:t xml:space="preserve"> we use the PCA</w:t>
      </w:r>
      <w:r w:rsidRPr="00BB48CF">
        <w:rPr>
          <w:rFonts w:ascii="Times New Roman" w:hAnsi="Times New Roman" w:cs="David"/>
          <w:sz w:val="24"/>
          <w:szCs w:val="24"/>
        </w:rPr>
        <w:t xml:space="preserve"> </w:t>
      </w:r>
      <w:r w:rsidRPr="007F174C">
        <w:rPr>
          <w:rFonts w:asciiTheme="majorBidi" w:hAnsiTheme="majorBidi" w:cstheme="majorBidi"/>
          <w:sz w:val="24"/>
          <w:szCs w:val="24"/>
        </w:rPr>
        <w:t>methodology</w:t>
      </w:r>
      <w:r>
        <w:rPr>
          <w:rFonts w:asciiTheme="majorBidi" w:hAnsiTheme="majorBidi" w:cstheme="majorBidi"/>
          <w:sz w:val="24"/>
          <w:szCs w:val="24"/>
        </w:rPr>
        <w:t xml:space="preserve">. </w:t>
      </w:r>
    </w:p>
    <w:p w14:paraId="1EC8D3BD" w14:textId="77777777" w:rsidR="00C50A40" w:rsidRPr="006E1C87" w:rsidRDefault="00C50A40" w:rsidP="00C50A40">
      <w:pPr>
        <w:autoSpaceDE w:val="0"/>
        <w:autoSpaceDN w:val="0"/>
        <w:bidi w:val="0"/>
        <w:adjustRightInd w:val="0"/>
        <w:spacing w:line="480" w:lineRule="auto"/>
        <w:ind w:left="851"/>
        <w:jc w:val="both"/>
        <w:rPr>
          <w:rFonts w:ascii="Times New Roman" w:hAnsi="Times New Roman" w:cs="David"/>
          <w:sz w:val="24"/>
          <w:szCs w:val="24"/>
          <w:rtl/>
        </w:rPr>
      </w:pPr>
      <w:r w:rsidRPr="006E1C87">
        <w:rPr>
          <w:rFonts w:asciiTheme="majorBidi" w:hAnsiTheme="majorBidi" w:cstheme="majorBidi"/>
          <w:sz w:val="24"/>
          <w:szCs w:val="24"/>
        </w:rPr>
        <w:t xml:space="preserve">The </w:t>
      </w:r>
      <w:r>
        <w:rPr>
          <w:rFonts w:asciiTheme="majorBidi" w:hAnsiTheme="majorBidi" w:cstheme="majorBidi"/>
          <w:sz w:val="24"/>
          <w:szCs w:val="24"/>
        </w:rPr>
        <w:t xml:space="preserve">reason we </w:t>
      </w:r>
      <w:r w:rsidRPr="006E1C87">
        <w:rPr>
          <w:rFonts w:asciiTheme="majorBidi" w:hAnsiTheme="majorBidi" w:cstheme="majorBidi"/>
          <w:sz w:val="24"/>
          <w:szCs w:val="24"/>
        </w:rPr>
        <w:t xml:space="preserve">choose </w:t>
      </w:r>
      <w:r>
        <w:rPr>
          <w:rFonts w:asciiTheme="majorBidi" w:hAnsiTheme="majorBidi" w:cstheme="majorBidi"/>
          <w:sz w:val="24"/>
          <w:szCs w:val="24"/>
        </w:rPr>
        <w:t xml:space="preserve">an equal </w:t>
      </w:r>
      <w:r w:rsidRPr="00311785">
        <w:rPr>
          <w:rFonts w:asciiTheme="majorBidi" w:hAnsiTheme="majorBidi" w:cstheme="majorBidi"/>
          <w:sz w:val="24"/>
          <w:szCs w:val="24"/>
        </w:rPr>
        <w:t xml:space="preserve">weighting system </w:t>
      </w:r>
      <w:r>
        <w:rPr>
          <w:rFonts w:asciiTheme="majorBidi" w:hAnsiTheme="majorBidi" w:cstheme="majorBidi"/>
          <w:sz w:val="24"/>
          <w:szCs w:val="24"/>
        </w:rPr>
        <w:t>for</w:t>
      </w:r>
      <w:r w:rsidRPr="006E1C87">
        <w:rPr>
          <w:rFonts w:asciiTheme="majorBidi" w:hAnsiTheme="majorBidi" w:cstheme="majorBidi"/>
          <w:sz w:val="24"/>
          <w:szCs w:val="24"/>
        </w:rPr>
        <w:t xml:space="preserve"> the first 3 indices </w:t>
      </w:r>
      <w:r>
        <w:rPr>
          <w:rFonts w:asciiTheme="majorBidi" w:hAnsiTheme="majorBidi" w:cstheme="majorBidi"/>
          <w:sz w:val="24"/>
          <w:szCs w:val="24"/>
        </w:rPr>
        <w:t>is that</w:t>
      </w:r>
      <w:r w:rsidRPr="005325F9">
        <w:rPr>
          <w:rFonts w:asciiTheme="majorBidi" w:hAnsiTheme="majorBidi" w:cstheme="majorBidi"/>
          <w:sz w:val="24"/>
          <w:szCs w:val="24"/>
        </w:rPr>
        <w:t xml:space="preserve"> </w:t>
      </w:r>
      <w:r w:rsidRPr="006E1C87">
        <w:rPr>
          <w:rFonts w:asciiTheme="majorBidi" w:hAnsiTheme="majorBidi" w:cstheme="majorBidi"/>
          <w:sz w:val="24"/>
          <w:szCs w:val="24"/>
        </w:rPr>
        <w:t>the dimension</w:t>
      </w:r>
      <w:r>
        <w:rPr>
          <w:rFonts w:asciiTheme="majorBidi" w:hAnsiTheme="majorBidi" w:cstheme="majorBidi"/>
          <w:sz w:val="24"/>
          <w:szCs w:val="24"/>
        </w:rPr>
        <w:t>al</w:t>
      </w:r>
      <w:r w:rsidRPr="006E1C87">
        <w:rPr>
          <w:rFonts w:asciiTheme="majorBidi" w:hAnsiTheme="majorBidi" w:cstheme="majorBidi"/>
          <w:sz w:val="24"/>
          <w:szCs w:val="24"/>
        </w:rPr>
        <w:t xml:space="preserve"> composition includes a small number of indicators relative to the late</w:t>
      </w:r>
      <w:r>
        <w:rPr>
          <w:rFonts w:asciiTheme="majorBidi" w:hAnsiTheme="majorBidi" w:cstheme="majorBidi"/>
          <w:sz w:val="24"/>
          <w:szCs w:val="24"/>
        </w:rPr>
        <w:t>r</w:t>
      </w:r>
      <w:r w:rsidRPr="006E1C87">
        <w:rPr>
          <w:rFonts w:asciiTheme="majorBidi" w:hAnsiTheme="majorBidi" w:cstheme="majorBidi"/>
          <w:sz w:val="24"/>
          <w:szCs w:val="24"/>
        </w:rPr>
        <w:t xml:space="preserve"> index</w:t>
      </w:r>
      <w:r>
        <w:rPr>
          <w:rFonts w:asciiTheme="majorBidi" w:hAnsiTheme="majorBidi" w:cstheme="majorBidi"/>
          <w:sz w:val="24"/>
          <w:szCs w:val="24"/>
        </w:rPr>
        <w:t>,</w:t>
      </w:r>
      <w:r w:rsidRPr="006E1C87">
        <w:rPr>
          <w:rFonts w:asciiTheme="majorBidi" w:hAnsiTheme="majorBidi" w:cstheme="majorBidi"/>
          <w:sz w:val="24"/>
          <w:szCs w:val="24"/>
        </w:rPr>
        <w:t xml:space="preserve"> beginning in 2010. Also, the dimensions often included only one indicator to represent them</w:t>
      </w:r>
      <w:r>
        <w:rPr>
          <w:rFonts w:asciiTheme="majorBidi" w:hAnsiTheme="majorBidi" w:cstheme="majorBidi"/>
          <w:sz w:val="24"/>
          <w:szCs w:val="24"/>
        </w:rPr>
        <w:t xml:space="preserve">, so </w:t>
      </w:r>
      <w:r w:rsidRPr="006E1C87">
        <w:rPr>
          <w:rFonts w:asciiTheme="majorBidi" w:hAnsiTheme="majorBidi" w:cstheme="majorBidi"/>
          <w:sz w:val="24"/>
          <w:szCs w:val="24"/>
        </w:rPr>
        <w:t xml:space="preserve">to avoid bias in </w:t>
      </w:r>
      <w:r>
        <w:rPr>
          <w:rFonts w:asciiTheme="majorBidi" w:hAnsiTheme="majorBidi" w:cstheme="majorBidi"/>
          <w:sz w:val="24"/>
          <w:szCs w:val="24"/>
        </w:rPr>
        <w:t xml:space="preserve">the </w:t>
      </w:r>
      <w:r w:rsidRPr="006E1C87">
        <w:rPr>
          <w:rFonts w:asciiTheme="majorBidi" w:hAnsiTheme="majorBidi" w:cstheme="majorBidi"/>
          <w:sz w:val="24"/>
          <w:szCs w:val="24"/>
        </w:rPr>
        <w:t xml:space="preserve">results we </w:t>
      </w:r>
      <w:r>
        <w:rPr>
          <w:rFonts w:asciiTheme="majorBidi" w:hAnsiTheme="majorBidi" w:cstheme="majorBidi"/>
          <w:sz w:val="24"/>
          <w:szCs w:val="24"/>
        </w:rPr>
        <w:t>decided</w:t>
      </w:r>
      <w:r w:rsidRPr="006E1C87">
        <w:rPr>
          <w:rFonts w:asciiTheme="majorBidi" w:hAnsiTheme="majorBidi" w:cstheme="majorBidi"/>
          <w:sz w:val="24"/>
          <w:szCs w:val="24"/>
        </w:rPr>
        <w:t xml:space="preserve"> to</w:t>
      </w:r>
      <w:r>
        <w:rPr>
          <w:rFonts w:asciiTheme="majorBidi" w:hAnsiTheme="majorBidi" w:cstheme="majorBidi"/>
          <w:sz w:val="24"/>
          <w:szCs w:val="24"/>
        </w:rPr>
        <w:t xml:space="preserve"> intervene it and reduce the</w:t>
      </w:r>
      <w:r w:rsidRPr="006E1C87">
        <w:rPr>
          <w:rFonts w:asciiTheme="majorBidi" w:hAnsiTheme="majorBidi" w:cstheme="majorBidi"/>
          <w:sz w:val="24"/>
          <w:szCs w:val="24"/>
        </w:rPr>
        <w:t xml:space="preserve"> weight</w:t>
      </w:r>
      <w:r>
        <w:rPr>
          <w:rFonts w:asciiTheme="majorBidi" w:hAnsiTheme="majorBidi" w:cstheme="majorBidi"/>
          <w:sz w:val="24"/>
          <w:szCs w:val="24"/>
        </w:rPr>
        <w:t>s,</w:t>
      </w:r>
      <w:r w:rsidRPr="006E1C87">
        <w:rPr>
          <w:rFonts w:asciiTheme="majorBidi" w:hAnsiTheme="majorBidi" w:cstheme="majorBidi"/>
          <w:sz w:val="24"/>
          <w:szCs w:val="24"/>
        </w:rPr>
        <w:t xml:space="preserve"> as will be explained</w:t>
      </w:r>
      <w:r>
        <w:rPr>
          <w:rFonts w:asciiTheme="majorBidi" w:hAnsiTheme="majorBidi" w:cstheme="majorBidi"/>
          <w:sz w:val="24"/>
          <w:szCs w:val="24"/>
        </w:rPr>
        <w:t xml:space="preserve"> in more detail in the section</w:t>
      </w:r>
      <w:r w:rsidRPr="006E1C87">
        <w:rPr>
          <w:rFonts w:asciiTheme="majorBidi" w:hAnsiTheme="majorBidi" w:cstheme="majorBidi"/>
          <w:sz w:val="24"/>
          <w:szCs w:val="24"/>
        </w:rPr>
        <w:t xml:space="preserve"> below.</w:t>
      </w:r>
    </w:p>
    <w:p w14:paraId="592DCB89" w14:textId="77777777" w:rsidR="007E48B3" w:rsidRDefault="007E48B3" w:rsidP="007E48B3">
      <w:pPr>
        <w:bidi w:val="0"/>
        <w:spacing w:line="480" w:lineRule="auto"/>
        <w:ind w:left="851"/>
        <w:jc w:val="both"/>
        <w:rPr>
          <w:rFonts w:asciiTheme="majorBidi" w:hAnsiTheme="majorBidi" w:cstheme="majorBidi"/>
          <w:sz w:val="24"/>
          <w:szCs w:val="24"/>
          <w:u w:val="single"/>
        </w:rPr>
      </w:pPr>
      <w:r>
        <w:rPr>
          <w:rFonts w:asciiTheme="majorBidi" w:hAnsiTheme="majorBidi" w:cstheme="majorBidi"/>
          <w:sz w:val="24"/>
          <w:szCs w:val="24"/>
          <w:u w:val="single"/>
        </w:rPr>
        <w:t>E</w:t>
      </w:r>
      <w:r w:rsidRPr="00BB48CF">
        <w:rPr>
          <w:rFonts w:asciiTheme="majorBidi" w:hAnsiTheme="majorBidi" w:cstheme="majorBidi"/>
          <w:sz w:val="24"/>
          <w:szCs w:val="24"/>
          <w:u w:val="single"/>
        </w:rPr>
        <w:t>qual weighting system</w:t>
      </w:r>
    </w:p>
    <w:p w14:paraId="6D6E7C95" w14:textId="77777777" w:rsidR="00C50A40" w:rsidRDefault="00C50A40" w:rsidP="00C50A40">
      <w:pPr>
        <w:bidi w:val="0"/>
        <w:spacing w:line="480" w:lineRule="auto"/>
        <w:ind w:left="851"/>
        <w:jc w:val="both"/>
        <w:rPr>
          <w:rFonts w:asciiTheme="majorBidi" w:hAnsiTheme="majorBidi" w:cstheme="majorBidi"/>
          <w:sz w:val="24"/>
          <w:szCs w:val="24"/>
        </w:rPr>
      </w:pPr>
      <w:r>
        <w:rPr>
          <w:rFonts w:asciiTheme="majorBidi" w:hAnsiTheme="majorBidi" w:cstheme="majorBidi"/>
          <w:sz w:val="24"/>
          <w:szCs w:val="24"/>
        </w:rPr>
        <w:t>This</w:t>
      </w:r>
      <w:r w:rsidRPr="00BB48CF">
        <w:rPr>
          <w:rFonts w:asciiTheme="majorBidi" w:hAnsiTheme="majorBidi" w:cstheme="majorBidi"/>
          <w:sz w:val="24"/>
          <w:szCs w:val="24"/>
        </w:rPr>
        <w:t xml:space="preserve"> includes a two-stage </w:t>
      </w:r>
      <w:r>
        <w:rPr>
          <w:rFonts w:asciiTheme="majorBidi" w:hAnsiTheme="majorBidi" w:cstheme="majorBidi"/>
          <w:sz w:val="24"/>
          <w:szCs w:val="24"/>
        </w:rPr>
        <w:t>procedure set</w:t>
      </w:r>
      <w:r w:rsidRPr="00BB48CF">
        <w:rPr>
          <w:rFonts w:asciiTheme="majorBidi" w:hAnsiTheme="majorBidi" w:cstheme="majorBidi"/>
          <w:sz w:val="24"/>
          <w:szCs w:val="24"/>
        </w:rPr>
        <w:t xml:space="preserve"> the weights:</w:t>
      </w:r>
    </w:p>
    <w:p w14:paraId="42AE4788" w14:textId="77777777" w:rsidR="00C50A40" w:rsidRDefault="00C50A40" w:rsidP="00C50A40">
      <w:pPr>
        <w:pStyle w:val="ListParagraph"/>
        <w:numPr>
          <w:ilvl w:val="0"/>
          <w:numId w:val="24"/>
        </w:numPr>
        <w:autoSpaceDE w:val="0"/>
        <w:autoSpaceDN w:val="0"/>
        <w:bidi w:val="0"/>
        <w:adjustRightInd w:val="0"/>
        <w:spacing w:after="240" w:line="480" w:lineRule="auto"/>
        <w:rPr>
          <w:rFonts w:asciiTheme="majorBidi" w:hAnsiTheme="majorBidi" w:cstheme="majorBidi"/>
          <w:sz w:val="24"/>
          <w:szCs w:val="24"/>
        </w:rPr>
      </w:pPr>
      <w:r>
        <w:rPr>
          <w:rFonts w:asciiTheme="majorBidi" w:hAnsiTheme="majorBidi" w:cstheme="majorBidi"/>
          <w:sz w:val="24"/>
          <w:szCs w:val="24"/>
        </w:rPr>
        <w:t>In t</w:t>
      </w:r>
      <w:r w:rsidRPr="00526E00">
        <w:rPr>
          <w:rFonts w:asciiTheme="majorBidi" w:hAnsiTheme="majorBidi" w:cstheme="majorBidi"/>
          <w:sz w:val="24"/>
          <w:szCs w:val="24"/>
        </w:rPr>
        <w:t xml:space="preserve">he first stage, we </w:t>
      </w:r>
      <w:r>
        <w:rPr>
          <w:rFonts w:asciiTheme="majorBidi" w:hAnsiTheme="majorBidi" w:cstheme="majorBidi"/>
          <w:sz w:val="24"/>
          <w:szCs w:val="24"/>
        </w:rPr>
        <w:t>set</w:t>
      </w:r>
      <w:r w:rsidRPr="00526E00">
        <w:rPr>
          <w:rFonts w:asciiTheme="majorBidi" w:hAnsiTheme="majorBidi" w:cstheme="majorBidi"/>
          <w:sz w:val="24"/>
          <w:szCs w:val="24"/>
        </w:rPr>
        <w:t xml:space="preserve"> </w:t>
      </w:r>
      <w:r>
        <w:rPr>
          <w:rFonts w:asciiTheme="majorBidi" w:hAnsiTheme="majorBidi" w:cstheme="majorBidi"/>
          <w:sz w:val="24"/>
          <w:szCs w:val="24"/>
        </w:rPr>
        <w:t xml:space="preserve">a </w:t>
      </w:r>
      <w:r w:rsidRPr="00526E00">
        <w:rPr>
          <w:rFonts w:asciiTheme="majorBidi" w:hAnsiTheme="majorBidi" w:cstheme="majorBidi"/>
          <w:sz w:val="24"/>
          <w:szCs w:val="24"/>
        </w:rPr>
        <w:t>weight for each indicator in each dimension in an equal manner - that is, if there are 3 indicators</w:t>
      </w:r>
      <w:r>
        <w:rPr>
          <w:rFonts w:asciiTheme="majorBidi" w:hAnsiTheme="majorBidi" w:cstheme="majorBidi"/>
          <w:sz w:val="24"/>
          <w:szCs w:val="24"/>
        </w:rPr>
        <w:t>,</w:t>
      </w:r>
      <w:r w:rsidRPr="00526E00">
        <w:rPr>
          <w:rFonts w:asciiTheme="majorBidi" w:hAnsiTheme="majorBidi" w:cstheme="majorBidi"/>
          <w:sz w:val="24"/>
          <w:szCs w:val="24"/>
        </w:rPr>
        <w:t xml:space="preserve"> each indicator is given a weight of one third</w:t>
      </w:r>
      <w:r>
        <w:rPr>
          <w:rFonts w:asciiTheme="majorBidi" w:hAnsiTheme="majorBidi" w:cstheme="majorBidi"/>
          <w:sz w:val="24"/>
          <w:szCs w:val="24"/>
        </w:rPr>
        <w:t>.</w:t>
      </w:r>
    </w:p>
    <w:p w14:paraId="32FAF95C" w14:textId="77777777" w:rsidR="00C50A40" w:rsidRDefault="00C50A40" w:rsidP="00C50A40">
      <w:pPr>
        <w:pStyle w:val="ListParagraph"/>
        <w:numPr>
          <w:ilvl w:val="0"/>
          <w:numId w:val="24"/>
        </w:numPr>
        <w:autoSpaceDE w:val="0"/>
        <w:autoSpaceDN w:val="0"/>
        <w:bidi w:val="0"/>
        <w:adjustRightInd w:val="0"/>
        <w:spacing w:line="480" w:lineRule="auto"/>
        <w:rPr>
          <w:rFonts w:asciiTheme="majorBidi" w:hAnsiTheme="majorBidi" w:cstheme="majorBidi"/>
          <w:sz w:val="24"/>
          <w:szCs w:val="24"/>
        </w:rPr>
      </w:pPr>
      <w:r>
        <w:rPr>
          <w:rFonts w:asciiTheme="majorBidi" w:hAnsiTheme="majorBidi" w:cstheme="majorBidi"/>
          <w:sz w:val="24"/>
          <w:szCs w:val="24"/>
        </w:rPr>
        <w:t>In the second stage, e</w:t>
      </w:r>
      <w:r w:rsidRPr="00D85E6C">
        <w:rPr>
          <w:rFonts w:asciiTheme="majorBidi" w:hAnsiTheme="majorBidi" w:cstheme="majorBidi"/>
          <w:sz w:val="24"/>
          <w:szCs w:val="24"/>
        </w:rPr>
        <w:t>ach dimension was given a weight according to the number of indicators available in it - so that if the index includes 1</w:t>
      </w:r>
      <w:r>
        <w:rPr>
          <w:rFonts w:asciiTheme="majorBidi" w:hAnsiTheme="majorBidi" w:cstheme="majorBidi"/>
          <w:sz w:val="24"/>
          <w:szCs w:val="24"/>
        </w:rPr>
        <w:t>0</w:t>
      </w:r>
      <w:r w:rsidRPr="00D85E6C">
        <w:rPr>
          <w:rFonts w:asciiTheme="majorBidi" w:hAnsiTheme="majorBidi" w:cstheme="majorBidi"/>
          <w:sz w:val="24"/>
          <w:szCs w:val="24"/>
        </w:rPr>
        <w:t xml:space="preserve"> indicators and there are </w:t>
      </w:r>
      <w:r>
        <w:rPr>
          <w:rFonts w:asciiTheme="majorBidi" w:hAnsiTheme="majorBidi" w:cstheme="majorBidi"/>
          <w:sz w:val="24"/>
          <w:szCs w:val="24"/>
        </w:rPr>
        <w:t>4</w:t>
      </w:r>
      <w:r w:rsidRPr="00D85E6C">
        <w:rPr>
          <w:rFonts w:asciiTheme="majorBidi" w:hAnsiTheme="majorBidi" w:cstheme="majorBidi"/>
          <w:sz w:val="24"/>
          <w:szCs w:val="24"/>
        </w:rPr>
        <w:t xml:space="preserve"> dimensions (the index that begins in 1996)</w:t>
      </w:r>
      <w:r>
        <w:rPr>
          <w:rFonts w:asciiTheme="majorBidi" w:hAnsiTheme="majorBidi" w:cstheme="majorBidi"/>
          <w:sz w:val="24"/>
          <w:szCs w:val="24"/>
        </w:rPr>
        <w:t xml:space="preserve">, </w:t>
      </w:r>
      <w:r w:rsidRPr="00D85E6C">
        <w:rPr>
          <w:rFonts w:asciiTheme="majorBidi" w:hAnsiTheme="majorBidi" w:cstheme="majorBidi"/>
          <w:sz w:val="24"/>
          <w:szCs w:val="24"/>
        </w:rPr>
        <w:t>each indicator gets a weight of 1/1</w:t>
      </w:r>
      <w:r>
        <w:rPr>
          <w:rFonts w:asciiTheme="majorBidi" w:hAnsiTheme="majorBidi" w:cstheme="majorBidi"/>
          <w:sz w:val="24"/>
          <w:szCs w:val="24"/>
        </w:rPr>
        <w:t>0</w:t>
      </w:r>
      <w:r w:rsidRPr="00D85E6C">
        <w:rPr>
          <w:rFonts w:asciiTheme="majorBidi" w:hAnsiTheme="majorBidi" w:cstheme="majorBidi"/>
          <w:sz w:val="24"/>
          <w:szCs w:val="24"/>
        </w:rPr>
        <w:t xml:space="preserve">. </w:t>
      </w:r>
      <w:r>
        <w:rPr>
          <w:rFonts w:asciiTheme="majorBidi" w:hAnsiTheme="majorBidi" w:cstheme="majorBidi"/>
          <w:sz w:val="24"/>
          <w:szCs w:val="24"/>
        </w:rPr>
        <w:t>Then the</w:t>
      </w:r>
      <w:r w:rsidRPr="00D85E6C">
        <w:rPr>
          <w:rFonts w:asciiTheme="majorBidi" w:hAnsiTheme="majorBidi" w:cstheme="majorBidi"/>
          <w:sz w:val="24"/>
          <w:szCs w:val="24"/>
        </w:rPr>
        <w:t xml:space="preserve"> weight of </w:t>
      </w:r>
      <w:r>
        <w:rPr>
          <w:rFonts w:asciiTheme="majorBidi" w:hAnsiTheme="majorBidi" w:cstheme="majorBidi"/>
          <w:sz w:val="24"/>
          <w:szCs w:val="24"/>
        </w:rPr>
        <w:t>each</w:t>
      </w:r>
      <w:r w:rsidRPr="00D85E6C">
        <w:rPr>
          <w:rFonts w:asciiTheme="majorBidi" w:hAnsiTheme="majorBidi" w:cstheme="majorBidi"/>
          <w:sz w:val="24"/>
          <w:szCs w:val="24"/>
        </w:rPr>
        <w:t xml:space="preserve"> dimension is the number of indicators present in it multiplied by 1/1</w:t>
      </w:r>
      <w:r>
        <w:rPr>
          <w:rFonts w:asciiTheme="majorBidi" w:hAnsiTheme="majorBidi" w:cstheme="majorBidi"/>
          <w:sz w:val="24"/>
          <w:szCs w:val="24"/>
        </w:rPr>
        <w:t>0</w:t>
      </w:r>
      <w:r w:rsidRPr="00D85E6C">
        <w:rPr>
          <w:rFonts w:asciiTheme="majorBidi" w:hAnsiTheme="majorBidi" w:cstheme="majorBidi"/>
          <w:sz w:val="24"/>
          <w:szCs w:val="24"/>
        </w:rPr>
        <w:t>.</w:t>
      </w:r>
    </w:p>
    <w:p w14:paraId="54A70E82" w14:textId="77777777" w:rsidR="009B421D" w:rsidRDefault="009B421D" w:rsidP="007E48B3">
      <w:pPr>
        <w:bidi w:val="0"/>
        <w:spacing w:line="480" w:lineRule="auto"/>
        <w:ind w:left="851"/>
        <w:jc w:val="both"/>
        <w:rPr>
          <w:rFonts w:asciiTheme="majorBidi" w:hAnsiTheme="majorBidi" w:cstheme="majorBidi"/>
          <w:sz w:val="24"/>
          <w:szCs w:val="24"/>
          <w:u w:val="single"/>
        </w:rPr>
      </w:pPr>
    </w:p>
    <w:p w14:paraId="0CD03396" w14:textId="0A575D68" w:rsidR="007E48B3" w:rsidRPr="00BB48CF" w:rsidRDefault="007E48B3" w:rsidP="009B421D">
      <w:pPr>
        <w:bidi w:val="0"/>
        <w:spacing w:line="480" w:lineRule="auto"/>
        <w:ind w:left="851"/>
        <w:jc w:val="both"/>
        <w:rPr>
          <w:rFonts w:asciiTheme="majorBidi" w:hAnsiTheme="majorBidi" w:cstheme="majorBidi"/>
          <w:sz w:val="24"/>
          <w:szCs w:val="24"/>
          <w:u w:val="single"/>
        </w:rPr>
      </w:pPr>
      <w:r w:rsidRPr="00BB48CF">
        <w:rPr>
          <w:rFonts w:asciiTheme="majorBidi" w:hAnsiTheme="majorBidi" w:cstheme="majorBidi"/>
          <w:sz w:val="24"/>
          <w:szCs w:val="24"/>
          <w:u w:val="single"/>
        </w:rPr>
        <w:t xml:space="preserve">Principal components analysis </w:t>
      </w:r>
    </w:p>
    <w:p w14:paraId="551DE889" w14:textId="77777777" w:rsidR="00941531" w:rsidRPr="00BB48CF" w:rsidRDefault="00941531" w:rsidP="00941531">
      <w:pPr>
        <w:autoSpaceDE w:val="0"/>
        <w:autoSpaceDN w:val="0"/>
        <w:bidi w:val="0"/>
        <w:adjustRightInd w:val="0"/>
        <w:spacing w:line="480" w:lineRule="auto"/>
        <w:ind w:left="851"/>
        <w:jc w:val="both"/>
        <w:rPr>
          <w:rFonts w:asciiTheme="majorBidi" w:hAnsiTheme="majorBidi" w:cstheme="majorBidi"/>
          <w:sz w:val="24"/>
          <w:szCs w:val="24"/>
        </w:rPr>
      </w:pPr>
      <w:r>
        <w:rPr>
          <w:rFonts w:asciiTheme="majorBidi" w:hAnsiTheme="majorBidi" w:cstheme="majorBidi"/>
          <w:sz w:val="24"/>
          <w:szCs w:val="24"/>
        </w:rPr>
        <w:t>Our approach</w:t>
      </w:r>
      <w:r w:rsidRPr="00BB48CF">
        <w:rPr>
          <w:rFonts w:asciiTheme="majorBidi" w:hAnsiTheme="majorBidi" w:cstheme="majorBidi"/>
          <w:sz w:val="24"/>
          <w:szCs w:val="24"/>
        </w:rPr>
        <w:t xml:space="preserve"> includes a two-stage PCA estimation to </w:t>
      </w:r>
      <w:r>
        <w:rPr>
          <w:rFonts w:asciiTheme="majorBidi" w:hAnsiTheme="majorBidi" w:cstheme="majorBidi"/>
          <w:sz w:val="24"/>
          <w:szCs w:val="24"/>
        </w:rPr>
        <w:t>set</w:t>
      </w:r>
      <w:r w:rsidRPr="00BB48CF">
        <w:rPr>
          <w:rFonts w:asciiTheme="majorBidi" w:hAnsiTheme="majorBidi" w:cstheme="majorBidi"/>
          <w:sz w:val="24"/>
          <w:szCs w:val="24"/>
        </w:rPr>
        <w:t xml:space="preserve"> out the weights: </w:t>
      </w:r>
    </w:p>
    <w:p w14:paraId="776EA556" w14:textId="77777777" w:rsidR="00941531" w:rsidRPr="00BB48CF" w:rsidRDefault="00941531" w:rsidP="00941531">
      <w:pPr>
        <w:pStyle w:val="ListParagraph"/>
        <w:numPr>
          <w:ilvl w:val="0"/>
          <w:numId w:val="24"/>
        </w:numPr>
        <w:autoSpaceDE w:val="0"/>
        <w:autoSpaceDN w:val="0"/>
        <w:bidi w:val="0"/>
        <w:adjustRightInd w:val="0"/>
        <w:spacing w:after="240" w:line="480" w:lineRule="auto"/>
        <w:jc w:val="both"/>
        <w:rPr>
          <w:rFonts w:asciiTheme="majorBidi" w:hAnsiTheme="majorBidi" w:cstheme="majorBidi"/>
          <w:sz w:val="24"/>
          <w:szCs w:val="24"/>
        </w:rPr>
      </w:pPr>
      <w:r>
        <w:rPr>
          <w:rFonts w:asciiTheme="majorBidi" w:hAnsiTheme="majorBidi" w:cstheme="majorBidi"/>
          <w:sz w:val="24"/>
          <w:szCs w:val="24"/>
        </w:rPr>
        <w:t>In t</w:t>
      </w:r>
      <w:r w:rsidRPr="00BB48CF">
        <w:rPr>
          <w:rFonts w:asciiTheme="majorBidi" w:hAnsiTheme="majorBidi" w:cstheme="majorBidi"/>
          <w:sz w:val="24"/>
          <w:szCs w:val="24"/>
        </w:rPr>
        <w:t>he first stage, PCA is applied to each of the dimensions independently, and the implied weights assigned to the indicators are used for constructing a set of dimensional composite indexes.</w:t>
      </w:r>
    </w:p>
    <w:p w14:paraId="6AC9BEB7" w14:textId="77777777" w:rsidR="00941531" w:rsidRPr="00BB48CF" w:rsidRDefault="00941531" w:rsidP="00941531">
      <w:pPr>
        <w:pStyle w:val="ListParagraph"/>
        <w:numPr>
          <w:ilvl w:val="0"/>
          <w:numId w:val="24"/>
        </w:numPr>
        <w:autoSpaceDE w:val="0"/>
        <w:autoSpaceDN w:val="0"/>
        <w:bidi w:val="0"/>
        <w:adjustRightInd w:val="0"/>
        <w:spacing w:line="480" w:lineRule="auto"/>
        <w:jc w:val="both"/>
        <w:rPr>
          <w:rFonts w:asciiTheme="majorBidi" w:hAnsiTheme="majorBidi" w:cstheme="majorBidi"/>
          <w:sz w:val="24"/>
          <w:szCs w:val="24"/>
        </w:rPr>
      </w:pPr>
      <w:r>
        <w:rPr>
          <w:rFonts w:asciiTheme="majorBidi" w:hAnsiTheme="majorBidi" w:cstheme="majorBidi"/>
          <w:sz w:val="24"/>
          <w:szCs w:val="24"/>
        </w:rPr>
        <w:t>In t</w:t>
      </w:r>
      <w:r w:rsidRPr="00BB48CF">
        <w:rPr>
          <w:rFonts w:asciiTheme="majorBidi" w:hAnsiTheme="majorBidi" w:cstheme="majorBidi"/>
          <w:sz w:val="24"/>
          <w:szCs w:val="24"/>
        </w:rPr>
        <w:t xml:space="preserve">he second stage, PCA is applied again to </w:t>
      </w:r>
      <w:r w:rsidRPr="000D2EDD">
        <w:rPr>
          <w:rFonts w:asciiTheme="majorBidi" w:hAnsiTheme="majorBidi" w:cstheme="majorBidi"/>
          <w:sz w:val="24"/>
          <w:szCs w:val="24"/>
        </w:rPr>
        <w:t>weigh</w:t>
      </w:r>
      <w:r>
        <w:rPr>
          <w:rFonts w:asciiTheme="majorBidi" w:hAnsiTheme="majorBidi" w:cstheme="majorBidi"/>
          <w:sz w:val="24"/>
          <w:szCs w:val="24"/>
        </w:rPr>
        <w:t>t</w:t>
      </w:r>
      <w:r w:rsidRPr="00BB48CF">
        <w:rPr>
          <w:rFonts w:asciiTheme="majorBidi" w:hAnsiTheme="majorBidi" w:cstheme="majorBidi"/>
          <w:sz w:val="24"/>
          <w:szCs w:val="24"/>
        </w:rPr>
        <w:t xml:space="preserve"> the dimensional </w:t>
      </w:r>
      <w:r>
        <w:rPr>
          <w:rFonts w:asciiTheme="majorBidi" w:hAnsiTheme="majorBidi" w:cstheme="majorBidi"/>
          <w:sz w:val="24"/>
          <w:szCs w:val="24"/>
        </w:rPr>
        <w:t>i</w:t>
      </w:r>
      <w:r w:rsidRPr="00786409">
        <w:rPr>
          <w:rFonts w:asciiTheme="majorBidi" w:hAnsiTheme="majorBidi" w:cstheme="majorBidi"/>
          <w:sz w:val="24"/>
          <w:szCs w:val="24"/>
        </w:rPr>
        <w:t>ndices</w:t>
      </w:r>
      <w:r w:rsidRPr="00BB48CF">
        <w:rPr>
          <w:rFonts w:asciiTheme="majorBidi" w:hAnsiTheme="majorBidi" w:cstheme="majorBidi"/>
          <w:sz w:val="24"/>
          <w:szCs w:val="24"/>
        </w:rPr>
        <w:t xml:space="preserve"> to produce an overall index.</w:t>
      </w:r>
    </w:p>
    <w:p w14:paraId="4BFE0CD2" w14:textId="77777777" w:rsidR="007E48B3" w:rsidRPr="0010600F" w:rsidRDefault="007E48B3" w:rsidP="007E48B3">
      <w:pPr>
        <w:pStyle w:val="ListParagraph"/>
        <w:bidi w:val="0"/>
        <w:spacing w:line="480" w:lineRule="auto"/>
        <w:ind w:left="792"/>
        <w:jc w:val="both"/>
        <w:rPr>
          <w:rFonts w:asciiTheme="majorBidi" w:hAnsiTheme="majorBidi" w:cstheme="majorBidi"/>
          <w:b/>
          <w:bCs/>
          <w:sz w:val="24"/>
          <w:szCs w:val="24"/>
          <w:u w:val="single"/>
        </w:rPr>
      </w:pPr>
      <w:r w:rsidRPr="0010600F">
        <w:rPr>
          <w:rFonts w:asciiTheme="majorBidi" w:hAnsiTheme="majorBidi" w:cstheme="majorBidi"/>
          <w:b/>
          <w:bCs/>
          <w:sz w:val="24"/>
          <w:szCs w:val="24"/>
          <w:u w:val="single"/>
        </w:rPr>
        <w:t>Aggregation scheme</w:t>
      </w:r>
    </w:p>
    <w:p w14:paraId="6C3EC282" w14:textId="76F8CC34" w:rsidR="007E48B3" w:rsidRDefault="007E48B3" w:rsidP="007E48B3">
      <w:pPr>
        <w:bidi w:val="0"/>
        <w:spacing w:line="480" w:lineRule="auto"/>
        <w:ind w:left="851"/>
        <w:jc w:val="both"/>
        <w:rPr>
          <w:rFonts w:asciiTheme="majorBidi" w:hAnsiTheme="majorBidi" w:cstheme="majorBidi"/>
          <w:sz w:val="24"/>
          <w:szCs w:val="24"/>
        </w:rPr>
      </w:pPr>
      <w:r w:rsidRPr="007F174C">
        <w:rPr>
          <w:rFonts w:asciiTheme="majorBidi" w:hAnsiTheme="majorBidi" w:cstheme="majorBidi"/>
          <w:sz w:val="24"/>
          <w:szCs w:val="24"/>
        </w:rPr>
        <w:t>Indicators in a composite index can be aggregated using a linear or a geometric aggregation method</w:t>
      </w:r>
      <w:r w:rsidR="00741BCB">
        <w:rPr>
          <w:rFonts w:asciiTheme="majorBidi" w:hAnsiTheme="majorBidi" w:cstheme="majorBidi"/>
          <w:sz w:val="24"/>
          <w:szCs w:val="24"/>
        </w:rPr>
        <w:t xml:space="preserve"> (</w:t>
      </w:r>
      <w:r w:rsidR="00AF7485" w:rsidRPr="00773694">
        <w:rPr>
          <w:rFonts w:asciiTheme="majorBidi" w:hAnsiTheme="majorBidi" w:cstheme="majorBidi"/>
          <w:sz w:val="24"/>
          <w:szCs w:val="24"/>
        </w:rPr>
        <w:t>"Handbook on Constructing Composite Indicators" by the OECD (2005)</w:t>
      </w:r>
      <w:r w:rsidR="00AF7485">
        <w:rPr>
          <w:rFonts w:asciiTheme="majorBidi" w:hAnsiTheme="majorBidi" w:cstheme="majorBidi"/>
          <w:sz w:val="24"/>
          <w:szCs w:val="24"/>
        </w:rPr>
        <w:t>)</w:t>
      </w:r>
      <w:r w:rsidR="00C50A40" w:rsidRPr="007F174C">
        <w:rPr>
          <w:rFonts w:asciiTheme="majorBidi" w:hAnsiTheme="majorBidi" w:cstheme="majorBidi"/>
          <w:sz w:val="24"/>
          <w:szCs w:val="24"/>
        </w:rPr>
        <w:t>.</w:t>
      </w:r>
      <w:r w:rsidRPr="007F174C">
        <w:rPr>
          <w:rFonts w:asciiTheme="majorBidi" w:hAnsiTheme="majorBidi" w:cstheme="majorBidi"/>
          <w:sz w:val="24"/>
          <w:szCs w:val="24"/>
        </w:rPr>
        <w:t xml:space="preserve"> Linear aggregation is an additive method that involves the summation of individual indicators. It ensures full compensability, that is poor performance in some indicators can be compensated by good performance on others. </w:t>
      </w:r>
      <w:r w:rsidRPr="00CD1DB1">
        <w:rPr>
          <w:rFonts w:asciiTheme="majorBidi" w:hAnsiTheme="majorBidi" w:cstheme="majorBidi"/>
          <w:sz w:val="24"/>
          <w:szCs w:val="24"/>
        </w:rPr>
        <w:t xml:space="preserve">The most </w:t>
      </w:r>
      <w:r w:rsidR="00DF12F7">
        <w:rPr>
          <w:rFonts w:asciiTheme="majorBidi" w:hAnsiTheme="majorBidi" w:cstheme="majorBidi"/>
          <w:sz w:val="24"/>
          <w:szCs w:val="24"/>
        </w:rPr>
        <w:t xml:space="preserve">widely </w:t>
      </w:r>
      <w:r w:rsidR="00C50A40" w:rsidRPr="00CD1DB1">
        <w:rPr>
          <w:rFonts w:asciiTheme="majorBidi" w:hAnsiTheme="majorBidi" w:cstheme="majorBidi"/>
          <w:sz w:val="24"/>
          <w:szCs w:val="24"/>
        </w:rPr>
        <w:t>used</w:t>
      </w:r>
      <w:r w:rsidRPr="00CD1DB1">
        <w:rPr>
          <w:rFonts w:asciiTheme="majorBidi" w:hAnsiTheme="majorBidi" w:cstheme="majorBidi"/>
          <w:sz w:val="24"/>
          <w:szCs w:val="24"/>
        </w:rPr>
        <w:t xml:space="preserve"> aggregation techniques are additive techniques. Its advantages are simplicity and independence </w:t>
      </w:r>
      <w:r w:rsidR="00215F6E">
        <w:rPr>
          <w:rFonts w:asciiTheme="majorBidi" w:hAnsiTheme="majorBidi" w:cstheme="majorBidi"/>
          <w:sz w:val="24"/>
          <w:szCs w:val="24"/>
        </w:rPr>
        <w:t>from</w:t>
      </w:r>
      <w:r w:rsidR="001A2C44" w:rsidRPr="00AB5263">
        <w:rPr>
          <w:rFonts w:asciiTheme="majorBidi" w:hAnsiTheme="majorBidi" w:cstheme="majorBidi"/>
          <w:sz w:val="24"/>
          <w:szCs w:val="24"/>
        </w:rPr>
        <w:t xml:space="preserve"> </w:t>
      </w:r>
      <w:r w:rsidR="00B674EE" w:rsidRPr="00AB5263">
        <w:rPr>
          <w:rFonts w:asciiTheme="majorBidi" w:hAnsiTheme="majorBidi" w:cstheme="majorBidi"/>
          <w:sz w:val="24"/>
          <w:szCs w:val="24"/>
        </w:rPr>
        <w:t xml:space="preserve">the </w:t>
      </w:r>
      <w:r w:rsidR="00205E20" w:rsidRPr="00AB5263">
        <w:rPr>
          <w:rFonts w:asciiTheme="majorBidi" w:hAnsiTheme="majorBidi" w:cstheme="majorBidi"/>
          <w:sz w:val="24"/>
          <w:szCs w:val="24"/>
        </w:rPr>
        <w:t>impact of</w:t>
      </w:r>
      <w:r w:rsidRPr="00AB5263">
        <w:rPr>
          <w:rFonts w:asciiTheme="majorBidi" w:hAnsiTheme="majorBidi" w:cstheme="majorBidi"/>
          <w:sz w:val="24"/>
          <w:szCs w:val="24"/>
        </w:rPr>
        <w:t xml:space="preserve"> outliers</w:t>
      </w:r>
      <w:r w:rsidRPr="00CD1DB1">
        <w:rPr>
          <w:rFonts w:asciiTheme="majorBidi" w:hAnsiTheme="majorBidi" w:cstheme="majorBidi"/>
          <w:sz w:val="24"/>
          <w:szCs w:val="24"/>
        </w:rPr>
        <w:t>. Its disadvantage is that the method loses the absolute value information.</w:t>
      </w:r>
      <w:r>
        <w:rPr>
          <w:rFonts w:asciiTheme="majorBidi" w:hAnsiTheme="majorBidi" w:cstheme="majorBidi"/>
          <w:sz w:val="24"/>
          <w:szCs w:val="24"/>
        </w:rPr>
        <w:t xml:space="preserve"> </w:t>
      </w:r>
      <w:r w:rsidRPr="007F174C">
        <w:rPr>
          <w:rFonts w:asciiTheme="majorBidi" w:hAnsiTheme="majorBidi" w:cstheme="majorBidi"/>
          <w:sz w:val="24"/>
          <w:szCs w:val="24"/>
        </w:rPr>
        <w:t xml:space="preserve">Geometric aggregation is a multiplicative method, and it involves partial compensability where </w:t>
      </w:r>
      <w:r>
        <w:rPr>
          <w:rFonts w:asciiTheme="majorBidi" w:hAnsiTheme="majorBidi" w:cstheme="majorBidi"/>
          <w:sz w:val="24"/>
          <w:szCs w:val="24"/>
        </w:rPr>
        <w:t>elements</w:t>
      </w:r>
      <w:r w:rsidRPr="007F174C">
        <w:rPr>
          <w:rFonts w:asciiTheme="majorBidi" w:hAnsiTheme="majorBidi" w:cstheme="majorBidi"/>
          <w:sz w:val="24"/>
          <w:szCs w:val="24"/>
        </w:rPr>
        <w:t xml:space="preserve"> with higher scores are given more importance. Given that indicators have been normalized and are on the same scale and that indicators have already been weighted to reflect their importance, a </w:t>
      </w:r>
      <w:r>
        <w:rPr>
          <w:rFonts w:asciiTheme="majorBidi" w:hAnsiTheme="majorBidi" w:cstheme="majorBidi"/>
          <w:sz w:val="24"/>
          <w:szCs w:val="24"/>
        </w:rPr>
        <w:t xml:space="preserve">simple </w:t>
      </w:r>
      <w:r w:rsidRPr="007F174C">
        <w:rPr>
          <w:rFonts w:asciiTheme="majorBidi" w:hAnsiTheme="majorBidi" w:cstheme="majorBidi"/>
          <w:sz w:val="24"/>
          <w:szCs w:val="24"/>
        </w:rPr>
        <w:t xml:space="preserve">linear aggregation method has </w:t>
      </w:r>
      <w:r>
        <w:rPr>
          <w:rFonts w:asciiTheme="majorBidi" w:hAnsiTheme="majorBidi" w:cstheme="majorBidi"/>
          <w:sz w:val="24"/>
          <w:szCs w:val="24"/>
        </w:rPr>
        <w:t xml:space="preserve">been </w:t>
      </w:r>
      <w:r w:rsidRPr="007F174C">
        <w:rPr>
          <w:rFonts w:asciiTheme="majorBidi" w:hAnsiTheme="majorBidi" w:cstheme="majorBidi"/>
          <w:sz w:val="24"/>
          <w:szCs w:val="24"/>
        </w:rPr>
        <w:t xml:space="preserve">used. </w:t>
      </w:r>
    </w:p>
    <w:p w14:paraId="3EB8D67C" w14:textId="77777777" w:rsidR="007E48B3" w:rsidRDefault="007E48B3" w:rsidP="007E48B3">
      <w:pPr>
        <w:pStyle w:val="ListParagraph"/>
        <w:numPr>
          <w:ilvl w:val="1"/>
          <w:numId w:val="25"/>
        </w:numPr>
        <w:autoSpaceDE w:val="0"/>
        <w:autoSpaceDN w:val="0"/>
        <w:bidi w:val="0"/>
        <w:adjustRightInd w:val="0"/>
        <w:spacing w:after="240" w:line="480" w:lineRule="auto"/>
        <w:jc w:val="both"/>
        <w:rPr>
          <w:rFonts w:ascii="Times New Roman" w:hAnsi="Times New Roman" w:cs="David"/>
          <w:b/>
          <w:bCs/>
          <w:sz w:val="24"/>
          <w:szCs w:val="24"/>
        </w:rPr>
      </w:pPr>
      <w:r w:rsidRPr="004B061B">
        <w:rPr>
          <w:rFonts w:ascii="Times New Roman" w:hAnsi="Times New Roman" w:cs="David"/>
          <w:b/>
          <w:bCs/>
          <w:sz w:val="24"/>
          <w:szCs w:val="24"/>
        </w:rPr>
        <w:t>Results</w:t>
      </w:r>
    </w:p>
    <w:p w14:paraId="54092431" w14:textId="77777777" w:rsidR="007E48B3" w:rsidRDefault="007E48B3" w:rsidP="003172C7">
      <w:pPr>
        <w:pStyle w:val="ListParagraph"/>
        <w:bidi w:val="0"/>
        <w:spacing w:line="480" w:lineRule="auto"/>
        <w:ind w:left="790"/>
        <w:jc w:val="both"/>
        <w:rPr>
          <w:rFonts w:ascii="Times New Roman" w:hAnsi="Times New Roman" w:cs="David"/>
          <w:sz w:val="24"/>
          <w:szCs w:val="24"/>
          <w:rtl/>
        </w:rPr>
      </w:pPr>
      <w:r>
        <w:rPr>
          <w:rFonts w:ascii="Times New Roman" w:hAnsi="Times New Roman" w:cs="David" w:hint="cs"/>
          <w:sz w:val="24"/>
          <w:szCs w:val="24"/>
        </w:rPr>
        <w:t>W</w:t>
      </w:r>
      <w:r w:rsidRPr="00CC09B8">
        <w:rPr>
          <w:rFonts w:ascii="Times New Roman" w:hAnsi="Times New Roman" w:cs="David"/>
          <w:sz w:val="24"/>
          <w:szCs w:val="24"/>
        </w:rPr>
        <w:t xml:space="preserve">e have created 4 indices starting in different years (1968, 1996, 2000 and 2010). As mentioned, each index contains different number </w:t>
      </w:r>
      <w:r>
        <w:rPr>
          <w:rFonts w:ascii="Times New Roman" w:hAnsi="Times New Roman" w:cs="David"/>
          <w:sz w:val="24"/>
          <w:szCs w:val="24"/>
        </w:rPr>
        <w:t xml:space="preserve">of </w:t>
      </w:r>
      <w:r w:rsidRPr="00CC09B8">
        <w:rPr>
          <w:rFonts w:ascii="Times New Roman" w:hAnsi="Times New Roman" w:cs="David"/>
          <w:sz w:val="24"/>
          <w:szCs w:val="24"/>
        </w:rPr>
        <w:t>indicators.</w:t>
      </w:r>
    </w:p>
    <w:p w14:paraId="7DBE6123" w14:textId="77777777" w:rsidR="007E48B3" w:rsidRDefault="007E48B3" w:rsidP="003172C7">
      <w:pPr>
        <w:pStyle w:val="ListParagraph"/>
        <w:bidi w:val="0"/>
        <w:spacing w:line="480" w:lineRule="auto"/>
        <w:ind w:left="790"/>
        <w:jc w:val="both"/>
        <w:rPr>
          <w:rFonts w:ascii="Times New Roman" w:hAnsi="Times New Roman" w:cs="David"/>
          <w:sz w:val="24"/>
          <w:szCs w:val="24"/>
        </w:rPr>
      </w:pPr>
      <w:r>
        <w:rPr>
          <w:rFonts w:ascii="Times New Roman" w:hAnsi="Times New Roman" w:cs="David"/>
          <w:sz w:val="24"/>
          <w:szCs w:val="24"/>
        </w:rPr>
        <w:t>Below are</w:t>
      </w:r>
      <w:r w:rsidRPr="007D205E">
        <w:rPr>
          <w:rFonts w:ascii="Times New Roman" w:hAnsi="Times New Roman" w:cs="David"/>
          <w:sz w:val="24"/>
          <w:szCs w:val="24"/>
        </w:rPr>
        <w:t xml:space="preserve"> the results of the indices according to the different dimensions and their contribution to the aggregate index</w:t>
      </w:r>
      <w:r>
        <w:rPr>
          <w:rFonts w:ascii="Times New Roman" w:hAnsi="Times New Roman" w:cs="David"/>
          <w:sz w:val="24"/>
          <w:szCs w:val="24"/>
        </w:rPr>
        <w:t xml:space="preserve">. </w:t>
      </w:r>
      <w:r w:rsidRPr="00394EDA">
        <w:rPr>
          <w:rFonts w:ascii="Times New Roman" w:hAnsi="Times New Roman" w:cs="David"/>
          <w:sz w:val="24"/>
          <w:szCs w:val="24"/>
        </w:rPr>
        <w:t>In each section we describe the composition of the index (dimensions, indicators and weights), the overall result, the result at the level of the dimensions and the contribution of the various dimensions to the integration index.</w:t>
      </w:r>
    </w:p>
    <w:p w14:paraId="49F11C96" w14:textId="77777777" w:rsidR="007E48B3" w:rsidRDefault="007E48B3" w:rsidP="007E48B3">
      <w:pPr>
        <w:pStyle w:val="ListParagraph"/>
        <w:numPr>
          <w:ilvl w:val="2"/>
          <w:numId w:val="25"/>
        </w:numPr>
        <w:bidi w:val="0"/>
        <w:spacing w:line="480" w:lineRule="auto"/>
        <w:rPr>
          <w:rFonts w:ascii="Times New Roman" w:hAnsi="Times New Roman" w:cs="David"/>
          <w:b/>
          <w:bCs/>
          <w:sz w:val="24"/>
          <w:szCs w:val="24"/>
        </w:rPr>
      </w:pPr>
      <w:r>
        <w:rPr>
          <w:rFonts w:ascii="Times New Roman" w:hAnsi="Times New Roman" w:cs="David"/>
          <w:b/>
          <w:bCs/>
          <w:sz w:val="24"/>
          <w:szCs w:val="24"/>
        </w:rPr>
        <w:t>ISR-WBG-II 1968-2019</w:t>
      </w:r>
    </w:p>
    <w:p w14:paraId="41E29217" w14:textId="77777777" w:rsidR="007E48B3" w:rsidRDefault="007E48B3" w:rsidP="007E48B3">
      <w:pPr>
        <w:pStyle w:val="ListParagraph"/>
        <w:bidi w:val="0"/>
        <w:spacing w:line="480" w:lineRule="auto"/>
        <w:ind w:left="1400"/>
        <w:rPr>
          <w:rFonts w:ascii="Times New Roman" w:hAnsi="Times New Roman" w:cs="David"/>
          <w:b/>
          <w:bCs/>
          <w:sz w:val="24"/>
          <w:szCs w:val="24"/>
        </w:rPr>
      </w:pPr>
      <w:r>
        <w:rPr>
          <w:rFonts w:ascii="Times New Roman" w:hAnsi="Times New Roman" w:cs="David"/>
          <w:b/>
          <w:bCs/>
          <w:sz w:val="24"/>
          <w:szCs w:val="24"/>
        </w:rPr>
        <w:t>Table 2 -</w:t>
      </w:r>
      <w:r w:rsidRPr="00B37731">
        <w:t xml:space="preserve"> </w:t>
      </w:r>
      <w:r w:rsidRPr="00B37731">
        <w:rPr>
          <w:rFonts w:ascii="Times New Roman" w:hAnsi="Times New Roman" w:cs="David"/>
          <w:b/>
          <w:bCs/>
          <w:sz w:val="24"/>
          <w:szCs w:val="24"/>
        </w:rPr>
        <w:t>Dimensions, indicators and weights</w:t>
      </w:r>
      <w:r>
        <w:rPr>
          <w:rFonts w:ascii="Times New Roman" w:hAnsi="Times New Roman" w:cs="David" w:hint="cs"/>
          <w:b/>
          <w:bCs/>
          <w:sz w:val="24"/>
          <w:szCs w:val="24"/>
          <w:rtl/>
        </w:rPr>
        <w:t xml:space="preserve"> </w:t>
      </w:r>
      <w:r>
        <w:rPr>
          <w:rFonts w:ascii="Times New Roman" w:hAnsi="Times New Roman" w:cs="David"/>
          <w:b/>
          <w:bCs/>
          <w:sz w:val="24"/>
          <w:szCs w:val="24"/>
        </w:rPr>
        <w:t>1968-2019</w:t>
      </w:r>
    </w:p>
    <w:tbl>
      <w:tblPr>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5376"/>
        <w:gridCol w:w="964"/>
        <w:gridCol w:w="1106"/>
      </w:tblGrid>
      <w:tr w:rsidR="007E48B3" w:rsidRPr="00B9708A" w14:paraId="07BD2087" w14:textId="77777777" w:rsidTr="00416373">
        <w:trPr>
          <w:trHeight w:val="300"/>
        </w:trPr>
        <w:tc>
          <w:tcPr>
            <w:tcW w:w="1252" w:type="dxa"/>
            <w:shd w:val="clear" w:color="auto" w:fill="auto"/>
            <w:noWrap/>
            <w:vAlign w:val="bottom"/>
            <w:hideMark/>
          </w:tcPr>
          <w:p w14:paraId="2C0B4FE7" w14:textId="77777777" w:rsidR="007E48B3" w:rsidRPr="00B9708A" w:rsidRDefault="007E48B3" w:rsidP="00416373">
            <w:pPr>
              <w:bidi w:val="0"/>
              <w:rPr>
                <w:rFonts w:cs="Calibri"/>
                <w:b/>
                <w:bCs/>
                <w:color w:val="000000"/>
                <w:sz w:val="20"/>
                <w:szCs w:val="20"/>
              </w:rPr>
            </w:pPr>
            <w:r w:rsidRPr="00B9708A">
              <w:rPr>
                <w:rFonts w:cs="Calibri"/>
                <w:b/>
                <w:bCs/>
                <w:color w:val="000000"/>
                <w:sz w:val="20"/>
                <w:szCs w:val="20"/>
              </w:rPr>
              <w:t>Dimension</w:t>
            </w:r>
          </w:p>
        </w:tc>
        <w:tc>
          <w:tcPr>
            <w:tcW w:w="5376" w:type="dxa"/>
            <w:shd w:val="clear" w:color="auto" w:fill="auto"/>
            <w:noWrap/>
            <w:vAlign w:val="bottom"/>
            <w:hideMark/>
          </w:tcPr>
          <w:p w14:paraId="490518B3" w14:textId="77777777" w:rsidR="007E48B3" w:rsidRPr="00B9708A" w:rsidRDefault="007E48B3" w:rsidP="00416373">
            <w:pPr>
              <w:bidi w:val="0"/>
              <w:rPr>
                <w:rFonts w:cs="Calibri"/>
                <w:b/>
                <w:bCs/>
                <w:color w:val="000000"/>
                <w:sz w:val="20"/>
                <w:szCs w:val="20"/>
              </w:rPr>
            </w:pPr>
            <w:r w:rsidRPr="00B9708A">
              <w:rPr>
                <w:rFonts w:cs="Calibri"/>
                <w:b/>
                <w:bCs/>
                <w:color w:val="000000"/>
                <w:sz w:val="20"/>
                <w:szCs w:val="20"/>
              </w:rPr>
              <w:t>Indicator</w:t>
            </w:r>
          </w:p>
        </w:tc>
        <w:tc>
          <w:tcPr>
            <w:tcW w:w="964" w:type="dxa"/>
            <w:shd w:val="clear" w:color="auto" w:fill="auto"/>
            <w:noWrap/>
            <w:vAlign w:val="bottom"/>
            <w:hideMark/>
          </w:tcPr>
          <w:p w14:paraId="63916550" w14:textId="77777777" w:rsidR="007E48B3" w:rsidRPr="00B9708A" w:rsidRDefault="007E48B3" w:rsidP="00416373">
            <w:pPr>
              <w:bidi w:val="0"/>
              <w:rPr>
                <w:rFonts w:cs="Calibri"/>
                <w:b/>
                <w:bCs/>
                <w:color w:val="000000"/>
                <w:sz w:val="20"/>
                <w:szCs w:val="20"/>
              </w:rPr>
            </w:pPr>
            <w:r w:rsidRPr="00B9708A">
              <w:rPr>
                <w:rFonts w:cs="Calibri"/>
                <w:b/>
                <w:bCs/>
                <w:color w:val="000000"/>
                <w:sz w:val="20"/>
                <w:szCs w:val="20"/>
              </w:rPr>
              <w:t>Indicator weight</w:t>
            </w:r>
          </w:p>
        </w:tc>
        <w:tc>
          <w:tcPr>
            <w:tcW w:w="1106" w:type="dxa"/>
            <w:shd w:val="clear" w:color="auto" w:fill="auto"/>
            <w:noWrap/>
            <w:vAlign w:val="bottom"/>
            <w:hideMark/>
          </w:tcPr>
          <w:p w14:paraId="5BE8A98B" w14:textId="77777777" w:rsidR="007E48B3" w:rsidRPr="00B9708A" w:rsidRDefault="007E48B3" w:rsidP="00416373">
            <w:pPr>
              <w:bidi w:val="0"/>
              <w:rPr>
                <w:rFonts w:cs="Calibri"/>
                <w:b/>
                <w:bCs/>
                <w:color w:val="000000"/>
                <w:sz w:val="20"/>
                <w:szCs w:val="20"/>
              </w:rPr>
            </w:pPr>
            <w:r w:rsidRPr="00B9708A">
              <w:rPr>
                <w:rFonts w:cs="Calibri"/>
                <w:b/>
                <w:bCs/>
                <w:color w:val="000000"/>
                <w:sz w:val="20"/>
                <w:szCs w:val="20"/>
              </w:rPr>
              <w:t>Dimension weight</w:t>
            </w:r>
          </w:p>
        </w:tc>
      </w:tr>
      <w:tr w:rsidR="007E48B3" w:rsidRPr="00B9708A" w14:paraId="10A54CFF" w14:textId="77777777" w:rsidTr="00416373">
        <w:trPr>
          <w:trHeight w:val="300"/>
        </w:trPr>
        <w:tc>
          <w:tcPr>
            <w:tcW w:w="1252" w:type="dxa"/>
            <w:vMerge w:val="restart"/>
            <w:shd w:val="clear" w:color="auto" w:fill="auto"/>
            <w:noWrap/>
            <w:vAlign w:val="center"/>
            <w:hideMark/>
          </w:tcPr>
          <w:p w14:paraId="7D958526" w14:textId="77777777" w:rsidR="007E48B3" w:rsidRPr="00B9708A" w:rsidRDefault="007E48B3" w:rsidP="00416373">
            <w:pPr>
              <w:bidi w:val="0"/>
              <w:jc w:val="center"/>
              <w:rPr>
                <w:rFonts w:cs="Calibri"/>
                <w:color w:val="000000"/>
                <w:sz w:val="20"/>
                <w:szCs w:val="20"/>
              </w:rPr>
            </w:pPr>
            <w:r w:rsidRPr="00B9708A">
              <w:rPr>
                <w:rFonts w:cs="Calibri"/>
                <w:color w:val="000000"/>
                <w:sz w:val="20"/>
                <w:szCs w:val="20"/>
              </w:rPr>
              <w:t>Trade</w:t>
            </w:r>
          </w:p>
        </w:tc>
        <w:tc>
          <w:tcPr>
            <w:tcW w:w="5376" w:type="dxa"/>
            <w:shd w:val="clear" w:color="auto" w:fill="auto"/>
            <w:noWrap/>
            <w:vAlign w:val="bottom"/>
            <w:hideMark/>
          </w:tcPr>
          <w:p w14:paraId="6C220627" w14:textId="77777777" w:rsidR="007E48B3" w:rsidRPr="00B9708A" w:rsidRDefault="007E48B3" w:rsidP="00416373">
            <w:pPr>
              <w:bidi w:val="0"/>
              <w:rPr>
                <w:rFonts w:cs="Calibri"/>
                <w:color w:val="000000"/>
                <w:sz w:val="20"/>
                <w:szCs w:val="20"/>
              </w:rPr>
            </w:pPr>
            <w:r w:rsidRPr="00291477">
              <w:t>Palestinian exports of goods and services to Israel out of total Palestinian exports</w:t>
            </w:r>
          </w:p>
        </w:tc>
        <w:tc>
          <w:tcPr>
            <w:tcW w:w="964" w:type="dxa"/>
            <w:shd w:val="clear" w:color="auto" w:fill="auto"/>
            <w:noWrap/>
            <w:vAlign w:val="center"/>
            <w:hideMark/>
          </w:tcPr>
          <w:p w14:paraId="7052F00A" w14:textId="77777777" w:rsidR="007E48B3" w:rsidRPr="00B9708A" w:rsidRDefault="007E48B3" w:rsidP="00416373">
            <w:pPr>
              <w:bidi w:val="0"/>
              <w:jc w:val="center"/>
              <w:rPr>
                <w:rFonts w:cs="Calibri"/>
                <w:color w:val="000000"/>
                <w:sz w:val="20"/>
                <w:szCs w:val="20"/>
              </w:rPr>
            </w:pPr>
            <w:r w:rsidRPr="00B9708A">
              <w:rPr>
                <w:rFonts w:cs="Calibri"/>
                <w:color w:val="000000"/>
                <w:sz w:val="20"/>
                <w:szCs w:val="20"/>
              </w:rPr>
              <w:t>50.00%</w:t>
            </w:r>
          </w:p>
        </w:tc>
        <w:tc>
          <w:tcPr>
            <w:tcW w:w="1106" w:type="dxa"/>
            <w:vMerge w:val="restart"/>
            <w:shd w:val="clear" w:color="auto" w:fill="auto"/>
            <w:noWrap/>
            <w:vAlign w:val="center"/>
            <w:hideMark/>
          </w:tcPr>
          <w:p w14:paraId="38CFA2CC" w14:textId="77777777" w:rsidR="007E48B3" w:rsidRPr="00B9708A" w:rsidRDefault="007E48B3" w:rsidP="00416373">
            <w:pPr>
              <w:bidi w:val="0"/>
              <w:jc w:val="center"/>
              <w:rPr>
                <w:rFonts w:cs="Calibri"/>
                <w:color w:val="000000"/>
                <w:sz w:val="20"/>
                <w:szCs w:val="20"/>
              </w:rPr>
            </w:pPr>
            <w:r>
              <w:rPr>
                <w:rFonts w:cs="Calibri"/>
                <w:color w:val="000000"/>
                <w:sz w:val="20"/>
                <w:szCs w:val="20"/>
              </w:rPr>
              <w:t>33.33%</w:t>
            </w:r>
          </w:p>
        </w:tc>
      </w:tr>
      <w:tr w:rsidR="007E48B3" w:rsidRPr="00B9708A" w14:paraId="7972BC2C" w14:textId="77777777" w:rsidTr="00416373">
        <w:trPr>
          <w:trHeight w:val="300"/>
        </w:trPr>
        <w:tc>
          <w:tcPr>
            <w:tcW w:w="1252" w:type="dxa"/>
            <w:vMerge/>
            <w:vAlign w:val="center"/>
            <w:hideMark/>
          </w:tcPr>
          <w:p w14:paraId="308780CB" w14:textId="77777777" w:rsidR="007E48B3" w:rsidRPr="00B9708A" w:rsidRDefault="007E48B3" w:rsidP="00416373">
            <w:pPr>
              <w:bidi w:val="0"/>
              <w:jc w:val="center"/>
              <w:rPr>
                <w:rFonts w:cs="Calibri"/>
                <w:color w:val="000000"/>
                <w:sz w:val="20"/>
                <w:szCs w:val="20"/>
              </w:rPr>
            </w:pPr>
          </w:p>
        </w:tc>
        <w:tc>
          <w:tcPr>
            <w:tcW w:w="5376" w:type="dxa"/>
            <w:shd w:val="clear" w:color="auto" w:fill="auto"/>
            <w:noWrap/>
            <w:vAlign w:val="bottom"/>
            <w:hideMark/>
          </w:tcPr>
          <w:p w14:paraId="5964C163" w14:textId="77777777" w:rsidR="007E48B3" w:rsidRPr="00B9708A" w:rsidRDefault="007E48B3" w:rsidP="00416373">
            <w:pPr>
              <w:bidi w:val="0"/>
              <w:rPr>
                <w:rFonts w:cs="Calibri"/>
                <w:color w:val="000000"/>
                <w:sz w:val="20"/>
                <w:szCs w:val="20"/>
              </w:rPr>
            </w:pPr>
            <w:r w:rsidRPr="00291477">
              <w:t>Palestinian imports of goods and services from Israel out of total Palestinian imports</w:t>
            </w:r>
          </w:p>
        </w:tc>
        <w:tc>
          <w:tcPr>
            <w:tcW w:w="964" w:type="dxa"/>
            <w:shd w:val="clear" w:color="auto" w:fill="auto"/>
            <w:noWrap/>
            <w:vAlign w:val="center"/>
            <w:hideMark/>
          </w:tcPr>
          <w:p w14:paraId="095BE469" w14:textId="77777777" w:rsidR="007E48B3" w:rsidRPr="00B9708A" w:rsidRDefault="007E48B3" w:rsidP="00416373">
            <w:pPr>
              <w:bidi w:val="0"/>
              <w:jc w:val="center"/>
              <w:rPr>
                <w:rFonts w:cs="Calibri"/>
                <w:color w:val="000000"/>
                <w:sz w:val="20"/>
                <w:szCs w:val="20"/>
              </w:rPr>
            </w:pPr>
            <w:r w:rsidRPr="00B9708A">
              <w:rPr>
                <w:rFonts w:cs="Calibri"/>
                <w:color w:val="000000"/>
                <w:sz w:val="20"/>
                <w:szCs w:val="20"/>
              </w:rPr>
              <w:t>50.00%</w:t>
            </w:r>
          </w:p>
        </w:tc>
        <w:tc>
          <w:tcPr>
            <w:tcW w:w="1106" w:type="dxa"/>
            <w:vMerge/>
            <w:vAlign w:val="center"/>
            <w:hideMark/>
          </w:tcPr>
          <w:p w14:paraId="255643C6" w14:textId="77777777" w:rsidR="007E48B3" w:rsidRPr="00B9708A" w:rsidRDefault="007E48B3" w:rsidP="00416373">
            <w:pPr>
              <w:bidi w:val="0"/>
              <w:jc w:val="center"/>
              <w:rPr>
                <w:rFonts w:cs="Calibri"/>
                <w:color w:val="000000"/>
                <w:sz w:val="20"/>
                <w:szCs w:val="20"/>
              </w:rPr>
            </w:pPr>
          </w:p>
        </w:tc>
      </w:tr>
      <w:tr w:rsidR="007E48B3" w:rsidRPr="00B9708A" w14:paraId="3741A349" w14:textId="77777777" w:rsidTr="00416373">
        <w:trPr>
          <w:trHeight w:val="300"/>
        </w:trPr>
        <w:tc>
          <w:tcPr>
            <w:tcW w:w="1252" w:type="dxa"/>
            <w:vMerge w:val="restart"/>
            <w:shd w:val="clear" w:color="auto" w:fill="auto"/>
            <w:noWrap/>
            <w:vAlign w:val="center"/>
            <w:hideMark/>
          </w:tcPr>
          <w:p w14:paraId="41A9DB7F" w14:textId="77777777" w:rsidR="007E48B3" w:rsidRPr="00B9708A" w:rsidRDefault="007E48B3" w:rsidP="00416373">
            <w:pPr>
              <w:bidi w:val="0"/>
              <w:jc w:val="center"/>
              <w:rPr>
                <w:rFonts w:cs="Calibri"/>
                <w:color w:val="000000"/>
                <w:sz w:val="20"/>
                <w:szCs w:val="20"/>
              </w:rPr>
            </w:pPr>
            <w:r w:rsidRPr="00B9708A">
              <w:rPr>
                <w:rFonts w:cs="Calibri"/>
                <w:color w:val="000000"/>
                <w:sz w:val="20"/>
                <w:szCs w:val="20"/>
              </w:rPr>
              <w:t>Employment</w:t>
            </w:r>
          </w:p>
        </w:tc>
        <w:tc>
          <w:tcPr>
            <w:tcW w:w="5376" w:type="dxa"/>
            <w:shd w:val="clear" w:color="auto" w:fill="auto"/>
            <w:noWrap/>
            <w:vAlign w:val="bottom"/>
            <w:hideMark/>
          </w:tcPr>
          <w:p w14:paraId="2C566630" w14:textId="79E5D916" w:rsidR="007E48B3" w:rsidRPr="00B9708A" w:rsidRDefault="007E48B3" w:rsidP="00416373">
            <w:pPr>
              <w:bidi w:val="0"/>
              <w:rPr>
                <w:rFonts w:cs="Calibri"/>
                <w:color w:val="000000"/>
                <w:sz w:val="20"/>
                <w:szCs w:val="20"/>
              </w:rPr>
            </w:pPr>
            <w:r w:rsidRPr="00291477">
              <w:t xml:space="preserve">Palestinians employed in Israel out of total Palestinian </w:t>
            </w:r>
            <w:r w:rsidR="00223894">
              <w:t>i</w:t>
            </w:r>
            <w:r w:rsidR="005551C2" w:rsidRPr="00291477">
              <w:t xml:space="preserve">ndividuals </w:t>
            </w:r>
            <w:r w:rsidRPr="00291477">
              <w:t xml:space="preserve">employed </w:t>
            </w:r>
          </w:p>
        </w:tc>
        <w:tc>
          <w:tcPr>
            <w:tcW w:w="964" w:type="dxa"/>
            <w:shd w:val="clear" w:color="auto" w:fill="auto"/>
            <w:noWrap/>
            <w:vAlign w:val="center"/>
            <w:hideMark/>
          </w:tcPr>
          <w:p w14:paraId="099B0B1E" w14:textId="77777777" w:rsidR="007E48B3" w:rsidRPr="00B9708A" w:rsidRDefault="007E48B3" w:rsidP="00416373">
            <w:pPr>
              <w:bidi w:val="0"/>
              <w:jc w:val="center"/>
              <w:rPr>
                <w:rFonts w:cs="Calibri"/>
                <w:color w:val="000000"/>
                <w:sz w:val="20"/>
                <w:szCs w:val="20"/>
              </w:rPr>
            </w:pPr>
            <w:r w:rsidRPr="00B9708A">
              <w:rPr>
                <w:rFonts w:cs="Calibri"/>
                <w:color w:val="000000"/>
                <w:sz w:val="20"/>
                <w:szCs w:val="20"/>
              </w:rPr>
              <w:t>50.00%</w:t>
            </w:r>
          </w:p>
        </w:tc>
        <w:tc>
          <w:tcPr>
            <w:tcW w:w="1106" w:type="dxa"/>
            <w:vMerge w:val="restart"/>
            <w:shd w:val="clear" w:color="auto" w:fill="auto"/>
            <w:noWrap/>
            <w:vAlign w:val="center"/>
            <w:hideMark/>
          </w:tcPr>
          <w:p w14:paraId="1C0642E9" w14:textId="77777777" w:rsidR="007E48B3" w:rsidRPr="00B9708A" w:rsidRDefault="007E48B3" w:rsidP="00416373">
            <w:pPr>
              <w:bidi w:val="0"/>
              <w:jc w:val="center"/>
              <w:rPr>
                <w:rFonts w:cs="Calibri"/>
                <w:color w:val="000000"/>
                <w:sz w:val="20"/>
                <w:szCs w:val="20"/>
              </w:rPr>
            </w:pPr>
            <w:r>
              <w:rPr>
                <w:rFonts w:cs="Calibri"/>
                <w:color w:val="000000"/>
                <w:sz w:val="20"/>
                <w:szCs w:val="20"/>
              </w:rPr>
              <w:t>33.33%</w:t>
            </w:r>
          </w:p>
        </w:tc>
      </w:tr>
      <w:tr w:rsidR="007E48B3" w:rsidRPr="00B9708A" w14:paraId="74F3326A" w14:textId="77777777" w:rsidTr="00416373">
        <w:trPr>
          <w:trHeight w:val="300"/>
        </w:trPr>
        <w:tc>
          <w:tcPr>
            <w:tcW w:w="1252" w:type="dxa"/>
            <w:vMerge/>
            <w:vAlign w:val="center"/>
            <w:hideMark/>
          </w:tcPr>
          <w:p w14:paraId="6C21FBA9" w14:textId="77777777" w:rsidR="007E48B3" w:rsidRPr="00B9708A" w:rsidRDefault="007E48B3" w:rsidP="00416373">
            <w:pPr>
              <w:bidi w:val="0"/>
              <w:jc w:val="center"/>
              <w:rPr>
                <w:rFonts w:cs="Calibri"/>
                <w:color w:val="000000"/>
                <w:sz w:val="20"/>
                <w:szCs w:val="20"/>
              </w:rPr>
            </w:pPr>
          </w:p>
        </w:tc>
        <w:tc>
          <w:tcPr>
            <w:tcW w:w="5376" w:type="dxa"/>
            <w:shd w:val="clear" w:color="auto" w:fill="auto"/>
            <w:noWrap/>
            <w:vAlign w:val="bottom"/>
            <w:hideMark/>
          </w:tcPr>
          <w:p w14:paraId="6EC081EC" w14:textId="77777777" w:rsidR="007E48B3" w:rsidRPr="00B9708A" w:rsidRDefault="007E48B3" w:rsidP="00416373">
            <w:pPr>
              <w:bidi w:val="0"/>
              <w:rPr>
                <w:rFonts w:cs="Calibri"/>
                <w:color w:val="000000"/>
                <w:sz w:val="20"/>
                <w:szCs w:val="20"/>
              </w:rPr>
            </w:pPr>
            <w:r w:rsidRPr="00291477">
              <w:t>Remittances of Palestinians workers in Israel out of WBG GNI</w:t>
            </w:r>
          </w:p>
        </w:tc>
        <w:tc>
          <w:tcPr>
            <w:tcW w:w="964" w:type="dxa"/>
            <w:shd w:val="clear" w:color="auto" w:fill="auto"/>
            <w:noWrap/>
            <w:vAlign w:val="center"/>
            <w:hideMark/>
          </w:tcPr>
          <w:p w14:paraId="6A451A91" w14:textId="77777777" w:rsidR="007E48B3" w:rsidRPr="00B9708A" w:rsidRDefault="007E48B3" w:rsidP="00416373">
            <w:pPr>
              <w:bidi w:val="0"/>
              <w:jc w:val="center"/>
              <w:rPr>
                <w:rFonts w:cs="Calibri"/>
                <w:color w:val="000000"/>
                <w:sz w:val="20"/>
                <w:szCs w:val="20"/>
              </w:rPr>
            </w:pPr>
            <w:r w:rsidRPr="00B9708A">
              <w:rPr>
                <w:rFonts w:cs="Calibri"/>
                <w:color w:val="000000"/>
                <w:sz w:val="20"/>
                <w:szCs w:val="20"/>
              </w:rPr>
              <w:t>50.00%</w:t>
            </w:r>
          </w:p>
        </w:tc>
        <w:tc>
          <w:tcPr>
            <w:tcW w:w="1106" w:type="dxa"/>
            <w:vMerge/>
            <w:vAlign w:val="center"/>
            <w:hideMark/>
          </w:tcPr>
          <w:p w14:paraId="781912CD" w14:textId="77777777" w:rsidR="007E48B3" w:rsidRPr="00B9708A" w:rsidRDefault="007E48B3" w:rsidP="00416373">
            <w:pPr>
              <w:bidi w:val="0"/>
              <w:jc w:val="center"/>
              <w:rPr>
                <w:rFonts w:cs="Calibri"/>
                <w:color w:val="000000"/>
                <w:sz w:val="20"/>
                <w:szCs w:val="20"/>
              </w:rPr>
            </w:pPr>
          </w:p>
        </w:tc>
      </w:tr>
      <w:tr w:rsidR="007E48B3" w:rsidRPr="00B9708A" w14:paraId="37FD0369" w14:textId="77777777" w:rsidTr="00416373">
        <w:trPr>
          <w:trHeight w:val="300"/>
        </w:trPr>
        <w:tc>
          <w:tcPr>
            <w:tcW w:w="1252" w:type="dxa"/>
            <w:vMerge w:val="restart"/>
            <w:shd w:val="clear" w:color="auto" w:fill="auto"/>
            <w:noWrap/>
            <w:vAlign w:val="center"/>
            <w:hideMark/>
          </w:tcPr>
          <w:p w14:paraId="30E1F4BC" w14:textId="77777777" w:rsidR="007E48B3" w:rsidRPr="00B9708A" w:rsidRDefault="007E48B3" w:rsidP="00416373">
            <w:pPr>
              <w:bidi w:val="0"/>
              <w:jc w:val="center"/>
              <w:rPr>
                <w:rFonts w:cs="Calibri"/>
                <w:color w:val="000000"/>
                <w:sz w:val="20"/>
                <w:szCs w:val="20"/>
              </w:rPr>
            </w:pPr>
            <w:r w:rsidRPr="00B9708A">
              <w:rPr>
                <w:rFonts w:cs="Calibri"/>
                <w:color w:val="000000"/>
                <w:sz w:val="20"/>
                <w:szCs w:val="20"/>
              </w:rPr>
              <w:t>Wealth and standard of living</w:t>
            </w:r>
          </w:p>
        </w:tc>
        <w:tc>
          <w:tcPr>
            <w:tcW w:w="5376" w:type="dxa"/>
            <w:shd w:val="clear" w:color="auto" w:fill="auto"/>
            <w:noWrap/>
            <w:vAlign w:val="bottom"/>
            <w:hideMark/>
          </w:tcPr>
          <w:p w14:paraId="67769D3F" w14:textId="77777777" w:rsidR="007E48B3" w:rsidRPr="00B9708A" w:rsidRDefault="007E48B3" w:rsidP="00416373">
            <w:pPr>
              <w:bidi w:val="0"/>
              <w:rPr>
                <w:rFonts w:cs="Calibri"/>
                <w:color w:val="000000"/>
                <w:sz w:val="20"/>
                <w:szCs w:val="20"/>
              </w:rPr>
            </w:pPr>
            <w:r w:rsidRPr="00B9708A">
              <w:rPr>
                <w:rFonts w:cs="Calibri"/>
                <w:color w:val="000000"/>
                <w:sz w:val="20"/>
                <w:szCs w:val="20"/>
              </w:rPr>
              <w:t xml:space="preserve">GDP per Capita </w:t>
            </w:r>
            <w:r>
              <w:rPr>
                <w:rFonts w:cs="Calibri"/>
                <w:color w:val="000000"/>
                <w:sz w:val="20"/>
                <w:szCs w:val="20"/>
              </w:rPr>
              <w:t>r</w:t>
            </w:r>
            <w:r w:rsidRPr="00B9708A">
              <w:rPr>
                <w:rFonts w:cs="Calibri"/>
                <w:color w:val="000000"/>
                <w:sz w:val="20"/>
                <w:szCs w:val="20"/>
              </w:rPr>
              <w:t xml:space="preserve">atio </w:t>
            </w:r>
          </w:p>
        </w:tc>
        <w:tc>
          <w:tcPr>
            <w:tcW w:w="964" w:type="dxa"/>
            <w:shd w:val="clear" w:color="auto" w:fill="auto"/>
            <w:noWrap/>
            <w:vAlign w:val="center"/>
            <w:hideMark/>
          </w:tcPr>
          <w:p w14:paraId="4C7B68A1" w14:textId="77777777" w:rsidR="007E48B3" w:rsidRPr="00B9708A" w:rsidRDefault="007E48B3" w:rsidP="00416373">
            <w:pPr>
              <w:bidi w:val="0"/>
              <w:jc w:val="center"/>
              <w:rPr>
                <w:rFonts w:cs="Calibri"/>
                <w:color w:val="000000"/>
                <w:sz w:val="20"/>
                <w:szCs w:val="20"/>
              </w:rPr>
            </w:pPr>
            <w:r w:rsidRPr="00B9708A">
              <w:rPr>
                <w:rFonts w:cs="Calibri"/>
                <w:color w:val="000000"/>
                <w:sz w:val="20"/>
                <w:szCs w:val="20"/>
              </w:rPr>
              <w:t>50.00%</w:t>
            </w:r>
          </w:p>
        </w:tc>
        <w:tc>
          <w:tcPr>
            <w:tcW w:w="1106" w:type="dxa"/>
            <w:vMerge w:val="restart"/>
            <w:shd w:val="clear" w:color="auto" w:fill="auto"/>
            <w:noWrap/>
            <w:vAlign w:val="center"/>
            <w:hideMark/>
          </w:tcPr>
          <w:p w14:paraId="3569D429" w14:textId="77777777" w:rsidR="007E48B3" w:rsidRPr="00B9708A" w:rsidRDefault="007E48B3" w:rsidP="00416373">
            <w:pPr>
              <w:bidi w:val="0"/>
              <w:jc w:val="center"/>
              <w:rPr>
                <w:rFonts w:cs="Calibri"/>
                <w:color w:val="000000"/>
                <w:sz w:val="20"/>
                <w:szCs w:val="20"/>
              </w:rPr>
            </w:pPr>
            <w:r>
              <w:rPr>
                <w:rFonts w:cs="Calibri"/>
                <w:color w:val="000000"/>
                <w:sz w:val="20"/>
                <w:szCs w:val="20"/>
              </w:rPr>
              <w:t>33.33%</w:t>
            </w:r>
          </w:p>
        </w:tc>
      </w:tr>
      <w:tr w:rsidR="007E48B3" w:rsidRPr="00B9708A" w14:paraId="25B32353" w14:textId="77777777" w:rsidTr="00416373">
        <w:trPr>
          <w:trHeight w:val="300"/>
        </w:trPr>
        <w:tc>
          <w:tcPr>
            <w:tcW w:w="1252" w:type="dxa"/>
            <w:vMerge/>
            <w:vAlign w:val="center"/>
            <w:hideMark/>
          </w:tcPr>
          <w:p w14:paraId="007896CF" w14:textId="77777777" w:rsidR="007E48B3" w:rsidRPr="00B9708A" w:rsidRDefault="007E48B3" w:rsidP="00416373">
            <w:pPr>
              <w:bidi w:val="0"/>
              <w:rPr>
                <w:rFonts w:cs="Calibri"/>
                <w:color w:val="000000"/>
                <w:sz w:val="20"/>
                <w:szCs w:val="20"/>
              </w:rPr>
            </w:pPr>
          </w:p>
        </w:tc>
        <w:tc>
          <w:tcPr>
            <w:tcW w:w="5376" w:type="dxa"/>
            <w:shd w:val="clear" w:color="auto" w:fill="auto"/>
            <w:noWrap/>
            <w:vAlign w:val="bottom"/>
            <w:hideMark/>
          </w:tcPr>
          <w:p w14:paraId="2D3E3780" w14:textId="77777777" w:rsidR="007E48B3" w:rsidRPr="00B9708A" w:rsidRDefault="007E48B3" w:rsidP="00416373">
            <w:pPr>
              <w:bidi w:val="0"/>
              <w:rPr>
                <w:rFonts w:cs="Calibri"/>
                <w:color w:val="000000"/>
                <w:sz w:val="20"/>
                <w:szCs w:val="20"/>
              </w:rPr>
            </w:pPr>
            <w:r w:rsidRPr="00B9708A">
              <w:rPr>
                <w:rFonts w:cs="Calibri"/>
                <w:color w:val="000000"/>
                <w:sz w:val="20"/>
                <w:szCs w:val="20"/>
              </w:rPr>
              <w:t xml:space="preserve">Daily Wage </w:t>
            </w:r>
            <w:r>
              <w:rPr>
                <w:rFonts w:cs="Calibri"/>
                <w:color w:val="000000"/>
                <w:sz w:val="20"/>
                <w:szCs w:val="20"/>
              </w:rPr>
              <w:t>r</w:t>
            </w:r>
            <w:r w:rsidRPr="00B9708A">
              <w:rPr>
                <w:rFonts w:cs="Calibri"/>
                <w:color w:val="000000"/>
                <w:sz w:val="20"/>
                <w:szCs w:val="20"/>
              </w:rPr>
              <w:t>atio</w:t>
            </w:r>
          </w:p>
        </w:tc>
        <w:tc>
          <w:tcPr>
            <w:tcW w:w="964" w:type="dxa"/>
            <w:shd w:val="clear" w:color="auto" w:fill="auto"/>
            <w:noWrap/>
            <w:vAlign w:val="center"/>
            <w:hideMark/>
          </w:tcPr>
          <w:p w14:paraId="46E3FB19" w14:textId="77777777" w:rsidR="007E48B3" w:rsidRPr="00B9708A" w:rsidRDefault="007E48B3" w:rsidP="00416373">
            <w:pPr>
              <w:bidi w:val="0"/>
              <w:jc w:val="center"/>
              <w:rPr>
                <w:rFonts w:cs="Calibri"/>
                <w:color w:val="000000"/>
                <w:sz w:val="20"/>
                <w:szCs w:val="20"/>
              </w:rPr>
            </w:pPr>
            <w:r w:rsidRPr="00B9708A">
              <w:rPr>
                <w:rFonts w:cs="Calibri"/>
                <w:color w:val="000000"/>
                <w:sz w:val="20"/>
                <w:szCs w:val="20"/>
              </w:rPr>
              <w:t>50.00%</w:t>
            </w:r>
          </w:p>
        </w:tc>
        <w:tc>
          <w:tcPr>
            <w:tcW w:w="1106" w:type="dxa"/>
            <w:vMerge/>
            <w:vAlign w:val="center"/>
            <w:hideMark/>
          </w:tcPr>
          <w:p w14:paraId="3324CC01" w14:textId="77777777" w:rsidR="007E48B3" w:rsidRPr="00B9708A" w:rsidRDefault="007E48B3" w:rsidP="00416373">
            <w:pPr>
              <w:bidi w:val="0"/>
              <w:jc w:val="center"/>
              <w:rPr>
                <w:rFonts w:cs="Calibri"/>
                <w:color w:val="000000"/>
                <w:sz w:val="20"/>
                <w:szCs w:val="20"/>
              </w:rPr>
            </w:pPr>
          </w:p>
        </w:tc>
      </w:tr>
    </w:tbl>
    <w:p w14:paraId="645EDC46" w14:textId="77777777" w:rsidR="007E48B3" w:rsidRDefault="007E48B3" w:rsidP="007E48B3">
      <w:pPr>
        <w:pStyle w:val="ListParagraph"/>
        <w:bidi w:val="0"/>
        <w:spacing w:line="480" w:lineRule="auto"/>
        <w:rPr>
          <w:rFonts w:ascii="Times New Roman" w:hAnsi="Times New Roman" w:cs="David"/>
          <w:sz w:val="24"/>
          <w:szCs w:val="24"/>
          <w:rtl/>
        </w:rPr>
      </w:pPr>
    </w:p>
    <w:p w14:paraId="26356151" w14:textId="77777777" w:rsidR="007E48B3" w:rsidRDefault="007E48B3" w:rsidP="007E48B3">
      <w:pPr>
        <w:pStyle w:val="ListParagraph"/>
        <w:bidi w:val="0"/>
        <w:spacing w:line="480" w:lineRule="auto"/>
        <w:ind w:left="0"/>
        <w:rPr>
          <w:rFonts w:ascii="Times New Roman" w:hAnsi="Times New Roman" w:cs="David"/>
          <w:sz w:val="24"/>
          <w:szCs w:val="24"/>
        </w:rPr>
      </w:pPr>
      <w:r>
        <w:rPr>
          <w:rFonts w:ascii="Times New Roman" w:hAnsi="Times New Roman" w:cs="David"/>
          <w:sz w:val="24"/>
          <w:szCs w:val="24"/>
        </w:rPr>
        <w:t xml:space="preserve">Number of dimensions: </w:t>
      </w:r>
      <w:r>
        <w:rPr>
          <w:rFonts w:ascii="Times New Roman" w:hAnsi="Times New Roman" w:cs="David" w:hint="cs"/>
          <w:sz w:val="24"/>
          <w:szCs w:val="24"/>
          <w:rtl/>
        </w:rPr>
        <w:t>3</w:t>
      </w:r>
    </w:p>
    <w:p w14:paraId="68E32BE0" w14:textId="77777777" w:rsidR="007E48B3" w:rsidRDefault="007E48B3" w:rsidP="007E48B3">
      <w:pPr>
        <w:pStyle w:val="ListParagraph"/>
        <w:bidi w:val="0"/>
        <w:spacing w:line="480" w:lineRule="auto"/>
        <w:ind w:left="0"/>
        <w:rPr>
          <w:rFonts w:ascii="Times New Roman" w:hAnsi="Times New Roman" w:cs="David"/>
          <w:sz w:val="24"/>
          <w:szCs w:val="24"/>
        </w:rPr>
      </w:pPr>
      <w:r>
        <w:rPr>
          <w:rFonts w:ascii="Times New Roman" w:hAnsi="Times New Roman" w:cs="David"/>
          <w:sz w:val="24"/>
          <w:szCs w:val="24"/>
        </w:rPr>
        <w:t xml:space="preserve">Number of indicators: </w:t>
      </w:r>
      <w:r>
        <w:rPr>
          <w:rFonts w:ascii="Times New Roman" w:hAnsi="Times New Roman" w:cs="David" w:hint="cs"/>
          <w:sz w:val="24"/>
          <w:szCs w:val="24"/>
          <w:rtl/>
        </w:rPr>
        <w:t>6</w:t>
      </w:r>
    </w:p>
    <w:p w14:paraId="6E172D34" w14:textId="77777777" w:rsidR="007E48B3" w:rsidRPr="00A877B8" w:rsidRDefault="007E48B3" w:rsidP="007E48B3">
      <w:pPr>
        <w:bidi w:val="0"/>
        <w:spacing w:line="480" w:lineRule="auto"/>
        <w:ind w:left="-720" w:firstLine="720"/>
        <w:rPr>
          <w:rFonts w:asciiTheme="majorBidi" w:hAnsiTheme="majorBidi" w:cstheme="majorBidi"/>
          <w:sz w:val="24"/>
          <w:szCs w:val="24"/>
        </w:rPr>
      </w:pPr>
      <w:r w:rsidRPr="00A877B8">
        <w:rPr>
          <w:rFonts w:ascii="Times New Roman" w:hAnsi="Times New Roman" w:cs="David"/>
          <w:sz w:val="24"/>
          <w:szCs w:val="24"/>
        </w:rPr>
        <w:t xml:space="preserve">The weighting technique - </w:t>
      </w:r>
      <w:r w:rsidRPr="00A877B8">
        <w:rPr>
          <w:rFonts w:asciiTheme="majorBidi" w:hAnsiTheme="majorBidi" w:cstheme="majorBidi"/>
          <w:sz w:val="24"/>
          <w:szCs w:val="24"/>
        </w:rPr>
        <w:t>Equal weighting system</w:t>
      </w:r>
    </w:p>
    <w:p w14:paraId="564F11D0" w14:textId="0E52108F" w:rsidR="007E48B3" w:rsidRPr="00203C14" w:rsidRDefault="007E48B3" w:rsidP="007E48B3">
      <w:pPr>
        <w:pStyle w:val="ListParagraph"/>
        <w:bidi w:val="0"/>
        <w:spacing w:line="276" w:lineRule="auto"/>
        <w:ind w:left="0"/>
        <w:jc w:val="center"/>
        <w:rPr>
          <w:rFonts w:ascii="Times New Roman" w:hAnsi="Times New Roman" w:cs="David"/>
          <w:b/>
          <w:bCs/>
          <w:sz w:val="24"/>
          <w:szCs w:val="24"/>
        </w:rPr>
      </w:pPr>
      <w:r>
        <w:rPr>
          <w:rFonts w:ascii="Times New Roman" w:hAnsi="Times New Roman" w:cs="David"/>
          <w:b/>
          <w:bCs/>
          <w:sz w:val="24"/>
          <w:szCs w:val="24"/>
        </w:rPr>
        <w:t xml:space="preserve">Figure </w:t>
      </w:r>
      <w:r w:rsidR="00DD6A09">
        <w:rPr>
          <w:rFonts w:ascii="Times New Roman" w:hAnsi="Times New Roman" w:cs="David"/>
          <w:b/>
          <w:bCs/>
          <w:sz w:val="24"/>
          <w:szCs w:val="24"/>
        </w:rPr>
        <w:t>3</w:t>
      </w:r>
      <w:r>
        <w:rPr>
          <w:rFonts w:ascii="Times New Roman" w:hAnsi="Times New Roman" w:cs="David"/>
          <w:b/>
          <w:bCs/>
          <w:sz w:val="24"/>
          <w:szCs w:val="24"/>
        </w:rPr>
        <w:t xml:space="preserve">1: </w:t>
      </w:r>
      <w:r w:rsidRPr="00203C14">
        <w:rPr>
          <w:rFonts w:ascii="Times New Roman" w:hAnsi="Times New Roman" w:cs="David"/>
          <w:b/>
          <w:bCs/>
          <w:sz w:val="24"/>
          <w:szCs w:val="24"/>
        </w:rPr>
        <w:t>ISR-WBG-II 1968-2019</w:t>
      </w:r>
      <w:r>
        <w:rPr>
          <w:rFonts w:ascii="Times New Roman" w:hAnsi="Times New Roman" w:cs="David"/>
          <w:b/>
          <w:bCs/>
          <w:sz w:val="24"/>
          <w:szCs w:val="24"/>
        </w:rPr>
        <w:t xml:space="preserve"> – Total index</w:t>
      </w:r>
    </w:p>
    <w:p w14:paraId="326B2B70" w14:textId="77777777" w:rsidR="007E48B3" w:rsidRDefault="007E48B3" w:rsidP="007E48B3">
      <w:pPr>
        <w:pStyle w:val="ListParagraph"/>
        <w:bidi w:val="0"/>
        <w:spacing w:line="480" w:lineRule="auto"/>
        <w:rPr>
          <w:rFonts w:ascii="Times New Roman" w:hAnsi="Times New Roman" w:cs="David"/>
          <w:b/>
          <w:bCs/>
          <w:sz w:val="24"/>
          <w:szCs w:val="24"/>
        </w:rPr>
      </w:pPr>
      <w:r>
        <w:rPr>
          <w:noProof/>
        </w:rPr>
        <w:drawing>
          <wp:inline distT="0" distB="0" distL="0" distR="0" wp14:anchorId="43F26A41" wp14:editId="45E3163B">
            <wp:extent cx="4320000" cy="2520000"/>
            <wp:effectExtent l="0" t="0" r="4445" b="13970"/>
            <wp:docPr id="33" name="תרשים 11">
              <a:extLst xmlns:a="http://schemas.openxmlformats.org/drawingml/2006/main">
                <a:ext uri="{FF2B5EF4-FFF2-40B4-BE49-F238E27FC236}">
                  <a16:creationId xmlns:a16="http://schemas.microsoft.com/office/drawing/2014/main" id="{ED113B30-83BD-4356-9146-1B471B033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664FC43" w14:textId="77777777" w:rsidR="00B85B72" w:rsidRDefault="00B85B72" w:rsidP="007E48B3">
      <w:pPr>
        <w:pStyle w:val="ListParagraph"/>
        <w:bidi w:val="0"/>
        <w:spacing w:line="276" w:lineRule="auto"/>
        <w:ind w:left="0"/>
        <w:jc w:val="center"/>
        <w:rPr>
          <w:rFonts w:ascii="Times New Roman" w:hAnsi="Times New Roman" w:cs="David"/>
          <w:b/>
          <w:bCs/>
          <w:sz w:val="24"/>
          <w:szCs w:val="24"/>
        </w:rPr>
      </w:pPr>
    </w:p>
    <w:p w14:paraId="546E2581" w14:textId="6DEEE3BB" w:rsidR="007E48B3" w:rsidRPr="009525DA" w:rsidRDefault="007E48B3" w:rsidP="007E48B3">
      <w:pPr>
        <w:pStyle w:val="ListParagraph"/>
        <w:bidi w:val="0"/>
        <w:spacing w:line="276" w:lineRule="auto"/>
        <w:ind w:left="0"/>
        <w:jc w:val="center"/>
        <w:rPr>
          <w:rFonts w:ascii="Times New Roman" w:hAnsi="Times New Roman" w:cs="David"/>
          <w:b/>
          <w:bCs/>
          <w:sz w:val="24"/>
          <w:szCs w:val="24"/>
        </w:rPr>
      </w:pPr>
      <w:r>
        <w:rPr>
          <w:rFonts w:ascii="Times New Roman" w:hAnsi="Times New Roman" w:cs="David"/>
          <w:b/>
          <w:bCs/>
          <w:sz w:val="24"/>
          <w:szCs w:val="24"/>
        </w:rPr>
        <w:t xml:space="preserve">Figure </w:t>
      </w:r>
      <w:r w:rsidR="00DD6A09">
        <w:rPr>
          <w:rFonts w:ascii="Times New Roman" w:hAnsi="Times New Roman" w:cs="David"/>
          <w:b/>
          <w:bCs/>
          <w:sz w:val="24"/>
          <w:szCs w:val="24"/>
        </w:rPr>
        <w:t>3</w:t>
      </w:r>
      <w:r>
        <w:rPr>
          <w:rFonts w:ascii="Times New Roman" w:hAnsi="Times New Roman" w:cs="David"/>
          <w:b/>
          <w:bCs/>
          <w:sz w:val="24"/>
          <w:szCs w:val="24"/>
        </w:rPr>
        <w:t xml:space="preserve">2: </w:t>
      </w:r>
      <w:r w:rsidRPr="00203C14">
        <w:rPr>
          <w:rFonts w:ascii="Times New Roman" w:hAnsi="Times New Roman" w:cs="David"/>
          <w:b/>
          <w:bCs/>
          <w:sz w:val="24"/>
          <w:szCs w:val="24"/>
        </w:rPr>
        <w:t>ISR-WBG-II 1968-2019</w:t>
      </w:r>
      <w:r>
        <w:rPr>
          <w:rFonts w:ascii="Times New Roman" w:hAnsi="Times New Roman" w:cs="David"/>
          <w:b/>
          <w:bCs/>
          <w:sz w:val="24"/>
          <w:szCs w:val="24"/>
        </w:rPr>
        <w:t xml:space="preserve"> b</w:t>
      </w:r>
      <w:r w:rsidRPr="009525DA">
        <w:rPr>
          <w:rFonts w:ascii="Times New Roman" w:hAnsi="Times New Roman" w:cs="David"/>
          <w:b/>
          <w:bCs/>
          <w:sz w:val="24"/>
          <w:szCs w:val="24"/>
        </w:rPr>
        <w:t xml:space="preserve">y dimensions </w:t>
      </w:r>
    </w:p>
    <w:p w14:paraId="20A19A16" w14:textId="77777777" w:rsidR="007E48B3" w:rsidRDefault="007E48B3" w:rsidP="007E48B3">
      <w:pPr>
        <w:pStyle w:val="ListParagraph"/>
        <w:bidi w:val="0"/>
        <w:spacing w:line="480" w:lineRule="auto"/>
        <w:ind w:left="0"/>
        <w:jc w:val="center"/>
        <w:rPr>
          <w:noProof/>
        </w:rPr>
      </w:pPr>
      <w:r>
        <w:rPr>
          <w:noProof/>
        </w:rPr>
        <w:drawing>
          <wp:inline distT="0" distB="0" distL="0" distR="0" wp14:anchorId="33D8AE60" wp14:editId="1AA663A8">
            <wp:extent cx="4320000" cy="2520000"/>
            <wp:effectExtent l="0" t="0" r="4445" b="13970"/>
            <wp:docPr id="34" name="תרשים 17">
              <a:extLst xmlns:a="http://schemas.openxmlformats.org/drawingml/2006/main">
                <a:ext uri="{FF2B5EF4-FFF2-40B4-BE49-F238E27FC236}">
                  <a16:creationId xmlns:a16="http://schemas.microsoft.com/office/drawing/2014/main" id="{053469C8-A5D6-491E-AA4D-04A7BFDEA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2A0F7C2" w14:textId="77777777" w:rsidR="007E48B3" w:rsidRDefault="007E48B3" w:rsidP="007E48B3">
      <w:pPr>
        <w:pStyle w:val="ListParagraph"/>
        <w:bidi w:val="0"/>
        <w:spacing w:line="276" w:lineRule="auto"/>
        <w:ind w:left="0"/>
        <w:jc w:val="center"/>
        <w:rPr>
          <w:rFonts w:ascii="Times New Roman" w:hAnsi="Times New Roman" w:cs="David"/>
          <w:b/>
          <w:bCs/>
          <w:sz w:val="24"/>
          <w:szCs w:val="24"/>
          <w:rtl/>
        </w:rPr>
      </w:pPr>
    </w:p>
    <w:p w14:paraId="244DCF67" w14:textId="00A35C19" w:rsidR="007E48B3" w:rsidRPr="00A811C5" w:rsidRDefault="007E48B3" w:rsidP="007E48B3">
      <w:pPr>
        <w:pStyle w:val="ListParagraph"/>
        <w:bidi w:val="0"/>
        <w:spacing w:line="276" w:lineRule="auto"/>
        <w:ind w:left="0"/>
        <w:jc w:val="center"/>
        <w:rPr>
          <w:b/>
          <w:bCs/>
          <w:sz w:val="24"/>
          <w:szCs w:val="24"/>
        </w:rPr>
      </w:pPr>
      <w:r>
        <w:rPr>
          <w:rFonts w:ascii="Times New Roman" w:hAnsi="Times New Roman" w:cs="David"/>
          <w:b/>
          <w:bCs/>
          <w:sz w:val="24"/>
          <w:szCs w:val="24"/>
        </w:rPr>
        <w:t xml:space="preserve">Figure </w:t>
      </w:r>
      <w:r w:rsidR="00DD6A09">
        <w:rPr>
          <w:rFonts w:ascii="Times New Roman" w:hAnsi="Times New Roman" w:cs="David"/>
          <w:b/>
          <w:bCs/>
          <w:sz w:val="24"/>
          <w:szCs w:val="24"/>
        </w:rPr>
        <w:t>3</w:t>
      </w:r>
      <w:r>
        <w:rPr>
          <w:rFonts w:ascii="Times New Roman" w:hAnsi="Times New Roman" w:cs="David"/>
          <w:b/>
          <w:bCs/>
          <w:sz w:val="24"/>
          <w:szCs w:val="24"/>
        </w:rPr>
        <w:t xml:space="preserve">3: </w:t>
      </w:r>
      <w:r w:rsidRPr="00A811C5">
        <w:rPr>
          <w:rFonts w:ascii="Times New Roman" w:hAnsi="Times New Roman" w:cs="David"/>
          <w:b/>
          <w:bCs/>
          <w:sz w:val="24"/>
          <w:szCs w:val="24"/>
        </w:rPr>
        <w:t xml:space="preserve">ISR-WBG-II 1968-2019 </w:t>
      </w:r>
      <w:r w:rsidRPr="00A811C5">
        <w:rPr>
          <w:b/>
          <w:bCs/>
          <w:noProof/>
          <w:sz w:val="24"/>
          <w:szCs w:val="24"/>
        </w:rPr>
        <w:t xml:space="preserve">by contribution of </w:t>
      </w:r>
      <w:r w:rsidRPr="00A811C5">
        <w:rPr>
          <w:rFonts w:ascii="Times New Roman" w:hAnsi="Times New Roman" w:cs="David"/>
          <w:b/>
          <w:bCs/>
          <w:sz w:val="24"/>
          <w:szCs w:val="24"/>
        </w:rPr>
        <w:t>dimensions</w:t>
      </w:r>
      <w:r w:rsidRPr="00A811C5">
        <w:rPr>
          <w:b/>
          <w:bCs/>
          <w:sz w:val="24"/>
          <w:szCs w:val="24"/>
        </w:rPr>
        <w:t xml:space="preserve"> </w:t>
      </w:r>
    </w:p>
    <w:p w14:paraId="581A7B0F" w14:textId="77777777" w:rsidR="007E48B3" w:rsidRDefault="007E48B3" w:rsidP="007E48B3">
      <w:pPr>
        <w:pStyle w:val="ListParagraph"/>
        <w:bidi w:val="0"/>
        <w:spacing w:line="480" w:lineRule="auto"/>
        <w:ind w:left="0"/>
        <w:jc w:val="center"/>
        <w:rPr>
          <w:rFonts w:ascii="Times New Roman" w:hAnsi="Times New Roman" w:cs="David"/>
          <w:b/>
          <w:bCs/>
          <w:sz w:val="24"/>
          <w:szCs w:val="24"/>
        </w:rPr>
      </w:pPr>
      <w:r>
        <w:rPr>
          <w:noProof/>
        </w:rPr>
        <w:drawing>
          <wp:inline distT="0" distB="0" distL="0" distR="0" wp14:anchorId="7C49E225" wp14:editId="39759589">
            <wp:extent cx="4320000" cy="2520000"/>
            <wp:effectExtent l="0" t="0" r="4445" b="13970"/>
            <wp:docPr id="36" name="תרשים 19">
              <a:extLst xmlns:a="http://schemas.openxmlformats.org/drawingml/2006/main">
                <a:ext uri="{FF2B5EF4-FFF2-40B4-BE49-F238E27FC236}">
                  <a16:creationId xmlns:a16="http://schemas.microsoft.com/office/drawing/2014/main" id="{9E72A08A-8E99-4E64-85BB-4305BE084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AEFC3B9" w14:textId="77777777" w:rsidR="007E48B3" w:rsidRDefault="007E48B3" w:rsidP="007E48B3">
      <w:pPr>
        <w:pStyle w:val="ListParagraph"/>
        <w:numPr>
          <w:ilvl w:val="2"/>
          <w:numId w:val="25"/>
        </w:numPr>
        <w:bidi w:val="0"/>
        <w:spacing w:line="480" w:lineRule="auto"/>
        <w:rPr>
          <w:rFonts w:ascii="Times New Roman" w:hAnsi="Times New Roman" w:cs="David"/>
          <w:b/>
          <w:bCs/>
          <w:sz w:val="24"/>
          <w:szCs w:val="24"/>
        </w:rPr>
      </w:pPr>
      <w:r>
        <w:rPr>
          <w:rFonts w:ascii="Times New Roman" w:hAnsi="Times New Roman" w:cs="David"/>
          <w:b/>
          <w:bCs/>
          <w:sz w:val="24"/>
          <w:szCs w:val="24"/>
        </w:rPr>
        <w:t>ISR-WBG-II 1996-2019</w:t>
      </w:r>
    </w:p>
    <w:p w14:paraId="2B343872" w14:textId="77777777" w:rsidR="007E48B3" w:rsidRDefault="007E48B3" w:rsidP="007E48B3">
      <w:pPr>
        <w:pStyle w:val="ListParagraph"/>
        <w:bidi w:val="0"/>
        <w:spacing w:line="480" w:lineRule="auto"/>
        <w:ind w:left="360"/>
        <w:jc w:val="center"/>
        <w:rPr>
          <w:rFonts w:ascii="Times New Roman" w:hAnsi="Times New Roman" w:cs="David"/>
          <w:b/>
          <w:bCs/>
          <w:sz w:val="24"/>
          <w:szCs w:val="24"/>
        </w:rPr>
      </w:pPr>
      <w:r>
        <w:rPr>
          <w:rFonts w:ascii="Times New Roman" w:hAnsi="Times New Roman" w:cs="David"/>
          <w:b/>
          <w:bCs/>
          <w:sz w:val="24"/>
          <w:szCs w:val="24"/>
        </w:rPr>
        <w:t>Table 3 -</w:t>
      </w:r>
      <w:r w:rsidRPr="00B37731">
        <w:t xml:space="preserve"> </w:t>
      </w:r>
      <w:r w:rsidRPr="00B37731">
        <w:rPr>
          <w:rFonts w:ascii="Times New Roman" w:hAnsi="Times New Roman" w:cs="David"/>
          <w:b/>
          <w:bCs/>
          <w:sz w:val="24"/>
          <w:szCs w:val="24"/>
        </w:rPr>
        <w:t>Dimensions, indicators and weights</w:t>
      </w:r>
      <w:r>
        <w:rPr>
          <w:rFonts w:ascii="Times New Roman" w:hAnsi="Times New Roman" w:cs="David" w:hint="cs"/>
          <w:b/>
          <w:bCs/>
          <w:sz w:val="24"/>
          <w:szCs w:val="24"/>
          <w:rtl/>
        </w:rPr>
        <w:t xml:space="preserve"> </w:t>
      </w:r>
      <w:r>
        <w:rPr>
          <w:rFonts w:ascii="Times New Roman" w:hAnsi="Times New Roman" w:cs="David"/>
          <w:b/>
          <w:bCs/>
          <w:sz w:val="24"/>
          <w:szCs w:val="24"/>
        </w:rPr>
        <w:t>1996-2019</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5527"/>
        <w:gridCol w:w="993"/>
        <w:gridCol w:w="1134"/>
      </w:tblGrid>
      <w:tr w:rsidR="00542F2A" w:rsidRPr="00D147CB" w14:paraId="4279EE0D" w14:textId="77777777" w:rsidTr="006B7471">
        <w:trPr>
          <w:trHeight w:val="300"/>
        </w:trPr>
        <w:tc>
          <w:tcPr>
            <w:tcW w:w="1844" w:type="dxa"/>
            <w:shd w:val="clear" w:color="auto" w:fill="auto"/>
            <w:noWrap/>
            <w:hideMark/>
          </w:tcPr>
          <w:p w14:paraId="0D6635A6" w14:textId="77777777" w:rsidR="007E48B3" w:rsidRPr="00D147CB" w:rsidRDefault="007E48B3" w:rsidP="00416373">
            <w:pPr>
              <w:bidi w:val="0"/>
              <w:rPr>
                <w:rFonts w:asciiTheme="majorBidi" w:hAnsiTheme="majorBidi" w:cstheme="majorBidi"/>
                <w:b/>
                <w:bCs/>
                <w:color w:val="000000"/>
              </w:rPr>
            </w:pPr>
            <w:r w:rsidRPr="00D147CB">
              <w:rPr>
                <w:rFonts w:asciiTheme="majorBidi" w:hAnsiTheme="majorBidi" w:cstheme="majorBidi"/>
                <w:b/>
                <w:bCs/>
                <w:color w:val="000000"/>
              </w:rPr>
              <w:t>Dimension</w:t>
            </w:r>
          </w:p>
        </w:tc>
        <w:tc>
          <w:tcPr>
            <w:tcW w:w="5527" w:type="dxa"/>
            <w:shd w:val="clear" w:color="auto" w:fill="auto"/>
            <w:noWrap/>
            <w:hideMark/>
          </w:tcPr>
          <w:p w14:paraId="2524D8AE" w14:textId="77777777" w:rsidR="007E48B3" w:rsidRPr="00D147CB" w:rsidRDefault="007E48B3" w:rsidP="00416373">
            <w:pPr>
              <w:bidi w:val="0"/>
              <w:rPr>
                <w:rFonts w:asciiTheme="majorBidi" w:hAnsiTheme="majorBidi" w:cstheme="majorBidi"/>
                <w:b/>
                <w:bCs/>
                <w:color w:val="000000"/>
              </w:rPr>
            </w:pPr>
            <w:r w:rsidRPr="00D147CB">
              <w:rPr>
                <w:rFonts w:asciiTheme="majorBidi" w:hAnsiTheme="majorBidi" w:cstheme="majorBidi"/>
                <w:b/>
                <w:bCs/>
                <w:color w:val="000000"/>
              </w:rPr>
              <w:t>Indicator</w:t>
            </w:r>
          </w:p>
        </w:tc>
        <w:tc>
          <w:tcPr>
            <w:tcW w:w="993" w:type="dxa"/>
            <w:shd w:val="clear" w:color="auto" w:fill="auto"/>
            <w:noWrap/>
            <w:hideMark/>
          </w:tcPr>
          <w:p w14:paraId="1199479B" w14:textId="77777777" w:rsidR="007E48B3" w:rsidRPr="00D147CB" w:rsidRDefault="007E48B3" w:rsidP="00416373">
            <w:pPr>
              <w:bidi w:val="0"/>
              <w:rPr>
                <w:rFonts w:asciiTheme="majorBidi" w:hAnsiTheme="majorBidi" w:cstheme="majorBidi"/>
                <w:b/>
                <w:bCs/>
                <w:color w:val="000000"/>
              </w:rPr>
            </w:pPr>
            <w:r w:rsidRPr="00D147CB">
              <w:rPr>
                <w:rFonts w:asciiTheme="majorBidi" w:hAnsiTheme="majorBidi" w:cstheme="majorBidi"/>
                <w:b/>
                <w:bCs/>
                <w:color w:val="000000"/>
              </w:rPr>
              <w:t>Indicator weight</w:t>
            </w:r>
          </w:p>
        </w:tc>
        <w:tc>
          <w:tcPr>
            <w:tcW w:w="1134" w:type="dxa"/>
            <w:shd w:val="clear" w:color="auto" w:fill="auto"/>
            <w:noWrap/>
            <w:hideMark/>
          </w:tcPr>
          <w:p w14:paraId="405CC838" w14:textId="77777777" w:rsidR="007E48B3" w:rsidRPr="00D147CB" w:rsidRDefault="007E48B3" w:rsidP="00416373">
            <w:pPr>
              <w:bidi w:val="0"/>
              <w:rPr>
                <w:rFonts w:asciiTheme="majorBidi" w:hAnsiTheme="majorBidi" w:cstheme="majorBidi"/>
                <w:b/>
                <w:bCs/>
                <w:color w:val="000000"/>
              </w:rPr>
            </w:pPr>
            <w:r w:rsidRPr="00D147CB">
              <w:rPr>
                <w:rFonts w:asciiTheme="majorBidi" w:hAnsiTheme="majorBidi" w:cstheme="majorBidi"/>
                <w:b/>
                <w:bCs/>
                <w:color w:val="000000"/>
              </w:rPr>
              <w:t>Dimension weight</w:t>
            </w:r>
          </w:p>
        </w:tc>
      </w:tr>
      <w:tr w:rsidR="003F2794" w:rsidRPr="00D147CB" w14:paraId="022403B2" w14:textId="77777777" w:rsidTr="006B7471">
        <w:trPr>
          <w:trHeight w:val="300"/>
        </w:trPr>
        <w:tc>
          <w:tcPr>
            <w:tcW w:w="1844" w:type="dxa"/>
            <w:vMerge w:val="restart"/>
            <w:shd w:val="clear" w:color="auto" w:fill="auto"/>
            <w:vAlign w:val="center"/>
            <w:hideMark/>
          </w:tcPr>
          <w:p w14:paraId="5AAE3D2A" w14:textId="77777777"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color w:val="000000"/>
              </w:rPr>
              <w:t>Trade, employment and taxes</w:t>
            </w:r>
          </w:p>
        </w:tc>
        <w:tc>
          <w:tcPr>
            <w:tcW w:w="5527" w:type="dxa"/>
            <w:shd w:val="clear" w:color="auto" w:fill="auto"/>
            <w:noWrap/>
            <w:hideMark/>
          </w:tcPr>
          <w:p w14:paraId="696D694B" w14:textId="77777777"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rPr>
              <w:t>Palestinian exports of goods and services to Israel out of total Palestinian exports</w:t>
            </w:r>
          </w:p>
        </w:tc>
        <w:tc>
          <w:tcPr>
            <w:tcW w:w="993" w:type="dxa"/>
            <w:shd w:val="clear" w:color="auto" w:fill="auto"/>
            <w:noWrap/>
            <w:hideMark/>
          </w:tcPr>
          <w:p w14:paraId="256D57CF"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20%</w:t>
            </w:r>
          </w:p>
        </w:tc>
        <w:tc>
          <w:tcPr>
            <w:tcW w:w="1134" w:type="dxa"/>
            <w:vMerge w:val="restart"/>
            <w:shd w:val="clear" w:color="auto" w:fill="auto"/>
            <w:noWrap/>
            <w:hideMark/>
          </w:tcPr>
          <w:p w14:paraId="6ECE79D0"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50%</w:t>
            </w:r>
          </w:p>
        </w:tc>
      </w:tr>
      <w:tr w:rsidR="003F2794" w:rsidRPr="00D147CB" w14:paraId="742AA68F" w14:textId="77777777" w:rsidTr="006B7471">
        <w:trPr>
          <w:trHeight w:val="300"/>
        </w:trPr>
        <w:tc>
          <w:tcPr>
            <w:tcW w:w="1844" w:type="dxa"/>
            <w:vMerge/>
            <w:vAlign w:val="center"/>
            <w:hideMark/>
          </w:tcPr>
          <w:p w14:paraId="3AAE8321" w14:textId="77777777" w:rsidR="007E48B3" w:rsidRPr="00D147CB" w:rsidRDefault="007E48B3" w:rsidP="00416373">
            <w:pPr>
              <w:bidi w:val="0"/>
              <w:rPr>
                <w:rFonts w:asciiTheme="majorBidi" w:hAnsiTheme="majorBidi" w:cstheme="majorBidi"/>
                <w:color w:val="000000"/>
              </w:rPr>
            </w:pPr>
          </w:p>
        </w:tc>
        <w:tc>
          <w:tcPr>
            <w:tcW w:w="5527" w:type="dxa"/>
            <w:shd w:val="clear" w:color="auto" w:fill="auto"/>
            <w:noWrap/>
            <w:hideMark/>
          </w:tcPr>
          <w:p w14:paraId="53E95D0F" w14:textId="77777777"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rPr>
              <w:t>Palestinian imports of goods and services from Israel out of total Palestinian imports</w:t>
            </w:r>
          </w:p>
        </w:tc>
        <w:tc>
          <w:tcPr>
            <w:tcW w:w="993" w:type="dxa"/>
            <w:shd w:val="clear" w:color="auto" w:fill="auto"/>
            <w:noWrap/>
            <w:hideMark/>
          </w:tcPr>
          <w:p w14:paraId="3AA3F1A6"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20%</w:t>
            </w:r>
          </w:p>
        </w:tc>
        <w:tc>
          <w:tcPr>
            <w:tcW w:w="1134" w:type="dxa"/>
            <w:vMerge/>
            <w:hideMark/>
          </w:tcPr>
          <w:p w14:paraId="3E7A480B" w14:textId="77777777" w:rsidR="007E48B3" w:rsidRPr="00D147CB" w:rsidRDefault="007E48B3" w:rsidP="006B7471">
            <w:pPr>
              <w:bidi w:val="0"/>
              <w:rPr>
                <w:rFonts w:asciiTheme="majorBidi" w:hAnsiTheme="majorBidi" w:cstheme="majorBidi"/>
                <w:color w:val="000000"/>
              </w:rPr>
            </w:pPr>
          </w:p>
        </w:tc>
      </w:tr>
      <w:tr w:rsidR="003F2794" w:rsidRPr="00D147CB" w14:paraId="5A105CEA" w14:textId="77777777" w:rsidTr="006B7471">
        <w:trPr>
          <w:trHeight w:val="300"/>
        </w:trPr>
        <w:tc>
          <w:tcPr>
            <w:tcW w:w="1844" w:type="dxa"/>
            <w:vMerge/>
            <w:vAlign w:val="center"/>
            <w:hideMark/>
          </w:tcPr>
          <w:p w14:paraId="2344B09D" w14:textId="77777777" w:rsidR="007E48B3" w:rsidRPr="00D147CB" w:rsidRDefault="007E48B3" w:rsidP="00416373">
            <w:pPr>
              <w:bidi w:val="0"/>
              <w:rPr>
                <w:rFonts w:asciiTheme="majorBidi" w:hAnsiTheme="majorBidi" w:cstheme="majorBidi"/>
                <w:color w:val="000000"/>
              </w:rPr>
            </w:pPr>
          </w:p>
        </w:tc>
        <w:tc>
          <w:tcPr>
            <w:tcW w:w="5527" w:type="dxa"/>
            <w:shd w:val="clear" w:color="auto" w:fill="auto"/>
            <w:noWrap/>
            <w:hideMark/>
          </w:tcPr>
          <w:p w14:paraId="1D3849D5" w14:textId="77777777"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rPr>
              <w:t>Share of Gross clearance revenues out of Total PA net revenues and grants</w:t>
            </w:r>
          </w:p>
        </w:tc>
        <w:tc>
          <w:tcPr>
            <w:tcW w:w="993" w:type="dxa"/>
            <w:shd w:val="clear" w:color="auto" w:fill="auto"/>
            <w:noWrap/>
            <w:hideMark/>
          </w:tcPr>
          <w:p w14:paraId="13753F35"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20%</w:t>
            </w:r>
          </w:p>
        </w:tc>
        <w:tc>
          <w:tcPr>
            <w:tcW w:w="1134" w:type="dxa"/>
            <w:vMerge/>
            <w:hideMark/>
          </w:tcPr>
          <w:p w14:paraId="14068B08" w14:textId="77777777" w:rsidR="007E48B3" w:rsidRPr="00D147CB" w:rsidRDefault="007E48B3" w:rsidP="006B7471">
            <w:pPr>
              <w:bidi w:val="0"/>
              <w:rPr>
                <w:rFonts w:asciiTheme="majorBidi" w:hAnsiTheme="majorBidi" w:cstheme="majorBidi"/>
                <w:color w:val="000000"/>
              </w:rPr>
            </w:pPr>
          </w:p>
        </w:tc>
      </w:tr>
      <w:tr w:rsidR="003F2794" w:rsidRPr="00D147CB" w14:paraId="1E76404E" w14:textId="77777777" w:rsidTr="006B7471">
        <w:trPr>
          <w:trHeight w:val="300"/>
        </w:trPr>
        <w:tc>
          <w:tcPr>
            <w:tcW w:w="1844" w:type="dxa"/>
            <w:vMerge/>
            <w:vAlign w:val="center"/>
            <w:hideMark/>
          </w:tcPr>
          <w:p w14:paraId="40C960E3" w14:textId="77777777" w:rsidR="007E48B3" w:rsidRPr="00D147CB" w:rsidRDefault="007E48B3" w:rsidP="00416373">
            <w:pPr>
              <w:bidi w:val="0"/>
              <w:rPr>
                <w:rFonts w:asciiTheme="majorBidi" w:hAnsiTheme="majorBidi" w:cstheme="majorBidi"/>
                <w:color w:val="000000"/>
              </w:rPr>
            </w:pPr>
          </w:p>
        </w:tc>
        <w:tc>
          <w:tcPr>
            <w:tcW w:w="5527" w:type="dxa"/>
            <w:shd w:val="clear" w:color="auto" w:fill="auto"/>
            <w:noWrap/>
            <w:hideMark/>
          </w:tcPr>
          <w:p w14:paraId="0896C32E" w14:textId="0184F52A"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rPr>
              <w:t xml:space="preserve">Palestinians employed in Israel out of total Palestinian </w:t>
            </w:r>
            <w:r w:rsidR="008B6C96" w:rsidRPr="00D147CB">
              <w:rPr>
                <w:rFonts w:asciiTheme="majorBidi" w:hAnsiTheme="majorBidi" w:cstheme="majorBidi"/>
              </w:rPr>
              <w:t xml:space="preserve">individuals </w:t>
            </w:r>
            <w:r w:rsidRPr="00D147CB">
              <w:rPr>
                <w:rFonts w:asciiTheme="majorBidi" w:hAnsiTheme="majorBidi" w:cstheme="majorBidi"/>
              </w:rPr>
              <w:t>employed</w:t>
            </w:r>
          </w:p>
        </w:tc>
        <w:tc>
          <w:tcPr>
            <w:tcW w:w="993" w:type="dxa"/>
            <w:shd w:val="clear" w:color="auto" w:fill="auto"/>
            <w:noWrap/>
            <w:hideMark/>
          </w:tcPr>
          <w:p w14:paraId="1ACA5F9B"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20%</w:t>
            </w:r>
          </w:p>
        </w:tc>
        <w:tc>
          <w:tcPr>
            <w:tcW w:w="1134" w:type="dxa"/>
            <w:vMerge/>
            <w:hideMark/>
          </w:tcPr>
          <w:p w14:paraId="60C27102" w14:textId="77777777" w:rsidR="007E48B3" w:rsidRPr="00D147CB" w:rsidRDefault="007E48B3" w:rsidP="006B7471">
            <w:pPr>
              <w:bidi w:val="0"/>
              <w:rPr>
                <w:rFonts w:asciiTheme="majorBidi" w:hAnsiTheme="majorBidi" w:cstheme="majorBidi"/>
                <w:color w:val="000000"/>
              </w:rPr>
            </w:pPr>
          </w:p>
        </w:tc>
      </w:tr>
      <w:tr w:rsidR="003F2794" w:rsidRPr="00D147CB" w14:paraId="501E9C56" w14:textId="77777777" w:rsidTr="006B7471">
        <w:trPr>
          <w:trHeight w:val="300"/>
        </w:trPr>
        <w:tc>
          <w:tcPr>
            <w:tcW w:w="1844" w:type="dxa"/>
            <w:vMerge/>
            <w:vAlign w:val="center"/>
            <w:hideMark/>
          </w:tcPr>
          <w:p w14:paraId="398DBD5D" w14:textId="77777777" w:rsidR="007E48B3" w:rsidRPr="00D147CB" w:rsidRDefault="007E48B3" w:rsidP="00416373">
            <w:pPr>
              <w:bidi w:val="0"/>
              <w:rPr>
                <w:rFonts w:asciiTheme="majorBidi" w:hAnsiTheme="majorBidi" w:cstheme="majorBidi"/>
                <w:color w:val="000000"/>
              </w:rPr>
            </w:pPr>
          </w:p>
        </w:tc>
        <w:tc>
          <w:tcPr>
            <w:tcW w:w="5527" w:type="dxa"/>
            <w:shd w:val="clear" w:color="auto" w:fill="auto"/>
            <w:noWrap/>
            <w:hideMark/>
          </w:tcPr>
          <w:p w14:paraId="0DA66823" w14:textId="77777777"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rPr>
              <w:t>Remittances of Palestinians workers in Israel out of WBG GNI</w:t>
            </w:r>
          </w:p>
        </w:tc>
        <w:tc>
          <w:tcPr>
            <w:tcW w:w="993" w:type="dxa"/>
            <w:shd w:val="clear" w:color="auto" w:fill="auto"/>
            <w:noWrap/>
            <w:hideMark/>
          </w:tcPr>
          <w:p w14:paraId="43F5C7E7"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20%</w:t>
            </w:r>
          </w:p>
        </w:tc>
        <w:tc>
          <w:tcPr>
            <w:tcW w:w="1134" w:type="dxa"/>
            <w:vMerge/>
            <w:hideMark/>
          </w:tcPr>
          <w:p w14:paraId="4702C3CE" w14:textId="77777777" w:rsidR="007E48B3" w:rsidRPr="00D147CB" w:rsidRDefault="007E48B3" w:rsidP="006B7471">
            <w:pPr>
              <w:bidi w:val="0"/>
              <w:rPr>
                <w:rFonts w:asciiTheme="majorBidi" w:hAnsiTheme="majorBidi" w:cstheme="majorBidi"/>
                <w:color w:val="000000"/>
              </w:rPr>
            </w:pPr>
          </w:p>
        </w:tc>
      </w:tr>
      <w:tr w:rsidR="003F2794" w:rsidRPr="00D147CB" w14:paraId="5B422F5A" w14:textId="77777777" w:rsidTr="006B7471">
        <w:trPr>
          <w:trHeight w:val="600"/>
        </w:trPr>
        <w:tc>
          <w:tcPr>
            <w:tcW w:w="1844" w:type="dxa"/>
            <w:shd w:val="clear" w:color="auto" w:fill="auto"/>
            <w:vAlign w:val="center"/>
            <w:hideMark/>
          </w:tcPr>
          <w:p w14:paraId="41607BAA" w14:textId="77777777"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color w:val="000000"/>
              </w:rPr>
              <w:t>Movement of people and Services</w:t>
            </w:r>
          </w:p>
        </w:tc>
        <w:tc>
          <w:tcPr>
            <w:tcW w:w="5527" w:type="dxa"/>
            <w:shd w:val="clear" w:color="auto" w:fill="auto"/>
            <w:noWrap/>
            <w:hideMark/>
          </w:tcPr>
          <w:p w14:paraId="2D74FC3B" w14:textId="77777777"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rPr>
              <w:t>Percentage of Israeli guests’ nights in WB Hotels</w:t>
            </w:r>
          </w:p>
        </w:tc>
        <w:tc>
          <w:tcPr>
            <w:tcW w:w="993" w:type="dxa"/>
            <w:shd w:val="clear" w:color="auto" w:fill="auto"/>
            <w:noWrap/>
            <w:hideMark/>
          </w:tcPr>
          <w:p w14:paraId="7BFD243E"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100%</w:t>
            </w:r>
          </w:p>
        </w:tc>
        <w:tc>
          <w:tcPr>
            <w:tcW w:w="1134" w:type="dxa"/>
            <w:shd w:val="clear" w:color="auto" w:fill="auto"/>
            <w:noWrap/>
            <w:hideMark/>
          </w:tcPr>
          <w:p w14:paraId="3964634C"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10%</w:t>
            </w:r>
          </w:p>
        </w:tc>
      </w:tr>
      <w:tr w:rsidR="003F2794" w:rsidRPr="00D147CB" w14:paraId="162B31D6" w14:textId="77777777" w:rsidTr="006B7471">
        <w:trPr>
          <w:trHeight w:val="300"/>
        </w:trPr>
        <w:tc>
          <w:tcPr>
            <w:tcW w:w="1844" w:type="dxa"/>
            <w:shd w:val="clear" w:color="auto" w:fill="auto"/>
            <w:vAlign w:val="center"/>
            <w:hideMark/>
          </w:tcPr>
          <w:p w14:paraId="151F7A3F" w14:textId="77777777"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color w:val="000000"/>
              </w:rPr>
              <w:t>Banking and money</w:t>
            </w:r>
          </w:p>
        </w:tc>
        <w:tc>
          <w:tcPr>
            <w:tcW w:w="5527" w:type="dxa"/>
            <w:shd w:val="clear" w:color="auto" w:fill="auto"/>
            <w:noWrap/>
            <w:hideMark/>
          </w:tcPr>
          <w:p w14:paraId="73A18199" w14:textId="77777777"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color w:val="000000"/>
              </w:rPr>
              <w:t>Share of NIS credit in the Palestinian banking system</w:t>
            </w:r>
          </w:p>
        </w:tc>
        <w:tc>
          <w:tcPr>
            <w:tcW w:w="993" w:type="dxa"/>
            <w:shd w:val="clear" w:color="auto" w:fill="auto"/>
            <w:noWrap/>
            <w:hideMark/>
          </w:tcPr>
          <w:p w14:paraId="15F5CC10"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100%</w:t>
            </w:r>
          </w:p>
        </w:tc>
        <w:tc>
          <w:tcPr>
            <w:tcW w:w="1134" w:type="dxa"/>
            <w:shd w:val="clear" w:color="auto" w:fill="auto"/>
            <w:noWrap/>
            <w:hideMark/>
          </w:tcPr>
          <w:p w14:paraId="11A2307F"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10%</w:t>
            </w:r>
          </w:p>
        </w:tc>
      </w:tr>
      <w:tr w:rsidR="003F2794" w:rsidRPr="00D147CB" w14:paraId="123B3276" w14:textId="77777777" w:rsidTr="006B7471">
        <w:trPr>
          <w:trHeight w:val="315"/>
        </w:trPr>
        <w:tc>
          <w:tcPr>
            <w:tcW w:w="1844" w:type="dxa"/>
            <w:vMerge w:val="restart"/>
            <w:shd w:val="clear" w:color="auto" w:fill="auto"/>
            <w:vAlign w:val="center"/>
            <w:hideMark/>
          </w:tcPr>
          <w:p w14:paraId="12238CFA" w14:textId="64BDF4F1"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color w:val="000000"/>
              </w:rPr>
              <w:t>Wealth and Standard of living</w:t>
            </w:r>
          </w:p>
        </w:tc>
        <w:tc>
          <w:tcPr>
            <w:tcW w:w="5527" w:type="dxa"/>
            <w:shd w:val="clear" w:color="auto" w:fill="auto"/>
            <w:noWrap/>
            <w:hideMark/>
          </w:tcPr>
          <w:p w14:paraId="78E40911" w14:textId="666AB397"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color w:val="000000"/>
              </w:rPr>
              <w:t xml:space="preserve">GDP per Capita </w:t>
            </w:r>
            <w:r w:rsidR="007D69A6" w:rsidRPr="00D147CB">
              <w:rPr>
                <w:rFonts w:asciiTheme="majorBidi" w:hAnsiTheme="majorBidi" w:cstheme="majorBidi"/>
                <w:color w:val="000000"/>
              </w:rPr>
              <w:t>(</w:t>
            </w:r>
            <w:r w:rsidRPr="00D147CB">
              <w:rPr>
                <w:rFonts w:asciiTheme="majorBidi" w:hAnsiTheme="majorBidi" w:cstheme="majorBidi"/>
                <w:color w:val="000000"/>
              </w:rPr>
              <w:t>ratio</w:t>
            </w:r>
            <w:r w:rsidR="007D69A6" w:rsidRPr="00D147CB">
              <w:rPr>
                <w:rFonts w:asciiTheme="majorBidi" w:hAnsiTheme="majorBidi" w:cstheme="majorBidi"/>
                <w:color w:val="000000"/>
              </w:rPr>
              <w:t>)</w:t>
            </w:r>
          </w:p>
        </w:tc>
        <w:tc>
          <w:tcPr>
            <w:tcW w:w="993" w:type="dxa"/>
            <w:shd w:val="clear" w:color="auto" w:fill="auto"/>
            <w:noWrap/>
            <w:hideMark/>
          </w:tcPr>
          <w:p w14:paraId="5F3CBE7F"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33.33%</w:t>
            </w:r>
          </w:p>
        </w:tc>
        <w:tc>
          <w:tcPr>
            <w:tcW w:w="1134" w:type="dxa"/>
            <w:vMerge w:val="restart"/>
            <w:shd w:val="clear" w:color="auto" w:fill="auto"/>
            <w:noWrap/>
            <w:hideMark/>
          </w:tcPr>
          <w:p w14:paraId="3864E893"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30%</w:t>
            </w:r>
          </w:p>
        </w:tc>
      </w:tr>
      <w:tr w:rsidR="00F80122" w:rsidRPr="00D147CB" w14:paraId="3FB0D0E5" w14:textId="77777777" w:rsidTr="006B7471">
        <w:trPr>
          <w:trHeight w:val="315"/>
        </w:trPr>
        <w:tc>
          <w:tcPr>
            <w:tcW w:w="1844" w:type="dxa"/>
            <w:vMerge/>
            <w:hideMark/>
          </w:tcPr>
          <w:p w14:paraId="040B914B" w14:textId="77777777" w:rsidR="007E48B3" w:rsidRPr="00D147CB" w:rsidRDefault="007E48B3" w:rsidP="00416373">
            <w:pPr>
              <w:bidi w:val="0"/>
              <w:rPr>
                <w:rFonts w:asciiTheme="majorBidi" w:hAnsiTheme="majorBidi" w:cstheme="majorBidi"/>
                <w:color w:val="000000"/>
              </w:rPr>
            </w:pPr>
          </w:p>
        </w:tc>
        <w:tc>
          <w:tcPr>
            <w:tcW w:w="5527" w:type="dxa"/>
            <w:shd w:val="clear" w:color="auto" w:fill="auto"/>
            <w:noWrap/>
            <w:hideMark/>
          </w:tcPr>
          <w:p w14:paraId="4AD1951B" w14:textId="26789EB2"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color w:val="000000"/>
              </w:rPr>
              <w:t xml:space="preserve">Price level </w:t>
            </w:r>
            <w:r w:rsidR="007D69A6" w:rsidRPr="00D147CB">
              <w:rPr>
                <w:rFonts w:asciiTheme="majorBidi" w:hAnsiTheme="majorBidi" w:cstheme="majorBidi"/>
                <w:color w:val="000000"/>
              </w:rPr>
              <w:t>(</w:t>
            </w:r>
            <w:r w:rsidRPr="00D147CB">
              <w:rPr>
                <w:rFonts w:asciiTheme="majorBidi" w:hAnsiTheme="majorBidi" w:cstheme="majorBidi"/>
                <w:color w:val="000000"/>
              </w:rPr>
              <w:t>ratio</w:t>
            </w:r>
            <w:r w:rsidR="007D69A6" w:rsidRPr="00D147CB">
              <w:rPr>
                <w:rFonts w:asciiTheme="majorBidi" w:hAnsiTheme="majorBidi" w:cstheme="majorBidi"/>
                <w:color w:val="000000"/>
              </w:rPr>
              <w:t>)</w:t>
            </w:r>
          </w:p>
        </w:tc>
        <w:tc>
          <w:tcPr>
            <w:tcW w:w="993" w:type="dxa"/>
            <w:shd w:val="clear" w:color="auto" w:fill="auto"/>
            <w:noWrap/>
            <w:hideMark/>
          </w:tcPr>
          <w:p w14:paraId="655202C0"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33.33%</w:t>
            </w:r>
          </w:p>
        </w:tc>
        <w:tc>
          <w:tcPr>
            <w:tcW w:w="1134" w:type="dxa"/>
            <w:vMerge/>
            <w:hideMark/>
          </w:tcPr>
          <w:p w14:paraId="164066B4" w14:textId="77777777" w:rsidR="007E48B3" w:rsidRPr="00D147CB" w:rsidRDefault="007E48B3" w:rsidP="006B7471">
            <w:pPr>
              <w:bidi w:val="0"/>
              <w:rPr>
                <w:rFonts w:asciiTheme="majorBidi" w:hAnsiTheme="majorBidi" w:cstheme="majorBidi"/>
                <w:color w:val="000000"/>
              </w:rPr>
            </w:pPr>
          </w:p>
        </w:tc>
      </w:tr>
      <w:tr w:rsidR="00F80122" w:rsidRPr="00D147CB" w14:paraId="11CF3CEA" w14:textId="77777777" w:rsidTr="006B7471">
        <w:trPr>
          <w:trHeight w:val="315"/>
        </w:trPr>
        <w:tc>
          <w:tcPr>
            <w:tcW w:w="1844" w:type="dxa"/>
            <w:vMerge/>
            <w:hideMark/>
          </w:tcPr>
          <w:p w14:paraId="7D4AC24C" w14:textId="77777777" w:rsidR="007E48B3" w:rsidRPr="00D147CB" w:rsidRDefault="007E48B3" w:rsidP="00416373">
            <w:pPr>
              <w:bidi w:val="0"/>
              <w:rPr>
                <w:rFonts w:asciiTheme="majorBidi" w:hAnsiTheme="majorBidi" w:cstheme="majorBidi"/>
                <w:color w:val="000000"/>
              </w:rPr>
            </w:pPr>
          </w:p>
        </w:tc>
        <w:tc>
          <w:tcPr>
            <w:tcW w:w="5527" w:type="dxa"/>
            <w:shd w:val="clear" w:color="auto" w:fill="auto"/>
            <w:noWrap/>
            <w:hideMark/>
          </w:tcPr>
          <w:p w14:paraId="380CC709" w14:textId="45705B9A" w:rsidR="007E48B3" w:rsidRPr="00D147CB" w:rsidRDefault="007E48B3" w:rsidP="00416373">
            <w:pPr>
              <w:bidi w:val="0"/>
              <w:rPr>
                <w:rFonts w:asciiTheme="majorBidi" w:hAnsiTheme="majorBidi" w:cstheme="majorBidi"/>
                <w:color w:val="000000"/>
              </w:rPr>
            </w:pPr>
            <w:r w:rsidRPr="00D147CB">
              <w:rPr>
                <w:rFonts w:asciiTheme="majorBidi" w:hAnsiTheme="majorBidi" w:cstheme="majorBidi"/>
                <w:color w:val="000000"/>
              </w:rPr>
              <w:t xml:space="preserve">Daily Wage </w:t>
            </w:r>
            <w:r w:rsidR="007D69A6" w:rsidRPr="00D147CB">
              <w:rPr>
                <w:rFonts w:asciiTheme="majorBidi" w:hAnsiTheme="majorBidi" w:cstheme="majorBidi"/>
                <w:color w:val="000000"/>
              </w:rPr>
              <w:t>(</w:t>
            </w:r>
            <w:r w:rsidRPr="00D147CB">
              <w:rPr>
                <w:rFonts w:asciiTheme="majorBidi" w:hAnsiTheme="majorBidi" w:cstheme="majorBidi"/>
                <w:color w:val="000000"/>
              </w:rPr>
              <w:t>ratio</w:t>
            </w:r>
            <w:r w:rsidR="007D69A6" w:rsidRPr="00D147CB">
              <w:rPr>
                <w:rFonts w:asciiTheme="majorBidi" w:hAnsiTheme="majorBidi" w:cstheme="majorBidi"/>
                <w:color w:val="000000"/>
              </w:rPr>
              <w:t>)</w:t>
            </w:r>
          </w:p>
        </w:tc>
        <w:tc>
          <w:tcPr>
            <w:tcW w:w="993" w:type="dxa"/>
            <w:shd w:val="clear" w:color="auto" w:fill="auto"/>
            <w:noWrap/>
            <w:hideMark/>
          </w:tcPr>
          <w:p w14:paraId="5D3C6D9F" w14:textId="77777777" w:rsidR="007E48B3" w:rsidRPr="00D147CB" w:rsidRDefault="007E48B3" w:rsidP="006B7471">
            <w:pPr>
              <w:bidi w:val="0"/>
              <w:rPr>
                <w:rFonts w:asciiTheme="majorBidi" w:hAnsiTheme="majorBidi" w:cstheme="majorBidi"/>
                <w:color w:val="000000"/>
              </w:rPr>
            </w:pPr>
            <w:r w:rsidRPr="00D147CB">
              <w:rPr>
                <w:rFonts w:asciiTheme="majorBidi" w:hAnsiTheme="majorBidi" w:cstheme="majorBidi"/>
                <w:color w:val="000000"/>
              </w:rPr>
              <w:t>33.33%</w:t>
            </w:r>
          </w:p>
        </w:tc>
        <w:tc>
          <w:tcPr>
            <w:tcW w:w="1134" w:type="dxa"/>
            <w:vMerge/>
            <w:hideMark/>
          </w:tcPr>
          <w:p w14:paraId="7246664B" w14:textId="77777777" w:rsidR="007E48B3" w:rsidRPr="00D147CB" w:rsidRDefault="007E48B3" w:rsidP="006B7471">
            <w:pPr>
              <w:bidi w:val="0"/>
              <w:rPr>
                <w:rFonts w:asciiTheme="majorBidi" w:hAnsiTheme="majorBidi" w:cstheme="majorBidi"/>
                <w:color w:val="000000"/>
              </w:rPr>
            </w:pPr>
          </w:p>
        </w:tc>
      </w:tr>
    </w:tbl>
    <w:p w14:paraId="5660A59D" w14:textId="77777777" w:rsidR="007E48B3" w:rsidRDefault="007E48B3" w:rsidP="007E48B3">
      <w:pPr>
        <w:pStyle w:val="ListParagraph"/>
        <w:bidi w:val="0"/>
        <w:spacing w:line="276" w:lineRule="auto"/>
        <w:ind w:left="0" w:firstLine="720"/>
        <w:jc w:val="center"/>
        <w:rPr>
          <w:rFonts w:ascii="Times New Roman" w:hAnsi="Times New Roman" w:cs="David"/>
          <w:b/>
          <w:bCs/>
          <w:sz w:val="24"/>
          <w:szCs w:val="24"/>
          <w:rtl/>
        </w:rPr>
      </w:pPr>
    </w:p>
    <w:p w14:paraId="54BE523F" w14:textId="77777777" w:rsidR="007E48B3" w:rsidRDefault="007E48B3" w:rsidP="007E48B3">
      <w:pPr>
        <w:pStyle w:val="ListParagraph"/>
        <w:bidi w:val="0"/>
        <w:spacing w:line="276" w:lineRule="auto"/>
        <w:ind w:left="0" w:firstLine="720"/>
        <w:jc w:val="center"/>
        <w:rPr>
          <w:rFonts w:ascii="Times New Roman" w:hAnsi="Times New Roman" w:cs="David"/>
          <w:b/>
          <w:bCs/>
          <w:sz w:val="24"/>
          <w:szCs w:val="24"/>
          <w:rtl/>
        </w:rPr>
      </w:pPr>
    </w:p>
    <w:p w14:paraId="24662F67" w14:textId="77777777" w:rsidR="007E48B3" w:rsidRDefault="007E48B3" w:rsidP="007E48B3">
      <w:pPr>
        <w:pStyle w:val="ListParagraph"/>
        <w:bidi w:val="0"/>
        <w:spacing w:line="480" w:lineRule="auto"/>
        <w:ind w:left="0"/>
        <w:rPr>
          <w:rFonts w:ascii="Times New Roman" w:hAnsi="Times New Roman" w:cs="David"/>
          <w:sz w:val="24"/>
          <w:szCs w:val="24"/>
        </w:rPr>
      </w:pPr>
      <w:r>
        <w:rPr>
          <w:rFonts w:ascii="Times New Roman" w:hAnsi="Times New Roman" w:cs="David"/>
          <w:sz w:val="24"/>
          <w:szCs w:val="24"/>
        </w:rPr>
        <w:t xml:space="preserve">Number of dimensions: </w:t>
      </w:r>
      <w:r>
        <w:rPr>
          <w:rFonts w:ascii="Times New Roman" w:hAnsi="Times New Roman" w:cs="David" w:hint="cs"/>
          <w:sz w:val="24"/>
          <w:szCs w:val="24"/>
          <w:rtl/>
        </w:rPr>
        <w:t>4</w:t>
      </w:r>
    </w:p>
    <w:p w14:paraId="7F354733" w14:textId="77777777" w:rsidR="007E48B3" w:rsidRDefault="007E48B3" w:rsidP="007E48B3">
      <w:pPr>
        <w:pStyle w:val="ListParagraph"/>
        <w:bidi w:val="0"/>
        <w:spacing w:line="480" w:lineRule="auto"/>
        <w:ind w:left="0"/>
        <w:rPr>
          <w:rFonts w:ascii="Times New Roman" w:hAnsi="Times New Roman" w:cs="David"/>
          <w:sz w:val="24"/>
          <w:szCs w:val="24"/>
        </w:rPr>
      </w:pPr>
      <w:r>
        <w:rPr>
          <w:rFonts w:ascii="Times New Roman" w:hAnsi="Times New Roman" w:cs="David"/>
          <w:sz w:val="24"/>
          <w:szCs w:val="24"/>
        </w:rPr>
        <w:t xml:space="preserve">Number of indicators: </w:t>
      </w:r>
      <w:r>
        <w:rPr>
          <w:rFonts w:ascii="Times New Roman" w:hAnsi="Times New Roman" w:cs="David" w:hint="cs"/>
          <w:sz w:val="24"/>
          <w:szCs w:val="24"/>
          <w:rtl/>
        </w:rPr>
        <w:t>10</w:t>
      </w:r>
    </w:p>
    <w:p w14:paraId="39F965FD" w14:textId="77777777" w:rsidR="007E48B3" w:rsidRPr="00A877B8" w:rsidRDefault="007E48B3" w:rsidP="007E48B3">
      <w:pPr>
        <w:bidi w:val="0"/>
        <w:spacing w:line="480" w:lineRule="auto"/>
        <w:ind w:left="-720" w:firstLine="720"/>
        <w:rPr>
          <w:rFonts w:asciiTheme="majorBidi" w:hAnsiTheme="majorBidi" w:cstheme="majorBidi"/>
          <w:sz w:val="24"/>
          <w:szCs w:val="24"/>
        </w:rPr>
      </w:pPr>
      <w:r w:rsidRPr="00A877B8">
        <w:rPr>
          <w:rFonts w:ascii="Times New Roman" w:hAnsi="Times New Roman" w:cs="David"/>
          <w:sz w:val="24"/>
          <w:szCs w:val="24"/>
        </w:rPr>
        <w:t xml:space="preserve">The weighting technique - </w:t>
      </w:r>
      <w:r w:rsidRPr="00A877B8">
        <w:rPr>
          <w:rFonts w:asciiTheme="majorBidi" w:hAnsiTheme="majorBidi" w:cstheme="majorBidi"/>
          <w:sz w:val="24"/>
          <w:szCs w:val="24"/>
        </w:rPr>
        <w:t>Equal weighting system</w:t>
      </w:r>
    </w:p>
    <w:p w14:paraId="2FCA7B7E" w14:textId="77777777" w:rsidR="007E48B3" w:rsidRDefault="007E48B3" w:rsidP="007E48B3">
      <w:pPr>
        <w:pStyle w:val="ListParagraph"/>
        <w:bidi w:val="0"/>
        <w:spacing w:line="276" w:lineRule="auto"/>
        <w:ind w:left="0" w:firstLine="720"/>
        <w:jc w:val="center"/>
        <w:rPr>
          <w:rFonts w:ascii="Times New Roman" w:hAnsi="Times New Roman" w:cs="David"/>
          <w:b/>
          <w:bCs/>
          <w:sz w:val="24"/>
          <w:szCs w:val="24"/>
          <w:rtl/>
        </w:rPr>
      </w:pPr>
    </w:p>
    <w:p w14:paraId="05F06FC9" w14:textId="77777777" w:rsidR="007E48B3" w:rsidRDefault="007E48B3" w:rsidP="007E48B3">
      <w:pPr>
        <w:pStyle w:val="ListParagraph"/>
        <w:bidi w:val="0"/>
        <w:spacing w:line="276" w:lineRule="auto"/>
        <w:ind w:left="0" w:firstLine="720"/>
        <w:jc w:val="center"/>
        <w:rPr>
          <w:rFonts w:ascii="Times New Roman" w:hAnsi="Times New Roman" w:cs="David"/>
          <w:b/>
          <w:bCs/>
          <w:sz w:val="24"/>
          <w:szCs w:val="24"/>
          <w:rtl/>
        </w:rPr>
      </w:pPr>
    </w:p>
    <w:p w14:paraId="73FD31C8" w14:textId="1610D292" w:rsidR="007E48B3" w:rsidRPr="00203C14" w:rsidRDefault="007E48B3" w:rsidP="007E48B3">
      <w:pPr>
        <w:pStyle w:val="ListParagraph"/>
        <w:bidi w:val="0"/>
        <w:spacing w:line="276" w:lineRule="auto"/>
        <w:ind w:left="0" w:firstLine="720"/>
        <w:jc w:val="center"/>
        <w:rPr>
          <w:rFonts w:ascii="Times New Roman" w:hAnsi="Times New Roman" w:cs="David"/>
          <w:b/>
          <w:bCs/>
          <w:sz w:val="24"/>
          <w:szCs w:val="24"/>
        </w:rPr>
      </w:pPr>
      <w:r>
        <w:rPr>
          <w:rFonts w:ascii="Times New Roman" w:hAnsi="Times New Roman" w:cs="David"/>
          <w:b/>
          <w:bCs/>
          <w:sz w:val="24"/>
          <w:szCs w:val="24"/>
        </w:rPr>
        <w:t xml:space="preserve">Figure </w:t>
      </w:r>
      <w:r w:rsidR="00DD6A09">
        <w:rPr>
          <w:rFonts w:ascii="Times New Roman" w:hAnsi="Times New Roman" w:cs="David"/>
          <w:b/>
          <w:bCs/>
          <w:sz w:val="24"/>
          <w:szCs w:val="24"/>
        </w:rPr>
        <w:t>3</w:t>
      </w:r>
      <w:r>
        <w:rPr>
          <w:rFonts w:ascii="Times New Roman" w:hAnsi="Times New Roman" w:cs="David"/>
          <w:b/>
          <w:bCs/>
          <w:sz w:val="24"/>
          <w:szCs w:val="24"/>
        </w:rPr>
        <w:t xml:space="preserve">4: </w:t>
      </w:r>
      <w:r w:rsidRPr="00203C14">
        <w:rPr>
          <w:rFonts w:ascii="Times New Roman" w:hAnsi="Times New Roman" w:cs="David"/>
          <w:b/>
          <w:bCs/>
          <w:sz w:val="24"/>
          <w:szCs w:val="24"/>
        </w:rPr>
        <w:t>ISR-WBG-II 19</w:t>
      </w:r>
      <w:r>
        <w:rPr>
          <w:rFonts w:ascii="Times New Roman" w:hAnsi="Times New Roman" w:cs="David"/>
          <w:b/>
          <w:bCs/>
          <w:sz w:val="24"/>
          <w:szCs w:val="24"/>
        </w:rPr>
        <w:t>96</w:t>
      </w:r>
      <w:r w:rsidRPr="00203C14">
        <w:rPr>
          <w:rFonts w:ascii="Times New Roman" w:hAnsi="Times New Roman" w:cs="David"/>
          <w:b/>
          <w:bCs/>
          <w:sz w:val="24"/>
          <w:szCs w:val="24"/>
        </w:rPr>
        <w:t>-2019</w:t>
      </w:r>
      <w:r>
        <w:rPr>
          <w:rFonts w:ascii="Times New Roman" w:hAnsi="Times New Roman" w:cs="David"/>
          <w:b/>
          <w:bCs/>
          <w:sz w:val="24"/>
          <w:szCs w:val="24"/>
        </w:rPr>
        <w:t xml:space="preserve"> – Total index</w:t>
      </w:r>
    </w:p>
    <w:p w14:paraId="536BB599" w14:textId="77777777" w:rsidR="007E48B3" w:rsidRDefault="007E48B3" w:rsidP="007E48B3">
      <w:pPr>
        <w:pStyle w:val="ListParagraph"/>
        <w:bidi w:val="0"/>
        <w:spacing w:line="480" w:lineRule="auto"/>
        <w:rPr>
          <w:rFonts w:ascii="Times New Roman" w:hAnsi="Times New Roman" w:cs="David"/>
          <w:b/>
          <w:bCs/>
          <w:sz w:val="24"/>
          <w:szCs w:val="24"/>
        </w:rPr>
      </w:pPr>
      <w:r>
        <w:rPr>
          <w:noProof/>
        </w:rPr>
        <w:drawing>
          <wp:inline distT="0" distB="0" distL="0" distR="0" wp14:anchorId="6EF6786A" wp14:editId="00767DF0">
            <wp:extent cx="4320000" cy="2520000"/>
            <wp:effectExtent l="0" t="0" r="4445" b="13970"/>
            <wp:docPr id="37" name="תרשים 20">
              <a:extLst xmlns:a="http://schemas.openxmlformats.org/drawingml/2006/main">
                <a:ext uri="{FF2B5EF4-FFF2-40B4-BE49-F238E27FC236}">
                  <a16:creationId xmlns:a16="http://schemas.microsoft.com/office/drawing/2014/main" id="{F466910F-9FAF-4A20-9A29-09F98EC42E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2296CE" w14:textId="77777777" w:rsidR="007E48B3" w:rsidRDefault="007E48B3" w:rsidP="007E48B3">
      <w:pPr>
        <w:pStyle w:val="ListParagraph"/>
        <w:bidi w:val="0"/>
        <w:spacing w:line="276" w:lineRule="auto"/>
        <w:ind w:left="0"/>
        <w:jc w:val="center"/>
        <w:rPr>
          <w:rFonts w:ascii="Times New Roman" w:hAnsi="Times New Roman" w:cs="David"/>
          <w:b/>
          <w:bCs/>
          <w:sz w:val="24"/>
          <w:szCs w:val="24"/>
          <w:rtl/>
        </w:rPr>
      </w:pPr>
    </w:p>
    <w:p w14:paraId="58005013" w14:textId="77777777" w:rsidR="007E48B3" w:rsidRDefault="007E48B3" w:rsidP="007E48B3">
      <w:pPr>
        <w:pStyle w:val="ListParagraph"/>
        <w:bidi w:val="0"/>
        <w:spacing w:line="276" w:lineRule="auto"/>
        <w:ind w:left="0"/>
        <w:jc w:val="center"/>
        <w:rPr>
          <w:rFonts w:ascii="Times New Roman" w:hAnsi="Times New Roman" w:cs="David"/>
          <w:b/>
          <w:bCs/>
          <w:sz w:val="24"/>
          <w:szCs w:val="24"/>
          <w:rtl/>
        </w:rPr>
      </w:pPr>
    </w:p>
    <w:p w14:paraId="1F0CD0AE" w14:textId="1E6AFA51" w:rsidR="007E48B3" w:rsidRDefault="007E48B3" w:rsidP="007E48B3">
      <w:pPr>
        <w:pStyle w:val="ListParagraph"/>
        <w:bidi w:val="0"/>
        <w:spacing w:line="276" w:lineRule="auto"/>
        <w:ind w:left="0"/>
        <w:jc w:val="center"/>
        <w:rPr>
          <w:rFonts w:ascii="Times New Roman" w:hAnsi="Times New Roman" w:cs="David"/>
          <w:b/>
          <w:bCs/>
          <w:sz w:val="24"/>
          <w:szCs w:val="24"/>
        </w:rPr>
      </w:pPr>
      <w:r>
        <w:rPr>
          <w:rFonts w:ascii="Times New Roman" w:hAnsi="Times New Roman" w:cs="David"/>
          <w:b/>
          <w:bCs/>
          <w:sz w:val="24"/>
          <w:szCs w:val="24"/>
        </w:rPr>
        <w:t xml:space="preserve">Figure </w:t>
      </w:r>
      <w:r w:rsidR="00DD6A09">
        <w:rPr>
          <w:rFonts w:ascii="Times New Roman" w:hAnsi="Times New Roman" w:cs="David"/>
          <w:b/>
          <w:bCs/>
          <w:sz w:val="24"/>
          <w:szCs w:val="24"/>
        </w:rPr>
        <w:t>3</w:t>
      </w:r>
      <w:r>
        <w:rPr>
          <w:rFonts w:ascii="Times New Roman" w:hAnsi="Times New Roman" w:cs="David"/>
          <w:b/>
          <w:bCs/>
          <w:sz w:val="24"/>
          <w:szCs w:val="24"/>
        </w:rPr>
        <w:t xml:space="preserve">5: </w:t>
      </w:r>
      <w:r w:rsidRPr="00203C14">
        <w:rPr>
          <w:rFonts w:ascii="Times New Roman" w:hAnsi="Times New Roman" w:cs="David"/>
          <w:b/>
          <w:bCs/>
          <w:sz w:val="24"/>
          <w:szCs w:val="24"/>
        </w:rPr>
        <w:t>ISR-WBG-II 19</w:t>
      </w:r>
      <w:r>
        <w:rPr>
          <w:rFonts w:ascii="Times New Roman" w:hAnsi="Times New Roman" w:cs="David"/>
          <w:b/>
          <w:bCs/>
          <w:sz w:val="24"/>
          <w:szCs w:val="24"/>
        </w:rPr>
        <w:t>96</w:t>
      </w:r>
      <w:r w:rsidRPr="00203C14">
        <w:rPr>
          <w:rFonts w:ascii="Times New Roman" w:hAnsi="Times New Roman" w:cs="David"/>
          <w:b/>
          <w:bCs/>
          <w:sz w:val="24"/>
          <w:szCs w:val="24"/>
        </w:rPr>
        <w:t>-2019</w:t>
      </w:r>
      <w:r>
        <w:rPr>
          <w:rFonts w:ascii="Times New Roman" w:hAnsi="Times New Roman" w:cs="David"/>
          <w:b/>
          <w:bCs/>
          <w:sz w:val="24"/>
          <w:szCs w:val="24"/>
        </w:rPr>
        <w:t xml:space="preserve"> b</w:t>
      </w:r>
      <w:r w:rsidRPr="009525DA">
        <w:rPr>
          <w:rFonts w:ascii="Times New Roman" w:hAnsi="Times New Roman" w:cs="David"/>
          <w:b/>
          <w:bCs/>
          <w:sz w:val="24"/>
          <w:szCs w:val="24"/>
        </w:rPr>
        <w:t>y dimensions</w:t>
      </w:r>
    </w:p>
    <w:p w14:paraId="49AE6CA4" w14:textId="77777777" w:rsidR="007E48B3" w:rsidRDefault="007E48B3" w:rsidP="007E48B3">
      <w:pPr>
        <w:pStyle w:val="ListParagraph"/>
        <w:bidi w:val="0"/>
        <w:spacing w:line="480" w:lineRule="auto"/>
        <w:ind w:left="0"/>
        <w:jc w:val="center"/>
        <w:rPr>
          <w:noProof/>
        </w:rPr>
      </w:pPr>
      <w:r>
        <w:rPr>
          <w:noProof/>
        </w:rPr>
        <w:drawing>
          <wp:inline distT="0" distB="0" distL="0" distR="0" wp14:anchorId="5CCA0460" wp14:editId="4D16CCD0">
            <wp:extent cx="4320000" cy="2520000"/>
            <wp:effectExtent l="0" t="0" r="4445" b="13970"/>
            <wp:docPr id="38" name="Chart 38">
              <a:extLst xmlns:a="http://schemas.openxmlformats.org/drawingml/2006/main">
                <a:ext uri="{FF2B5EF4-FFF2-40B4-BE49-F238E27FC236}">
                  <a16:creationId xmlns:a16="http://schemas.microsoft.com/office/drawing/2014/main" id="{C509A137-05EC-49AD-83FE-936AC83EEE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38AA9B8" w14:textId="77777777" w:rsidR="007E48B3" w:rsidRDefault="007E48B3" w:rsidP="007E48B3">
      <w:pPr>
        <w:pStyle w:val="ListParagraph"/>
        <w:bidi w:val="0"/>
        <w:spacing w:line="276" w:lineRule="auto"/>
        <w:ind w:left="0"/>
        <w:jc w:val="center"/>
        <w:rPr>
          <w:rFonts w:ascii="Times New Roman" w:hAnsi="Times New Roman" w:cs="David"/>
          <w:b/>
          <w:bCs/>
          <w:sz w:val="24"/>
          <w:szCs w:val="24"/>
          <w:rtl/>
        </w:rPr>
      </w:pPr>
    </w:p>
    <w:p w14:paraId="399DBF07" w14:textId="77777777" w:rsidR="007E48B3" w:rsidRDefault="007E48B3" w:rsidP="007E48B3">
      <w:pPr>
        <w:pStyle w:val="ListParagraph"/>
        <w:bidi w:val="0"/>
        <w:spacing w:line="276" w:lineRule="auto"/>
        <w:ind w:left="0"/>
        <w:jc w:val="center"/>
        <w:rPr>
          <w:rFonts w:ascii="Times New Roman" w:hAnsi="Times New Roman" w:cs="David"/>
          <w:b/>
          <w:bCs/>
          <w:sz w:val="24"/>
          <w:szCs w:val="24"/>
          <w:rtl/>
        </w:rPr>
      </w:pPr>
    </w:p>
    <w:p w14:paraId="73B63872" w14:textId="0911BB26" w:rsidR="007E48B3" w:rsidRDefault="007E48B3" w:rsidP="007E48B3">
      <w:pPr>
        <w:pStyle w:val="ListParagraph"/>
        <w:bidi w:val="0"/>
        <w:spacing w:line="276" w:lineRule="auto"/>
        <w:ind w:left="0"/>
        <w:jc w:val="center"/>
        <w:rPr>
          <w:b/>
          <w:bCs/>
          <w:noProof/>
          <w:sz w:val="24"/>
          <w:szCs w:val="24"/>
        </w:rPr>
      </w:pPr>
      <w:r>
        <w:rPr>
          <w:rFonts w:ascii="Times New Roman" w:hAnsi="Times New Roman" w:cs="David"/>
          <w:b/>
          <w:bCs/>
          <w:sz w:val="24"/>
          <w:szCs w:val="24"/>
        </w:rPr>
        <w:t xml:space="preserve">Figure </w:t>
      </w:r>
      <w:r w:rsidR="00DD6A09">
        <w:rPr>
          <w:rFonts w:ascii="Times New Roman" w:hAnsi="Times New Roman" w:cs="David"/>
          <w:b/>
          <w:bCs/>
          <w:sz w:val="24"/>
          <w:szCs w:val="24"/>
        </w:rPr>
        <w:t>3</w:t>
      </w:r>
      <w:r>
        <w:rPr>
          <w:rFonts w:ascii="Times New Roman" w:hAnsi="Times New Roman" w:cs="David"/>
          <w:b/>
          <w:bCs/>
          <w:sz w:val="24"/>
          <w:szCs w:val="24"/>
        </w:rPr>
        <w:t xml:space="preserve">6: </w:t>
      </w:r>
      <w:r w:rsidRPr="00A811C5">
        <w:rPr>
          <w:rFonts w:ascii="Times New Roman" w:hAnsi="Times New Roman" w:cs="David"/>
          <w:b/>
          <w:bCs/>
          <w:sz w:val="24"/>
          <w:szCs w:val="24"/>
        </w:rPr>
        <w:t>ISR-WBG-II 19</w:t>
      </w:r>
      <w:r>
        <w:rPr>
          <w:rFonts w:ascii="Times New Roman" w:hAnsi="Times New Roman" w:cs="David"/>
          <w:b/>
          <w:bCs/>
          <w:sz w:val="24"/>
          <w:szCs w:val="24"/>
        </w:rPr>
        <w:t>96</w:t>
      </w:r>
      <w:r w:rsidRPr="00A811C5">
        <w:rPr>
          <w:rFonts w:ascii="Times New Roman" w:hAnsi="Times New Roman" w:cs="David"/>
          <w:b/>
          <w:bCs/>
          <w:sz w:val="24"/>
          <w:szCs w:val="24"/>
        </w:rPr>
        <w:t xml:space="preserve">-2019 </w:t>
      </w:r>
      <w:r w:rsidRPr="00A811C5">
        <w:rPr>
          <w:b/>
          <w:bCs/>
          <w:noProof/>
          <w:sz w:val="24"/>
          <w:szCs w:val="24"/>
        </w:rPr>
        <w:t xml:space="preserve">by contribution of </w:t>
      </w:r>
      <w:r w:rsidRPr="00A811C5">
        <w:rPr>
          <w:rFonts w:ascii="Times New Roman" w:hAnsi="Times New Roman" w:cs="David"/>
          <w:b/>
          <w:bCs/>
          <w:sz w:val="24"/>
          <w:szCs w:val="24"/>
        </w:rPr>
        <w:t>dimensions</w:t>
      </w:r>
      <w:r w:rsidRPr="00A811C5">
        <w:rPr>
          <w:b/>
          <w:bCs/>
          <w:noProof/>
          <w:sz w:val="24"/>
          <w:szCs w:val="24"/>
        </w:rPr>
        <w:t xml:space="preserve"> </w:t>
      </w:r>
    </w:p>
    <w:p w14:paraId="30A06381" w14:textId="77777777" w:rsidR="007E48B3" w:rsidRPr="00642F3F" w:rsidRDefault="007E48B3" w:rsidP="007E48B3">
      <w:pPr>
        <w:ind w:left="720"/>
      </w:pPr>
      <w:r>
        <w:rPr>
          <w:noProof/>
        </w:rPr>
        <w:drawing>
          <wp:inline distT="0" distB="0" distL="0" distR="0" wp14:anchorId="7EBC291E" wp14:editId="138250C6">
            <wp:extent cx="4320000" cy="2520000"/>
            <wp:effectExtent l="0" t="0" r="4445" b="13970"/>
            <wp:docPr id="39" name="Chart 39">
              <a:extLst xmlns:a="http://schemas.openxmlformats.org/drawingml/2006/main">
                <a:ext uri="{FF2B5EF4-FFF2-40B4-BE49-F238E27FC236}">
                  <a16:creationId xmlns:a16="http://schemas.microsoft.com/office/drawing/2014/main" id="{260BD348-3FB6-4CD2-B6AB-74F11B067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4160988" w14:textId="77777777" w:rsidR="007E48B3" w:rsidRPr="00126816" w:rsidRDefault="007E48B3" w:rsidP="007E48B3"/>
    <w:p w14:paraId="2C786CB1" w14:textId="77777777" w:rsidR="007E48B3" w:rsidRDefault="007E48B3" w:rsidP="007E48B3">
      <w:pPr>
        <w:pStyle w:val="ListParagraph"/>
        <w:bidi w:val="0"/>
        <w:spacing w:line="480" w:lineRule="auto"/>
        <w:ind w:left="0"/>
        <w:rPr>
          <w:noProof/>
          <w:rtl/>
        </w:rPr>
      </w:pPr>
      <w:r>
        <w:rPr>
          <w:noProof/>
        </w:rPr>
        <w:t xml:space="preserve"> </w:t>
      </w:r>
      <w:r>
        <w:rPr>
          <w:noProof/>
        </w:rPr>
        <w:tab/>
      </w:r>
    </w:p>
    <w:p w14:paraId="22EE8451" w14:textId="77777777" w:rsidR="007E48B3" w:rsidRDefault="007E48B3" w:rsidP="007E48B3">
      <w:pPr>
        <w:pStyle w:val="ListParagraph"/>
        <w:bidi w:val="0"/>
        <w:spacing w:line="480" w:lineRule="auto"/>
        <w:ind w:left="0"/>
        <w:rPr>
          <w:b/>
          <w:bCs/>
          <w:noProof/>
          <w:rtl/>
        </w:rPr>
      </w:pPr>
    </w:p>
    <w:p w14:paraId="3356CBE0" w14:textId="77777777" w:rsidR="007E48B3" w:rsidRDefault="007E48B3" w:rsidP="007E48B3">
      <w:pPr>
        <w:pStyle w:val="ListParagraph"/>
        <w:bidi w:val="0"/>
        <w:spacing w:line="480" w:lineRule="auto"/>
        <w:ind w:left="0"/>
        <w:rPr>
          <w:b/>
          <w:bCs/>
          <w:noProof/>
          <w:rtl/>
        </w:rPr>
      </w:pPr>
    </w:p>
    <w:p w14:paraId="23D82FE9" w14:textId="77777777" w:rsidR="007E48B3" w:rsidRDefault="007E48B3" w:rsidP="007E48B3">
      <w:pPr>
        <w:pStyle w:val="ListParagraph"/>
        <w:bidi w:val="0"/>
        <w:spacing w:line="480" w:lineRule="auto"/>
        <w:ind w:left="0"/>
        <w:rPr>
          <w:b/>
          <w:bCs/>
          <w:noProof/>
          <w:rtl/>
        </w:rPr>
      </w:pPr>
    </w:p>
    <w:p w14:paraId="37B2C7D3" w14:textId="77777777" w:rsidR="007E48B3" w:rsidRDefault="007E48B3" w:rsidP="007E48B3">
      <w:pPr>
        <w:pStyle w:val="ListParagraph"/>
        <w:bidi w:val="0"/>
        <w:spacing w:line="480" w:lineRule="auto"/>
        <w:ind w:left="0"/>
        <w:rPr>
          <w:b/>
          <w:bCs/>
          <w:noProof/>
          <w:rtl/>
        </w:rPr>
      </w:pPr>
    </w:p>
    <w:p w14:paraId="60A8BCBF" w14:textId="77777777" w:rsidR="007E48B3" w:rsidRDefault="007E48B3" w:rsidP="007E48B3">
      <w:pPr>
        <w:pStyle w:val="ListParagraph"/>
        <w:bidi w:val="0"/>
        <w:spacing w:line="480" w:lineRule="auto"/>
        <w:ind w:left="0"/>
        <w:rPr>
          <w:b/>
          <w:bCs/>
          <w:noProof/>
          <w:rtl/>
        </w:rPr>
      </w:pPr>
    </w:p>
    <w:p w14:paraId="445DD616" w14:textId="77777777" w:rsidR="007E48B3" w:rsidRDefault="007E48B3" w:rsidP="007E48B3">
      <w:pPr>
        <w:pStyle w:val="ListParagraph"/>
        <w:bidi w:val="0"/>
        <w:spacing w:line="480" w:lineRule="auto"/>
        <w:ind w:left="0"/>
        <w:rPr>
          <w:b/>
          <w:bCs/>
          <w:noProof/>
          <w:rtl/>
        </w:rPr>
      </w:pPr>
    </w:p>
    <w:p w14:paraId="5EEAD6A4" w14:textId="77777777" w:rsidR="007E48B3" w:rsidRDefault="007E48B3" w:rsidP="007E48B3">
      <w:pPr>
        <w:pStyle w:val="ListParagraph"/>
        <w:bidi w:val="0"/>
        <w:spacing w:line="480" w:lineRule="auto"/>
        <w:ind w:left="0"/>
        <w:rPr>
          <w:b/>
          <w:bCs/>
          <w:noProof/>
          <w:rtl/>
        </w:rPr>
      </w:pPr>
    </w:p>
    <w:p w14:paraId="72394ACF" w14:textId="77777777" w:rsidR="007E48B3" w:rsidRDefault="007E48B3" w:rsidP="007E48B3">
      <w:pPr>
        <w:pStyle w:val="ListParagraph"/>
        <w:numPr>
          <w:ilvl w:val="2"/>
          <w:numId w:val="25"/>
        </w:numPr>
        <w:bidi w:val="0"/>
        <w:spacing w:line="480" w:lineRule="auto"/>
        <w:rPr>
          <w:rFonts w:ascii="Times New Roman" w:hAnsi="Times New Roman" w:cs="David"/>
          <w:b/>
          <w:bCs/>
          <w:sz w:val="24"/>
          <w:szCs w:val="24"/>
        </w:rPr>
      </w:pPr>
      <w:r>
        <w:rPr>
          <w:rFonts w:ascii="Times New Roman" w:hAnsi="Times New Roman" w:cs="David"/>
          <w:b/>
          <w:bCs/>
          <w:sz w:val="24"/>
          <w:szCs w:val="24"/>
        </w:rPr>
        <w:t>ISR-WBG-II 2000-2019</w:t>
      </w:r>
    </w:p>
    <w:p w14:paraId="1AF7E35C" w14:textId="77777777" w:rsidR="007E48B3" w:rsidRDefault="007E48B3" w:rsidP="007E48B3">
      <w:pPr>
        <w:pStyle w:val="ListParagraph"/>
        <w:bidi w:val="0"/>
        <w:spacing w:line="480" w:lineRule="auto"/>
        <w:ind w:left="360"/>
        <w:jc w:val="center"/>
        <w:rPr>
          <w:rFonts w:ascii="Times New Roman" w:hAnsi="Times New Roman" w:cs="David"/>
          <w:b/>
          <w:bCs/>
          <w:sz w:val="24"/>
          <w:szCs w:val="24"/>
        </w:rPr>
      </w:pPr>
      <w:r>
        <w:rPr>
          <w:rFonts w:ascii="Times New Roman" w:hAnsi="Times New Roman" w:cs="David"/>
          <w:b/>
          <w:bCs/>
          <w:sz w:val="24"/>
          <w:szCs w:val="24"/>
        </w:rPr>
        <w:t>Table 4 -</w:t>
      </w:r>
      <w:r w:rsidRPr="00B37731">
        <w:t xml:space="preserve"> </w:t>
      </w:r>
      <w:r w:rsidRPr="00B37731">
        <w:rPr>
          <w:rFonts w:ascii="Times New Roman" w:hAnsi="Times New Roman" w:cs="David"/>
          <w:b/>
          <w:bCs/>
          <w:sz w:val="24"/>
          <w:szCs w:val="24"/>
        </w:rPr>
        <w:t>Dimensions, indicators and weights</w:t>
      </w:r>
      <w:r>
        <w:rPr>
          <w:rFonts w:ascii="Times New Roman" w:hAnsi="Times New Roman" w:cs="David" w:hint="cs"/>
          <w:b/>
          <w:bCs/>
          <w:sz w:val="24"/>
          <w:szCs w:val="24"/>
          <w:rtl/>
        </w:rPr>
        <w:t xml:space="preserve"> </w:t>
      </w:r>
      <w:r>
        <w:rPr>
          <w:rFonts w:ascii="Times New Roman" w:hAnsi="Times New Roman" w:cs="David"/>
          <w:b/>
          <w:bCs/>
          <w:sz w:val="24"/>
          <w:szCs w:val="24"/>
        </w:rPr>
        <w:t>2000-2019</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5735"/>
        <w:gridCol w:w="1096"/>
        <w:gridCol w:w="1219"/>
      </w:tblGrid>
      <w:tr w:rsidR="007E48B3" w:rsidRPr="00A0361C" w14:paraId="12E06DA8" w14:textId="77777777" w:rsidTr="00416373">
        <w:trPr>
          <w:trHeight w:val="300"/>
        </w:trPr>
        <w:tc>
          <w:tcPr>
            <w:tcW w:w="1773" w:type="dxa"/>
            <w:shd w:val="clear" w:color="auto" w:fill="auto"/>
            <w:noWrap/>
            <w:vAlign w:val="bottom"/>
            <w:hideMark/>
          </w:tcPr>
          <w:p w14:paraId="32D9F326" w14:textId="77777777" w:rsidR="007E48B3" w:rsidRPr="00A0361C" w:rsidRDefault="007E48B3" w:rsidP="00416373">
            <w:pPr>
              <w:bidi w:val="0"/>
              <w:rPr>
                <w:rFonts w:asciiTheme="majorBidi" w:hAnsiTheme="majorBidi" w:cstheme="majorBidi"/>
                <w:b/>
                <w:bCs/>
                <w:color w:val="000000"/>
              </w:rPr>
            </w:pPr>
            <w:r w:rsidRPr="00A0361C">
              <w:rPr>
                <w:rFonts w:asciiTheme="majorBidi" w:hAnsiTheme="majorBidi" w:cstheme="majorBidi"/>
                <w:b/>
                <w:bCs/>
                <w:color w:val="000000"/>
              </w:rPr>
              <w:t>Dimension</w:t>
            </w:r>
          </w:p>
        </w:tc>
        <w:tc>
          <w:tcPr>
            <w:tcW w:w="5735" w:type="dxa"/>
            <w:shd w:val="clear" w:color="auto" w:fill="auto"/>
            <w:noWrap/>
            <w:vAlign w:val="bottom"/>
            <w:hideMark/>
          </w:tcPr>
          <w:p w14:paraId="6E51D184" w14:textId="77777777" w:rsidR="007E48B3" w:rsidRPr="00A0361C" w:rsidRDefault="007E48B3" w:rsidP="00416373">
            <w:pPr>
              <w:bidi w:val="0"/>
              <w:rPr>
                <w:rFonts w:asciiTheme="majorBidi" w:hAnsiTheme="majorBidi" w:cstheme="majorBidi"/>
                <w:b/>
                <w:bCs/>
                <w:color w:val="000000"/>
              </w:rPr>
            </w:pPr>
            <w:r w:rsidRPr="00A0361C">
              <w:rPr>
                <w:rFonts w:asciiTheme="majorBidi" w:hAnsiTheme="majorBidi" w:cstheme="majorBidi"/>
                <w:b/>
                <w:bCs/>
                <w:color w:val="000000"/>
              </w:rPr>
              <w:t>Indicator</w:t>
            </w:r>
          </w:p>
        </w:tc>
        <w:tc>
          <w:tcPr>
            <w:tcW w:w="964" w:type="dxa"/>
            <w:shd w:val="clear" w:color="auto" w:fill="auto"/>
            <w:noWrap/>
            <w:vAlign w:val="center"/>
            <w:hideMark/>
          </w:tcPr>
          <w:p w14:paraId="53DFB78D" w14:textId="77777777" w:rsidR="007E48B3" w:rsidRPr="00A0361C" w:rsidRDefault="007E48B3" w:rsidP="00416373">
            <w:pPr>
              <w:bidi w:val="0"/>
              <w:rPr>
                <w:rFonts w:asciiTheme="majorBidi" w:hAnsiTheme="majorBidi" w:cstheme="majorBidi"/>
                <w:b/>
                <w:bCs/>
                <w:color w:val="000000"/>
              </w:rPr>
            </w:pPr>
            <w:r w:rsidRPr="00A0361C">
              <w:rPr>
                <w:rFonts w:asciiTheme="majorBidi" w:hAnsiTheme="majorBidi" w:cstheme="majorBidi"/>
                <w:b/>
                <w:bCs/>
                <w:color w:val="000000"/>
              </w:rPr>
              <w:t>Indicator weight</w:t>
            </w:r>
          </w:p>
        </w:tc>
        <w:tc>
          <w:tcPr>
            <w:tcW w:w="1106" w:type="dxa"/>
            <w:shd w:val="clear" w:color="auto" w:fill="auto"/>
            <w:noWrap/>
            <w:vAlign w:val="center"/>
            <w:hideMark/>
          </w:tcPr>
          <w:p w14:paraId="48918D24" w14:textId="77777777" w:rsidR="007E48B3" w:rsidRPr="00A0361C" w:rsidRDefault="007E48B3" w:rsidP="00416373">
            <w:pPr>
              <w:bidi w:val="0"/>
              <w:rPr>
                <w:rFonts w:asciiTheme="majorBidi" w:hAnsiTheme="majorBidi" w:cstheme="majorBidi"/>
                <w:b/>
                <w:bCs/>
                <w:color w:val="000000"/>
              </w:rPr>
            </w:pPr>
            <w:r w:rsidRPr="00A0361C">
              <w:rPr>
                <w:rFonts w:asciiTheme="majorBidi" w:hAnsiTheme="majorBidi" w:cstheme="majorBidi"/>
                <w:b/>
                <w:bCs/>
                <w:color w:val="000000"/>
              </w:rPr>
              <w:t>Dimension weight</w:t>
            </w:r>
          </w:p>
        </w:tc>
      </w:tr>
      <w:tr w:rsidR="007E48B3" w:rsidRPr="00A0361C" w14:paraId="1D3E9F41" w14:textId="77777777" w:rsidTr="00416373">
        <w:trPr>
          <w:trHeight w:val="300"/>
        </w:trPr>
        <w:tc>
          <w:tcPr>
            <w:tcW w:w="1773" w:type="dxa"/>
            <w:vMerge w:val="restart"/>
            <w:shd w:val="clear" w:color="auto" w:fill="auto"/>
            <w:vAlign w:val="center"/>
            <w:hideMark/>
          </w:tcPr>
          <w:p w14:paraId="46DB75C3" w14:textId="77777777"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color w:val="000000"/>
              </w:rPr>
              <w:t>Trade, employment and taxes</w:t>
            </w:r>
          </w:p>
        </w:tc>
        <w:tc>
          <w:tcPr>
            <w:tcW w:w="5735" w:type="dxa"/>
            <w:shd w:val="clear" w:color="auto" w:fill="auto"/>
            <w:noWrap/>
            <w:vAlign w:val="bottom"/>
            <w:hideMark/>
          </w:tcPr>
          <w:p w14:paraId="6C41885D" w14:textId="77777777"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rPr>
              <w:t>Palestinian exports of goods and services to Israel out of total Palestinian exports</w:t>
            </w:r>
          </w:p>
        </w:tc>
        <w:tc>
          <w:tcPr>
            <w:tcW w:w="964" w:type="dxa"/>
            <w:shd w:val="clear" w:color="auto" w:fill="auto"/>
            <w:noWrap/>
            <w:vAlign w:val="center"/>
            <w:hideMark/>
          </w:tcPr>
          <w:p w14:paraId="29193F6A"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20.0%</w:t>
            </w:r>
          </w:p>
        </w:tc>
        <w:tc>
          <w:tcPr>
            <w:tcW w:w="1106" w:type="dxa"/>
            <w:vMerge w:val="restart"/>
            <w:shd w:val="clear" w:color="auto" w:fill="auto"/>
            <w:noWrap/>
            <w:vAlign w:val="center"/>
            <w:hideMark/>
          </w:tcPr>
          <w:p w14:paraId="48A28113"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33.3%</w:t>
            </w:r>
          </w:p>
        </w:tc>
      </w:tr>
      <w:tr w:rsidR="007E48B3" w:rsidRPr="00A0361C" w14:paraId="5DAAA989" w14:textId="77777777" w:rsidTr="00416373">
        <w:trPr>
          <w:trHeight w:val="300"/>
        </w:trPr>
        <w:tc>
          <w:tcPr>
            <w:tcW w:w="1773" w:type="dxa"/>
            <w:vMerge/>
            <w:vAlign w:val="center"/>
            <w:hideMark/>
          </w:tcPr>
          <w:p w14:paraId="067042EE" w14:textId="77777777" w:rsidR="007E48B3" w:rsidRPr="00A0361C" w:rsidRDefault="007E48B3" w:rsidP="00416373">
            <w:pPr>
              <w:bidi w:val="0"/>
              <w:rPr>
                <w:rFonts w:asciiTheme="majorBidi" w:hAnsiTheme="majorBidi" w:cstheme="majorBidi"/>
                <w:color w:val="000000"/>
              </w:rPr>
            </w:pPr>
          </w:p>
        </w:tc>
        <w:tc>
          <w:tcPr>
            <w:tcW w:w="5735" w:type="dxa"/>
            <w:shd w:val="clear" w:color="auto" w:fill="auto"/>
            <w:noWrap/>
            <w:vAlign w:val="bottom"/>
            <w:hideMark/>
          </w:tcPr>
          <w:p w14:paraId="1BC44E6C" w14:textId="77777777"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rPr>
              <w:t>Palestinian imports of goods and services from Israel out of total Palestinian imports</w:t>
            </w:r>
          </w:p>
        </w:tc>
        <w:tc>
          <w:tcPr>
            <w:tcW w:w="964" w:type="dxa"/>
            <w:shd w:val="clear" w:color="auto" w:fill="auto"/>
            <w:noWrap/>
            <w:vAlign w:val="center"/>
            <w:hideMark/>
          </w:tcPr>
          <w:p w14:paraId="55015448"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20.0%</w:t>
            </w:r>
          </w:p>
        </w:tc>
        <w:tc>
          <w:tcPr>
            <w:tcW w:w="1106" w:type="dxa"/>
            <w:vMerge/>
            <w:vAlign w:val="center"/>
            <w:hideMark/>
          </w:tcPr>
          <w:p w14:paraId="2F0B4033" w14:textId="77777777" w:rsidR="007E48B3" w:rsidRPr="00A0361C" w:rsidRDefault="007E48B3" w:rsidP="00416373">
            <w:pPr>
              <w:bidi w:val="0"/>
              <w:rPr>
                <w:rFonts w:asciiTheme="majorBidi" w:hAnsiTheme="majorBidi" w:cstheme="majorBidi"/>
                <w:color w:val="000000"/>
              </w:rPr>
            </w:pPr>
          </w:p>
        </w:tc>
      </w:tr>
      <w:tr w:rsidR="007E48B3" w:rsidRPr="00A0361C" w14:paraId="0958FBEF" w14:textId="77777777" w:rsidTr="00416373">
        <w:trPr>
          <w:trHeight w:val="300"/>
        </w:trPr>
        <w:tc>
          <w:tcPr>
            <w:tcW w:w="1773" w:type="dxa"/>
            <w:vMerge/>
            <w:vAlign w:val="center"/>
            <w:hideMark/>
          </w:tcPr>
          <w:p w14:paraId="7736D1C5" w14:textId="77777777" w:rsidR="007E48B3" w:rsidRPr="00A0361C" w:rsidRDefault="007E48B3" w:rsidP="00416373">
            <w:pPr>
              <w:bidi w:val="0"/>
              <w:rPr>
                <w:rFonts w:asciiTheme="majorBidi" w:hAnsiTheme="majorBidi" w:cstheme="majorBidi"/>
                <w:color w:val="000000"/>
              </w:rPr>
            </w:pPr>
          </w:p>
        </w:tc>
        <w:tc>
          <w:tcPr>
            <w:tcW w:w="5735" w:type="dxa"/>
            <w:shd w:val="clear" w:color="auto" w:fill="auto"/>
            <w:noWrap/>
            <w:vAlign w:val="bottom"/>
            <w:hideMark/>
          </w:tcPr>
          <w:p w14:paraId="0D1A6D14" w14:textId="77777777"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rPr>
              <w:t>Share of Gross clearance revenues out of Total PA net revenues and grants</w:t>
            </w:r>
          </w:p>
        </w:tc>
        <w:tc>
          <w:tcPr>
            <w:tcW w:w="964" w:type="dxa"/>
            <w:shd w:val="clear" w:color="auto" w:fill="auto"/>
            <w:noWrap/>
            <w:vAlign w:val="center"/>
            <w:hideMark/>
          </w:tcPr>
          <w:p w14:paraId="49D74B24"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20.0%</w:t>
            </w:r>
          </w:p>
        </w:tc>
        <w:tc>
          <w:tcPr>
            <w:tcW w:w="1106" w:type="dxa"/>
            <w:vMerge/>
            <w:vAlign w:val="center"/>
            <w:hideMark/>
          </w:tcPr>
          <w:p w14:paraId="636A8ABA" w14:textId="77777777" w:rsidR="007E48B3" w:rsidRPr="00A0361C" w:rsidRDefault="007E48B3" w:rsidP="00416373">
            <w:pPr>
              <w:bidi w:val="0"/>
              <w:rPr>
                <w:rFonts w:asciiTheme="majorBidi" w:hAnsiTheme="majorBidi" w:cstheme="majorBidi"/>
                <w:color w:val="000000"/>
              </w:rPr>
            </w:pPr>
          </w:p>
        </w:tc>
      </w:tr>
      <w:tr w:rsidR="007E48B3" w:rsidRPr="00A0361C" w14:paraId="4D815E59" w14:textId="77777777" w:rsidTr="00416373">
        <w:trPr>
          <w:trHeight w:val="300"/>
        </w:trPr>
        <w:tc>
          <w:tcPr>
            <w:tcW w:w="1773" w:type="dxa"/>
            <w:vMerge/>
            <w:vAlign w:val="center"/>
            <w:hideMark/>
          </w:tcPr>
          <w:p w14:paraId="35C5A4B1" w14:textId="77777777" w:rsidR="007E48B3" w:rsidRPr="00A0361C" w:rsidRDefault="007E48B3" w:rsidP="00416373">
            <w:pPr>
              <w:bidi w:val="0"/>
              <w:rPr>
                <w:rFonts w:asciiTheme="majorBidi" w:hAnsiTheme="majorBidi" w:cstheme="majorBidi"/>
                <w:color w:val="000000"/>
              </w:rPr>
            </w:pPr>
          </w:p>
        </w:tc>
        <w:tc>
          <w:tcPr>
            <w:tcW w:w="5735" w:type="dxa"/>
            <w:shd w:val="clear" w:color="auto" w:fill="auto"/>
            <w:noWrap/>
            <w:vAlign w:val="bottom"/>
            <w:hideMark/>
          </w:tcPr>
          <w:p w14:paraId="7A4BDBDC" w14:textId="5B34719F"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rPr>
              <w:t>Palestinians employed in Israel out of total Palestinian Individuals</w:t>
            </w:r>
            <w:r w:rsidR="00A0361C" w:rsidRPr="00A0361C">
              <w:rPr>
                <w:rFonts w:asciiTheme="majorBidi" w:hAnsiTheme="majorBidi" w:cstheme="majorBidi"/>
              </w:rPr>
              <w:t xml:space="preserve"> </w:t>
            </w:r>
            <w:r w:rsidRPr="00A0361C">
              <w:rPr>
                <w:rFonts w:asciiTheme="majorBidi" w:hAnsiTheme="majorBidi" w:cstheme="majorBidi"/>
              </w:rPr>
              <w:t xml:space="preserve">employed </w:t>
            </w:r>
          </w:p>
        </w:tc>
        <w:tc>
          <w:tcPr>
            <w:tcW w:w="964" w:type="dxa"/>
            <w:shd w:val="clear" w:color="auto" w:fill="auto"/>
            <w:noWrap/>
            <w:vAlign w:val="center"/>
            <w:hideMark/>
          </w:tcPr>
          <w:p w14:paraId="4B3E84A7"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20.0%</w:t>
            </w:r>
          </w:p>
        </w:tc>
        <w:tc>
          <w:tcPr>
            <w:tcW w:w="1106" w:type="dxa"/>
            <w:vMerge/>
            <w:vAlign w:val="center"/>
            <w:hideMark/>
          </w:tcPr>
          <w:p w14:paraId="3873CCB7" w14:textId="77777777" w:rsidR="007E48B3" w:rsidRPr="00A0361C" w:rsidRDefault="007E48B3" w:rsidP="00416373">
            <w:pPr>
              <w:bidi w:val="0"/>
              <w:rPr>
                <w:rFonts w:asciiTheme="majorBidi" w:hAnsiTheme="majorBidi" w:cstheme="majorBidi"/>
                <w:color w:val="000000"/>
              </w:rPr>
            </w:pPr>
          </w:p>
        </w:tc>
      </w:tr>
      <w:tr w:rsidR="007E48B3" w:rsidRPr="00A0361C" w14:paraId="4AE858E1" w14:textId="77777777" w:rsidTr="00416373">
        <w:trPr>
          <w:trHeight w:val="300"/>
        </w:trPr>
        <w:tc>
          <w:tcPr>
            <w:tcW w:w="1773" w:type="dxa"/>
            <w:vMerge/>
            <w:vAlign w:val="center"/>
            <w:hideMark/>
          </w:tcPr>
          <w:p w14:paraId="770D5C50" w14:textId="77777777" w:rsidR="007E48B3" w:rsidRPr="00A0361C" w:rsidRDefault="007E48B3" w:rsidP="00416373">
            <w:pPr>
              <w:bidi w:val="0"/>
              <w:rPr>
                <w:rFonts w:asciiTheme="majorBidi" w:hAnsiTheme="majorBidi" w:cstheme="majorBidi"/>
                <w:color w:val="000000"/>
              </w:rPr>
            </w:pPr>
          </w:p>
        </w:tc>
        <w:tc>
          <w:tcPr>
            <w:tcW w:w="5735" w:type="dxa"/>
            <w:shd w:val="clear" w:color="auto" w:fill="auto"/>
            <w:noWrap/>
            <w:vAlign w:val="bottom"/>
            <w:hideMark/>
          </w:tcPr>
          <w:p w14:paraId="569B5D0D" w14:textId="77777777"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rPr>
              <w:t>Remittances of Palestinians workers in Israel out of WBG GNI</w:t>
            </w:r>
          </w:p>
        </w:tc>
        <w:tc>
          <w:tcPr>
            <w:tcW w:w="964" w:type="dxa"/>
            <w:shd w:val="clear" w:color="auto" w:fill="auto"/>
            <w:noWrap/>
            <w:vAlign w:val="center"/>
            <w:hideMark/>
          </w:tcPr>
          <w:p w14:paraId="214D9C75"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20.0%</w:t>
            </w:r>
          </w:p>
        </w:tc>
        <w:tc>
          <w:tcPr>
            <w:tcW w:w="1106" w:type="dxa"/>
            <w:vMerge/>
            <w:vAlign w:val="center"/>
            <w:hideMark/>
          </w:tcPr>
          <w:p w14:paraId="3977FB16" w14:textId="77777777" w:rsidR="007E48B3" w:rsidRPr="00A0361C" w:rsidRDefault="007E48B3" w:rsidP="00416373">
            <w:pPr>
              <w:bidi w:val="0"/>
              <w:rPr>
                <w:rFonts w:asciiTheme="majorBidi" w:hAnsiTheme="majorBidi" w:cstheme="majorBidi"/>
                <w:color w:val="000000"/>
              </w:rPr>
            </w:pPr>
          </w:p>
        </w:tc>
      </w:tr>
      <w:tr w:rsidR="007E48B3" w:rsidRPr="00A0361C" w14:paraId="58170725" w14:textId="77777777" w:rsidTr="00416373">
        <w:trPr>
          <w:trHeight w:val="273"/>
        </w:trPr>
        <w:tc>
          <w:tcPr>
            <w:tcW w:w="1773" w:type="dxa"/>
            <w:shd w:val="clear" w:color="auto" w:fill="auto"/>
            <w:vAlign w:val="center"/>
            <w:hideMark/>
          </w:tcPr>
          <w:p w14:paraId="4EA67A11" w14:textId="77777777"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color w:val="000000"/>
              </w:rPr>
              <w:t>Movement of people and Services</w:t>
            </w:r>
          </w:p>
        </w:tc>
        <w:tc>
          <w:tcPr>
            <w:tcW w:w="5735" w:type="dxa"/>
            <w:shd w:val="clear" w:color="auto" w:fill="auto"/>
            <w:noWrap/>
            <w:vAlign w:val="center"/>
            <w:hideMark/>
          </w:tcPr>
          <w:p w14:paraId="63A5BF35" w14:textId="77777777"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rPr>
              <w:t>Percentage of Israeli guests’ nights in WB Hotels</w:t>
            </w:r>
          </w:p>
        </w:tc>
        <w:tc>
          <w:tcPr>
            <w:tcW w:w="964" w:type="dxa"/>
            <w:shd w:val="clear" w:color="auto" w:fill="auto"/>
            <w:noWrap/>
            <w:vAlign w:val="center"/>
            <w:hideMark/>
          </w:tcPr>
          <w:p w14:paraId="68A536B5"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100.0%</w:t>
            </w:r>
          </w:p>
        </w:tc>
        <w:tc>
          <w:tcPr>
            <w:tcW w:w="1106" w:type="dxa"/>
            <w:shd w:val="clear" w:color="auto" w:fill="auto"/>
            <w:noWrap/>
            <w:vAlign w:val="center"/>
            <w:hideMark/>
          </w:tcPr>
          <w:p w14:paraId="2530B185"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6.7%</w:t>
            </w:r>
          </w:p>
        </w:tc>
      </w:tr>
      <w:tr w:rsidR="007E48B3" w:rsidRPr="00A0361C" w14:paraId="04C10B89" w14:textId="77777777" w:rsidTr="00416373">
        <w:trPr>
          <w:trHeight w:val="300"/>
        </w:trPr>
        <w:tc>
          <w:tcPr>
            <w:tcW w:w="1773" w:type="dxa"/>
            <w:vMerge w:val="restart"/>
            <w:shd w:val="clear" w:color="auto" w:fill="auto"/>
            <w:vAlign w:val="center"/>
            <w:hideMark/>
          </w:tcPr>
          <w:p w14:paraId="0679E964" w14:textId="77777777"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color w:val="000000"/>
              </w:rPr>
              <w:t>Resources and infrastructure</w:t>
            </w:r>
          </w:p>
        </w:tc>
        <w:tc>
          <w:tcPr>
            <w:tcW w:w="5735" w:type="dxa"/>
            <w:shd w:val="clear" w:color="auto" w:fill="auto"/>
            <w:noWrap/>
            <w:vAlign w:val="bottom"/>
            <w:hideMark/>
          </w:tcPr>
          <w:p w14:paraId="0DFB57BB" w14:textId="2532405E"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color w:val="000000"/>
              </w:rPr>
              <w:t xml:space="preserve">Mobile cellular subscriptions </w:t>
            </w:r>
            <w:r w:rsidR="00A0361C" w:rsidRPr="00A0361C">
              <w:rPr>
                <w:rFonts w:asciiTheme="majorBidi" w:hAnsiTheme="majorBidi" w:cstheme="majorBidi"/>
                <w:color w:val="000000"/>
              </w:rPr>
              <w:t>(</w:t>
            </w:r>
            <w:r w:rsidRPr="00A0361C">
              <w:rPr>
                <w:rFonts w:asciiTheme="majorBidi" w:hAnsiTheme="majorBidi" w:cstheme="majorBidi"/>
                <w:color w:val="000000"/>
              </w:rPr>
              <w:t>ratio</w:t>
            </w:r>
            <w:r w:rsidR="00A0361C" w:rsidRPr="00A0361C">
              <w:rPr>
                <w:rFonts w:asciiTheme="majorBidi" w:hAnsiTheme="majorBidi" w:cstheme="majorBidi"/>
                <w:color w:val="000000"/>
              </w:rPr>
              <w:t>)</w:t>
            </w:r>
          </w:p>
        </w:tc>
        <w:tc>
          <w:tcPr>
            <w:tcW w:w="964" w:type="dxa"/>
            <w:shd w:val="clear" w:color="auto" w:fill="auto"/>
            <w:noWrap/>
            <w:vAlign w:val="center"/>
            <w:hideMark/>
          </w:tcPr>
          <w:p w14:paraId="7E614F76"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33.3%</w:t>
            </w:r>
          </w:p>
        </w:tc>
        <w:tc>
          <w:tcPr>
            <w:tcW w:w="1106" w:type="dxa"/>
            <w:vMerge w:val="restart"/>
            <w:shd w:val="clear" w:color="auto" w:fill="auto"/>
            <w:noWrap/>
            <w:vAlign w:val="center"/>
            <w:hideMark/>
          </w:tcPr>
          <w:p w14:paraId="76325A59"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20%</w:t>
            </w:r>
          </w:p>
        </w:tc>
      </w:tr>
      <w:tr w:rsidR="007E48B3" w:rsidRPr="00A0361C" w14:paraId="4F9B973E" w14:textId="77777777" w:rsidTr="00416373">
        <w:trPr>
          <w:trHeight w:val="223"/>
        </w:trPr>
        <w:tc>
          <w:tcPr>
            <w:tcW w:w="1773" w:type="dxa"/>
            <w:vMerge/>
            <w:vAlign w:val="center"/>
            <w:hideMark/>
          </w:tcPr>
          <w:p w14:paraId="7CE43C57" w14:textId="77777777" w:rsidR="007E48B3" w:rsidRPr="00A0361C" w:rsidRDefault="007E48B3" w:rsidP="00416373">
            <w:pPr>
              <w:bidi w:val="0"/>
              <w:rPr>
                <w:rFonts w:asciiTheme="majorBidi" w:hAnsiTheme="majorBidi" w:cstheme="majorBidi"/>
                <w:color w:val="000000"/>
              </w:rPr>
            </w:pPr>
          </w:p>
        </w:tc>
        <w:tc>
          <w:tcPr>
            <w:tcW w:w="5735" w:type="dxa"/>
            <w:shd w:val="clear" w:color="auto" w:fill="auto"/>
            <w:noWrap/>
            <w:vAlign w:val="bottom"/>
            <w:hideMark/>
          </w:tcPr>
          <w:p w14:paraId="5AEBD0F0" w14:textId="11B89942"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color w:val="000000"/>
              </w:rPr>
              <w:t xml:space="preserve">Individuals using the Internet </w:t>
            </w:r>
            <w:r w:rsidR="00A0361C" w:rsidRPr="00A0361C">
              <w:rPr>
                <w:rFonts w:asciiTheme="majorBidi" w:hAnsiTheme="majorBidi" w:cstheme="majorBidi"/>
                <w:color w:val="000000"/>
              </w:rPr>
              <w:t>(</w:t>
            </w:r>
            <w:r w:rsidRPr="00A0361C">
              <w:rPr>
                <w:rFonts w:asciiTheme="majorBidi" w:hAnsiTheme="majorBidi" w:cstheme="majorBidi"/>
                <w:color w:val="000000"/>
              </w:rPr>
              <w:t>ratio</w:t>
            </w:r>
            <w:r w:rsidR="00A0361C" w:rsidRPr="00A0361C">
              <w:rPr>
                <w:rFonts w:asciiTheme="majorBidi" w:hAnsiTheme="majorBidi" w:cstheme="majorBidi"/>
                <w:color w:val="000000"/>
              </w:rPr>
              <w:t>)</w:t>
            </w:r>
          </w:p>
        </w:tc>
        <w:tc>
          <w:tcPr>
            <w:tcW w:w="964" w:type="dxa"/>
            <w:shd w:val="clear" w:color="auto" w:fill="auto"/>
            <w:noWrap/>
            <w:vAlign w:val="center"/>
            <w:hideMark/>
          </w:tcPr>
          <w:p w14:paraId="23BB606E"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33.3%</w:t>
            </w:r>
          </w:p>
        </w:tc>
        <w:tc>
          <w:tcPr>
            <w:tcW w:w="1106" w:type="dxa"/>
            <w:vMerge/>
            <w:vAlign w:val="center"/>
            <w:hideMark/>
          </w:tcPr>
          <w:p w14:paraId="666F1C3F" w14:textId="77777777" w:rsidR="007E48B3" w:rsidRPr="00A0361C" w:rsidRDefault="007E48B3" w:rsidP="00416373">
            <w:pPr>
              <w:bidi w:val="0"/>
              <w:rPr>
                <w:rFonts w:asciiTheme="majorBidi" w:hAnsiTheme="majorBidi" w:cstheme="majorBidi"/>
                <w:color w:val="000000"/>
              </w:rPr>
            </w:pPr>
          </w:p>
        </w:tc>
      </w:tr>
      <w:tr w:rsidR="007E48B3" w:rsidRPr="00A0361C" w14:paraId="6542E498" w14:textId="77777777" w:rsidTr="00416373">
        <w:trPr>
          <w:trHeight w:val="315"/>
        </w:trPr>
        <w:tc>
          <w:tcPr>
            <w:tcW w:w="1773" w:type="dxa"/>
            <w:vMerge/>
            <w:vAlign w:val="center"/>
            <w:hideMark/>
          </w:tcPr>
          <w:p w14:paraId="1F06171E" w14:textId="77777777" w:rsidR="007E48B3" w:rsidRPr="00A0361C" w:rsidRDefault="007E48B3" w:rsidP="00416373">
            <w:pPr>
              <w:bidi w:val="0"/>
              <w:rPr>
                <w:rFonts w:asciiTheme="majorBidi" w:hAnsiTheme="majorBidi" w:cstheme="majorBidi"/>
                <w:color w:val="000000"/>
              </w:rPr>
            </w:pPr>
          </w:p>
        </w:tc>
        <w:tc>
          <w:tcPr>
            <w:tcW w:w="5735" w:type="dxa"/>
            <w:shd w:val="clear" w:color="auto" w:fill="auto"/>
            <w:noWrap/>
            <w:vAlign w:val="bottom"/>
            <w:hideMark/>
          </w:tcPr>
          <w:p w14:paraId="47B19B76" w14:textId="77777777"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rPr>
              <w:t>Water Purchased from Israel out of available water quantity in the WBG</w:t>
            </w:r>
          </w:p>
        </w:tc>
        <w:tc>
          <w:tcPr>
            <w:tcW w:w="964" w:type="dxa"/>
            <w:shd w:val="clear" w:color="auto" w:fill="auto"/>
            <w:noWrap/>
            <w:vAlign w:val="center"/>
            <w:hideMark/>
          </w:tcPr>
          <w:p w14:paraId="03A5D53D"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33.3%</w:t>
            </w:r>
          </w:p>
        </w:tc>
        <w:tc>
          <w:tcPr>
            <w:tcW w:w="1106" w:type="dxa"/>
            <w:vMerge/>
            <w:vAlign w:val="center"/>
            <w:hideMark/>
          </w:tcPr>
          <w:p w14:paraId="0BF230B2" w14:textId="77777777" w:rsidR="007E48B3" w:rsidRPr="00A0361C" w:rsidRDefault="007E48B3" w:rsidP="00416373">
            <w:pPr>
              <w:bidi w:val="0"/>
              <w:rPr>
                <w:rFonts w:asciiTheme="majorBidi" w:hAnsiTheme="majorBidi" w:cstheme="majorBidi"/>
                <w:color w:val="000000"/>
              </w:rPr>
            </w:pPr>
          </w:p>
        </w:tc>
      </w:tr>
      <w:tr w:rsidR="007E48B3" w:rsidRPr="00A0361C" w14:paraId="7E966FCA" w14:textId="77777777" w:rsidTr="00416373">
        <w:trPr>
          <w:trHeight w:val="315"/>
        </w:trPr>
        <w:tc>
          <w:tcPr>
            <w:tcW w:w="1773" w:type="dxa"/>
            <w:vMerge w:val="restart"/>
            <w:shd w:val="clear" w:color="auto" w:fill="auto"/>
            <w:vAlign w:val="center"/>
            <w:hideMark/>
          </w:tcPr>
          <w:p w14:paraId="52488371" w14:textId="77777777"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color w:val="000000"/>
              </w:rPr>
              <w:t>Banking and money</w:t>
            </w:r>
          </w:p>
        </w:tc>
        <w:tc>
          <w:tcPr>
            <w:tcW w:w="5735" w:type="dxa"/>
            <w:shd w:val="clear" w:color="auto" w:fill="auto"/>
            <w:noWrap/>
            <w:vAlign w:val="bottom"/>
            <w:hideMark/>
          </w:tcPr>
          <w:p w14:paraId="42E7794A" w14:textId="77777777"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color w:val="000000"/>
              </w:rPr>
              <w:t>Share of NIS credit in the Palestinian banking system</w:t>
            </w:r>
          </w:p>
        </w:tc>
        <w:tc>
          <w:tcPr>
            <w:tcW w:w="964" w:type="dxa"/>
            <w:shd w:val="clear" w:color="auto" w:fill="auto"/>
            <w:noWrap/>
            <w:vAlign w:val="center"/>
            <w:hideMark/>
          </w:tcPr>
          <w:p w14:paraId="4524F3A9"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50.0%</w:t>
            </w:r>
          </w:p>
        </w:tc>
        <w:tc>
          <w:tcPr>
            <w:tcW w:w="1106" w:type="dxa"/>
            <w:vMerge w:val="restart"/>
            <w:shd w:val="clear" w:color="auto" w:fill="auto"/>
            <w:noWrap/>
            <w:vAlign w:val="center"/>
            <w:hideMark/>
          </w:tcPr>
          <w:p w14:paraId="35A463D3"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13.3%</w:t>
            </w:r>
          </w:p>
        </w:tc>
      </w:tr>
      <w:tr w:rsidR="007E48B3" w:rsidRPr="00A0361C" w14:paraId="649DCA93" w14:textId="77777777" w:rsidTr="00416373">
        <w:trPr>
          <w:trHeight w:val="315"/>
        </w:trPr>
        <w:tc>
          <w:tcPr>
            <w:tcW w:w="1773" w:type="dxa"/>
            <w:vMerge/>
            <w:vAlign w:val="center"/>
            <w:hideMark/>
          </w:tcPr>
          <w:p w14:paraId="6C4B85ED" w14:textId="77777777" w:rsidR="007E48B3" w:rsidRPr="00A0361C" w:rsidRDefault="007E48B3" w:rsidP="00416373">
            <w:pPr>
              <w:bidi w:val="0"/>
              <w:rPr>
                <w:rFonts w:asciiTheme="majorBidi" w:hAnsiTheme="majorBidi" w:cstheme="majorBidi"/>
                <w:color w:val="000000"/>
              </w:rPr>
            </w:pPr>
          </w:p>
        </w:tc>
        <w:tc>
          <w:tcPr>
            <w:tcW w:w="5735" w:type="dxa"/>
            <w:shd w:val="clear" w:color="auto" w:fill="auto"/>
            <w:noWrap/>
            <w:vAlign w:val="bottom"/>
            <w:hideMark/>
          </w:tcPr>
          <w:p w14:paraId="285DC485" w14:textId="77777777"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rPr>
              <w:t>Share of NIS checks presented for clearing in the Palestinian banking system</w:t>
            </w:r>
          </w:p>
        </w:tc>
        <w:tc>
          <w:tcPr>
            <w:tcW w:w="964" w:type="dxa"/>
            <w:shd w:val="clear" w:color="auto" w:fill="auto"/>
            <w:noWrap/>
            <w:vAlign w:val="center"/>
            <w:hideMark/>
          </w:tcPr>
          <w:p w14:paraId="3048D9B1"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50.0%</w:t>
            </w:r>
          </w:p>
        </w:tc>
        <w:tc>
          <w:tcPr>
            <w:tcW w:w="1106" w:type="dxa"/>
            <w:vMerge/>
            <w:vAlign w:val="center"/>
            <w:hideMark/>
          </w:tcPr>
          <w:p w14:paraId="75D417B1" w14:textId="77777777" w:rsidR="007E48B3" w:rsidRPr="00A0361C" w:rsidRDefault="007E48B3" w:rsidP="00416373">
            <w:pPr>
              <w:bidi w:val="0"/>
              <w:rPr>
                <w:rFonts w:asciiTheme="majorBidi" w:hAnsiTheme="majorBidi" w:cstheme="majorBidi"/>
                <w:color w:val="000000"/>
              </w:rPr>
            </w:pPr>
          </w:p>
        </w:tc>
      </w:tr>
      <w:tr w:rsidR="007E48B3" w:rsidRPr="00A0361C" w14:paraId="7833536D" w14:textId="77777777" w:rsidTr="00416373">
        <w:trPr>
          <w:trHeight w:val="345"/>
        </w:trPr>
        <w:tc>
          <w:tcPr>
            <w:tcW w:w="1773" w:type="dxa"/>
            <w:vMerge w:val="restart"/>
            <w:shd w:val="clear" w:color="auto" w:fill="auto"/>
            <w:vAlign w:val="center"/>
            <w:hideMark/>
          </w:tcPr>
          <w:p w14:paraId="14714B30" w14:textId="77777777"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color w:val="000000"/>
              </w:rPr>
              <w:t>Wealth and Standard of living</w:t>
            </w:r>
          </w:p>
        </w:tc>
        <w:tc>
          <w:tcPr>
            <w:tcW w:w="5735" w:type="dxa"/>
            <w:shd w:val="clear" w:color="auto" w:fill="auto"/>
            <w:noWrap/>
            <w:vAlign w:val="bottom"/>
            <w:hideMark/>
          </w:tcPr>
          <w:p w14:paraId="595E257C" w14:textId="083343AE"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color w:val="000000"/>
              </w:rPr>
              <w:t xml:space="preserve">GDP per Capita </w:t>
            </w:r>
            <w:r w:rsidR="00A0361C" w:rsidRPr="00A0361C">
              <w:rPr>
                <w:rFonts w:asciiTheme="majorBidi" w:hAnsiTheme="majorBidi" w:cstheme="majorBidi"/>
                <w:color w:val="000000"/>
              </w:rPr>
              <w:t>(</w:t>
            </w:r>
            <w:r w:rsidRPr="00A0361C">
              <w:rPr>
                <w:rFonts w:asciiTheme="majorBidi" w:hAnsiTheme="majorBidi" w:cstheme="majorBidi"/>
                <w:color w:val="000000"/>
              </w:rPr>
              <w:t>ratio</w:t>
            </w:r>
            <w:r w:rsidR="00A0361C" w:rsidRPr="00A0361C">
              <w:rPr>
                <w:rFonts w:asciiTheme="majorBidi" w:hAnsiTheme="majorBidi" w:cstheme="majorBidi"/>
                <w:color w:val="000000"/>
              </w:rPr>
              <w:t>)</w:t>
            </w:r>
          </w:p>
        </w:tc>
        <w:tc>
          <w:tcPr>
            <w:tcW w:w="964" w:type="dxa"/>
            <w:shd w:val="clear" w:color="auto" w:fill="auto"/>
            <w:noWrap/>
            <w:vAlign w:val="center"/>
            <w:hideMark/>
          </w:tcPr>
          <w:p w14:paraId="0BD0F6F8"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25.0%</w:t>
            </w:r>
          </w:p>
        </w:tc>
        <w:tc>
          <w:tcPr>
            <w:tcW w:w="1106" w:type="dxa"/>
            <w:vMerge w:val="restart"/>
            <w:shd w:val="clear" w:color="auto" w:fill="auto"/>
            <w:noWrap/>
            <w:vAlign w:val="center"/>
            <w:hideMark/>
          </w:tcPr>
          <w:p w14:paraId="6A9F314D"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26.7%</w:t>
            </w:r>
          </w:p>
        </w:tc>
      </w:tr>
      <w:tr w:rsidR="007E48B3" w:rsidRPr="00A0361C" w14:paraId="628B6415" w14:textId="77777777" w:rsidTr="00416373">
        <w:trPr>
          <w:trHeight w:val="315"/>
        </w:trPr>
        <w:tc>
          <w:tcPr>
            <w:tcW w:w="1773" w:type="dxa"/>
            <w:vMerge/>
            <w:vAlign w:val="center"/>
            <w:hideMark/>
          </w:tcPr>
          <w:p w14:paraId="6414717C" w14:textId="77777777" w:rsidR="007E48B3" w:rsidRPr="00A0361C" w:rsidRDefault="007E48B3" w:rsidP="00416373">
            <w:pPr>
              <w:bidi w:val="0"/>
              <w:rPr>
                <w:rFonts w:asciiTheme="majorBidi" w:hAnsiTheme="majorBidi" w:cstheme="majorBidi"/>
                <w:color w:val="000000"/>
              </w:rPr>
            </w:pPr>
          </w:p>
        </w:tc>
        <w:tc>
          <w:tcPr>
            <w:tcW w:w="5735" w:type="dxa"/>
            <w:shd w:val="clear" w:color="auto" w:fill="auto"/>
            <w:noWrap/>
            <w:vAlign w:val="bottom"/>
            <w:hideMark/>
          </w:tcPr>
          <w:p w14:paraId="7F5289AB" w14:textId="26363245"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color w:val="000000"/>
              </w:rPr>
              <w:t xml:space="preserve">Price level </w:t>
            </w:r>
            <w:r w:rsidR="00A0361C" w:rsidRPr="00A0361C">
              <w:rPr>
                <w:rFonts w:asciiTheme="majorBidi" w:hAnsiTheme="majorBidi" w:cstheme="majorBidi"/>
                <w:color w:val="000000"/>
              </w:rPr>
              <w:t>(</w:t>
            </w:r>
            <w:r w:rsidRPr="00A0361C">
              <w:rPr>
                <w:rFonts w:asciiTheme="majorBidi" w:hAnsiTheme="majorBidi" w:cstheme="majorBidi"/>
                <w:color w:val="000000"/>
              </w:rPr>
              <w:t>ratio</w:t>
            </w:r>
            <w:r w:rsidR="00A0361C" w:rsidRPr="00A0361C">
              <w:rPr>
                <w:rFonts w:asciiTheme="majorBidi" w:hAnsiTheme="majorBidi" w:cstheme="majorBidi"/>
                <w:color w:val="000000"/>
              </w:rPr>
              <w:t>)</w:t>
            </w:r>
            <w:r w:rsidRPr="00A0361C">
              <w:rPr>
                <w:rFonts w:asciiTheme="majorBidi" w:hAnsiTheme="majorBidi" w:cstheme="majorBidi"/>
                <w:color w:val="000000"/>
              </w:rPr>
              <w:t xml:space="preserve"> </w:t>
            </w:r>
          </w:p>
        </w:tc>
        <w:tc>
          <w:tcPr>
            <w:tcW w:w="964" w:type="dxa"/>
            <w:shd w:val="clear" w:color="auto" w:fill="auto"/>
            <w:noWrap/>
            <w:vAlign w:val="center"/>
            <w:hideMark/>
          </w:tcPr>
          <w:p w14:paraId="1C786D58"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25.0%</w:t>
            </w:r>
          </w:p>
        </w:tc>
        <w:tc>
          <w:tcPr>
            <w:tcW w:w="1106" w:type="dxa"/>
            <w:vMerge/>
            <w:vAlign w:val="center"/>
            <w:hideMark/>
          </w:tcPr>
          <w:p w14:paraId="53078523" w14:textId="77777777" w:rsidR="007E48B3" w:rsidRPr="00A0361C" w:rsidRDefault="007E48B3" w:rsidP="00416373">
            <w:pPr>
              <w:bidi w:val="0"/>
              <w:rPr>
                <w:rFonts w:asciiTheme="majorBidi" w:hAnsiTheme="majorBidi" w:cstheme="majorBidi"/>
                <w:color w:val="000000"/>
              </w:rPr>
            </w:pPr>
          </w:p>
        </w:tc>
      </w:tr>
      <w:tr w:rsidR="007E48B3" w:rsidRPr="00A0361C" w14:paraId="214BE14C" w14:textId="77777777" w:rsidTr="00416373">
        <w:trPr>
          <w:trHeight w:val="315"/>
        </w:trPr>
        <w:tc>
          <w:tcPr>
            <w:tcW w:w="1773" w:type="dxa"/>
            <w:vMerge/>
            <w:vAlign w:val="center"/>
            <w:hideMark/>
          </w:tcPr>
          <w:p w14:paraId="188B67B4" w14:textId="77777777" w:rsidR="007E48B3" w:rsidRPr="00A0361C" w:rsidRDefault="007E48B3" w:rsidP="00416373">
            <w:pPr>
              <w:bidi w:val="0"/>
              <w:rPr>
                <w:rFonts w:asciiTheme="majorBidi" w:hAnsiTheme="majorBidi" w:cstheme="majorBidi"/>
                <w:color w:val="000000"/>
              </w:rPr>
            </w:pPr>
          </w:p>
        </w:tc>
        <w:tc>
          <w:tcPr>
            <w:tcW w:w="5735" w:type="dxa"/>
            <w:shd w:val="clear" w:color="auto" w:fill="auto"/>
            <w:noWrap/>
            <w:vAlign w:val="bottom"/>
            <w:hideMark/>
          </w:tcPr>
          <w:p w14:paraId="37161159" w14:textId="0217FAEE"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color w:val="000000"/>
              </w:rPr>
              <w:t xml:space="preserve">Market capitalization </w:t>
            </w:r>
            <w:r w:rsidR="00A0361C" w:rsidRPr="00A0361C">
              <w:rPr>
                <w:rFonts w:asciiTheme="majorBidi" w:hAnsiTheme="majorBidi" w:cstheme="majorBidi"/>
                <w:color w:val="000000"/>
              </w:rPr>
              <w:t>(</w:t>
            </w:r>
            <w:r w:rsidRPr="00A0361C">
              <w:rPr>
                <w:rFonts w:asciiTheme="majorBidi" w:hAnsiTheme="majorBidi" w:cstheme="majorBidi"/>
                <w:color w:val="000000"/>
              </w:rPr>
              <w:t>ratio</w:t>
            </w:r>
            <w:r w:rsidR="00A0361C" w:rsidRPr="00A0361C">
              <w:rPr>
                <w:rFonts w:asciiTheme="majorBidi" w:hAnsiTheme="majorBidi" w:cstheme="majorBidi"/>
                <w:color w:val="000000"/>
              </w:rPr>
              <w:t>)</w:t>
            </w:r>
          </w:p>
        </w:tc>
        <w:tc>
          <w:tcPr>
            <w:tcW w:w="964" w:type="dxa"/>
            <w:shd w:val="clear" w:color="auto" w:fill="auto"/>
            <w:noWrap/>
            <w:vAlign w:val="center"/>
            <w:hideMark/>
          </w:tcPr>
          <w:p w14:paraId="64A45C92"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25.0%</w:t>
            </w:r>
          </w:p>
        </w:tc>
        <w:tc>
          <w:tcPr>
            <w:tcW w:w="1106" w:type="dxa"/>
            <w:vMerge/>
            <w:vAlign w:val="center"/>
            <w:hideMark/>
          </w:tcPr>
          <w:p w14:paraId="108033B2" w14:textId="77777777" w:rsidR="007E48B3" w:rsidRPr="00A0361C" w:rsidRDefault="007E48B3" w:rsidP="00416373">
            <w:pPr>
              <w:bidi w:val="0"/>
              <w:rPr>
                <w:rFonts w:asciiTheme="majorBidi" w:hAnsiTheme="majorBidi" w:cstheme="majorBidi"/>
                <w:color w:val="000000"/>
              </w:rPr>
            </w:pPr>
          </w:p>
        </w:tc>
      </w:tr>
      <w:tr w:rsidR="007E48B3" w:rsidRPr="00A0361C" w14:paraId="0BF568AD" w14:textId="77777777" w:rsidTr="00416373">
        <w:trPr>
          <w:trHeight w:val="315"/>
        </w:trPr>
        <w:tc>
          <w:tcPr>
            <w:tcW w:w="1773" w:type="dxa"/>
            <w:vMerge/>
            <w:vAlign w:val="center"/>
            <w:hideMark/>
          </w:tcPr>
          <w:p w14:paraId="770EEBD6" w14:textId="77777777" w:rsidR="007E48B3" w:rsidRPr="00A0361C" w:rsidRDefault="007E48B3" w:rsidP="00416373">
            <w:pPr>
              <w:bidi w:val="0"/>
              <w:rPr>
                <w:rFonts w:asciiTheme="majorBidi" w:hAnsiTheme="majorBidi" w:cstheme="majorBidi"/>
                <w:color w:val="000000"/>
              </w:rPr>
            </w:pPr>
          </w:p>
        </w:tc>
        <w:tc>
          <w:tcPr>
            <w:tcW w:w="5735" w:type="dxa"/>
            <w:shd w:val="clear" w:color="auto" w:fill="auto"/>
            <w:noWrap/>
            <w:vAlign w:val="bottom"/>
            <w:hideMark/>
          </w:tcPr>
          <w:p w14:paraId="127A58AC" w14:textId="458D3151" w:rsidR="007E48B3" w:rsidRPr="00A0361C" w:rsidRDefault="007E48B3" w:rsidP="00416373">
            <w:pPr>
              <w:bidi w:val="0"/>
              <w:rPr>
                <w:rFonts w:asciiTheme="majorBidi" w:hAnsiTheme="majorBidi" w:cstheme="majorBidi"/>
                <w:color w:val="000000"/>
              </w:rPr>
            </w:pPr>
            <w:r w:rsidRPr="00A0361C">
              <w:rPr>
                <w:rFonts w:asciiTheme="majorBidi" w:hAnsiTheme="majorBidi" w:cstheme="majorBidi"/>
                <w:color w:val="000000"/>
              </w:rPr>
              <w:t xml:space="preserve">Daily Wage </w:t>
            </w:r>
            <w:r w:rsidR="00A0361C" w:rsidRPr="00A0361C">
              <w:rPr>
                <w:rFonts w:asciiTheme="majorBidi" w:hAnsiTheme="majorBidi" w:cstheme="majorBidi"/>
                <w:color w:val="000000"/>
              </w:rPr>
              <w:t>(</w:t>
            </w:r>
            <w:r w:rsidRPr="00A0361C">
              <w:rPr>
                <w:rFonts w:asciiTheme="majorBidi" w:hAnsiTheme="majorBidi" w:cstheme="majorBidi"/>
                <w:color w:val="000000"/>
              </w:rPr>
              <w:t>ratio</w:t>
            </w:r>
            <w:r w:rsidR="00A0361C" w:rsidRPr="00A0361C">
              <w:rPr>
                <w:rFonts w:asciiTheme="majorBidi" w:hAnsiTheme="majorBidi" w:cstheme="majorBidi"/>
                <w:color w:val="000000"/>
              </w:rPr>
              <w:t>)</w:t>
            </w:r>
          </w:p>
        </w:tc>
        <w:tc>
          <w:tcPr>
            <w:tcW w:w="964" w:type="dxa"/>
            <w:shd w:val="clear" w:color="auto" w:fill="auto"/>
            <w:noWrap/>
            <w:vAlign w:val="center"/>
            <w:hideMark/>
          </w:tcPr>
          <w:p w14:paraId="7AA86F8F" w14:textId="77777777" w:rsidR="007E48B3" w:rsidRPr="00A0361C" w:rsidRDefault="007E48B3" w:rsidP="00416373">
            <w:pPr>
              <w:bidi w:val="0"/>
              <w:jc w:val="center"/>
              <w:rPr>
                <w:rFonts w:asciiTheme="majorBidi" w:hAnsiTheme="majorBidi" w:cstheme="majorBidi"/>
                <w:color w:val="000000"/>
              </w:rPr>
            </w:pPr>
            <w:r w:rsidRPr="00A0361C">
              <w:rPr>
                <w:rFonts w:asciiTheme="majorBidi" w:hAnsiTheme="majorBidi" w:cstheme="majorBidi"/>
                <w:color w:val="000000"/>
              </w:rPr>
              <w:t>25.0%</w:t>
            </w:r>
          </w:p>
        </w:tc>
        <w:tc>
          <w:tcPr>
            <w:tcW w:w="1106" w:type="dxa"/>
            <w:vMerge/>
            <w:vAlign w:val="center"/>
            <w:hideMark/>
          </w:tcPr>
          <w:p w14:paraId="2ACCC02E" w14:textId="77777777" w:rsidR="007E48B3" w:rsidRPr="00A0361C" w:rsidRDefault="007E48B3" w:rsidP="00416373">
            <w:pPr>
              <w:bidi w:val="0"/>
              <w:rPr>
                <w:rFonts w:asciiTheme="majorBidi" w:hAnsiTheme="majorBidi" w:cstheme="majorBidi"/>
                <w:color w:val="000000"/>
              </w:rPr>
            </w:pPr>
          </w:p>
        </w:tc>
      </w:tr>
    </w:tbl>
    <w:p w14:paraId="60BD5EA8" w14:textId="77777777" w:rsidR="007E48B3" w:rsidRDefault="007E48B3" w:rsidP="007E48B3">
      <w:pPr>
        <w:pStyle w:val="ListParagraph"/>
        <w:bidi w:val="0"/>
        <w:spacing w:before="240" w:line="480" w:lineRule="auto"/>
        <w:ind w:left="0"/>
        <w:rPr>
          <w:rFonts w:ascii="Times New Roman" w:hAnsi="Times New Roman" w:cs="David"/>
          <w:sz w:val="24"/>
          <w:szCs w:val="24"/>
        </w:rPr>
      </w:pPr>
      <w:r>
        <w:rPr>
          <w:rFonts w:ascii="Times New Roman" w:hAnsi="Times New Roman" w:cs="David"/>
          <w:sz w:val="24"/>
          <w:szCs w:val="24"/>
        </w:rPr>
        <w:t>Number of dimensions: 5</w:t>
      </w:r>
    </w:p>
    <w:p w14:paraId="5BE53A81" w14:textId="77777777" w:rsidR="007E48B3" w:rsidRDefault="007E48B3" w:rsidP="007E48B3">
      <w:pPr>
        <w:pStyle w:val="ListParagraph"/>
        <w:bidi w:val="0"/>
        <w:spacing w:line="480" w:lineRule="auto"/>
        <w:ind w:left="0"/>
        <w:rPr>
          <w:rFonts w:ascii="Times New Roman" w:hAnsi="Times New Roman" w:cs="David"/>
          <w:sz w:val="24"/>
          <w:szCs w:val="24"/>
        </w:rPr>
      </w:pPr>
      <w:r>
        <w:rPr>
          <w:rFonts w:ascii="Times New Roman" w:hAnsi="Times New Roman" w:cs="David"/>
          <w:sz w:val="24"/>
          <w:szCs w:val="24"/>
        </w:rPr>
        <w:t xml:space="preserve">Number of indicators: </w:t>
      </w:r>
      <w:r>
        <w:rPr>
          <w:rFonts w:ascii="Times New Roman" w:hAnsi="Times New Roman" w:cs="David" w:hint="cs"/>
          <w:sz w:val="24"/>
          <w:szCs w:val="24"/>
          <w:rtl/>
        </w:rPr>
        <w:t>15</w:t>
      </w:r>
    </w:p>
    <w:p w14:paraId="04026126" w14:textId="77777777" w:rsidR="007E48B3" w:rsidRPr="00A877B8" w:rsidRDefault="007E48B3" w:rsidP="007E48B3">
      <w:pPr>
        <w:bidi w:val="0"/>
        <w:spacing w:line="480" w:lineRule="auto"/>
        <w:ind w:left="-720" w:firstLine="720"/>
        <w:rPr>
          <w:rFonts w:asciiTheme="majorBidi" w:hAnsiTheme="majorBidi" w:cstheme="majorBidi"/>
          <w:sz w:val="24"/>
          <w:szCs w:val="24"/>
        </w:rPr>
      </w:pPr>
      <w:r w:rsidRPr="00A877B8">
        <w:rPr>
          <w:rFonts w:ascii="Times New Roman" w:hAnsi="Times New Roman" w:cs="David"/>
          <w:sz w:val="24"/>
          <w:szCs w:val="24"/>
        </w:rPr>
        <w:t xml:space="preserve">The weighting technique - </w:t>
      </w:r>
      <w:r w:rsidRPr="00A877B8">
        <w:rPr>
          <w:rFonts w:asciiTheme="majorBidi" w:hAnsiTheme="majorBidi" w:cstheme="majorBidi"/>
          <w:sz w:val="24"/>
          <w:szCs w:val="24"/>
        </w:rPr>
        <w:t>Equal weighting system</w:t>
      </w:r>
    </w:p>
    <w:p w14:paraId="6A55B310" w14:textId="77777777" w:rsidR="007E48B3" w:rsidRDefault="007E48B3" w:rsidP="007E48B3">
      <w:pPr>
        <w:pStyle w:val="ListParagraph"/>
        <w:bidi w:val="0"/>
        <w:spacing w:line="276" w:lineRule="auto"/>
        <w:ind w:left="0"/>
        <w:jc w:val="center"/>
        <w:rPr>
          <w:rFonts w:ascii="Times New Roman" w:hAnsi="Times New Roman" w:cs="David"/>
          <w:b/>
          <w:bCs/>
          <w:sz w:val="24"/>
          <w:szCs w:val="24"/>
        </w:rPr>
      </w:pPr>
    </w:p>
    <w:p w14:paraId="74C358DB" w14:textId="77777777" w:rsidR="007E48B3" w:rsidRDefault="007E48B3" w:rsidP="007E48B3">
      <w:pPr>
        <w:pStyle w:val="ListParagraph"/>
        <w:bidi w:val="0"/>
        <w:spacing w:line="276" w:lineRule="auto"/>
        <w:ind w:left="0"/>
        <w:jc w:val="center"/>
        <w:rPr>
          <w:rFonts w:ascii="Times New Roman" w:hAnsi="Times New Roman" w:cs="David"/>
          <w:b/>
          <w:bCs/>
          <w:sz w:val="24"/>
          <w:szCs w:val="24"/>
        </w:rPr>
      </w:pPr>
    </w:p>
    <w:p w14:paraId="0534C6EB" w14:textId="77777777" w:rsidR="007E48B3" w:rsidRDefault="007E48B3" w:rsidP="007E48B3">
      <w:pPr>
        <w:pStyle w:val="ListParagraph"/>
        <w:bidi w:val="0"/>
        <w:spacing w:line="276" w:lineRule="auto"/>
        <w:ind w:left="0"/>
        <w:jc w:val="center"/>
        <w:rPr>
          <w:rFonts w:ascii="Times New Roman" w:hAnsi="Times New Roman" w:cs="David"/>
          <w:b/>
          <w:bCs/>
          <w:sz w:val="24"/>
          <w:szCs w:val="24"/>
        </w:rPr>
      </w:pPr>
    </w:p>
    <w:p w14:paraId="54BFD480" w14:textId="77777777" w:rsidR="007E48B3" w:rsidRDefault="007E48B3" w:rsidP="007E48B3">
      <w:pPr>
        <w:pStyle w:val="ListParagraph"/>
        <w:bidi w:val="0"/>
        <w:spacing w:line="276" w:lineRule="auto"/>
        <w:ind w:left="0"/>
        <w:jc w:val="center"/>
        <w:rPr>
          <w:rFonts w:ascii="Times New Roman" w:hAnsi="Times New Roman" w:cs="David"/>
          <w:b/>
          <w:bCs/>
          <w:sz w:val="24"/>
          <w:szCs w:val="24"/>
        </w:rPr>
      </w:pPr>
    </w:p>
    <w:p w14:paraId="5E481601" w14:textId="77777777" w:rsidR="007E48B3" w:rsidRDefault="007E48B3" w:rsidP="007E48B3">
      <w:pPr>
        <w:pStyle w:val="ListParagraph"/>
        <w:bidi w:val="0"/>
        <w:spacing w:line="276" w:lineRule="auto"/>
        <w:ind w:left="0"/>
        <w:jc w:val="center"/>
        <w:rPr>
          <w:rFonts w:ascii="Times New Roman" w:hAnsi="Times New Roman" w:cs="David"/>
          <w:b/>
          <w:bCs/>
          <w:sz w:val="24"/>
          <w:szCs w:val="24"/>
        </w:rPr>
      </w:pPr>
    </w:p>
    <w:p w14:paraId="0E810699" w14:textId="77777777" w:rsidR="007E48B3" w:rsidRDefault="007E48B3" w:rsidP="007E48B3">
      <w:pPr>
        <w:pStyle w:val="ListParagraph"/>
        <w:bidi w:val="0"/>
        <w:spacing w:line="276" w:lineRule="auto"/>
        <w:ind w:left="0"/>
        <w:jc w:val="center"/>
        <w:rPr>
          <w:rFonts w:ascii="Times New Roman" w:hAnsi="Times New Roman" w:cs="David"/>
          <w:b/>
          <w:bCs/>
          <w:sz w:val="24"/>
          <w:szCs w:val="24"/>
        </w:rPr>
      </w:pPr>
    </w:p>
    <w:p w14:paraId="06E6D415" w14:textId="77777777" w:rsidR="007E48B3" w:rsidRDefault="007E48B3" w:rsidP="007E48B3">
      <w:pPr>
        <w:pStyle w:val="ListParagraph"/>
        <w:bidi w:val="0"/>
        <w:spacing w:line="276" w:lineRule="auto"/>
        <w:ind w:left="0"/>
        <w:jc w:val="center"/>
        <w:rPr>
          <w:rFonts w:ascii="Times New Roman" w:hAnsi="Times New Roman" w:cs="David"/>
          <w:b/>
          <w:bCs/>
          <w:sz w:val="24"/>
          <w:szCs w:val="24"/>
        </w:rPr>
      </w:pPr>
    </w:p>
    <w:p w14:paraId="6062DB74" w14:textId="77777777" w:rsidR="007E48B3" w:rsidRDefault="007E48B3" w:rsidP="007E48B3">
      <w:pPr>
        <w:pStyle w:val="ListParagraph"/>
        <w:bidi w:val="0"/>
        <w:spacing w:line="276" w:lineRule="auto"/>
        <w:ind w:left="0"/>
        <w:jc w:val="center"/>
        <w:rPr>
          <w:rFonts w:ascii="Times New Roman" w:hAnsi="Times New Roman" w:cs="David"/>
          <w:b/>
          <w:bCs/>
          <w:sz w:val="24"/>
          <w:szCs w:val="24"/>
        </w:rPr>
      </w:pPr>
    </w:p>
    <w:p w14:paraId="4B89E953" w14:textId="77777777" w:rsidR="007E48B3" w:rsidRDefault="007E48B3" w:rsidP="007E48B3">
      <w:pPr>
        <w:pStyle w:val="ListParagraph"/>
        <w:bidi w:val="0"/>
        <w:spacing w:line="276" w:lineRule="auto"/>
        <w:ind w:left="0"/>
        <w:jc w:val="center"/>
        <w:rPr>
          <w:rFonts w:ascii="Times New Roman" w:hAnsi="Times New Roman" w:cs="David"/>
          <w:b/>
          <w:bCs/>
          <w:sz w:val="24"/>
          <w:szCs w:val="24"/>
        </w:rPr>
      </w:pPr>
    </w:p>
    <w:p w14:paraId="04C8FC7B" w14:textId="77777777" w:rsidR="007E48B3" w:rsidRDefault="007E48B3" w:rsidP="007E48B3">
      <w:pPr>
        <w:pStyle w:val="ListParagraph"/>
        <w:bidi w:val="0"/>
        <w:spacing w:line="276" w:lineRule="auto"/>
        <w:ind w:left="0"/>
        <w:jc w:val="center"/>
        <w:rPr>
          <w:rFonts w:ascii="Times New Roman" w:hAnsi="Times New Roman" w:cs="David"/>
          <w:b/>
          <w:bCs/>
          <w:sz w:val="24"/>
          <w:szCs w:val="24"/>
        </w:rPr>
      </w:pPr>
    </w:p>
    <w:p w14:paraId="2D8AC0AB" w14:textId="77777777" w:rsidR="007E48B3" w:rsidRDefault="007E48B3" w:rsidP="007E48B3">
      <w:pPr>
        <w:pStyle w:val="ListParagraph"/>
        <w:bidi w:val="0"/>
        <w:spacing w:line="276" w:lineRule="auto"/>
        <w:ind w:left="0"/>
        <w:jc w:val="center"/>
        <w:rPr>
          <w:rFonts w:ascii="Times New Roman" w:hAnsi="Times New Roman" w:cs="David"/>
          <w:b/>
          <w:bCs/>
          <w:sz w:val="24"/>
          <w:szCs w:val="24"/>
        </w:rPr>
      </w:pPr>
    </w:p>
    <w:p w14:paraId="3F0E2CA0" w14:textId="77777777" w:rsidR="007E48B3" w:rsidRDefault="007E48B3" w:rsidP="007E48B3">
      <w:pPr>
        <w:pStyle w:val="ListParagraph"/>
        <w:bidi w:val="0"/>
        <w:spacing w:line="276" w:lineRule="auto"/>
        <w:ind w:left="0"/>
        <w:jc w:val="center"/>
        <w:rPr>
          <w:rFonts w:ascii="Times New Roman" w:hAnsi="Times New Roman" w:cs="David"/>
          <w:b/>
          <w:bCs/>
          <w:sz w:val="24"/>
          <w:szCs w:val="24"/>
        </w:rPr>
      </w:pPr>
    </w:p>
    <w:p w14:paraId="1DD2BB10" w14:textId="0845681A" w:rsidR="007E48B3" w:rsidRPr="00203C14" w:rsidRDefault="007E48B3" w:rsidP="007E48B3">
      <w:pPr>
        <w:pStyle w:val="ListParagraph"/>
        <w:bidi w:val="0"/>
        <w:spacing w:line="276" w:lineRule="auto"/>
        <w:ind w:left="0"/>
        <w:jc w:val="center"/>
        <w:rPr>
          <w:rFonts w:ascii="Times New Roman" w:hAnsi="Times New Roman" w:cs="David"/>
          <w:b/>
          <w:bCs/>
          <w:sz w:val="24"/>
          <w:szCs w:val="24"/>
        </w:rPr>
      </w:pPr>
      <w:r>
        <w:rPr>
          <w:rFonts w:ascii="Times New Roman" w:hAnsi="Times New Roman" w:cs="David"/>
          <w:b/>
          <w:bCs/>
          <w:sz w:val="24"/>
          <w:szCs w:val="24"/>
        </w:rPr>
        <w:t xml:space="preserve">Figure </w:t>
      </w:r>
      <w:r w:rsidR="00DD6A09">
        <w:rPr>
          <w:rFonts w:ascii="Times New Roman" w:hAnsi="Times New Roman" w:cs="David"/>
          <w:b/>
          <w:bCs/>
          <w:sz w:val="24"/>
          <w:szCs w:val="24"/>
        </w:rPr>
        <w:t>3</w:t>
      </w:r>
      <w:r>
        <w:rPr>
          <w:rFonts w:ascii="Times New Roman" w:hAnsi="Times New Roman" w:cs="David"/>
          <w:b/>
          <w:bCs/>
          <w:sz w:val="24"/>
          <w:szCs w:val="24"/>
        </w:rPr>
        <w:t xml:space="preserve">7: </w:t>
      </w:r>
      <w:r w:rsidRPr="00203C14">
        <w:rPr>
          <w:rFonts w:ascii="Times New Roman" w:hAnsi="Times New Roman" w:cs="David"/>
          <w:b/>
          <w:bCs/>
          <w:sz w:val="24"/>
          <w:szCs w:val="24"/>
        </w:rPr>
        <w:t xml:space="preserve">ISR-WBG-II </w:t>
      </w:r>
      <w:r>
        <w:rPr>
          <w:rFonts w:ascii="Times New Roman" w:hAnsi="Times New Roman" w:cs="David"/>
          <w:b/>
          <w:bCs/>
          <w:sz w:val="24"/>
          <w:szCs w:val="24"/>
        </w:rPr>
        <w:t>2000</w:t>
      </w:r>
      <w:r w:rsidRPr="00203C14">
        <w:rPr>
          <w:rFonts w:ascii="Times New Roman" w:hAnsi="Times New Roman" w:cs="David"/>
          <w:b/>
          <w:bCs/>
          <w:sz w:val="24"/>
          <w:szCs w:val="24"/>
        </w:rPr>
        <w:t>-2019</w:t>
      </w:r>
      <w:r>
        <w:rPr>
          <w:rFonts w:ascii="Times New Roman" w:hAnsi="Times New Roman" w:cs="David"/>
          <w:b/>
          <w:bCs/>
          <w:sz w:val="24"/>
          <w:szCs w:val="24"/>
        </w:rPr>
        <w:t xml:space="preserve"> – Total index</w:t>
      </w:r>
    </w:p>
    <w:p w14:paraId="385F0C7C" w14:textId="77777777" w:rsidR="007E48B3" w:rsidRDefault="007E48B3" w:rsidP="007E48B3">
      <w:pPr>
        <w:pStyle w:val="ListParagraph"/>
        <w:bidi w:val="0"/>
        <w:spacing w:line="480" w:lineRule="auto"/>
        <w:ind w:left="0"/>
        <w:jc w:val="center"/>
        <w:rPr>
          <w:rFonts w:ascii="Times New Roman" w:hAnsi="Times New Roman" w:cs="David"/>
          <w:b/>
          <w:bCs/>
          <w:sz w:val="24"/>
          <w:szCs w:val="24"/>
        </w:rPr>
      </w:pPr>
      <w:r>
        <w:rPr>
          <w:noProof/>
        </w:rPr>
        <w:drawing>
          <wp:inline distT="0" distB="0" distL="0" distR="0" wp14:anchorId="09616C90" wp14:editId="798E7F5D">
            <wp:extent cx="4320000" cy="2520000"/>
            <wp:effectExtent l="0" t="0" r="4445" b="13970"/>
            <wp:docPr id="40" name="תרשים 23">
              <a:extLst xmlns:a="http://schemas.openxmlformats.org/drawingml/2006/main">
                <a:ext uri="{FF2B5EF4-FFF2-40B4-BE49-F238E27FC236}">
                  <a16:creationId xmlns:a16="http://schemas.microsoft.com/office/drawing/2014/main" id="{59EEBD81-615E-4002-BDAD-A1298C401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16EC950" w14:textId="69B76D9F" w:rsidR="007E48B3" w:rsidRDefault="007E48B3" w:rsidP="007E48B3">
      <w:pPr>
        <w:pStyle w:val="ListParagraph"/>
        <w:bidi w:val="0"/>
        <w:spacing w:line="276" w:lineRule="auto"/>
        <w:ind w:left="0"/>
        <w:jc w:val="center"/>
        <w:rPr>
          <w:rFonts w:ascii="Times New Roman" w:hAnsi="Times New Roman" w:cs="David"/>
          <w:b/>
          <w:bCs/>
          <w:sz w:val="24"/>
          <w:szCs w:val="24"/>
        </w:rPr>
      </w:pPr>
      <w:r>
        <w:rPr>
          <w:rFonts w:ascii="Times New Roman" w:hAnsi="Times New Roman" w:cs="David"/>
          <w:b/>
          <w:bCs/>
          <w:sz w:val="24"/>
          <w:szCs w:val="24"/>
        </w:rPr>
        <w:t xml:space="preserve">Figure </w:t>
      </w:r>
      <w:r w:rsidR="00DD6A09">
        <w:rPr>
          <w:rFonts w:ascii="Times New Roman" w:hAnsi="Times New Roman" w:cs="David"/>
          <w:b/>
          <w:bCs/>
          <w:sz w:val="24"/>
          <w:szCs w:val="24"/>
        </w:rPr>
        <w:t>3</w:t>
      </w:r>
      <w:r>
        <w:rPr>
          <w:rFonts w:ascii="Times New Roman" w:hAnsi="Times New Roman" w:cs="David"/>
          <w:b/>
          <w:bCs/>
          <w:sz w:val="24"/>
          <w:szCs w:val="24"/>
        </w:rPr>
        <w:t xml:space="preserve">8: </w:t>
      </w:r>
      <w:r w:rsidRPr="00203C14">
        <w:rPr>
          <w:rFonts w:ascii="Times New Roman" w:hAnsi="Times New Roman" w:cs="David"/>
          <w:b/>
          <w:bCs/>
          <w:sz w:val="24"/>
          <w:szCs w:val="24"/>
        </w:rPr>
        <w:t xml:space="preserve">ISR-WBG-II </w:t>
      </w:r>
      <w:r>
        <w:rPr>
          <w:rFonts w:ascii="Times New Roman" w:hAnsi="Times New Roman" w:cs="David"/>
          <w:b/>
          <w:bCs/>
          <w:sz w:val="24"/>
          <w:szCs w:val="24"/>
        </w:rPr>
        <w:t>2000</w:t>
      </w:r>
      <w:r w:rsidRPr="00203C14">
        <w:rPr>
          <w:rFonts w:ascii="Times New Roman" w:hAnsi="Times New Roman" w:cs="David"/>
          <w:b/>
          <w:bCs/>
          <w:sz w:val="24"/>
          <w:szCs w:val="24"/>
        </w:rPr>
        <w:t>-2019</w:t>
      </w:r>
      <w:r>
        <w:rPr>
          <w:rFonts w:ascii="Times New Roman" w:hAnsi="Times New Roman" w:cs="David"/>
          <w:b/>
          <w:bCs/>
          <w:sz w:val="24"/>
          <w:szCs w:val="24"/>
        </w:rPr>
        <w:t xml:space="preserve"> b</w:t>
      </w:r>
      <w:r w:rsidRPr="009525DA">
        <w:rPr>
          <w:rFonts w:ascii="Times New Roman" w:hAnsi="Times New Roman" w:cs="David"/>
          <w:b/>
          <w:bCs/>
          <w:sz w:val="24"/>
          <w:szCs w:val="24"/>
        </w:rPr>
        <w:t>y dimensions</w:t>
      </w:r>
    </w:p>
    <w:p w14:paraId="022DDADB" w14:textId="77777777" w:rsidR="007E48B3" w:rsidRPr="00CC19B2" w:rsidRDefault="007E48B3" w:rsidP="007E48B3">
      <w:pPr>
        <w:pStyle w:val="ListParagraph"/>
        <w:bidi w:val="0"/>
        <w:spacing w:line="276" w:lineRule="auto"/>
        <w:ind w:left="0"/>
        <w:jc w:val="center"/>
        <w:rPr>
          <w:rFonts w:ascii="Times New Roman" w:hAnsi="Times New Roman" w:cs="David"/>
          <w:b/>
          <w:bCs/>
          <w:sz w:val="24"/>
          <w:szCs w:val="24"/>
          <w:rtl/>
        </w:rPr>
      </w:pPr>
      <w:r>
        <w:rPr>
          <w:noProof/>
        </w:rPr>
        <w:drawing>
          <wp:inline distT="0" distB="0" distL="0" distR="0" wp14:anchorId="6AB915AF" wp14:editId="5981C100">
            <wp:extent cx="4320000" cy="2520000"/>
            <wp:effectExtent l="0" t="0" r="4445" b="13970"/>
            <wp:docPr id="41" name="Chart 41">
              <a:extLst xmlns:a="http://schemas.openxmlformats.org/drawingml/2006/main">
                <a:ext uri="{FF2B5EF4-FFF2-40B4-BE49-F238E27FC236}">
                  <a16:creationId xmlns:a16="http://schemas.microsoft.com/office/drawing/2014/main" id="{B2B89AC4-A115-4CDA-A59B-A11107973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431C067" w14:textId="77777777" w:rsidR="007E48B3" w:rsidRDefault="007E48B3" w:rsidP="007E48B3">
      <w:pPr>
        <w:pStyle w:val="ListParagraph"/>
        <w:bidi w:val="0"/>
        <w:spacing w:before="240" w:line="276" w:lineRule="auto"/>
        <w:ind w:left="0"/>
        <w:jc w:val="center"/>
        <w:rPr>
          <w:rFonts w:ascii="Times New Roman" w:hAnsi="Times New Roman" w:cs="David"/>
          <w:b/>
          <w:bCs/>
          <w:sz w:val="24"/>
          <w:szCs w:val="24"/>
        </w:rPr>
      </w:pPr>
    </w:p>
    <w:p w14:paraId="73AEF5C6" w14:textId="3CF5497C" w:rsidR="007E48B3" w:rsidRPr="006D46E8" w:rsidRDefault="007E48B3" w:rsidP="007E48B3">
      <w:pPr>
        <w:pStyle w:val="ListParagraph"/>
        <w:bidi w:val="0"/>
        <w:spacing w:before="240" w:line="276" w:lineRule="auto"/>
        <w:ind w:left="0"/>
        <w:jc w:val="center"/>
        <w:rPr>
          <w:rFonts w:ascii="Times New Roman" w:hAnsi="Times New Roman" w:cs="David"/>
          <w:b/>
          <w:bCs/>
          <w:sz w:val="24"/>
          <w:szCs w:val="24"/>
        </w:rPr>
      </w:pPr>
      <w:r>
        <w:rPr>
          <w:rFonts w:ascii="Times New Roman" w:hAnsi="Times New Roman" w:cs="David"/>
          <w:b/>
          <w:bCs/>
          <w:sz w:val="24"/>
          <w:szCs w:val="24"/>
        </w:rPr>
        <w:t xml:space="preserve">Figure </w:t>
      </w:r>
      <w:r w:rsidR="00DD6A09">
        <w:rPr>
          <w:rFonts w:ascii="Times New Roman" w:hAnsi="Times New Roman" w:cs="David"/>
          <w:b/>
          <w:bCs/>
          <w:sz w:val="24"/>
          <w:szCs w:val="24"/>
        </w:rPr>
        <w:t>3</w:t>
      </w:r>
      <w:r>
        <w:rPr>
          <w:rFonts w:ascii="Times New Roman" w:hAnsi="Times New Roman" w:cs="David"/>
          <w:b/>
          <w:bCs/>
          <w:sz w:val="24"/>
          <w:szCs w:val="24"/>
        </w:rPr>
        <w:t xml:space="preserve">9: </w:t>
      </w:r>
      <w:r w:rsidRPr="00A811C5">
        <w:rPr>
          <w:rFonts w:ascii="Times New Roman" w:hAnsi="Times New Roman" w:cs="David"/>
          <w:b/>
          <w:bCs/>
          <w:sz w:val="24"/>
          <w:szCs w:val="24"/>
        </w:rPr>
        <w:t xml:space="preserve">ISR-WBG-II </w:t>
      </w:r>
      <w:r>
        <w:rPr>
          <w:rFonts w:ascii="Times New Roman" w:hAnsi="Times New Roman" w:cs="David"/>
          <w:b/>
          <w:bCs/>
          <w:sz w:val="24"/>
          <w:szCs w:val="24"/>
        </w:rPr>
        <w:t>2000</w:t>
      </w:r>
      <w:r w:rsidRPr="00A811C5">
        <w:rPr>
          <w:rFonts w:ascii="Times New Roman" w:hAnsi="Times New Roman" w:cs="David"/>
          <w:b/>
          <w:bCs/>
          <w:sz w:val="24"/>
          <w:szCs w:val="24"/>
        </w:rPr>
        <w:t xml:space="preserve">-2019 </w:t>
      </w:r>
      <w:r w:rsidRPr="006D46E8">
        <w:rPr>
          <w:rFonts w:ascii="Times New Roman" w:hAnsi="Times New Roman" w:cs="David"/>
          <w:b/>
          <w:bCs/>
          <w:sz w:val="24"/>
          <w:szCs w:val="24"/>
        </w:rPr>
        <w:t xml:space="preserve">by contribution of </w:t>
      </w:r>
      <w:r w:rsidRPr="00A811C5">
        <w:rPr>
          <w:rFonts w:ascii="Times New Roman" w:hAnsi="Times New Roman" w:cs="David"/>
          <w:b/>
          <w:bCs/>
          <w:sz w:val="24"/>
          <w:szCs w:val="24"/>
        </w:rPr>
        <w:t>dimensions</w:t>
      </w:r>
      <w:r w:rsidRPr="006D46E8">
        <w:rPr>
          <w:rFonts w:ascii="Times New Roman" w:hAnsi="Times New Roman" w:cs="David"/>
          <w:b/>
          <w:bCs/>
          <w:sz w:val="24"/>
          <w:szCs w:val="24"/>
        </w:rPr>
        <w:t xml:space="preserve"> </w:t>
      </w:r>
    </w:p>
    <w:p w14:paraId="1A17B347" w14:textId="77777777" w:rsidR="007E48B3" w:rsidRDefault="007E48B3" w:rsidP="007E48B3">
      <w:pPr>
        <w:pStyle w:val="ListParagraph"/>
        <w:bidi w:val="0"/>
        <w:spacing w:line="480" w:lineRule="auto"/>
        <w:ind w:left="0"/>
        <w:jc w:val="center"/>
        <w:rPr>
          <w:rFonts w:ascii="Times New Roman" w:hAnsi="Times New Roman" w:cs="David"/>
          <w:sz w:val="24"/>
          <w:szCs w:val="24"/>
        </w:rPr>
      </w:pPr>
      <w:r>
        <w:rPr>
          <w:noProof/>
        </w:rPr>
        <w:drawing>
          <wp:inline distT="0" distB="0" distL="0" distR="0" wp14:anchorId="61D60273" wp14:editId="6A28F3BB">
            <wp:extent cx="4320000" cy="2520000"/>
            <wp:effectExtent l="0" t="0" r="4445" b="13970"/>
            <wp:docPr id="42" name="Chart 42">
              <a:extLst xmlns:a="http://schemas.openxmlformats.org/drawingml/2006/main">
                <a:ext uri="{FF2B5EF4-FFF2-40B4-BE49-F238E27FC236}">
                  <a16:creationId xmlns:a16="http://schemas.microsoft.com/office/drawing/2014/main" id="{19217F88-16B2-4016-873E-205697841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A45787F" w14:textId="77777777" w:rsidR="007E48B3" w:rsidRDefault="007E48B3" w:rsidP="007E48B3">
      <w:pPr>
        <w:pStyle w:val="ListParagraph"/>
        <w:numPr>
          <w:ilvl w:val="2"/>
          <w:numId w:val="25"/>
        </w:numPr>
        <w:bidi w:val="0"/>
        <w:spacing w:line="480" w:lineRule="auto"/>
        <w:rPr>
          <w:rFonts w:ascii="Times New Roman" w:hAnsi="Times New Roman" w:cs="David"/>
          <w:b/>
          <w:bCs/>
          <w:sz w:val="24"/>
          <w:szCs w:val="24"/>
        </w:rPr>
      </w:pPr>
      <w:r>
        <w:rPr>
          <w:rFonts w:ascii="Times New Roman" w:hAnsi="Times New Roman" w:cs="David" w:hint="cs"/>
          <w:b/>
          <w:bCs/>
          <w:sz w:val="24"/>
          <w:szCs w:val="24"/>
        </w:rPr>
        <w:t>IS</w:t>
      </w:r>
      <w:r>
        <w:rPr>
          <w:rFonts w:ascii="Times New Roman" w:hAnsi="Times New Roman" w:cs="David"/>
          <w:b/>
          <w:bCs/>
          <w:sz w:val="24"/>
          <w:szCs w:val="24"/>
        </w:rPr>
        <w:t>R-</w:t>
      </w:r>
      <w:r>
        <w:rPr>
          <w:rFonts w:ascii="Times New Roman" w:hAnsi="Times New Roman" w:cs="David" w:hint="cs"/>
          <w:b/>
          <w:bCs/>
          <w:sz w:val="24"/>
          <w:szCs w:val="24"/>
        </w:rPr>
        <w:t>WBG</w:t>
      </w:r>
      <w:r>
        <w:rPr>
          <w:rFonts w:ascii="Times New Roman" w:hAnsi="Times New Roman" w:cs="David"/>
          <w:b/>
          <w:bCs/>
          <w:sz w:val="24"/>
          <w:szCs w:val="24"/>
        </w:rPr>
        <w:t>-</w:t>
      </w:r>
      <w:r>
        <w:rPr>
          <w:rFonts w:ascii="Times New Roman" w:hAnsi="Times New Roman" w:cs="David" w:hint="cs"/>
          <w:b/>
          <w:bCs/>
          <w:sz w:val="24"/>
          <w:szCs w:val="24"/>
        </w:rPr>
        <w:t>II</w:t>
      </w:r>
      <w:r>
        <w:rPr>
          <w:rFonts w:ascii="Times New Roman" w:hAnsi="Times New Roman" w:cs="David"/>
          <w:b/>
          <w:bCs/>
          <w:sz w:val="24"/>
          <w:szCs w:val="24"/>
        </w:rPr>
        <w:t xml:space="preserve"> 2010 – 2019</w:t>
      </w:r>
    </w:p>
    <w:p w14:paraId="762C6179" w14:textId="77777777" w:rsidR="007E48B3" w:rsidRDefault="007E48B3" w:rsidP="007E48B3">
      <w:pPr>
        <w:pStyle w:val="ListParagraph"/>
        <w:bidi w:val="0"/>
        <w:spacing w:line="480" w:lineRule="auto"/>
        <w:ind w:left="360"/>
        <w:jc w:val="center"/>
        <w:rPr>
          <w:rFonts w:ascii="Times New Roman" w:hAnsi="Times New Roman" w:cs="David"/>
          <w:b/>
          <w:bCs/>
          <w:sz w:val="24"/>
          <w:szCs w:val="24"/>
        </w:rPr>
      </w:pPr>
      <w:r>
        <w:rPr>
          <w:rFonts w:ascii="Times New Roman" w:hAnsi="Times New Roman" w:cs="David"/>
          <w:b/>
          <w:bCs/>
          <w:sz w:val="24"/>
          <w:szCs w:val="24"/>
        </w:rPr>
        <w:t>Table 4 -</w:t>
      </w:r>
      <w:r w:rsidRPr="00B37731">
        <w:t xml:space="preserve"> </w:t>
      </w:r>
      <w:r w:rsidRPr="00B37731">
        <w:rPr>
          <w:rFonts w:ascii="Times New Roman" w:hAnsi="Times New Roman" w:cs="David"/>
          <w:b/>
          <w:bCs/>
          <w:sz w:val="24"/>
          <w:szCs w:val="24"/>
        </w:rPr>
        <w:t>Dimensions, indicators and weights</w:t>
      </w:r>
      <w:r>
        <w:rPr>
          <w:rFonts w:ascii="Times New Roman" w:hAnsi="Times New Roman" w:cs="David" w:hint="cs"/>
          <w:b/>
          <w:bCs/>
          <w:sz w:val="24"/>
          <w:szCs w:val="24"/>
          <w:rtl/>
        </w:rPr>
        <w:t xml:space="preserve"> </w:t>
      </w:r>
      <w:r>
        <w:rPr>
          <w:rFonts w:ascii="Times New Roman" w:hAnsi="Times New Roman" w:cs="David"/>
          <w:b/>
          <w:bCs/>
          <w:sz w:val="24"/>
          <w:szCs w:val="24"/>
        </w:rPr>
        <w:t>2010-2019</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6464"/>
        <w:gridCol w:w="992"/>
        <w:gridCol w:w="1134"/>
      </w:tblGrid>
      <w:tr w:rsidR="00542F2A" w:rsidRPr="006B7471" w14:paraId="58BB1310" w14:textId="77777777" w:rsidTr="006B7471">
        <w:trPr>
          <w:trHeight w:val="300"/>
        </w:trPr>
        <w:tc>
          <w:tcPr>
            <w:tcW w:w="1475" w:type="dxa"/>
            <w:shd w:val="clear" w:color="auto" w:fill="auto"/>
            <w:noWrap/>
            <w:vAlign w:val="center"/>
            <w:hideMark/>
          </w:tcPr>
          <w:p w14:paraId="1FA447C9" w14:textId="77777777" w:rsidR="007E48B3" w:rsidRPr="006B7471" w:rsidRDefault="007E48B3" w:rsidP="00416373">
            <w:pPr>
              <w:bidi w:val="0"/>
              <w:rPr>
                <w:rFonts w:asciiTheme="majorBidi" w:hAnsiTheme="majorBidi" w:cstheme="majorBidi"/>
                <w:b/>
                <w:bCs/>
                <w:color w:val="000000"/>
              </w:rPr>
            </w:pPr>
            <w:r w:rsidRPr="006B7471">
              <w:rPr>
                <w:rFonts w:asciiTheme="majorBidi" w:hAnsiTheme="majorBidi" w:cstheme="majorBidi"/>
                <w:b/>
                <w:bCs/>
                <w:color w:val="000000"/>
              </w:rPr>
              <w:t>Dimension</w:t>
            </w:r>
          </w:p>
        </w:tc>
        <w:tc>
          <w:tcPr>
            <w:tcW w:w="6464" w:type="dxa"/>
            <w:shd w:val="clear" w:color="auto" w:fill="auto"/>
            <w:noWrap/>
            <w:vAlign w:val="center"/>
            <w:hideMark/>
          </w:tcPr>
          <w:p w14:paraId="7C62A1FD" w14:textId="77777777" w:rsidR="007E48B3" w:rsidRPr="006B7471" w:rsidRDefault="007E48B3" w:rsidP="00416373">
            <w:pPr>
              <w:bidi w:val="0"/>
              <w:rPr>
                <w:rFonts w:asciiTheme="majorBidi" w:hAnsiTheme="majorBidi" w:cstheme="majorBidi"/>
                <w:b/>
                <w:bCs/>
                <w:color w:val="000000"/>
              </w:rPr>
            </w:pPr>
            <w:r w:rsidRPr="006B7471">
              <w:rPr>
                <w:rFonts w:asciiTheme="majorBidi" w:hAnsiTheme="majorBidi" w:cstheme="majorBidi"/>
                <w:b/>
                <w:bCs/>
                <w:color w:val="000000"/>
              </w:rPr>
              <w:t>Indicator</w:t>
            </w:r>
          </w:p>
        </w:tc>
        <w:tc>
          <w:tcPr>
            <w:tcW w:w="992" w:type="dxa"/>
            <w:shd w:val="clear" w:color="auto" w:fill="auto"/>
            <w:noWrap/>
            <w:vAlign w:val="center"/>
            <w:hideMark/>
          </w:tcPr>
          <w:p w14:paraId="6EED5B0C" w14:textId="77777777" w:rsidR="007E48B3" w:rsidRPr="006B7471" w:rsidRDefault="007E48B3" w:rsidP="00416373">
            <w:pPr>
              <w:bidi w:val="0"/>
              <w:rPr>
                <w:rFonts w:asciiTheme="majorBidi" w:hAnsiTheme="majorBidi" w:cstheme="majorBidi"/>
                <w:b/>
                <w:bCs/>
                <w:color w:val="000000"/>
              </w:rPr>
            </w:pPr>
            <w:r w:rsidRPr="006B7471">
              <w:rPr>
                <w:rFonts w:asciiTheme="majorBidi" w:hAnsiTheme="majorBidi" w:cstheme="majorBidi"/>
                <w:b/>
                <w:bCs/>
                <w:color w:val="000000"/>
              </w:rPr>
              <w:t>Indicator weight</w:t>
            </w:r>
          </w:p>
        </w:tc>
        <w:tc>
          <w:tcPr>
            <w:tcW w:w="1134" w:type="dxa"/>
            <w:shd w:val="clear" w:color="auto" w:fill="auto"/>
            <w:noWrap/>
            <w:vAlign w:val="center"/>
            <w:hideMark/>
          </w:tcPr>
          <w:p w14:paraId="22CACA2E" w14:textId="77777777" w:rsidR="007E48B3" w:rsidRPr="006B7471" w:rsidRDefault="007E48B3" w:rsidP="00416373">
            <w:pPr>
              <w:bidi w:val="0"/>
              <w:rPr>
                <w:rFonts w:asciiTheme="majorBidi" w:hAnsiTheme="majorBidi" w:cstheme="majorBidi"/>
                <w:b/>
                <w:bCs/>
                <w:color w:val="000000"/>
              </w:rPr>
            </w:pPr>
            <w:r w:rsidRPr="006B7471">
              <w:rPr>
                <w:rFonts w:asciiTheme="majorBidi" w:hAnsiTheme="majorBidi" w:cstheme="majorBidi"/>
                <w:b/>
                <w:bCs/>
                <w:color w:val="000000"/>
              </w:rPr>
              <w:t>Dimension weight</w:t>
            </w:r>
          </w:p>
        </w:tc>
      </w:tr>
      <w:tr w:rsidR="003F2794" w:rsidRPr="006B7471" w14:paraId="736F9861" w14:textId="77777777" w:rsidTr="006B7471">
        <w:trPr>
          <w:trHeight w:val="300"/>
        </w:trPr>
        <w:tc>
          <w:tcPr>
            <w:tcW w:w="1475" w:type="dxa"/>
            <w:vMerge w:val="restart"/>
            <w:shd w:val="clear" w:color="auto" w:fill="auto"/>
            <w:vAlign w:val="center"/>
            <w:hideMark/>
          </w:tcPr>
          <w:p w14:paraId="1BD72A2D"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Trade, Employment and taxes</w:t>
            </w:r>
          </w:p>
        </w:tc>
        <w:tc>
          <w:tcPr>
            <w:tcW w:w="6464" w:type="dxa"/>
            <w:shd w:val="clear" w:color="auto" w:fill="auto"/>
            <w:noWrap/>
            <w:vAlign w:val="center"/>
            <w:hideMark/>
          </w:tcPr>
          <w:p w14:paraId="2879C043"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rPr>
              <w:t>Palestinian exports of goods and services to Israel out of total Palestinian exports</w:t>
            </w:r>
          </w:p>
        </w:tc>
        <w:tc>
          <w:tcPr>
            <w:tcW w:w="992" w:type="dxa"/>
            <w:shd w:val="clear" w:color="auto" w:fill="auto"/>
            <w:noWrap/>
            <w:vAlign w:val="center"/>
            <w:hideMark/>
          </w:tcPr>
          <w:p w14:paraId="61D1A1DB"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21.2%</w:t>
            </w:r>
          </w:p>
        </w:tc>
        <w:tc>
          <w:tcPr>
            <w:tcW w:w="1134" w:type="dxa"/>
            <w:vMerge w:val="restart"/>
            <w:shd w:val="clear" w:color="auto" w:fill="auto"/>
            <w:noWrap/>
            <w:vAlign w:val="center"/>
            <w:hideMark/>
          </w:tcPr>
          <w:p w14:paraId="423B2E64"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18.2%</w:t>
            </w:r>
          </w:p>
        </w:tc>
      </w:tr>
      <w:tr w:rsidR="003F2794" w:rsidRPr="006B7471" w14:paraId="733336C3" w14:textId="77777777" w:rsidTr="006B7471">
        <w:trPr>
          <w:trHeight w:val="300"/>
        </w:trPr>
        <w:tc>
          <w:tcPr>
            <w:tcW w:w="1475" w:type="dxa"/>
            <w:vMerge/>
            <w:vAlign w:val="center"/>
            <w:hideMark/>
          </w:tcPr>
          <w:p w14:paraId="1B35AA37"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74CFC5E3"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rPr>
              <w:t>Palestinian imports of goods and services from Israel out of total Palestinian imports</w:t>
            </w:r>
          </w:p>
        </w:tc>
        <w:tc>
          <w:tcPr>
            <w:tcW w:w="992" w:type="dxa"/>
            <w:shd w:val="clear" w:color="auto" w:fill="auto"/>
            <w:noWrap/>
            <w:vAlign w:val="center"/>
            <w:hideMark/>
          </w:tcPr>
          <w:p w14:paraId="61E7815C"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20.3%</w:t>
            </w:r>
          </w:p>
        </w:tc>
        <w:tc>
          <w:tcPr>
            <w:tcW w:w="1134" w:type="dxa"/>
            <w:vMerge/>
            <w:vAlign w:val="center"/>
            <w:hideMark/>
          </w:tcPr>
          <w:p w14:paraId="095A95D8" w14:textId="77777777" w:rsidR="007E48B3" w:rsidRPr="006B7471" w:rsidRDefault="007E48B3" w:rsidP="00416373">
            <w:pPr>
              <w:bidi w:val="0"/>
              <w:rPr>
                <w:rFonts w:asciiTheme="majorBidi" w:hAnsiTheme="majorBidi" w:cstheme="majorBidi"/>
                <w:color w:val="000000"/>
              </w:rPr>
            </w:pPr>
          </w:p>
        </w:tc>
      </w:tr>
      <w:tr w:rsidR="003F2794" w:rsidRPr="006B7471" w14:paraId="1F537B7A" w14:textId="77777777" w:rsidTr="006B7471">
        <w:trPr>
          <w:trHeight w:val="300"/>
        </w:trPr>
        <w:tc>
          <w:tcPr>
            <w:tcW w:w="1475" w:type="dxa"/>
            <w:vMerge/>
            <w:vAlign w:val="center"/>
            <w:hideMark/>
          </w:tcPr>
          <w:p w14:paraId="0EC8D8FE"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4A394F61"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rPr>
              <w:t>Share of Gross clearance revenues out of Total PA net revenues and grants</w:t>
            </w:r>
          </w:p>
        </w:tc>
        <w:tc>
          <w:tcPr>
            <w:tcW w:w="992" w:type="dxa"/>
            <w:shd w:val="clear" w:color="auto" w:fill="auto"/>
            <w:noWrap/>
            <w:vAlign w:val="center"/>
            <w:hideMark/>
          </w:tcPr>
          <w:p w14:paraId="13A7248B"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18.3%</w:t>
            </w:r>
          </w:p>
        </w:tc>
        <w:tc>
          <w:tcPr>
            <w:tcW w:w="1134" w:type="dxa"/>
            <w:vMerge/>
            <w:vAlign w:val="center"/>
            <w:hideMark/>
          </w:tcPr>
          <w:p w14:paraId="0E3195FB" w14:textId="77777777" w:rsidR="007E48B3" w:rsidRPr="006B7471" w:rsidRDefault="007E48B3" w:rsidP="00416373">
            <w:pPr>
              <w:bidi w:val="0"/>
              <w:rPr>
                <w:rFonts w:asciiTheme="majorBidi" w:hAnsiTheme="majorBidi" w:cstheme="majorBidi"/>
                <w:color w:val="000000"/>
              </w:rPr>
            </w:pPr>
          </w:p>
        </w:tc>
      </w:tr>
      <w:tr w:rsidR="003F2794" w:rsidRPr="006B7471" w14:paraId="5B46875B" w14:textId="77777777" w:rsidTr="006B7471">
        <w:trPr>
          <w:trHeight w:val="300"/>
        </w:trPr>
        <w:tc>
          <w:tcPr>
            <w:tcW w:w="1475" w:type="dxa"/>
            <w:vMerge/>
            <w:vAlign w:val="center"/>
            <w:hideMark/>
          </w:tcPr>
          <w:p w14:paraId="60B4C11F"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1161BF3F" w14:textId="3B45C2F1"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rPr>
              <w:t xml:space="preserve">Palestinians employed in Israel out of total Palestinian </w:t>
            </w:r>
            <w:r w:rsidR="006B7471" w:rsidRPr="006B7471">
              <w:rPr>
                <w:rFonts w:asciiTheme="majorBidi" w:hAnsiTheme="majorBidi" w:cstheme="majorBidi"/>
              </w:rPr>
              <w:t xml:space="preserve">individuals </w:t>
            </w:r>
            <w:r w:rsidRPr="006B7471">
              <w:rPr>
                <w:rFonts w:asciiTheme="majorBidi" w:hAnsiTheme="majorBidi" w:cstheme="majorBidi"/>
              </w:rPr>
              <w:t xml:space="preserve">employed </w:t>
            </w:r>
          </w:p>
        </w:tc>
        <w:tc>
          <w:tcPr>
            <w:tcW w:w="992" w:type="dxa"/>
            <w:shd w:val="clear" w:color="auto" w:fill="auto"/>
            <w:noWrap/>
            <w:vAlign w:val="center"/>
            <w:hideMark/>
          </w:tcPr>
          <w:p w14:paraId="6DF28676"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19.3%</w:t>
            </w:r>
          </w:p>
        </w:tc>
        <w:tc>
          <w:tcPr>
            <w:tcW w:w="1134" w:type="dxa"/>
            <w:vMerge/>
            <w:vAlign w:val="center"/>
            <w:hideMark/>
          </w:tcPr>
          <w:p w14:paraId="0C1D4E03" w14:textId="77777777" w:rsidR="007E48B3" w:rsidRPr="006B7471" w:rsidRDefault="007E48B3" w:rsidP="00416373">
            <w:pPr>
              <w:bidi w:val="0"/>
              <w:rPr>
                <w:rFonts w:asciiTheme="majorBidi" w:hAnsiTheme="majorBidi" w:cstheme="majorBidi"/>
                <w:color w:val="000000"/>
              </w:rPr>
            </w:pPr>
          </w:p>
        </w:tc>
      </w:tr>
      <w:tr w:rsidR="003F2794" w:rsidRPr="006B7471" w14:paraId="562B65C6" w14:textId="77777777" w:rsidTr="006B7471">
        <w:trPr>
          <w:trHeight w:val="300"/>
        </w:trPr>
        <w:tc>
          <w:tcPr>
            <w:tcW w:w="1475" w:type="dxa"/>
            <w:vMerge/>
            <w:vAlign w:val="center"/>
            <w:hideMark/>
          </w:tcPr>
          <w:p w14:paraId="3BC385BA"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56EDF7FA"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rPr>
              <w:t>Remittances of Palestinians workers in Israel out of WBG GNI</w:t>
            </w:r>
          </w:p>
        </w:tc>
        <w:tc>
          <w:tcPr>
            <w:tcW w:w="992" w:type="dxa"/>
            <w:shd w:val="clear" w:color="auto" w:fill="auto"/>
            <w:noWrap/>
            <w:vAlign w:val="center"/>
            <w:hideMark/>
          </w:tcPr>
          <w:p w14:paraId="024F0FA2"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20.9%</w:t>
            </w:r>
          </w:p>
        </w:tc>
        <w:tc>
          <w:tcPr>
            <w:tcW w:w="1134" w:type="dxa"/>
            <w:vMerge/>
            <w:vAlign w:val="center"/>
            <w:hideMark/>
          </w:tcPr>
          <w:p w14:paraId="2E177D37" w14:textId="77777777" w:rsidR="007E48B3" w:rsidRPr="006B7471" w:rsidRDefault="007E48B3" w:rsidP="00416373">
            <w:pPr>
              <w:bidi w:val="0"/>
              <w:rPr>
                <w:rFonts w:asciiTheme="majorBidi" w:hAnsiTheme="majorBidi" w:cstheme="majorBidi"/>
                <w:color w:val="000000"/>
              </w:rPr>
            </w:pPr>
          </w:p>
        </w:tc>
      </w:tr>
      <w:tr w:rsidR="003F2794" w:rsidRPr="006B7471" w14:paraId="51A65C79" w14:textId="77777777" w:rsidTr="006B7471">
        <w:trPr>
          <w:trHeight w:val="300"/>
        </w:trPr>
        <w:tc>
          <w:tcPr>
            <w:tcW w:w="1475" w:type="dxa"/>
            <w:vMerge w:val="restart"/>
            <w:shd w:val="clear" w:color="auto" w:fill="auto"/>
            <w:vAlign w:val="center"/>
            <w:hideMark/>
          </w:tcPr>
          <w:p w14:paraId="59EC2FA6"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Movement of people and Services</w:t>
            </w:r>
          </w:p>
        </w:tc>
        <w:tc>
          <w:tcPr>
            <w:tcW w:w="6464" w:type="dxa"/>
            <w:shd w:val="clear" w:color="auto" w:fill="auto"/>
            <w:noWrap/>
            <w:vAlign w:val="center"/>
            <w:hideMark/>
          </w:tcPr>
          <w:p w14:paraId="54ECE186" w14:textId="6FF781A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rPr>
              <w:t xml:space="preserve">Percentage of Israeli cars </w:t>
            </w:r>
            <w:r w:rsidR="004B26CC">
              <w:rPr>
                <w:rFonts w:asciiTheme="majorBidi" w:hAnsiTheme="majorBidi" w:cstheme="majorBidi"/>
              </w:rPr>
              <w:t>entering</w:t>
            </w:r>
            <w:r w:rsidRPr="006B7471">
              <w:rPr>
                <w:rFonts w:asciiTheme="majorBidi" w:hAnsiTheme="majorBidi" w:cstheme="majorBidi"/>
              </w:rPr>
              <w:t xml:space="preserve"> the WB</w:t>
            </w:r>
          </w:p>
        </w:tc>
        <w:tc>
          <w:tcPr>
            <w:tcW w:w="992" w:type="dxa"/>
            <w:shd w:val="clear" w:color="auto" w:fill="auto"/>
            <w:noWrap/>
            <w:vAlign w:val="center"/>
            <w:hideMark/>
          </w:tcPr>
          <w:p w14:paraId="1E94B2F0"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22.9%</w:t>
            </w:r>
          </w:p>
        </w:tc>
        <w:tc>
          <w:tcPr>
            <w:tcW w:w="1134" w:type="dxa"/>
            <w:vMerge w:val="restart"/>
            <w:shd w:val="clear" w:color="auto" w:fill="auto"/>
            <w:noWrap/>
            <w:vAlign w:val="center"/>
            <w:hideMark/>
          </w:tcPr>
          <w:p w14:paraId="49A1722F"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22.4%</w:t>
            </w:r>
          </w:p>
        </w:tc>
      </w:tr>
      <w:tr w:rsidR="003F2794" w:rsidRPr="006B7471" w14:paraId="302CFD7C" w14:textId="77777777" w:rsidTr="006B7471">
        <w:trPr>
          <w:trHeight w:val="300"/>
        </w:trPr>
        <w:tc>
          <w:tcPr>
            <w:tcW w:w="1475" w:type="dxa"/>
            <w:vMerge/>
            <w:vAlign w:val="center"/>
            <w:hideMark/>
          </w:tcPr>
          <w:p w14:paraId="76368145"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240A22D0"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Movement of people between Israel and the WB</w:t>
            </w:r>
          </w:p>
        </w:tc>
        <w:tc>
          <w:tcPr>
            <w:tcW w:w="992" w:type="dxa"/>
            <w:shd w:val="clear" w:color="auto" w:fill="auto"/>
            <w:noWrap/>
            <w:vAlign w:val="center"/>
            <w:hideMark/>
          </w:tcPr>
          <w:p w14:paraId="33E64B06"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21.3%</w:t>
            </w:r>
          </w:p>
        </w:tc>
        <w:tc>
          <w:tcPr>
            <w:tcW w:w="1134" w:type="dxa"/>
            <w:vMerge/>
            <w:vAlign w:val="center"/>
            <w:hideMark/>
          </w:tcPr>
          <w:p w14:paraId="24D8E745" w14:textId="77777777" w:rsidR="007E48B3" w:rsidRPr="006B7471" w:rsidRDefault="007E48B3" w:rsidP="00416373">
            <w:pPr>
              <w:bidi w:val="0"/>
              <w:rPr>
                <w:rFonts w:asciiTheme="majorBidi" w:hAnsiTheme="majorBidi" w:cstheme="majorBidi"/>
                <w:color w:val="000000"/>
              </w:rPr>
            </w:pPr>
          </w:p>
        </w:tc>
      </w:tr>
      <w:tr w:rsidR="003F2794" w:rsidRPr="006B7471" w14:paraId="2524CE84" w14:textId="77777777" w:rsidTr="006B7471">
        <w:trPr>
          <w:trHeight w:val="300"/>
        </w:trPr>
        <w:tc>
          <w:tcPr>
            <w:tcW w:w="1475" w:type="dxa"/>
            <w:vMerge/>
            <w:vAlign w:val="center"/>
            <w:hideMark/>
          </w:tcPr>
          <w:p w14:paraId="49055976"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6D45CE6B" w14:textId="47BF5BB0"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rPr>
              <w:t>Percentage of Palestinians enter</w:t>
            </w:r>
            <w:r w:rsidR="00810E53">
              <w:rPr>
                <w:rFonts w:asciiTheme="majorBidi" w:hAnsiTheme="majorBidi" w:cstheme="majorBidi"/>
              </w:rPr>
              <w:t>ing</w:t>
            </w:r>
            <w:r w:rsidRPr="006B7471">
              <w:rPr>
                <w:rFonts w:asciiTheme="majorBidi" w:hAnsiTheme="majorBidi" w:cstheme="majorBidi"/>
              </w:rPr>
              <w:t xml:space="preserve"> Israel for medical treatment</w:t>
            </w:r>
          </w:p>
        </w:tc>
        <w:tc>
          <w:tcPr>
            <w:tcW w:w="992" w:type="dxa"/>
            <w:shd w:val="clear" w:color="auto" w:fill="auto"/>
            <w:noWrap/>
            <w:vAlign w:val="center"/>
            <w:hideMark/>
          </w:tcPr>
          <w:p w14:paraId="2A0CD4CF"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18.4%</w:t>
            </w:r>
          </w:p>
        </w:tc>
        <w:tc>
          <w:tcPr>
            <w:tcW w:w="1134" w:type="dxa"/>
            <w:vMerge/>
            <w:vAlign w:val="center"/>
            <w:hideMark/>
          </w:tcPr>
          <w:p w14:paraId="494CDF71" w14:textId="77777777" w:rsidR="007E48B3" w:rsidRPr="006B7471" w:rsidRDefault="007E48B3" w:rsidP="00416373">
            <w:pPr>
              <w:bidi w:val="0"/>
              <w:rPr>
                <w:rFonts w:asciiTheme="majorBidi" w:hAnsiTheme="majorBidi" w:cstheme="majorBidi"/>
                <w:color w:val="000000"/>
              </w:rPr>
            </w:pPr>
          </w:p>
        </w:tc>
      </w:tr>
      <w:tr w:rsidR="003F2794" w:rsidRPr="006B7471" w14:paraId="251B4CF6" w14:textId="77777777" w:rsidTr="006B7471">
        <w:trPr>
          <w:trHeight w:val="300"/>
        </w:trPr>
        <w:tc>
          <w:tcPr>
            <w:tcW w:w="1475" w:type="dxa"/>
            <w:vMerge/>
            <w:vAlign w:val="center"/>
            <w:hideMark/>
          </w:tcPr>
          <w:p w14:paraId="101356FA"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50FC7110"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rPr>
              <w:t>Percentage of Palestinian households that conducted Outbound Trips to Israel</w:t>
            </w:r>
          </w:p>
        </w:tc>
        <w:tc>
          <w:tcPr>
            <w:tcW w:w="992" w:type="dxa"/>
            <w:shd w:val="clear" w:color="auto" w:fill="auto"/>
            <w:noWrap/>
            <w:vAlign w:val="center"/>
            <w:hideMark/>
          </w:tcPr>
          <w:p w14:paraId="7F8A4E26"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22.6%</w:t>
            </w:r>
          </w:p>
        </w:tc>
        <w:tc>
          <w:tcPr>
            <w:tcW w:w="1134" w:type="dxa"/>
            <w:vMerge/>
            <w:vAlign w:val="center"/>
            <w:hideMark/>
          </w:tcPr>
          <w:p w14:paraId="77E4F1C0" w14:textId="77777777" w:rsidR="007E48B3" w:rsidRPr="006B7471" w:rsidRDefault="007E48B3" w:rsidP="00416373">
            <w:pPr>
              <w:bidi w:val="0"/>
              <w:rPr>
                <w:rFonts w:asciiTheme="majorBidi" w:hAnsiTheme="majorBidi" w:cstheme="majorBidi"/>
                <w:color w:val="000000"/>
              </w:rPr>
            </w:pPr>
          </w:p>
        </w:tc>
      </w:tr>
      <w:tr w:rsidR="003F2794" w:rsidRPr="006B7471" w14:paraId="0516DFC1" w14:textId="77777777" w:rsidTr="006B7471">
        <w:trPr>
          <w:trHeight w:val="300"/>
        </w:trPr>
        <w:tc>
          <w:tcPr>
            <w:tcW w:w="1475" w:type="dxa"/>
            <w:vMerge/>
            <w:vAlign w:val="center"/>
            <w:hideMark/>
          </w:tcPr>
          <w:p w14:paraId="236436BC"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56949B12"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rPr>
              <w:t>Percentage of Israeli guests’ nights in WB Hotels</w:t>
            </w:r>
          </w:p>
        </w:tc>
        <w:tc>
          <w:tcPr>
            <w:tcW w:w="992" w:type="dxa"/>
            <w:shd w:val="clear" w:color="auto" w:fill="auto"/>
            <w:noWrap/>
            <w:vAlign w:val="center"/>
            <w:hideMark/>
          </w:tcPr>
          <w:p w14:paraId="1E0DD40A"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14.8%</w:t>
            </w:r>
          </w:p>
        </w:tc>
        <w:tc>
          <w:tcPr>
            <w:tcW w:w="1134" w:type="dxa"/>
            <w:vMerge/>
            <w:vAlign w:val="center"/>
            <w:hideMark/>
          </w:tcPr>
          <w:p w14:paraId="138C3696" w14:textId="77777777" w:rsidR="007E48B3" w:rsidRPr="006B7471" w:rsidRDefault="007E48B3" w:rsidP="00416373">
            <w:pPr>
              <w:bidi w:val="0"/>
              <w:rPr>
                <w:rFonts w:asciiTheme="majorBidi" w:hAnsiTheme="majorBidi" w:cstheme="majorBidi"/>
                <w:color w:val="000000"/>
              </w:rPr>
            </w:pPr>
          </w:p>
        </w:tc>
      </w:tr>
      <w:tr w:rsidR="003F2794" w:rsidRPr="006B7471" w14:paraId="1545E8E7" w14:textId="77777777" w:rsidTr="006B7471">
        <w:trPr>
          <w:trHeight w:val="300"/>
        </w:trPr>
        <w:tc>
          <w:tcPr>
            <w:tcW w:w="1475" w:type="dxa"/>
            <w:vMerge w:val="restart"/>
            <w:shd w:val="clear" w:color="auto" w:fill="auto"/>
            <w:vAlign w:val="center"/>
            <w:hideMark/>
          </w:tcPr>
          <w:p w14:paraId="5992989F"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Resources and infrastructure</w:t>
            </w:r>
          </w:p>
        </w:tc>
        <w:tc>
          <w:tcPr>
            <w:tcW w:w="6464" w:type="dxa"/>
            <w:shd w:val="clear" w:color="auto" w:fill="auto"/>
            <w:noWrap/>
            <w:vAlign w:val="center"/>
            <w:hideMark/>
          </w:tcPr>
          <w:p w14:paraId="67F5FDBA" w14:textId="5F75771F"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 xml:space="preserve">Mobile cellular subscriptions </w:t>
            </w:r>
            <w:r w:rsidR="00434361">
              <w:rPr>
                <w:rFonts w:asciiTheme="majorBidi" w:hAnsiTheme="majorBidi" w:cstheme="majorBidi"/>
                <w:color w:val="000000"/>
              </w:rPr>
              <w:t>(</w:t>
            </w:r>
            <w:r w:rsidRPr="006B7471">
              <w:rPr>
                <w:rFonts w:asciiTheme="majorBidi" w:hAnsiTheme="majorBidi" w:cstheme="majorBidi"/>
                <w:color w:val="000000"/>
              </w:rPr>
              <w:t>ratio</w:t>
            </w:r>
            <w:r w:rsidR="00434361">
              <w:rPr>
                <w:rFonts w:asciiTheme="majorBidi" w:hAnsiTheme="majorBidi" w:cstheme="majorBidi"/>
                <w:color w:val="000000"/>
              </w:rPr>
              <w:t>)</w:t>
            </w:r>
          </w:p>
        </w:tc>
        <w:tc>
          <w:tcPr>
            <w:tcW w:w="992" w:type="dxa"/>
            <w:shd w:val="clear" w:color="auto" w:fill="auto"/>
            <w:noWrap/>
            <w:vAlign w:val="center"/>
            <w:hideMark/>
          </w:tcPr>
          <w:p w14:paraId="6313ACF9"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19.2%</w:t>
            </w:r>
          </w:p>
        </w:tc>
        <w:tc>
          <w:tcPr>
            <w:tcW w:w="1134" w:type="dxa"/>
            <w:vMerge w:val="restart"/>
            <w:shd w:val="clear" w:color="auto" w:fill="auto"/>
            <w:noWrap/>
            <w:vAlign w:val="center"/>
            <w:hideMark/>
          </w:tcPr>
          <w:p w14:paraId="04DFB596"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22.4%</w:t>
            </w:r>
          </w:p>
        </w:tc>
      </w:tr>
      <w:tr w:rsidR="003F2794" w:rsidRPr="006B7471" w14:paraId="66CD2553" w14:textId="77777777" w:rsidTr="006B7471">
        <w:trPr>
          <w:trHeight w:val="300"/>
        </w:trPr>
        <w:tc>
          <w:tcPr>
            <w:tcW w:w="1475" w:type="dxa"/>
            <w:vMerge/>
            <w:vAlign w:val="center"/>
            <w:hideMark/>
          </w:tcPr>
          <w:p w14:paraId="36049C3E"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69EAC472" w14:textId="722DE411"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 xml:space="preserve">Individuals using the Internet </w:t>
            </w:r>
            <w:r w:rsidR="00434361">
              <w:rPr>
                <w:rFonts w:asciiTheme="majorBidi" w:hAnsiTheme="majorBidi" w:cstheme="majorBidi"/>
                <w:color w:val="000000"/>
              </w:rPr>
              <w:t>(</w:t>
            </w:r>
            <w:r w:rsidRPr="006B7471">
              <w:rPr>
                <w:rFonts w:asciiTheme="majorBidi" w:hAnsiTheme="majorBidi" w:cstheme="majorBidi"/>
                <w:color w:val="000000"/>
              </w:rPr>
              <w:t>ratio</w:t>
            </w:r>
            <w:r w:rsidR="00434361">
              <w:rPr>
                <w:rFonts w:asciiTheme="majorBidi" w:hAnsiTheme="majorBidi" w:cstheme="majorBidi"/>
                <w:color w:val="000000"/>
              </w:rPr>
              <w:t>)</w:t>
            </w:r>
          </w:p>
        </w:tc>
        <w:tc>
          <w:tcPr>
            <w:tcW w:w="992" w:type="dxa"/>
            <w:shd w:val="clear" w:color="auto" w:fill="auto"/>
            <w:noWrap/>
            <w:vAlign w:val="center"/>
            <w:hideMark/>
          </w:tcPr>
          <w:p w14:paraId="6E7F4604"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20.7%</w:t>
            </w:r>
          </w:p>
        </w:tc>
        <w:tc>
          <w:tcPr>
            <w:tcW w:w="1134" w:type="dxa"/>
            <w:vMerge/>
            <w:vAlign w:val="center"/>
            <w:hideMark/>
          </w:tcPr>
          <w:p w14:paraId="23AE0A48" w14:textId="77777777" w:rsidR="007E48B3" w:rsidRPr="006B7471" w:rsidRDefault="007E48B3" w:rsidP="00416373">
            <w:pPr>
              <w:bidi w:val="0"/>
              <w:rPr>
                <w:rFonts w:asciiTheme="majorBidi" w:hAnsiTheme="majorBidi" w:cstheme="majorBidi"/>
                <w:color w:val="000000"/>
              </w:rPr>
            </w:pPr>
          </w:p>
        </w:tc>
      </w:tr>
      <w:tr w:rsidR="003F2794" w:rsidRPr="006B7471" w14:paraId="4CF512DF" w14:textId="77777777" w:rsidTr="006B7471">
        <w:trPr>
          <w:trHeight w:val="300"/>
        </w:trPr>
        <w:tc>
          <w:tcPr>
            <w:tcW w:w="1475" w:type="dxa"/>
            <w:vMerge/>
            <w:vAlign w:val="center"/>
            <w:hideMark/>
          </w:tcPr>
          <w:p w14:paraId="671DD1B1"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7E026CC2" w14:textId="13940C00"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 xml:space="preserve">Fixed broadband subscriptions </w:t>
            </w:r>
            <w:r w:rsidR="00434361">
              <w:rPr>
                <w:rFonts w:asciiTheme="majorBidi" w:hAnsiTheme="majorBidi" w:cstheme="majorBidi"/>
                <w:color w:val="000000"/>
              </w:rPr>
              <w:t>(</w:t>
            </w:r>
            <w:r w:rsidRPr="006B7471">
              <w:rPr>
                <w:rFonts w:asciiTheme="majorBidi" w:hAnsiTheme="majorBidi" w:cstheme="majorBidi"/>
                <w:color w:val="000000"/>
              </w:rPr>
              <w:t>ratio</w:t>
            </w:r>
            <w:r w:rsidR="00434361">
              <w:rPr>
                <w:rFonts w:asciiTheme="majorBidi" w:hAnsiTheme="majorBidi" w:cstheme="majorBidi"/>
                <w:color w:val="000000"/>
              </w:rPr>
              <w:t>)</w:t>
            </w:r>
          </w:p>
        </w:tc>
        <w:tc>
          <w:tcPr>
            <w:tcW w:w="992" w:type="dxa"/>
            <w:shd w:val="clear" w:color="auto" w:fill="auto"/>
            <w:noWrap/>
            <w:vAlign w:val="center"/>
            <w:hideMark/>
          </w:tcPr>
          <w:p w14:paraId="3E13392D"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22.8%</w:t>
            </w:r>
          </w:p>
        </w:tc>
        <w:tc>
          <w:tcPr>
            <w:tcW w:w="1134" w:type="dxa"/>
            <w:vMerge/>
            <w:vAlign w:val="center"/>
            <w:hideMark/>
          </w:tcPr>
          <w:p w14:paraId="02854001" w14:textId="77777777" w:rsidR="007E48B3" w:rsidRPr="006B7471" w:rsidRDefault="007E48B3" w:rsidP="00416373">
            <w:pPr>
              <w:bidi w:val="0"/>
              <w:rPr>
                <w:rFonts w:asciiTheme="majorBidi" w:hAnsiTheme="majorBidi" w:cstheme="majorBidi"/>
                <w:color w:val="000000"/>
              </w:rPr>
            </w:pPr>
          </w:p>
        </w:tc>
      </w:tr>
      <w:tr w:rsidR="003F2794" w:rsidRPr="006B7471" w14:paraId="58050EE3" w14:textId="77777777" w:rsidTr="006B7471">
        <w:trPr>
          <w:trHeight w:val="300"/>
        </w:trPr>
        <w:tc>
          <w:tcPr>
            <w:tcW w:w="1475" w:type="dxa"/>
            <w:vMerge/>
            <w:vAlign w:val="center"/>
            <w:hideMark/>
          </w:tcPr>
          <w:p w14:paraId="70E1CACE"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212E30DB"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Electricity imported from Israel out of total available electricity in the WBG</w:t>
            </w:r>
          </w:p>
        </w:tc>
        <w:tc>
          <w:tcPr>
            <w:tcW w:w="992" w:type="dxa"/>
            <w:shd w:val="clear" w:color="auto" w:fill="auto"/>
            <w:noWrap/>
            <w:vAlign w:val="center"/>
            <w:hideMark/>
          </w:tcPr>
          <w:p w14:paraId="04150A51"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17.9%</w:t>
            </w:r>
          </w:p>
        </w:tc>
        <w:tc>
          <w:tcPr>
            <w:tcW w:w="1134" w:type="dxa"/>
            <w:vMerge/>
            <w:vAlign w:val="center"/>
            <w:hideMark/>
          </w:tcPr>
          <w:p w14:paraId="36398737" w14:textId="77777777" w:rsidR="007E48B3" w:rsidRPr="006B7471" w:rsidRDefault="007E48B3" w:rsidP="00416373">
            <w:pPr>
              <w:bidi w:val="0"/>
              <w:rPr>
                <w:rFonts w:asciiTheme="majorBidi" w:hAnsiTheme="majorBidi" w:cstheme="majorBidi"/>
                <w:color w:val="000000"/>
              </w:rPr>
            </w:pPr>
          </w:p>
        </w:tc>
      </w:tr>
      <w:tr w:rsidR="003F2794" w:rsidRPr="006B7471" w14:paraId="6229E44E" w14:textId="77777777" w:rsidTr="006B7471">
        <w:trPr>
          <w:trHeight w:val="300"/>
        </w:trPr>
        <w:tc>
          <w:tcPr>
            <w:tcW w:w="1475" w:type="dxa"/>
            <w:vMerge/>
            <w:vAlign w:val="center"/>
            <w:hideMark/>
          </w:tcPr>
          <w:p w14:paraId="5519065C"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3C15E6D7"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rPr>
              <w:t>Water Purchased from Israel out of available water quantity in the WBG</w:t>
            </w:r>
          </w:p>
        </w:tc>
        <w:tc>
          <w:tcPr>
            <w:tcW w:w="992" w:type="dxa"/>
            <w:shd w:val="clear" w:color="auto" w:fill="auto"/>
            <w:noWrap/>
            <w:vAlign w:val="center"/>
            <w:hideMark/>
          </w:tcPr>
          <w:p w14:paraId="2F45A3C4"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19.4%</w:t>
            </w:r>
          </w:p>
        </w:tc>
        <w:tc>
          <w:tcPr>
            <w:tcW w:w="1134" w:type="dxa"/>
            <w:vMerge/>
            <w:vAlign w:val="center"/>
            <w:hideMark/>
          </w:tcPr>
          <w:p w14:paraId="1DA871FE" w14:textId="77777777" w:rsidR="007E48B3" w:rsidRPr="006B7471" w:rsidRDefault="007E48B3" w:rsidP="00416373">
            <w:pPr>
              <w:bidi w:val="0"/>
              <w:rPr>
                <w:rFonts w:asciiTheme="majorBidi" w:hAnsiTheme="majorBidi" w:cstheme="majorBidi"/>
                <w:color w:val="000000"/>
              </w:rPr>
            </w:pPr>
          </w:p>
        </w:tc>
      </w:tr>
      <w:tr w:rsidR="003F2794" w:rsidRPr="006B7471" w14:paraId="42AE411E" w14:textId="77777777" w:rsidTr="006B7471">
        <w:trPr>
          <w:trHeight w:val="300"/>
        </w:trPr>
        <w:tc>
          <w:tcPr>
            <w:tcW w:w="1475" w:type="dxa"/>
            <w:vMerge w:val="restart"/>
            <w:shd w:val="clear" w:color="auto" w:fill="auto"/>
            <w:vAlign w:val="center"/>
            <w:hideMark/>
          </w:tcPr>
          <w:p w14:paraId="7C2865AA"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Banking and money</w:t>
            </w:r>
          </w:p>
        </w:tc>
        <w:tc>
          <w:tcPr>
            <w:tcW w:w="6464" w:type="dxa"/>
            <w:shd w:val="clear" w:color="auto" w:fill="auto"/>
            <w:noWrap/>
            <w:vAlign w:val="center"/>
            <w:hideMark/>
          </w:tcPr>
          <w:p w14:paraId="34D12917"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Share of NIS deposits in the Palestinian banking system</w:t>
            </w:r>
          </w:p>
        </w:tc>
        <w:tc>
          <w:tcPr>
            <w:tcW w:w="992" w:type="dxa"/>
            <w:shd w:val="clear" w:color="auto" w:fill="auto"/>
            <w:noWrap/>
            <w:vAlign w:val="center"/>
            <w:hideMark/>
          </w:tcPr>
          <w:p w14:paraId="5722146C"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20.4%</w:t>
            </w:r>
          </w:p>
        </w:tc>
        <w:tc>
          <w:tcPr>
            <w:tcW w:w="1134" w:type="dxa"/>
            <w:vMerge w:val="restart"/>
            <w:shd w:val="clear" w:color="auto" w:fill="auto"/>
            <w:noWrap/>
            <w:vAlign w:val="center"/>
            <w:hideMark/>
          </w:tcPr>
          <w:p w14:paraId="51764E7F"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19.8%</w:t>
            </w:r>
          </w:p>
        </w:tc>
      </w:tr>
      <w:tr w:rsidR="003F2794" w:rsidRPr="006B7471" w14:paraId="1069590B" w14:textId="77777777" w:rsidTr="006B7471">
        <w:trPr>
          <w:trHeight w:val="300"/>
        </w:trPr>
        <w:tc>
          <w:tcPr>
            <w:tcW w:w="1475" w:type="dxa"/>
            <w:vMerge/>
            <w:vAlign w:val="center"/>
            <w:hideMark/>
          </w:tcPr>
          <w:p w14:paraId="3204F3B7"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030688D4"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Share of NIS credit in the Palestinian banking system</w:t>
            </w:r>
          </w:p>
        </w:tc>
        <w:tc>
          <w:tcPr>
            <w:tcW w:w="992" w:type="dxa"/>
            <w:shd w:val="clear" w:color="auto" w:fill="auto"/>
            <w:noWrap/>
            <w:vAlign w:val="center"/>
            <w:hideMark/>
          </w:tcPr>
          <w:p w14:paraId="2CBBDC39"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20.5%</w:t>
            </w:r>
          </w:p>
        </w:tc>
        <w:tc>
          <w:tcPr>
            <w:tcW w:w="1134" w:type="dxa"/>
            <w:vMerge/>
            <w:vAlign w:val="center"/>
            <w:hideMark/>
          </w:tcPr>
          <w:p w14:paraId="3DFC3AD2" w14:textId="77777777" w:rsidR="007E48B3" w:rsidRPr="006B7471" w:rsidRDefault="007E48B3" w:rsidP="00416373">
            <w:pPr>
              <w:bidi w:val="0"/>
              <w:rPr>
                <w:rFonts w:asciiTheme="majorBidi" w:hAnsiTheme="majorBidi" w:cstheme="majorBidi"/>
                <w:color w:val="000000"/>
              </w:rPr>
            </w:pPr>
          </w:p>
        </w:tc>
      </w:tr>
      <w:tr w:rsidR="003F2794" w:rsidRPr="006B7471" w14:paraId="08C53568" w14:textId="77777777" w:rsidTr="006B7471">
        <w:trPr>
          <w:trHeight w:val="300"/>
        </w:trPr>
        <w:tc>
          <w:tcPr>
            <w:tcW w:w="1475" w:type="dxa"/>
            <w:vMerge/>
            <w:vAlign w:val="center"/>
            <w:hideMark/>
          </w:tcPr>
          <w:p w14:paraId="3489AACD"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206A4FF8"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rPr>
              <w:t>Excess NIS cash deposited in Israel out of total NIS circulation</w:t>
            </w:r>
          </w:p>
        </w:tc>
        <w:tc>
          <w:tcPr>
            <w:tcW w:w="992" w:type="dxa"/>
            <w:shd w:val="clear" w:color="auto" w:fill="auto"/>
            <w:noWrap/>
            <w:vAlign w:val="center"/>
            <w:hideMark/>
          </w:tcPr>
          <w:p w14:paraId="298A9A3D"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17.2%</w:t>
            </w:r>
          </w:p>
        </w:tc>
        <w:tc>
          <w:tcPr>
            <w:tcW w:w="1134" w:type="dxa"/>
            <w:vMerge/>
            <w:vAlign w:val="center"/>
            <w:hideMark/>
          </w:tcPr>
          <w:p w14:paraId="454BD207" w14:textId="77777777" w:rsidR="007E48B3" w:rsidRPr="006B7471" w:rsidRDefault="007E48B3" w:rsidP="00416373">
            <w:pPr>
              <w:bidi w:val="0"/>
              <w:rPr>
                <w:rFonts w:asciiTheme="majorBidi" w:hAnsiTheme="majorBidi" w:cstheme="majorBidi"/>
                <w:color w:val="000000"/>
              </w:rPr>
            </w:pPr>
          </w:p>
        </w:tc>
      </w:tr>
      <w:tr w:rsidR="003F2794" w:rsidRPr="006B7471" w14:paraId="02D13A77" w14:textId="77777777" w:rsidTr="006B7471">
        <w:trPr>
          <w:trHeight w:val="300"/>
        </w:trPr>
        <w:tc>
          <w:tcPr>
            <w:tcW w:w="1475" w:type="dxa"/>
            <w:vMerge/>
            <w:vAlign w:val="center"/>
            <w:hideMark/>
          </w:tcPr>
          <w:p w14:paraId="109E889D"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2CEB9A7F"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rPr>
              <w:t>Checks and Money transfers volume out of WBG GNI</w:t>
            </w:r>
          </w:p>
        </w:tc>
        <w:tc>
          <w:tcPr>
            <w:tcW w:w="992" w:type="dxa"/>
            <w:shd w:val="clear" w:color="auto" w:fill="auto"/>
            <w:noWrap/>
            <w:vAlign w:val="center"/>
            <w:hideMark/>
          </w:tcPr>
          <w:p w14:paraId="6592BB19"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21.6%</w:t>
            </w:r>
          </w:p>
        </w:tc>
        <w:tc>
          <w:tcPr>
            <w:tcW w:w="1134" w:type="dxa"/>
            <w:vMerge/>
            <w:vAlign w:val="center"/>
            <w:hideMark/>
          </w:tcPr>
          <w:p w14:paraId="49209A6E" w14:textId="77777777" w:rsidR="007E48B3" w:rsidRPr="006B7471" w:rsidRDefault="007E48B3" w:rsidP="00416373">
            <w:pPr>
              <w:bidi w:val="0"/>
              <w:rPr>
                <w:rFonts w:asciiTheme="majorBidi" w:hAnsiTheme="majorBidi" w:cstheme="majorBidi"/>
                <w:color w:val="000000"/>
              </w:rPr>
            </w:pPr>
          </w:p>
        </w:tc>
      </w:tr>
      <w:tr w:rsidR="003F2794" w:rsidRPr="006B7471" w14:paraId="6B8550BF" w14:textId="77777777" w:rsidTr="006B7471">
        <w:trPr>
          <w:trHeight w:val="300"/>
        </w:trPr>
        <w:tc>
          <w:tcPr>
            <w:tcW w:w="1475" w:type="dxa"/>
            <w:vMerge/>
            <w:vAlign w:val="center"/>
            <w:hideMark/>
          </w:tcPr>
          <w:p w14:paraId="2FBCAC2A"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7425A54B"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rPr>
              <w:t>Share of NIS checks presented for clearing in the Palestinian banking system</w:t>
            </w:r>
          </w:p>
        </w:tc>
        <w:tc>
          <w:tcPr>
            <w:tcW w:w="992" w:type="dxa"/>
            <w:shd w:val="clear" w:color="auto" w:fill="auto"/>
            <w:noWrap/>
            <w:vAlign w:val="center"/>
            <w:hideMark/>
          </w:tcPr>
          <w:p w14:paraId="63431D83"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20.3%</w:t>
            </w:r>
          </w:p>
        </w:tc>
        <w:tc>
          <w:tcPr>
            <w:tcW w:w="1134" w:type="dxa"/>
            <w:vMerge/>
            <w:vAlign w:val="center"/>
            <w:hideMark/>
          </w:tcPr>
          <w:p w14:paraId="20D020C1" w14:textId="77777777" w:rsidR="007E48B3" w:rsidRPr="006B7471" w:rsidRDefault="007E48B3" w:rsidP="00416373">
            <w:pPr>
              <w:bidi w:val="0"/>
              <w:rPr>
                <w:rFonts w:asciiTheme="majorBidi" w:hAnsiTheme="majorBidi" w:cstheme="majorBidi"/>
                <w:color w:val="000000"/>
              </w:rPr>
            </w:pPr>
          </w:p>
        </w:tc>
      </w:tr>
      <w:tr w:rsidR="003F2794" w:rsidRPr="006B7471" w14:paraId="07194B9F" w14:textId="77777777" w:rsidTr="006B7471">
        <w:trPr>
          <w:trHeight w:val="300"/>
        </w:trPr>
        <w:tc>
          <w:tcPr>
            <w:tcW w:w="1475" w:type="dxa"/>
            <w:vMerge w:val="restart"/>
            <w:shd w:val="clear" w:color="auto" w:fill="auto"/>
            <w:vAlign w:val="center"/>
            <w:hideMark/>
          </w:tcPr>
          <w:p w14:paraId="747797E9" w14:textId="77777777"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 Wealth and Standard of living</w:t>
            </w:r>
          </w:p>
        </w:tc>
        <w:tc>
          <w:tcPr>
            <w:tcW w:w="6464" w:type="dxa"/>
            <w:shd w:val="clear" w:color="auto" w:fill="auto"/>
            <w:noWrap/>
            <w:vAlign w:val="center"/>
            <w:hideMark/>
          </w:tcPr>
          <w:p w14:paraId="2B0BAE79" w14:textId="3C9768BB"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 xml:space="preserve">GDP per Capita </w:t>
            </w:r>
            <w:r w:rsidR="00434361">
              <w:rPr>
                <w:rFonts w:asciiTheme="majorBidi" w:hAnsiTheme="majorBidi" w:cstheme="majorBidi"/>
                <w:color w:val="000000"/>
              </w:rPr>
              <w:t>(r</w:t>
            </w:r>
            <w:r w:rsidRPr="006B7471">
              <w:rPr>
                <w:rFonts w:asciiTheme="majorBidi" w:hAnsiTheme="majorBidi" w:cstheme="majorBidi"/>
                <w:color w:val="000000"/>
              </w:rPr>
              <w:t>atio</w:t>
            </w:r>
            <w:r w:rsidR="00434361">
              <w:rPr>
                <w:rFonts w:asciiTheme="majorBidi" w:hAnsiTheme="majorBidi" w:cstheme="majorBidi"/>
                <w:color w:val="000000"/>
              </w:rPr>
              <w:t>)</w:t>
            </w:r>
            <w:r w:rsidRPr="006B7471">
              <w:rPr>
                <w:rFonts w:asciiTheme="majorBidi" w:hAnsiTheme="majorBidi" w:cstheme="majorBidi"/>
                <w:color w:val="000000"/>
              </w:rPr>
              <w:t xml:space="preserve"> </w:t>
            </w:r>
          </w:p>
        </w:tc>
        <w:tc>
          <w:tcPr>
            <w:tcW w:w="992" w:type="dxa"/>
            <w:shd w:val="clear" w:color="auto" w:fill="auto"/>
            <w:noWrap/>
            <w:vAlign w:val="center"/>
            <w:hideMark/>
          </w:tcPr>
          <w:p w14:paraId="7A310FED"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24.2%</w:t>
            </w:r>
          </w:p>
        </w:tc>
        <w:tc>
          <w:tcPr>
            <w:tcW w:w="1134" w:type="dxa"/>
            <w:vMerge w:val="restart"/>
            <w:shd w:val="clear" w:color="auto" w:fill="auto"/>
            <w:noWrap/>
            <w:vAlign w:val="center"/>
            <w:hideMark/>
          </w:tcPr>
          <w:p w14:paraId="473CEB3D"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17.2%</w:t>
            </w:r>
          </w:p>
        </w:tc>
      </w:tr>
      <w:tr w:rsidR="003F2794" w:rsidRPr="006B7471" w14:paraId="17BCD59B" w14:textId="77777777" w:rsidTr="006B7471">
        <w:trPr>
          <w:trHeight w:val="300"/>
        </w:trPr>
        <w:tc>
          <w:tcPr>
            <w:tcW w:w="1475" w:type="dxa"/>
            <w:vMerge/>
            <w:vAlign w:val="center"/>
            <w:hideMark/>
          </w:tcPr>
          <w:p w14:paraId="7076B8AC"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15979B3E" w14:textId="657CECD3"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 xml:space="preserve">Price level </w:t>
            </w:r>
            <w:r w:rsidR="00434361">
              <w:rPr>
                <w:rFonts w:asciiTheme="majorBidi" w:hAnsiTheme="majorBidi" w:cstheme="majorBidi"/>
                <w:color w:val="000000"/>
              </w:rPr>
              <w:t>(</w:t>
            </w:r>
            <w:r w:rsidRPr="006B7471">
              <w:rPr>
                <w:rFonts w:asciiTheme="majorBidi" w:hAnsiTheme="majorBidi" w:cstheme="majorBidi"/>
                <w:color w:val="000000"/>
              </w:rPr>
              <w:t>ratio</w:t>
            </w:r>
            <w:r w:rsidR="00434361">
              <w:rPr>
                <w:rFonts w:asciiTheme="majorBidi" w:hAnsiTheme="majorBidi" w:cstheme="majorBidi"/>
                <w:color w:val="000000"/>
              </w:rPr>
              <w:t>)</w:t>
            </w:r>
            <w:r w:rsidRPr="006B7471">
              <w:rPr>
                <w:rFonts w:asciiTheme="majorBidi" w:hAnsiTheme="majorBidi" w:cstheme="majorBidi"/>
                <w:color w:val="000000"/>
              </w:rPr>
              <w:t xml:space="preserve"> </w:t>
            </w:r>
          </w:p>
        </w:tc>
        <w:tc>
          <w:tcPr>
            <w:tcW w:w="992" w:type="dxa"/>
            <w:shd w:val="clear" w:color="auto" w:fill="auto"/>
            <w:noWrap/>
            <w:vAlign w:val="center"/>
            <w:hideMark/>
          </w:tcPr>
          <w:p w14:paraId="742B5DA1"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28.4%</w:t>
            </w:r>
          </w:p>
        </w:tc>
        <w:tc>
          <w:tcPr>
            <w:tcW w:w="1134" w:type="dxa"/>
            <w:vMerge/>
            <w:vAlign w:val="center"/>
            <w:hideMark/>
          </w:tcPr>
          <w:p w14:paraId="3EB3EDF6" w14:textId="77777777" w:rsidR="007E48B3" w:rsidRPr="006B7471" w:rsidRDefault="007E48B3" w:rsidP="00416373">
            <w:pPr>
              <w:bidi w:val="0"/>
              <w:rPr>
                <w:rFonts w:asciiTheme="majorBidi" w:hAnsiTheme="majorBidi" w:cstheme="majorBidi"/>
                <w:color w:val="000000"/>
              </w:rPr>
            </w:pPr>
          </w:p>
        </w:tc>
      </w:tr>
      <w:tr w:rsidR="003F2794" w:rsidRPr="006B7471" w14:paraId="55D87355" w14:textId="77777777" w:rsidTr="006B7471">
        <w:trPr>
          <w:trHeight w:val="300"/>
        </w:trPr>
        <w:tc>
          <w:tcPr>
            <w:tcW w:w="1475" w:type="dxa"/>
            <w:vMerge/>
            <w:vAlign w:val="center"/>
            <w:hideMark/>
          </w:tcPr>
          <w:p w14:paraId="425B499D"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4323EF9D" w14:textId="0229BD48"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 xml:space="preserve">Market </w:t>
            </w:r>
            <w:proofErr w:type="spellStart"/>
            <w:r w:rsidRPr="006B7471">
              <w:rPr>
                <w:rFonts w:asciiTheme="majorBidi" w:hAnsiTheme="majorBidi" w:cstheme="majorBidi"/>
                <w:color w:val="000000"/>
              </w:rPr>
              <w:t>capitilazation</w:t>
            </w:r>
            <w:proofErr w:type="spellEnd"/>
            <w:r w:rsidRPr="006B7471">
              <w:rPr>
                <w:rFonts w:asciiTheme="majorBidi" w:hAnsiTheme="majorBidi" w:cstheme="majorBidi"/>
                <w:color w:val="000000"/>
              </w:rPr>
              <w:t xml:space="preserve"> </w:t>
            </w:r>
            <w:r w:rsidR="00434361">
              <w:rPr>
                <w:rFonts w:asciiTheme="majorBidi" w:hAnsiTheme="majorBidi" w:cstheme="majorBidi"/>
                <w:color w:val="000000"/>
              </w:rPr>
              <w:t>(r</w:t>
            </w:r>
            <w:r w:rsidRPr="006B7471">
              <w:rPr>
                <w:rFonts w:asciiTheme="majorBidi" w:hAnsiTheme="majorBidi" w:cstheme="majorBidi"/>
                <w:color w:val="000000"/>
              </w:rPr>
              <w:t>atio</w:t>
            </w:r>
            <w:r w:rsidR="00434361">
              <w:rPr>
                <w:rFonts w:asciiTheme="majorBidi" w:hAnsiTheme="majorBidi" w:cstheme="majorBidi"/>
                <w:color w:val="000000"/>
              </w:rPr>
              <w:t>)</w:t>
            </w:r>
            <w:r w:rsidRPr="006B7471">
              <w:rPr>
                <w:rFonts w:asciiTheme="majorBidi" w:hAnsiTheme="majorBidi" w:cstheme="majorBidi"/>
                <w:color w:val="000000"/>
              </w:rPr>
              <w:t xml:space="preserve"> </w:t>
            </w:r>
          </w:p>
        </w:tc>
        <w:tc>
          <w:tcPr>
            <w:tcW w:w="992" w:type="dxa"/>
            <w:shd w:val="clear" w:color="auto" w:fill="auto"/>
            <w:noWrap/>
            <w:vAlign w:val="center"/>
            <w:hideMark/>
          </w:tcPr>
          <w:p w14:paraId="54AC433C"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20.7%</w:t>
            </w:r>
          </w:p>
        </w:tc>
        <w:tc>
          <w:tcPr>
            <w:tcW w:w="1134" w:type="dxa"/>
            <w:vMerge/>
            <w:vAlign w:val="center"/>
            <w:hideMark/>
          </w:tcPr>
          <w:p w14:paraId="6F9C2F88" w14:textId="77777777" w:rsidR="007E48B3" w:rsidRPr="006B7471" w:rsidRDefault="007E48B3" w:rsidP="00416373">
            <w:pPr>
              <w:bidi w:val="0"/>
              <w:rPr>
                <w:rFonts w:asciiTheme="majorBidi" w:hAnsiTheme="majorBidi" w:cstheme="majorBidi"/>
                <w:color w:val="000000"/>
              </w:rPr>
            </w:pPr>
          </w:p>
        </w:tc>
      </w:tr>
      <w:tr w:rsidR="003F2794" w:rsidRPr="006B7471" w14:paraId="456E8A89" w14:textId="77777777" w:rsidTr="006B7471">
        <w:trPr>
          <w:trHeight w:val="300"/>
        </w:trPr>
        <w:tc>
          <w:tcPr>
            <w:tcW w:w="1475" w:type="dxa"/>
            <w:vMerge/>
            <w:vAlign w:val="center"/>
            <w:hideMark/>
          </w:tcPr>
          <w:p w14:paraId="6BCD78B1" w14:textId="77777777" w:rsidR="007E48B3" w:rsidRPr="006B7471" w:rsidRDefault="007E48B3" w:rsidP="00416373">
            <w:pPr>
              <w:bidi w:val="0"/>
              <w:rPr>
                <w:rFonts w:asciiTheme="majorBidi" w:hAnsiTheme="majorBidi" w:cstheme="majorBidi"/>
                <w:color w:val="000000"/>
              </w:rPr>
            </w:pPr>
          </w:p>
        </w:tc>
        <w:tc>
          <w:tcPr>
            <w:tcW w:w="6464" w:type="dxa"/>
            <w:shd w:val="clear" w:color="auto" w:fill="auto"/>
            <w:noWrap/>
            <w:vAlign w:val="center"/>
            <w:hideMark/>
          </w:tcPr>
          <w:p w14:paraId="449BFEF5" w14:textId="731462D8" w:rsidR="007E48B3" w:rsidRPr="006B7471" w:rsidRDefault="007E48B3" w:rsidP="00416373">
            <w:pPr>
              <w:bidi w:val="0"/>
              <w:rPr>
                <w:rFonts w:asciiTheme="majorBidi" w:hAnsiTheme="majorBidi" w:cstheme="majorBidi"/>
                <w:color w:val="000000"/>
              </w:rPr>
            </w:pPr>
            <w:r w:rsidRPr="006B7471">
              <w:rPr>
                <w:rFonts w:asciiTheme="majorBidi" w:hAnsiTheme="majorBidi" w:cstheme="majorBidi"/>
                <w:color w:val="000000"/>
              </w:rPr>
              <w:t xml:space="preserve">Daily Wage </w:t>
            </w:r>
            <w:r w:rsidR="00434361">
              <w:rPr>
                <w:rFonts w:asciiTheme="majorBidi" w:hAnsiTheme="majorBidi" w:cstheme="majorBidi"/>
                <w:color w:val="000000"/>
              </w:rPr>
              <w:t>(r</w:t>
            </w:r>
            <w:r w:rsidRPr="006B7471">
              <w:rPr>
                <w:rFonts w:asciiTheme="majorBidi" w:hAnsiTheme="majorBidi" w:cstheme="majorBidi"/>
                <w:color w:val="000000"/>
              </w:rPr>
              <w:t>atio</w:t>
            </w:r>
            <w:r w:rsidR="00434361">
              <w:rPr>
                <w:rFonts w:asciiTheme="majorBidi" w:hAnsiTheme="majorBidi" w:cstheme="majorBidi"/>
                <w:color w:val="000000"/>
              </w:rPr>
              <w:t>)</w:t>
            </w:r>
          </w:p>
        </w:tc>
        <w:tc>
          <w:tcPr>
            <w:tcW w:w="992" w:type="dxa"/>
            <w:shd w:val="clear" w:color="auto" w:fill="auto"/>
            <w:noWrap/>
            <w:vAlign w:val="center"/>
            <w:hideMark/>
          </w:tcPr>
          <w:p w14:paraId="2F90E322" w14:textId="77777777" w:rsidR="007E48B3" w:rsidRPr="006B7471" w:rsidRDefault="007E48B3" w:rsidP="006B7471">
            <w:pPr>
              <w:bidi w:val="0"/>
              <w:rPr>
                <w:rFonts w:asciiTheme="majorBidi" w:hAnsiTheme="majorBidi" w:cstheme="majorBidi"/>
                <w:color w:val="000000"/>
              </w:rPr>
            </w:pPr>
            <w:r w:rsidRPr="006B7471">
              <w:rPr>
                <w:rFonts w:asciiTheme="majorBidi" w:hAnsiTheme="majorBidi" w:cstheme="majorBidi"/>
                <w:color w:val="000000"/>
              </w:rPr>
              <w:t>26.7%</w:t>
            </w:r>
          </w:p>
        </w:tc>
        <w:tc>
          <w:tcPr>
            <w:tcW w:w="1134" w:type="dxa"/>
            <w:vMerge/>
            <w:vAlign w:val="center"/>
            <w:hideMark/>
          </w:tcPr>
          <w:p w14:paraId="646658EE" w14:textId="77777777" w:rsidR="007E48B3" w:rsidRPr="006B7471" w:rsidRDefault="007E48B3" w:rsidP="00416373">
            <w:pPr>
              <w:bidi w:val="0"/>
              <w:rPr>
                <w:rFonts w:asciiTheme="majorBidi" w:hAnsiTheme="majorBidi" w:cstheme="majorBidi"/>
                <w:color w:val="000000"/>
              </w:rPr>
            </w:pPr>
          </w:p>
        </w:tc>
      </w:tr>
    </w:tbl>
    <w:p w14:paraId="3CC58F13" w14:textId="77777777" w:rsidR="007E48B3" w:rsidRDefault="007E48B3" w:rsidP="007E48B3">
      <w:pPr>
        <w:pStyle w:val="ListParagraph"/>
        <w:bidi w:val="0"/>
        <w:spacing w:line="480" w:lineRule="auto"/>
        <w:rPr>
          <w:rFonts w:ascii="Times New Roman" w:hAnsi="Times New Roman" w:cs="David"/>
          <w:b/>
          <w:bCs/>
          <w:sz w:val="24"/>
          <w:szCs w:val="24"/>
        </w:rPr>
      </w:pPr>
    </w:p>
    <w:p w14:paraId="020E9590" w14:textId="77777777" w:rsidR="007E48B3" w:rsidRDefault="007E48B3" w:rsidP="007E48B3">
      <w:pPr>
        <w:pStyle w:val="ListParagraph"/>
        <w:bidi w:val="0"/>
        <w:spacing w:line="480" w:lineRule="auto"/>
        <w:ind w:left="0"/>
        <w:rPr>
          <w:rFonts w:ascii="Times New Roman" w:hAnsi="Times New Roman" w:cs="David"/>
          <w:sz w:val="24"/>
          <w:szCs w:val="24"/>
        </w:rPr>
      </w:pPr>
      <w:r>
        <w:rPr>
          <w:rFonts w:ascii="Times New Roman" w:hAnsi="Times New Roman" w:cs="David"/>
          <w:sz w:val="24"/>
          <w:szCs w:val="24"/>
        </w:rPr>
        <w:t>Number of dimensions: 5</w:t>
      </w:r>
    </w:p>
    <w:p w14:paraId="048C57A2" w14:textId="77777777" w:rsidR="007E48B3" w:rsidRDefault="007E48B3" w:rsidP="007E48B3">
      <w:pPr>
        <w:pStyle w:val="ListParagraph"/>
        <w:bidi w:val="0"/>
        <w:spacing w:line="480" w:lineRule="auto"/>
        <w:ind w:left="0"/>
        <w:rPr>
          <w:rFonts w:ascii="Times New Roman" w:hAnsi="Times New Roman" w:cs="David"/>
          <w:sz w:val="24"/>
          <w:szCs w:val="24"/>
        </w:rPr>
      </w:pPr>
      <w:r>
        <w:rPr>
          <w:rFonts w:ascii="Times New Roman" w:hAnsi="Times New Roman" w:cs="David"/>
          <w:sz w:val="24"/>
          <w:szCs w:val="24"/>
        </w:rPr>
        <w:t>Number of indicators: 24</w:t>
      </w:r>
    </w:p>
    <w:p w14:paraId="170A9CAD" w14:textId="77777777" w:rsidR="007E48B3" w:rsidRPr="00DC4D6A" w:rsidRDefault="007E48B3" w:rsidP="007E48B3">
      <w:pPr>
        <w:pStyle w:val="ListParagraph"/>
        <w:bidi w:val="0"/>
        <w:spacing w:line="480" w:lineRule="auto"/>
        <w:ind w:left="0"/>
        <w:rPr>
          <w:rFonts w:ascii="Times New Roman" w:hAnsi="Times New Roman" w:cs="David"/>
          <w:sz w:val="24"/>
          <w:szCs w:val="24"/>
          <w:rtl/>
        </w:rPr>
      </w:pPr>
      <w:r w:rsidRPr="00A877B8">
        <w:rPr>
          <w:rFonts w:ascii="Times New Roman" w:hAnsi="Times New Roman" w:cs="David"/>
          <w:sz w:val="24"/>
          <w:szCs w:val="24"/>
        </w:rPr>
        <w:t xml:space="preserve">The weighting technique </w:t>
      </w:r>
      <w:r>
        <w:rPr>
          <w:rFonts w:ascii="Times New Roman" w:hAnsi="Times New Roman" w:cs="David"/>
          <w:sz w:val="24"/>
          <w:szCs w:val="24"/>
        </w:rPr>
        <w:t xml:space="preserve">- </w:t>
      </w:r>
      <w:r w:rsidRPr="00DC4D6A">
        <w:rPr>
          <w:rFonts w:ascii="Times New Roman" w:hAnsi="Times New Roman" w:cs="David"/>
          <w:sz w:val="24"/>
          <w:szCs w:val="24"/>
        </w:rPr>
        <w:t xml:space="preserve">PCA </w:t>
      </w:r>
      <w:r>
        <w:rPr>
          <w:rFonts w:ascii="Times New Roman" w:hAnsi="Times New Roman" w:cs="David"/>
          <w:sz w:val="24"/>
          <w:szCs w:val="24"/>
        </w:rPr>
        <w:t xml:space="preserve">(please see </w:t>
      </w:r>
      <w:r>
        <w:rPr>
          <w:rFonts w:ascii="Times New Roman" w:hAnsi="Times New Roman" w:cs="David"/>
          <w:b/>
          <w:bCs/>
          <w:sz w:val="24"/>
          <w:szCs w:val="24"/>
        </w:rPr>
        <w:t>A</w:t>
      </w:r>
      <w:r w:rsidRPr="00D96A24">
        <w:rPr>
          <w:rFonts w:ascii="Times New Roman" w:hAnsi="Times New Roman" w:cs="David"/>
          <w:b/>
          <w:bCs/>
          <w:sz w:val="24"/>
          <w:szCs w:val="24"/>
        </w:rPr>
        <w:t>ppendix II</w:t>
      </w:r>
      <w:r>
        <w:rPr>
          <w:rFonts w:ascii="Times New Roman" w:hAnsi="Times New Roman" w:cs="David"/>
          <w:sz w:val="24"/>
          <w:szCs w:val="24"/>
        </w:rPr>
        <w:t>).</w:t>
      </w:r>
    </w:p>
    <w:p w14:paraId="0D295383" w14:textId="77777777" w:rsidR="007E48B3" w:rsidRDefault="007E48B3" w:rsidP="007E48B3">
      <w:pPr>
        <w:pStyle w:val="ListParagraph"/>
        <w:bidi w:val="0"/>
        <w:spacing w:line="276" w:lineRule="auto"/>
        <w:ind w:left="0"/>
        <w:jc w:val="center"/>
        <w:rPr>
          <w:rFonts w:ascii="Times New Roman" w:hAnsi="Times New Roman" w:cs="David"/>
          <w:b/>
          <w:bCs/>
          <w:sz w:val="24"/>
          <w:szCs w:val="24"/>
          <w:rtl/>
        </w:rPr>
      </w:pPr>
    </w:p>
    <w:p w14:paraId="05757570" w14:textId="77777777" w:rsidR="007E48B3" w:rsidRDefault="007E48B3" w:rsidP="007E48B3">
      <w:pPr>
        <w:pStyle w:val="ListParagraph"/>
        <w:bidi w:val="0"/>
        <w:spacing w:line="276" w:lineRule="auto"/>
        <w:ind w:left="0"/>
        <w:jc w:val="center"/>
        <w:rPr>
          <w:rFonts w:ascii="Times New Roman" w:hAnsi="Times New Roman" w:cs="David"/>
          <w:b/>
          <w:bCs/>
          <w:sz w:val="24"/>
          <w:szCs w:val="24"/>
          <w:rtl/>
        </w:rPr>
      </w:pPr>
    </w:p>
    <w:p w14:paraId="0627054C" w14:textId="77777777" w:rsidR="007E48B3" w:rsidRDefault="007E48B3" w:rsidP="007E48B3">
      <w:pPr>
        <w:pStyle w:val="ListParagraph"/>
        <w:bidi w:val="0"/>
        <w:spacing w:line="276" w:lineRule="auto"/>
        <w:ind w:left="0"/>
        <w:jc w:val="center"/>
        <w:rPr>
          <w:rFonts w:ascii="Times New Roman" w:hAnsi="Times New Roman" w:cs="David"/>
          <w:b/>
          <w:bCs/>
          <w:sz w:val="24"/>
          <w:szCs w:val="24"/>
          <w:rtl/>
        </w:rPr>
      </w:pPr>
    </w:p>
    <w:p w14:paraId="2202E7E6" w14:textId="77777777" w:rsidR="007E48B3" w:rsidRDefault="007E48B3" w:rsidP="007E48B3">
      <w:pPr>
        <w:pStyle w:val="ListParagraph"/>
        <w:bidi w:val="0"/>
        <w:spacing w:line="276" w:lineRule="auto"/>
        <w:ind w:left="0"/>
        <w:jc w:val="center"/>
        <w:rPr>
          <w:rFonts w:ascii="Times New Roman" w:hAnsi="Times New Roman" w:cs="David"/>
          <w:b/>
          <w:bCs/>
          <w:sz w:val="24"/>
          <w:szCs w:val="24"/>
          <w:rtl/>
        </w:rPr>
      </w:pPr>
    </w:p>
    <w:p w14:paraId="648735FC" w14:textId="77777777" w:rsidR="007E48B3" w:rsidRDefault="007E48B3" w:rsidP="007E48B3">
      <w:pPr>
        <w:pStyle w:val="ListParagraph"/>
        <w:bidi w:val="0"/>
        <w:spacing w:line="276" w:lineRule="auto"/>
        <w:ind w:left="0"/>
        <w:jc w:val="center"/>
        <w:rPr>
          <w:rFonts w:ascii="Times New Roman" w:hAnsi="Times New Roman" w:cs="David"/>
          <w:b/>
          <w:bCs/>
          <w:sz w:val="24"/>
          <w:szCs w:val="24"/>
          <w:rtl/>
        </w:rPr>
      </w:pPr>
    </w:p>
    <w:p w14:paraId="322EFB6C" w14:textId="77777777" w:rsidR="007E48B3" w:rsidRDefault="007E48B3" w:rsidP="007E48B3">
      <w:pPr>
        <w:pStyle w:val="ListParagraph"/>
        <w:bidi w:val="0"/>
        <w:spacing w:line="276" w:lineRule="auto"/>
        <w:ind w:left="0"/>
        <w:jc w:val="center"/>
        <w:rPr>
          <w:rFonts w:ascii="Times New Roman" w:hAnsi="Times New Roman" w:cs="David"/>
          <w:b/>
          <w:bCs/>
          <w:sz w:val="24"/>
          <w:szCs w:val="24"/>
          <w:rtl/>
        </w:rPr>
      </w:pPr>
    </w:p>
    <w:p w14:paraId="4F702B8F" w14:textId="0C042AA6" w:rsidR="007E48B3" w:rsidRPr="00203C14" w:rsidRDefault="007E48B3" w:rsidP="007E48B3">
      <w:pPr>
        <w:pStyle w:val="ListParagraph"/>
        <w:bidi w:val="0"/>
        <w:spacing w:line="276" w:lineRule="auto"/>
        <w:ind w:left="0"/>
        <w:jc w:val="center"/>
        <w:rPr>
          <w:rFonts w:ascii="Times New Roman" w:hAnsi="Times New Roman" w:cs="David"/>
          <w:b/>
          <w:bCs/>
          <w:sz w:val="24"/>
          <w:szCs w:val="24"/>
        </w:rPr>
      </w:pPr>
      <w:r>
        <w:rPr>
          <w:rFonts w:ascii="Times New Roman" w:hAnsi="Times New Roman" w:cs="David"/>
          <w:b/>
          <w:bCs/>
          <w:sz w:val="24"/>
          <w:szCs w:val="24"/>
        </w:rPr>
        <w:t xml:space="preserve">Figure </w:t>
      </w:r>
      <w:r w:rsidR="00DD6A09">
        <w:rPr>
          <w:rFonts w:ascii="Times New Roman" w:hAnsi="Times New Roman" w:cs="David"/>
          <w:b/>
          <w:bCs/>
          <w:sz w:val="24"/>
          <w:szCs w:val="24"/>
        </w:rPr>
        <w:t>4</w:t>
      </w:r>
      <w:r>
        <w:rPr>
          <w:rFonts w:ascii="Times New Roman" w:hAnsi="Times New Roman" w:cs="David"/>
          <w:b/>
          <w:bCs/>
          <w:sz w:val="24"/>
          <w:szCs w:val="24"/>
        </w:rPr>
        <w:t xml:space="preserve">0: </w:t>
      </w:r>
      <w:r w:rsidRPr="00203C14">
        <w:rPr>
          <w:rFonts w:ascii="Times New Roman" w:hAnsi="Times New Roman" w:cs="David"/>
          <w:b/>
          <w:bCs/>
          <w:sz w:val="24"/>
          <w:szCs w:val="24"/>
        </w:rPr>
        <w:t xml:space="preserve">ISR-WBG-II </w:t>
      </w:r>
      <w:r>
        <w:rPr>
          <w:rFonts w:ascii="Times New Roman" w:hAnsi="Times New Roman" w:cs="David"/>
          <w:b/>
          <w:bCs/>
          <w:sz w:val="24"/>
          <w:szCs w:val="24"/>
        </w:rPr>
        <w:t>2010</w:t>
      </w:r>
      <w:r w:rsidRPr="00203C14">
        <w:rPr>
          <w:rFonts w:ascii="Times New Roman" w:hAnsi="Times New Roman" w:cs="David"/>
          <w:b/>
          <w:bCs/>
          <w:sz w:val="24"/>
          <w:szCs w:val="24"/>
        </w:rPr>
        <w:t>-2019</w:t>
      </w:r>
      <w:r>
        <w:rPr>
          <w:rFonts w:ascii="Times New Roman" w:hAnsi="Times New Roman" w:cs="David"/>
          <w:b/>
          <w:bCs/>
          <w:sz w:val="24"/>
          <w:szCs w:val="24"/>
        </w:rPr>
        <w:t xml:space="preserve"> – Total index</w:t>
      </w:r>
    </w:p>
    <w:p w14:paraId="1D43F82D" w14:textId="77777777" w:rsidR="007E48B3" w:rsidRDefault="007E48B3" w:rsidP="007E48B3">
      <w:pPr>
        <w:pStyle w:val="ListParagraph"/>
        <w:bidi w:val="0"/>
        <w:spacing w:line="480" w:lineRule="auto"/>
        <w:ind w:left="0"/>
        <w:jc w:val="center"/>
      </w:pPr>
      <w:r>
        <w:rPr>
          <w:noProof/>
        </w:rPr>
        <w:drawing>
          <wp:inline distT="0" distB="0" distL="0" distR="0" wp14:anchorId="401B33BC" wp14:editId="6E9C953A">
            <wp:extent cx="4320000" cy="2520000"/>
            <wp:effectExtent l="0" t="0" r="4445" b="13970"/>
            <wp:docPr id="32" name="תרשים 32">
              <a:extLst xmlns:a="http://schemas.openxmlformats.org/drawingml/2006/main">
                <a:ext uri="{FF2B5EF4-FFF2-40B4-BE49-F238E27FC236}">
                  <a16:creationId xmlns:a16="http://schemas.microsoft.com/office/drawing/2014/main" id="{A64A0C52-7F5C-48D6-A46B-28F3556BF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394870D" w14:textId="77777777" w:rsidR="007E48B3" w:rsidRDefault="007E48B3" w:rsidP="007E48B3">
      <w:pPr>
        <w:rPr>
          <w:noProof/>
        </w:rPr>
      </w:pPr>
    </w:p>
    <w:p w14:paraId="040DDA1D" w14:textId="61C52407" w:rsidR="007E48B3" w:rsidRPr="007019D1" w:rsidRDefault="007E48B3" w:rsidP="007E48B3">
      <w:pPr>
        <w:pStyle w:val="ListParagraph"/>
        <w:bidi w:val="0"/>
        <w:spacing w:line="276" w:lineRule="auto"/>
        <w:ind w:left="0"/>
        <w:jc w:val="center"/>
        <w:rPr>
          <w:rFonts w:ascii="Times New Roman" w:hAnsi="Times New Roman" w:cs="David"/>
          <w:b/>
          <w:bCs/>
          <w:sz w:val="24"/>
          <w:szCs w:val="24"/>
          <w:rtl/>
        </w:rPr>
      </w:pPr>
      <w:r>
        <w:rPr>
          <w:rFonts w:ascii="Times New Roman" w:hAnsi="Times New Roman" w:cs="David"/>
          <w:b/>
          <w:bCs/>
          <w:sz w:val="24"/>
          <w:szCs w:val="24"/>
        </w:rPr>
        <w:t xml:space="preserve">Figure </w:t>
      </w:r>
      <w:r w:rsidR="00DD6A09">
        <w:rPr>
          <w:rFonts w:ascii="Times New Roman" w:hAnsi="Times New Roman" w:cs="David"/>
          <w:b/>
          <w:bCs/>
          <w:sz w:val="24"/>
          <w:szCs w:val="24"/>
        </w:rPr>
        <w:t>4</w:t>
      </w:r>
      <w:r>
        <w:rPr>
          <w:rFonts w:ascii="Times New Roman" w:hAnsi="Times New Roman" w:cs="David"/>
          <w:b/>
          <w:bCs/>
          <w:sz w:val="24"/>
          <w:szCs w:val="24"/>
        </w:rPr>
        <w:t xml:space="preserve">1: </w:t>
      </w:r>
      <w:r w:rsidRPr="00203C14">
        <w:rPr>
          <w:rFonts w:ascii="Times New Roman" w:hAnsi="Times New Roman" w:cs="David"/>
          <w:b/>
          <w:bCs/>
          <w:sz w:val="24"/>
          <w:szCs w:val="24"/>
        </w:rPr>
        <w:t xml:space="preserve">ISR-WBG-II </w:t>
      </w:r>
      <w:r>
        <w:rPr>
          <w:rFonts w:ascii="Times New Roman" w:hAnsi="Times New Roman" w:cs="David"/>
          <w:b/>
          <w:bCs/>
          <w:sz w:val="24"/>
          <w:szCs w:val="24"/>
        </w:rPr>
        <w:t>2010</w:t>
      </w:r>
      <w:r w:rsidRPr="00203C14">
        <w:rPr>
          <w:rFonts w:ascii="Times New Roman" w:hAnsi="Times New Roman" w:cs="David"/>
          <w:b/>
          <w:bCs/>
          <w:sz w:val="24"/>
          <w:szCs w:val="24"/>
        </w:rPr>
        <w:t>-2019</w:t>
      </w:r>
      <w:r>
        <w:rPr>
          <w:rFonts w:ascii="Times New Roman" w:hAnsi="Times New Roman" w:cs="David"/>
          <w:b/>
          <w:bCs/>
          <w:sz w:val="24"/>
          <w:szCs w:val="24"/>
        </w:rPr>
        <w:t xml:space="preserve"> b</w:t>
      </w:r>
      <w:r w:rsidRPr="009525DA">
        <w:rPr>
          <w:rFonts w:ascii="Times New Roman" w:hAnsi="Times New Roman" w:cs="David"/>
          <w:b/>
          <w:bCs/>
          <w:sz w:val="24"/>
          <w:szCs w:val="24"/>
        </w:rPr>
        <w:t>y dimensions</w:t>
      </w:r>
    </w:p>
    <w:p w14:paraId="22753C97" w14:textId="77777777" w:rsidR="007E48B3" w:rsidRDefault="007E48B3" w:rsidP="007E48B3">
      <w:pPr>
        <w:pStyle w:val="ListParagraph"/>
        <w:bidi w:val="0"/>
        <w:spacing w:line="480" w:lineRule="auto"/>
        <w:ind w:left="0"/>
        <w:jc w:val="center"/>
        <w:rPr>
          <w:noProof/>
        </w:rPr>
      </w:pPr>
      <w:r>
        <w:rPr>
          <w:noProof/>
        </w:rPr>
        <w:drawing>
          <wp:inline distT="0" distB="0" distL="0" distR="0" wp14:anchorId="0815BB6C" wp14:editId="44C3E0B2">
            <wp:extent cx="4320000" cy="2520000"/>
            <wp:effectExtent l="0" t="0" r="4445" b="13970"/>
            <wp:docPr id="43" name="תרשים 1">
              <a:extLst xmlns:a="http://schemas.openxmlformats.org/drawingml/2006/main">
                <a:ext uri="{FF2B5EF4-FFF2-40B4-BE49-F238E27FC236}">
                  <a16:creationId xmlns:a16="http://schemas.microsoft.com/office/drawing/2014/main" id="{060E7DDF-96E2-4D9C-8294-AEA4A0E232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6A22D39" w14:textId="2D91D1C8" w:rsidR="007E48B3" w:rsidRPr="00A811C5" w:rsidRDefault="007E48B3" w:rsidP="007E48B3">
      <w:pPr>
        <w:pStyle w:val="ListParagraph"/>
        <w:bidi w:val="0"/>
        <w:spacing w:line="276" w:lineRule="auto"/>
        <w:ind w:left="0"/>
        <w:jc w:val="center"/>
        <w:rPr>
          <w:b/>
          <w:bCs/>
          <w:noProof/>
          <w:sz w:val="24"/>
          <w:szCs w:val="24"/>
        </w:rPr>
      </w:pPr>
      <w:r>
        <w:rPr>
          <w:rFonts w:ascii="Times New Roman" w:hAnsi="Times New Roman" w:cs="David"/>
          <w:b/>
          <w:bCs/>
          <w:sz w:val="24"/>
          <w:szCs w:val="24"/>
        </w:rPr>
        <w:t xml:space="preserve">Figure </w:t>
      </w:r>
      <w:r w:rsidR="00DD6A09">
        <w:rPr>
          <w:rFonts w:ascii="Times New Roman" w:hAnsi="Times New Roman" w:cs="David"/>
          <w:b/>
          <w:bCs/>
          <w:sz w:val="24"/>
          <w:szCs w:val="24"/>
        </w:rPr>
        <w:t>4</w:t>
      </w:r>
      <w:r>
        <w:rPr>
          <w:rFonts w:ascii="Times New Roman" w:hAnsi="Times New Roman" w:cs="David"/>
          <w:b/>
          <w:bCs/>
          <w:sz w:val="24"/>
          <w:szCs w:val="24"/>
        </w:rPr>
        <w:t xml:space="preserve">2: </w:t>
      </w:r>
      <w:r w:rsidRPr="00A811C5">
        <w:rPr>
          <w:rFonts w:ascii="Times New Roman" w:hAnsi="Times New Roman" w:cs="David"/>
          <w:b/>
          <w:bCs/>
          <w:sz w:val="24"/>
          <w:szCs w:val="24"/>
        </w:rPr>
        <w:t xml:space="preserve">ISR-WBG-II </w:t>
      </w:r>
      <w:r>
        <w:rPr>
          <w:rFonts w:ascii="Times New Roman" w:hAnsi="Times New Roman" w:cs="David"/>
          <w:b/>
          <w:bCs/>
          <w:sz w:val="24"/>
          <w:szCs w:val="24"/>
        </w:rPr>
        <w:t>2010</w:t>
      </w:r>
      <w:r w:rsidRPr="00A811C5">
        <w:rPr>
          <w:rFonts w:ascii="Times New Roman" w:hAnsi="Times New Roman" w:cs="David"/>
          <w:b/>
          <w:bCs/>
          <w:sz w:val="24"/>
          <w:szCs w:val="24"/>
        </w:rPr>
        <w:t xml:space="preserve">-2019 </w:t>
      </w:r>
      <w:r w:rsidRPr="00A811C5">
        <w:rPr>
          <w:b/>
          <w:bCs/>
          <w:noProof/>
          <w:sz w:val="24"/>
          <w:szCs w:val="24"/>
        </w:rPr>
        <w:t xml:space="preserve">by contribution of </w:t>
      </w:r>
      <w:r w:rsidRPr="00A811C5">
        <w:rPr>
          <w:rFonts w:ascii="Times New Roman" w:hAnsi="Times New Roman" w:cs="David"/>
          <w:b/>
          <w:bCs/>
          <w:sz w:val="24"/>
          <w:szCs w:val="24"/>
        </w:rPr>
        <w:t>dimensions</w:t>
      </w:r>
      <w:r w:rsidRPr="00A811C5">
        <w:rPr>
          <w:b/>
          <w:bCs/>
          <w:noProof/>
          <w:sz w:val="24"/>
          <w:szCs w:val="24"/>
        </w:rPr>
        <w:t xml:space="preserve"> </w:t>
      </w:r>
    </w:p>
    <w:p w14:paraId="16AD984F" w14:textId="77777777" w:rsidR="007E48B3" w:rsidRDefault="007E48B3" w:rsidP="007E48B3">
      <w:pPr>
        <w:tabs>
          <w:tab w:val="left" w:pos="5564"/>
        </w:tabs>
        <w:jc w:val="center"/>
        <w:rPr>
          <w:rFonts w:ascii="Times New Roman" w:hAnsi="Times New Roman" w:cs="David"/>
          <w:sz w:val="24"/>
          <w:szCs w:val="24"/>
          <w:rtl/>
        </w:rPr>
      </w:pPr>
      <w:r>
        <w:rPr>
          <w:noProof/>
        </w:rPr>
        <w:drawing>
          <wp:inline distT="0" distB="0" distL="0" distR="0" wp14:anchorId="298FEAED" wp14:editId="11344CE8">
            <wp:extent cx="4320000" cy="2520000"/>
            <wp:effectExtent l="0" t="0" r="4445" b="13970"/>
            <wp:docPr id="45" name="תרשים 45">
              <a:extLst xmlns:a="http://schemas.openxmlformats.org/drawingml/2006/main">
                <a:ext uri="{FF2B5EF4-FFF2-40B4-BE49-F238E27FC236}">
                  <a16:creationId xmlns:a16="http://schemas.microsoft.com/office/drawing/2014/main" id="{2AFF2E9E-2941-48C2-9981-E064AB2D4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CB8D5CF" w14:textId="77777777" w:rsidR="007E48B3" w:rsidRPr="004528A9" w:rsidRDefault="007E48B3" w:rsidP="007E48B3">
      <w:pPr>
        <w:pStyle w:val="ListParagraph"/>
        <w:numPr>
          <w:ilvl w:val="2"/>
          <w:numId w:val="25"/>
        </w:numPr>
        <w:bidi w:val="0"/>
        <w:spacing w:line="480" w:lineRule="auto"/>
        <w:rPr>
          <w:rFonts w:ascii="Times New Roman" w:hAnsi="Times New Roman" w:cs="David"/>
          <w:b/>
          <w:bCs/>
          <w:sz w:val="24"/>
          <w:szCs w:val="24"/>
        </w:rPr>
      </w:pPr>
      <w:r w:rsidRPr="004528A9">
        <w:rPr>
          <w:rFonts w:ascii="Times New Roman" w:hAnsi="Times New Roman" w:cs="David"/>
          <w:b/>
          <w:bCs/>
          <w:sz w:val="24"/>
          <w:szCs w:val="24"/>
        </w:rPr>
        <w:t xml:space="preserve">Discussion </w:t>
      </w:r>
      <w:r>
        <w:rPr>
          <w:rFonts w:ascii="Times New Roman" w:hAnsi="Times New Roman" w:cs="David"/>
          <w:b/>
          <w:bCs/>
          <w:sz w:val="24"/>
          <w:szCs w:val="24"/>
        </w:rPr>
        <w:t>of</w:t>
      </w:r>
      <w:r w:rsidRPr="004528A9">
        <w:rPr>
          <w:rFonts w:ascii="Times New Roman" w:hAnsi="Times New Roman" w:cs="David"/>
          <w:b/>
          <w:bCs/>
          <w:sz w:val="24"/>
          <w:szCs w:val="24"/>
        </w:rPr>
        <w:t xml:space="preserve"> the results</w:t>
      </w:r>
    </w:p>
    <w:p w14:paraId="79EF2822" w14:textId="2A06D458" w:rsidR="007E48B3" w:rsidRDefault="007E48B3" w:rsidP="007E48B3">
      <w:pPr>
        <w:pStyle w:val="ListParagraph"/>
        <w:bidi w:val="0"/>
        <w:spacing w:line="480" w:lineRule="auto"/>
        <w:ind w:left="1400"/>
        <w:jc w:val="both"/>
        <w:rPr>
          <w:rStyle w:val="normaltextrun"/>
          <w:rFonts w:cs="Calibri"/>
          <w:color w:val="000000"/>
          <w:shd w:val="clear" w:color="auto" w:fill="FFFFFF"/>
        </w:rPr>
      </w:pPr>
      <w:r w:rsidRPr="00012759">
        <w:rPr>
          <w:rFonts w:ascii="Times New Roman" w:hAnsi="Times New Roman" w:cs="David"/>
          <w:sz w:val="24"/>
          <w:szCs w:val="24"/>
        </w:rPr>
        <w:t xml:space="preserve">As can be seen in figure </w:t>
      </w:r>
      <w:r>
        <w:rPr>
          <w:rFonts w:ascii="Times New Roman" w:hAnsi="Times New Roman" w:cs="David"/>
          <w:sz w:val="24"/>
          <w:szCs w:val="24"/>
        </w:rPr>
        <w:t>1</w:t>
      </w:r>
      <w:r w:rsidRPr="00012759">
        <w:rPr>
          <w:rFonts w:ascii="Times New Roman" w:hAnsi="Times New Roman" w:cs="David"/>
          <w:sz w:val="24"/>
          <w:szCs w:val="24"/>
        </w:rPr>
        <w:t xml:space="preserve"> </w:t>
      </w:r>
      <w:r w:rsidR="00E2569E">
        <w:rPr>
          <w:rFonts w:ascii="Times New Roman" w:hAnsi="Times New Roman" w:cs="David"/>
          <w:sz w:val="24"/>
          <w:szCs w:val="24"/>
        </w:rPr>
        <w:t>above</w:t>
      </w:r>
      <w:r w:rsidR="007E4196">
        <w:rPr>
          <w:rFonts w:ascii="Times New Roman" w:hAnsi="Times New Roman" w:cs="David"/>
          <w:sz w:val="24"/>
          <w:szCs w:val="24"/>
        </w:rPr>
        <w:t>,</w:t>
      </w:r>
      <w:r w:rsidR="00E2569E">
        <w:rPr>
          <w:rFonts w:ascii="Times New Roman" w:hAnsi="Times New Roman" w:cs="David"/>
          <w:sz w:val="24"/>
          <w:szCs w:val="24"/>
        </w:rPr>
        <w:t xml:space="preserve"> </w:t>
      </w:r>
      <w:r w:rsidRPr="00012759">
        <w:rPr>
          <w:rFonts w:ascii="Times New Roman" w:hAnsi="Times New Roman" w:cs="David"/>
          <w:sz w:val="24"/>
          <w:szCs w:val="24"/>
        </w:rPr>
        <w:t xml:space="preserve">the long-term trend is mixed. </w:t>
      </w:r>
      <w:r w:rsidRPr="00E23EF5">
        <w:rPr>
          <w:rFonts w:ascii="Times New Roman" w:hAnsi="Times New Roman" w:cs="David"/>
          <w:sz w:val="24"/>
          <w:szCs w:val="24"/>
        </w:rPr>
        <w:t xml:space="preserve">In the twenty years </w:t>
      </w:r>
      <w:r>
        <w:rPr>
          <w:rFonts w:ascii="Times New Roman" w:hAnsi="Times New Roman" w:cs="David"/>
          <w:sz w:val="24"/>
          <w:szCs w:val="24"/>
        </w:rPr>
        <w:t>after</w:t>
      </w:r>
      <w:r w:rsidRPr="00E23EF5">
        <w:rPr>
          <w:rFonts w:ascii="Times New Roman" w:hAnsi="Times New Roman" w:cs="David"/>
          <w:sz w:val="24"/>
          <w:szCs w:val="24"/>
        </w:rPr>
        <w:t xml:space="preserve"> the 1967 war</w:t>
      </w:r>
      <w:r w:rsidR="007E4196">
        <w:rPr>
          <w:rFonts w:ascii="Times New Roman" w:hAnsi="Times New Roman" w:cs="David"/>
          <w:sz w:val="24"/>
          <w:szCs w:val="24"/>
        </w:rPr>
        <w:t>,</w:t>
      </w:r>
      <w:r w:rsidR="00342585">
        <w:rPr>
          <w:rFonts w:ascii="Times New Roman" w:hAnsi="Times New Roman" w:cs="David"/>
          <w:sz w:val="24"/>
          <w:szCs w:val="24"/>
        </w:rPr>
        <w:t xml:space="preserve"> as a result of</w:t>
      </w:r>
      <w:r w:rsidRPr="00E23EF5">
        <w:rPr>
          <w:rFonts w:ascii="Times New Roman" w:hAnsi="Times New Roman" w:cs="David"/>
          <w:sz w:val="24"/>
          <w:szCs w:val="24"/>
        </w:rPr>
        <w:t xml:space="preserve"> Israel's open policy toward </w:t>
      </w:r>
      <w:r w:rsidRPr="006A6847">
        <w:rPr>
          <w:rFonts w:ascii="Times New Roman" w:hAnsi="Times New Roman" w:cs="David"/>
          <w:sz w:val="24"/>
          <w:szCs w:val="24"/>
        </w:rPr>
        <w:t>the West bank</w:t>
      </w:r>
      <w:r w:rsidRPr="00E23EF5">
        <w:rPr>
          <w:rFonts w:ascii="Times New Roman" w:hAnsi="Times New Roman" w:cs="David"/>
          <w:sz w:val="24"/>
          <w:szCs w:val="24"/>
        </w:rPr>
        <w:t xml:space="preserve"> and the Gaza Strip</w:t>
      </w:r>
      <w:r>
        <w:rPr>
          <w:rFonts w:ascii="Times New Roman" w:hAnsi="Times New Roman" w:cs="David"/>
          <w:sz w:val="24"/>
          <w:szCs w:val="24"/>
        </w:rPr>
        <w:t>,</w:t>
      </w:r>
      <w:r w:rsidRPr="00E23EF5">
        <w:rPr>
          <w:rFonts w:ascii="Times New Roman" w:hAnsi="Times New Roman" w:cs="David"/>
          <w:sz w:val="24"/>
          <w:szCs w:val="24"/>
        </w:rPr>
        <w:t xml:space="preserve"> there </w:t>
      </w:r>
      <w:r w:rsidR="00624D4D">
        <w:rPr>
          <w:rFonts w:ascii="Times New Roman" w:hAnsi="Times New Roman" w:cs="David"/>
          <w:sz w:val="24"/>
          <w:szCs w:val="24"/>
        </w:rPr>
        <w:t>was</w:t>
      </w:r>
      <w:r w:rsidRPr="00E23EF5">
        <w:rPr>
          <w:rFonts w:ascii="Times New Roman" w:hAnsi="Times New Roman" w:cs="David"/>
          <w:sz w:val="24"/>
          <w:szCs w:val="24"/>
        </w:rPr>
        <w:t xml:space="preserve"> a dramatic increase in the level of integration</w:t>
      </w:r>
      <w:r w:rsidR="00F150BE">
        <w:rPr>
          <w:rFonts w:ascii="Times New Roman" w:hAnsi="Times New Roman" w:cs="David"/>
          <w:sz w:val="24"/>
          <w:szCs w:val="24"/>
        </w:rPr>
        <w:t>,</w:t>
      </w:r>
      <w:r w:rsidRPr="00E23EF5">
        <w:rPr>
          <w:rFonts w:ascii="Times New Roman" w:hAnsi="Times New Roman" w:cs="David"/>
          <w:sz w:val="24"/>
          <w:szCs w:val="24"/>
        </w:rPr>
        <w:t xml:space="preserve"> to a level that </w:t>
      </w:r>
      <w:r w:rsidR="00F150BE">
        <w:rPr>
          <w:rFonts w:ascii="Times New Roman" w:hAnsi="Times New Roman" w:cs="David"/>
          <w:sz w:val="24"/>
          <w:szCs w:val="24"/>
        </w:rPr>
        <w:t>was</w:t>
      </w:r>
      <w:r w:rsidRPr="00E23EF5">
        <w:rPr>
          <w:rFonts w:ascii="Times New Roman" w:hAnsi="Times New Roman" w:cs="David"/>
          <w:sz w:val="24"/>
          <w:szCs w:val="24"/>
        </w:rPr>
        <w:t xml:space="preserve"> not been achieved again</w:t>
      </w:r>
      <w:r>
        <w:rPr>
          <w:rFonts w:ascii="Times New Roman" w:hAnsi="Times New Roman" w:cs="David"/>
          <w:sz w:val="24"/>
          <w:szCs w:val="24"/>
        </w:rPr>
        <w:t xml:space="preserve"> (</w:t>
      </w:r>
      <w:r w:rsidRPr="003E5208">
        <w:rPr>
          <w:rFonts w:ascii="Times New Roman" w:hAnsi="Times New Roman" w:cs="David"/>
          <w:sz w:val="24"/>
          <w:szCs w:val="24"/>
        </w:rPr>
        <w:t>1987 is the peak year</w:t>
      </w:r>
      <w:r>
        <w:rPr>
          <w:rFonts w:ascii="Times New Roman" w:hAnsi="Times New Roman" w:cs="David" w:hint="cs"/>
          <w:sz w:val="24"/>
          <w:szCs w:val="24"/>
          <w:rtl/>
        </w:rPr>
        <w:t>(</w:t>
      </w:r>
      <w:r w:rsidRPr="00E23EF5">
        <w:rPr>
          <w:rFonts w:ascii="Times New Roman" w:hAnsi="Times New Roman" w:cs="David"/>
          <w:sz w:val="24"/>
          <w:szCs w:val="24"/>
        </w:rPr>
        <w:t>. After the first intifada in the late 1980s, the level of integration began to decline in the face of periodic closures and restrictions on the movement of people</w:t>
      </w:r>
      <w:r w:rsidR="00904550">
        <w:rPr>
          <w:rFonts w:ascii="Times New Roman" w:hAnsi="Times New Roman" w:cs="David"/>
          <w:sz w:val="24"/>
          <w:szCs w:val="24"/>
        </w:rPr>
        <w:t>,</w:t>
      </w:r>
      <w:r w:rsidRPr="00E23EF5">
        <w:rPr>
          <w:rFonts w:ascii="Times New Roman" w:hAnsi="Times New Roman" w:cs="David"/>
          <w:sz w:val="24"/>
          <w:szCs w:val="24"/>
        </w:rPr>
        <w:t xml:space="preserve"> and the beginning of the terrorist events that accompanied this period</w:t>
      </w:r>
      <w:r w:rsidR="009A7ACF">
        <w:rPr>
          <w:rFonts w:ascii="Times New Roman" w:hAnsi="Times New Roman" w:cs="David"/>
          <w:sz w:val="24"/>
          <w:szCs w:val="24"/>
        </w:rPr>
        <w:t>,</w:t>
      </w:r>
      <w:r w:rsidRPr="00E23EF5">
        <w:rPr>
          <w:rFonts w:ascii="Times New Roman" w:hAnsi="Times New Roman" w:cs="David"/>
          <w:sz w:val="24"/>
          <w:szCs w:val="24"/>
        </w:rPr>
        <w:t xml:space="preserve"> and finally ended in the second intifada in the early 2000s. </w:t>
      </w:r>
      <w:r>
        <w:rPr>
          <w:rFonts w:ascii="Times New Roman" w:hAnsi="Times New Roman" w:cs="David"/>
          <w:sz w:val="24"/>
          <w:szCs w:val="24"/>
        </w:rPr>
        <w:t xml:space="preserve">According to </w:t>
      </w:r>
      <w:proofErr w:type="spellStart"/>
      <w:r>
        <w:rPr>
          <w:rFonts w:ascii="Times New Roman" w:hAnsi="Times New Roman" w:cs="David"/>
          <w:sz w:val="24"/>
          <w:szCs w:val="24"/>
        </w:rPr>
        <w:t>Arnon</w:t>
      </w:r>
      <w:proofErr w:type="spellEnd"/>
      <w:r>
        <w:rPr>
          <w:rFonts w:ascii="Times New Roman" w:hAnsi="Times New Roman" w:cs="David"/>
          <w:sz w:val="24"/>
          <w:szCs w:val="24"/>
        </w:rPr>
        <w:t xml:space="preserve"> (2007)</w:t>
      </w:r>
      <w:r w:rsidR="00555366">
        <w:rPr>
          <w:rFonts w:ascii="Times New Roman" w:hAnsi="Times New Roman" w:cs="David"/>
          <w:sz w:val="24"/>
          <w:szCs w:val="24"/>
        </w:rPr>
        <w:t>,</w:t>
      </w:r>
      <w:r>
        <w:rPr>
          <w:rFonts w:ascii="Times New Roman" w:hAnsi="Times New Roman" w:cs="David"/>
          <w:sz w:val="24"/>
          <w:szCs w:val="24"/>
        </w:rPr>
        <w:t xml:space="preserve"> those who signed the </w:t>
      </w:r>
      <w:r w:rsidRPr="009435F9">
        <w:rPr>
          <w:rFonts w:ascii="Times New Roman" w:hAnsi="Times New Roman" w:cs="David"/>
          <w:sz w:val="24"/>
          <w:szCs w:val="24"/>
        </w:rPr>
        <w:t xml:space="preserve">Paris Protocol </w:t>
      </w:r>
      <w:r w:rsidRPr="006A6847">
        <w:rPr>
          <w:rFonts w:ascii="Times New Roman" w:hAnsi="Times New Roman" w:cs="David"/>
          <w:sz w:val="24"/>
          <w:szCs w:val="24"/>
        </w:rPr>
        <w:t xml:space="preserve">(1994) </w:t>
      </w:r>
      <w:r w:rsidRPr="009435F9">
        <w:rPr>
          <w:rFonts w:ascii="Times New Roman" w:hAnsi="Times New Roman" w:cs="David"/>
          <w:sz w:val="24"/>
          <w:szCs w:val="24"/>
        </w:rPr>
        <w:t>anticipated an increase in economic integration between the two economies, but the reality was a growing, unilaterally imposed, separation.</w:t>
      </w:r>
      <w:r>
        <w:rPr>
          <w:rStyle w:val="normaltextrun"/>
          <w:rFonts w:cs="Calibri"/>
          <w:color w:val="000000"/>
          <w:shd w:val="clear" w:color="auto" w:fill="FFFFFF"/>
        </w:rPr>
        <w:t xml:space="preserve"> </w:t>
      </w:r>
    </w:p>
    <w:p w14:paraId="66E39A8F" w14:textId="6DA89911" w:rsidR="007E48B3" w:rsidRDefault="00555366" w:rsidP="007E48B3">
      <w:pPr>
        <w:pStyle w:val="ListParagraph"/>
        <w:bidi w:val="0"/>
        <w:spacing w:line="480" w:lineRule="auto"/>
        <w:ind w:left="1400"/>
        <w:jc w:val="both"/>
        <w:rPr>
          <w:rFonts w:ascii="Times New Roman" w:hAnsi="Times New Roman" w:cs="David"/>
          <w:sz w:val="24"/>
          <w:szCs w:val="24"/>
        </w:rPr>
      </w:pPr>
      <w:r>
        <w:rPr>
          <w:rFonts w:ascii="Times New Roman" w:hAnsi="Times New Roman" w:cs="David"/>
          <w:sz w:val="24"/>
          <w:szCs w:val="24"/>
        </w:rPr>
        <w:t>Over</w:t>
      </w:r>
      <w:r w:rsidR="00ED1CF9">
        <w:rPr>
          <w:rFonts w:ascii="Times New Roman" w:hAnsi="Times New Roman" w:cs="David"/>
          <w:sz w:val="24"/>
          <w:szCs w:val="24"/>
        </w:rPr>
        <w:t xml:space="preserve"> the</w:t>
      </w:r>
      <w:r>
        <w:rPr>
          <w:rFonts w:ascii="Times New Roman" w:hAnsi="Times New Roman" w:cs="David"/>
          <w:sz w:val="24"/>
          <w:szCs w:val="24"/>
        </w:rPr>
        <w:t xml:space="preserve"> period</w:t>
      </w:r>
      <w:r w:rsidR="007E48B3" w:rsidRPr="00027DFF">
        <w:rPr>
          <w:rFonts w:ascii="Times New Roman" w:hAnsi="Times New Roman" w:cs="David"/>
          <w:sz w:val="24"/>
          <w:szCs w:val="24"/>
        </w:rPr>
        <w:t xml:space="preserve"> 1996 -</w:t>
      </w:r>
      <w:r w:rsidR="007E48B3">
        <w:rPr>
          <w:rFonts w:ascii="Times New Roman" w:hAnsi="Times New Roman" w:cs="David"/>
          <w:sz w:val="24"/>
          <w:szCs w:val="24"/>
        </w:rPr>
        <w:t xml:space="preserve"> </w:t>
      </w:r>
      <w:r w:rsidR="007E48B3" w:rsidRPr="00027DFF">
        <w:rPr>
          <w:rFonts w:ascii="Times New Roman" w:hAnsi="Times New Roman" w:cs="David"/>
          <w:sz w:val="24"/>
          <w:szCs w:val="24"/>
        </w:rPr>
        <w:t xml:space="preserve">1999 </w:t>
      </w:r>
      <w:r w:rsidR="00D33CBC">
        <w:rPr>
          <w:rFonts w:ascii="Times New Roman" w:hAnsi="Times New Roman" w:cs="David"/>
          <w:sz w:val="24"/>
          <w:szCs w:val="24"/>
        </w:rPr>
        <w:t xml:space="preserve">the </w:t>
      </w:r>
      <w:r w:rsidR="007E48B3" w:rsidRPr="00027DFF">
        <w:rPr>
          <w:rFonts w:ascii="Times New Roman" w:hAnsi="Times New Roman" w:cs="David"/>
          <w:sz w:val="24"/>
          <w:szCs w:val="24"/>
        </w:rPr>
        <w:t xml:space="preserve">relative security calm led to </w:t>
      </w:r>
      <w:r w:rsidR="007E48B3">
        <w:rPr>
          <w:rFonts w:ascii="Times New Roman" w:hAnsi="Times New Roman" w:cs="David"/>
          <w:sz w:val="24"/>
          <w:szCs w:val="24"/>
        </w:rPr>
        <w:t>a temporary</w:t>
      </w:r>
      <w:r w:rsidR="007E48B3" w:rsidRPr="00027DFF">
        <w:rPr>
          <w:rFonts w:ascii="Times New Roman" w:hAnsi="Times New Roman" w:cs="David"/>
          <w:sz w:val="24"/>
          <w:szCs w:val="24"/>
        </w:rPr>
        <w:t xml:space="preserve"> increase in integration</w:t>
      </w:r>
      <w:r w:rsidR="007E48B3">
        <w:rPr>
          <w:rFonts w:ascii="Times New Roman" w:hAnsi="Times New Roman" w:cs="David"/>
          <w:sz w:val="24"/>
          <w:szCs w:val="24"/>
        </w:rPr>
        <w:t xml:space="preserve"> (as can be seen in figure 2)</w:t>
      </w:r>
      <w:r w:rsidR="007E48B3" w:rsidRPr="00027DFF">
        <w:rPr>
          <w:rFonts w:ascii="Times New Roman" w:hAnsi="Times New Roman" w:cs="David"/>
          <w:sz w:val="24"/>
          <w:szCs w:val="24"/>
        </w:rPr>
        <w:t xml:space="preserve"> until the beginning of the second intifada. </w:t>
      </w:r>
      <w:r w:rsidR="007E48B3" w:rsidRPr="00D55E66">
        <w:rPr>
          <w:rFonts w:ascii="Times New Roman" w:hAnsi="Times New Roman" w:cs="David"/>
          <w:sz w:val="24"/>
          <w:szCs w:val="24"/>
        </w:rPr>
        <w:t>The results of the second intifada are clearly reflected in the indices (see graphs 1, 4 and 7)</w:t>
      </w:r>
      <w:r w:rsidR="007E48B3">
        <w:rPr>
          <w:rFonts w:ascii="Times New Roman" w:hAnsi="Times New Roman" w:cs="David" w:hint="cs"/>
          <w:sz w:val="24"/>
          <w:szCs w:val="24"/>
          <w:rtl/>
        </w:rPr>
        <w:t>.</w:t>
      </w:r>
    </w:p>
    <w:p w14:paraId="44AD43AE" w14:textId="7D18EAD0" w:rsidR="007E48B3" w:rsidRDefault="007E48B3" w:rsidP="007E48B3">
      <w:pPr>
        <w:pStyle w:val="ListParagraph"/>
        <w:bidi w:val="0"/>
        <w:spacing w:line="480" w:lineRule="auto"/>
        <w:ind w:left="1400"/>
        <w:jc w:val="both"/>
        <w:rPr>
          <w:rFonts w:ascii="Times New Roman" w:hAnsi="Times New Roman" w:cs="David"/>
          <w:sz w:val="24"/>
          <w:szCs w:val="24"/>
        </w:rPr>
      </w:pPr>
      <w:r w:rsidRPr="00E23EF5">
        <w:rPr>
          <w:rFonts w:ascii="Times New Roman" w:hAnsi="Times New Roman" w:cs="David"/>
          <w:sz w:val="24"/>
          <w:szCs w:val="24"/>
        </w:rPr>
        <w:t>After the end of the</w:t>
      </w:r>
      <w:r>
        <w:rPr>
          <w:rFonts w:ascii="Times New Roman" w:hAnsi="Times New Roman" w:cs="David" w:hint="cs"/>
          <w:sz w:val="24"/>
          <w:szCs w:val="24"/>
          <w:rtl/>
        </w:rPr>
        <w:t xml:space="preserve"> </w:t>
      </w:r>
      <w:r>
        <w:rPr>
          <w:rFonts w:ascii="Times New Roman" w:hAnsi="Times New Roman" w:cs="David"/>
          <w:sz w:val="24"/>
          <w:szCs w:val="24"/>
        </w:rPr>
        <w:t>second</w:t>
      </w:r>
      <w:r w:rsidRPr="00E23EF5">
        <w:rPr>
          <w:rFonts w:ascii="Times New Roman" w:hAnsi="Times New Roman" w:cs="David"/>
          <w:sz w:val="24"/>
          <w:szCs w:val="24"/>
        </w:rPr>
        <w:t xml:space="preserve"> intifada, a certain recovery was observed</w:t>
      </w:r>
      <w:r>
        <w:rPr>
          <w:rFonts w:ascii="Times New Roman" w:hAnsi="Times New Roman" w:cs="David"/>
          <w:sz w:val="24"/>
          <w:szCs w:val="24"/>
        </w:rPr>
        <w:t>.</w:t>
      </w:r>
      <w:r w:rsidRPr="00E23EF5">
        <w:rPr>
          <w:rFonts w:ascii="Times New Roman" w:hAnsi="Times New Roman" w:cs="David"/>
          <w:sz w:val="24"/>
          <w:szCs w:val="24"/>
        </w:rPr>
        <w:t xml:space="preserve"> </w:t>
      </w:r>
      <w:r>
        <w:rPr>
          <w:rFonts w:ascii="Times New Roman" w:hAnsi="Times New Roman" w:cs="David"/>
          <w:sz w:val="24"/>
          <w:szCs w:val="24"/>
        </w:rPr>
        <w:t xml:space="preserve">As can be seen in figures 7 and 10, after the second </w:t>
      </w:r>
      <w:r w:rsidRPr="00027DFF">
        <w:rPr>
          <w:rFonts w:ascii="Times New Roman" w:hAnsi="Times New Roman" w:cs="David"/>
          <w:sz w:val="24"/>
          <w:szCs w:val="24"/>
        </w:rPr>
        <w:t>intifada</w:t>
      </w:r>
      <w:r>
        <w:rPr>
          <w:rFonts w:ascii="Times New Roman" w:hAnsi="Times New Roman" w:cs="David"/>
          <w:sz w:val="24"/>
          <w:szCs w:val="24"/>
        </w:rPr>
        <w:t xml:space="preserve"> there is an upward trend that reflects a steady increase in the level of integration. As can be seen in figures 8 and 11, the main dimensions that contribute to increase of the index is “Banking and money”, “</w:t>
      </w:r>
      <w:r w:rsidRPr="00087953">
        <w:rPr>
          <w:rFonts w:ascii="Times New Roman" w:hAnsi="Times New Roman" w:cs="David"/>
          <w:sz w:val="24"/>
          <w:szCs w:val="24"/>
        </w:rPr>
        <w:t>Resources and infrastructure</w:t>
      </w:r>
      <w:r>
        <w:rPr>
          <w:rFonts w:ascii="Times New Roman" w:hAnsi="Times New Roman" w:cs="David"/>
          <w:sz w:val="24"/>
          <w:szCs w:val="24"/>
        </w:rPr>
        <w:t>” and “Movement of people and services”</w:t>
      </w:r>
      <w:r w:rsidR="00804129">
        <w:rPr>
          <w:rFonts w:ascii="Times New Roman" w:hAnsi="Times New Roman" w:cs="David"/>
          <w:sz w:val="24"/>
          <w:szCs w:val="24"/>
        </w:rPr>
        <w:t>,</w:t>
      </w:r>
      <w:r>
        <w:rPr>
          <w:rFonts w:ascii="Times New Roman" w:hAnsi="Times New Roman" w:cs="David"/>
          <w:sz w:val="24"/>
          <w:szCs w:val="24"/>
        </w:rPr>
        <w:t xml:space="preserve"> while the dimension that reduces the integration is </w:t>
      </w:r>
      <w:r w:rsidRPr="00517E44">
        <w:rPr>
          <w:rFonts w:ascii="Times New Roman" w:hAnsi="Times New Roman" w:cs="David"/>
          <w:sz w:val="24"/>
          <w:szCs w:val="24"/>
        </w:rPr>
        <w:t>Wealth and standard of living</w:t>
      </w:r>
      <w:r>
        <w:rPr>
          <w:rFonts w:ascii="Times New Roman" w:hAnsi="Times New Roman" w:cs="David"/>
          <w:sz w:val="24"/>
          <w:szCs w:val="24"/>
        </w:rPr>
        <w:t xml:space="preserve">. </w:t>
      </w:r>
    </w:p>
    <w:p w14:paraId="460A3AFC" w14:textId="77777777" w:rsidR="007E48B3" w:rsidRDefault="007E48B3" w:rsidP="007E48B3">
      <w:pPr>
        <w:pStyle w:val="ListParagraph"/>
        <w:bidi w:val="0"/>
        <w:spacing w:line="480" w:lineRule="auto"/>
        <w:ind w:left="1400"/>
        <w:jc w:val="both"/>
        <w:rPr>
          <w:rFonts w:ascii="Times New Roman" w:hAnsi="Times New Roman" w:cs="David"/>
          <w:sz w:val="24"/>
          <w:szCs w:val="24"/>
        </w:rPr>
      </w:pPr>
      <w:r w:rsidRPr="00885C26">
        <w:rPr>
          <w:rFonts w:ascii="Times New Roman" w:hAnsi="Times New Roman" w:cs="David"/>
          <w:sz w:val="24"/>
          <w:szCs w:val="24"/>
        </w:rPr>
        <w:t xml:space="preserve">As can be seen in </w:t>
      </w:r>
      <w:r>
        <w:rPr>
          <w:rFonts w:ascii="Times New Roman" w:hAnsi="Times New Roman" w:cs="David"/>
          <w:sz w:val="24"/>
          <w:szCs w:val="24"/>
        </w:rPr>
        <w:t>figure 10,</w:t>
      </w:r>
      <w:r w:rsidRPr="00885C26">
        <w:rPr>
          <w:rFonts w:ascii="Times New Roman" w:hAnsi="Times New Roman" w:cs="David"/>
          <w:sz w:val="24"/>
          <w:szCs w:val="24"/>
        </w:rPr>
        <w:t xml:space="preserve"> in 2014 and 2015 there is a</w:t>
      </w:r>
      <w:r>
        <w:rPr>
          <w:rFonts w:ascii="Times New Roman" w:hAnsi="Times New Roman" w:cs="David"/>
          <w:sz w:val="24"/>
          <w:szCs w:val="24"/>
        </w:rPr>
        <w:t xml:space="preserve"> slight</w:t>
      </w:r>
      <w:r w:rsidRPr="00885C26">
        <w:rPr>
          <w:rFonts w:ascii="Times New Roman" w:hAnsi="Times New Roman" w:cs="David"/>
          <w:sz w:val="24"/>
          <w:szCs w:val="24"/>
        </w:rPr>
        <w:t xml:space="preserve"> decline in the </w:t>
      </w:r>
      <w:r>
        <w:rPr>
          <w:rFonts w:ascii="Times New Roman" w:hAnsi="Times New Roman" w:cs="David"/>
          <w:sz w:val="24"/>
          <w:szCs w:val="24"/>
        </w:rPr>
        <w:t xml:space="preserve">level of integration, as a results of </w:t>
      </w:r>
      <w:r w:rsidRPr="00B05978">
        <w:rPr>
          <w:rFonts w:ascii="Times New Roman" w:hAnsi="Times New Roman" w:cs="David"/>
          <w:sz w:val="24"/>
          <w:szCs w:val="24"/>
        </w:rPr>
        <w:t>“Operation Protective Edge</w:t>
      </w:r>
      <w:r w:rsidRPr="00B05978">
        <w:rPr>
          <w:rFonts w:ascii="Times New Roman" w:hAnsi="Times New Roman" w:cs="David"/>
          <w:sz w:val="24"/>
          <w:szCs w:val="24"/>
          <w:rtl/>
        </w:rPr>
        <w:t xml:space="preserve">״ </w:t>
      </w:r>
      <w:r w:rsidRPr="00B05978">
        <w:rPr>
          <w:rFonts w:ascii="Times New Roman" w:hAnsi="Times New Roman" w:cs="David"/>
          <w:sz w:val="24"/>
          <w:szCs w:val="24"/>
        </w:rPr>
        <w:t>in the Gaza Strip</w:t>
      </w:r>
      <w:r w:rsidRPr="00885C26">
        <w:rPr>
          <w:rFonts w:ascii="Times New Roman" w:hAnsi="Times New Roman" w:cs="David"/>
          <w:sz w:val="24"/>
          <w:szCs w:val="24"/>
        </w:rPr>
        <w:t xml:space="preserve"> which took place in 2014 and </w:t>
      </w:r>
      <w:r w:rsidRPr="00B05978">
        <w:rPr>
          <w:rFonts w:ascii="Times New Roman" w:hAnsi="Times New Roman" w:cs="David"/>
          <w:sz w:val="24"/>
          <w:szCs w:val="24"/>
        </w:rPr>
        <w:t>wave of violence called the "Intifada of the Individuals"</w:t>
      </w:r>
      <w:r w:rsidRPr="00885C26">
        <w:rPr>
          <w:rFonts w:ascii="Times New Roman" w:hAnsi="Times New Roman" w:cs="David"/>
          <w:sz w:val="24"/>
          <w:szCs w:val="24"/>
        </w:rPr>
        <w:t xml:space="preserve"> </w:t>
      </w:r>
      <w:r>
        <w:rPr>
          <w:rFonts w:ascii="Times New Roman" w:hAnsi="Times New Roman" w:cs="David"/>
          <w:sz w:val="24"/>
          <w:szCs w:val="24"/>
        </w:rPr>
        <w:t xml:space="preserve">that </w:t>
      </w:r>
      <w:r w:rsidRPr="00885C26">
        <w:rPr>
          <w:rFonts w:ascii="Times New Roman" w:hAnsi="Times New Roman" w:cs="David"/>
          <w:sz w:val="24"/>
          <w:szCs w:val="24"/>
        </w:rPr>
        <w:t>began in 2015.</w:t>
      </w:r>
    </w:p>
    <w:p w14:paraId="1185A80C" w14:textId="77777777" w:rsidR="007E48B3" w:rsidRDefault="007E48B3" w:rsidP="007E48B3">
      <w:pPr>
        <w:pStyle w:val="ListParagraph"/>
        <w:bidi w:val="0"/>
        <w:spacing w:line="480" w:lineRule="auto"/>
        <w:ind w:left="1400"/>
        <w:jc w:val="both"/>
        <w:rPr>
          <w:rFonts w:ascii="Times New Roman" w:hAnsi="Times New Roman" w:cs="David"/>
          <w:sz w:val="24"/>
          <w:szCs w:val="24"/>
        </w:rPr>
      </w:pPr>
      <w:r w:rsidRPr="00B67E30">
        <w:rPr>
          <w:rFonts w:ascii="Times New Roman" w:hAnsi="Times New Roman" w:cs="David"/>
          <w:sz w:val="24"/>
          <w:szCs w:val="24"/>
        </w:rPr>
        <w:t>In recent years, a certain decrease in the level of integration has been observed</w:t>
      </w:r>
      <w:r>
        <w:rPr>
          <w:rFonts w:ascii="Times New Roman" w:hAnsi="Times New Roman" w:cs="David"/>
          <w:sz w:val="24"/>
          <w:szCs w:val="24"/>
        </w:rPr>
        <w:t xml:space="preserve"> in all indices. </w:t>
      </w:r>
      <w:r w:rsidRPr="00E23EF5">
        <w:rPr>
          <w:rFonts w:ascii="Times New Roman" w:hAnsi="Times New Roman" w:cs="David"/>
          <w:sz w:val="24"/>
          <w:szCs w:val="24"/>
        </w:rPr>
        <w:t xml:space="preserve">The main factor explaining this </w:t>
      </w:r>
      <w:r>
        <w:rPr>
          <w:rFonts w:ascii="Times New Roman" w:hAnsi="Times New Roman" w:cs="David"/>
          <w:sz w:val="24"/>
          <w:szCs w:val="24"/>
        </w:rPr>
        <w:t>is</w:t>
      </w:r>
      <w:r w:rsidRPr="00E23EF5">
        <w:rPr>
          <w:rFonts w:ascii="Times New Roman" w:hAnsi="Times New Roman" w:cs="David"/>
          <w:sz w:val="24"/>
          <w:szCs w:val="24"/>
        </w:rPr>
        <w:t xml:space="preserve"> the continuing decline</w:t>
      </w:r>
      <w:r>
        <w:rPr>
          <w:rFonts w:ascii="Times New Roman" w:hAnsi="Times New Roman" w:cs="David"/>
          <w:sz w:val="24"/>
          <w:szCs w:val="24"/>
        </w:rPr>
        <w:t xml:space="preserve"> in “Wealth and standard of living” dimension</w:t>
      </w:r>
      <w:r w:rsidRPr="00E23EF5">
        <w:rPr>
          <w:rFonts w:ascii="Times New Roman" w:hAnsi="Times New Roman" w:cs="David"/>
          <w:sz w:val="24"/>
          <w:szCs w:val="24"/>
        </w:rPr>
        <w:t>.</w:t>
      </w:r>
    </w:p>
    <w:p w14:paraId="4F8C874F" w14:textId="337897A7" w:rsidR="007E48B3" w:rsidRPr="00F76E67" w:rsidRDefault="007E48B3" w:rsidP="007E48B3">
      <w:pPr>
        <w:pStyle w:val="ListParagraph"/>
        <w:bidi w:val="0"/>
        <w:spacing w:before="240" w:line="480" w:lineRule="auto"/>
        <w:ind w:left="1400"/>
        <w:jc w:val="both"/>
        <w:rPr>
          <w:rFonts w:ascii="Times New Roman" w:hAnsi="Times New Roman" w:cs="David"/>
          <w:sz w:val="24"/>
          <w:szCs w:val="24"/>
        </w:rPr>
      </w:pPr>
      <w:r w:rsidRPr="00512BB7">
        <w:rPr>
          <w:rFonts w:ascii="Times New Roman" w:hAnsi="Times New Roman" w:cs="David"/>
          <w:sz w:val="24"/>
          <w:szCs w:val="24"/>
        </w:rPr>
        <w:t xml:space="preserve">Figure 13 shows in radar </w:t>
      </w:r>
      <w:r w:rsidR="00626B68" w:rsidRPr="00626B68">
        <w:rPr>
          <w:rFonts w:ascii="Times New Roman" w:hAnsi="Times New Roman" w:cs="David"/>
          <w:sz w:val="24"/>
          <w:szCs w:val="24"/>
        </w:rPr>
        <w:t>chart</w:t>
      </w:r>
      <w:r w:rsidRPr="00626B68">
        <w:rPr>
          <w:rFonts w:ascii="Times New Roman" w:hAnsi="Times New Roman" w:cs="David"/>
          <w:sz w:val="24"/>
          <w:szCs w:val="24"/>
        </w:rPr>
        <w:t>,</w:t>
      </w:r>
      <w:r w:rsidRPr="00512BB7">
        <w:rPr>
          <w:rFonts w:ascii="Times New Roman" w:hAnsi="Times New Roman" w:cs="David"/>
          <w:sz w:val="24"/>
          <w:szCs w:val="24"/>
        </w:rPr>
        <w:t xml:space="preserve"> the development of dimensions </w:t>
      </w:r>
      <w:r w:rsidR="00230DDF">
        <w:rPr>
          <w:rFonts w:ascii="Times New Roman" w:hAnsi="Times New Roman" w:cs="David"/>
          <w:sz w:val="24"/>
          <w:szCs w:val="24"/>
        </w:rPr>
        <w:t>between years</w:t>
      </w:r>
      <w:r w:rsidRPr="00512BB7">
        <w:rPr>
          <w:rFonts w:ascii="Times New Roman" w:hAnsi="Times New Roman" w:cs="David"/>
          <w:sz w:val="24"/>
          <w:szCs w:val="24"/>
        </w:rPr>
        <w:t xml:space="preserve"> </w:t>
      </w:r>
      <w:r w:rsidR="00A519D4">
        <w:rPr>
          <w:rFonts w:ascii="Times New Roman" w:hAnsi="Times New Roman" w:cs="David"/>
          <w:sz w:val="24"/>
          <w:szCs w:val="24"/>
        </w:rPr>
        <w:t xml:space="preserve">specific </w:t>
      </w:r>
      <w:r w:rsidR="00230DDF">
        <w:rPr>
          <w:rFonts w:ascii="Times New Roman" w:hAnsi="Times New Roman" w:cs="David"/>
          <w:sz w:val="24"/>
          <w:szCs w:val="24"/>
        </w:rPr>
        <w:t>(2010, 2015 and 2019)</w:t>
      </w:r>
      <w:r>
        <w:rPr>
          <w:rFonts w:ascii="Times New Roman" w:hAnsi="Times New Roman" w:cs="David"/>
          <w:sz w:val="24"/>
          <w:szCs w:val="24"/>
        </w:rPr>
        <w:t xml:space="preserve">. </w:t>
      </w:r>
      <w:r w:rsidR="00A95DF8">
        <w:rPr>
          <w:rFonts w:ascii="Times New Roman" w:hAnsi="Times New Roman" w:cs="David"/>
          <w:sz w:val="24"/>
          <w:szCs w:val="24"/>
        </w:rPr>
        <w:t xml:space="preserve">As can be seen, </w:t>
      </w:r>
      <w:r>
        <w:rPr>
          <w:rFonts w:ascii="Times New Roman" w:hAnsi="Times New Roman" w:cs="David"/>
          <w:sz w:val="24"/>
          <w:szCs w:val="24"/>
        </w:rPr>
        <w:t>“Banking and money”, “</w:t>
      </w:r>
      <w:r w:rsidRPr="00087953">
        <w:rPr>
          <w:rFonts w:ascii="Times New Roman" w:hAnsi="Times New Roman" w:cs="David"/>
          <w:sz w:val="24"/>
          <w:szCs w:val="24"/>
        </w:rPr>
        <w:t>Resources and infrastructure</w:t>
      </w:r>
      <w:r>
        <w:rPr>
          <w:rFonts w:ascii="Times New Roman" w:hAnsi="Times New Roman" w:cs="David"/>
          <w:sz w:val="24"/>
          <w:szCs w:val="24"/>
        </w:rPr>
        <w:t>” and “Movement of people and services” dimensions are contributing to increase in the level of integration between the regions</w:t>
      </w:r>
      <w:r w:rsidR="005108ED">
        <w:rPr>
          <w:rFonts w:ascii="Times New Roman" w:hAnsi="Times New Roman" w:cs="David"/>
          <w:sz w:val="24"/>
          <w:szCs w:val="24"/>
        </w:rPr>
        <w:t>,</w:t>
      </w:r>
      <w:r>
        <w:rPr>
          <w:rFonts w:ascii="Times New Roman" w:hAnsi="Times New Roman" w:cs="David"/>
          <w:sz w:val="24"/>
          <w:szCs w:val="24"/>
        </w:rPr>
        <w:t xml:space="preserve"> </w:t>
      </w:r>
      <w:r w:rsidR="005108ED">
        <w:rPr>
          <w:rFonts w:ascii="Times New Roman" w:hAnsi="Times New Roman" w:cs="David"/>
          <w:sz w:val="24"/>
          <w:szCs w:val="24"/>
        </w:rPr>
        <w:t>w</w:t>
      </w:r>
      <w:r>
        <w:rPr>
          <w:rFonts w:ascii="Times New Roman" w:hAnsi="Times New Roman" w:cs="David"/>
          <w:sz w:val="24"/>
          <w:szCs w:val="24"/>
        </w:rPr>
        <w:t xml:space="preserve">hile "Wealth and standard of living" dimension </w:t>
      </w:r>
      <w:r w:rsidRPr="00F76E67">
        <w:rPr>
          <w:rFonts w:ascii="Times New Roman" w:hAnsi="Times New Roman" w:cs="David"/>
          <w:sz w:val="24"/>
          <w:szCs w:val="24"/>
        </w:rPr>
        <w:t>reduces the level of integration</w:t>
      </w:r>
      <w:r>
        <w:rPr>
          <w:rFonts w:ascii="Times New Roman" w:hAnsi="Times New Roman" w:cs="David"/>
          <w:sz w:val="24"/>
          <w:szCs w:val="24"/>
        </w:rPr>
        <w:t xml:space="preserve">. The "Trade, employment and taxes" dimension increased between the year 2010 to 2015 </w:t>
      </w:r>
      <w:r w:rsidR="00817F41">
        <w:rPr>
          <w:rFonts w:ascii="Times New Roman" w:hAnsi="Times New Roman" w:cs="David"/>
          <w:sz w:val="24"/>
          <w:szCs w:val="24"/>
        </w:rPr>
        <w:t xml:space="preserve">but lagged </w:t>
      </w:r>
      <w:r w:rsidR="00FB2BAA">
        <w:rPr>
          <w:rFonts w:ascii="Times New Roman" w:hAnsi="Times New Roman" w:cs="David"/>
          <w:sz w:val="24"/>
          <w:szCs w:val="24"/>
        </w:rPr>
        <w:t xml:space="preserve">behind </w:t>
      </w:r>
      <w:r>
        <w:rPr>
          <w:rFonts w:ascii="Times New Roman" w:hAnsi="Times New Roman" w:cs="David"/>
          <w:sz w:val="24"/>
          <w:szCs w:val="24"/>
        </w:rPr>
        <w:t>between 2015 to 2019.</w:t>
      </w:r>
    </w:p>
    <w:p w14:paraId="5D2FCF51" w14:textId="2DD8D408" w:rsidR="007E48B3" w:rsidRDefault="007E48B3" w:rsidP="007E48B3">
      <w:pPr>
        <w:pStyle w:val="ListParagraph"/>
        <w:bidi w:val="0"/>
        <w:spacing w:line="360" w:lineRule="auto"/>
        <w:jc w:val="center"/>
        <w:rPr>
          <w:rFonts w:ascii="Times New Roman" w:hAnsi="Times New Roman" w:cs="David"/>
          <w:sz w:val="24"/>
          <w:szCs w:val="24"/>
        </w:rPr>
      </w:pPr>
      <w:r>
        <w:rPr>
          <w:rFonts w:ascii="Times New Roman" w:hAnsi="Times New Roman" w:cs="David"/>
          <w:b/>
          <w:bCs/>
          <w:sz w:val="24"/>
          <w:szCs w:val="24"/>
        </w:rPr>
        <w:t xml:space="preserve">Figure </w:t>
      </w:r>
      <w:r w:rsidR="00DD6A09">
        <w:rPr>
          <w:rFonts w:ascii="Times New Roman" w:hAnsi="Times New Roman" w:cs="David"/>
          <w:b/>
          <w:bCs/>
          <w:sz w:val="24"/>
          <w:szCs w:val="24"/>
        </w:rPr>
        <w:t>4</w:t>
      </w:r>
      <w:r>
        <w:rPr>
          <w:rFonts w:ascii="Times New Roman" w:hAnsi="Times New Roman" w:cs="David"/>
          <w:b/>
          <w:bCs/>
          <w:sz w:val="24"/>
          <w:szCs w:val="24"/>
        </w:rPr>
        <w:t>3: Development in dimensions 2010, 2015 and 2019</w:t>
      </w:r>
      <w:r>
        <w:rPr>
          <w:rFonts w:ascii="Times New Roman" w:hAnsi="Times New Roman" w:cs="David"/>
          <w:sz w:val="24"/>
          <w:szCs w:val="24"/>
        </w:rPr>
        <w:t xml:space="preserve"> </w:t>
      </w:r>
    </w:p>
    <w:p w14:paraId="0E314CAA" w14:textId="77777777" w:rsidR="007E48B3" w:rsidRPr="0001061A" w:rsidRDefault="007E48B3" w:rsidP="007E48B3">
      <w:pPr>
        <w:pStyle w:val="ListParagraph"/>
        <w:bidi w:val="0"/>
        <w:spacing w:line="360" w:lineRule="auto"/>
        <w:jc w:val="center"/>
        <w:rPr>
          <w:rFonts w:ascii="Times New Roman" w:hAnsi="Times New Roman" w:cs="David"/>
          <w:b/>
          <w:bCs/>
          <w:sz w:val="24"/>
          <w:szCs w:val="24"/>
        </w:rPr>
      </w:pPr>
      <w:r w:rsidRPr="0001061A">
        <w:rPr>
          <w:rFonts w:ascii="Times New Roman" w:hAnsi="Times New Roman" w:cs="David"/>
          <w:b/>
          <w:bCs/>
          <w:sz w:val="24"/>
          <w:szCs w:val="24"/>
        </w:rPr>
        <w:t>based on ISR-WBG-II 2010-2019</w:t>
      </w:r>
    </w:p>
    <w:p w14:paraId="1456E15D" w14:textId="77777777" w:rsidR="007E48B3" w:rsidRDefault="007E48B3" w:rsidP="007E48B3">
      <w:pPr>
        <w:pStyle w:val="ListParagraph"/>
        <w:bidi w:val="0"/>
        <w:spacing w:line="480" w:lineRule="auto"/>
        <w:jc w:val="center"/>
        <w:rPr>
          <w:rFonts w:ascii="Times New Roman" w:hAnsi="Times New Roman" w:cs="David"/>
          <w:b/>
          <w:bCs/>
          <w:sz w:val="24"/>
          <w:szCs w:val="24"/>
        </w:rPr>
      </w:pPr>
      <w:r>
        <w:rPr>
          <w:noProof/>
        </w:rPr>
        <w:drawing>
          <wp:inline distT="0" distB="0" distL="0" distR="0" wp14:anchorId="1E772CB6" wp14:editId="5CFB0015">
            <wp:extent cx="4315197" cy="2524804"/>
            <wp:effectExtent l="0" t="0" r="9525" b="8890"/>
            <wp:docPr id="48" name="תרשים 48">
              <a:extLst xmlns:a="http://schemas.openxmlformats.org/drawingml/2006/main">
                <a:ext uri="{FF2B5EF4-FFF2-40B4-BE49-F238E27FC236}">
                  <a16:creationId xmlns:a16="http://schemas.microsoft.com/office/drawing/2014/main" id="{9A821202-C543-4B25-89A6-1659C0707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4106AD3" w14:textId="681199BD" w:rsidR="007E48B3" w:rsidRPr="00B63E4F" w:rsidRDefault="007E48B3" w:rsidP="007E48B3">
      <w:pPr>
        <w:pStyle w:val="ListParagraph"/>
        <w:bidi w:val="0"/>
        <w:spacing w:line="480" w:lineRule="auto"/>
        <w:rPr>
          <w:rFonts w:ascii="Times New Roman" w:hAnsi="Times New Roman" w:cs="David"/>
          <w:sz w:val="24"/>
          <w:szCs w:val="24"/>
        </w:rPr>
      </w:pPr>
      <w:r w:rsidRPr="00B63E4F">
        <w:rPr>
          <w:rFonts w:ascii="Times New Roman" w:hAnsi="Times New Roman" w:cs="David"/>
          <w:sz w:val="24"/>
          <w:szCs w:val="24"/>
        </w:rPr>
        <w:t xml:space="preserve">For the specific contribution of each indicator </w:t>
      </w:r>
      <w:r>
        <w:rPr>
          <w:rFonts w:ascii="Times New Roman" w:hAnsi="Times New Roman" w:cs="David"/>
          <w:sz w:val="24"/>
          <w:szCs w:val="24"/>
        </w:rPr>
        <w:t>to its</w:t>
      </w:r>
      <w:r w:rsidRPr="00B63E4F">
        <w:rPr>
          <w:rFonts w:ascii="Times New Roman" w:hAnsi="Times New Roman" w:cs="David"/>
          <w:sz w:val="24"/>
          <w:szCs w:val="24"/>
        </w:rPr>
        <w:t xml:space="preserve"> dimensions </w:t>
      </w:r>
      <w:r>
        <w:rPr>
          <w:rFonts w:ascii="Times New Roman" w:hAnsi="Times New Roman" w:cs="David"/>
          <w:sz w:val="24"/>
          <w:szCs w:val="24"/>
        </w:rPr>
        <w:t xml:space="preserve">and to the </w:t>
      </w:r>
      <w:r w:rsidRPr="00B63E4F">
        <w:rPr>
          <w:rFonts w:ascii="Times New Roman" w:hAnsi="Times New Roman" w:cs="David"/>
          <w:sz w:val="24"/>
          <w:szCs w:val="24"/>
        </w:rPr>
        <w:t>total</w:t>
      </w:r>
      <w:r>
        <w:rPr>
          <w:rFonts w:ascii="Times New Roman" w:hAnsi="Times New Roman" w:cs="David"/>
          <w:sz w:val="24"/>
          <w:szCs w:val="24"/>
        </w:rPr>
        <w:t xml:space="preserve"> index see</w:t>
      </w:r>
      <w:r w:rsidRPr="00B63E4F">
        <w:rPr>
          <w:rFonts w:ascii="Times New Roman" w:hAnsi="Times New Roman" w:cs="David"/>
          <w:sz w:val="24"/>
          <w:szCs w:val="24"/>
        </w:rPr>
        <w:t xml:space="preserve"> </w:t>
      </w:r>
      <w:r>
        <w:rPr>
          <w:rFonts w:ascii="Times New Roman" w:hAnsi="Times New Roman" w:cs="David"/>
          <w:b/>
          <w:bCs/>
          <w:sz w:val="24"/>
          <w:szCs w:val="24"/>
        </w:rPr>
        <w:t>A</w:t>
      </w:r>
      <w:r w:rsidRPr="00D96A24">
        <w:rPr>
          <w:rFonts w:ascii="Times New Roman" w:hAnsi="Times New Roman" w:cs="David"/>
          <w:b/>
          <w:bCs/>
          <w:sz w:val="24"/>
          <w:szCs w:val="24"/>
        </w:rPr>
        <w:t>ppendix III</w:t>
      </w:r>
      <w:r>
        <w:rPr>
          <w:rFonts w:ascii="Times New Roman" w:hAnsi="Times New Roman" w:cs="David"/>
          <w:sz w:val="24"/>
          <w:szCs w:val="24"/>
        </w:rPr>
        <w:t>.</w:t>
      </w:r>
    </w:p>
    <w:p w14:paraId="64DF09C6" w14:textId="74313115" w:rsidR="007E48B3" w:rsidRDefault="00CB06B9" w:rsidP="007E48B3">
      <w:pPr>
        <w:pStyle w:val="ListParagraph"/>
        <w:numPr>
          <w:ilvl w:val="2"/>
          <w:numId w:val="25"/>
        </w:numPr>
        <w:bidi w:val="0"/>
        <w:spacing w:line="480" w:lineRule="auto"/>
        <w:rPr>
          <w:rFonts w:ascii="Times New Roman" w:hAnsi="Times New Roman" w:cs="David"/>
          <w:b/>
          <w:bCs/>
          <w:sz w:val="24"/>
          <w:szCs w:val="24"/>
        </w:rPr>
      </w:pPr>
      <w:r>
        <w:rPr>
          <w:rFonts w:ascii="Times New Roman" w:hAnsi="Times New Roman" w:cs="David"/>
          <w:b/>
          <w:bCs/>
          <w:sz w:val="24"/>
          <w:szCs w:val="24"/>
        </w:rPr>
        <w:t>An overview</w:t>
      </w:r>
      <w:r w:rsidR="007E48B3">
        <w:rPr>
          <w:rFonts w:ascii="Times New Roman" w:hAnsi="Times New Roman" w:cs="David"/>
          <w:b/>
          <w:bCs/>
          <w:sz w:val="24"/>
          <w:szCs w:val="24"/>
        </w:rPr>
        <w:t xml:space="preserve"> </w:t>
      </w:r>
      <w:r w:rsidR="00B43E5F">
        <w:rPr>
          <w:rFonts w:ascii="Times New Roman" w:hAnsi="Times New Roman" w:cs="David"/>
          <w:b/>
          <w:bCs/>
          <w:sz w:val="24"/>
          <w:szCs w:val="24"/>
        </w:rPr>
        <w:t>of</w:t>
      </w:r>
      <w:r w:rsidR="007E48B3">
        <w:rPr>
          <w:rFonts w:ascii="Times New Roman" w:hAnsi="Times New Roman" w:cs="David"/>
          <w:b/>
          <w:bCs/>
          <w:sz w:val="24"/>
          <w:szCs w:val="24"/>
        </w:rPr>
        <w:t xml:space="preserve"> the indices</w:t>
      </w:r>
    </w:p>
    <w:p w14:paraId="5B86EB10" w14:textId="6817D63D" w:rsidR="007E48B3" w:rsidRDefault="007E48B3" w:rsidP="007E48B3">
      <w:pPr>
        <w:pStyle w:val="ListParagraph"/>
        <w:bidi w:val="0"/>
        <w:spacing w:line="480" w:lineRule="auto"/>
        <w:ind w:left="1400"/>
        <w:jc w:val="both"/>
        <w:rPr>
          <w:rFonts w:ascii="Times New Roman" w:hAnsi="Times New Roman" w:cs="David"/>
          <w:b/>
          <w:bCs/>
          <w:sz w:val="24"/>
          <w:szCs w:val="24"/>
        </w:rPr>
      </w:pPr>
      <w:r w:rsidRPr="006D54A0">
        <w:rPr>
          <w:rFonts w:ascii="Times New Roman" w:hAnsi="Times New Roman" w:cs="David"/>
          <w:sz w:val="24"/>
          <w:szCs w:val="24"/>
        </w:rPr>
        <w:t>In Figures 14 and 15 we summarize the results of the indices graphically</w:t>
      </w:r>
      <w:r w:rsidR="00D47F85">
        <w:rPr>
          <w:rFonts w:ascii="Times New Roman" w:hAnsi="Times New Roman" w:cs="David"/>
          <w:sz w:val="24"/>
          <w:szCs w:val="24"/>
        </w:rPr>
        <w:t>.</w:t>
      </w:r>
      <w:r w:rsidRPr="006D54A0">
        <w:rPr>
          <w:rFonts w:ascii="Times New Roman" w:hAnsi="Times New Roman" w:cs="David"/>
          <w:sz w:val="24"/>
          <w:szCs w:val="24"/>
        </w:rPr>
        <w:t xml:space="preserve"> </w:t>
      </w:r>
      <w:r w:rsidR="00D47F85">
        <w:rPr>
          <w:rFonts w:ascii="Times New Roman" w:hAnsi="Times New Roman" w:cs="David"/>
          <w:sz w:val="24"/>
          <w:szCs w:val="24"/>
        </w:rPr>
        <w:t>I</w:t>
      </w:r>
      <w:r w:rsidRPr="006D54A0">
        <w:rPr>
          <w:rFonts w:ascii="Times New Roman" w:hAnsi="Times New Roman" w:cs="David"/>
          <w:sz w:val="24"/>
          <w:szCs w:val="24"/>
        </w:rPr>
        <w:t xml:space="preserve">n Figure 14 </w:t>
      </w:r>
      <w:r>
        <w:rPr>
          <w:rFonts w:ascii="Times New Roman" w:hAnsi="Times New Roman" w:cs="David"/>
          <w:sz w:val="24"/>
          <w:szCs w:val="24"/>
        </w:rPr>
        <w:t>we</w:t>
      </w:r>
      <w:r w:rsidRPr="006D54A0">
        <w:rPr>
          <w:rFonts w:ascii="Times New Roman" w:hAnsi="Times New Roman" w:cs="David"/>
          <w:sz w:val="24"/>
          <w:szCs w:val="24"/>
        </w:rPr>
        <w:t xml:space="preserve"> see the results of the 4 indices together</w:t>
      </w:r>
      <w:r w:rsidR="001A6EB6">
        <w:rPr>
          <w:rFonts w:ascii="Times New Roman" w:hAnsi="Times New Roman" w:cs="David"/>
          <w:sz w:val="24"/>
          <w:szCs w:val="24"/>
        </w:rPr>
        <w:t>,</w:t>
      </w:r>
      <w:r w:rsidRPr="006D54A0">
        <w:rPr>
          <w:rFonts w:ascii="Times New Roman" w:hAnsi="Times New Roman" w:cs="David"/>
          <w:sz w:val="24"/>
          <w:szCs w:val="24"/>
        </w:rPr>
        <w:t xml:space="preserve"> and in Figure 15 the indices are shown according to the period in which they include the most indicators</w:t>
      </w:r>
      <w:r w:rsidR="00837922">
        <w:rPr>
          <w:rFonts w:ascii="Times New Roman" w:hAnsi="Times New Roman" w:cs="David"/>
          <w:sz w:val="24"/>
          <w:szCs w:val="24"/>
        </w:rPr>
        <w:t>, as</w:t>
      </w:r>
      <w:r w:rsidRPr="006D54A0">
        <w:rPr>
          <w:rFonts w:ascii="Times New Roman" w:hAnsi="Times New Roman" w:cs="David"/>
          <w:sz w:val="24"/>
          <w:szCs w:val="24"/>
        </w:rPr>
        <w:t xml:space="preserve"> compared to other indices.</w:t>
      </w:r>
      <w:r>
        <w:rPr>
          <w:rFonts w:ascii="Times New Roman" w:hAnsi="Times New Roman" w:cs="David"/>
          <w:sz w:val="24"/>
          <w:szCs w:val="24"/>
        </w:rPr>
        <w:t xml:space="preserve"> </w:t>
      </w:r>
      <w:r w:rsidRPr="005D2CDB">
        <w:rPr>
          <w:rFonts w:ascii="Times New Roman" w:hAnsi="Times New Roman" w:cs="David"/>
          <w:sz w:val="24"/>
          <w:szCs w:val="24"/>
        </w:rPr>
        <w:t xml:space="preserve">It should be noted that methodologically it is incorrect to </w:t>
      </w:r>
      <w:r>
        <w:rPr>
          <w:rFonts w:ascii="Times New Roman" w:hAnsi="Times New Roman" w:cs="David"/>
          <w:sz w:val="24"/>
          <w:szCs w:val="24"/>
        </w:rPr>
        <w:t>compare</w:t>
      </w:r>
      <w:r w:rsidRPr="005D2CDB">
        <w:rPr>
          <w:rFonts w:ascii="Times New Roman" w:hAnsi="Times New Roman" w:cs="David"/>
          <w:sz w:val="24"/>
          <w:szCs w:val="24"/>
        </w:rPr>
        <w:t xml:space="preserve"> or link the indices to each other as they include several different dimensions and indicators</w:t>
      </w:r>
      <w:r w:rsidR="00E8455A">
        <w:rPr>
          <w:rFonts w:ascii="Times New Roman" w:hAnsi="Times New Roman" w:cs="David"/>
          <w:sz w:val="24"/>
          <w:szCs w:val="24"/>
        </w:rPr>
        <w:t>,</w:t>
      </w:r>
      <w:r w:rsidRPr="005D2CDB">
        <w:rPr>
          <w:rFonts w:ascii="Times New Roman" w:hAnsi="Times New Roman" w:cs="David"/>
          <w:sz w:val="24"/>
          <w:szCs w:val="24"/>
        </w:rPr>
        <w:t xml:space="preserve"> as well as normalization and weighting</w:t>
      </w:r>
      <w:r>
        <w:rPr>
          <w:rFonts w:ascii="Times New Roman" w:hAnsi="Times New Roman" w:cs="David"/>
          <w:sz w:val="24"/>
          <w:szCs w:val="24"/>
        </w:rPr>
        <w:t xml:space="preserve"> processes</w:t>
      </w:r>
      <w:r w:rsidRPr="005D2CDB">
        <w:rPr>
          <w:rFonts w:ascii="Times New Roman" w:hAnsi="Times New Roman" w:cs="David"/>
          <w:sz w:val="24"/>
          <w:szCs w:val="24"/>
        </w:rPr>
        <w:t xml:space="preserve"> that include the observations relevant to the specific index. </w:t>
      </w:r>
      <w:r w:rsidR="00D37BC6">
        <w:rPr>
          <w:rFonts w:ascii="Times New Roman" w:hAnsi="Times New Roman" w:cs="David"/>
          <w:sz w:val="24"/>
          <w:szCs w:val="24"/>
        </w:rPr>
        <w:t>However,</w:t>
      </w:r>
      <w:r w:rsidRPr="00A27F6F">
        <w:rPr>
          <w:rFonts w:ascii="Times New Roman" w:hAnsi="Times New Roman" w:cs="David"/>
          <w:sz w:val="24"/>
          <w:szCs w:val="24"/>
        </w:rPr>
        <w:t xml:space="preserve"> indices are presented in this way, so that it is possible to get a general and graphical impression </w:t>
      </w:r>
      <w:r w:rsidR="00BF0C29">
        <w:rPr>
          <w:rFonts w:ascii="Times New Roman" w:hAnsi="Times New Roman" w:cs="David"/>
          <w:sz w:val="24"/>
          <w:szCs w:val="24"/>
        </w:rPr>
        <w:t>of</w:t>
      </w:r>
      <w:r w:rsidRPr="00A27F6F">
        <w:rPr>
          <w:rFonts w:ascii="Times New Roman" w:hAnsi="Times New Roman" w:cs="David"/>
          <w:sz w:val="24"/>
          <w:szCs w:val="24"/>
        </w:rPr>
        <w:t xml:space="preserve"> the indices.</w:t>
      </w:r>
    </w:p>
    <w:p w14:paraId="61F4A17F" w14:textId="43FC6A80" w:rsidR="007E48B3" w:rsidRPr="006B0ABF" w:rsidRDefault="007E48B3" w:rsidP="007E48B3">
      <w:pPr>
        <w:pStyle w:val="ListParagraph"/>
        <w:bidi w:val="0"/>
        <w:spacing w:line="480" w:lineRule="auto"/>
        <w:ind w:left="1400"/>
        <w:jc w:val="center"/>
        <w:rPr>
          <w:rFonts w:ascii="Times New Roman" w:hAnsi="Times New Roman" w:cs="David"/>
          <w:b/>
          <w:bCs/>
          <w:sz w:val="24"/>
          <w:szCs w:val="24"/>
        </w:rPr>
      </w:pPr>
      <w:r>
        <w:rPr>
          <w:rFonts w:ascii="Times New Roman" w:hAnsi="Times New Roman" w:cs="David"/>
          <w:b/>
          <w:bCs/>
          <w:sz w:val="24"/>
          <w:szCs w:val="24"/>
        </w:rPr>
        <w:t xml:space="preserve">Figure </w:t>
      </w:r>
      <w:r w:rsidR="00DD6A09">
        <w:rPr>
          <w:rFonts w:ascii="Times New Roman" w:hAnsi="Times New Roman" w:cs="David"/>
          <w:b/>
          <w:bCs/>
          <w:sz w:val="24"/>
          <w:szCs w:val="24"/>
        </w:rPr>
        <w:t>4</w:t>
      </w:r>
      <w:r>
        <w:rPr>
          <w:rFonts w:ascii="Times New Roman" w:hAnsi="Times New Roman" w:cs="David"/>
          <w:b/>
          <w:bCs/>
          <w:sz w:val="24"/>
          <w:szCs w:val="24"/>
        </w:rPr>
        <w:t>4: ISR-WBG-II b</w:t>
      </w:r>
      <w:r w:rsidRPr="00421098">
        <w:rPr>
          <w:rFonts w:ascii="Times New Roman" w:hAnsi="Times New Roman" w:cs="David"/>
          <w:b/>
          <w:bCs/>
          <w:sz w:val="24"/>
          <w:szCs w:val="24"/>
        </w:rPr>
        <w:t xml:space="preserve">y </w:t>
      </w:r>
      <w:r>
        <w:rPr>
          <w:rFonts w:ascii="Times New Roman" w:hAnsi="Times New Roman" w:cs="David"/>
          <w:b/>
          <w:bCs/>
          <w:sz w:val="24"/>
          <w:szCs w:val="24"/>
        </w:rPr>
        <w:t>periods</w:t>
      </w:r>
    </w:p>
    <w:p w14:paraId="00E4796E" w14:textId="77777777" w:rsidR="007E48B3" w:rsidRDefault="007E48B3" w:rsidP="007E48B3">
      <w:pPr>
        <w:pStyle w:val="ListParagraph"/>
        <w:bidi w:val="0"/>
        <w:spacing w:line="480" w:lineRule="auto"/>
        <w:jc w:val="center"/>
        <w:rPr>
          <w:rFonts w:ascii="Times New Roman" w:hAnsi="Times New Roman" w:cs="David"/>
          <w:b/>
          <w:bCs/>
          <w:sz w:val="24"/>
          <w:szCs w:val="24"/>
        </w:rPr>
      </w:pPr>
      <w:r>
        <w:rPr>
          <w:noProof/>
        </w:rPr>
        <w:drawing>
          <wp:inline distT="0" distB="0" distL="0" distR="0" wp14:anchorId="243F07C9" wp14:editId="211A81EA">
            <wp:extent cx="4320000" cy="2520000"/>
            <wp:effectExtent l="0" t="0" r="4445" b="13970"/>
            <wp:docPr id="68" name="תרשים 68">
              <a:extLst xmlns:a="http://schemas.openxmlformats.org/drawingml/2006/main">
                <a:ext uri="{FF2B5EF4-FFF2-40B4-BE49-F238E27FC236}">
                  <a16:creationId xmlns:a16="http://schemas.microsoft.com/office/drawing/2014/main" id="{3B933576-16B4-43D5-957D-02FFC8A55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81320D7" w14:textId="77777777" w:rsidR="007E48B3" w:rsidRDefault="007E48B3" w:rsidP="007E48B3">
      <w:pPr>
        <w:pStyle w:val="ListParagraph"/>
        <w:bidi w:val="0"/>
        <w:spacing w:line="480" w:lineRule="auto"/>
        <w:ind w:left="1400"/>
        <w:jc w:val="center"/>
        <w:rPr>
          <w:rFonts w:ascii="Times New Roman" w:hAnsi="Times New Roman" w:cs="David"/>
          <w:b/>
          <w:bCs/>
          <w:sz w:val="24"/>
          <w:szCs w:val="24"/>
        </w:rPr>
      </w:pPr>
    </w:p>
    <w:p w14:paraId="2B90C570" w14:textId="0766C867" w:rsidR="007E48B3" w:rsidRPr="006B0ABF" w:rsidRDefault="007E48B3" w:rsidP="007E48B3">
      <w:pPr>
        <w:pStyle w:val="ListParagraph"/>
        <w:bidi w:val="0"/>
        <w:spacing w:line="480" w:lineRule="auto"/>
        <w:ind w:left="1400"/>
        <w:jc w:val="center"/>
        <w:rPr>
          <w:rFonts w:ascii="Times New Roman" w:hAnsi="Times New Roman" w:cs="David"/>
          <w:b/>
          <w:bCs/>
          <w:sz w:val="24"/>
          <w:szCs w:val="24"/>
          <w:rtl/>
        </w:rPr>
      </w:pPr>
      <w:r>
        <w:rPr>
          <w:rFonts w:ascii="Times New Roman" w:hAnsi="Times New Roman" w:cs="David"/>
          <w:b/>
          <w:bCs/>
          <w:sz w:val="24"/>
          <w:szCs w:val="24"/>
        </w:rPr>
        <w:t xml:space="preserve">Figure </w:t>
      </w:r>
      <w:r w:rsidR="00DD6A09">
        <w:rPr>
          <w:rFonts w:ascii="Times New Roman" w:hAnsi="Times New Roman" w:cs="David"/>
          <w:b/>
          <w:bCs/>
          <w:sz w:val="24"/>
          <w:szCs w:val="24"/>
        </w:rPr>
        <w:t>4</w:t>
      </w:r>
      <w:r>
        <w:rPr>
          <w:rFonts w:ascii="Times New Roman" w:hAnsi="Times New Roman" w:cs="David"/>
          <w:b/>
          <w:bCs/>
          <w:sz w:val="24"/>
          <w:szCs w:val="24"/>
        </w:rPr>
        <w:t>5: ISR-WBG-II b</w:t>
      </w:r>
      <w:r w:rsidRPr="00421098">
        <w:rPr>
          <w:rFonts w:ascii="Times New Roman" w:hAnsi="Times New Roman" w:cs="David"/>
          <w:b/>
          <w:bCs/>
          <w:sz w:val="24"/>
          <w:szCs w:val="24"/>
        </w:rPr>
        <w:t>y index</w:t>
      </w:r>
      <w:r>
        <w:rPr>
          <w:rFonts w:ascii="Times New Roman" w:hAnsi="Times New Roman" w:cs="David"/>
          <w:b/>
          <w:bCs/>
          <w:sz w:val="24"/>
          <w:szCs w:val="24"/>
        </w:rPr>
        <w:t xml:space="preserve"> </w:t>
      </w:r>
    </w:p>
    <w:p w14:paraId="6BF327FC" w14:textId="77777777" w:rsidR="007E48B3" w:rsidRDefault="007E48B3" w:rsidP="007E48B3">
      <w:pPr>
        <w:pStyle w:val="ListParagraph"/>
        <w:autoSpaceDE w:val="0"/>
        <w:autoSpaceDN w:val="0"/>
        <w:bidi w:val="0"/>
        <w:adjustRightInd w:val="0"/>
        <w:spacing w:after="240" w:line="480" w:lineRule="auto"/>
        <w:jc w:val="center"/>
        <w:rPr>
          <w:rFonts w:ascii="Times New Roman" w:hAnsi="Times New Roman" w:cs="David"/>
          <w:b/>
          <w:bCs/>
          <w:sz w:val="24"/>
          <w:szCs w:val="24"/>
        </w:rPr>
      </w:pPr>
      <w:r>
        <w:rPr>
          <w:noProof/>
        </w:rPr>
        <w:drawing>
          <wp:inline distT="0" distB="0" distL="0" distR="0" wp14:anchorId="10F6A3F6" wp14:editId="60FCBF73">
            <wp:extent cx="4320000" cy="2520000"/>
            <wp:effectExtent l="0" t="0" r="4445" b="13970"/>
            <wp:docPr id="70" name="תרשים 70">
              <a:extLst xmlns:a="http://schemas.openxmlformats.org/drawingml/2006/main">
                <a:ext uri="{FF2B5EF4-FFF2-40B4-BE49-F238E27FC236}">
                  <a16:creationId xmlns:a16="http://schemas.microsoft.com/office/drawing/2014/main" id="{CAAB80C5-1A4C-451A-976A-A2D44F7090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A65933F" w14:textId="77777777" w:rsidR="007E48B3" w:rsidRDefault="007E48B3" w:rsidP="007E48B3">
      <w:pPr>
        <w:pStyle w:val="ListParagraph"/>
        <w:autoSpaceDE w:val="0"/>
        <w:autoSpaceDN w:val="0"/>
        <w:bidi w:val="0"/>
        <w:adjustRightInd w:val="0"/>
        <w:spacing w:after="240" w:line="480" w:lineRule="auto"/>
        <w:jc w:val="center"/>
        <w:rPr>
          <w:rFonts w:ascii="Times New Roman" w:hAnsi="Times New Roman" w:cs="David"/>
          <w:b/>
          <w:bCs/>
          <w:sz w:val="24"/>
          <w:szCs w:val="24"/>
        </w:rPr>
      </w:pPr>
    </w:p>
    <w:p w14:paraId="3C8EAEBD" w14:textId="77777777" w:rsidR="007E48B3" w:rsidRDefault="007E48B3" w:rsidP="007E48B3">
      <w:pPr>
        <w:pStyle w:val="ListParagraph"/>
        <w:autoSpaceDE w:val="0"/>
        <w:autoSpaceDN w:val="0"/>
        <w:bidi w:val="0"/>
        <w:adjustRightInd w:val="0"/>
        <w:spacing w:after="240" w:line="480" w:lineRule="auto"/>
        <w:jc w:val="center"/>
        <w:rPr>
          <w:rFonts w:ascii="Times New Roman" w:hAnsi="Times New Roman" w:cs="David"/>
          <w:b/>
          <w:bCs/>
          <w:sz w:val="24"/>
          <w:szCs w:val="24"/>
        </w:rPr>
        <w:sectPr w:rsidR="007E48B3" w:rsidSect="00EC513F">
          <w:pgSz w:w="11906" w:h="16838"/>
          <w:pgMar w:top="1440" w:right="1800" w:bottom="1440" w:left="1800" w:header="708" w:footer="708" w:gutter="0"/>
          <w:cols w:space="708"/>
          <w:bidi/>
          <w:rtlGutter/>
          <w:docGrid w:linePitch="360"/>
        </w:sectPr>
      </w:pPr>
    </w:p>
    <w:p w14:paraId="431E20AB" w14:textId="77777777" w:rsidR="00052229" w:rsidRPr="00052229" w:rsidRDefault="00052229" w:rsidP="00052229">
      <w:pPr>
        <w:pStyle w:val="ListParagraph"/>
        <w:numPr>
          <w:ilvl w:val="0"/>
          <w:numId w:val="3"/>
        </w:numPr>
        <w:autoSpaceDE w:val="0"/>
        <w:autoSpaceDN w:val="0"/>
        <w:bidi w:val="0"/>
        <w:adjustRightInd w:val="0"/>
        <w:spacing w:after="240"/>
        <w:ind w:left="357" w:hanging="357"/>
        <w:contextualSpacing w:val="0"/>
        <w:rPr>
          <w:rFonts w:asciiTheme="majorBidi" w:hAnsiTheme="majorBidi" w:cstheme="majorBidi"/>
          <w:b/>
          <w:bCs/>
          <w:sz w:val="28"/>
          <w:szCs w:val="28"/>
        </w:rPr>
      </w:pPr>
      <w:r>
        <w:rPr>
          <w:rFonts w:asciiTheme="majorBidi" w:hAnsiTheme="majorBidi" w:cstheme="majorBidi"/>
          <w:b/>
          <w:bCs/>
          <w:sz w:val="28"/>
          <w:szCs w:val="28"/>
        </w:rPr>
        <w:t xml:space="preserve">Chapter 5: </w:t>
      </w:r>
      <w:r w:rsidRPr="00052229">
        <w:rPr>
          <w:rFonts w:asciiTheme="majorBidi" w:hAnsiTheme="majorBidi" w:cstheme="majorBidi"/>
          <w:b/>
          <w:bCs/>
          <w:sz w:val="28"/>
          <w:szCs w:val="28"/>
        </w:rPr>
        <w:t xml:space="preserve">Breakdown by geographical areas </w:t>
      </w:r>
    </w:p>
    <w:p w14:paraId="65CE6021" w14:textId="26202F3C" w:rsidR="00B554FE" w:rsidRDefault="00B554FE" w:rsidP="00920611">
      <w:pPr>
        <w:pStyle w:val="paragraph"/>
        <w:spacing w:before="0" w:beforeAutospacing="0" w:after="0" w:afterAutospacing="0" w:line="480" w:lineRule="auto"/>
        <w:ind w:left="357"/>
        <w:jc w:val="both"/>
        <w:textAlignment w:val="baseline"/>
        <w:rPr>
          <w:rStyle w:val="normaltextrun"/>
        </w:rPr>
      </w:pPr>
      <w:r w:rsidRPr="00775539">
        <w:rPr>
          <w:rStyle w:val="normaltextrun"/>
        </w:rPr>
        <w:t xml:space="preserve">In this </w:t>
      </w:r>
      <w:r w:rsidR="00052229" w:rsidRPr="631787EE">
        <w:rPr>
          <w:rFonts w:asciiTheme="majorBidi" w:eastAsiaTheme="minorEastAsia" w:hAnsiTheme="majorBidi" w:cstheme="majorBidi"/>
        </w:rPr>
        <w:t>chapter</w:t>
      </w:r>
      <w:r w:rsidRPr="00775539">
        <w:rPr>
          <w:rStyle w:val="normaltextrun"/>
        </w:rPr>
        <w:t xml:space="preserve">, we will examine economic integration between Israel and the </w:t>
      </w:r>
      <w:r>
        <w:rPr>
          <w:rStyle w:val="normaltextrun"/>
        </w:rPr>
        <w:t>WBG</w:t>
      </w:r>
      <w:r w:rsidRPr="00775539">
        <w:rPr>
          <w:rStyle w:val="normaltextrun"/>
        </w:rPr>
        <w:t xml:space="preserve"> </w:t>
      </w:r>
      <w:r w:rsidRPr="00FE2E3B">
        <w:rPr>
          <w:rStyle w:val="normaltextrun"/>
        </w:rPr>
        <w:t>while separating</w:t>
      </w:r>
      <w:r w:rsidRPr="00775539">
        <w:rPr>
          <w:rStyle w:val="normaltextrun"/>
        </w:rPr>
        <w:t xml:space="preserve"> the West Bank and Gaza Strip</w:t>
      </w:r>
      <w:r w:rsidRPr="00FE2E3B">
        <w:rPr>
          <w:rStyle w:val="normaltextrun"/>
        </w:rPr>
        <w:t>.</w:t>
      </w:r>
      <w:r w:rsidRPr="00775539">
        <w:rPr>
          <w:rStyle w:val="normaltextrun"/>
        </w:rPr>
        <w:t xml:space="preserve"> This examination is bound by reality as the two </w:t>
      </w:r>
      <w:r>
        <w:rPr>
          <w:rStyle w:val="normaltextrun"/>
        </w:rPr>
        <w:t>areas</w:t>
      </w:r>
      <w:r w:rsidRPr="00775539">
        <w:rPr>
          <w:rStyle w:val="normaltextrun"/>
        </w:rPr>
        <w:t xml:space="preserve"> - the West Bank and the Gaza Strip - behave and are managed almost completely separately, as a result of Hamas' rise to power in 2006</w:t>
      </w:r>
      <w:r>
        <w:rPr>
          <w:rStyle w:val="normaltextrun"/>
        </w:rPr>
        <w:t xml:space="preserve">. </w:t>
      </w:r>
      <w:r w:rsidRPr="00775539">
        <w:rPr>
          <w:rStyle w:val="normaltextrun"/>
        </w:rPr>
        <w:t xml:space="preserve">First, we will present </w:t>
      </w:r>
      <w:r>
        <w:rPr>
          <w:rStyle w:val="normaltextrun"/>
        </w:rPr>
        <w:t>13</w:t>
      </w:r>
      <w:r w:rsidRPr="00775539">
        <w:rPr>
          <w:rStyle w:val="normaltextrun"/>
        </w:rPr>
        <w:t xml:space="preserve"> indicators </w:t>
      </w:r>
      <w:r w:rsidRPr="00742F46">
        <w:rPr>
          <w:rStyle w:val="normaltextrun"/>
        </w:rPr>
        <w:t xml:space="preserve">we </w:t>
      </w:r>
      <w:r w:rsidRPr="00775539">
        <w:rPr>
          <w:rStyle w:val="normaltextrun"/>
        </w:rPr>
        <w:t xml:space="preserve">used </w:t>
      </w:r>
      <w:r>
        <w:rPr>
          <w:rStyle w:val="normaltextrun"/>
        </w:rPr>
        <w:t>already</w:t>
      </w:r>
      <w:r w:rsidRPr="00742F46">
        <w:rPr>
          <w:rStyle w:val="normaltextrun"/>
        </w:rPr>
        <w:t xml:space="preserve"> in the previous</w:t>
      </w:r>
      <w:r w:rsidRPr="00775539">
        <w:rPr>
          <w:rStyle w:val="normaltextrun"/>
        </w:rPr>
        <w:t xml:space="preserve"> integration indices</w:t>
      </w:r>
      <w:r>
        <w:rPr>
          <w:rStyle w:val="normaltextrun"/>
        </w:rPr>
        <w:t xml:space="preserve"> (ISR-WBG-II) to understand h</w:t>
      </w:r>
      <w:r w:rsidRPr="00F261FA">
        <w:rPr>
          <w:rStyle w:val="normaltextrun"/>
        </w:rPr>
        <w:t>ow the specific areas behave compared to the whole area</w:t>
      </w:r>
      <w:r>
        <w:rPr>
          <w:rStyle w:val="normaltextrun"/>
        </w:rPr>
        <w:t xml:space="preserve"> (WBG). </w:t>
      </w:r>
    </w:p>
    <w:p w14:paraId="1A04E431" w14:textId="77777777" w:rsidR="00B554FE" w:rsidRDefault="00B554FE" w:rsidP="00920611">
      <w:pPr>
        <w:pStyle w:val="paragraph"/>
        <w:spacing w:before="0" w:beforeAutospacing="0" w:after="0" w:afterAutospacing="0" w:line="480" w:lineRule="auto"/>
        <w:ind w:left="357"/>
        <w:jc w:val="both"/>
        <w:textAlignment w:val="baseline"/>
        <w:rPr>
          <w:rStyle w:val="normaltextrun"/>
        </w:rPr>
      </w:pPr>
      <w:r>
        <w:rPr>
          <w:rStyle w:val="normaltextrun"/>
        </w:rPr>
        <w:t>Then,</w:t>
      </w:r>
      <w:r w:rsidRPr="00742F46">
        <w:rPr>
          <w:rStyle w:val="normaltextrun"/>
        </w:rPr>
        <w:t xml:space="preserve"> </w:t>
      </w:r>
      <w:r>
        <w:rPr>
          <w:rStyle w:val="normaltextrun"/>
        </w:rPr>
        <w:t>w</w:t>
      </w:r>
      <w:r w:rsidRPr="00742F46">
        <w:rPr>
          <w:rStyle w:val="normaltextrun"/>
        </w:rPr>
        <w:t xml:space="preserve">e will present the </w:t>
      </w:r>
      <w:r>
        <w:rPr>
          <w:rStyle w:val="normaltextrun"/>
        </w:rPr>
        <w:t>specific</w:t>
      </w:r>
      <w:r w:rsidRPr="00742F46">
        <w:rPr>
          <w:rStyle w:val="normaltextrun"/>
        </w:rPr>
        <w:t xml:space="preserve"> integration indices</w:t>
      </w:r>
      <w:r>
        <w:rPr>
          <w:rStyle w:val="normaltextrun"/>
        </w:rPr>
        <w:t xml:space="preserve"> and make comparison between them: </w:t>
      </w:r>
    </w:p>
    <w:p w14:paraId="48B2FD40" w14:textId="77777777" w:rsidR="00B554FE" w:rsidRDefault="00B554FE" w:rsidP="00920611">
      <w:pPr>
        <w:pStyle w:val="paragraph"/>
        <w:numPr>
          <w:ilvl w:val="0"/>
          <w:numId w:val="28"/>
        </w:numPr>
        <w:spacing w:before="0" w:beforeAutospacing="0" w:after="0" w:afterAutospacing="0" w:line="480" w:lineRule="auto"/>
        <w:ind w:left="717"/>
        <w:jc w:val="both"/>
        <w:textAlignment w:val="baseline"/>
        <w:rPr>
          <w:rStyle w:val="normaltextrun"/>
        </w:rPr>
      </w:pPr>
      <w:r>
        <w:rPr>
          <w:rStyle w:val="normaltextrun"/>
        </w:rPr>
        <w:t xml:space="preserve">ISR-WB-II </w:t>
      </w:r>
      <w:r>
        <w:rPr>
          <w:rStyle w:val="normaltextrun"/>
          <w:rFonts w:hint="cs"/>
          <w:rtl/>
        </w:rPr>
        <w:t>2008-2019</w:t>
      </w:r>
    </w:p>
    <w:p w14:paraId="15AA5BBE" w14:textId="77777777" w:rsidR="00B554FE" w:rsidRDefault="00B554FE" w:rsidP="00920611">
      <w:pPr>
        <w:pStyle w:val="paragraph"/>
        <w:numPr>
          <w:ilvl w:val="0"/>
          <w:numId w:val="28"/>
        </w:numPr>
        <w:spacing w:before="0" w:beforeAutospacing="0" w:after="0" w:afterAutospacing="0" w:line="480" w:lineRule="auto"/>
        <w:ind w:left="717"/>
        <w:jc w:val="both"/>
        <w:textAlignment w:val="baseline"/>
        <w:rPr>
          <w:rStyle w:val="normaltextrun"/>
        </w:rPr>
      </w:pPr>
      <w:r>
        <w:rPr>
          <w:rStyle w:val="normaltextrun"/>
        </w:rPr>
        <w:t>ISR-GS-II</w:t>
      </w:r>
      <w:r>
        <w:rPr>
          <w:rStyle w:val="normaltextrun"/>
          <w:rFonts w:hint="cs"/>
          <w:rtl/>
        </w:rPr>
        <w:t xml:space="preserve">2008-2019 </w:t>
      </w:r>
    </w:p>
    <w:p w14:paraId="438E332F" w14:textId="77777777" w:rsidR="00B554FE" w:rsidRDefault="00B554FE" w:rsidP="00920611">
      <w:pPr>
        <w:pStyle w:val="paragraph"/>
        <w:numPr>
          <w:ilvl w:val="0"/>
          <w:numId w:val="28"/>
        </w:numPr>
        <w:spacing w:before="0" w:beforeAutospacing="0" w:after="0" w:afterAutospacing="0" w:line="480" w:lineRule="auto"/>
        <w:ind w:left="717"/>
        <w:jc w:val="both"/>
        <w:textAlignment w:val="baseline"/>
        <w:rPr>
          <w:rStyle w:val="normaltextrun"/>
        </w:rPr>
      </w:pPr>
      <w:r>
        <w:rPr>
          <w:rStyle w:val="normaltextrun"/>
        </w:rPr>
        <w:t>ISR-WBG-II</w:t>
      </w:r>
      <w:r>
        <w:rPr>
          <w:rStyle w:val="normaltextrun"/>
          <w:rFonts w:hint="cs"/>
          <w:rtl/>
        </w:rPr>
        <w:t xml:space="preserve"> </w:t>
      </w:r>
      <w:r>
        <w:rPr>
          <w:rStyle w:val="normaltextrun"/>
        </w:rPr>
        <w:t xml:space="preserve"> </w:t>
      </w:r>
      <w:r>
        <w:rPr>
          <w:rStyle w:val="normaltextrun"/>
          <w:rFonts w:hint="cs"/>
          <w:rtl/>
        </w:rPr>
        <w:t>2008-2019</w:t>
      </w:r>
    </w:p>
    <w:p w14:paraId="414E5D87" w14:textId="36EDE3EB" w:rsidR="00B554FE" w:rsidRPr="00680705" w:rsidRDefault="00B554FE" w:rsidP="0029462D">
      <w:pPr>
        <w:pStyle w:val="paragraph"/>
        <w:spacing w:before="0" w:beforeAutospacing="0" w:after="0" w:afterAutospacing="0" w:line="480" w:lineRule="auto"/>
        <w:ind w:firstLine="357"/>
        <w:jc w:val="both"/>
        <w:textAlignment w:val="baseline"/>
        <w:rPr>
          <w:rStyle w:val="normaltextrun"/>
          <w:b/>
          <w:bCs/>
        </w:rPr>
      </w:pPr>
      <w:r w:rsidRPr="00680705">
        <w:rPr>
          <w:rStyle w:val="normaltextrun"/>
          <w:b/>
          <w:bCs/>
        </w:rPr>
        <w:t>Indicators comparison</w:t>
      </w:r>
    </w:p>
    <w:p w14:paraId="7666DA82" w14:textId="77777777" w:rsidR="00B554FE" w:rsidRDefault="00B554FE" w:rsidP="00920611">
      <w:pPr>
        <w:pStyle w:val="paragraph"/>
        <w:spacing w:before="0" w:beforeAutospacing="0" w:after="0" w:afterAutospacing="0" w:line="480" w:lineRule="auto"/>
        <w:ind w:left="357"/>
        <w:jc w:val="both"/>
        <w:textAlignment w:val="baseline"/>
        <w:rPr>
          <w:rStyle w:val="normaltextrun"/>
          <w:u w:val="single"/>
          <w:rtl/>
        </w:rPr>
      </w:pPr>
      <w:r>
        <w:rPr>
          <w:rStyle w:val="normaltextrun"/>
          <w:u w:val="single"/>
        </w:rPr>
        <w:t xml:space="preserve">Trade and employment dimension: </w:t>
      </w:r>
    </w:p>
    <w:p w14:paraId="62D99E97" w14:textId="77777777" w:rsidR="00B554FE" w:rsidRPr="00F6576A" w:rsidRDefault="00B554FE" w:rsidP="00920611">
      <w:pPr>
        <w:pStyle w:val="paragraph"/>
        <w:spacing w:before="0" w:beforeAutospacing="0" w:after="0" w:afterAutospacing="0" w:line="480" w:lineRule="auto"/>
        <w:ind w:left="357"/>
        <w:jc w:val="both"/>
        <w:textAlignment w:val="baseline"/>
        <w:rPr>
          <w:rStyle w:val="normaltextrun"/>
        </w:rPr>
      </w:pPr>
      <w:r w:rsidRPr="00F6576A">
        <w:rPr>
          <w:rStyle w:val="normaltextrun"/>
        </w:rPr>
        <w:t xml:space="preserve">In absolute </w:t>
      </w:r>
      <w:r>
        <w:rPr>
          <w:rStyle w:val="normaltextrun"/>
        </w:rPr>
        <w:t>terms</w:t>
      </w:r>
      <w:r w:rsidRPr="00F6576A">
        <w:rPr>
          <w:rStyle w:val="normaltextrun"/>
        </w:rPr>
        <w:t xml:space="preserve">, the West Bank's contribution to economic integration with Israel is more significant both in terms of imports and exports of goods </w:t>
      </w:r>
      <w:r>
        <w:rPr>
          <w:rStyle w:val="normaltextrun"/>
        </w:rPr>
        <w:t>and employment</w:t>
      </w:r>
      <w:r w:rsidRPr="00F6576A">
        <w:rPr>
          <w:rStyle w:val="normaltextrun"/>
        </w:rPr>
        <w:t xml:space="preserve">. </w:t>
      </w:r>
      <w:r w:rsidRPr="00317E1E">
        <w:rPr>
          <w:rStyle w:val="normaltextrun"/>
        </w:rPr>
        <w:t>Specifically, it can be found that in the West Bank, the rate of import and export of goods from Israel is declining</w:t>
      </w:r>
      <w:r>
        <w:rPr>
          <w:rStyle w:val="normaltextrun"/>
        </w:rPr>
        <w:t xml:space="preserve"> (with a significant decline in imports). R</w:t>
      </w:r>
      <w:r w:rsidRPr="00F6576A">
        <w:rPr>
          <w:rStyle w:val="normaltextrun"/>
        </w:rPr>
        <w:t xml:space="preserve">egarding </w:t>
      </w:r>
      <w:r>
        <w:rPr>
          <w:rStyle w:val="normaltextrun"/>
        </w:rPr>
        <w:t xml:space="preserve">the </w:t>
      </w:r>
      <w:r w:rsidRPr="00F6576A">
        <w:rPr>
          <w:rStyle w:val="normaltextrun"/>
        </w:rPr>
        <w:t>Gaza</w:t>
      </w:r>
      <w:r>
        <w:rPr>
          <w:rStyle w:val="normaltextrun"/>
        </w:rPr>
        <w:t xml:space="preserve"> strip, s</w:t>
      </w:r>
      <w:r w:rsidRPr="00F6576A">
        <w:rPr>
          <w:rStyle w:val="normaltextrun"/>
        </w:rPr>
        <w:t xml:space="preserve">ince the end of 2007 until the beginning of 2015, </w:t>
      </w:r>
      <w:r>
        <w:rPr>
          <w:rStyle w:val="normaltextrun"/>
        </w:rPr>
        <w:t xml:space="preserve">the </w:t>
      </w:r>
      <w:r w:rsidRPr="00F6576A">
        <w:rPr>
          <w:rStyle w:val="normaltextrun"/>
        </w:rPr>
        <w:t>Gaza</w:t>
      </w:r>
      <w:r>
        <w:rPr>
          <w:rStyle w:val="normaltextrun"/>
        </w:rPr>
        <w:t xml:space="preserve"> strip</w:t>
      </w:r>
      <w:r w:rsidRPr="00F6576A">
        <w:rPr>
          <w:rStyle w:val="normaltextrun"/>
        </w:rPr>
        <w:t xml:space="preserve"> has not exported any goods to Israel (the data are based on truck numbers</w:t>
      </w:r>
      <w:r>
        <w:rPr>
          <w:rStyle w:val="FootnoteReference"/>
        </w:rPr>
        <w:footnoteReference w:id="52"/>
      </w:r>
      <w:r w:rsidRPr="00F6576A">
        <w:rPr>
          <w:rStyle w:val="normaltextrun"/>
        </w:rPr>
        <w:t>). On the other hand, on the import</w:t>
      </w:r>
      <w:r>
        <w:rPr>
          <w:rStyle w:val="normaltextrun"/>
        </w:rPr>
        <w:t>s</w:t>
      </w:r>
      <w:r w:rsidRPr="00F6576A">
        <w:rPr>
          <w:rStyle w:val="normaltextrun"/>
        </w:rPr>
        <w:t xml:space="preserve"> side, Gaza depends entirely on the entry of goods from Israel. Regarding employment</w:t>
      </w:r>
      <w:r>
        <w:rPr>
          <w:rStyle w:val="normaltextrun"/>
        </w:rPr>
        <w:t>,</w:t>
      </w:r>
      <w:r w:rsidRPr="00F6576A">
        <w:rPr>
          <w:rStyle w:val="normaltextrun"/>
        </w:rPr>
        <w:t xml:space="preserve"> in the West Bank, the number of </w:t>
      </w:r>
      <w:r>
        <w:rPr>
          <w:rStyle w:val="normaltextrun"/>
        </w:rPr>
        <w:t xml:space="preserve">Palestinians </w:t>
      </w:r>
      <w:r w:rsidRPr="00F6576A">
        <w:rPr>
          <w:rStyle w:val="normaltextrun"/>
        </w:rPr>
        <w:t xml:space="preserve">workers in Israel is growing and so is </w:t>
      </w:r>
      <w:r>
        <w:rPr>
          <w:rStyle w:val="normaltextrun"/>
        </w:rPr>
        <w:t>their</w:t>
      </w:r>
      <w:r w:rsidRPr="00F6576A">
        <w:rPr>
          <w:rStyle w:val="normaltextrun"/>
        </w:rPr>
        <w:t xml:space="preserve"> compensation </w:t>
      </w:r>
      <w:r>
        <w:rPr>
          <w:rStyle w:val="normaltextrun"/>
        </w:rPr>
        <w:t xml:space="preserve">to </w:t>
      </w:r>
      <w:r w:rsidRPr="00F6576A">
        <w:rPr>
          <w:rStyle w:val="normaltextrun"/>
        </w:rPr>
        <w:t>gross national income.</w:t>
      </w:r>
      <w:r>
        <w:rPr>
          <w:rStyle w:val="normaltextrun"/>
        </w:rPr>
        <w:t xml:space="preserve"> On the other hand, </w:t>
      </w:r>
      <w:r w:rsidRPr="00F6576A">
        <w:rPr>
          <w:rStyle w:val="normaltextrun"/>
        </w:rPr>
        <w:t>since 2007, Israel has not issued permits to Gazan workers to work in Israel</w:t>
      </w:r>
      <w:r>
        <w:rPr>
          <w:rStyle w:val="normaltextrun"/>
        </w:rPr>
        <w:t xml:space="preserve"> (in recent years Israel started to change this regime)</w:t>
      </w:r>
      <w:r w:rsidRPr="00F6576A">
        <w:rPr>
          <w:rStyle w:val="normaltextrun"/>
        </w:rPr>
        <w:t xml:space="preserve">. </w:t>
      </w:r>
    </w:p>
    <w:p w14:paraId="51A60050" w14:textId="77777777" w:rsidR="00B554FE" w:rsidRPr="00680705" w:rsidRDefault="00B554FE" w:rsidP="00920611">
      <w:pPr>
        <w:pStyle w:val="paragraph"/>
        <w:spacing w:before="0" w:beforeAutospacing="0" w:after="0" w:afterAutospacing="0" w:line="480" w:lineRule="auto"/>
        <w:ind w:left="357"/>
        <w:jc w:val="both"/>
        <w:textAlignment w:val="baseline"/>
        <w:rPr>
          <w:rStyle w:val="normaltextrun"/>
          <w:u w:val="single"/>
        </w:rPr>
      </w:pPr>
      <w:r w:rsidRPr="00680705">
        <w:rPr>
          <w:rStyle w:val="normaltextrun"/>
          <w:u w:val="single"/>
        </w:rPr>
        <w:t>Movement of people and services</w:t>
      </w:r>
      <w:r>
        <w:rPr>
          <w:rStyle w:val="normaltextrun"/>
          <w:u w:val="single"/>
        </w:rPr>
        <w:t>:</w:t>
      </w:r>
    </w:p>
    <w:p w14:paraId="6866E7C2" w14:textId="77777777" w:rsidR="00B554FE" w:rsidRDefault="00B554FE" w:rsidP="00920611">
      <w:pPr>
        <w:pStyle w:val="paragraph"/>
        <w:spacing w:before="0" w:beforeAutospacing="0" w:after="0" w:afterAutospacing="0" w:line="480" w:lineRule="auto"/>
        <w:ind w:left="357"/>
        <w:jc w:val="both"/>
        <w:textAlignment w:val="baseline"/>
        <w:rPr>
          <w:rStyle w:val="normaltextrun"/>
          <w:rtl/>
        </w:rPr>
      </w:pPr>
      <w:r w:rsidRPr="00B43D85">
        <w:rPr>
          <w:rStyle w:val="normaltextrun"/>
        </w:rPr>
        <w:t xml:space="preserve">While the movement between Israel and the West Bank includes the movement of millions of people a year (the majority are Palestinian workers), the movement to and from the Gaza Strip is </w:t>
      </w:r>
      <w:r>
        <w:rPr>
          <w:rStyle w:val="normaltextrun"/>
        </w:rPr>
        <w:t>low in comparison</w:t>
      </w:r>
      <w:r w:rsidRPr="00B43D85">
        <w:rPr>
          <w:rStyle w:val="normaltextrun"/>
        </w:rPr>
        <w:t xml:space="preserve"> and involves movement of hundreds of thousands of people</w:t>
      </w:r>
      <w:r>
        <w:rPr>
          <w:rStyle w:val="FootnoteReference"/>
        </w:rPr>
        <w:footnoteReference w:id="53"/>
      </w:r>
      <w:r w:rsidRPr="00B43D85">
        <w:rPr>
          <w:rStyle w:val="normaltextrun"/>
        </w:rPr>
        <w:t xml:space="preserve">. Thus, an increase in the movement of people in relation to the population (Israel and the West Bank) can be seen, while </w:t>
      </w:r>
      <w:r>
        <w:rPr>
          <w:rStyle w:val="normaltextrun"/>
        </w:rPr>
        <w:t>for</w:t>
      </w:r>
      <w:r w:rsidRPr="00B43D85">
        <w:rPr>
          <w:rStyle w:val="normaltextrun"/>
        </w:rPr>
        <w:t xml:space="preserve"> the Gaza Strip the trend is </w:t>
      </w:r>
      <w:r>
        <w:rPr>
          <w:rStyle w:val="normaltextrun"/>
        </w:rPr>
        <w:t>quite stable</w:t>
      </w:r>
      <w:r w:rsidRPr="00B43D85">
        <w:rPr>
          <w:rStyle w:val="normaltextrun"/>
        </w:rPr>
        <w:t>.</w:t>
      </w:r>
      <w:r>
        <w:rPr>
          <w:rStyle w:val="normaltextrun"/>
        </w:rPr>
        <w:t xml:space="preserve"> </w:t>
      </w:r>
      <w:r w:rsidRPr="00357CF7">
        <w:rPr>
          <w:rStyle w:val="normaltextrun"/>
        </w:rPr>
        <w:t>Regarding the provision of medical care to Palestinians in Israel (including hospitals in East Jerusalem), the scope of the permits granted for this seems quite stable: about 100,000 a year in the West Bank and about 10,000 in the Gaza Strip (with a slight increase).</w:t>
      </w:r>
    </w:p>
    <w:p w14:paraId="4ED5F07E" w14:textId="77777777" w:rsidR="00B554FE" w:rsidRDefault="00B554FE" w:rsidP="00920611">
      <w:pPr>
        <w:pStyle w:val="paragraph"/>
        <w:spacing w:before="0" w:beforeAutospacing="0" w:after="0" w:afterAutospacing="0" w:line="480" w:lineRule="auto"/>
        <w:ind w:left="357"/>
        <w:jc w:val="both"/>
        <w:textAlignment w:val="baseline"/>
        <w:rPr>
          <w:rStyle w:val="normaltextrun"/>
          <w:u w:val="single"/>
          <w:rtl/>
        </w:rPr>
      </w:pPr>
      <w:r w:rsidRPr="00680705">
        <w:rPr>
          <w:rStyle w:val="normaltextrun"/>
          <w:u w:val="single"/>
        </w:rPr>
        <w:t>Resources and infrastructure</w:t>
      </w:r>
      <w:r>
        <w:rPr>
          <w:rStyle w:val="normaltextrun"/>
          <w:u w:val="single"/>
        </w:rPr>
        <w:t>:</w:t>
      </w:r>
    </w:p>
    <w:p w14:paraId="0077E4A6" w14:textId="77777777" w:rsidR="00B554FE" w:rsidRPr="006E5630" w:rsidRDefault="00B554FE" w:rsidP="00920611">
      <w:pPr>
        <w:pStyle w:val="paragraph"/>
        <w:spacing w:before="0" w:beforeAutospacing="0" w:after="0" w:afterAutospacing="0" w:line="480" w:lineRule="auto"/>
        <w:ind w:left="357"/>
        <w:jc w:val="both"/>
        <w:textAlignment w:val="baseline"/>
        <w:rPr>
          <w:rStyle w:val="normaltextrun"/>
        </w:rPr>
      </w:pPr>
      <w:r w:rsidRPr="006E5630">
        <w:rPr>
          <w:rStyle w:val="normaltextrun"/>
        </w:rPr>
        <w:t xml:space="preserve">Reliance rates of electricity supply from Israel to the West Bank and Gaza Strip are very high. In the West Bank, this rate is about 98%, while in Gaza </w:t>
      </w:r>
      <w:r>
        <w:rPr>
          <w:rStyle w:val="normaltextrun"/>
        </w:rPr>
        <w:t>strip</w:t>
      </w:r>
      <w:r w:rsidRPr="006E5630">
        <w:rPr>
          <w:rStyle w:val="normaltextrun"/>
        </w:rPr>
        <w:t xml:space="preserve"> it is about 67% on average (for the two areas together, about 88%). Regarding </w:t>
      </w:r>
      <w:r w:rsidRPr="006A2D26">
        <w:rPr>
          <w:rStyle w:val="normaltextrun"/>
        </w:rPr>
        <w:t xml:space="preserve">the purchase of </w:t>
      </w:r>
      <w:r w:rsidRPr="006E5630">
        <w:rPr>
          <w:rStyle w:val="normaltextrun"/>
        </w:rPr>
        <w:t xml:space="preserve">water </w:t>
      </w:r>
      <w:r w:rsidRPr="006A2D26">
        <w:rPr>
          <w:rStyle w:val="normaltextrun"/>
        </w:rPr>
        <w:t>from Israel, the rates are lower</w:t>
      </w:r>
      <w:r w:rsidRPr="006E5630">
        <w:rPr>
          <w:rStyle w:val="normaltextrun"/>
        </w:rPr>
        <w:t xml:space="preserve"> - while in the West Bank the rate of reliance on Israel is about 36% on average</w:t>
      </w:r>
      <w:r>
        <w:rPr>
          <w:rStyle w:val="normaltextrun"/>
        </w:rPr>
        <w:t>,</w:t>
      </w:r>
      <w:r w:rsidRPr="006E5630">
        <w:rPr>
          <w:rStyle w:val="normaltextrun"/>
        </w:rPr>
        <w:t xml:space="preserve"> in the Gaza Strip the rate is only 4% (for the two regions together about 20%).</w:t>
      </w:r>
    </w:p>
    <w:p w14:paraId="128B63BD" w14:textId="77777777" w:rsidR="00B554FE" w:rsidRPr="00680705" w:rsidRDefault="00B554FE" w:rsidP="00920611">
      <w:pPr>
        <w:pStyle w:val="paragraph"/>
        <w:spacing w:before="0" w:beforeAutospacing="0" w:after="0" w:afterAutospacing="0" w:line="480" w:lineRule="auto"/>
        <w:ind w:left="357"/>
        <w:jc w:val="both"/>
        <w:textAlignment w:val="baseline"/>
        <w:rPr>
          <w:rStyle w:val="normaltextrun"/>
          <w:u w:val="single"/>
        </w:rPr>
      </w:pPr>
      <w:r w:rsidRPr="00680705">
        <w:rPr>
          <w:rStyle w:val="normaltextrun"/>
          <w:u w:val="single"/>
        </w:rPr>
        <w:t>Banking and money</w:t>
      </w:r>
      <w:r>
        <w:rPr>
          <w:rStyle w:val="normaltextrun"/>
          <w:u w:val="single"/>
        </w:rPr>
        <w:t>:</w:t>
      </w:r>
    </w:p>
    <w:p w14:paraId="087DFC51" w14:textId="77777777" w:rsidR="00B554FE" w:rsidRPr="00BC4AA0" w:rsidRDefault="00B554FE" w:rsidP="00920611">
      <w:pPr>
        <w:pStyle w:val="paragraph"/>
        <w:spacing w:before="0" w:beforeAutospacing="0" w:after="0" w:afterAutospacing="0" w:line="480" w:lineRule="auto"/>
        <w:ind w:left="357"/>
        <w:jc w:val="both"/>
        <w:textAlignment w:val="baseline"/>
        <w:rPr>
          <w:rStyle w:val="normaltextrun"/>
        </w:rPr>
      </w:pPr>
      <w:r w:rsidRPr="00BC4AA0">
        <w:rPr>
          <w:rStyle w:val="normaltextrun"/>
        </w:rPr>
        <w:t xml:space="preserve">The rates of use of the </w:t>
      </w:r>
      <w:r>
        <w:rPr>
          <w:rStyle w:val="normaltextrun"/>
        </w:rPr>
        <w:t>NIS</w:t>
      </w:r>
      <w:r w:rsidRPr="00BC4AA0">
        <w:rPr>
          <w:rStyle w:val="normaltextrun"/>
        </w:rPr>
        <w:t xml:space="preserve"> in the Palestinian banking system in credit products, deposits, and checks, have increased over time, both in the West Bank and the Gaza Strip. </w:t>
      </w:r>
      <w:r w:rsidRPr="00C64A95">
        <w:rPr>
          <w:rStyle w:val="normaltextrun"/>
        </w:rPr>
        <w:t xml:space="preserve">In recent years, rates of use in </w:t>
      </w:r>
      <w:r w:rsidRPr="00BC4AA0">
        <w:rPr>
          <w:rStyle w:val="normaltextrun"/>
        </w:rPr>
        <w:t>the West Bank</w:t>
      </w:r>
      <w:r w:rsidRPr="00C64A95">
        <w:rPr>
          <w:rStyle w:val="normaltextrun"/>
        </w:rPr>
        <w:t xml:space="preserve"> </w:t>
      </w:r>
      <w:r w:rsidRPr="00BC4AA0">
        <w:rPr>
          <w:rStyle w:val="normaltextrun"/>
        </w:rPr>
        <w:t xml:space="preserve">have averaged 37% in deposits, 43% </w:t>
      </w:r>
      <w:r w:rsidRPr="00C64A95">
        <w:rPr>
          <w:rStyle w:val="normaltextrun"/>
        </w:rPr>
        <w:t>in</w:t>
      </w:r>
      <w:r w:rsidRPr="00BC4AA0">
        <w:rPr>
          <w:rStyle w:val="normaltextrun"/>
        </w:rPr>
        <w:t xml:space="preserve"> credit and 80% </w:t>
      </w:r>
      <w:r w:rsidRPr="00C64A95">
        <w:rPr>
          <w:rStyle w:val="normaltextrun"/>
        </w:rPr>
        <w:t>in</w:t>
      </w:r>
      <w:r w:rsidRPr="00BC4AA0">
        <w:rPr>
          <w:rStyle w:val="normaltextrun"/>
        </w:rPr>
        <w:t xml:space="preserve"> checks. In the Gaza Strip, these rates are slightly lower and stand at 21% on deposits, 30% on credit and 68% on checks.</w:t>
      </w:r>
    </w:p>
    <w:p w14:paraId="6445664F" w14:textId="77777777" w:rsidR="00B554FE" w:rsidRPr="00680705" w:rsidRDefault="00B554FE" w:rsidP="00920611">
      <w:pPr>
        <w:pStyle w:val="paragraph"/>
        <w:spacing w:before="0" w:beforeAutospacing="0" w:after="0" w:afterAutospacing="0" w:line="480" w:lineRule="auto"/>
        <w:ind w:left="357"/>
        <w:jc w:val="both"/>
        <w:textAlignment w:val="baseline"/>
        <w:rPr>
          <w:rStyle w:val="normaltextrun"/>
          <w:u w:val="single"/>
        </w:rPr>
      </w:pPr>
      <w:r w:rsidRPr="00680705">
        <w:rPr>
          <w:rStyle w:val="normaltextrun"/>
          <w:u w:val="single"/>
        </w:rPr>
        <w:t>Wealth and Standard of living</w:t>
      </w:r>
      <w:r>
        <w:rPr>
          <w:rStyle w:val="normaltextrun"/>
          <w:u w:val="single"/>
        </w:rPr>
        <w:t>:</w:t>
      </w:r>
    </w:p>
    <w:p w14:paraId="5572D3B4" w14:textId="77777777" w:rsidR="00B554FE" w:rsidRDefault="00B554FE" w:rsidP="00920611">
      <w:pPr>
        <w:pStyle w:val="paragraph"/>
        <w:spacing w:before="0" w:beforeAutospacing="0" w:after="0" w:afterAutospacing="0" w:line="480" w:lineRule="auto"/>
        <w:ind w:left="357"/>
        <w:jc w:val="both"/>
        <w:textAlignment w:val="baseline"/>
        <w:rPr>
          <w:rStyle w:val="normaltextrun"/>
        </w:rPr>
      </w:pPr>
      <w:r>
        <w:rPr>
          <w:rStyle w:val="normaltextrun"/>
        </w:rPr>
        <w:t>T</w:t>
      </w:r>
      <w:r w:rsidRPr="00EF0BCD">
        <w:rPr>
          <w:rStyle w:val="normaltextrun"/>
        </w:rPr>
        <w:t>here is a considerable gap between the West Bank and the Gaza Strip, a result of the rise of Hamas. In terms of</w:t>
      </w:r>
      <w:r w:rsidRPr="00687B8F">
        <w:rPr>
          <w:rStyle w:val="normaltextrun"/>
        </w:rPr>
        <w:t xml:space="preserve"> </w:t>
      </w:r>
      <w:r w:rsidRPr="00EF0BCD">
        <w:rPr>
          <w:rStyle w:val="normaltextrun"/>
        </w:rPr>
        <w:t>GDP per capita, we see a reduction in the gap between Israel and the West Bank between 2005 and 2016</w:t>
      </w:r>
      <w:r>
        <w:rPr>
          <w:rStyle w:val="normaltextrun"/>
        </w:rPr>
        <w:t xml:space="preserve"> (from 9.6% to 13%)</w:t>
      </w:r>
      <w:r w:rsidRPr="00EF0BCD">
        <w:rPr>
          <w:rStyle w:val="normaltextrun"/>
        </w:rPr>
        <w:t>, with a certain decline in recent years</w:t>
      </w:r>
      <w:r>
        <w:rPr>
          <w:rStyle w:val="normaltextrun"/>
        </w:rPr>
        <w:t xml:space="preserve"> (12.4%)</w:t>
      </w:r>
      <w:r w:rsidRPr="00EF0BCD">
        <w:rPr>
          <w:rStyle w:val="normaltextrun"/>
        </w:rPr>
        <w:t>. In contrast, the trend in Gaza is clear with a continuing decline in the ratio (</w:t>
      </w:r>
      <w:r>
        <w:rPr>
          <w:rStyle w:val="normaltextrun"/>
        </w:rPr>
        <w:t xml:space="preserve">from 9.2% to </w:t>
      </w:r>
      <w:r w:rsidRPr="00EF0BCD">
        <w:rPr>
          <w:rStyle w:val="normaltextrun"/>
        </w:rPr>
        <w:t>3.5%</w:t>
      </w:r>
      <w:r>
        <w:rPr>
          <w:rStyle w:val="normaltextrun"/>
        </w:rPr>
        <w:t>).  In</w:t>
      </w:r>
      <w:r w:rsidRPr="00EF0BCD">
        <w:rPr>
          <w:rStyle w:val="normaltextrun"/>
        </w:rPr>
        <w:t xml:space="preserve"> the </w:t>
      </w:r>
      <w:r>
        <w:rPr>
          <w:rStyle w:val="normaltextrun"/>
        </w:rPr>
        <w:t xml:space="preserve">WBG region the ratio stands for </w:t>
      </w:r>
      <w:r w:rsidRPr="00EF0BCD">
        <w:rPr>
          <w:rStyle w:val="normaltextrun"/>
        </w:rPr>
        <w:t>8.5%</w:t>
      </w:r>
      <w:r>
        <w:rPr>
          <w:rStyle w:val="normaltextrun"/>
        </w:rPr>
        <w:t xml:space="preserve"> as of 2019.</w:t>
      </w:r>
    </w:p>
    <w:p w14:paraId="3130913C" w14:textId="77777777" w:rsidR="00B554FE" w:rsidRDefault="00B554FE" w:rsidP="00920611">
      <w:pPr>
        <w:pStyle w:val="paragraph"/>
        <w:spacing w:before="0" w:beforeAutospacing="0" w:after="0" w:afterAutospacing="0" w:line="480" w:lineRule="auto"/>
        <w:ind w:left="357"/>
        <w:jc w:val="both"/>
        <w:textAlignment w:val="baseline"/>
        <w:rPr>
          <w:rStyle w:val="normaltextrun"/>
        </w:rPr>
      </w:pPr>
      <w:r w:rsidRPr="00D9309C">
        <w:rPr>
          <w:rStyle w:val="normaltextrun"/>
        </w:rPr>
        <w:t xml:space="preserve">In terms of the wage </w:t>
      </w:r>
      <w:r>
        <w:rPr>
          <w:rStyle w:val="normaltextrun"/>
        </w:rPr>
        <w:t>ratio --</w:t>
      </w:r>
      <w:r w:rsidRPr="00D9309C">
        <w:rPr>
          <w:rStyle w:val="normaltextrun"/>
        </w:rPr>
        <w:t xml:space="preserve"> between Palestinian workers in the West Bank and Gaza Strip </w:t>
      </w:r>
      <w:r>
        <w:rPr>
          <w:rStyle w:val="normaltextrun"/>
        </w:rPr>
        <w:t>to</w:t>
      </w:r>
      <w:r w:rsidRPr="00D9309C">
        <w:rPr>
          <w:rStyle w:val="normaltextrun"/>
        </w:rPr>
        <w:t xml:space="preserve"> Palestinian workers in Israel</w:t>
      </w:r>
      <w:r>
        <w:rPr>
          <w:rStyle w:val="normaltextrun"/>
        </w:rPr>
        <w:t xml:space="preserve"> --</w:t>
      </w:r>
      <w:r w:rsidRPr="00D9309C">
        <w:rPr>
          <w:rStyle w:val="normaltextrun"/>
        </w:rPr>
        <w:t xml:space="preserve"> it can be seen that since the Oslo </w:t>
      </w:r>
      <w:r>
        <w:rPr>
          <w:rStyle w:val="normaltextrun"/>
        </w:rPr>
        <w:t>agreements</w:t>
      </w:r>
      <w:r w:rsidRPr="00D9309C">
        <w:rPr>
          <w:rStyle w:val="normaltextrun"/>
        </w:rPr>
        <w:t xml:space="preserve"> there has been a continuous decline in this ratio, while in the Gaza Strip the decline is sharper.</w:t>
      </w:r>
    </w:p>
    <w:p w14:paraId="6D0FE48B" w14:textId="77777777" w:rsidR="0029462D" w:rsidRDefault="0029462D" w:rsidP="00920611">
      <w:pPr>
        <w:pStyle w:val="paragraph"/>
        <w:spacing w:before="0" w:beforeAutospacing="0" w:after="0" w:afterAutospacing="0" w:line="480" w:lineRule="auto"/>
        <w:ind w:left="357"/>
        <w:jc w:val="both"/>
        <w:textAlignment w:val="baseline"/>
        <w:rPr>
          <w:rStyle w:val="normaltextrun"/>
        </w:rPr>
      </w:pPr>
    </w:p>
    <w:p w14:paraId="7413D438" w14:textId="77777777" w:rsidR="0029462D" w:rsidRDefault="0029462D" w:rsidP="00920611">
      <w:pPr>
        <w:pStyle w:val="paragraph"/>
        <w:spacing w:before="0" w:beforeAutospacing="0" w:after="0" w:afterAutospacing="0" w:line="480" w:lineRule="auto"/>
        <w:ind w:left="357"/>
        <w:jc w:val="both"/>
        <w:textAlignment w:val="baseline"/>
        <w:rPr>
          <w:rStyle w:val="normaltextrun"/>
        </w:rPr>
      </w:pPr>
    </w:p>
    <w:p w14:paraId="0ECF5779" w14:textId="77777777" w:rsidR="0029462D" w:rsidRDefault="0029462D" w:rsidP="00920611">
      <w:pPr>
        <w:pStyle w:val="paragraph"/>
        <w:spacing w:before="0" w:beforeAutospacing="0" w:after="0" w:afterAutospacing="0" w:line="480" w:lineRule="auto"/>
        <w:ind w:left="357"/>
        <w:jc w:val="both"/>
        <w:textAlignment w:val="baseline"/>
        <w:rPr>
          <w:rStyle w:val="normaltextrun"/>
        </w:rPr>
      </w:pPr>
    </w:p>
    <w:p w14:paraId="27623393" w14:textId="77777777" w:rsidR="0029462D" w:rsidRDefault="0029462D" w:rsidP="00920611">
      <w:pPr>
        <w:pStyle w:val="paragraph"/>
        <w:spacing w:before="0" w:beforeAutospacing="0" w:after="0" w:afterAutospacing="0" w:line="480" w:lineRule="auto"/>
        <w:ind w:left="357"/>
        <w:jc w:val="both"/>
        <w:textAlignment w:val="baseline"/>
        <w:rPr>
          <w:rStyle w:val="normaltextrun"/>
        </w:rPr>
      </w:pPr>
    </w:p>
    <w:p w14:paraId="1925EF86" w14:textId="77777777" w:rsidR="0029462D" w:rsidRPr="00680705" w:rsidRDefault="0029462D" w:rsidP="00920611">
      <w:pPr>
        <w:pStyle w:val="paragraph"/>
        <w:spacing w:before="0" w:beforeAutospacing="0" w:after="0" w:afterAutospacing="0" w:line="480" w:lineRule="auto"/>
        <w:ind w:left="357"/>
        <w:jc w:val="both"/>
        <w:textAlignment w:val="baseline"/>
        <w:rPr>
          <w:rStyle w:val="normaltextrun"/>
          <w:u w:val="single"/>
        </w:rPr>
      </w:pPr>
    </w:p>
    <w:p w14:paraId="04E4E3C1" w14:textId="2599282B" w:rsidR="00B554FE" w:rsidRDefault="00B554FE" w:rsidP="00B554FE">
      <w:pPr>
        <w:pStyle w:val="paragraph"/>
        <w:spacing w:before="0" w:beforeAutospacing="0" w:after="0" w:afterAutospacing="0" w:line="480" w:lineRule="auto"/>
        <w:ind w:left="720"/>
        <w:jc w:val="center"/>
        <w:textAlignment w:val="baseline"/>
        <w:rPr>
          <w:rStyle w:val="normaltextrun"/>
          <w:b/>
          <w:bCs/>
        </w:rPr>
      </w:pPr>
      <w:r>
        <w:rPr>
          <w:rStyle w:val="normaltextrun"/>
          <w:b/>
          <w:bCs/>
        </w:rPr>
        <w:t xml:space="preserve">Figure </w:t>
      </w:r>
      <w:r w:rsidR="005276BC">
        <w:rPr>
          <w:rStyle w:val="normaltextrun"/>
          <w:b/>
          <w:bCs/>
        </w:rPr>
        <w:t>46</w:t>
      </w:r>
      <w:r>
        <w:rPr>
          <w:rStyle w:val="normaltextrun"/>
          <w:b/>
          <w:bCs/>
        </w:rPr>
        <w:t>: Indicators by areas</w:t>
      </w:r>
    </w:p>
    <w:tbl>
      <w:tblPr>
        <w:tblStyle w:val="TableGrid"/>
        <w:tblW w:w="5297" w:type="pct"/>
        <w:tblBorders>
          <w:insideH w:val="none" w:sz="0" w:space="0" w:color="auto"/>
          <w:insideV w:val="none" w:sz="0" w:space="0" w:color="auto"/>
        </w:tblBorders>
        <w:tblLook w:val="04A0" w:firstRow="1" w:lastRow="0" w:firstColumn="1" w:lastColumn="0" w:noHBand="0" w:noVBand="1"/>
      </w:tblPr>
      <w:tblGrid>
        <w:gridCol w:w="4776"/>
        <w:gridCol w:w="4776"/>
      </w:tblGrid>
      <w:tr w:rsidR="00B554FE" w:rsidRPr="006027E5" w14:paraId="248B14AD" w14:textId="77777777" w:rsidTr="00416373">
        <w:trPr>
          <w:trHeight w:val="1783"/>
        </w:trPr>
        <w:tc>
          <w:tcPr>
            <w:tcW w:w="2500" w:type="pct"/>
          </w:tcPr>
          <w:p w14:paraId="5C022580" w14:textId="77777777" w:rsidR="00B554FE" w:rsidRPr="006027E5" w:rsidRDefault="00B554FE" w:rsidP="00416373">
            <w:pPr>
              <w:pStyle w:val="paragraph"/>
              <w:spacing w:before="0" w:beforeAutospacing="0" w:after="0" w:afterAutospacing="0" w:line="480" w:lineRule="auto"/>
              <w:jc w:val="both"/>
              <w:textAlignment w:val="baseline"/>
              <w:rPr>
                <w:rStyle w:val="normaltextrun"/>
                <w:b/>
                <w:bCs/>
              </w:rPr>
            </w:pPr>
            <w:r>
              <w:rPr>
                <w:noProof/>
              </w:rPr>
              <w:drawing>
                <wp:inline distT="0" distB="0" distL="0" distR="0" wp14:anchorId="0FA43360" wp14:editId="2953AE49">
                  <wp:extent cx="2880000" cy="1800000"/>
                  <wp:effectExtent l="0" t="0" r="15875" b="10160"/>
                  <wp:docPr id="53" name="תרשים 17">
                    <a:extLst xmlns:a="http://schemas.openxmlformats.org/drawingml/2006/main">
                      <a:ext uri="{FF2B5EF4-FFF2-40B4-BE49-F238E27FC236}">
                        <a16:creationId xmlns:a16="http://schemas.microsoft.com/office/drawing/2014/main" id="{62B87460-4D47-4027-BAEA-70287EBDA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2500" w:type="pct"/>
          </w:tcPr>
          <w:p w14:paraId="596576CA" w14:textId="77777777" w:rsidR="00B554FE" w:rsidRPr="006027E5" w:rsidRDefault="00B554FE" w:rsidP="00416373">
            <w:pPr>
              <w:pStyle w:val="paragraph"/>
              <w:spacing w:before="0" w:beforeAutospacing="0" w:after="0" w:afterAutospacing="0" w:line="480" w:lineRule="auto"/>
              <w:jc w:val="both"/>
              <w:textAlignment w:val="baseline"/>
              <w:rPr>
                <w:rStyle w:val="normaltextrun"/>
                <w:b/>
                <w:bCs/>
              </w:rPr>
            </w:pPr>
            <w:r>
              <w:rPr>
                <w:noProof/>
              </w:rPr>
              <w:drawing>
                <wp:inline distT="0" distB="0" distL="0" distR="0" wp14:anchorId="0A51FA25" wp14:editId="05F605D5">
                  <wp:extent cx="2880000" cy="1800000"/>
                  <wp:effectExtent l="0" t="0" r="15875" b="10160"/>
                  <wp:docPr id="54" name="תרשים 16">
                    <a:extLst xmlns:a="http://schemas.openxmlformats.org/drawingml/2006/main">
                      <a:ext uri="{FF2B5EF4-FFF2-40B4-BE49-F238E27FC236}">
                        <a16:creationId xmlns:a16="http://schemas.microsoft.com/office/drawing/2014/main" id="{8F72C9C6-E5B6-4AD3-A8E6-A0BC321EE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B554FE" w:rsidRPr="006027E5" w14:paraId="0D01C52F" w14:textId="77777777" w:rsidTr="00416373">
        <w:trPr>
          <w:trHeight w:val="1783"/>
        </w:trPr>
        <w:tc>
          <w:tcPr>
            <w:tcW w:w="2500" w:type="pct"/>
          </w:tcPr>
          <w:p w14:paraId="06A4FCE7" w14:textId="77777777" w:rsidR="00B554FE" w:rsidRDefault="00B554FE" w:rsidP="00416373">
            <w:pPr>
              <w:pStyle w:val="paragraph"/>
              <w:spacing w:before="0" w:beforeAutospacing="0" w:after="0" w:afterAutospacing="0" w:line="480" w:lineRule="auto"/>
              <w:jc w:val="both"/>
              <w:textAlignment w:val="baseline"/>
              <w:rPr>
                <w:noProof/>
              </w:rPr>
            </w:pPr>
            <w:r>
              <w:rPr>
                <w:noProof/>
              </w:rPr>
              <w:drawing>
                <wp:inline distT="0" distB="0" distL="0" distR="0" wp14:anchorId="4A4A6C2F" wp14:editId="24251C92">
                  <wp:extent cx="2880000" cy="1800000"/>
                  <wp:effectExtent l="0" t="0" r="15875" b="10160"/>
                  <wp:docPr id="55" name="תרשים 4">
                    <a:extLst xmlns:a="http://schemas.openxmlformats.org/drawingml/2006/main">
                      <a:ext uri="{FF2B5EF4-FFF2-40B4-BE49-F238E27FC236}">
                        <a16:creationId xmlns:a16="http://schemas.microsoft.com/office/drawing/2014/main" id="{D6284E02-9BA7-4D84-95F7-3DBAD036C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2500" w:type="pct"/>
          </w:tcPr>
          <w:p w14:paraId="0286EB69" w14:textId="77777777" w:rsidR="00B554FE" w:rsidRDefault="00B554FE" w:rsidP="00416373">
            <w:pPr>
              <w:pStyle w:val="paragraph"/>
              <w:spacing w:before="0" w:beforeAutospacing="0" w:after="0" w:afterAutospacing="0" w:line="480" w:lineRule="auto"/>
              <w:jc w:val="both"/>
              <w:textAlignment w:val="baseline"/>
              <w:rPr>
                <w:noProof/>
              </w:rPr>
            </w:pPr>
            <w:r>
              <w:rPr>
                <w:noProof/>
              </w:rPr>
              <w:drawing>
                <wp:inline distT="0" distB="0" distL="0" distR="0" wp14:anchorId="3EC5CA2E" wp14:editId="44EA28F1">
                  <wp:extent cx="2880000" cy="1800000"/>
                  <wp:effectExtent l="0" t="0" r="15875" b="10160"/>
                  <wp:docPr id="57" name="תרשים 13">
                    <a:extLst xmlns:a="http://schemas.openxmlformats.org/drawingml/2006/main">
                      <a:ext uri="{FF2B5EF4-FFF2-40B4-BE49-F238E27FC236}">
                        <a16:creationId xmlns:a16="http://schemas.microsoft.com/office/drawing/2014/main" id="{BC30CE86-0B84-44DC-8009-331DA2B35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B554FE" w:rsidRPr="006027E5" w14:paraId="25921F7B" w14:textId="77777777" w:rsidTr="00416373">
        <w:trPr>
          <w:trHeight w:val="1783"/>
        </w:trPr>
        <w:tc>
          <w:tcPr>
            <w:tcW w:w="2500" w:type="pct"/>
          </w:tcPr>
          <w:p w14:paraId="17F64BBC" w14:textId="77777777" w:rsidR="00B554FE" w:rsidRDefault="00B554FE" w:rsidP="00416373">
            <w:pPr>
              <w:pStyle w:val="paragraph"/>
              <w:spacing w:before="0" w:beforeAutospacing="0" w:after="0" w:afterAutospacing="0" w:line="480" w:lineRule="auto"/>
              <w:jc w:val="both"/>
              <w:textAlignment w:val="baseline"/>
              <w:rPr>
                <w:noProof/>
              </w:rPr>
            </w:pPr>
            <w:r>
              <w:rPr>
                <w:noProof/>
              </w:rPr>
              <w:drawing>
                <wp:inline distT="0" distB="0" distL="0" distR="0" wp14:anchorId="66318468" wp14:editId="14B18857">
                  <wp:extent cx="2880000" cy="1800000"/>
                  <wp:effectExtent l="0" t="0" r="15875" b="10160"/>
                  <wp:docPr id="58" name="תרשים 15">
                    <a:extLst xmlns:a="http://schemas.openxmlformats.org/drawingml/2006/main">
                      <a:ext uri="{FF2B5EF4-FFF2-40B4-BE49-F238E27FC236}">
                        <a16:creationId xmlns:a16="http://schemas.microsoft.com/office/drawing/2014/main" id="{05C9FA74-F7F1-4500-A9DE-B57CB10CF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2500" w:type="pct"/>
          </w:tcPr>
          <w:p w14:paraId="5EC4237B" w14:textId="77777777" w:rsidR="00B554FE" w:rsidRDefault="00B554FE" w:rsidP="00416373">
            <w:pPr>
              <w:pStyle w:val="paragraph"/>
              <w:spacing w:before="0" w:beforeAutospacing="0" w:after="0" w:afterAutospacing="0" w:line="480" w:lineRule="auto"/>
              <w:jc w:val="both"/>
              <w:textAlignment w:val="baseline"/>
              <w:rPr>
                <w:noProof/>
              </w:rPr>
            </w:pPr>
            <w:r>
              <w:rPr>
                <w:noProof/>
              </w:rPr>
              <w:drawing>
                <wp:inline distT="0" distB="0" distL="0" distR="0" wp14:anchorId="79C81D10" wp14:editId="0D0FD624">
                  <wp:extent cx="2880000" cy="1800000"/>
                  <wp:effectExtent l="0" t="0" r="15875" b="10160"/>
                  <wp:docPr id="59" name="תרשים 6">
                    <a:extLst xmlns:a="http://schemas.openxmlformats.org/drawingml/2006/main">
                      <a:ext uri="{FF2B5EF4-FFF2-40B4-BE49-F238E27FC236}">
                        <a16:creationId xmlns:a16="http://schemas.microsoft.com/office/drawing/2014/main" id="{D1E786BA-50FF-4640-8DAF-7A7DC5A96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B554FE" w:rsidRPr="006027E5" w14:paraId="0C9A52D5" w14:textId="77777777" w:rsidTr="00416373">
        <w:trPr>
          <w:trHeight w:val="1783"/>
        </w:trPr>
        <w:tc>
          <w:tcPr>
            <w:tcW w:w="2500" w:type="pct"/>
          </w:tcPr>
          <w:p w14:paraId="71CE8227" w14:textId="77777777" w:rsidR="00B554FE" w:rsidRDefault="00B554FE" w:rsidP="00416373">
            <w:pPr>
              <w:pStyle w:val="paragraph"/>
              <w:spacing w:before="0" w:beforeAutospacing="0" w:after="0" w:afterAutospacing="0" w:line="480" w:lineRule="auto"/>
              <w:jc w:val="both"/>
              <w:textAlignment w:val="baseline"/>
              <w:rPr>
                <w:noProof/>
              </w:rPr>
            </w:pPr>
            <w:r>
              <w:rPr>
                <w:noProof/>
              </w:rPr>
              <w:drawing>
                <wp:inline distT="0" distB="0" distL="0" distR="0" wp14:anchorId="3396E923" wp14:editId="3F7AB72F">
                  <wp:extent cx="2880000" cy="1800000"/>
                  <wp:effectExtent l="0" t="0" r="15875" b="10160"/>
                  <wp:docPr id="60" name="תרשים 8">
                    <a:extLst xmlns:a="http://schemas.openxmlformats.org/drawingml/2006/main">
                      <a:ext uri="{FF2B5EF4-FFF2-40B4-BE49-F238E27FC236}">
                        <a16:creationId xmlns:a16="http://schemas.microsoft.com/office/drawing/2014/main" id="{B848C462-4D14-48E4-A207-D2499F5D37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2500" w:type="pct"/>
          </w:tcPr>
          <w:p w14:paraId="1A641585" w14:textId="77777777" w:rsidR="00B554FE" w:rsidRDefault="00B554FE" w:rsidP="00416373">
            <w:pPr>
              <w:pStyle w:val="paragraph"/>
              <w:spacing w:before="0" w:beforeAutospacing="0" w:after="0" w:afterAutospacing="0" w:line="480" w:lineRule="auto"/>
              <w:jc w:val="both"/>
              <w:textAlignment w:val="baseline"/>
              <w:rPr>
                <w:noProof/>
              </w:rPr>
            </w:pPr>
            <w:r>
              <w:rPr>
                <w:noProof/>
              </w:rPr>
              <w:drawing>
                <wp:inline distT="0" distB="0" distL="0" distR="0" wp14:anchorId="61D26D40" wp14:editId="60B60EA8">
                  <wp:extent cx="2880000" cy="1800000"/>
                  <wp:effectExtent l="0" t="0" r="15875" b="10160"/>
                  <wp:docPr id="61" name="תרשים 11">
                    <a:extLst xmlns:a="http://schemas.openxmlformats.org/drawingml/2006/main">
                      <a:ext uri="{FF2B5EF4-FFF2-40B4-BE49-F238E27FC236}">
                        <a16:creationId xmlns:a16="http://schemas.microsoft.com/office/drawing/2014/main" id="{CE0484A8-EB4B-4F3B-A84B-EE0D46BA31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B554FE" w:rsidRPr="006027E5" w14:paraId="6C7B2CF4" w14:textId="77777777" w:rsidTr="00416373">
        <w:trPr>
          <w:trHeight w:val="1783"/>
        </w:trPr>
        <w:tc>
          <w:tcPr>
            <w:tcW w:w="2500" w:type="pct"/>
          </w:tcPr>
          <w:p w14:paraId="17685BBF" w14:textId="77777777" w:rsidR="00B554FE" w:rsidRDefault="00B554FE" w:rsidP="00416373">
            <w:pPr>
              <w:pStyle w:val="paragraph"/>
              <w:spacing w:before="0" w:beforeAutospacing="0" w:after="0" w:afterAutospacing="0" w:line="480" w:lineRule="auto"/>
              <w:jc w:val="both"/>
              <w:textAlignment w:val="baseline"/>
              <w:rPr>
                <w:noProof/>
              </w:rPr>
            </w:pPr>
            <w:r>
              <w:rPr>
                <w:noProof/>
              </w:rPr>
              <w:drawing>
                <wp:inline distT="0" distB="0" distL="0" distR="0" wp14:anchorId="435D3E23" wp14:editId="6B25AF43">
                  <wp:extent cx="2880000" cy="1800000"/>
                  <wp:effectExtent l="0" t="0" r="15875" b="10160"/>
                  <wp:docPr id="62" name="תרשים 12">
                    <a:extLst xmlns:a="http://schemas.openxmlformats.org/drawingml/2006/main">
                      <a:ext uri="{FF2B5EF4-FFF2-40B4-BE49-F238E27FC236}">
                        <a16:creationId xmlns:a16="http://schemas.microsoft.com/office/drawing/2014/main" id="{FABABC55-A97D-4DA9-9F1B-AAD5521CB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2500" w:type="pct"/>
          </w:tcPr>
          <w:p w14:paraId="199461DD" w14:textId="77777777" w:rsidR="00B554FE" w:rsidRDefault="00B554FE" w:rsidP="00416373">
            <w:pPr>
              <w:pStyle w:val="paragraph"/>
              <w:spacing w:before="0" w:beforeAutospacing="0" w:after="0" w:afterAutospacing="0" w:line="480" w:lineRule="auto"/>
              <w:jc w:val="both"/>
              <w:textAlignment w:val="baseline"/>
              <w:rPr>
                <w:noProof/>
              </w:rPr>
            </w:pPr>
            <w:r>
              <w:rPr>
                <w:noProof/>
              </w:rPr>
              <w:drawing>
                <wp:inline distT="0" distB="0" distL="0" distR="0" wp14:anchorId="1FC1826C" wp14:editId="5DB51E0F">
                  <wp:extent cx="2880000" cy="1800000"/>
                  <wp:effectExtent l="0" t="0" r="15875" b="10160"/>
                  <wp:docPr id="69" name="תרשים 9">
                    <a:extLst xmlns:a="http://schemas.openxmlformats.org/drawingml/2006/main">
                      <a:ext uri="{FF2B5EF4-FFF2-40B4-BE49-F238E27FC236}">
                        <a16:creationId xmlns:a16="http://schemas.microsoft.com/office/drawing/2014/main" id="{A15A1307-679D-4782-8BCE-2D792845D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B554FE" w:rsidRPr="006027E5" w14:paraId="17FAFEFF" w14:textId="77777777" w:rsidTr="00416373">
        <w:trPr>
          <w:trHeight w:val="1783"/>
        </w:trPr>
        <w:tc>
          <w:tcPr>
            <w:tcW w:w="2500" w:type="pct"/>
          </w:tcPr>
          <w:p w14:paraId="4C788C65" w14:textId="77777777" w:rsidR="00B554FE" w:rsidRDefault="00B554FE" w:rsidP="00416373">
            <w:pPr>
              <w:pStyle w:val="paragraph"/>
              <w:spacing w:before="0" w:beforeAutospacing="0" w:after="0" w:afterAutospacing="0" w:line="480" w:lineRule="auto"/>
              <w:jc w:val="both"/>
              <w:textAlignment w:val="baseline"/>
              <w:rPr>
                <w:noProof/>
              </w:rPr>
            </w:pPr>
            <w:r>
              <w:rPr>
                <w:noProof/>
              </w:rPr>
              <w:drawing>
                <wp:inline distT="0" distB="0" distL="0" distR="0" wp14:anchorId="084F0177" wp14:editId="59F7E7CE">
                  <wp:extent cx="2880000" cy="1800000"/>
                  <wp:effectExtent l="0" t="0" r="15875" b="10160"/>
                  <wp:docPr id="71" name="תרשים 10">
                    <a:extLst xmlns:a="http://schemas.openxmlformats.org/drawingml/2006/main">
                      <a:ext uri="{FF2B5EF4-FFF2-40B4-BE49-F238E27FC236}">
                        <a16:creationId xmlns:a16="http://schemas.microsoft.com/office/drawing/2014/main" id="{D9CB919D-1B17-4524-A4D3-946A8EE1CA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2500" w:type="pct"/>
          </w:tcPr>
          <w:p w14:paraId="47AECCFE" w14:textId="77777777" w:rsidR="00B554FE" w:rsidRDefault="00B554FE" w:rsidP="00416373">
            <w:pPr>
              <w:pStyle w:val="paragraph"/>
              <w:spacing w:before="0" w:beforeAutospacing="0" w:after="0" w:afterAutospacing="0" w:line="480" w:lineRule="auto"/>
              <w:jc w:val="both"/>
              <w:textAlignment w:val="baseline"/>
              <w:rPr>
                <w:noProof/>
              </w:rPr>
            </w:pPr>
            <w:r>
              <w:rPr>
                <w:noProof/>
              </w:rPr>
              <w:drawing>
                <wp:inline distT="0" distB="0" distL="0" distR="0" wp14:anchorId="16849ECF" wp14:editId="78CD1DEC">
                  <wp:extent cx="2880000" cy="1800000"/>
                  <wp:effectExtent l="0" t="0" r="15875" b="10160"/>
                  <wp:docPr id="72" name="תרשים 30">
                    <a:extLst xmlns:a="http://schemas.openxmlformats.org/drawingml/2006/main">
                      <a:ext uri="{FF2B5EF4-FFF2-40B4-BE49-F238E27FC236}">
                        <a16:creationId xmlns:a16="http://schemas.microsoft.com/office/drawing/2014/main" id="{D9D5CAAA-BF08-4BCA-B184-9862F671F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B554FE" w:rsidRPr="006027E5" w14:paraId="31F17708" w14:textId="77777777" w:rsidTr="00416373">
        <w:trPr>
          <w:trHeight w:val="1783"/>
        </w:trPr>
        <w:tc>
          <w:tcPr>
            <w:tcW w:w="5000" w:type="pct"/>
            <w:gridSpan w:val="2"/>
          </w:tcPr>
          <w:p w14:paraId="1315447F" w14:textId="77777777" w:rsidR="00B554FE" w:rsidRDefault="00B554FE" w:rsidP="00416373">
            <w:pPr>
              <w:pStyle w:val="paragraph"/>
              <w:spacing w:before="0" w:beforeAutospacing="0" w:after="0" w:afterAutospacing="0" w:line="480" w:lineRule="auto"/>
              <w:jc w:val="center"/>
              <w:textAlignment w:val="baseline"/>
              <w:rPr>
                <w:noProof/>
              </w:rPr>
            </w:pPr>
            <w:r>
              <w:rPr>
                <w:noProof/>
              </w:rPr>
              <w:drawing>
                <wp:inline distT="0" distB="0" distL="0" distR="0" wp14:anchorId="7001E5CF" wp14:editId="13DA38CD">
                  <wp:extent cx="2880000" cy="1800000"/>
                  <wp:effectExtent l="0" t="0" r="15875" b="10160"/>
                  <wp:docPr id="73" name="תרשים 7">
                    <a:extLst xmlns:a="http://schemas.openxmlformats.org/drawingml/2006/main">
                      <a:ext uri="{FF2B5EF4-FFF2-40B4-BE49-F238E27FC236}">
                        <a16:creationId xmlns:a16="http://schemas.microsoft.com/office/drawing/2014/main" id="{BEDB354E-279E-4D36-BFDC-BEB581E61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14:paraId="17703EE8" w14:textId="623C9A60" w:rsidR="00B554FE" w:rsidRDefault="0029462D" w:rsidP="005276BC">
      <w:pPr>
        <w:pStyle w:val="paragraph"/>
        <w:spacing w:before="0" w:beforeAutospacing="0" w:after="0" w:afterAutospacing="0" w:line="480" w:lineRule="auto"/>
        <w:jc w:val="center"/>
        <w:textAlignment w:val="baseline"/>
        <w:rPr>
          <w:rStyle w:val="normaltextrun"/>
          <w:b/>
          <w:bCs/>
        </w:rPr>
      </w:pPr>
      <w:r>
        <w:rPr>
          <w:rStyle w:val="normaltextrun"/>
          <w:b/>
          <w:bCs/>
        </w:rPr>
        <w:t xml:space="preserve">Source: </w:t>
      </w:r>
      <w:r w:rsidR="005276BC">
        <w:rPr>
          <w:rStyle w:val="normaltextrun"/>
          <w:b/>
          <w:bCs/>
        </w:rPr>
        <w:t>See Appendix 1</w:t>
      </w:r>
    </w:p>
    <w:p w14:paraId="482A0B52" w14:textId="77777777" w:rsidR="00B554FE" w:rsidRDefault="00B554FE" w:rsidP="00B554FE">
      <w:pPr>
        <w:pStyle w:val="paragraph"/>
        <w:spacing w:before="0" w:beforeAutospacing="0" w:after="0" w:afterAutospacing="0" w:line="480" w:lineRule="auto"/>
        <w:ind w:left="1065"/>
        <w:jc w:val="both"/>
        <w:textAlignment w:val="baseline"/>
        <w:rPr>
          <w:b/>
          <w:bCs/>
        </w:rPr>
      </w:pPr>
    </w:p>
    <w:p w14:paraId="61AA6192" w14:textId="77777777" w:rsidR="000D14AC" w:rsidRDefault="000D14AC" w:rsidP="00B554FE">
      <w:pPr>
        <w:pStyle w:val="paragraph"/>
        <w:spacing w:before="0" w:beforeAutospacing="0" w:after="0" w:afterAutospacing="0" w:line="480" w:lineRule="auto"/>
        <w:ind w:left="1065"/>
        <w:jc w:val="both"/>
        <w:textAlignment w:val="baseline"/>
        <w:rPr>
          <w:b/>
          <w:bCs/>
          <w:rtl/>
        </w:rPr>
      </w:pPr>
    </w:p>
    <w:p w14:paraId="100115BE" w14:textId="77777777" w:rsidR="00B554FE" w:rsidRDefault="00B554FE" w:rsidP="00824465">
      <w:pPr>
        <w:pStyle w:val="paragraph"/>
        <w:spacing w:before="0" w:beforeAutospacing="0" w:after="0" w:afterAutospacing="0" w:line="480" w:lineRule="auto"/>
        <w:ind w:left="720"/>
        <w:jc w:val="both"/>
        <w:textAlignment w:val="baseline"/>
        <w:rPr>
          <w:b/>
          <w:bCs/>
        </w:rPr>
      </w:pPr>
      <w:r>
        <w:rPr>
          <w:b/>
          <w:bCs/>
        </w:rPr>
        <w:t>Methodology</w:t>
      </w:r>
    </w:p>
    <w:p w14:paraId="14ABE268" w14:textId="77777777" w:rsidR="00B554FE" w:rsidRPr="009D61A9" w:rsidRDefault="00B554FE" w:rsidP="00824465">
      <w:pPr>
        <w:pStyle w:val="paragraph"/>
        <w:spacing w:before="0" w:beforeAutospacing="0" w:after="0" w:afterAutospacing="0" w:line="480" w:lineRule="auto"/>
        <w:ind w:left="720"/>
        <w:jc w:val="both"/>
      </w:pPr>
      <w:r w:rsidRPr="009D61A9">
        <w:t xml:space="preserve">To construct the 3 regional indices, we selected 13 parameters </w:t>
      </w:r>
      <w:r>
        <w:t>for which</w:t>
      </w:r>
      <w:r w:rsidRPr="009D61A9">
        <w:t xml:space="preserve"> we found data in the segmentation of the West Bank, Gaza Strip and the entire region</w:t>
      </w:r>
      <w:r>
        <w:t xml:space="preserve"> (WBG)</w:t>
      </w:r>
      <w:r w:rsidRPr="009D61A9">
        <w:t xml:space="preserve">. We divided </w:t>
      </w:r>
      <w:r>
        <w:t>this</w:t>
      </w:r>
      <w:r w:rsidRPr="009D61A9">
        <w:t xml:space="preserve"> into the relevant dimensions, performed normalization </w:t>
      </w:r>
      <w:r>
        <w:t>by applying</w:t>
      </w:r>
      <w:r w:rsidRPr="009D61A9">
        <w:t xml:space="preserve"> the min – max rescaling approach, </w:t>
      </w:r>
      <w:r>
        <w:t xml:space="preserve">and used </w:t>
      </w:r>
      <w:r w:rsidRPr="009D61A9">
        <w:t>the equal weighting system approach.</w:t>
      </w:r>
    </w:p>
    <w:p w14:paraId="21197518" w14:textId="77777777" w:rsidR="00B554FE" w:rsidRDefault="00B554FE" w:rsidP="00B554FE">
      <w:pPr>
        <w:pStyle w:val="ListParagraph"/>
        <w:bidi w:val="0"/>
        <w:spacing w:line="480" w:lineRule="auto"/>
        <w:ind w:left="360"/>
        <w:jc w:val="center"/>
        <w:rPr>
          <w:rFonts w:ascii="Times New Roman" w:hAnsi="Times New Roman" w:cs="David"/>
          <w:b/>
          <w:bCs/>
          <w:sz w:val="24"/>
          <w:szCs w:val="24"/>
        </w:rPr>
      </w:pPr>
    </w:p>
    <w:p w14:paraId="68ADCDDE" w14:textId="3E0B278A" w:rsidR="00B554FE" w:rsidRDefault="00B554FE" w:rsidP="00B554FE">
      <w:pPr>
        <w:pStyle w:val="ListParagraph"/>
        <w:bidi w:val="0"/>
        <w:spacing w:line="480" w:lineRule="auto"/>
        <w:ind w:left="360"/>
        <w:jc w:val="center"/>
        <w:rPr>
          <w:rFonts w:ascii="Times New Roman" w:hAnsi="Times New Roman" w:cs="David"/>
          <w:b/>
          <w:bCs/>
          <w:sz w:val="24"/>
          <w:szCs w:val="24"/>
        </w:rPr>
      </w:pPr>
      <w:r>
        <w:rPr>
          <w:rFonts w:ascii="Times New Roman" w:hAnsi="Times New Roman" w:cs="David"/>
          <w:b/>
          <w:bCs/>
          <w:sz w:val="24"/>
          <w:szCs w:val="24"/>
        </w:rPr>
        <w:t xml:space="preserve">Table </w:t>
      </w:r>
      <w:r w:rsidR="005276BC">
        <w:rPr>
          <w:rFonts w:ascii="Times New Roman" w:hAnsi="Times New Roman" w:cs="David"/>
          <w:b/>
          <w:bCs/>
          <w:sz w:val="24"/>
          <w:szCs w:val="24"/>
        </w:rPr>
        <w:t>6</w:t>
      </w:r>
      <w:r>
        <w:rPr>
          <w:rFonts w:ascii="Times New Roman" w:hAnsi="Times New Roman" w:cs="David"/>
          <w:b/>
          <w:bCs/>
          <w:sz w:val="24"/>
          <w:szCs w:val="24"/>
        </w:rPr>
        <w:t xml:space="preserve"> -</w:t>
      </w:r>
      <w:r w:rsidRPr="00B37731">
        <w:t xml:space="preserve"> </w:t>
      </w:r>
      <w:r w:rsidRPr="00B37731">
        <w:rPr>
          <w:rFonts w:ascii="Times New Roman" w:hAnsi="Times New Roman" w:cs="David"/>
          <w:b/>
          <w:bCs/>
          <w:sz w:val="24"/>
          <w:szCs w:val="24"/>
        </w:rPr>
        <w:t>Dimensions, indicators and weights</w:t>
      </w:r>
      <w:r>
        <w:rPr>
          <w:rFonts w:ascii="Times New Roman" w:hAnsi="Times New Roman" w:cs="David" w:hint="cs"/>
          <w:b/>
          <w:bCs/>
          <w:sz w:val="24"/>
          <w:szCs w:val="24"/>
          <w:rtl/>
        </w:rPr>
        <w:t xml:space="preserve"> </w:t>
      </w:r>
      <w:r>
        <w:rPr>
          <w:rFonts w:ascii="Times New Roman" w:hAnsi="Times New Roman" w:cs="David"/>
          <w:b/>
          <w:bCs/>
          <w:sz w:val="24"/>
          <w:szCs w:val="24"/>
        </w:rPr>
        <w:t>2008-2019</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4807"/>
        <w:gridCol w:w="1000"/>
        <w:gridCol w:w="1106"/>
      </w:tblGrid>
      <w:tr w:rsidR="00B554FE" w:rsidRPr="00072B8F" w14:paraId="7B14D23B" w14:textId="77777777" w:rsidTr="00416373">
        <w:trPr>
          <w:trHeight w:val="300"/>
        </w:trPr>
        <w:tc>
          <w:tcPr>
            <w:tcW w:w="2117" w:type="dxa"/>
            <w:shd w:val="clear" w:color="auto" w:fill="auto"/>
            <w:noWrap/>
            <w:vAlign w:val="center"/>
            <w:hideMark/>
          </w:tcPr>
          <w:p w14:paraId="6EBFA7AB" w14:textId="77777777" w:rsidR="00B554FE" w:rsidRPr="00072B8F" w:rsidRDefault="00B554FE" w:rsidP="00416373">
            <w:pPr>
              <w:bidi w:val="0"/>
              <w:rPr>
                <w:rFonts w:cstheme="minorHAnsi"/>
                <w:b/>
                <w:bCs/>
                <w:color w:val="000000"/>
                <w:sz w:val="20"/>
                <w:szCs w:val="20"/>
              </w:rPr>
            </w:pPr>
            <w:r w:rsidRPr="00072B8F">
              <w:rPr>
                <w:rFonts w:cstheme="minorHAnsi"/>
                <w:b/>
                <w:bCs/>
                <w:color w:val="000000"/>
                <w:sz w:val="20"/>
                <w:szCs w:val="20"/>
              </w:rPr>
              <w:t>Dimension</w:t>
            </w:r>
          </w:p>
        </w:tc>
        <w:tc>
          <w:tcPr>
            <w:tcW w:w="4807" w:type="dxa"/>
            <w:shd w:val="clear" w:color="auto" w:fill="auto"/>
            <w:noWrap/>
            <w:vAlign w:val="center"/>
            <w:hideMark/>
          </w:tcPr>
          <w:p w14:paraId="49904C26" w14:textId="77777777" w:rsidR="00B554FE" w:rsidRPr="00072B8F" w:rsidRDefault="00B554FE" w:rsidP="00416373">
            <w:pPr>
              <w:bidi w:val="0"/>
              <w:rPr>
                <w:rFonts w:cstheme="minorHAnsi"/>
                <w:b/>
                <w:bCs/>
                <w:color w:val="000000"/>
                <w:sz w:val="20"/>
                <w:szCs w:val="20"/>
              </w:rPr>
            </w:pPr>
            <w:r w:rsidRPr="00072B8F">
              <w:rPr>
                <w:rFonts w:cstheme="minorHAnsi"/>
                <w:b/>
                <w:bCs/>
                <w:color w:val="000000"/>
                <w:sz w:val="20"/>
                <w:szCs w:val="20"/>
              </w:rPr>
              <w:t>Indicator</w:t>
            </w:r>
          </w:p>
        </w:tc>
        <w:tc>
          <w:tcPr>
            <w:tcW w:w="1000" w:type="dxa"/>
            <w:shd w:val="clear" w:color="auto" w:fill="auto"/>
            <w:noWrap/>
            <w:vAlign w:val="center"/>
            <w:hideMark/>
          </w:tcPr>
          <w:p w14:paraId="3FC61F8D" w14:textId="77777777" w:rsidR="00B554FE" w:rsidRPr="00072B8F" w:rsidRDefault="00B554FE" w:rsidP="00416373">
            <w:pPr>
              <w:bidi w:val="0"/>
              <w:rPr>
                <w:rFonts w:cstheme="minorHAnsi"/>
                <w:b/>
                <w:bCs/>
                <w:color w:val="000000"/>
                <w:sz w:val="20"/>
                <w:szCs w:val="20"/>
              </w:rPr>
            </w:pPr>
            <w:r w:rsidRPr="00072B8F">
              <w:rPr>
                <w:rFonts w:cstheme="minorHAnsi"/>
                <w:b/>
                <w:bCs/>
                <w:color w:val="000000"/>
                <w:sz w:val="20"/>
                <w:szCs w:val="20"/>
              </w:rPr>
              <w:t>Indicator weight</w:t>
            </w:r>
          </w:p>
        </w:tc>
        <w:tc>
          <w:tcPr>
            <w:tcW w:w="696" w:type="dxa"/>
            <w:shd w:val="clear" w:color="auto" w:fill="auto"/>
            <w:noWrap/>
            <w:vAlign w:val="center"/>
            <w:hideMark/>
          </w:tcPr>
          <w:p w14:paraId="2EB54495" w14:textId="77777777" w:rsidR="00B554FE" w:rsidRPr="00072B8F" w:rsidRDefault="00B554FE" w:rsidP="00416373">
            <w:pPr>
              <w:bidi w:val="0"/>
              <w:rPr>
                <w:rFonts w:cstheme="minorHAnsi"/>
                <w:b/>
                <w:bCs/>
                <w:color w:val="000000"/>
                <w:sz w:val="20"/>
                <w:szCs w:val="20"/>
              </w:rPr>
            </w:pPr>
            <w:r w:rsidRPr="00072B8F">
              <w:rPr>
                <w:rFonts w:cstheme="minorHAnsi"/>
                <w:b/>
                <w:bCs/>
                <w:color w:val="000000"/>
                <w:sz w:val="20"/>
                <w:szCs w:val="20"/>
              </w:rPr>
              <w:t>Dimension weight</w:t>
            </w:r>
          </w:p>
        </w:tc>
      </w:tr>
      <w:tr w:rsidR="00B554FE" w:rsidRPr="00072B8F" w14:paraId="5050653F" w14:textId="77777777" w:rsidTr="00416373">
        <w:trPr>
          <w:trHeight w:val="300"/>
        </w:trPr>
        <w:tc>
          <w:tcPr>
            <w:tcW w:w="2117" w:type="dxa"/>
            <w:vMerge w:val="restart"/>
            <w:shd w:val="clear" w:color="auto" w:fill="auto"/>
            <w:noWrap/>
            <w:vAlign w:val="center"/>
            <w:hideMark/>
          </w:tcPr>
          <w:p w14:paraId="68D213EC"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Trade and employment</w:t>
            </w:r>
          </w:p>
        </w:tc>
        <w:tc>
          <w:tcPr>
            <w:tcW w:w="4807" w:type="dxa"/>
            <w:shd w:val="clear" w:color="auto" w:fill="auto"/>
            <w:noWrap/>
            <w:vAlign w:val="center"/>
            <w:hideMark/>
          </w:tcPr>
          <w:p w14:paraId="5E53338D" w14:textId="77777777" w:rsidR="00B554FE" w:rsidRPr="00072B8F" w:rsidRDefault="00B554FE" w:rsidP="00416373">
            <w:pPr>
              <w:bidi w:val="0"/>
              <w:rPr>
                <w:rFonts w:cstheme="minorHAnsi"/>
                <w:color w:val="000000"/>
                <w:sz w:val="20"/>
                <w:szCs w:val="20"/>
              </w:rPr>
            </w:pPr>
            <w:r w:rsidRPr="00072B8F">
              <w:rPr>
                <w:rFonts w:cstheme="minorHAnsi"/>
                <w:color w:val="000000"/>
                <w:sz w:val="20"/>
                <w:szCs w:val="20"/>
              </w:rPr>
              <w:t>Palestinian exports of goods and services to Israel out of total Palestinian exports</w:t>
            </w:r>
          </w:p>
        </w:tc>
        <w:tc>
          <w:tcPr>
            <w:tcW w:w="1000" w:type="dxa"/>
            <w:shd w:val="clear" w:color="auto" w:fill="auto"/>
            <w:noWrap/>
            <w:vAlign w:val="center"/>
            <w:hideMark/>
          </w:tcPr>
          <w:p w14:paraId="38ED9ADD"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25%</w:t>
            </w:r>
          </w:p>
        </w:tc>
        <w:tc>
          <w:tcPr>
            <w:tcW w:w="696" w:type="dxa"/>
            <w:vMerge w:val="restart"/>
            <w:shd w:val="clear" w:color="auto" w:fill="auto"/>
            <w:noWrap/>
            <w:vAlign w:val="center"/>
            <w:hideMark/>
          </w:tcPr>
          <w:p w14:paraId="0E5AE6AE"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31%</w:t>
            </w:r>
          </w:p>
        </w:tc>
      </w:tr>
      <w:tr w:rsidR="00B554FE" w:rsidRPr="00072B8F" w14:paraId="75D35E43" w14:textId="77777777" w:rsidTr="00416373">
        <w:trPr>
          <w:trHeight w:val="300"/>
        </w:trPr>
        <w:tc>
          <w:tcPr>
            <w:tcW w:w="2117" w:type="dxa"/>
            <w:vMerge/>
            <w:vAlign w:val="center"/>
            <w:hideMark/>
          </w:tcPr>
          <w:p w14:paraId="3748F907" w14:textId="77777777" w:rsidR="00B554FE" w:rsidRPr="00072B8F" w:rsidRDefault="00B554FE" w:rsidP="00416373">
            <w:pPr>
              <w:bidi w:val="0"/>
              <w:rPr>
                <w:rFonts w:cstheme="minorHAnsi"/>
                <w:color w:val="000000"/>
                <w:sz w:val="20"/>
                <w:szCs w:val="20"/>
              </w:rPr>
            </w:pPr>
          </w:p>
        </w:tc>
        <w:tc>
          <w:tcPr>
            <w:tcW w:w="4807" w:type="dxa"/>
            <w:shd w:val="clear" w:color="auto" w:fill="auto"/>
            <w:noWrap/>
            <w:vAlign w:val="center"/>
            <w:hideMark/>
          </w:tcPr>
          <w:p w14:paraId="058664E7" w14:textId="77777777" w:rsidR="00B554FE" w:rsidRPr="00072B8F" w:rsidRDefault="00B554FE" w:rsidP="00416373">
            <w:pPr>
              <w:bidi w:val="0"/>
              <w:rPr>
                <w:rFonts w:cstheme="minorHAnsi"/>
                <w:color w:val="000000"/>
                <w:sz w:val="20"/>
                <w:szCs w:val="20"/>
              </w:rPr>
            </w:pPr>
            <w:r w:rsidRPr="00072B8F">
              <w:rPr>
                <w:rFonts w:cstheme="minorHAnsi"/>
                <w:color w:val="000000"/>
                <w:sz w:val="20"/>
                <w:szCs w:val="20"/>
              </w:rPr>
              <w:t>Palestinian imports of goods and services from Israel out of total Palestinian imports</w:t>
            </w:r>
          </w:p>
        </w:tc>
        <w:tc>
          <w:tcPr>
            <w:tcW w:w="1000" w:type="dxa"/>
            <w:shd w:val="clear" w:color="auto" w:fill="auto"/>
            <w:noWrap/>
            <w:vAlign w:val="center"/>
            <w:hideMark/>
          </w:tcPr>
          <w:p w14:paraId="0FD99FDA"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25%</w:t>
            </w:r>
          </w:p>
        </w:tc>
        <w:tc>
          <w:tcPr>
            <w:tcW w:w="696" w:type="dxa"/>
            <w:vMerge/>
            <w:vAlign w:val="center"/>
            <w:hideMark/>
          </w:tcPr>
          <w:p w14:paraId="2AD62EEF" w14:textId="77777777" w:rsidR="00B554FE" w:rsidRPr="00072B8F" w:rsidRDefault="00B554FE" w:rsidP="00416373">
            <w:pPr>
              <w:bidi w:val="0"/>
              <w:rPr>
                <w:rFonts w:cstheme="minorHAnsi"/>
                <w:color w:val="000000"/>
                <w:sz w:val="20"/>
                <w:szCs w:val="20"/>
              </w:rPr>
            </w:pPr>
          </w:p>
        </w:tc>
      </w:tr>
      <w:tr w:rsidR="00B554FE" w:rsidRPr="00072B8F" w14:paraId="04658DCB" w14:textId="77777777" w:rsidTr="00416373">
        <w:trPr>
          <w:trHeight w:val="300"/>
        </w:trPr>
        <w:tc>
          <w:tcPr>
            <w:tcW w:w="2117" w:type="dxa"/>
            <w:vMerge/>
            <w:vAlign w:val="center"/>
            <w:hideMark/>
          </w:tcPr>
          <w:p w14:paraId="48D42F91" w14:textId="77777777" w:rsidR="00B554FE" w:rsidRPr="00072B8F" w:rsidRDefault="00B554FE" w:rsidP="00416373">
            <w:pPr>
              <w:bidi w:val="0"/>
              <w:rPr>
                <w:rFonts w:cstheme="minorHAnsi"/>
                <w:color w:val="000000"/>
                <w:sz w:val="20"/>
                <w:szCs w:val="20"/>
              </w:rPr>
            </w:pPr>
          </w:p>
        </w:tc>
        <w:tc>
          <w:tcPr>
            <w:tcW w:w="4807" w:type="dxa"/>
            <w:shd w:val="clear" w:color="auto" w:fill="auto"/>
            <w:noWrap/>
            <w:vAlign w:val="center"/>
            <w:hideMark/>
          </w:tcPr>
          <w:p w14:paraId="0F31B801" w14:textId="77777777" w:rsidR="00B554FE" w:rsidRPr="00072B8F" w:rsidRDefault="00B554FE" w:rsidP="00416373">
            <w:pPr>
              <w:bidi w:val="0"/>
              <w:rPr>
                <w:rFonts w:cstheme="minorHAnsi"/>
                <w:color w:val="000000"/>
                <w:sz w:val="20"/>
                <w:szCs w:val="20"/>
              </w:rPr>
            </w:pPr>
            <w:r w:rsidRPr="00072B8F">
              <w:rPr>
                <w:rFonts w:cstheme="minorHAnsi"/>
                <w:color w:val="000000"/>
                <w:sz w:val="20"/>
                <w:szCs w:val="20"/>
              </w:rPr>
              <w:t>Palestinians employed in Israel out of total Palestinian employed Individuals</w:t>
            </w:r>
          </w:p>
        </w:tc>
        <w:tc>
          <w:tcPr>
            <w:tcW w:w="1000" w:type="dxa"/>
            <w:shd w:val="clear" w:color="auto" w:fill="auto"/>
            <w:noWrap/>
            <w:vAlign w:val="center"/>
            <w:hideMark/>
          </w:tcPr>
          <w:p w14:paraId="016CA82D"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25%</w:t>
            </w:r>
          </w:p>
        </w:tc>
        <w:tc>
          <w:tcPr>
            <w:tcW w:w="696" w:type="dxa"/>
            <w:vMerge/>
            <w:vAlign w:val="center"/>
            <w:hideMark/>
          </w:tcPr>
          <w:p w14:paraId="407C8776" w14:textId="77777777" w:rsidR="00B554FE" w:rsidRPr="00072B8F" w:rsidRDefault="00B554FE" w:rsidP="00416373">
            <w:pPr>
              <w:bidi w:val="0"/>
              <w:rPr>
                <w:rFonts w:cstheme="minorHAnsi"/>
                <w:color w:val="000000"/>
                <w:sz w:val="20"/>
                <w:szCs w:val="20"/>
              </w:rPr>
            </w:pPr>
          </w:p>
        </w:tc>
      </w:tr>
      <w:tr w:rsidR="00B554FE" w:rsidRPr="00072B8F" w14:paraId="007C712A" w14:textId="77777777" w:rsidTr="00416373">
        <w:trPr>
          <w:trHeight w:val="315"/>
        </w:trPr>
        <w:tc>
          <w:tcPr>
            <w:tcW w:w="2117" w:type="dxa"/>
            <w:vMerge/>
            <w:vAlign w:val="center"/>
            <w:hideMark/>
          </w:tcPr>
          <w:p w14:paraId="46FD4E1B" w14:textId="77777777" w:rsidR="00B554FE" w:rsidRPr="00072B8F" w:rsidRDefault="00B554FE" w:rsidP="00416373">
            <w:pPr>
              <w:bidi w:val="0"/>
              <w:rPr>
                <w:rFonts w:cstheme="minorHAnsi"/>
                <w:color w:val="000000"/>
                <w:sz w:val="20"/>
                <w:szCs w:val="20"/>
              </w:rPr>
            </w:pPr>
          </w:p>
        </w:tc>
        <w:tc>
          <w:tcPr>
            <w:tcW w:w="4807" w:type="dxa"/>
            <w:shd w:val="clear" w:color="auto" w:fill="auto"/>
            <w:noWrap/>
            <w:vAlign w:val="center"/>
            <w:hideMark/>
          </w:tcPr>
          <w:p w14:paraId="7EAA45D6" w14:textId="77777777" w:rsidR="00B554FE" w:rsidRPr="00072B8F" w:rsidRDefault="00B554FE" w:rsidP="00416373">
            <w:pPr>
              <w:bidi w:val="0"/>
              <w:rPr>
                <w:rFonts w:cstheme="minorHAnsi"/>
                <w:color w:val="000000"/>
                <w:sz w:val="20"/>
                <w:szCs w:val="20"/>
              </w:rPr>
            </w:pPr>
            <w:r w:rsidRPr="00072B8F">
              <w:rPr>
                <w:rFonts w:cstheme="minorHAnsi"/>
                <w:color w:val="000000"/>
                <w:sz w:val="20"/>
                <w:szCs w:val="20"/>
              </w:rPr>
              <w:t>Remittances of Palestinians workers in Israel out of WBG GNI</w:t>
            </w:r>
          </w:p>
        </w:tc>
        <w:tc>
          <w:tcPr>
            <w:tcW w:w="1000" w:type="dxa"/>
            <w:shd w:val="clear" w:color="auto" w:fill="auto"/>
            <w:noWrap/>
            <w:vAlign w:val="center"/>
            <w:hideMark/>
          </w:tcPr>
          <w:p w14:paraId="65460F63"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25%</w:t>
            </w:r>
          </w:p>
        </w:tc>
        <w:tc>
          <w:tcPr>
            <w:tcW w:w="696" w:type="dxa"/>
            <w:vMerge/>
            <w:vAlign w:val="center"/>
            <w:hideMark/>
          </w:tcPr>
          <w:p w14:paraId="4BC9317D" w14:textId="77777777" w:rsidR="00B554FE" w:rsidRPr="00072B8F" w:rsidRDefault="00B554FE" w:rsidP="00416373">
            <w:pPr>
              <w:bidi w:val="0"/>
              <w:rPr>
                <w:rFonts w:cstheme="minorHAnsi"/>
                <w:color w:val="000000"/>
                <w:sz w:val="20"/>
                <w:szCs w:val="20"/>
              </w:rPr>
            </w:pPr>
          </w:p>
        </w:tc>
      </w:tr>
      <w:tr w:rsidR="00B554FE" w:rsidRPr="00072B8F" w14:paraId="5FBD35E8" w14:textId="77777777" w:rsidTr="00416373">
        <w:trPr>
          <w:trHeight w:val="300"/>
        </w:trPr>
        <w:tc>
          <w:tcPr>
            <w:tcW w:w="2117" w:type="dxa"/>
            <w:vMerge w:val="restart"/>
            <w:shd w:val="clear" w:color="auto" w:fill="auto"/>
            <w:noWrap/>
            <w:vAlign w:val="center"/>
            <w:hideMark/>
          </w:tcPr>
          <w:p w14:paraId="410E0930"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Movement of people and services</w:t>
            </w:r>
          </w:p>
        </w:tc>
        <w:tc>
          <w:tcPr>
            <w:tcW w:w="4807" w:type="dxa"/>
            <w:shd w:val="clear" w:color="auto" w:fill="auto"/>
            <w:noWrap/>
            <w:vAlign w:val="center"/>
            <w:hideMark/>
          </w:tcPr>
          <w:p w14:paraId="5283415E" w14:textId="77777777" w:rsidR="00B554FE" w:rsidRPr="00072B8F" w:rsidRDefault="00B554FE" w:rsidP="00416373">
            <w:pPr>
              <w:bidi w:val="0"/>
              <w:rPr>
                <w:rFonts w:cstheme="minorHAnsi"/>
                <w:color w:val="000000"/>
                <w:sz w:val="20"/>
                <w:szCs w:val="20"/>
              </w:rPr>
            </w:pPr>
            <w:r w:rsidRPr="00072B8F">
              <w:rPr>
                <w:rFonts w:cstheme="minorHAnsi"/>
                <w:color w:val="000000"/>
                <w:sz w:val="20"/>
                <w:szCs w:val="20"/>
              </w:rPr>
              <w:t>Percentage of Palestinians entered to Israel for medical treatment</w:t>
            </w:r>
          </w:p>
        </w:tc>
        <w:tc>
          <w:tcPr>
            <w:tcW w:w="1000" w:type="dxa"/>
            <w:shd w:val="clear" w:color="auto" w:fill="auto"/>
            <w:noWrap/>
            <w:vAlign w:val="center"/>
            <w:hideMark/>
          </w:tcPr>
          <w:p w14:paraId="106F8AAB"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50%</w:t>
            </w:r>
          </w:p>
        </w:tc>
        <w:tc>
          <w:tcPr>
            <w:tcW w:w="696" w:type="dxa"/>
            <w:vMerge w:val="restart"/>
            <w:shd w:val="clear" w:color="auto" w:fill="auto"/>
            <w:noWrap/>
            <w:vAlign w:val="center"/>
            <w:hideMark/>
          </w:tcPr>
          <w:p w14:paraId="22277B98"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15%</w:t>
            </w:r>
          </w:p>
        </w:tc>
      </w:tr>
      <w:tr w:rsidR="00B554FE" w:rsidRPr="00072B8F" w14:paraId="0C35C06B" w14:textId="77777777" w:rsidTr="00416373">
        <w:trPr>
          <w:trHeight w:val="315"/>
        </w:trPr>
        <w:tc>
          <w:tcPr>
            <w:tcW w:w="2117" w:type="dxa"/>
            <w:vMerge/>
            <w:vAlign w:val="center"/>
            <w:hideMark/>
          </w:tcPr>
          <w:p w14:paraId="78C9EE41" w14:textId="77777777" w:rsidR="00B554FE" w:rsidRPr="00072B8F" w:rsidRDefault="00B554FE" w:rsidP="00416373">
            <w:pPr>
              <w:bidi w:val="0"/>
              <w:rPr>
                <w:rFonts w:cstheme="minorHAnsi"/>
                <w:color w:val="000000"/>
                <w:sz w:val="20"/>
                <w:szCs w:val="20"/>
              </w:rPr>
            </w:pPr>
          </w:p>
        </w:tc>
        <w:tc>
          <w:tcPr>
            <w:tcW w:w="4807" w:type="dxa"/>
            <w:shd w:val="clear" w:color="auto" w:fill="auto"/>
            <w:noWrap/>
            <w:vAlign w:val="center"/>
            <w:hideMark/>
          </w:tcPr>
          <w:p w14:paraId="75C61FCF" w14:textId="77777777" w:rsidR="00B554FE" w:rsidRPr="00072B8F" w:rsidRDefault="00B554FE" w:rsidP="00416373">
            <w:pPr>
              <w:bidi w:val="0"/>
              <w:rPr>
                <w:rFonts w:cstheme="minorHAnsi"/>
                <w:color w:val="000000"/>
                <w:sz w:val="20"/>
                <w:szCs w:val="20"/>
              </w:rPr>
            </w:pPr>
            <w:r w:rsidRPr="00072B8F">
              <w:rPr>
                <w:rFonts w:cstheme="minorHAnsi"/>
                <w:color w:val="000000"/>
                <w:sz w:val="20"/>
                <w:szCs w:val="20"/>
              </w:rPr>
              <w:t xml:space="preserve">Movement of people between Israel and the WBG </w:t>
            </w:r>
          </w:p>
        </w:tc>
        <w:tc>
          <w:tcPr>
            <w:tcW w:w="1000" w:type="dxa"/>
            <w:shd w:val="clear" w:color="auto" w:fill="auto"/>
            <w:noWrap/>
            <w:vAlign w:val="center"/>
            <w:hideMark/>
          </w:tcPr>
          <w:p w14:paraId="4CBF2D21"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50%</w:t>
            </w:r>
          </w:p>
        </w:tc>
        <w:tc>
          <w:tcPr>
            <w:tcW w:w="696" w:type="dxa"/>
            <w:vMerge/>
            <w:vAlign w:val="center"/>
            <w:hideMark/>
          </w:tcPr>
          <w:p w14:paraId="5D33183D" w14:textId="77777777" w:rsidR="00B554FE" w:rsidRPr="00072B8F" w:rsidRDefault="00B554FE" w:rsidP="00416373">
            <w:pPr>
              <w:bidi w:val="0"/>
              <w:rPr>
                <w:rFonts w:cstheme="minorHAnsi"/>
                <w:color w:val="000000"/>
                <w:sz w:val="20"/>
                <w:szCs w:val="20"/>
              </w:rPr>
            </w:pPr>
          </w:p>
        </w:tc>
      </w:tr>
      <w:tr w:rsidR="00B554FE" w:rsidRPr="00072B8F" w14:paraId="2043C701" w14:textId="77777777" w:rsidTr="00416373">
        <w:trPr>
          <w:trHeight w:val="300"/>
        </w:trPr>
        <w:tc>
          <w:tcPr>
            <w:tcW w:w="2117" w:type="dxa"/>
            <w:vMerge w:val="restart"/>
            <w:shd w:val="clear" w:color="auto" w:fill="auto"/>
            <w:noWrap/>
            <w:vAlign w:val="center"/>
            <w:hideMark/>
          </w:tcPr>
          <w:p w14:paraId="05237DB3"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Resources and infrastructure</w:t>
            </w:r>
          </w:p>
        </w:tc>
        <w:tc>
          <w:tcPr>
            <w:tcW w:w="4807" w:type="dxa"/>
            <w:shd w:val="clear" w:color="auto" w:fill="auto"/>
            <w:noWrap/>
            <w:vAlign w:val="center"/>
            <w:hideMark/>
          </w:tcPr>
          <w:p w14:paraId="3D99F1AD" w14:textId="77777777" w:rsidR="00B554FE" w:rsidRPr="00072B8F" w:rsidRDefault="00B554FE" w:rsidP="00416373">
            <w:pPr>
              <w:bidi w:val="0"/>
              <w:rPr>
                <w:rFonts w:cstheme="minorHAnsi"/>
                <w:color w:val="000000"/>
                <w:sz w:val="20"/>
                <w:szCs w:val="20"/>
              </w:rPr>
            </w:pPr>
            <w:r w:rsidRPr="00072B8F">
              <w:rPr>
                <w:rFonts w:cstheme="minorHAnsi"/>
                <w:color w:val="000000"/>
                <w:sz w:val="20"/>
                <w:szCs w:val="20"/>
              </w:rPr>
              <w:t>Electricity imported from Israel out of total available electricity in the WBG</w:t>
            </w:r>
          </w:p>
        </w:tc>
        <w:tc>
          <w:tcPr>
            <w:tcW w:w="1000" w:type="dxa"/>
            <w:shd w:val="clear" w:color="auto" w:fill="auto"/>
            <w:noWrap/>
            <w:vAlign w:val="center"/>
            <w:hideMark/>
          </w:tcPr>
          <w:p w14:paraId="55D955C9"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50%</w:t>
            </w:r>
          </w:p>
        </w:tc>
        <w:tc>
          <w:tcPr>
            <w:tcW w:w="696" w:type="dxa"/>
            <w:vMerge w:val="restart"/>
            <w:shd w:val="clear" w:color="auto" w:fill="auto"/>
            <w:noWrap/>
            <w:vAlign w:val="center"/>
            <w:hideMark/>
          </w:tcPr>
          <w:p w14:paraId="0DBCD4FE"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15%</w:t>
            </w:r>
          </w:p>
        </w:tc>
      </w:tr>
      <w:tr w:rsidR="00B554FE" w:rsidRPr="00072B8F" w14:paraId="334E44C4" w14:textId="77777777" w:rsidTr="00416373">
        <w:trPr>
          <w:trHeight w:val="315"/>
        </w:trPr>
        <w:tc>
          <w:tcPr>
            <w:tcW w:w="2117" w:type="dxa"/>
            <w:vMerge/>
            <w:vAlign w:val="center"/>
            <w:hideMark/>
          </w:tcPr>
          <w:p w14:paraId="633623B7" w14:textId="77777777" w:rsidR="00B554FE" w:rsidRPr="00072B8F" w:rsidRDefault="00B554FE" w:rsidP="00416373">
            <w:pPr>
              <w:bidi w:val="0"/>
              <w:rPr>
                <w:rFonts w:cstheme="minorHAnsi"/>
                <w:color w:val="000000"/>
                <w:sz w:val="20"/>
                <w:szCs w:val="20"/>
              </w:rPr>
            </w:pPr>
          </w:p>
        </w:tc>
        <w:tc>
          <w:tcPr>
            <w:tcW w:w="4807" w:type="dxa"/>
            <w:shd w:val="clear" w:color="auto" w:fill="auto"/>
            <w:noWrap/>
            <w:vAlign w:val="center"/>
            <w:hideMark/>
          </w:tcPr>
          <w:p w14:paraId="2F04FFB8" w14:textId="77777777" w:rsidR="00B554FE" w:rsidRPr="00072B8F" w:rsidRDefault="00B554FE" w:rsidP="00416373">
            <w:pPr>
              <w:bidi w:val="0"/>
              <w:rPr>
                <w:rFonts w:cstheme="minorHAnsi"/>
                <w:color w:val="000000"/>
                <w:sz w:val="20"/>
                <w:szCs w:val="20"/>
              </w:rPr>
            </w:pPr>
            <w:r w:rsidRPr="00072B8F">
              <w:rPr>
                <w:rFonts w:cstheme="minorHAnsi"/>
                <w:color w:val="000000"/>
                <w:sz w:val="20"/>
                <w:szCs w:val="20"/>
              </w:rPr>
              <w:t>Water Purchased from Israel out of available water quantity in the WBG</w:t>
            </w:r>
          </w:p>
        </w:tc>
        <w:tc>
          <w:tcPr>
            <w:tcW w:w="1000" w:type="dxa"/>
            <w:shd w:val="clear" w:color="auto" w:fill="auto"/>
            <w:noWrap/>
            <w:vAlign w:val="center"/>
            <w:hideMark/>
          </w:tcPr>
          <w:p w14:paraId="6DD30052"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50%</w:t>
            </w:r>
          </w:p>
        </w:tc>
        <w:tc>
          <w:tcPr>
            <w:tcW w:w="696" w:type="dxa"/>
            <w:vMerge/>
            <w:vAlign w:val="center"/>
            <w:hideMark/>
          </w:tcPr>
          <w:p w14:paraId="52C038C2" w14:textId="77777777" w:rsidR="00B554FE" w:rsidRPr="00072B8F" w:rsidRDefault="00B554FE" w:rsidP="00416373">
            <w:pPr>
              <w:bidi w:val="0"/>
              <w:rPr>
                <w:rFonts w:cstheme="minorHAnsi"/>
                <w:color w:val="000000"/>
                <w:sz w:val="20"/>
                <w:szCs w:val="20"/>
              </w:rPr>
            </w:pPr>
          </w:p>
        </w:tc>
      </w:tr>
      <w:tr w:rsidR="00B554FE" w:rsidRPr="00072B8F" w14:paraId="0970416F" w14:textId="77777777" w:rsidTr="00416373">
        <w:trPr>
          <w:trHeight w:val="315"/>
        </w:trPr>
        <w:tc>
          <w:tcPr>
            <w:tcW w:w="2117" w:type="dxa"/>
            <w:vMerge w:val="restart"/>
            <w:shd w:val="clear" w:color="auto" w:fill="auto"/>
            <w:noWrap/>
            <w:vAlign w:val="center"/>
            <w:hideMark/>
          </w:tcPr>
          <w:p w14:paraId="5CB0E852"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Banking and money</w:t>
            </w:r>
          </w:p>
        </w:tc>
        <w:tc>
          <w:tcPr>
            <w:tcW w:w="4807" w:type="dxa"/>
            <w:shd w:val="clear" w:color="auto" w:fill="auto"/>
            <w:noWrap/>
            <w:vAlign w:val="center"/>
            <w:hideMark/>
          </w:tcPr>
          <w:p w14:paraId="09CD78D2" w14:textId="77777777" w:rsidR="00B554FE" w:rsidRPr="00072B8F" w:rsidRDefault="00B554FE" w:rsidP="00416373">
            <w:pPr>
              <w:bidi w:val="0"/>
              <w:rPr>
                <w:rFonts w:cstheme="minorHAnsi"/>
                <w:color w:val="000000"/>
                <w:sz w:val="20"/>
                <w:szCs w:val="20"/>
              </w:rPr>
            </w:pPr>
            <w:r w:rsidRPr="00072B8F">
              <w:rPr>
                <w:rFonts w:cstheme="minorHAnsi"/>
                <w:color w:val="000000"/>
                <w:sz w:val="20"/>
                <w:szCs w:val="20"/>
              </w:rPr>
              <w:t>Share of NIS deposits in the Palestinian banking system</w:t>
            </w:r>
          </w:p>
        </w:tc>
        <w:tc>
          <w:tcPr>
            <w:tcW w:w="1000" w:type="dxa"/>
            <w:shd w:val="clear" w:color="auto" w:fill="auto"/>
            <w:noWrap/>
            <w:vAlign w:val="center"/>
            <w:hideMark/>
          </w:tcPr>
          <w:p w14:paraId="2AA0BA67"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33%</w:t>
            </w:r>
          </w:p>
        </w:tc>
        <w:tc>
          <w:tcPr>
            <w:tcW w:w="696" w:type="dxa"/>
            <w:vMerge w:val="restart"/>
            <w:shd w:val="clear" w:color="auto" w:fill="auto"/>
            <w:noWrap/>
            <w:vAlign w:val="center"/>
            <w:hideMark/>
          </w:tcPr>
          <w:p w14:paraId="731BB80A"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23%</w:t>
            </w:r>
          </w:p>
        </w:tc>
      </w:tr>
      <w:tr w:rsidR="00B554FE" w:rsidRPr="00072B8F" w14:paraId="14E24919" w14:textId="77777777" w:rsidTr="00416373">
        <w:trPr>
          <w:trHeight w:val="315"/>
        </w:trPr>
        <w:tc>
          <w:tcPr>
            <w:tcW w:w="2117" w:type="dxa"/>
            <w:vMerge/>
            <w:vAlign w:val="center"/>
            <w:hideMark/>
          </w:tcPr>
          <w:p w14:paraId="328B0515" w14:textId="77777777" w:rsidR="00B554FE" w:rsidRPr="00072B8F" w:rsidRDefault="00B554FE" w:rsidP="00416373">
            <w:pPr>
              <w:bidi w:val="0"/>
              <w:rPr>
                <w:rFonts w:cstheme="minorHAnsi"/>
                <w:color w:val="000000"/>
                <w:sz w:val="20"/>
                <w:szCs w:val="20"/>
              </w:rPr>
            </w:pPr>
          </w:p>
        </w:tc>
        <w:tc>
          <w:tcPr>
            <w:tcW w:w="4807" w:type="dxa"/>
            <w:shd w:val="clear" w:color="auto" w:fill="auto"/>
            <w:noWrap/>
            <w:vAlign w:val="center"/>
            <w:hideMark/>
          </w:tcPr>
          <w:p w14:paraId="1A4ED497" w14:textId="77777777" w:rsidR="00B554FE" w:rsidRPr="00072B8F" w:rsidRDefault="00B554FE" w:rsidP="00416373">
            <w:pPr>
              <w:bidi w:val="0"/>
              <w:rPr>
                <w:rFonts w:cstheme="minorHAnsi"/>
                <w:color w:val="000000"/>
                <w:sz w:val="20"/>
                <w:szCs w:val="20"/>
              </w:rPr>
            </w:pPr>
            <w:r w:rsidRPr="00072B8F">
              <w:rPr>
                <w:rFonts w:cstheme="minorHAnsi"/>
                <w:color w:val="000000"/>
                <w:sz w:val="20"/>
                <w:szCs w:val="20"/>
              </w:rPr>
              <w:t>Share of NIS credit in the Palestinian banking system</w:t>
            </w:r>
          </w:p>
        </w:tc>
        <w:tc>
          <w:tcPr>
            <w:tcW w:w="1000" w:type="dxa"/>
            <w:shd w:val="clear" w:color="auto" w:fill="auto"/>
            <w:noWrap/>
            <w:vAlign w:val="center"/>
            <w:hideMark/>
          </w:tcPr>
          <w:p w14:paraId="5D3E7627"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33%</w:t>
            </w:r>
          </w:p>
        </w:tc>
        <w:tc>
          <w:tcPr>
            <w:tcW w:w="696" w:type="dxa"/>
            <w:vMerge/>
            <w:vAlign w:val="center"/>
            <w:hideMark/>
          </w:tcPr>
          <w:p w14:paraId="40479314" w14:textId="77777777" w:rsidR="00B554FE" w:rsidRPr="00072B8F" w:rsidRDefault="00B554FE" w:rsidP="00416373">
            <w:pPr>
              <w:bidi w:val="0"/>
              <w:rPr>
                <w:rFonts w:cstheme="minorHAnsi"/>
                <w:color w:val="000000"/>
                <w:sz w:val="20"/>
                <w:szCs w:val="20"/>
              </w:rPr>
            </w:pPr>
          </w:p>
        </w:tc>
      </w:tr>
      <w:tr w:rsidR="00B554FE" w:rsidRPr="00072B8F" w14:paraId="372E7EC6" w14:textId="77777777" w:rsidTr="00416373">
        <w:trPr>
          <w:trHeight w:val="315"/>
        </w:trPr>
        <w:tc>
          <w:tcPr>
            <w:tcW w:w="2117" w:type="dxa"/>
            <w:vMerge/>
            <w:vAlign w:val="center"/>
            <w:hideMark/>
          </w:tcPr>
          <w:p w14:paraId="481B0DF6" w14:textId="77777777" w:rsidR="00B554FE" w:rsidRPr="00072B8F" w:rsidRDefault="00B554FE" w:rsidP="00416373">
            <w:pPr>
              <w:bidi w:val="0"/>
              <w:rPr>
                <w:rFonts w:cstheme="minorHAnsi"/>
                <w:color w:val="000000"/>
                <w:sz w:val="20"/>
                <w:szCs w:val="20"/>
              </w:rPr>
            </w:pPr>
          </w:p>
        </w:tc>
        <w:tc>
          <w:tcPr>
            <w:tcW w:w="4807" w:type="dxa"/>
            <w:shd w:val="clear" w:color="auto" w:fill="auto"/>
            <w:noWrap/>
            <w:vAlign w:val="center"/>
            <w:hideMark/>
          </w:tcPr>
          <w:p w14:paraId="50F373F4" w14:textId="77777777" w:rsidR="00B554FE" w:rsidRPr="00072B8F" w:rsidRDefault="00B554FE" w:rsidP="00416373">
            <w:pPr>
              <w:bidi w:val="0"/>
              <w:rPr>
                <w:rFonts w:cstheme="minorHAnsi"/>
                <w:color w:val="000000"/>
                <w:sz w:val="20"/>
                <w:szCs w:val="20"/>
              </w:rPr>
            </w:pPr>
            <w:r w:rsidRPr="00072B8F">
              <w:rPr>
                <w:rFonts w:cstheme="minorHAnsi"/>
                <w:color w:val="000000"/>
                <w:sz w:val="20"/>
                <w:szCs w:val="20"/>
              </w:rPr>
              <w:t xml:space="preserve">Share of NIS checks presented for clearing in the Palestinian banking system </w:t>
            </w:r>
          </w:p>
        </w:tc>
        <w:tc>
          <w:tcPr>
            <w:tcW w:w="1000" w:type="dxa"/>
            <w:shd w:val="clear" w:color="auto" w:fill="auto"/>
            <w:noWrap/>
            <w:vAlign w:val="center"/>
            <w:hideMark/>
          </w:tcPr>
          <w:p w14:paraId="26B42C76"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33%</w:t>
            </w:r>
          </w:p>
        </w:tc>
        <w:tc>
          <w:tcPr>
            <w:tcW w:w="696" w:type="dxa"/>
            <w:vMerge/>
            <w:vAlign w:val="center"/>
            <w:hideMark/>
          </w:tcPr>
          <w:p w14:paraId="691A7605" w14:textId="77777777" w:rsidR="00B554FE" w:rsidRPr="00072B8F" w:rsidRDefault="00B554FE" w:rsidP="00416373">
            <w:pPr>
              <w:bidi w:val="0"/>
              <w:rPr>
                <w:rFonts w:cstheme="minorHAnsi"/>
                <w:color w:val="000000"/>
                <w:sz w:val="20"/>
                <w:szCs w:val="20"/>
              </w:rPr>
            </w:pPr>
          </w:p>
        </w:tc>
      </w:tr>
      <w:tr w:rsidR="00B554FE" w:rsidRPr="00072B8F" w14:paraId="6D65CF97" w14:textId="77777777" w:rsidTr="00416373">
        <w:trPr>
          <w:trHeight w:val="315"/>
        </w:trPr>
        <w:tc>
          <w:tcPr>
            <w:tcW w:w="2117" w:type="dxa"/>
            <w:vMerge w:val="restart"/>
            <w:shd w:val="clear" w:color="auto" w:fill="auto"/>
            <w:noWrap/>
            <w:vAlign w:val="center"/>
            <w:hideMark/>
          </w:tcPr>
          <w:p w14:paraId="0DC24D6C"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 Wealth and Standard of living</w:t>
            </w:r>
          </w:p>
        </w:tc>
        <w:tc>
          <w:tcPr>
            <w:tcW w:w="4807" w:type="dxa"/>
            <w:shd w:val="clear" w:color="auto" w:fill="auto"/>
            <w:noWrap/>
            <w:vAlign w:val="center"/>
            <w:hideMark/>
          </w:tcPr>
          <w:p w14:paraId="7220D364" w14:textId="77777777" w:rsidR="00B554FE" w:rsidRPr="00072B8F" w:rsidRDefault="00B554FE" w:rsidP="00416373">
            <w:pPr>
              <w:bidi w:val="0"/>
              <w:rPr>
                <w:rFonts w:cstheme="minorHAnsi"/>
                <w:color w:val="000000"/>
                <w:sz w:val="20"/>
                <w:szCs w:val="20"/>
              </w:rPr>
            </w:pPr>
            <w:r w:rsidRPr="00072B8F">
              <w:rPr>
                <w:rFonts w:cstheme="minorHAnsi"/>
                <w:color w:val="000000"/>
                <w:sz w:val="20"/>
                <w:szCs w:val="20"/>
              </w:rPr>
              <w:t xml:space="preserve">GDP per Capita Ratio </w:t>
            </w:r>
          </w:p>
        </w:tc>
        <w:tc>
          <w:tcPr>
            <w:tcW w:w="1000" w:type="dxa"/>
            <w:shd w:val="clear" w:color="auto" w:fill="auto"/>
            <w:noWrap/>
            <w:vAlign w:val="center"/>
            <w:hideMark/>
          </w:tcPr>
          <w:p w14:paraId="705A9524"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50%</w:t>
            </w:r>
          </w:p>
        </w:tc>
        <w:tc>
          <w:tcPr>
            <w:tcW w:w="696" w:type="dxa"/>
            <w:vMerge w:val="restart"/>
            <w:shd w:val="clear" w:color="auto" w:fill="auto"/>
            <w:noWrap/>
            <w:vAlign w:val="center"/>
            <w:hideMark/>
          </w:tcPr>
          <w:p w14:paraId="5E1882FB"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15%</w:t>
            </w:r>
          </w:p>
        </w:tc>
      </w:tr>
      <w:tr w:rsidR="00B554FE" w:rsidRPr="00072B8F" w14:paraId="026EEBB0" w14:textId="77777777" w:rsidTr="00416373">
        <w:trPr>
          <w:trHeight w:val="315"/>
        </w:trPr>
        <w:tc>
          <w:tcPr>
            <w:tcW w:w="2117" w:type="dxa"/>
            <w:vMerge/>
            <w:vAlign w:val="center"/>
            <w:hideMark/>
          </w:tcPr>
          <w:p w14:paraId="75D9D015" w14:textId="77777777" w:rsidR="00B554FE" w:rsidRPr="00072B8F" w:rsidRDefault="00B554FE" w:rsidP="00416373">
            <w:pPr>
              <w:bidi w:val="0"/>
              <w:rPr>
                <w:rFonts w:cstheme="minorHAnsi"/>
                <w:color w:val="000000"/>
                <w:sz w:val="20"/>
                <w:szCs w:val="20"/>
              </w:rPr>
            </w:pPr>
          </w:p>
        </w:tc>
        <w:tc>
          <w:tcPr>
            <w:tcW w:w="4807" w:type="dxa"/>
            <w:shd w:val="clear" w:color="auto" w:fill="auto"/>
            <w:noWrap/>
            <w:vAlign w:val="center"/>
            <w:hideMark/>
          </w:tcPr>
          <w:p w14:paraId="4010BC20" w14:textId="77777777" w:rsidR="00B554FE" w:rsidRPr="00072B8F" w:rsidRDefault="00B554FE" w:rsidP="00416373">
            <w:pPr>
              <w:bidi w:val="0"/>
              <w:rPr>
                <w:rFonts w:cstheme="minorHAnsi"/>
                <w:color w:val="000000"/>
                <w:sz w:val="20"/>
                <w:szCs w:val="20"/>
              </w:rPr>
            </w:pPr>
            <w:r w:rsidRPr="00072B8F">
              <w:rPr>
                <w:rFonts w:cstheme="minorHAnsi"/>
                <w:color w:val="000000"/>
                <w:sz w:val="20"/>
                <w:szCs w:val="20"/>
              </w:rPr>
              <w:t>Daily Wage Ratio</w:t>
            </w:r>
          </w:p>
        </w:tc>
        <w:tc>
          <w:tcPr>
            <w:tcW w:w="1000" w:type="dxa"/>
            <w:shd w:val="clear" w:color="auto" w:fill="auto"/>
            <w:noWrap/>
            <w:vAlign w:val="center"/>
            <w:hideMark/>
          </w:tcPr>
          <w:p w14:paraId="5D0DF343" w14:textId="77777777" w:rsidR="00B554FE" w:rsidRPr="00072B8F" w:rsidRDefault="00B554FE" w:rsidP="00416373">
            <w:pPr>
              <w:bidi w:val="0"/>
              <w:jc w:val="center"/>
              <w:rPr>
                <w:rFonts w:cstheme="minorHAnsi"/>
                <w:color w:val="000000"/>
                <w:sz w:val="20"/>
                <w:szCs w:val="20"/>
              </w:rPr>
            </w:pPr>
            <w:r w:rsidRPr="00072B8F">
              <w:rPr>
                <w:rFonts w:cstheme="minorHAnsi"/>
                <w:color w:val="000000"/>
                <w:sz w:val="20"/>
                <w:szCs w:val="20"/>
              </w:rPr>
              <w:t>50%</w:t>
            </w:r>
          </w:p>
        </w:tc>
        <w:tc>
          <w:tcPr>
            <w:tcW w:w="696" w:type="dxa"/>
            <w:vMerge/>
            <w:vAlign w:val="center"/>
            <w:hideMark/>
          </w:tcPr>
          <w:p w14:paraId="7B3A30CC" w14:textId="77777777" w:rsidR="00B554FE" w:rsidRPr="00072B8F" w:rsidRDefault="00B554FE" w:rsidP="00416373">
            <w:pPr>
              <w:bidi w:val="0"/>
              <w:rPr>
                <w:rFonts w:cstheme="minorHAnsi"/>
                <w:color w:val="000000"/>
                <w:sz w:val="20"/>
                <w:szCs w:val="20"/>
              </w:rPr>
            </w:pPr>
          </w:p>
        </w:tc>
      </w:tr>
    </w:tbl>
    <w:p w14:paraId="74546FDD" w14:textId="77777777" w:rsidR="00B554FE" w:rsidRDefault="00B554FE" w:rsidP="00B554FE">
      <w:pPr>
        <w:pStyle w:val="ListParagraph"/>
        <w:bidi w:val="0"/>
        <w:spacing w:before="240" w:line="480" w:lineRule="auto"/>
        <w:ind w:left="0"/>
        <w:rPr>
          <w:rFonts w:ascii="Times New Roman" w:hAnsi="Times New Roman" w:cs="David"/>
          <w:sz w:val="24"/>
          <w:szCs w:val="24"/>
        </w:rPr>
      </w:pPr>
      <w:r>
        <w:rPr>
          <w:rFonts w:ascii="Times New Roman" w:hAnsi="Times New Roman" w:cs="David"/>
          <w:sz w:val="24"/>
          <w:szCs w:val="24"/>
        </w:rPr>
        <w:t xml:space="preserve">Number of dimensions: 5; Number of indicators: </w:t>
      </w:r>
      <w:r>
        <w:rPr>
          <w:rFonts w:ascii="Times New Roman" w:hAnsi="Times New Roman" w:cs="David" w:hint="cs"/>
          <w:sz w:val="24"/>
          <w:szCs w:val="24"/>
          <w:rtl/>
        </w:rPr>
        <w:t>1</w:t>
      </w:r>
      <w:r>
        <w:rPr>
          <w:rFonts w:ascii="Times New Roman" w:hAnsi="Times New Roman" w:cs="David"/>
          <w:sz w:val="24"/>
          <w:szCs w:val="24"/>
        </w:rPr>
        <w:t>3.</w:t>
      </w:r>
    </w:p>
    <w:p w14:paraId="66546294" w14:textId="2173D6A9" w:rsidR="00B554FE" w:rsidRPr="00D674E6" w:rsidRDefault="00B554FE" w:rsidP="00B554FE">
      <w:pPr>
        <w:pStyle w:val="paragraph"/>
        <w:spacing w:after="0" w:afterAutospacing="0" w:line="480" w:lineRule="auto"/>
        <w:jc w:val="center"/>
        <w:rPr>
          <w:b/>
          <w:bCs/>
        </w:rPr>
      </w:pPr>
      <w:r>
        <w:rPr>
          <w:b/>
          <w:bCs/>
        </w:rPr>
        <w:t xml:space="preserve">Figure </w:t>
      </w:r>
      <w:r w:rsidR="005276BC">
        <w:rPr>
          <w:b/>
          <w:bCs/>
        </w:rPr>
        <w:t xml:space="preserve">47 - </w:t>
      </w:r>
      <w:r>
        <w:rPr>
          <w:b/>
          <w:bCs/>
        </w:rPr>
        <w:t xml:space="preserve"> Integration indicis by areas</w:t>
      </w:r>
    </w:p>
    <w:p w14:paraId="4E56AAE5" w14:textId="77777777" w:rsidR="00B554FE" w:rsidRDefault="00B554FE" w:rsidP="00B554FE">
      <w:pPr>
        <w:pStyle w:val="paragraph"/>
        <w:spacing w:before="0" w:beforeAutospacing="0" w:after="0" w:afterAutospacing="0" w:line="480" w:lineRule="auto"/>
        <w:ind w:left="1065"/>
        <w:jc w:val="both"/>
        <w:textAlignment w:val="baseline"/>
      </w:pPr>
      <w:r>
        <w:rPr>
          <w:noProof/>
        </w:rPr>
        <w:drawing>
          <wp:inline distT="0" distB="0" distL="0" distR="0" wp14:anchorId="35C1DB07" wp14:editId="68FC6B1D">
            <wp:extent cx="4320000" cy="2520000"/>
            <wp:effectExtent l="0" t="0" r="4445" b="13970"/>
            <wp:docPr id="74" name="תרשים 31">
              <a:extLst xmlns:a="http://schemas.openxmlformats.org/drawingml/2006/main">
                <a:ext uri="{FF2B5EF4-FFF2-40B4-BE49-F238E27FC236}">
                  <a16:creationId xmlns:a16="http://schemas.microsoft.com/office/drawing/2014/main" id="{C045CA21-D0C7-451B-97CC-85681E59A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DE6F8F1" w14:textId="77777777" w:rsidR="00B554FE" w:rsidRDefault="00B554FE" w:rsidP="00B554FE">
      <w:pPr>
        <w:tabs>
          <w:tab w:val="left" w:pos="7858"/>
        </w:tabs>
        <w:bidi w:val="0"/>
        <w:ind w:left="720"/>
        <w:jc w:val="center"/>
        <w:rPr>
          <w:rFonts w:asciiTheme="majorBidi" w:hAnsiTheme="majorBidi" w:cstheme="majorBidi"/>
          <w:b/>
          <w:bCs/>
          <w:sz w:val="24"/>
          <w:szCs w:val="24"/>
        </w:rPr>
      </w:pPr>
    </w:p>
    <w:p w14:paraId="50E92904" w14:textId="77777777" w:rsidR="00B554FE" w:rsidRDefault="00B554FE" w:rsidP="00B554FE">
      <w:pPr>
        <w:tabs>
          <w:tab w:val="left" w:pos="7858"/>
        </w:tabs>
        <w:bidi w:val="0"/>
        <w:ind w:left="720"/>
        <w:jc w:val="center"/>
        <w:rPr>
          <w:rFonts w:asciiTheme="majorBidi" w:hAnsiTheme="majorBidi" w:cstheme="majorBidi"/>
          <w:b/>
          <w:bCs/>
          <w:sz w:val="24"/>
          <w:szCs w:val="24"/>
        </w:rPr>
      </w:pPr>
    </w:p>
    <w:p w14:paraId="1BD754D9" w14:textId="77777777" w:rsidR="00B554FE" w:rsidRDefault="00B554FE" w:rsidP="00B554FE">
      <w:pPr>
        <w:tabs>
          <w:tab w:val="left" w:pos="7858"/>
        </w:tabs>
        <w:bidi w:val="0"/>
        <w:ind w:left="720"/>
        <w:jc w:val="center"/>
        <w:rPr>
          <w:rFonts w:asciiTheme="majorBidi" w:hAnsiTheme="majorBidi" w:cstheme="majorBidi"/>
          <w:b/>
          <w:bCs/>
          <w:sz w:val="24"/>
          <w:szCs w:val="24"/>
        </w:rPr>
      </w:pPr>
    </w:p>
    <w:p w14:paraId="2EDECCDE" w14:textId="7E31ADB0" w:rsidR="00B554FE" w:rsidRPr="002B4781" w:rsidRDefault="00B554FE" w:rsidP="00B554FE">
      <w:pPr>
        <w:tabs>
          <w:tab w:val="left" w:pos="7858"/>
        </w:tabs>
        <w:bidi w:val="0"/>
        <w:ind w:left="720"/>
        <w:jc w:val="center"/>
        <w:rPr>
          <w:rFonts w:asciiTheme="majorBidi" w:hAnsiTheme="majorBidi" w:cstheme="majorBidi"/>
          <w:b/>
          <w:bCs/>
          <w:sz w:val="24"/>
          <w:szCs w:val="24"/>
        </w:rPr>
      </w:pPr>
      <w:r w:rsidRPr="002B4781">
        <w:rPr>
          <w:rFonts w:asciiTheme="majorBidi" w:hAnsiTheme="majorBidi" w:cstheme="majorBidi"/>
          <w:b/>
          <w:bCs/>
          <w:sz w:val="24"/>
          <w:szCs w:val="24"/>
        </w:rPr>
        <w:t xml:space="preserve">Figure </w:t>
      </w:r>
      <w:r w:rsidR="005276BC">
        <w:rPr>
          <w:rFonts w:asciiTheme="majorBidi" w:hAnsiTheme="majorBidi" w:cstheme="majorBidi"/>
          <w:b/>
          <w:bCs/>
          <w:sz w:val="24"/>
          <w:szCs w:val="24"/>
        </w:rPr>
        <w:t xml:space="preserve">48 - </w:t>
      </w:r>
      <w:r w:rsidRPr="002B4781">
        <w:rPr>
          <w:rFonts w:asciiTheme="majorBidi" w:hAnsiTheme="majorBidi" w:cstheme="majorBidi"/>
          <w:b/>
          <w:bCs/>
          <w:sz w:val="24"/>
          <w:szCs w:val="24"/>
        </w:rPr>
        <w:t>Dimensions contribution analysis</w:t>
      </w:r>
    </w:p>
    <w:tbl>
      <w:tblPr>
        <w:tblStyle w:val="TableGrid"/>
        <w:tblW w:w="5297" w:type="pct"/>
        <w:tblBorders>
          <w:insideH w:val="none" w:sz="0" w:space="0" w:color="auto"/>
          <w:insideV w:val="none" w:sz="0" w:space="0" w:color="auto"/>
        </w:tblBorders>
        <w:tblLook w:val="04A0" w:firstRow="1" w:lastRow="0" w:firstColumn="1" w:lastColumn="0" w:noHBand="0" w:noVBand="1"/>
      </w:tblPr>
      <w:tblGrid>
        <w:gridCol w:w="4776"/>
        <w:gridCol w:w="4776"/>
      </w:tblGrid>
      <w:tr w:rsidR="00B554FE" w:rsidRPr="00956941" w14:paraId="05A2DDF5" w14:textId="77777777" w:rsidTr="00416373">
        <w:trPr>
          <w:trHeight w:val="3174"/>
        </w:trPr>
        <w:tc>
          <w:tcPr>
            <w:tcW w:w="2500" w:type="pct"/>
          </w:tcPr>
          <w:p w14:paraId="346637CB" w14:textId="77777777" w:rsidR="00B554FE" w:rsidRPr="00956941" w:rsidRDefault="00B554FE" w:rsidP="00416373">
            <w:pPr>
              <w:pStyle w:val="paragraph"/>
              <w:spacing w:before="0" w:beforeAutospacing="0" w:after="0" w:afterAutospacing="0" w:line="480" w:lineRule="auto"/>
              <w:jc w:val="both"/>
              <w:textAlignment w:val="baseline"/>
              <w:rPr>
                <w:b/>
                <w:bCs/>
              </w:rPr>
            </w:pPr>
            <w:r>
              <w:rPr>
                <w:noProof/>
              </w:rPr>
              <w:drawing>
                <wp:inline distT="0" distB="0" distL="0" distR="0" wp14:anchorId="36A633FE" wp14:editId="212565CD">
                  <wp:extent cx="2880000" cy="1800000"/>
                  <wp:effectExtent l="0" t="0" r="15875" b="10160"/>
                  <wp:docPr id="75" name="תרשים 19">
                    <a:extLst xmlns:a="http://schemas.openxmlformats.org/drawingml/2006/main">
                      <a:ext uri="{FF2B5EF4-FFF2-40B4-BE49-F238E27FC236}">
                        <a16:creationId xmlns:a16="http://schemas.microsoft.com/office/drawing/2014/main" id="{2CF54D02-1A5F-452F-81CC-7409D203B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2500" w:type="pct"/>
          </w:tcPr>
          <w:p w14:paraId="507723BD" w14:textId="77777777" w:rsidR="00B554FE" w:rsidRPr="00956941" w:rsidRDefault="00B554FE" w:rsidP="00416373">
            <w:pPr>
              <w:pStyle w:val="paragraph"/>
              <w:spacing w:before="0" w:beforeAutospacing="0" w:after="0" w:afterAutospacing="0" w:line="480" w:lineRule="auto"/>
              <w:jc w:val="both"/>
              <w:textAlignment w:val="baseline"/>
              <w:rPr>
                <w:b/>
                <w:bCs/>
              </w:rPr>
            </w:pPr>
            <w:r>
              <w:rPr>
                <w:noProof/>
              </w:rPr>
              <w:drawing>
                <wp:inline distT="0" distB="0" distL="0" distR="0" wp14:anchorId="32BF2ABD" wp14:editId="6AD75027">
                  <wp:extent cx="2880000" cy="1800000"/>
                  <wp:effectExtent l="0" t="0" r="15875" b="10160"/>
                  <wp:docPr id="76" name="תרשים 32">
                    <a:extLst xmlns:a="http://schemas.openxmlformats.org/drawingml/2006/main">
                      <a:ext uri="{FF2B5EF4-FFF2-40B4-BE49-F238E27FC236}">
                        <a16:creationId xmlns:a16="http://schemas.microsoft.com/office/drawing/2014/main" id="{B1D77E82-3378-4DD2-8551-39063B3BB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B554FE" w:rsidRPr="00956941" w14:paraId="42887E18" w14:textId="77777777" w:rsidTr="00416373">
        <w:trPr>
          <w:trHeight w:val="3174"/>
        </w:trPr>
        <w:tc>
          <w:tcPr>
            <w:tcW w:w="2500" w:type="pct"/>
          </w:tcPr>
          <w:p w14:paraId="5429C0BE" w14:textId="77777777" w:rsidR="00B554FE" w:rsidRPr="00956941" w:rsidRDefault="00B554FE" w:rsidP="00416373">
            <w:pPr>
              <w:pStyle w:val="paragraph"/>
              <w:spacing w:before="0" w:beforeAutospacing="0" w:after="0" w:afterAutospacing="0" w:line="480" w:lineRule="auto"/>
              <w:jc w:val="both"/>
              <w:textAlignment w:val="baseline"/>
              <w:rPr>
                <w:b/>
                <w:bCs/>
              </w:rPr>
            </w:pPr>
            <w:r>
              <w:rPr>
                <w:noProof/>
              </w:rPr>
              <w:drawing>
                <wp:inline distT="0" distB="0" distL="0" distR="0" wp14:anchorId="612ACA8C" wp14:editId="41A949BB">
                  <wp:extent cx="2880000" cy="1800000"/>
                  <wp:effectExtent l="0" t="0" r="15875" b="10160"/>
                  <wp:docPr id="77" name="תרשים 33">
                    <a:extLst xmlns:a="http://schemas.openxmlformats.org/drawingml/2006/main">
                      <a:ext uri="{FF2B5EF4-FFF2-40B4-BE49-F238E27FC236}">
                        <a16:creationId xmlns:a16="http://schemas.microsoft.com/office/drawing/2014/main" id="{78E39691-E550-4C9D-810C-312352210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2500" w:type="pct"/>
          </w:tcPr>
          <w:p w14:paraId="60D41077" w14:textId="77777777" w:rsidR="00B554FE" w:rsidRPr="00956941" w:rsidRDefault="00B554FE" w:rsidP="00416373">
            <w:pPr>
              <w:pStyle w:val="paragraph"/>
              <w:spacing w:before="0" w:beforeAutospacing="0" w:after="0" w:afterAutospacing="0" w:line="480" w:lineRule="auto"/>
              <w:jc w:val="both"/>
              <w:textAlignment w:val="baseline"/>
              <w:rPr>
                <w:b/>
                <w:bCs/>
              </w:rPr>
            </w:pPr>
            <w:r>
              <w:rPr>
                <w:noProof/>
              </w:rPr>
              <w:drawing>
                <wp:inline distT="0" distB="0" distL="0" distR="0" wp14:anchorId="167E61DA" wp14:editId="097CB6A6">
                  <wp:extent cx="2880000" cy="1800000"/>
                  <wp:effectExtent l="0" t="0" r="15875" b="10160"/>
                  <wp:docPr id="78" name="תרשים 34">
                    <a:extLst xmlns:a="http://schemas.openxmlformats.org/drawingml/2006/main">
                      <a:ext uri="{FF2B5EF4-FFF2-40B4-BE49-F238E27FC236}">
                        <a16:creationId xmlns:a16="http://schemas.microsoft.com/office/drawing/2014/main" id="{2EBBC025-A142-4570-AE81-23A0D35D6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B554FE" w:rsidRPr="00956941" w14:paraId="67AB3B6D" w14:textId="77777777" w:rsidTr="00416373">
        <w:trPr>
          <w:trHeight w:val="3004"/>
        </w:trPr>
        <w:tc>
          <w:tcPr>
            <w:tcW w:w="5000" w:type="pct"/>
            <w:gridSpan w:val="2"/>
          </w:tcPr>
          <w:p w14:paraId="095A48E5" w14:textId="77777777" w:rsidR="00B554FE" w:rsidRPr="00956941" w:rsidRDefault="00B554FE" w:rsidP="00416373">
            <w:pPr>
              <w:pStyle w:val="paragraph"/>
              <w:spacing w:before="0" w:beforeAutospacing="0" w:after="0" w:afterAutospacing="0" w:line="480" w:lineRule="auto"/>
              <w:jc w:val="center"/>
              <w:textAlignment w:val="baseline"/>
              <w:rPr>
                <w:b/>
                <w:bCs/>
              </w:rPr>
            </w:pPr>
            <w:r>
              <w:rPr>
                <w:noProof/>
              </w:rPr>
              <w:drawing>
                <wp:inline distT="0" distB="0" distL="0" distR="0" wp14:anchorId="1077B89A" wp14:editId="5BF1AB8F">
                  <wp:extent cx="2880000" cy="1800000"/>
                  <wp:effectExtent l="0" t="0" r="15875" b="10160"/>
                  <wp:docPr id="79" name="תרשים 35">
                    <a:extLst xmlns:a="http://schemas.openxmlformats.org/drawingml/2006/main">
                      <a:ext uri="{FF2B5EF4-FFF2-40B4-BE49-F238E27FC236}">
                        <a16:creationId xmlns:a16="http://schemas.microsoft.com/office/drawing/2014/main" id="{19EC3B2D-9731-4B3E-9693-C00FF3463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2F13B451" w14:textId="77777777" w:rsidR="00B554FE" w:rsidRDefault="00B554FE" w:rsidP="00B554FE">
      <w:pPr>
        <w:pStyle w:val="paragraph"/>
        <w:spacing w:before="0" w:beforeAutospacing="0" w:after="0" w:afterAutospacing="0" w:line="480" w:lineRule="auto"/>
        <w:ind w:left="1065"/>
        <w:jc w:val="both"/>
        <w:textAlignment w:val="baseline"/>
        <w:rPr>
          <w:b/>
          <w:bCs/>
        </w:rPr>
      </w:pPr>
    </w:p>
    <w:p w14:paraId="21F95A99" w14:textId="77777777" w:rsidR="00B554FE" w:rsidRDefault="00B554FE" w:rsidP="00824465">
      <w:pPr>
        <w:pStyle w:val="paragraph"/>
        <w:spacing w:before="0" w:beforeAutospacing="0" w:after="0" w:afterAutospacing="0" w:line="480" w:lineRule="auto"/>
        <w:ind w:left="720"/>
        <w:jc w:val="both"/>
        <w:textAlignment w:val="baseline"/>
        <w:rPr>
          <w:rFonts w:cs="David"/>
          <w:b/>
          <w:bCs/>
        </w:rPr>
      </w:pPr>
      <w:r w:rsidRPr="004528A9">
        <w:rPr>
          <w:rFonts w:cs="David"/>
          <w:b/>
          <w:bCs/>
        </w:rPr>
        <w:t xml:space="preserve">Discussion </w:t>
      </w:r>
      <w:r>
        <w:rPr>
          <w:rFonts w:cs="David"/>
          <w:b/>
          <w:bCs/>
        </w:rPr>
        <w:t>of</w:t>
      </w:r>
      <w:r w:rsidRPr="004528A9">
        <w:rPr>
          <w:rFonts w:cs="David"/>
          <w:b/>
          <w:bCs/>
        </w:rPr>
        <w:t xml:space="preserve"> the results</w:t>
      </w:r>
    </w:p>
    <w:p w14:paraId="76156AE2" w14:textId="77777777" w:rsidR="00B554FE" w:rsidRDefault="00B554FE" w:rsidP="00824465">
      <w:pPr>
        <w:tabs>
          <w:tab w:val="left" w:pos="7858"/>
        </w:tabs>
        <w:bidi w:val="0"/>
        <w:spacing w:line="480" w:lineRule="auto"/>
        <w:ind w:left="720"/>
        <w:jc w:val="both"/>
        <w:rPr>
          <w:noProof/>
        </w:rPr>
      </w:pPr>
      <w:r w:rsidRPr="00644563">
        <w:rPr>
          <w:rFonts w:ascii="Times New Roman" w:hAnsi="Times New Roman" w:cs="David"/>
          <w:sz w:val="24"/>
          <w:szCs w:val="24"/>
        </w:rPr>
        <w:t>As can be seen in Figure 5,</w:t>
      </w:r>
      <w:r w:rsidRPr="002A00BD">
        <w:rPr>
          <w:rFonts w:ascii="Times New Roman" w:hAnsi="Times New Roman" w:cs="David"/>
          <w:sz w:val="24"/>
          <w:szCs w:val="24"/>
        </w:rPr>
        <w:t xml:space="preserve"> </w:t>
      </w:r>
      <w:r w:rsidRPr="00644563">
        <w:rPr>
          <w:rFonts w:ascii="Times New Roman" w:hAnsi="Times New Roman" w:cs="David"/>
          <w:sz w:val="24"/>
          <w:szCs w:val="24"/>
        </w:rPr>
        <w:t xml:space="preserve">according to the </w:t>
      </w:r>
      <w:r>
        <w:rPr>
          <w:rFonts w:ascii="Times New Roman" w:hAnsi="Times New Roman" w:cs="David"/>
          <w:sz w:val="24"/>
          <w:szCs w:val="24"/>
        </w:rPr>
        <w:t>ISR-WBG-II 2008-2019,</w:t>
      </w:r>
      <w:r w:rsidRPr="00644563">
        <w:rPr>
          <w:rFonts w:ascii="Times New Roman" w:hAnsi="Times New Roman" w:cs="David"/>
          <w:sz w:val="24"/>
          <w:szCs w:val="24"/>
        </w:rPr>
        <w:t xml:space="preserve"> the general trend is an increase in the level of </w:t>
      </w:r>
      <w:r>
        <w:rPr>
          <w:rFonts w:ascii="Times New Roman" w:hAnsi="Times New Roman" w:cs="David"/>
          <w:sz w:val="24"/>
          <w:szCs w:val="24"/>
        </w:rPr>
        <w:t xml:space="preserve">economic </w:t>
      </w:r>
      <w:r w:rsidRPr="00644563">
        <w:rPr>
          <w:rFonts w:ascii="Times New Roman" w:hAnsi="Times New Roman" w:cs="David"/>
          <w:sz w:val="24"/>
          <w:szCs w:val="24"/>
        </w:rPr>
        <w:t>integration.</w:t>
      </w:r>
      <w:r>
        <w:rPr>
          <w:rFonts w:ascii="Times New Roman" w:hAnsi="Times New Roman" w:cs="David"/>
          <w:sz w:val="24"/>
          <w:szCs w:val="24"/>
        </w:rPr>
        <w:t xml:space="preserve"> </w:t>
      </w:r>
      <w:r w:rsidRPr="00644563">
        <w:rPr>
          <w:rFonts w:ascii="Times New Roman" w:hAnsi="Times New Roman" w:cs="David"/>
          <w:sz w:val="24"/>
          <w:szCs w:val="24"/>
        </w:rPr>
        <w:t xml:space="preserve">While in the West Bank </w:t>
      </w:r>
      <w:r>
        <w:rPr>
          <w:rFonts w:ascii="Times New Roman" w:hAnsi="Times New Roman" w:cs="David"/>
          <w:sz w:val="24"/>
          <w:szCs w:val="24"/>
        </w:rPr>
        <w:t>there</w:t>
      </w:r>
      <w:r w:rsidRPr="00644563">
        <w:rPr>
          <w:rFonts w:ascii="Times New Roman" w:hAnsi="Times New Roman" w:cs="David"/>
          <w:sz w:val="24"/>
          <w:szCs w:val="24"/>
        </w:rPr>
        <w:t xml:space="preserve"> is a gradual increase</w:t>
      </w:r>
      <w:r>
        <w:rPr>
          <w:rFonts w:ascii="Times New Roman" w:hAnsi="Times New Roman" w:cs="David"/>
          <w:sz w:val="24"/>
          <w:szCs w:val="24"/>
        </w:rPr>
        <w:t>,</w:t>
      </w:r>
      <w:r w:rsidRPr="00644563">
        <w:rPr>
          <w:rFonts w:ascii="Times New Roman" w:hAnsi="Times New Roman" w:cs="David"/>
          <w:sz w:val="24"/>
          <w:szCs w:val="24"/>
        </w:rPr>
        <w:t xml:space="preserve"> in the Gaza Strip there was a decrease in the index until 2014 (</w:t>
      </w:r>
      <w:r w:rsidRPr="00947B67">
        <w:rPr>
          <w:rFonts w:ascii="Times New Roman" w:hAnsi="Times New Roman" w:cs="David"/>
          <w:sz w:val="24"/>
          <w:szCs w:val="24"/>
        </w:rPr>
        <w:t>“Operation Protective Edge</w:t>
      </w:r>
      <w:r>
        <w:rPr>
          <w:rFonts w:ascii="Times New Roman" w:hAnsi="Times New Roman" w:cs="David"/>
          <w:sz w:val="24"/>
          <w:szCs w:val="24"/>
        </w:rPr>
        <w:t>"</w:t>
      </w:r>
      <w:r w:rsidRPr="00644563">
        <w:rPr>
          <w:rFonts w:ascii="Times New Roman" w:hAnsi="Times New Roman" w:cs="David"/>
          <w:sz w:val="24"/>
          <w:szCs w:val="24"/>
        </w:rPr>
        <w:t>) and an increase in the integration environment thereafter.</w:t>
      </w:r>
    </w:p>
    <w:p w14:paraId="2EB24EFF" w14:textId="77777777" w:rsidR="00B554FE" w:rsidRDefault="00B554FE" w:rsidP="00824465">
      <w:pPr>
        <w:tabs>
          <w:tab w:val="left" w:pos="7858"/>
        </w:tabs>
        <w:bidi w:val="0"/>
        <w:spacing w:line="480" w:lineRule="auto"/>
        <w:ind w:left="720"/>
        <w:jc w:val="both"/>
        <w:rPr>
          <w:rFonts w:ascii="Times New Roman" w:hAnsi="Times New Roman" w:cs="David"/>
          <w:sz w:val="24"/>
          <w:szCs w:val="24"/>
          <w:rtl/>
        </w:rPr>
      </w:pPr>
      <w:r w:rsidRPr="00FD7FAA">
        <w:rPr>
          <w:rFonts w:ascii="Times New Roman" w:hAnsi="Times New Roman" w:cs="David"/>
          <w:sz w:val="24"/>
          <w:szCs w:val="24"/>
        </w:rPr>
        <w:t xml:space="preserve">It is important to note that it is not possible to compare the </w:t>
      </w:r>
      <w:r w:rsidRPr="00372E66">
        <w:rPr>
          <w:rFonts w:ascii="Times New Roman" w:hAnsi="Times New Roman" w:cs="David"/>
          <w:sz w:val="24"/>
          <w:szCs w:val="24"/>
          <w:u w:val="single"/>
        </w:rPr>
        <w:t>level</w:t>
      </w:r>
      <w:r w:rsidRPr="00FD7FAA">
        <w:rPr>
          <w:rFonts w:ascii="Times New Roman" w:hAnsi="Times New Roman" w:cs="David"/>
          <w:sz w:val="24"/>
          <w:szCs w:val="24"/>
        </w:rPr>
        <w:t xml:space="preserve"> of integration between the indices due to the normalization method, but it is possible to learn about the</w:t>
      </w:r>
      <w:r>
        <w:rPr>
          <w:rFonts w:ascii="Times New Roman" w:hAnsi="Times New Roman" w:cs="David"/>
          <w:sz w:val="24"/>
          <w:szCs w:val="24"/>
        </w:rPr>
        <w:t xml:space="preserve"> overall </w:t>
      </w:r>
      <w:r w:rsidRPr="00FD7FAA">
        <w:rPr>
          <w:rFonts w:ascii="Times New Roman" w:hAnsi="Times New Roman" w:cs="David"/>
          <w:sz w:val="24"/>
          <w:szCs w:val="24"/>
        </w:rPr>
        <w:t>trend</w:t>
      </w:r>
      <w:r>
        <w:rPr>
          <w:rStyle w:val="FootnoteReference"/>
          <w:rFonts w:ascii="Times New Roman" w:hAnsi="Times New Roman" w:cs="David"/>
          <w:sz w:val="24"/>
          <w:szCs w:val="24"/>
        </w:rPr>
        <w:footnoteReference w:id="54"/>
      </w:r>
      <w:r w:rsidRPr="00FD7FAA">
        <w:rPr>
          <w:rFonts w:ascii="Times New Roman" w:hAnsi="Times New Roman" w:cs="David"/>
          <w:sz w:val="24"/>
          <w:szCs w:val="24"/>
        </w:rPr>
        <w:t xml:space="preserve">. </w:t>
      </w:r>
    </w:p>
    <w:p w14:paraId="098D5FE3" w14:textId="77777777" w:rsidR="00B554FE" w:rsidRDefault="00B554FE" w:rsidP="00824465">
      <w:pPr>
        <w:tabs>
          <w:tab w:val="left" w:pos="7858"/>
        </w:tabs>
        <w:bidi w:val="0"/>
        <w:spacing w:line="480" w:lineRule="auto"/>
        <w:ind w:left="720"/>
        <w:jc w:val="both"/>
        <w:rPr>
          <w:rFonts w:ascii="Times New Roman" w:hAnsi="Times New Roman" w:cs="David"/>
          <w:sz w:val="24"/>
          <w:szCs w:val="24"/>
        </w:rPr>
      </w:pPr>
      <w:r w:rsidRPr="0016522E">
        <w:rPr>
          <w:rFonts w:ascii="Times New Roman" w:hAnsi="Times New Roman" w:cs="David"/>
          <w:sz w:val="24"/>
          <w:szCs w:val="24"/>
        </w:rPr>
        <w:t xml:space="preserve">As for the contribution of the various dimensions - it can be seen </w:t>
      </w:r>
      <w:r w:rsidRPr="00644563">
        <w:rPr>
          <w:rFonts w:ascii="Times New Roman" w:hAnsi="Times New Roman" w:cs="David"/>
          <w:sz w:val="24"/>
          <w:szCs w:val="24"/>
        </w:rPr>
        <w:t xml:space="preserve">in Figure </w:t>
      </w:r>
      <w:r>
        <w:rPr>
          <w:rFonts w:ascii="Times New Roman" w:hAnsi="Times New Roman" w:cs="David" w:hint="cs"/>
          <w:sz w:val="24"/>
          <w:szCs w:val="24"/>
          <w:rtl/>
        </w:rPr>
        <w:t>6</w:t>
      </w:r>
      <w:r w:rsidRPr="0016522E">
        <w:rPr>
          <w:rFonts w:ascii="Times New Roman" w:hAnsi="Times New Roman" w:cs="David"/>
          <w:sz w:val="24"/>
          <w:szCs w:val="24"/>
        </w:rPr>
        <w:t xml:space="preserve"> that overall, </w:t>
      </w:r>
      <w:r>
        <w:rPr>
          <w:rFonts w:ascii="Times New Roman" w:hAnsi="Times New Roman" w:cs="David"/>
          <w:sz w:val="24"/>
          <w:szCs w:val="24"/>
        </w:rPr>
        <w:t>the</w:t>
      </w:r>
      <w:r w:rsidRPr="0016522E">
        <w:rPr>
          <w:rFonts w:ascii="Times New Roman" w:hAnsi="Times New Roman" w:cs="David"/>
          <w:sz w:val="24"/>
          <w:szCs w:val="24"/>
        </w:rPr>
        <w:t xml:space="preserve"> dimensions behave more or less the same between the </w:t>
      </w:r>
      <w:r>
        <w:rPr>
          <w:rFonts w:ascii="Times New Roman" w:hAnsi="Times New Roman" w:cs="David"/>
          <w:sz w:val="24"/>
          <w:szCs w:val="24"/>
        </w:rPr>
        <w:t>areas,</w:t>
      </w:r>
      <w:r w:rsidRPr="0016522E">
        <w:rPr>
          <w:rFonts w:ascii="Times New Roman" w:hAnsi="Times New Roman" w:cs="David"/>
          <w:sz w:val="24"/>
          <w:szCs w:val="24"/>
        </w:rPr>
        <w:t xml:space="preserve"> except for more extreme fluctuations in the Gaza Strip due to the geopolitical events that occur from time to time.</w:t>
      </w:r>
      <w:r>
        <w:rPr>
          <w:rFonts w:ascii="Times New Roman" w:hAnsi="Times New Roman" w:cs="David"/>
          <w:sz w:val="24"/>
          <w:szCs w:val="24"/>
        </w:rPr>
        <w:t xml:space="preserve"> The </w:t>
      </w:r>
      <w:r w:rsidRPr="00775D39">
        <w:rPr>
          <w:rFonts w:ascii="Times New Roman" w:hAnsi="Times New Roman" w:cs="David"/>
          <w:sz w:val="24"/>
          <w:szCs w:val="24"/>
        </w:rPr>
        <w:t xml:space="preserve">“Banking and money”, “Resources and infrastructure” dimensions are </w:t>
      </w:r>
      <w:r>
        <w:rPr>
          <w:rFonts w:ascii="Times New Roman" w:hAnsi="Times New Roman" w:cs="David"/>
          <w:sz w:val="24"/>
          <w:szCs w:val="24"/>
        </w:rPr>
        <w:t xml:space="preserve">the strongest </w:t>
      </w:r>
      <w:r w:rsidRPr="00775D39">
        <w:rPr>
          <w:rFonts w:ascii="Times New Roman" w:hAnsi="Times New Roman" w:cs="David"/>
          <w:sz w:val="24"/>
          <w:szCs w:val="24"/>
        </w:rPr>
        <w:t>contribut</w:t>
      </w:r>
      <w:r>
        <w:rPr>
          <w:rFonts w:ascii="Times New Roman" w:hAnsi="Times New Roman" w:cs="David"/>
          <w:sz w:val="24"/>
          <w:szCs w:val="24"/>
        </w:rPr>
        <w:t>ors</w:t>
      </w:r>
      <w:r w:rsidRPr="00775D39">
        <w:rPr>
          <w:rFonts w:ascii="Times New Roman" w:hAnsi="Times New Roman" w:cs="David"/>
          <w:sz w:val="24"/>
          <w:szCs w:val="24"/>
        </w:rPr>
        <w:t xml:space="preserve"> to increase in the level of</w:t>
      </w:r>
      <w:r>
        <w:rPr>
          <w:rFonts w:ascii="Times New Roman" w:hAnsi="Times New Roman" w:cs="David"/>
          <w:sz w:val="24"/>
          <w:szCs w:val="24"/>
        </w:rPr>
        <w:t xml:space="preserve"> economic</w:t>
      </w:r>
      <w:r w:rsidRPr="00775D39">
        <w:rPr>
          <w:rFonts w:ascii="Times New Roman" w:hAnsi="Times New Roman" w:cs="David"/>
          <w:sz w:val="24"/>
          <w:szCs w:val="24"/>
        </w:rPr>
        <w:t xml:space="preserve"> integration between the regions</w:t>
      </w:r>
      <w:r>
        <w:rPr>
          <w:rFonts w:ascii="Times New Roman" w:hAnsi="Times New Roman" w:cs="David"/>
          <w:sz w:val="24"/>
          <w:szCs w:val="24"/>
        </w:rPr>
        <w:t xml:space="preserve"> in all areas</w:t>
      </w:r>
      <w:r w:rsidRPr="00775D39">
        <w:rPr>
          <w:rFonts w:ascii="Times New Roman" w:hAnsi="Times New Roman" w:cs="David"/>
          <w:sz w:val="24"/>
          <w:szCs w:val="24"/>
        </w:rPr>
        <w:t xml:space="preserve">. </w:t>
      </w:r>
      <w:r>
        <w:rPr>
          <w:rFonts w:ascii="Times New Roman" w:hAnsi="Times New Roman" w:cs="David"/>
          <w:sz w:val="24"/>
          <w:szCs w:val="24"/>
        </w:rPr>
        <w:t>Followed by</w:t>
      </w:r>
      <w:r w:rsidRPr="00DF5332">
        <w:rPr>
          <w:rFonts w:ascii="Times New Roman" w:hAnsi="Times New Roman" w:cs="David"/>
          <w:sz w:val="24"/>
          <w:szCs w:val="24"/>
        </w:rPr>
        <w:t xml:space="preserve"> </w:t>
      </w:r>
      <w:r w:rsidRPr="00775D39">
        <w:rPr>
          <w:rFonts w:ascii="Times New Roman" w:hAnsi="Times New Roman" w:cs="David"/>
          <w:sz w:val="24"/>
          <w:szCs w:val="24"/>
        </w:rPr>
        <w:t>“Movement of people and services”</w:t>
      </w:r>
      <w:r>
        <w:rPr>
          <w:rFonts w:ascii="Times New Roman" w:hAnsi="Times New Roman" w:cs="David"/>
          <w:sz w:val="24"/>
          <w:szCs w:val="24"/>
        </w:rPr>
        <w:t xml:space="preserve"> and </w:t>
      </w:r>
      <w:r w:rsidRPr="00775D39">
        <w:rPr>
          <w:rFonts w:ascii="Times New Roman" w:hAnsi="Times New Roman" w:cs="David"/>
          <w:sz w:val="24"/>
          <w:szCs w:val="24"/>
        </w:rPr>
        <w:t>"Trade</w:t>
      </w:r>
      <w:r>
        <w:rPr>
          <w:rFonts w:ascii="Times New Roman" w:hAnsi="Times New Roman" w:cs="David"/>
          <w:sz w:val="24"/>
          <w:szCs w:val="24"/>
        </w:rPr>
        <w:t xml:space="preserve"> and </w:t>
      </w:r>
      <w:r w:rsidRPr="00775D39">
        <w:rPr>
          <w:rFonts w:ascii="Times New Roman" w:hAnsi="Times New Roman" w:cs="David"/>
          <w:sz w:val="24"/>
          <w:szCs w:val="24"/>
        </w:rPr>
        <w:t>employment</w:t>
      </w:r>
      <w:r>
        <w:rPr>
          <w:rFonts w:ascii="Times New Roman" w:hAnsi="Times New Roman" w:cs="David"/>
          <w:sz w:val="24"/>
          <w:szCs w:val="24"/>
        </w:rPr>
        <w:t>”</w:t>
      </w:r>
      <w:r w:rsidRPr="00775D39">
        <w:rPr>
          <w:rFonts w:ascii="Times New Roman" w:hAnsi="Times New Roman" w:cs="David"/>
          <w:sz w:val="24"/>
          <w:szCs w:val="24"/>
        </w:rPr>
        <w:t xml:space="preserve"> dimension</w:t>
      </w:r>
      <w:r>
        <w:rPr>
          <w:rFonts w:ascii="Times New Roman" w:hAnsi="Times New Roman" w:cs="David"/>
          <w:sz w:val="24"/>
          <w:szCs w:val="24"/>
        </w:rPr>
        <w:t>s, w</w:t>
      </w:r>
      <w:r w:rsidRPr="00775D39">
        <w:rPr>
          <w:rFonts w:ascii="Times New Roman" w:hAnsi="Times New Roman" w:cs="David"/>
          <w:sz w:val="24"/>
          <w:szCs w:val="24"/>
        </w:rPr>
        <w:t>hile "Wealth and standard of living" dimension reduces the level of</w:t>
      </w:r>
      <w:r>
        <w:rPr>
          <w:rFonts w:ascii="Times New Roman" w:hAnsi="Times New Roman" w:cs="David"/>
          <w:sz w:val="24"/>
          <w:szCs w:val="24"/>
        </w:rPr>
        <w:t xml:space="preserve"> economic</w:t>
      </w:r>
      <w:r w:rsidRPr="00775D39">
        <w:rPr>
          <w:rFonts w:ascii="Times New Roman" w:hAnsi="Times New Roman" w:cs="David"/>
          <w:sz w:val="24"/>
          <w:szCs w:val="24"/>
        </w:rPr>
        <w:t xml:space="preserve"> integration. </w:t>
      </w:r>
    </w:p>
    <w:p w14:paraId="0B29AA5C" w14:textId="77777777" w:rsidR="006E6022" w:rsidRDefault="006E6022" w:rsidP="006E6022">
      <w:pPr>
        <w:tabs>
          <w:tab w:val="left" w:pos="7858"/>
        </w:tabs>
        <w:bidi w:val="0"/>
        <w:spacing w:line="480" w:lineRule="auto"/>
        <w:ind w:left="720"/>
        <w:jc w:val="both"/>
        <w:rPr>
          <w:rFonts w:ascii="Times New Roman" w:hAnsi="Times New Roman" w:cs="David"/>
          <w:sz w:val="24"/>
          <w:szCs w:val="24"/>
        </w:rPr>
        <w:sectPr w:rsidR="006E6022" w:rsidSect="00EC513F">
          <w:pgSz w:w="11906" w:h="16838"/>
          <w:pgMar w:top="1440" w:right="1800" w:bottom="1440" w:left="1800" w:header="708" w:footer="708" w:gutter="0"/>
          <w:cols w:space="708"/>
          <w:bidi/>
          <w:rtlGutter/>
          <w:docGrid w:linePitch="360"/>
        </w:sectPr>
      </w:pPr>
    </w:p>
    <w:p w14:paraId="289AB361" w14:textId="463A8735" w:rsidR="00F03B79" w:rsidRPr="006E6022" w:rsidRDefault="006E6022" w:rsidP="006E6022">
      <w:pPr>
        <w:pStyle w:val="ListParagraph"/>
        <w:numPr>
          <w:ilvl w:val="0"/>
          <w:numId w:val="3"/>
        </w:numPr>
        <w:autoSpaceDE w:val="0"/>
        <w:autoSpaceDN w:val="0"/>
        <w:bidi w:val="0"/>
        <w:adjustRightInd w:val="0"/>
        <w:spacing w:after="240"/>
        <w:ind w:left="357" w:hanging="357"/>
        <w:contextualSpacing w:val="0"/>
        <w:rPr>
          <w:rFonts w:asciiTheme="majorBidi" w:hAnsiTheme="majorBidi" w:cstheme="majorBidi"/>
          <w:b/>
          <w:bCs/>
          <w:sz w:val="28"/>
          <w:szCs w:val="28"/>
        </w:rPr>
      </w:pPr>
      <w:r w:rsidRPr="006E6022">
        <w:rPr>
          <w:rFonts w:asciiTheme="majorBidi" w:hAnsiTheme="majorBidi" w:cstheme="majorBidi"/>
          <w:b/>
          <w:bCs/>
          <w:sz w:val="28"/>
          <w:szCs w:val="28"/>
        </w:rPr>
        <w:t xml:space="preserve">Chapter 6: </w:t>
      </w:r>
      <w:r w:rsidR="00F03B79" w:rsidRPr="006E6022">
        <w:rPr>
          <w:rFonts w:asciiTheme="majorBidi" w:hAnsiTheme="majorBidi" w:cstheme="majorBidi"/>
          <w:b/>
          <w:bCs/>
          <w:sz w:val="28"/>
          <w:szCs w:val="28"/>
        </w:rPr>
        <w:t xml:space="preserve">Economic integration, terrorism, and </w:t>
      </w:r>
      <w:r w:rsidR="00F03B79" w:rsidRPr="006E6022">
        <w:rPr>
          <w:rFonts w:asciiTheme="majorBidi" w:eastAsiaTheme="minorHAnsi" w:hAnsiTheme="majorBidi" w:cstheme="majorBidi"/>
          <w:b/>
          <w:bCs/>
          <w:sz w:val="28"/>
          <w:szCs w:val="28"/>
        </w:rPr>
        <w:t>unemployment</w:t>
      </w:r>
    </w:p>
    <w:p w14:paraId="51E061C2" w14:textId="77777777" w:rsidR="00F03B79" w:rsidRDefault="00F03B79" w:rsidP="00C810D6">
      <w:pPr>
        <w:pStyle w:val="paragraph"/>
        <w:spacing w:before="0" w:beforeAutospacing="0" w:after="0" w:afterAutospacing="0" w:line="480" w:lineRule="auto"/>
        <w:ind w:left="357"/>
        <w:jc w:val="both"/>
        <w:textAlignment w:val="baseline"/>
        <w:rPr>
          <w:rFonts w:ascii="Segoe UI" w:hAnsi="Segoe UI" w:cs="Segoe UI"/>
          <w:sz w:val="18"/>
          <w:szCs w:val="18"/>
        </w:rPr>
      </w:pPr>
      <w:r w:rsidRPr="631787EE">
        <w:rPr>
          <w:rStyle w:val="normaltextrun"/>
        </w:rPr>
        <w:t>In general, economic theory of crime (Becker, 1968, p. 177) predicts that: “a rise in the income available in legal activities or an increase in law-abidingness due, say, to ‘education’ would reduce the incentive to enter illegal activities and thus would reduce the number of offenses".</w:t>
      </w:r>
      <w:r w:rsidRPr="631787EE">
        <w:rPr>
          <w:rStyle w:val="eop"/>
        </w:rPr>
        <w:t> </w:t>
      </w:r>
    </w:p>
    <w:p w14:paraId="2813414B" w14:textId="77777777" w:rsidR="00F03B79" w:rsidRDefault="00F03B79" w:rsidP="00C810D6">
      <w:pPr>
        <w:pStyle w:val="paragraph"/>
        <w:spacing w:before="0" w:beforeAutospacing="0" w:after="0" w:afterAutospacing="0" w:line="480" w:lineRule="auto"/>
        <w:ind w:left="357"/>
        <w:jc w:val="both"/>
        <w:textAlignment w:val="baseline"/>
        <w:rPr>
          <w:rStyle w:val="eop"/>
        </w:rPr>
      </w:pPr>
      <w:r w:rsidRPr="631787EE">
        <w:rPr>
          <w:rStyle w:val="normaltextrun"/>
        </w:rPr>
        <w:t>In the aftermath of the events of September 11, 2001, President George W. Bush (2002) called for increased aid and educational assistance to end terrorism - “We fight against poverty because hope is an answer to terror.”</w:t>
      </w:r>
      <w:r w:rsidRPr="631787EE">
        <w:rPr>
          <w:rStyle w:val="eop"/>
        </w:rPr>
        <w:t> </w:t>
      </w:r>
      <w:r w:rsidRPr="631787EE">
        <w:rPr>
          <w:rStyle w:val="normaltextrun"/>
        </w:rPr>
        <w:t>But the evidence in the literature supports this are mixed.</w:t>
      </w:r>
    </w:p>
    <w:p w14:paraId="05BCB0B8" w14:textId="77777777" w:rsidR="00F03B79" w:rsidRDefault="00F03B79" w:rsidP="00C810D6">
      <w:pPr>
        <w:pStyle w:val="paragraph"/>
        <w:spacing w:before="0" w:beforeAutospacing="0" w:after="0" w:afterAutospacing="0" w:line="480" w:lineRule="auto"/>
        <w:ind w:left="357"/>
        <w:jc w:val="both"/>
        <w:textAlignment w:val="baseline"/>
        <w:rPr>
          <w:rFonts w:ascii="Segoe UI" w:hAnsi="Segoe UI" w:cs="Segoe UI"/>
          <w:sz w:val="18"/>
          <w:szCs w:val="18"/>
        </w:rPr>
      </w:pPr>
      <w:r w:rsidRPr="631787EE">
        <w:rPr>
          <w:rStyle w:val="normaltextrun"/>
        </w:rPr>
        <w:t>For example, Stein (1990) compared the First Intifada and the Arab Uprising in 1936. In both cases the years preceding the uprising had been marked by growing frustration on the part of the Palestinians. Adding to the Palestinian frustrations was economic hardship borne of unemployment and underemployment, the drying up of traditional sources of capital import, and dramatic price drops, particularly in agriculture. Against this background, elements of militant Islam were on the rise.</w:t>
      </w:r>
      <w:r w:rsidRPr="631787EE">
        <w:rPr>
          <w:rStyle w:val="eop"/>
        </w:rPr>
        <w:t> </w:t>
      </w:r>
    </w:p>
    <w:p w14:paraId="32D4277C" w14:textId="77777777" w:rsidR="00F03B79" w:rsidRDefault="00F03B79" w:rsidP="00C810D6">
      <w:pPr>
        <w:pStyle w:val="paragraph"/>
        <w:spacing w:before="0" w:beforeAutospacing="0" w:after="0" w:afterAutospacing="0" w:line="480" w:lineRule="auto"/>
        <w:ind w:left="357"/>
        <w:jc w:val="both"/>
        <w:textAlignment w:val="baseline"/>
        <w:rPr>
          <w:rFonts w:ascii="Segoe UI" w:hAnsi="Segoe UI" w:cs="Segoe UI"/>
          <w:sz w:val="18"/>
          <w:szCs w:val="18"/>
        </w:rPr>
      </w:pPr>
      <w:proofErr w:type="spellStart"/>
      <w:r>
        <w:rPr>
          <w:rStyle w:val="spellingerror"/>
        </w:rPr>
        <w:t>Nassra</w:t>
      </w:r>
      <w:proofErr w:type="spellEnd"/>
      <w:r>
        <w:rPr>
          <w:rStyle w:val="normaltextrun"/>
        </w:rPr>
        <w:t xml:space="preserve"> Hassan’s (2001) informal observations about Palestinian suicide bombers were: "</w:t>
      </w:r>
      <w:r>
        <w:rPr>
          <w:rStyle w:val="normaltextrun"/>
          <w:color w:val="000000"/>
          <w:shd w:val="clear" w:color="auto" w:fill="FFFFFF"/>
        </w:rPr>
        <w:t xml:space="preserve">None of them were uneducated, desperately poor, simple-minded, or depressed. Many were middle class and, unless they were fugitives, held paying jobs. More than half of them were refugees from what is now Israel. Two were the sons of millionaires. They all seemed to be entirely normal members of their families". </w:t>
      </w:r>
      <w:proofErr w:type="spellStart"/>
      <w:r>
        <w:t>Berrebi</w:t>
      </w:r>
      <w:proofErr w:type="spellEnd"/>
      <w:r>
        <w:t xml:space="preserve"> (2007) finds that both higher education and standard of living are positively associated with participation in Hamas o</w:t>
      </w:r>
      <w:r w:rsidRPr="631787EE">
        <w:t>r Islamic Jihad and with be</w:t>
      </w:r>
      <w:r>
        <w:t xml:space="preserve">coming a suicide bomber, while being married significantly reduces the probability of participation in terrorist activities. </w:t>
      </w:r>
    </w:p>
    <w:p w14:paraId="0FFB9312" w14:textId="77777777" w:rsidR="00F03B79" w:rsidRDefault="00F03B79" w:rsidP="00C810D6">
      <w:pPr>
        <w:pStyle w:val="paragraph"/>
        <w:spacing w:before="0" w:beforeAutospacing="0" w:after="0" w:afterAutospacing="0" w:line="480" w:lineRule="auto"/>
        <w:ind w:left="357"/>
        <w:jc w:val="both"/>
        <w:textAlignment w:val="baseline"/>
        <w:rPr>
          <w:rFonts w:ascii="Segoe UI" w:hAnsi="Segoe UI" w:cs="Segoe UI"/>
          <w:sz w:val="18"/>
          <w:szCs w:val="18"/>
        </w:rPr>
      </w:pPr>
      <w:r w:rsidRPr="631787EE">
        <w:rPr>
          <w:rStyle w:val="normaltextrun"/>
        </w:rPr>
        <w:t xml:space="preserve">Krueger and </w:t>
      </w:r>
      <w:proofErr w:type="spellStart"/>
      <w:r w:rsidRPr="631787EE">
        <w:rPr>
          <w:rStyle w:val="spellingerror"/>
        </w:rPr>
        <w:t>Maleckova</w:t>
      </w:r>
      <w:proofErr w:type="spellEnd"/>
      <w:r w:rsidRPr="631787EE">
        <w:rPr>
          <w:rStyle w:val="normaltextrun"/>
        </w:rPr>
        <w:t xml:space="preserve"> (2003) argue that any connection between poverty, education and terrorism is indirect, complicated and probably quite weak. The evidence they assembled was based upon public opinion data from the West Bank and Gaza Strip regarding Palestinians’ attitudes toward violence and terrorism, brought them to conclude that instead of viewing terrorism as a direct response to low market opportunities or ignorance, it is more accurately viewed as a response to political conditions and long-standing feelings of indignity and frustration that have little to do with economics. </w:t>
      </w:r>
      <w:r w:rsidRPr="631787EE">
        <w:rPr>
          <w:rStyle w:val="eop"/>
        </w:rPr>
        <w:t> </w:t>
      </w:r>
    </w:p>
    <w:p w14:paraId="4145D6E8" w14:textId="77777777" w:rsidR="00F03B79" w:rsidRDefault="00F03B79" w:rsidP="00C810D6">
      <w:pPr>
        <w:pStyle w:val="paragraph"/>
        <w:spacing w:before="0" w:beforeAutospacing="0" w:after="0" w:afterAutospacing="0" w:line="480" w:lineRule="auto"/>
        <w:ind w:left="357"/>
        <w:jc w:val="both"/>
        <w:textAlignment w:val="baseline"/>
        <w:rPr>
          <w:rFonts w:ascii="Segoe UI" w:hAnsi="Segoe UI" w:cs="Segoe UI"/>
          <w:sz w:val="18"/>
          <w:szCs w:val="18"/>
        </w:rPr>
      </w:pPr>
      <w:r>
        <w:rPr>
          <w:rStyle w:val="normaltextrun"/>
        </w:rPr>
        <w:t>Saleh (2004) provides evidence that Palestinian economic conditions are related to the level of attacks against Israelis from 1990-2002, likewise, his model predicts that a reduction in the unemployment rate would reduce the incentive for young Palestinians to participate in political violence. </w:t>
      </w:r>
      <w:r>
        <w:rPr>
          <w:rStyle w:val="eop"/>
        </w:rPr>
        <w:t> </w:t>
      </w:r>
    </w:p>
    <w:p w14:paraId="2F52530E" w14:textId="77777777" w:rsidR="00F03B79" w:rsidRDefault="00F03B79" w:rsidP="00C810D6">
      <w:pPr>
        <w:pStyle w:val="paragraph"/>
        <w:spacing w:before="0" w:beforeAutospacing="0" w:after="0" w:afterAutospacing="0" w:line="480" w:lineRule="auto"/>
        <w:ind w:left="357"/>
        <w:jc w:val="both"/>
        <w:textAlignment w:val="baseline"/>
        <w:rPr>
          <w:rFonts w:ascii="Segoe UI" w:hAnsi="Segoe UI" w:cs="Segoe UI"/>
          <w:sz w:val="18"/>
          <w:szCs w:val="18"/>
        </w:rPr>
      </w:pPr>
      <w:r>
        <w:rPr>
          <w:rStyle w:val="normaltextrun"/>
        </w:rPr>
        <w:t>Burgoon (2006) argues that social welfare policies may reduce international and domestic terrorism. Social policies likely affect terrorism in offsetting ways but, on balance, should diminish preferences for terrorism by reducing economic insecurity, inequality, poverty, and religious-political extremism.</w:t>
      </w:r>
      <w:r>
        <w:rPr>
          <w:rStyle w:val="eop"/>
        </w:rPr>
        <w:t> </w:t>
      </w:r>
    </w:p>
    <w:p w14:paraId="04491296" w14:textId="77777777" w:rsidR="00F03B79" w:rsidRDefault="00F03B79" w:rsidP="00C810D6">
      <w:pPr>
        <w:pStyle w:val="paragraph"/>
        <w:spacing w:before="0" w:beforeAutospacing="0" w:after="0" w:afterAutospacing="0" w:line="480" w:lineRule="auto"/>
        <w:ind w:left="357"/>
        <w:jc w:val="both"/>
        <w:textAlignment w:val="baseline"/>
        <w:rPr>
          <w:rStyle w:val="normaltextrun"/>
          <w:rtl/>
        </w:rPr>
      </w:pPr>
      <w:proofErr w:type="spellStart"/>
      <w:r>
        <w:t>Benmelech</w:t>
      </w:r>
      <w:proofErr w:type="spellEnd"/>
      <w:r>
        <w:t xml:space="preserve">, </w:t>
      </w:r>
      <w:proofErr w:type="spellStart"/>
      <w:r>
        <w:t>Berrebi</w:t>
      </w:r>
      <w:proofErr w:type="spellEnd"/>
      <w:r>
        <w:t xml:space="preserve"> and </w:t>
      </w:r>
      <w:proofErr w:type="spellStart"/>
      <w:r>
        <w:t>Klor</w:t>
      </w:r>
      <w:proofErr w:type="spellEnd"/>
      <w:r>
        <w:t xml:space="preserve"> (2010) find robust evidence that terror attacks have important economic costs - a successful attack causes an increase of 5.3% in unemployment, increases the likelihood that the district’s average wages fall in the quarter following an attack by more than 20%, and reduces the number of Palestinians working in Israel by 6.7% percent relative to its mean. Importantly, these effects are persistent and last for at least six months after the attack. In another research </w:t>
      </w:r>
      <w:proofErr w:type="spellStart"/>
      <w:r>
        <w:t>Benmelech</w:t>
      </w:r>
      <w:proofErr w:type="spellEnd"/>
      <w:r>
        <w:t xml:space="preserve">, </w:t>
      </w:r>
      <w:proofErr w:type="spellStart"/>
      <w:r>
        <w:t>Berrebi</w:t>
      </w:r>
      <w:proofErr w:type="spellEnd"/>
      <w:r>
        <w:t xml:space="preserve"> and </w:t>
      </w:r>
      <w:proofErr w:type="spellStart"/>
      <w:r>
        <w:t>Klor</w:t>
      </w:r>
      <w:proofErr w:type="spellEnd"/>
      <w:r>
        <w:t xml:space="preserve"> (2010) find  that high levels of unemployment enable terror organizations to recruit more educated, mature and experienced suicide terrorists, who in turn attack more important Israeli targets. This is because economic conditions may lead more able, better-educated individuals to participate in terror attacks, allowing terror organizations to send better-qualified terrorists to more complex, higher-impact, terror missions.</w:t>
      </w:r>
    </w:p>
    <w:p w14:paraId="025AB773" w14:textId="77777777" w:rsidR="00F03B79" w:rsidRPr="005960BC" w:rsidRDefault="00F03B79" w:rsidP="00C810D6">
      <w:pPr>
        <w:pStyle w:val="paragraph"/>
        <w:spacing w:before="0" w:beforeAutospacing="0" w:after="0" w:afterAutospacing="0" w:line="480" w:lineRule="auto"/>
        <w:ind w:left="357"/>
        <w:jc w:val="both"/>
        <w:textAlignment w:val="baseline"/>
        <w:rPr>
          <w:rStyle w:val="normaltextrun"/>
        </w:rPr>
      </w:pPr>
      <w:r w:rsidRPr="631787EE">
        <w:rPr>
          <w:rStyle w:val="normaltextrun"/>
        </w:rPr>
        <w:t>In Figures 1 and 2 below we can find the relation between the ISR-WBG-II 1968 and terrorism fatalities in Israel. The peak (2002) in Figure 1 in the number of terrorism fatalities in Israel during the “Second Intifada”, and the peak (2015) in Figure 2 during the so-called “Intifada of the Individuals” are negatively related to the level of integration according to the indices constructed.</w:t>
      </w:r>
    </w:p>
    <w:p w14:paraId="6D3C57AB" w14:textId="7C4831F5" w:rsidR="00F03B79" w:rsidRPr="00483AD7" w:rsidRDefault="00F03B79" w:rsidP="00F03B79">
      <w:pPr>
        <w:pStyle w:val="paragraph"/>
        <w:spacing w:before="0" w:beforeAutospacing="0" w:after="0" w:afterAutospacing="0" w:line="480" w:lineRule="auto"/>
        <w:ind w:left="720"/>
        <w:jc w:val="center"/>
        <w:textAlignment w:val="baseline"/>
        <w:rPr>
          <w:rFonts w:ascii="Segoe UI" w:hAnsi="Segoe UI" w:cs="Segoe UI"/>
          <w:b/>
          <w:bCs/>
          <w:sz w:val="18"/>
          <w:szCs w:val="18"/>
        </w:rPr>
      </w:pPr>
      <w:r w:rsidRPr="00483AD7">
        <w:rPr>
          <w:rStyle w:val="normaltextrun"/>
          <w:b/>
          <w:bCs/>
        </w:rPr>
        <w:t xml:space="preserve">Figure </w:t>
      </w:r>
      <w:r w:rsidR="00C810D6">
        <w:rPr>
          <w:rStyle w:val="normaltextrun"/>
          <w:b/>
          <w:bCs/>
        </w:rPr>
        <w:t>49</w:t>
      </w:r>
      <w:r w:rsidRPr="00483AD7">
        <w:rPr>
          <w:rStyle w:val="normaltextrun"/>
          <w:b/>
          <w:bCs/>
        </w:rPr>
        <w:t xml:space="preserve"> - ISR-WBG-II 1968 and terrorism </w:t>
      </w:r>
      <w:r>
        <w:rPr>
          <w:rStyle w:val="normaltextrun"/>
          <w:b/>
          <w:bCs/>
        </w:rPr>
        <w:t>fatalities</w:t>
      </w:r>
    </w:p>
    <w:p w14:paraId="3EFC315C" w14:textId="77777777" w:rsidR="00F03B79" w:rsidRDefault="00F03B79" w:rsidP="00F03B79">
      <w:pPr>
        <w:pStyle w:val="paragraph"/>
        <w:spacing w:before="0" w:beforeAutospacing="0" w:after="0" w:afterAutospacing="0" w:line="480" w:lineRule="auto"/>
        <w:ind w:left="720"/>
        <w:jc w:val="center"/>
        <w:textAlignment w:val="baseline"/>
        <w:rPr>
          <w:rFonts w:ascii="Segoe UI" w:hAnsi="Segoe UI" w:cs="Segoe UI"/>
          <w:sz w:val="18"/>
          <w:szCs w:val="18"/>
        </w:rPr>
      </w:pPr>
      <w:r>
        <w:rPr>
          <w:noProof/>
        </w:rPr>
        <w:drawing>
          <wp:inline distT="0" distB="0" distL="0" distR="0" wp14:anchorId="155DC11B" wp14:editId="48C5D637">
            <wp:extent cx="4320000" cy="2520000"/>
            <wp:effectExtent l="0" t="0" r="4445" b="13970"/>
            <wp:docPr id="50" name="Chart 50">
              <a:extLst xmlns:a="http://schemas.openxmlformats.org/drawingml/2006/main">
                <a:ext uri="{FF2B5EF4-FFF2-40B4-BE49-F238E27FC236}">
                  <a16:creationId xmlns:a16="http://schemas.microsoft.com/office/drawing/2014/main" id="{E2DC8355-6FCC-412B-880A-23FDACFBE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BFE791A" w14:textId="77777777" w:rsidR="00F03B79" w:rsidRDefault="00F03B79" w:rsidP="00F03B79">
      <w:pPr>
        <w:pStyle w:val="paragraph"/>
        <w:spacing w:before="0" w:beforeAutospacing="0" w:after="0" w:afterAutospacing="0" w:line="480" w:lineRule="auto"/>
        <w:ind w:left="720"/>
        <w:jc w:val="center"/>
        <w:textAlignment w:val="baseline"/>
        <w:rPr>
          <w:rStyle w:val="normaltextrun"/>
          <w:b/>
          <w:bCs/>
        </w:rPr>
      </w:pPr>
    </w:p>
    <w:p w14:paraId="1C78BCC1" w14:textId="77777777" w:rsidR="00F03B79" w:rsidRDefault="00F03B79" w:rsidP="00F03B79">
      <w:pPr>
        <w:pStyle w:val="paragraph"/>
        <w:spacing w:before="0" w:beforeAutospacing="0" w:after="0" w:afterAutospacing="0" w:line="480" w:lineRule="auto"/>
        <w:ind w:left="720"/>
        <w:jc w:val="center"/>
        <w:textAlignment w:val="baseline"/>
        <w:rPr>
          <w:rStyle w:val="normaltextrun"/>
          <w:b/>
          <w:bCs/>
        </w:rPr>
      </w:pPr>
    </w:p>
    <w:p w14:paraId="5EEDF793" w14:textId="77777777" w:rsidR="00F03B79" w:rsidRDefault="00F03B79" w:rsidP="00F03B79">
      <w:pPr>
        <w:pStyle w:val="paragraph"/>
        <w:spacing w:before="0" w:beforeAutospacing="0" w:after="0" w:afterAutospacing="0" w:line="480" w:lineRule="auto"/>
        <w:ind w:left="720"/>
        <w:jc w:val="center"/>
        <w:textAlignment w:val="baseline"/>
        <w:rPr>
          <w:rStyle w:val="normaltextrun"/>
          <w:b/>
          <w:bCs/>
        </w:rPr>
      </w:pPr>
    </w:p>
    <w:p w14:paraId="6A3FBCD5" w14:textId="77777777" w:rsidR="00F03B79" w:rsidRDefault="00F03B79" w:rsidP="00F03B79">
      <w:pPr>
        <w:pStyle w:val="paragraph"/>
        <w:spacing w:before="0" w:beforeAutospacing="0" w:after="0" w:afterAutospacing="0" w:line="480" w:lineRule="auto"/>
        <w:ind w:left="720"/>
        <w:jc w:val="center"/>
        <w:textAlignment w:val="baseline"/>
        <w:rPr>
          <w:rStyle w:val="normaltextrun"/>
          <w:b/>
          <w:bCs/>
        </w:rPr>
      </w:pPr>
    </w:p>
    <w:p w14:paraId="2A3C2FF1" w14:textId="77777777" w:rsidR="00F03B79" w:rsidRDefault="00F03B79" w:rsidP="00F03B79">
      <w:pPr>
        <w:pStyle w:val="paragraph"/>
        <w:spacing w:before="0" w:beforeAutospacing="0" w:after="0" w:afterAutospacing="0" w:line="480" w:lineRule="auto"/>
        <w:ind w:left="720"/>
        <w:jc w:val="center"/>
        <w:textAlignment w:val="baseline"/>
        <w:rPr>
          <w:rStyle w:val="normaltextrun"/>
          <w:b/>
          <w:bCs/>
        </w:rPr>
      </w:pPr>
    </w:p>
    <w:p w14:paraId="6207EDFD" w14:textId="77777777" w:rsidR="00F03B79" w:rsidRDefault="00F03B79" w:rsidP="00F03B79">
      <w:pPr>
        <w:pStyle w:val="paragraph"/>
        <w:spacing w:before="0" w:beforeAutospacing="0" w:after="0" w:afterAutospacing="0" w:line="480" w:lineRule="auto"/>
        <w:ind w:left="720"/>
        <w:jc w:val="center"/>
        <w:textAlignment w:val="baseline"/>
        <w:rPr>
          <w:rStyle w:val="normaltextrun"/>
          <w:b/>
          <w:bCs/>
        </w:rPr>
      </w:pPr>
    </w:p>
    <w:p w14:paraId="65420103" w14:textId="77777777" w:rsidR="00F03B79" w:rsidRDefault="00F03B79" w:rsidP="00F03B79">
      <w:pPr>
        <w:pStyle w:val="paragraph"/>
        <w:spacing w:before="0" w:beforeAutospacing="0" w:after="0" w:afterAutospacing="0" w:line="480" w:lineRule="auto"/>
        <w:ind w:left="720"/>
        <w:jc w:val="center"/>
        <w:textAlignment w:val="baseline"/>
        <w:rPr>
          <w:rStyle w:val="normaltextrun"/>
          <w:b/>
          <w:bCs/>
        </w:rPr>
      </w:pPr>
    </w:p>
    <w:p w14:paraId="302DC4D4" w14:textId="3CB4BECA" w:rsidR="00F03B79" w:rsidRPr="00483AD7" w:rsidRDefault="00F03B79" w:rsidP="00F03B79">
      <w:pPr>
        <w:pStyle w:val="paragraph"/>
        <w:spacing w:before="0" w:beforeAutospacing="0" w:after="0" w:afterAutospacing="0" w:line="480" w:lineRule="auto"/>
        <w:ind w:left="720"/>
        <w:jc w:val="center"/>
        <w:textAlignment w:val="baseline"/>
        <w:rPr>
          <w:rFonts w:ascii="Segoe UI" w:hAnsi="Segoe UI" w:cs="Segoe UI"/>
          <w:b/>
          <w:bCs/>
          <w:sz w:val="18"/>
          <w:szCs w:val="18"/>
        </w:rPr>
      </w:pPr>
      <w:r w:rsidRPr="00483AD7">
        <w:rPr>
          <w:rStyle w:val="normaltextrun"/>
          <w:b/>
          <w:bCs/>
        </w:rPr>
        <w:t xml:space="preserve">Figure </w:t>
      </w:r>
      <w:r w:rsidR="00C810D6">
        <w:rPr>
          <w:rStyle w:val="normaltextrun"/>
          <w:b/>
          <w:bCs/>
        </w:rPr>
        <w:t>50</w:t>
      </w:r>
      <w:r w:rsidRPr="00483AD7">
        <w:rPr>
          <w:rStyle w:val="normaltextrun"/>
          <w:b/>
          <w:bCs/>
        </w:rPr>
        <w:t xml:space="preserve">- ISR-WBG-II </w:t>
      </w:r>
      <w:r>
        <w:rPr>
          <w:rStyle w:val="normaltextrun"/>
          <w:b/>
          <w:bCs/>
        </w:rPr>
        <w:t>2010</w:t>
      </w:r>
      <w:r w:rsidRPr="00483AD7">
        <w:rPr>
          <w:rStyle w:val="normaltextrun"/>
          <w:b/>
          <w:bCs/>
        </w:rPr>
        <w:t xml:space="preserve"> and terrorism </w:t>
      </w:r>
      <w:r>
        <w:rPr>
          <w:rStyle w:val="normaltextrun"/>
          <w:b/>
          <w:bCs/>
        </w:rPr>
        <w:t>fatalities</w:t>
      </w:r>
    </w:p>
    <w:p w14:paraId="66E4D2B4" w14:textId="77777777" w:rsidR="00F03B79" w:rsidRDefault="00F03B79" w:rsidP="00F03B79">
      <w:pPr>
        <w:pStyle w:val="paragraph"/>
        <w:spacing w:before="0" w:beforeAutospacing="0" w:after="0" w:afterAutospacing="0" w:line="480" w:lineRule="auto"/>
        <w:ind w:left="1440"/>
        <w:jc w:val="both"/>
        <w:textAlignment w:val="baseline"/>
        <w:rPr>
          <w:rStyle w:val="eop"/>
        </w:rPr>
      </w:pPr>
      <w:r>
        <w:rPr>
          <w:noProof/>
        </w:rPr>
        <w:drawing>
          <wp:inline distT="0" distB="0" distL="0" distR="0" wp14:anchorId="68B7D8AA" wp14:editId="6FFFE60B">
            <wp:extent cx="4320000" cy="2520000"/>
            <wp:effectExtent l="0" t="0" r="4445" b="13970"/>
            <wp:docPr id="51" name="Chart 51">
              <a:extLst xmlns:a="http://schemas.openxmlformats.org/drawingml/2006/main">
                <a:ext uri="{FF2B5EF4-FFF2-40B4-BE49-F238E27FC236}">
                  <a16:creationId xmlns:a16="http://schemas.microsoft.com/office/drawing/2014/main" id="{BAA74A35-80A4-46B7-AED9-B040205D0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3742D7C" w14:textId="77777777" w:rsidR="00F03B79" w:rsidRDefault="00F03B79" w:rsidP="00F03B79">
      <w:pPr>
        <w:pStyle w:val="paragraph"/>
        <w:spacing w:before="0" w:beforeAutospacing="0" w:after="0" w:afterAutospacing="0" w:line="480" w:lineRule="auto"/>
        <w:ind w:left="720"/>
        <w:jc w:val="both"/>
        <w:textAlignment w:val="baseline"/>
        <w:rPr>
          <w:rStyle w:val="normaltextrun"/>
        </w:rPr>
      </w:pPr>
      <w:r>
        <w:rPr>
          <w:rStyle w:val="normaltextrun"/>
        </w:rPr>
        <w:t xml:space="preserve">In Figure 3 below we can find the </w:t>
      </w:r>
      <w:r w:rsidRPr="00C00825">
        <w:rPr>
          <w:rStyle w:val="normaltextrun"/>
        </w:rPr>
        <w:t>relation between the</w:t>
      </w:r>
      <w:r>
        <w:rPr>
          <w:rStyle w:val="normaltextrun"/>
        </w:rPr>
        <w:t xml:space="preserve"> </w:t>
      </w:r>
      <w:r w:rsidRPr="00C00825">
        <w:rPr>
          <w:rStyle w:val="normaltextrun"/>
        </w:rPr>
        <w:t>ISR-WBG-II</w:t>
      </w:r>
      <w:r>
        <w:rPr>
          <w:rStyle w:val="normaltextrun"/>
        </w:rPr>
        <w:t xml:space="preserve"> 1968</w:t>
      </w:r>
      <w:r w:rsidRPr="00C00825">
        <w:rPr>
          <w:rStyle w:val="normaltextrun"/>
        </w:rPr>
        <w:t xml:space="preserve"> and </w:t>
      </w:r>
      <w:r>
        <w:rPr>
          <w:rStyle w:val="normaltextrun"/>
        </w:rPr>
        <w:t xml:space="preserve">unemployment rate in the WBG. Again, </w:t>
      </w:r>
      <w:r w:rsidRPr="00C00825">
        <w:rPr>
          <w:rStyle w:val="normaltextrun"/>
        </w:rPr>
        <w:t xml:space="preserve">it will not be a surprise to find </w:t>
      </w:r>
      <w:r>
        <w:rPr>
          <w:rStyle w:val="normaltextrun"/>
        </w:rPr>
        <w:t>some</w:t>
      </w:r>
      <w:r w:rsidRPr="00C00825">
        <w:rPr>
          <w:rStyle w:val="normaltextrun"/>
        </w:rPr>
        <w:t xml:space="preserve"> negative correlation </w:t>
      </w:r>
      <w:r>
        <w:rPr>
          <w:rStyle w:val="normaltextrun"/>
        </w:rPr>
        <w:t>among them.</w:t>
      </w:r>
    </w:p>
    <w:p w14:paraId="4B01F60B" w14:textId="426A8207" w:rsidR="00F03B79" w:rsidRPr="00BB6D94" w:rsidRDefault="00F03B79" w:rsidP="00F03B79">
      <w:pPr>
        <w:pStyle w:val="paragraph"/>
        <w:spacing w:before="0" w:beforeAutospacing="0" w:after="0" w:afterAutospacing="0" w:line="480" w:lineRule="auto"/>
        <w:ind w:left="720"/>
        <w:jc w:val="center"/>
        <w:textAlignment w:val="baseline"/>
        <w:rPr>
          <w:rFonts w:ascii="Segoe UI" w:hAnsi="Segoe UI" w:cs="Segoe UI"/>
          <w:b/>
          <w:bCs/>
          <w:sz w:val="18"/>
          <w:szCs w:val="18"/>
        </w:rPr>
      </w:pPr>
      <w:r w:rsidRPr="00BB6D94">
        <w:rPr>
          <w:rStyle w:val="normaltextrun"/>
          <w:b/>
          <w:bCs/>
        </w:rPr>
        <w:t>Figure</w:t>
      </w:r>
      <w:r w:rsidR="00C810D6">
        <w:rPr>
          <w:rStyle w:val="normaltextrun"/>
          <w:b/>
          <w:bCs/>
        </w:rPr>
        <w:t xml:space="preserve"> 51</w:t>
      </w:r>
      <w:r w:rsidRPr="00BB6D94">
        <w:rPr>
          <w:rStyle w:val="normaltextrun"/>
          <w:b/>
          <w:bCs/>
        </w:rPr>
        <w:t xml:space="preserve"> - ISR-WBG-II </w:t>
      </w:r>
      <w:r>
        <w:rPr>
          <w:rStyle w:val="normaltextrun"/>
          <w:b/>
          <w:bCs/>
        </w:rPr>
        <w:t>1968</w:t>
      </w:r>
      <w:r w:rsidRPr="00BB6D94">
        <w:rPr>
          <w:rStyle w:val="normaltextrun"/>
          <w:b/>
          <w:bCs/>
        </w:rPr>
        <w:t xml:space="preserve"> and unemployment rate in the WBG</w:t>
      </w:r>
    </w:p>
    <w:p w14:paraId="2548D18D" w14:textId="77777777" w:rsidR="00F03B79" w:rsidRDefault="00F03B79" w:rsidP="00F03B79">
      <w:pPr>
        <w:pStyle w:val="paragraph"/>
        <w:spacing w:before="0" w:beforeAutospacing="0" w:after="0" w:afterAutospacing="0" w:line="480" w:lineRule="auto"/>
        <w:ind w:left="1440"/>
        <w:jc w:val="both"/>
        <w:textAlignment w:val="baseline"/>
        <w:rPr>
          <w:rStyle w:val="eop"/>
          <w:rtl/>
        </w:rPr>
      </w:pPr>
      <w:r>
        <w:rPr>
          <w:noProof/>
        </w:rPr>
        <w:drawing>
          <wp:inline distT="0" distB="0" distL="0" distR="0" wp14:anchorId="4729309A" wp14:editId="123A607C">
            <wp:extent cx="4320000" cy="2520000"/>
            <wp:effectExtent l="0" t="0" r="4445" b="13970"/>
            <wp:docPr id="52" name="Chart 52">
              <a:extLst xmlns:a="http://schemas.openxmlformats.org/drawingml/2006/main">
                <a:ext uri="{FF2B5EF4-FFF2-40B4-BE49-F238E27FC236}">
                  <a16:creationId xmlns:a16="http://schemas.microsoft.com/office/drawing/2014/main" id="{2099D2E2-E1BB-468E-B254-9383FDDA9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59BC19F" w14:textId="77777777" w:rsidR="00F03B79" w:rsidRDefault="00F03B79" w:rsidP="00F03B79">
      <w:pPr>
        <w:pStyle w:val="paragraph"/>
        <w:spacing w:before="0" w:beforeAutospacing="0" w:after="0" w:afterAutospacing="0" w:line="480" w:lineRule="auto"/>
        <w:ind w:left="720"/>
        <w:jc w:val="both"/>
        <w:textAlignment w:val="baseline"/>
        <w:rPr>
          <w:rStyle w:val="eop"/>
          <w:rtl/>
        </w:rPr>
      </w:pPr>
    </w:p>
    <w:p w14:paraId="735FE1D3" w14:textId="77777777" w:rsidR="00F03B79" w:rsidRDefault="00F03B79" w:rsidP="00F03B79">
      <w:pPr>
        <w:pStyle w:val="paragraph"/>
        <w:spacing w:before="0" w:beforeAutospacing="0" w:after="0" w:afterAutospacing="0" w:line="480" w:lineRule="auto"/>
        <w:ind w:left="720"/>
        <w:jc w:val="both"/>
        <w:textAlignment w:val="baseline"/>
        <w:rPr>
          <w:rStyle w:val="eop"/>
          <w:b/>
          <w:bCs/>
        </w:rPr>
      </w:pPr>
    </w:p>
    <w:p w14:paraId="40675F9A" w14:textId="77777777" w:rsidR="00F03B79" w:rsidRDefault="00F03B79" w:rsidP="00F03B79">
      <w:pPr>
        <w:pStyle w:val="paragraph"/>
        <w:spacing w:before="0" w:beforeAutospacing="0" w:after="0" w:afterAutospacing="0" w:line="480" w:lineRule="auto"/>
        <w:ind w:left="720"/>
        <w:jc w:val="both"/>
        <w:textAlignment w:val="baseline"/>
        <w:rPr>
          <w:rStyle w:val="eop"/>
          <w:b/>
          <w:bCs/>
        </w:rPr>
      </w:pPr>
    </w:p>
    <w:p w14:paraId="58CB6BD6" w14:textId="77777777" w:rsidR="00F03B79" w:rsidRDefault="00F03B79" w:rsidP="00F03B79">
      <w:pPr>
        <w:pStyle w:val="paragraph"/>
        <w:spacing w:before="0" w:beforeAutospacing="0" w:after="0" w:afterAutospacing="0" w:line="480" w:lineRule="auto"/>
        <w:ind w:left="720"/>
        <w:jc w:val="both"/>
        <w:textAlignment w:val="baseline"/>
        <w:rPr>
          <w:rStyle w:val="eop"/>
          <w:b/>
          <w:bCs/>
        </w:rPr>
      </w:pPr>
    </w:p>
    <w:p w14:paraId="0EF4E93B" w14:textId="77777777" w:rsidR="00F03B79" w:rsidRDefault="00F03B79" w:rsidP="00F03B79">
      <w:pPr>
        <w:pStyle w:val="paragraph"/>
        <w:spacing w:before="0" w:beforeAutospacing="0" w:after="0" w:afterAutospacing="0" w:line="480" w:lineRule="auto"/>
        <w:ind w:left="720"/>
        <w:jc w:val="both"/>
        <w:textAlignment w:val="baseline"/>
        <w:rPr>
          <w:rStyle w:val="eop"/>
          <w:b/>
          <w:bCs/>
        </w:rPr>
      </w:pPr>
    </w:p>
    <w:p w14:paraId="64A432E8" w14:textId="77777777" w:rsidR="00F03B79" w:rsidRPr="00265E89" w:rsidRDefault="00F03B79" w:rsidP="00F03B79">
      <w:pPr>
        <w:pStyle w:val="paragraph"/>
        <w:spacing w:before="0" w:beforeAutospacing="0" w:after="0" w:afterAutospacing="0" w:line="480" w:lineRule="auto"/>
        <w:ind w:left="720"/>
        <w:jc w:val="both"/>
        <w:textAlignment w:val="baseline"/>
        <w:rPr>
          <w:rStyle w:val="eop"/>
          <w:b/>
          <w:bCs/>
        </w:rPr>
      </w:pPr>
      <w:r w:rsidRPr="00265E89">
        <w:rPr>
          <w:rStyle w:val="eop"/>
          <w:b/>
          <w:bCs/>
        </w:rPr>
        <w:t>Granger causality tests</w:t>
      </w:r>
    </w:p>
    <w:p w14:paraId="0A41CA26" w14:textId="77777777" w:rsidR="00F03B79" w:rsidRPr="00B06D5D" w:rsidRDefault="00F03B79" w:rsidP="00F03B79">
      <w:pPr>
        <w:pStyle w:val="paragraph"/>
        <w:spacing w:before="0" w:beforeAutospacing="0" w:after="0" w:afterAutospacing="0" w:line="480" w:lineRule="auto"/>
        <w:ind w:left="720"/>
        <w:jc w:val="both"/>
        <w:textAlignment w:val="baseline"/>
      </w:pPr>
      <w:r>
        <w:t xml:space="preserve">We </w:t>
      </w:r>
      <w:r w:rsidRPr="008C5617">
        <w:t>us</w:t>
      </w:r>
      <w:r>
        <w:t>e</w:t>
      </w:r>
      <w:r w:rsidRPr="008C5617">
        <w:t xml:space="preserve"> the Granger causality test for determining whether terrorism </w:t>
      </w:r>
      <w:r>
        <w:t>G</w:t>
      </w:r>
      <w:r w:rsidRPr="008C5617">
        <w:t>ranger cause</w:t>
      </w:r>
      <w:r>
        <w:t>s</w:t>
      </w:r>
      <w:r w:rsidRPr="008C5617">
        <w:t xml:space="preserve"> the level of </w:t>
      </w:r>
      <w:r>
        <w:t xml:space="preserve">economic </w:t>
      </w:r>
      <w:r w:rsidRPr="008C5617">
        <w:t>integration (</w:t>
      </w:r>
      <w:r>
        <w:t xml:space="preserve">i.e. </w:t>
      </w:r>
      <w:r w:rsidRPr="008C5617">
        <w:t>offer</w:t>
      </w:r>
      <w:r>
        <w:t>s</w:t>
      </w:r>
      <w:r w:rsidRPr="008C5617">
        <w:t xml:space="preserve"> useful information in forecasting), or vice versa</w:t>
      </w:r>
      <w:r>
        <w:t>,</w:t>
      </w:r>
      <w:r w:rsidRPr="008C5617">
        <w:t xml:space="preserve"> the level of integration </w:t>
      </w:r>
      <w:r>
        <w:t>G</w:t>
      </w:r>
      <w:r w:rsidRPr="008C5617">
        <w:t>ranger cause</w:t>
      </w:r>
      <w:r>
        <w:t>s</w:t>
      </w:r>
      <w:r w:rsidRPr="00B06D5D">
        <w:t xml:space="preserve"> </w:t>
      </w:r>
      <w:r w:rsidRPr="008C5617">
        <w:t xml:space="preserve">terrorism. </w:t>
      </w:r>
      <w:r>
        <w:t>Similarly, w</w:t>
      </w:r>
      <w:r w:rsidRPr="008C5617">
        <w:t>e implemen</w:t>
      </w:r>
      <w:r>
        <w:t>t</w:t>
      </w:r>
      <w:r w:rsidRPr="008C5617">
        <w:t xml:space="preserve"> </w:t>
      </w:r>
      <w:r>
        <w:t>t</w:t>
      </w:r>
      <w:r w:rsidRPr="008C5617">
        <w:t>he same test on unemployment rate</w:t>
      </w:r>
      <w:r>
        <w:t xml:space="preserve"> in the WBG</w:t>
      </w:r>
      <w:r w:rsidRPr="008C5617">
        <w:t xml:space="preserve"> and the level of</w:t>
      </w:r>
      <w:r>
        <w:t xml:space="preserve"> economic</w:t>
      </w:r>
      <w:r w:rsidRPr="008C5617">
        <w:t xml:space="preserve"> integration</w:t>
      </w:r>
      <w:r>
        <w:t xml:space="preserve"> and </w:t>
      </w:r>
      <w:r w:rsidRPr="008C5617">
        <w:t xml:space="preserve">unemployment rate </w:t>
      </w:r>
      <w:r>
        <w:t xml:space="preserve">and </w:t>
      </w:r>
      <w:r w:rsidRPr="008C5617">
        <w:t>terrorism</w:t>
      </w:r>
      <w:r w:rsidRPr="00B06D5D">
        <w:t>.</w:t>
      </w:r>
    </w:p>
    <w:p w14:paraId="18F4BB72" w14:textId="77777777" w:rsidR="00F03B79" w:rsidRDefault="00F03B79" w:rsidP="00F03B79">
      <w:pPr>
        <w:pStyle w:val="paragraph"/>
        <w:spacing w:before="0" w:beforeAutospacing="0" w:after="0" w:afterAutospacing="0" w:line="480" w:lineRule="auto"/>
        <w:ind w:left="720"/>
        <w:jc w:val="both"/>
        <w:textAlignment w:val="baseline"/>
      </w:pPr>
      <w:r w:rsidRPr="00B06D5D">
        <w:t xml:space="preserve">We used the </w:t>
      </w:r>
      <w:r w:rsidRPr="001D0E0F">
        <w:t>Akaike information criterion (AIC)</w:t>
      </w:r>
      <w:r w:rsidRPr="00B06D5D">
        <w:t xml:space="preserve"> method to compare different possible models and determine which </w:t>
      </w:r>
      <w:r w:rsidRPr="007D667C">
        <w:t>one is the best fit for the data</w:t>
      </w:r>
      <w:r>
        <w:rPr>
          <w:rStyle w:val="FootnoteReference"/>
        </w:rPr>
        <w:footnoteReference w:id="55"/>
      </w:r>
      <w:r w:rsidRPr="007D667C">
        <w:t>.</w:t>
      </w:r>
    </w:p>
    <w:p w14:paraId="7FC7BB42" w14:textId="77777777" w:rsidR="00F03B79" w:rsidRDefault="00F03B79" w:rsidP="00F03B79">
      <w:pPr>
        <w:pStyle w:val="paragraph"/>
        <w:spacing w:before="0" w:beforeAutospacing="0" w:after="0" w:afterAutospacing="0" w:line="480" w:lineRule="auto"/>
        <w:jc w:val="both"/>
        <w:textAlignment w:val="baseline"/>
      </w:pPr>
      <w:r>
        <w:tab/>
      </w:r>
      <w:r w:rsidRPr="0037349E">
        <w:rPr>
          <w:u w:val="single"/>
        </w:rPr>
        <w:t>Dependent variables</w:t>
      </w:r>
      <w:r>
        <w:t>:</w:t>
      </w:r>
    </w:p>
    <w:p w14:paraId="2C67D1AF" w14:textId="77777777" w:rsidR="00F03B79" w:rsidRDefault="00F03B79" w:rsidP="00F03B79">
      <w:pPr>
        <w:pStyle w:val="paragraph"/>
        <w:spacing w:before="0" w:beforeAutospacing="0" w:after="0" w:afterAutospacing="0" w:line="480" w:lineRule="auto"/>
        <w:jc w:val="both"/>
        <w:textAlignment w:val="baseline"/>
      </w:pPr>
      <w:r>
        <w:tab/>
        <w:t xml:space="preserve">TERROR - </w:t>
      </w:r>
      <w:r>
        <w:rPr>
          <w:rStyle w:val="normaltextrun"/>
        </w:rPr>
        <w:t>the number of terrorism fatalities in Israel</w:t>
      </w:r>
    </w:p>
    <w:p w14:paraId="25E3E00C" w14:textId="77777777" w:rsidR="00F03B79" w:rsidRDefault="00F03B79" w:rsidP="00F03B79">
      <w:pPr>
        <w:pStyle w:val="paragraph"/>
        <w:spacing w:before="0" w:beforeAutospacing="0" w:after="0" w:afterAutospacing="0" w:line="480" w:lineRule="auto"/>
        <w:jc w:val="both"/>
        <w:textAlignment w:val="baseline"/>
      </w:pPr>
      <w:r>
        <w:tab/>
        <w:t>UNE – unemployment rate in the WBG</w:t>
      </w:r>
    </w:p>
    <w:p w14:paraId="3216EC0D" w14:textId="77777777" w:rsidR="00F03B79" w:rsidRPr="007D667C" w:rsidRDefault="00F03B79" w:rsidP="00F03B79">
      <w:pPr>
        <w:pStyle w:val="paragraph"/>
        <w:spacing w:before="0" w:beforeAutospacing="0" w:after="0" w:afterAutospacing="0" w:line="480" w:lineRule="auto"/>
        <w:jc w:val="both"/>
        <w:textAlignment w:val="baseline"/>
      </w:pPr>
      <w:r>
        <w:tab/>
        <w:t xml:space="preserve">INTEG – the level of economic integration according to </w:t>
      </w:r>
      <w:r w:rsidRPr="00C00825">
        <w:rPr>
          <w:rStyle w:val="normaltextrun"/>
        </w:rPr>
        <w:t>ISR-WBG-II</w:t>
      </w:r>
      <w:r>
        <w:rPr>
          <w:rStyle w:val="normaltextrun"/>
        </w:rPr>
        <w:t xml:space="preserve"> 1968</w:t>
      </w:r>
    </w:p>
    <w:p w14:paraId="346A7156" w14:textId="77777777" w:rsidR="00F03B79" w:rsidRDefault="00F03B79" w:rsidP="00F03B79">
      <w:pPr>
        <w:pStyle w:val="paragraph"/>
        <w:spacing w:before="0" w:beforeAutospacing="0" w:after="0" w:afterAutospacing="0" w:line="480" w:lineRule="auto"/>
        <w:ind w:firstLine="720"/>
        <w:jc w:val="both"/>
        <w:textAlignment w:val="baseline"/>
      </w:pPr>
      <w:r w:rsidRPr="0005366A">
        <w:rPr>
          <w:rFonts w:asciiTheme="majorBidi" w:hAnsiTheme="majorBidi" w:cstheme="majorBidi"/>
          <w:u w:val="single"/>
        </w:rPr>
        <w:t>N</w:t>
      </w:r>
      <w:r w:rsidRPr="003107C8">
        <w:rPr>
          <w:rFonts w:asciiTheme="majorBidi" w:hAnsiTheme="majorBidi" w:cstheme="majorBidi"/>
          <w:u w:val="single"/>
        </w:rPr>
        <w:t>ull hypothesis</w:t>
      </w:r>
      <w:r>
        <w:t>:</w:t>
      </w:r>
    </w:p>
    <w:p w14:paraId="728AB613" w14:textId="77777777" w:rsidR="00F03B79" w:rsidRPr="0005366A" w:rsidRDefault="00F03B79" w:rsidP="00F03B79">
      <w:pPr>
        <w:pStyle w:val="paragraph"/>
        <w:numPr>
          <w:ilvl w:val="0"/>
          <w:numId w:val="30"/>
        </w:numPr>
        <w:spacing w:before="0" w:beforeAutospacing="0" w:after="0" w:afterAutospacing="0" w:line="480" w:lineRule="auto"/>
        <w:jc w:val="both"/>
        <w:textAlignment w:val="baseline"/>
        <w:rPr>
          <w:rFonts w:asciiTheme="majorBidi" w:hAnsiTheme="majorBidi" w:cstheme="majorBidi"/>
        </w:rPr>
      </w:pPr>
      <w:r>
        <w:rPr>
          <w:rFonts w:asciiTheme="majorBidi" w:hAnsiTheme="majorBidi" w:cstheme="majorBidi"/>
        </w:rPr>
        <w:t>E</w:t>
      </w:r>
      <w:r w:rsidRPr="008E4380">
        <w:rPr>
          <w:rFonts w:asciiTheme="majorBidi" w:hAnsiTheme="majorBidi" w:cstheme="majorBidi"/>
        </w:rPr>
        <w:t xml:space="preserve">conomic </w:t>
      </w:r>
      <w:r w:rsidRPr="007D667C">
        <w:rPr>
          <w:rFonts w:asciiTheme="majorBidi" w:hAnsiTheme="majorBidi" w:cstheme="majorBidi"/>
        </w:rPr>
        <w:t>integration level</w:t>
      </w:r>
      <w:r w:rsidRPr="003107C8">
        <w:rPr>
          <w:rFonts w:asciiTheme="majorBidi" w:hAnsiTheme="majorBidi" w:cstheme="majorBidi"/>
        </w:rPr>
        <w:t> </w:t>
      </w:r>
      <w:r w:rsidRPr="0005366A">
        <w:rPr>
          <w:rFonts w:asciiTheme="majorBidi" w:hAnsiTheme="majorBidi" w:cstheme="majorBidi"/>
        </w:rPr>
        <w:t>fails</w:t>
      </w:r>
      <w:r w:rsidRPr="003107C8">
        <w:rPr>
          <w:rFonts w:asciiTheme="majorBidi" w:hAnsiTheme="majorBidi" w:cstheme="majorBidi"/>
        </w:rPr>
        <w:t xml:space="preserve"> to Granger-</w:t>
      </w:r>
      <w:r w:rsidRPr="0005366A">
        <w:rPr>
          <w:rFonts w:asciiTheme="majorBidi" w:hAnsiTheme="majorBidi" w:cstheme="majorBidi"/>
        </w:rPr>
        <w:t>cause</w:t>
      </w:r>
      <w:r w:rsidRPr="003107C8">
        <w:rPr>
          <w:rFonts w:asciiTheme="majorBidi" w:hAnsiTheme="majorBidi" w:cstheme="majorBidi"/>
        </w:rPr>
        <w:t> </w:t>
      </w:r>
      <w:r w:rsidRPr="007D667C">
        <w:rPr>
          <w:rFonts w:asciiTheme="majorBidi" w:hAnsiTheme="majorBidi" w:cstheme="majorBidi"/>
        </w:rPr>
        <w:t>terrorism</w:t>
      </w:r>
      <w:r>
        <w:rPr>
          <w:rFonts w:asciiTheme="majorBidi" w:hAnsiTheme="majorBidi" w:cstheme="majorBidi"/>
        </w:rPr>
        <w:t>;</w:t>
      </w:r>
    </w:p>
    <w:p w14:paraId="4E77DBD5" w14:textId="77777777" w:rsidR="00F03B79" w:rsidRPr="0005366A" w:rsidRDefault="00F03B79" w:rsidP="00F03B79">
      <w:pPr>
        <w:pStyle w:val="paragraph"/>
        <w:numPr>
          <w:ilvl w:val="0"/>
          <w:numId w:val="30"/>
        </w:numPr>
        <w:spacing w:before="0" w:beforeAutospacing="0" w:after="0" w:afterAutospacing="0" w:line="480" w:lineRule="auto"/>
        <w:jc w:val="both"/>
        <w:textAlignment w:val="baseline"/>
        <w:rPr>
          <w:rFonts w:asciiTheme="majorBidi" w:hAnsiTheme="majorBidi" w:cstheme="majorBidi"/>
        </w:rPr>
      </w:pPr>
      <w:r>
        <w:rPr>
          <w:rFonts w:asciiTheme="majorBidi" w:hAnsiTheme="majorBidi" w:cstheme="majorBidi"/>
        </w:rPr>
        <w:t>E</w:t>
      </w:r>
      <w:r w:rsidRPr="008E4380">
        <w:rPr>
          <w:rFonts w:asciiTheme="majorBidi" w:hAnsiTheme="majorBidi" w:cstheme="majorBidi"/>
        </w:rPr>
        <w:t xml:space="preserve">conomic integration level </w:t>
      </w:r>
      <w:r w:rsidRPr="0005366A">
        <w:rPr>
          <w:rFonts w:asciiTheme="majorBidi" w:hAnsiTheme="majorBidi" w:cstheme="majorBidi"/>
        </w:rPr>
        <w:t xml:space="preserve">fails to Granger-causes the </w:t>
      </w:r>
      <w:r w:rsidRPr="008E4380">
        <w:rPr>
          <w:rFonts w:asciiTheme="majorBidi" w:hAnsiTheme="majorBidi" w:cstheme="majorBidi"/>
        </w:rPr>
        <w:t>unemployment rate</w:t>
      </w:r>
      <w:r>
        <w:rPr>
          <w:rFonts w:asciiTheme="majorBidi" w:hAnsiTheme="majorBidi" w:cstheme="majorBidi"/>
        </w:rPr>
        <w:t>;</w:t>
      </w:r>
    </w:p>
    <w:p w14:paraId="673947A1" w14:textId="77777777" w:rsidR="00F03B79" w:rsidRPr="0005366A" w:rsidRDefault="00F03B79" w:rsidP="00F03B79">
      <w:pPr>
        <w:pStyle w:val="paragraph"/>
        <w:numPr>
          <w:ilvl w:val="0"/>
          <w:numId w:val="30"/>
        </w:numPr>
        <w:spacing w:before="0" w:beforeAutospacing="0" w:after="0" w:afterAutospacing="0" w:line="480" w:lineRule="auto"/>
        <w:jc w:val="both"/>
        <w:textAlignment w:val="baseline"/>
        <w:rPr>
          <w:rFonts w:asciiTheme="majorBidi" w:hAnsiTheme="majorBidi" w:cstheme="majorBidi"/>
        </w:rPr>
      </w:pPr>
      <w:r>
        <w:rPr>
          <w:rFonts w:asciiTheme="majorBidi" w:hAnsiTheme="majorBidi" w:cstheme="majorBidi"/>
        </w:rPr>
        <w:t>U</w:t>
      </w:r>
      <w:r w:rsidRPr="008E4380">
        <w:rPr>
          <w:rFonts w:asciiTheme="majorBidi" w:hAnsiTheme="majorBidi" w:cstheme="majorBidi"/>
        </w:rPr>
        <w:t xml:space="preserve">nemployment rate </w:t>
      </w:r>
      <w:r w:rsidRPr="0005366A">
        <w:rPr>
          <w:rFonts w:asciiTheme="majorBidi" w:hAnsiTheme="majorBidi" w:cstheme="majorBidi"/>
        </w:rPr>
        <w:t xml:space="preserve">fails to Granger-causes </w:t>
      </w:r>
      <w:r w:rsidRPr="008E4380">
        <w:rPr>
          <w:rFonts w:asciiTheme="majorBidi" w:hAnsiTheme="majorBidi" w:cstheme="majorBidi"/>
        </w:rPr>
        <w:t>terrorism</w:t>
      </w:r>
      <w:r>
        <w:rPr>
          <w:rFonts w:asciiTheme="majorBidi" w:hAnsiTheme="majorBidi" w:cstheme="majorBidi"/>
        </w:rPr>
        <w:t>;</w:t>
      </w:r>
    </w:p>
    <w:p w14:paraId="1B7DCFBF" w14:textId="77777777" w:rsidR="00F03B79" w:rsidRDefault="00F03B79" w:rsidP="00F03B79">
      <w:pPr>
        <w:pStyle w:val="paragraph"/>
        <w:numPr>
          <w:ilvl w:val="0"/>
          <w:numId w:val="30"/>
        </w:numPr>
        <w:spacing w:before="0" w:beforeAutospacing="0" w:after="0" w:afterAutospacing="0" w:line="480" w:lineRule="auto"/>
        <w:jc w:val="both"/>
        <w:textAlignment w:val="baseline"/>
        <w:rPr>
          <w:rFonts w:asciiTheme="majorBidi" w:hAnsiTheme="majorBidi" w:cstheme="majorBidi"/>
        </w:rPr>
      </w:pPr>
      <w:r>
        <w:rPr>
          <w:rFonts w:asciiTheme="majorBidi" w:hAnsiTheme="majorBidi" w:cstheme="majorBidi"/>
        </w:rPr>
        <w:t>U</w:t>
      </w:r>
      <w:r w:rsidRPr="007D667C">
        <w:rPr>
          <w:rFonts w:asciiTheme="majorBidi" w:hAnsiTheme="majorBidi" w:cstheme="majorBidi"/>
        </w:rPr>
        <w:t xml:space="preserve">nemployment rate </w:t>
      </w:r>
      <w:r w:rsidRPr="0005366A">
        <w:rPr>
          <w:rFonts w:asciiTheme="majorBidi" w:hAnsiTheme="majorBidi" w:cstheme="majorBidi"/>
        </w:rPr>
        <w:t>fails</w:t>
      </w:r>
      <w:r w:rsidRPr="003107C8">
        <w:rPr>
          <w:rFonts w:asciiTheme="majorBidi" w:hAnsiTheme="majorBidi" w:cstheme="majorBidi"/>
        </w:rPr>
        <w:t xml:space="preserve"> to Granger</w:t>
      </w:r>
      <w:r w:rsidRPr="0005366A">
        <w:rPr>
          <w:rFonts w:asciiTheme="majorBidi" w:hAnsiTheme="majorBidi" w:cstheme="majorBidi"/>
        </w:rPr>
        <w:t xml:space="preserve"> causes</w:t>
      </w:r>
      <w:r w:rsidRPr="008E4380">
        <w:rPr>
          <w:rFonts w:asciiTheme="majorBidi" w:hAnsiTheme="majorBidi" w:cstheme="majorBidi"/>
        </w:rPr>
        <w:t xml:space="preserve"> the</w:t>
      </w:r>
      <w:r>
        <w:rPr>
          <w:rFonts w:asciiTheme="majorBidi" w:hAnsiTheme="majorBidi" w:cstheme="majorBidi"/>
        </w:rPr>
        <w:t xml:space="preserve"> </w:t>
      </w:r>
      <w:r w:rsidRPr="008E4380">
        <w:rPr>
          <w:rFonts w:asciiTheme="majorBidi" w:hAnsiTheme="majorBidi" w:cstheme="majorBidi"/>
        </w:rPr>
        <w:t xml:space="preserve">economic </w:t>
      </w:r>
      <w:r w:rsidRPr="007D667C">
        <w:rPr>
          <w:rFonts w:asciiTheme="majorBidi" w:hAnsiTheme="majorBidi" w:cstheme="majorBidi"/>
        </w:rPr>
        <w:t>integration</w:t>
      </w:r>
      <w:r>
        <w:rPr>
          <w:rFonts w:asciiTheme="majorBidi" w:hAnsiTheme="majorBidi" w:cstheme="majorBidi"/>
        </w:rPr>
        <w:t>;</w:t>
      </w:r>
    </w:p>
    <w:p w14:paraId="44978736" w14:textId="77777777" w:rsidR="00F03B79" w:rsidRDefault="00F03B79" w:rsidP="00F03B79">
      <w:pPr>
        <w:pStyle w:val="paragraph"/>
        <w:numPr>
          <w:ilvl w:val="0"/>
          <w:numId w:val="30"/>
        </w:numPr>
        <w:spacing w:before="0" w:beforeAutospacing="0" w:after="0" w:afterAutospacing="0" w:line="480" w:lineRule="auto"/>
        <w:jc w:val="both"/>
        <w:textAlignment w:val="baseline"/>
        <w:rPr>
          <w:rFonts w:asciiTheme="majorBidi" w:hAnsiTheme="majorBidi" w:cstheme="majorBidi"/>
        </w:rPr>
      </w:pPr>
      <w:r>
        <w:rPr>
          <w:rFonts w:asciiTheme="majorBidi" w:hAnsiTheme="majorBidi" w:cstheme="majorBidi"/>
        </w:rPr>
        <w:t>Terrorism</w:t>
      </w:r>
      <w:r w:rsidRPr="003107C8">
        <w:rPr>
          <w:rFonts w:asciiTheme="majorBidi" w:hAnsiTheme="majorBidi" w:cstheme="majorBidi"/>
        </w:rPr>
        <w:t xml:space="preserve"> </w:t>
      </w:r>
      <w:r w:rsidRPr="0005366A">
        <w:rPr>
          <w:rFonts w:asciiTheme="majorBidi" w:hAnsiTheme="majorBidi" w:cstheme="majorBidi"/>
        </w:rPr>
        <w:t>fails</w:t>
      </w:r>
      <w:r w:rsidRPr="003107C8">
        <w:rPr>
          <w:rFonts w:asciiTheme="majorBidi" w:hAnsiTheme="majorBidi" w:cstheme="majorBidi"/>
        </w:rPr>
        <w:t xml:space="preserve"> to Granger-</w:t>
      </w:r>
      <w:r w:rsidRPr="0005366A">
        <w:rPr>
          <w:rFonts w:asciiTheme="majorBidi" w:hAnsiTheme="majorBidi" w:cstheme="majorBidi"/>
        </w:rPr>
        <w:t>causes</w:t>
      </w:r>
      <w:r w:rsidRPr="008E4380">
        <w:rPr>
          <w:rFonts w:asciiTheme="majorBidi" w:hAnsiTheme="majorBidi" w:cstheme="majorBidi"/>
        </w:rPr>
        <w:t> </w:t>
      </w:r>
      <w:r>
        <w:rPr>
          <w:rFonts w:asciiTheme="majorBidi" w:hAnsiTheme="majorBidi" w:cstheme="majorBidi"/>
        </w:rPr>
        <w:t xml:space="preserve">the </w:t>
      </w:r>
      <w:r w:rsidRPr="008E4380">
        <w:rPr>
          <w:rFonts w:asciiTheme="majorBidi" w:hAnsiTheme="majorBidi" w:cstheme="majorBidi"/>
        </w:rPr>
        <w:t>economic integration level</w:t>
      </w:r>
      <w:r>
        <w:rPr>
          <w:rFonts w:asciiTheme="majorBidi" w:hAnsiTheme="majorBidi" w:cstheme="majorBidi"/>
        </w:rPr>
        <w:t>;</w:t>
      </w:r>
    </w:p>
    <w:p w14:paraId="042AFEA2" w14:textId="77777777" w:rsidR="00F03B79" w:rsidRPr="0005366A" w:rsidRDefault="00F03B79" w:rsidP="00F03B79">
      <w:pPr>
        <w:pStyle w:val="paragraph"/>
        <w:numPr>
          <w:ilvl w:val="0"/>
          <w:numId w:val="30"/>
        </w:numPr>
        <w:spacing w:before="0" w:beforeAutospacing="0" w:after="0" w:afterAutospacing="0" w:line="480" w:lineRule="auto"/>
        <w:jc w:val="both"/>
        <w:textAlignment w:val="baseline"/>
        <w:rPr>
          <w:rFonts w:asciiTheme="majorBidi" w:hAnsiTheme="majorBidi" w:cstheme="majorBidi"/>
        </w:rPr>
      </w:pPr>
      <w:r>
        <w:rPr>
          <w:rFonts w:asciiTheme="majorBidi" w:hAnsiTheme="majorBidi" w:cstheme="majorBidi"/>
        </w:rPr>
        <w:t>T</w:t>
      </w:r>
      <w:r w:rsidRPr="009D73CD">
        <w:rPr>
          <w:rFonts w:asciiTheme="majorBidi" w:hAnsiTheme="majorBidi" w:cstheme="majorBidi"/>
        </w:rPr>
        <w:t>errorism </w:t>
      </w:r>
      <w:r w:rsidRPr="0005366A">
        <w:rPr>
          <w:rFonts w:asciiTheme="majorBidi" w:hAnsiTheme="majorBidi" w:cstheme="majorBidi"/>
        </w:rPr>
        <w:t>fails to Granger-causes</w:t>
      </w:r>
      <w:r w:rsidRPr="009D73CD">
        <w:rPr>
          <w:rFonts w:asciiTheme="majorBidi" w:hAnsiTheme="majorBidi" w:cstheme="majorBidi"/>
        </w:rPr>
        <w:t> unemployment rate</w:t>
      </w:r>
      <w:r>
        <w:rPr>
          <w:rFonts w:asciiTheme="majorBidi" w:hAnsiTheme="majorBidi" w:cstheme="majorBidi"/>
        </w:rPr>
        <w:t>.</w:t>
      </w:r>
    </w:p>
    <w:p w14:paraId="0077426E" w14:textId="77777777" w:rsidR="00F03B79" w:rsidRDefault="00F03B79" w:rsidP="00F03B79">
      <w:pPr>
        <w:pStyle w:val="paragraph"/>
        <w:spacing w:before="0" w:beforeAutospacing="0" w:after="0" w:afterAutospacing="0" w:line="480" w:lineRule="auto"/>
        <w:ind w:left="720"/>
        <w:jc w:val="both"/>
        <w:textAlignment w:val="baseline"/>
        <w:rPr>
          <w:u w:val="single"/>
        </w:rPr>
      </w:pPr>
    </w:p>
    <w:p w14:paraId="7A3C2490" w14:textId="77777777" w:rsidR="00F03B79" w:rsidRDefault="00F03B79" w:rsidP="00F03B79">
      <w:pPr>
        <w:pStyle w:val="paragraph"/>
        <w:spacing w:before="0" w:beforeAutospacing="0" w:after="0" w:afterAutospacing="0" w:line="480" w:lineRule="auto"/>
        <w:ind w:left="720"/>
        <w:jc w:val="both"/>
        <w:textAlignment w:val="baseline"/>
        <w:rPr>
          <w:u w:val="single"/>
        </w:rPr>
      </w:pPr>
    </w:p>
    <w:p w14:paraId="7053A7C4" w14:textId="77777777" w:rsidR="00F03B79" w:rsidRDefault="00F03B79" w:rsidP="00F03B79">
      <w:pPr>
        <w:pStyle w:val="paragraph"/>
        <w:spacing w:before="0" w:beforeAutospacing="0" w:after="0" w:afterAutospacing="0" w:line="480" w:lineRule="auto"/>
        <w:ind w:left="720"/>
        <w:jc w:val="both"/>
        <w:textAlignment w:val="baseline"/>
        <w:rPr>
          <w:u w:val="single"/>
        </w:rPr>
      </w:pPr>
    </w:p>
    <w:p w14:paraId="5457EE88" w14:textId="77777777" w:rsidR="00F03B79" w:rsidRDefault="00F03B79" w:rsidP="00F03B79">
      <w:pPr>
        <w:pStyle w:val="paragraph"/>
        <w:spacing w:before="0" w:beforeAutospacing="0" w:after="0" w:afterAutospacing="0" w:line="480" w:lineRule="auto"/>
        <w:ind w:left="720"/>
        <w:jc w:val="both"/>
        <w:textAlignment w:val="baseline"/>
        <w:rPr>
          <w:u w:val="single"/>
        </w:rPr>
      </w:pPr>
    </w:p>
    <w:p w14:paraId="4C66B9A3" w14:textId="77777777" w:rsidR="00F03B79" w:rsidRPr="007D667C" w:rsidRDefault="00F03B79" w:rsidP="00F03B79">
      <w:pPr>
        <w:pStyle w:val="paragraph"/>
        <w:spacing w:before="0" w:beforeAutospacing="0" w:after="0" w:afterAutospacing="0" w:line="480" w:lineRule="auto"/>
        <w:ind w:firstLine="720"/>
        <w:jc w:val="both"/>
        <w:textAlignment w:val="baseline"/>
        <w:rPr>
          <w:u w:val="single"/>
        </w:rPr>
      </w:pPr>
      <w:r w:rsidRPr="007D667C">
        <w:rPr>
          <w:u w:val="single"/>
        </w:rPr>
        <w:t>Results</w:t>
      </w:r>
    </w:p>
    <w:p w14:paraId="1BEC8114" w14:textId="22E432A4" w:rsidR="00F03B79" w:rsidRPr="005773AC" w:rsidRDefault="00F03B79" w:rsidP="00F03B79">
      <w:pPr>
        <w:pStyle w:val="paragraph"/>
        <w:spacing w:before="0" w:beforeAutospacing="0" w:after="0" w:afterAutospacing="0" w:line="480" w:lineRule="auto"/>
        <w:jc w:val="center"/>
        <w:textAlignment w:val="baseline"/>
        <w:rPr>
          <w:rStyle w:val="eop"/>
          <w:b/>
          <w:bCs/>
        </w:rPr>
      </w:pPr>
      <w:r>
        <w:rPr>
          <w:rStyle w:val="eop"/>
          <w:b/>
          <w:bCs/>
        </w:rPr>
        <w:t xml:space="preserve">Table </w:t>
      </w:r>
      <w:r w:rsidR="00770B68">
        <w:rPr>
          <w:rStyle w:val="eop"/>
          <w:b/>
          <w:bCs/>
        </w:rPr>
        <w:t>7</w:t>
      </w:r>
      <w:r>
        <w:rPr>
          <w:rStyle w:val="eop"/>
          <w:b/>
          <w:bCs/>
        </w:rPr>
        <w:t xml:space="preserve">: </w:t>
      </w:r>
      <w:r w:rsidRPr="005773AC">
        <w:rPr>
          <w:rStyle w:val="eop"/>
          <w:b/>
          <w:bCs/>
        </w:rPr>
        <w:t>Granger causality Wald tests</w:t>
      </w:r>
      <w:r>
        <w:rPr>
          <w:rStyle w:val="eop"/>
          <w:b/>
          <w:bCs/>
        </w:rPr>
        <w:t xml:space="preserve"> (model with 2 lags)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4"/>
        <w:gridCol w:w="971"/>
        <w:gridCol w:w="695"/>
        <w:gridCol w:w="286"/>
        <w:gridCol w:w="494"/>
        <w:gridCol w:w="940"/>
      </w:tblGrid>
      <w:tr w:rsidR="00F03B79" w:rsidRPr="007531D8" w14:paraId="08B8EE68" w14:textId="77777777" w:rsidTr="0041637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B208E17" w14:textId="77777777" w:rsidR="00F03B79" w:rsidRPr="00265E89" w:rsidRDefault="00F03B79" w:rsidP="00416373">
            <w:pPr>
              <w:bidi w:val="0"/>
              <w:jc w:val="center"/>
              <w:rPr>
                <w:rFonts w:asciiTheme="majorBidi" w:hAnsiTheme="majorBidi" w:cstheme="majorBidi"/>
                <w:b/>
                <w:bCs/>
              </w:rPr>
            </w:pPr>
            <w:r w:rsidRPr="00265E89">
              <w:rPr>
                <w:rFonts w:asciiTheme="majorBidi" w:hAnsiTheme="majorBidi" w:cstheme="majorBidi"/>
                <w:b/>
                <w:bCs/>
              </w:rPr>
              <w:t>Equation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8008B" w14:textId="77777777" w:rsidR="00F03B79" w:rsidRPr="00265E89" w:rsidRDefault="00F03B79" w:rsidP="00416373">
            <w:pPr>
              <w:bidi w:val="0"/>
              <w:jc w:val="center"/>
              <w:rPr>
                <w:rFonts w:asciiTheme="majorBidi" w:hAnsiTheme="majorBidi" w:cstheme="majorBidi"/>
                <w:b/>
                <w:bCs/>
              </w:rPr>
            </w:pPr>
            <w:r w:rsidRPr="00265E89">
              <w:rPr>
                <w:rFonts w:asciiTheme="majorBidi" w:hAnsiTheme="majorBidi" w:cstheme="majorBidi"/>
                <w:b/>
                <w:bCs/>
              </w:rPr>
              <w:t>Excluded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7399575" w14:textId="77777777" w:rsidR="00F03B79" w:rsidRPr="00265E89" w:rsidRDefault="00F03B79" w:rsidP="00416373">
            <w:pPr>
              <w:bidi w:val="0"/>
              <w:jc w:val="center"/>
              <w:rPr>
                <w:rFonts w:asciiTheme="majorBidi" w:hAnsiTheme="majorBidi" w:cstheme="majorBidi"/>
                <w:b/>
                <w:bCs/>
              </w:rPr>
            </w:pPr>
            <w:r w:rsidRPr="00265E89">
              <w:rPr>
                <w:rFonts w:asciiTheme="majorBidi" w:hAnsiTheme="majorBidi" w:cstheme="majorBidi"/>
                <w:b/>
                <w:bCs/>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272795DA" w14:textId="77777777" w:rsidR="00F03B79" w:rsidRPr="00265E89" w:rsidRDefault="00F03B79" w:rsidP="00416373">
            <w:pPr>
              <w:bidi w:val="0"/>
              <w:jc w:val="center"/>
              <w:rPr>
                <w:rFonts w:asciiTheme="majorBidi" w:hAnsiTheme="majorBidi" w:cstheme="majorBidi"/>
                <w:b/>
                <w:bCs/>
              </w:rPr>
            </w:pPr>
            <w:r w:rsidRPr="00265E89">
              <w:rPr>
                <w:rFonts w:asciiTheme="majorBidi" w:hAnsiTheme="majorBidi" w:cstheme="majorBidi"/>
                <w:b/>
                <w:bCs/>
              </w:rPr>
              <w:t>df</w:t>
            </w:r>
          </w:p>
        </w:tc>
        <w:tc>
          <w:tcPr>
            <w:tcW w:w="0" w:type="auto"/>
            <w:tcBorders>
              <w:top w:val="outset" w:sz="6" w:space="0" w:color="auto"/>
              <w:left w:val="outset" w:sz="6" w:space="0" w:color="auto"/>
              <w:bottom w:val="outset" w:sz="6" w:space="0" w:color="auto"/>
              <w:right w:val="outset" w:sz="6" w:space="0" w:color="auto"/>
            </w:tcBorders>
            <w:vAlign w:val="center"/>
            <w:hideMark/>
          </w:tcPr>
          <w:p w14:paraId="34AC98B3" w14:textId="77777777" w:rsidR="00F03B79" w:rsidRPr="00265E89" w:rsidRDefault="00F03B79" w:rsidP="00416373">
            <w:pPr>
              <w:bidi w:val="0"/>
              <w:jc w:val="center"/>
              <w:rPr>
                <w:rFonts w:asciiTheme="majorBidi" w:hAnsiTheme="majorBidi" w:cstheme="majorBidi"/>
                <w:b/>
                <w:bCs/>
              </w:rPr>
            </w:pPr>
            <w:proofErr w:type="spellStart"/>
            <w:r w:rsidRPr="00265E89">
              <w:rPr>
                <w:rFonts w:asciiTheme="majorBidi" w:hAnsiTheme="majorBidi" w:cstheme="majorBidi"/>
                <w:b/>
                <w:bCs/>
              </w:rPr>
              <w:t>df_r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C6ACFF6" w14:textId="77777777" w:rsidR="00F03B79" w:rsidRPr="00265E89" w:rsidRDefault="00F03B79" w:rsidP="00416373">
            <w:pPr>
              <w:bidi w:val="0"/>
              <w:jc w:val="center"/>
              <w:rPr>
                <w:rFonts w:asciiTheme="majorBidi" w:hAnsiTheme="majorBidi" w:cstheme="majorBidi"/>
                <w:b/>
                <w:bCs/>
              </w:rPr>
            </w:pPr>
            <w:r w:rsidRPr="00265E89">
              <w:rPr>
                <w:rFonts w:asciiTheme="majorBidi" w:hAnsiTheme="majorBidi" w:cstheme="majorBidi"/>
                <w:b/>
                <w:bCs/>
              </w:rPr>
              <w:t>Prob &gt; F</w:t>
            </w:r>
          </w:p>
        </w:tc>
      </w:tr>
      <w:tr w:rsidR="00F03B79" w:rsidRPr="007531D8" w14:paraId="19DFBB5E" w14:textId="77777777" w:rsidTr="00416373">
        <w:trPr>
          <w:tblCellSpacing w:w="15" w:type="dxa"/>
          <w:jc w:val="center"/>
        </w:trPr>
        <w:tc>
          <w:tcPr>
            <w:tcW w:w="0" w:type="auto"/>
            <w:gridSpan w:val="6"/>
            <w:tcBorders>
              <w:top w:val="outset" w:sz="6" w:space="0" w:color="auto"/>
              <w:left w:val="outset" w:sz="6" w:space="0" w:color="auto"/>
              <w:bottom w:val="outset" w:sz="6" w:space="0" w:color="auto"/>
            </w:tcBorders>
            <w:vAlign w:val="center"/>
            <w:hideMark/>
          </w:tcPr>
          <w:p w14:paraId="399EBDAF" w14:textId="77777777" w:rsidR="00F03B79" w:rsidRPr="00265E89" w:rsidRDefault="00F03B79" w:rsidP="00416373">
            <w:pPr>
              <w:bidi w:val="0"/>
              <w:rPr>
                <w:rFonts w:asciiTheme="majorBidi" w:hAnsiTheme="majorBidi" w:cstheme="majorBidi"/>
              </w:rPr>
            </w:pPr>
            <w:r w:rsidRPr="007531D8">
              <w:rPr>
                <w:rFonts w:asciiTheme="majorBidi" w:hAnsiTheme="majorBidi" w:cstheme="majorBidi"/>
              </w:rPr>
              <w:t xml:space="preserve"> </w:t>
            </w:r>
          </w:p>
        </w:tc>
      </w:tr>
      <w:tr w:rsidR="00F03B79" w:rsidRPr="007531D8" w14:paraId="1F2C8396" w14:textId="77777777" w:rsidTr="0041637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23C1FE"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T</w:t>
            </w:r>
            <w:r>
              <w:rPr>
                <w:rFonts w:asciiTheme="majorBidi" w:hAnsiTheme="majorBidi" w:cstheme="majorBidi"/>
              </w:rPr>
              <w:t>ERROR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D5F3A1"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INTEG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F056D5" w14:textId="77777777" w:rsidR="00F03B79" w:rsidRPr="00265E89" w:rsidRDefault="00F03B79" w:rsidP="00416373">
            <w:pPr>
              <w:bidi w:val="0"/>
              <w:rPr>
                <w:rFonts w:asciiTheme="majorBidi" w:hAnsiTheme="majorBidi" w:cstheme="majorBidi"/>
              </w:rPr>
            </w:pPr>
            <w:r w:rsidRPr="007531D8">
              <w:rPr>
                <w:rFonts w:asciiTheme="majorBidi" w:hAnsiTheme="majorBidi" w:cstheme="majorBidi"/>
              </w:rPr>
              <w:t>4.0677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400039"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555231"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4</w:t>
            </w:r>
            <w:r w:rsidRPr="007531D8">
              <w:rPr>
                <w:rFonts w:asciiTheme="majorBidi" w:hAnsiTheme="majorBidi" w:cstheme="majorBidi"/>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3EE037" w14:textId="77777777" w:rsidR="00F03B79" w:rsidRPr="00265E89" w:rsidRDefault="00F03B79" w:rsidP="00416373">
            <w:pPr>
              <w:bidi w:val="0"/>
              <w:rPr>
                <w:rFonts w:asciiTheme="majorBidi" w:hAnsiTheme="majorBidi" w:cstheme="majorBidi"/>
              </w:rPr>
            </w:pPr>
            <w:r w:rsidRPr="007531D8">
              <w:rPr>
                <w:rFonts w:asciiTheme="majorBidi" w:hAnsiTheme="majorBidi" w:cstheme="majorBidi"/>
              </w:rPr>
              <w:t>0.0238</w:t>
            </w:r>
          </w:p>
        </w:tc>
      </w:tr>
      <w:tr w:rsidR="00F03B79" w:rsidRPr="007531D8" w14:paraId="352CDC90" w14:textId="77777777" w:rsidTr="0041637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C0D0A9"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UNE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119B97"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INTEG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8AD289" w14:textId="77777777" w:rsidR="00F03B79" w:rsidRPr="00265E89" w:rsidRDefault="00F03B79" w:rsidP="00416373">
            <w:pPr>
              <w:bidi w:val="0"/>
              <w:rPr>
                <w:rFonts w:asciiTheme="majorBidi" w:hAnsiTheme="majorBidi" w:cstheme="majorBidi"/>
              </w:rPr>
            </w:pPr>
            <w:r w:rsidRPr="007531D8">
              <w:rPr>
                <w:rFonts w:asciiTheme="majorBidi" w:hAnsiTheme="majorBidi" w:cstheme="majorBidi"/>
              </w:rPr>
              <w:t xml:space="preserve">1.9485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BBB414"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822BC"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4</w:t>
            </w:r>
            <w:r w:rsidRPr="007531D8">
              <w:rPr>
                <w:rFonts w:asciiTheme="majorBidi" w:hAnsiTheme="majorBidi" w:cstheme="majorBidi"/>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593400" w14:textId="77777777" w:rsidR="00F03B79" w:rsidRPr="00265E89" w:rsidRDefault="00F03B79" w:rsidP="00416373">
            <w:pPr>
              <w:bidi w:val="0"/>
              <w:rPr>
                <w:rFonts w:asciiTheme="majorBidi" w:hAnsiTheme="majorBidi" w:cstheme="majorBidi"/>
              </w:rPr>
            </w:pPr>
            <w:r w:rsidRPr="007531D8">
              <w:rPr>
                <w:rFonts w:asciiTheme="majorBidi" w:hAnsiTheme="majorBidi" w:cstheme="majorBidi"/>
              </w:rPr>
              <w:t>0.1543</w:t>
            </w:r>
          </w:p>
        </w:tc>
      </w:tr>
      <w:tr w:rsidR="00F03B79" w:rsidRPr="007531D8" w14:paraId="114ECCBA" w14:textId="77777777" w:rsidTr="00416373">
        <w:trPr>
          <w:trHeight w:val="124"/>
          <w:tblCellSpacing w:w="15"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tcPr>
          <w:p w14:paraId="15163DD5" w14:textId="77777777" w:rsidR="00F03B79" w:rsidRPr="00265E89" w:rsidRDefault="00F03B79" w:rsidP="00416373">
            <w:pPr>
              <w:bidi w:val="0"/>
              <w:rPr>
                <w:rFonts w:asciiTheme="majorBidi" w:hAnsiTheme="majorBidi" w:cstheme="majorBidi"/>
              </w:rPr>
            </w:pPr>
          </w:p>
        </w:tc>
      </w:tr>
      <w:tr w:rsidR="00F03B79" w:rsidRPr="007531D8" w14:paraId="27DA5F94" w14:textId="77777777" w:rsidTr="0041637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710C5D4"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T</w:t>
            </w:r>
            <w:r>
              <w:rPr>
                <w:rFonts w:asciiTheme="majorBidi" w:hAnsiTheme="majorBidi" w:cstheme="majorBidi"/>
              </w:rPr>
              <w:t>ERROR</w:t>
            </w:r>
          </w:p>
        </w:tc>
        <w:tc>
          <w:tcPr>
            <w:tcW w:w="0" w:type="auto"/>
            <w:tcBorders>
              <w:top w:val="outset" w:sz="6" w:space="0" w:color="auto"/>
              <w:left w:val="outset" w:sz="6" w:space="0" w:color="auto"/>
              <w:bottom w:val="outset" w:sz="6" w:space="0" w:color="auto"/>
              <w:right w:val="outset" w:sz="6" w:space="0" w:color="auto"/>
            </w:tcBorders>
            <w:vAlign w:val="center"/>
          </w:tcPr>
          <w:p w14:paraId="798209B7"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UNE</w:t>
            </w:r>
          </w:p>
        </w:tc>
        <w:tc>
          <w:tcPr>
            <w:tcW w:w="0" w:type="auto"/>
            <w:tcBorders>
              <w:top w:val="outset" w:sz="6" w:space="0" w:color="auto"/>
              <w:left w:val="outset" w:sz="6" w:space="0" w:color="auto"/>
              <w:bottom w:val="outset" w:sz="6" w:space="0" w:color="auto"/>
              <w:right w:val="outset" w:sz="6" w:space="0" w:color="auto"/>
            </w:tcBorders>
            <w:vAlign w:val="center"/>
          </w:tcPr>
          <w:p w14:paraId="0CBB9810" w14:textId="77777777" w:rsidR="00F03B79" w:rsidRPr="00265E89" w:rsidRDefault="00F03B79" w:rsidP="00416373">
            <w:pPr>
              <w:bidi w:val="0"/>
              <w:rPr>
                <w:rFonts w:asciiTheme="majorBidi" w:hAnsiTheme="majorBidi" w:cstheme="majorBidi"/>
              </w:rPr>
            </w:pPr>
            <w:r w:rsidRPr="007531D8">
              <w:rPr>
                <w:rStyle w:val="eop"/>
                <w:rFonts w:asciiTheme="majorBidi" w:hAnsiTheme="majorBidi" w:cstheme="majorBidi"/>
              </w:rPr>
              <w:t>2.2567</w:t>
            </w:r>
          </w:p>
        </w:tc>
        <w:tc>
          <w:tcPr>
            <w:tcW w:w="0" w:type="auto"/>
            <w:tcBorders>
              <w:top w:val="outset" w:sz="6" w:space="0" w:color="auto"/>
              <w:left w:val="outset" w:sz="6" w:space="0" w:color="auto"/>
              <w:bottom w:val="outset" w:sz="6" w:space="0" w:color="auto"/>
              <w:right w:val="outset" w:sz="6" w:space="0" w:color="auto"/>
            </w:tcBorders>
            <w:vAlign w:val="center"/>
          </w:tcPr>
          <w:p w14:paraId="13C5448E"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2</w:t>
            </w:r>
          </w:p>
        </w:tc>
        <w:tc>
          <w:tcPr>
            <w:tcW w:w="0" w:type="auto"/>
            <w:tcBorders>
              <w:top w:val="outset" w:sz="6" w:space="0" w:color="auto"/>
              <w:left w:val="outset" w:sz="6" w:space="0" w:color="auto"/>
              <w:bottom w:val="outset" w:sz="6" w:space="0" w:color="auto"/>
              <w:right w:val="outset" w:sz="6" w:space="0" w:color="auto"/>
            </w:tcBorders>
            <w:vAlign w:val="center"/>
          </w:tcPr>
          <w:p w14:paraId="11E3AB8B"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4</w:t>
            </w:r>
            <w:r w:rsidRPr="007531D8">
              <w:rPr>
                <w:rFonts w:asciiTheme="majorBidi" w:hAnsiTheme="majorBidi" w:cstheme="majorBidi"/>
              </w:rPr>
              <w:t>5</w:t>
            </w:r>
          </w:p>
        </w:tc>
        <w:tc>
          <w:tcPr>
            <w:tcW w:w="0" w:type="auto"/>
            <w:tcBorders>
              <w:top w:val="outset" w:sz="6" w:space="0" w:color="auto"/>
              <w:left w:val="outset" w:sz="6" w:space="0" w:color="auto"/>
              <w:bottom w:val="outset" w:sz="6" w:space="0" w:color="auto"/>
              <w:right w:val="outset" w:sz="6" w:space="0" w:color="auto"/>
            </w:tcBorders>
            <w:vAlign w:val="center"/>
          </w:tcPr>
          <w:p w14:paraId="6638B090" w14:textId="77777777" w:rsidR="00F03B79" w:rsidRPr="00265E89" w:rsidRDefault="00F03B79" w:rsidP="00416373">
            <w:pPr>
              <w:bidi w:val="0"/>
              <w:rPr>
                <w:rFonts w:asciiTheme="majorBidi" w:hAnsiTheme="majorBidi" w:cstheme="majorBidi"/>
              </w:rPr>
            </w:pPr>
            <w:r w:rsidRPr="007531D8">
              <w:rPr>
                <w:rStyle w:val="eop"/>
                <w:rFonts w:asciiTheme="majorBidi" w:hAnsiTheme="majorBidi" w:cstheme="majorBidi"/>
              </w:rPr>
              <w:t xml:space="preserve">0.1164  </w:t>
            </w:r>
          </w:p>
        </w:tc>
      </w:tr>
      <w:tr w:rsidR="00F03B79" w:rsidRPr="007531D8" w14:paraId="6691C524" w14:textId="77777777" w:rsidTr="0041637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F916D61"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INTEG</w:t>
            </w:r>
          </w:p>
        </w:tc>
        <w:tc>
          <w:tcPr>
            <w:tcW w:w="0" w:type="auto"/>
            <w:tcBorders>
              <w:top w:val="outset" w:sz="6" w:space="0" w:color="auto"/>
              <w:left w:val="outset" w:sz="6" w:space="0" w:color="auto"/>
              <w:bottom w:val="outset" w:sz="6" w:space="0" w:color="auto"/>
              <w:right w:val="outset" w:sz="6" w:space="0" w:color="auto"/>
            </w:tcBorders>
            <w:vAlign w:val="center"/>
          </w:tcPr>
          <w:p w14:paraId="091E206C"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UNE</w:t>
            </w:r>
          </w:p>
        </w:tc>
        <w:tc>
          <w:tcPr>
            <w:tcW w:w="0" w:type="auto"/>
            <w:tcBorders>
              <w:top w:val="outset" w:sz="6" w:space="0" w:color="auto"/>
              <w:left w:val="outset" w:sz="6" w:space="0" w:color="auto"/>
              <w:bottom w:val="outset" w:sz="6" w:space="0" w:color="auto"/>
              <w:right w:val="outset" w:sz="6" w:space="0" w:color="auto"/>
            </w:tcBorders>
            <w:vAlign w:val="center"/>
          </w:tcPr>
          <w:p w14:paraId="63CE7E36" w14:textId="77777777" w:rsidR="00F03B79" w:rsidRPr="00265E89" w:rsidRDefault="00F03B79" w:rsidP="00416373">
            <w:pPr>
              <w:bidi w:val="0"/>
              <w:rPr>
                <w:rFonts w:asciiTheme="majorBidi" w:hAnsiTheme="majorBidi" w:cstheme="majorBidi"/>
              </w:rPr>
            </w:pPr>
            <w:r w:rsidRPr="007531D8">
              <w:rPr>
                <w:rFonts w:asciiTheme="majorBidi" w:hAnsiTheme="majorBidi" w:cstheme="majorBidi"/>
              </w:rPr>
              <w:t>4.9229</w:t>
            </w:r>
          </w:p>
        </w:tc>
        <w:tc>
          <w:tcPr>
            <w:tcW w:w="0" w:type="auto"/>
            <w:tcBorders>
              <w:top w:val="outset" w:sz="6" w:space="0" w:color="auto"/>
              <w:left w:val="outset" w:sz="6" w:space="0" w:color="auto"/>
              <w:bottom w:val="outset" w:sz="6" w:space="0" w:color="auto"/>
              <w:right w:val="outset" w:sz="6" w:space="0" w:color="auto"/>
            </w:tcBorders>
            <w:vAlign w:val="center"/>
          </w:tcPr>
          <w:p w14:paraId="03CCD98D"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2</w:t>
            </w:r>
          </w:p>
        </w:tc>
        <w:tc>
          <w:tcPr>
            <w:tcW w:w="0" w:type="auto"/>
            <w:tcBorders>
              <w:top w:val="outset" w:sz="6" w:space="0" w:color="auto"/>
              <w:left w:val="outset" w:sz="6" w:space="0" w:color="auto"/>
              <w:bottom w:val="outset" w:sz="6" w:space="0" w:color="auto"/>
              <w:right w:val="outset" w:sz="6" w:space="0" w:color="auto"/>
            </w:tcBorders>
            <w:vAlign w:val="center"/>
          </w:tcPr>
          <w:p w14:paraId="64C2BA55"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4</w:t>
            </w:r>
            <w:r w:rsidRPr="007531D8">
              <w:rPr>
                <w:rFonts w:asciiTheme="majorBidi" w:hAnsiTheme="majorBidi" w:cstheme="majorBidi"/>
              </w:rPr>
              <w:t>5</w:t>
            </w:r>
          </w:p>
        </w:tc>
        <w:tc>
          <w:tcPr>
            <w:tcW w:w="0" w:type="auto"/>
            <w:tcBorders>
              <w:top w:val="outset" w:sz="6" w:space="0" w:color="auto"/>
              <w:left w:val="outset" w:sz="6" w:space="0" w:color="auto"/>
              <w:bottom w:val="outset" w:sz="6" w:space="0" w:color="auto"/>
              <w:right w:val="outset" w:sz="6" w:space="0" w:color="auto"/>
            </w:tcBorders>
            <w:vAlign w:val="center"/>
          </w:tcPr>
          <w:p w14:paraId="1D732CFE" w14:textId="77777777" w:rsidR="00F03B79" w:rsidRPr="00265E89" w:rsidRDefault="00F03B79" w:rsidP="00416373">
            <w:pPr>
              <w:bidi w:val="0"/>
              <w:rPr>
                <w:rFonts w:asciiTheme="majorBidi" w:hAnsiTheme="majorBidi" w:cstheme="majorBidi"/>
              </w:rPr>
            </w:pPr>
            <w:r w:rsidRPr="007531D8">
              <w:rPr>
                <w:rFonts w:asciiTheme="majorBidi" w:hAnsiTheme="majorBidi" w:cstheme="majorBidi"/>
              </w:rPr>
              <w:t>0.0117</w:t>
            </w:r>
          </w:p>
        </w:tc>
      </w:tr>
      <w:tr w:rsidR="00F03B79" w:rsidRPr="007531D8" w14:paraId="4CE2A2C0" w14:textId="77777777" w:rsidTr="00416373">
        <w:trPr>
          <w:trHeight w:val="227"/>
          <w:tblCellSpacing w:w="15" w:type="dxa"/>
          <w:jc w:val="center"/>
        </w:trPr>
        <w:tc>
          <w:tcPr>
            <w:tcW w:w="0" w:type="auto"/>
            <w:gridSpan w:val="6"/>
            <w:tcBorders>
              <w:top w:val="outset" w:sz="6" w:space="0" w:color="auto"/>
              <w:left w:val="outset" w:sz="6" w:space="0" w:color="auto"/>
              <w:bottom w:val="outset" w:sz="6" w:space="0" w:color="auto"/>
            </w:tcBorders>
            <w:vAlign w:val="center"/>
            <w:hideMark/>
          </w:tcPr>
          <w:p w14:paraId="0144F11D" w14:textId="77777777" w:rsidR="00F03B79" w:rsidRPr="00265E89" w:rsidRDefault="00F03B79" w:rsidP="00416373">
            <w:pPr>
              <w:bidi w:val="0"/>
              <w:rPr>
                <w:rFonts w:asciiTheme="majorBidi" w:hAnsiTheme="majorBidi" w:cstheme="majorBidi"/>
              </w:rPr>
            </w:pPr>
          </w:p>
        </w:tc>
      </w:tr>
      <w:tr w:rsidR="00F03B79" w:rsidRPr="007531D8" w14:paraId="75527456" w14:textId="77777777" w:rsidTr="0041637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D8A88F4"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INTEG</w:t>
            </w:r>
          </w:p>
        </w:tc>
        <w:tc>
          <w:tcPr>
            <w:tcW w:w="0" w:type="auto"/>
            <w:tcBorders>
              <w:top w:val="outset" w:sz="6" w:space="0" w:color="auto"/>
              <w:left w:val="outset" w:sz="6" w:space="0" w:color="auto"/>
              <w:bottom w:val="outset" w:sz="6" w:space="0" w:color="auto"/>
              <w:right w:val="outset" w:sz="6" w:space="0" w:color="auto"/>
            </w:tcBorders>
            <w:vAlign w:val="center"/>
          </w:tcPr>
          <w:p w14:paraId="36B4B87B"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T</w:t>
            </w:r>
            <w:r>
              <w:rPr>
                <w:rFonts w:asciiTheme="majorBidi" w:hAnsiTheme="majorBidi" w:cstheme="majorBidi"/>
              </w:rPr>
              <w:t>ERROR</w:t>
            </w:r>
          </w:p>
        </w:tc>
        <w:tc>
          <w:tcPr>
            <w:tcW w:w="0" w:type="auto"/>
            <w:tcBorders>
              <w:top w:val="outset" w:sz="6" w:space="0" w:color="auto"/>
              <w:left w:val="outset" w:sz="6" w:space="0" w:color="auto"/>
              <w:bottom w:val="outset" w:sz="6" w:space="0" w:color="auto"/>
              <w:right w:val="outset" w:sz="6" w:space="0" w:color="auto"/>
            </w:tcBorders>
            <w:vAlign w:val="center"/>
          </w:tcPr>
          <w:p w14:paraId="4E16173B" w14:textId="77777777" w:rsidR="00F03B79" w:rsidRPr="00265E89" w:rsidRDefault="00F03B79" w:rsidP="00416373">
            <w:pPr>
              <w:bidi w:val="0"/>
              <w:rPr>
                <w:rFonts w:asciiTheme="majorBidi" w:hAnsiTheme="majorBidi" w:cstheme="majorBidi"/>
              </w:rPr>
            </w:pPr>
            <w:r w:rsidRPr="007531D8">
              <w:rPr>
                <w:rFonts w:asciiTheme="majorBidi" w:hAnsiTheme="majorBidi" w:cstheme="majorBidi"/>
              </w:rPr>
              <w:t>.19603</w:t>
            </w:r>
          </w:p>
        </w:tc>
        <w:tc>
          <w:tcPr>
            <w:tcW w:w="0" w:type="auto"/>
            <w:tcBorders>
              <w:top w:val="outset" w:sz="6" w:space="0" w:color="auto"/>
              <w:left w:val="outset" w:sz="6" w:space="0" w:color="auto"/>
              <w:bottom w:val="outset" w:sz="6" w:space="0" w:color="auto"/>
              <w:right w:val="outset" w:sz="6" w:space="0" w:color="auto"/>
            </w:tcBorders>
            <w:vAlign w:val="center"/>
          </w:tcPr>
          <w:p w14:paraId="40861663"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2</w:t>
            </w:r>
          </w:p>
        </w:tc>
        <w:tc>
          <w:tcPr>
            <w:tcW w:w="0" w:type="auto"/>
            <w:tcBorders>
              <w:top w:val="outset" w:sz="6" w:space="0" w:color="auto"/>
              <w:left w:val="outset" w:sz="6" w:space="0" w:color="auto"/>
              <w:bottom w:val="outset" w:sz="6" w:space="0" w:color="auto"/>
              <w:right w:val="outset" w:sz="6" w:space="0" w:color="auto"/>
            </w:tcBorders>
            <w:vAlign w:val="center"/>
          </w:tcPr>
          <w:p w14:paraId="7315B9A4"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4</w:t>
            </w:r>
            <w:r w:rsidRPr="007531D8">
              <w:rPr>
                <w:rFonts w:asciiTheme="majorBidi" w:hAnsiTheme="majorBidi" w:cstheme="majorBidi"/>
              </w:rPr>
              <w:t>5</w:t>
            </w:r>
          </w:p>
        </w:tc>
        <w:tc>
          <w:tcPr>
            <w:tcW w:w="0" w:type="auto"/>
            <w:tcBorders>
              <w:top w:val="outset" w:sz="6" w:space="0" w:color="auto"/>
              <w:left w:val="outset" w:sz="6" w:space="0" w:color="auto"/>
              <w:bottom w:val="outset" w:sz="6" w:space="0" w:color="auto"/>
              <w:right w:val="outset" w:sz="6" w:space="0" w:color="auto"/>
            </w:tcBorders>
            <w:vAlign w:val="center"/>
          </w:tcPr>
          <w:p w14:paraId="237FB514" w14:textId="77777777" w:rsidR="00F03B79" w:rsidRPr="00265E89" w:rsidRDefault="00F03B79" w:rsidP="00416373">
            <w:pPr>
              <w:bidi w:val="0"/>
              <w:rPr>
                <w:rFonts w:asciiTheme="majorBidi" w:hAnsiTheme="majorBidi" w:cstheme="majorBidi"/>
              </w:rPr>
            </w:pPr>
            <w:r w:rsidRPr="007531D8">
              <w:rPr>
                <w:rFonts w:asciiTheme="majorBidi" w:hAnsiTheme="majorBidi" w:cstheme="majorBidi"/>
              </w:rPr>
              <w:t>0.8227</w:t>
            </w:r>
          </w:p>
        </w:tc>
      </w:tr>
      <w:tr w:rsidR="00F03B79" w:rsidRPr="007531D8" w14:paraId="04E2E658" w14:textId="77777777" w:rsidTr="0041637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4610A8"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UNE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FA0254"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T</w:t>
            </w:r>
            <w:r>
              <w:rPr>
                <w:rFonts w:asciiTheme="majorBidi" w:hAnsiTheme="majorBidi" w:cstheme="majorBidi"/>
              </w:rPr>
              <w:t>ERROR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382FBF" w14:textId="77777777" w:rsidR="00F03B79" w:rsidRPr="00265E89" w:rsidRDefault="00F03B79" w:rsidP="00416373">
            <w:pPr>
              <w:bidi w:val="0"/>
              <w:rPr>
                <w:rFonts w:asciiTheme="majorBidi" w:hAnsiTheme="majorBidi" w:cstheme="majorBidi"/>
              </w:rPr>
            </w:pPr>
            <w:r w:rsidRPr="00CA728B">
              <w:rPr>
                <w:rStyle w:val="eop"/>
                <w:rFonts w:asciiTheme="majorBidi" w:hAnsiTheme="majorBidi" w:cstheme="majorBidi"/>
              </w:rPr>
              <w:t>1.1612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8CAD6B"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E5C59A" w14:textId="77777777" w:rsidR="00F03B79" w:rsidRPr="00265E89" w:rsidRDefault="00F03B79" w:rsidP="00416373">
            <w:pPr>
              <w:bidi w:val="0"/>
              <w:rPr>
                <w:rFonts w:asciiTheme="majorBidi" w:hAnsiTheme="majorBidi" w:cstheme="majorBidi"/>
              </w:rPr>
            </w:pPr>
            <w:r w:rsidRPr="00265E89">
              <w:rPr>
                <w:rFonts w:asciiTheme="majorBidi" w:hAnsiTheme="majorBidi" w:cstheme="majorBidi"/>
              </w:rPr>
              <w:t>4</w:t>
            </w:r>
            <w:r w:rsidRPr="007531D8">
              <w:rPr>
                <w:rFonts w:asciiTheme="majorBidi" w:hAnsiTheme="majorBidi" w:cstheme="majorBidi"/>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DA75B9" w14:textId="77777777" w:rsidR="00F03B79" w:rsidRPr="00265E89" w:rsidRDefault="00F03B79" w:rsidP="00416373">
            <w:pPr>
              <w:bidi w:val="0"/>
              <w:rPr>
                <w:rFonts w:asciiTheme="majorBidi" w:hAnsiTheme="majorBidi" w:cstheme="majorBidi"/>
              </w:rPr>
            </w:pPr>
            <w:r w:rsidRPr="00CA728B">
              <w:rPr>
                <w:rStyle w:val="eop"/>
                <w:rFonts w:asciiTheme="majorBidi" w:hAnsiTheme="majorBidi" w:cstheme="majorBidi"/>
              </w:rPr>
              <w:t xml:space="preserve">0.3223  </w:t>
            </w:r>
          </w:p>
        </w:tc>
      </w:tr>
    </w:tbl>
    <w:p w14:paraId="0FAB70EC" w14:textId="77777777" w:rsidR="00F03B79" w:rsidRDefault="00F03B79" w:rsidP="00F03B79">
      <w:pPr>
        <w:shd w:val="clear" w:color="auto" w:fill="FFFFFF"/>
        <w:bidi w:val="0"/>
        <w:spacing w:line="480" w:lineRule="auto"/>
        <w:ind w:left="360" w:firstLine="360"/>
        <w:jc w:val="both"/>
        <w:textAlignment w:val="baseline"/>
        <w:rPr>
          <w:rFonts w:asciiTheme="majorBidi" w:hAnsiTheme="majorBidi" w:cstheme="majorBidi"/>
          <w:sz w:val="24"/>
          <w:szCs w:val="24"/>
        </w:rPr>
      </w:pPr>
    </w:p>
    <w:p w14:paraId="3F17D4FE" w14:textId="77777777" w:rsidR="00F03B79" w:rsidRPr="003107C8" w:rsidRDefault="00F03B79" w:rsidP="00F03B79">
      <w:pPr>
        <w:shd w:val="clear" w:color="auto" w:fill="FFFFFF"/>
        <w:bidi w:val="0"/>
        <w:spacing w:line="480" w:lineRule="auto"/>
        <w:ind w:left="360" w:firstLine="360"/>
        <w:jc w:val="both"/>
        <w:textAlignment w:val="baseline"/>
        <w:rPr>
          <w:rFonts w:asciiTheme="majorBidi" w:hAnsiTheme="majorBidi" w:cstheme="majorBidi"/>
          <w:sz w:val="24"/>
          <w:szCs w:val="24"/>
        </w:rPr>
      </w:pPr>
      <w:r w:rsidRPr="007D667C">
        <w:rPr>
          <w:rFonts w:asciiTheme="majorBidi" w:hAnsiTheme="majorBidi" w:cstheme="majorBidi"/>
          <w:sz w:val="24"/>
          <w:szCs w:val="24"/>
        </w:rPr>
        <w:t xml:space="preserve">The </w:t>
      </w:r>
      <w:r w:rsidRPr="003107C8">
        <w:rPr>
          <w:rFonts w:asciiTheme="majorBidi" w:hAnsiTheme="majorBidi" w:cstheme="majorBidi"/>
          <w:sz w:val="24"/>
          <w:szCs w:val="24"/>
        </w:rPr>
        <w:t>results</w:t>
      </w:r>
      <w:r w:rsidRPr="007D667C">
        <w:rPr>
          <w:rFonts w:asciiTheme="majorBidi" w:hAnsiTheme="majorBidi" w:cstheme="majorBidi"/>
          <w:sz w:val="24"/>
          <w:szCs w:val="24"/>
        </w:rPr>
        <w:t xml:space="preserve"> in our model </w:t>
      </w:r>
      <w:r w:rsidRPr="003107C8">
        <w:rPr>
          <w:rFonts w:asciiTheme="majorBidi" w:hAnsiTheme="majorBidi" w:cstheme="majorBidi"/>
          <w:sz w:val="24"/>
          <w:szCs w:val="24"/>
        </w:rPr>
        <w:t>suggest that we:</w:t>
      </w:r>
    </w:p>
    <w:p w14:paraId="1052E426" w14:textId="77777777" w:rsidR="00F03B79" w:rsidRDefault="00F03B79" w:rsidP="00F03B79">
      <w:pPr>
        <w:numPr>
          <w:ilvl w:val="0"/>
          <w:numId w:val="29"/>
        </w:numPr>
        <w:shd w:val="clear" w:color="auto" w:fill="FFFFFF"/>
        <w:bidi w:val="0"/>
        <w:spacing w:line="360" w:lineRule="auto"/>
        <w:jc w:val="both"/>
        <w:textAlignment w:val="baseline"/>
        <w:rPr>
          <w:rFonts w:asciiTheme="majorBidi" w:hAnsiTheme="majorBidi" w:cstheme="majorBidi"/>
          <w:sz w:val="24"/>
          <w:szCs w:val="24"/>
        </w:rPr>
      </w:pPr>
      <w:r w:rsidRPr="003107C8">
        <w:rPr>
          <w:rFonts w:asciiTheme="majorBidi" w:hAnsiTheme="majorBidi" w:cstheme="majorBidi"/>
          <w:sz w:val="24"/>
          <w:szCs w:val="24"/>
        </w:rPr>
        <w:t xml:space="preserve">Reject the null hypothesis that </w:t>
      </w:r>
      <w:r>
        <w:rPr>
          <w:rFonts w:asciiTheme="majorBidi" w:hAnsiTheme="majorBidi" w:cstheme="majorBidi"/>
          <w:sz w:val="24"/>
          <w:szCs w:val="24"/>
        </w:rPr>
        <w:t xml:space="preserve">the </w:t>
      </w:r>
      <w:r w:rsidRPr="008E4380">
        <w:rPr>
          <w:rFonts w:asciiTheme="majorBidi" w:hAnsiTheme="majorBidi" w:cstheme="majorBidi"/>
          <w:sz w:val="24"/>
          <w:szCs w:val="24"/>
        </w:rPr>
        <w:t xml:space="preserve">economic </w:t>
      </w:r>
      <w:r w:rsidRPr="007D667C">
        <w:rPr>
          <w:rFonts w:asciiTheme="majorBidi" w:hAnsiTheme="majorBidi" w:cstheme="majorBidi"/>
          <w:sz w:val="24"/>
          <w:szCs w:val="24"/>
        </w:rPr>
        <w:t>integration level</w:t>
      </w:r>
      <w:r w:rsidRPr="003107C8">
        <w:rPr>
          <w:rFonts w:asciiTheme="majorBidi" w:hAnsiTheme="majorBidi" w:cstheme="majorBidi"/>
          <w:sz w:val="24"/>
          <w:szCs w:val="24"/>
        </w:rPr>
        <w:t> </w:t>
      </w:r>
      <w:r w:rsidRPr="008E4380">
        <w:rPr>
          <w:rFonts w:asciiTheme="majorBidi" w:hAnsiTheme="majorBidi" w:cstheme="majorBidi"/>
          <w:sz w:val="24"/>
          <w:szCs w:val="24"/>
          <w:bdr w:val="none" w:sz="0" w:space="0" w:color="auto" w:frame="1"/>
        </w:rPr>
        <w:t>fails</w:t>
      </w:r>
      <w:r w:rsidRPr="003107C8">
        <w:rPr>
          <w:rFonts w:asciiTheme="majorBidi" w:hAnsiTheme="majorBidi" w:cstheme="majorBidi"/>
          <w:sz w:val="24"/>
          <w:szCs w:val="24"/>
          <w:bdr w:val="none" w:sz="0" w:space="0" w:color="auto" w:frame="1"/>
        </w:rPr>
        <w:t xml:space="preserve"> to Granger-</w:t>
      </w:r>
      <w:r w:rsidRPr="008E4380">
        <w:rPr>
          <w:rFonts w:asciiTheme="majorBidi" w:hAnsiTheme="majorBidi" w:cstheme="majorBidi"/>
          <w:sz w:val="24"/>
          <w:szCs w:val="24"/>
          <w:bdr w:val="none" w:sz="0" w:space="0" w:color="auto" w:frame="1"/>
        </w:rPr>
        <w:t>cause</w:t>
      </w:r>
      <w:r w:rsidRPr="003107C8">
        <w:rPr>
          <w:rFonts w:asciiTheme="majorBidi" w:hAnsiTheme="majorBidi" w:cstheme="majorBidi"/>
          <w:sz w:val="24"/>
          <w:szCs w:val="24"/>
        </w:rPr>
        <w:t> </w:t>
      </w:r>
      <w:r w:rsidRPr="007D667C">
        <w:rPr>
          <w:rFonts w:asciiTheme="majorBidi" w:hAnsiTheme="majorBidi" w:cstheme="majorBidi"/>
          <w:sz w:val="24"/>
          <w:szCs w:val="24"/>
        </w:rPr>
        <w:t>terrorism</w:t>
      </w:r>
      <w:r w:rsidRPr="003107C8">
        <w:rPr>
          <w:rFonts w:asciiTheme="majorBidi" w:hAnsiTheme="majorBidi" w:cstheme="majorBidi"/>
          <w:sz w:val="24"/>
          <w:szCs w:val="24"/>
        </w:rPr>
        <w:t xml:space="preserve"> at the </w:t>
      </w:r>
      <w:r w:rsidRPr="007D667C">
        <w:rPr>
          <w:rFonts w:asciiTheme="majorBidi" w:hAnsiTheme="majorBidi" w:cstheme="majorBidi"/>
          <w:sz w:val="24"/>
          <w:szCs w:val="24"/>
        </w:rPr>
        <w:t>5</w:t>
      </w:r>
      <w:r w:rsidRPr="003107C8">
        <w:rPr>
          <w:rFonts w:asciiTheme="majorBidi" w:hAnsiTheme="majorBidi" w:cstheme="majorBidi"/>
          <w:sz w:val="24"/>
          <w:szCs w:val="24"/>
        </w:rPr>
        <w:t>% level.</w:t>
      </w:r>
      <w:r w:rsidRPr="007D667C">
        <w:rPr>
          <w:rFonts w:asciiTheme="majorBidi" w:hAnsiTheme="majorBidi" w:cstheme="majorBidi"/>
          <w:sz w:val="24"/>
          <w:szCs w:val="24"/>
        </w:rPr>
        <w:t xml:space="preserve"> </w:t>
      </w:r>
    </w:p>
    <w:p w14:paraId="57075168" w14:textId="77777777" w:rsidR="00F03B79" w:rsidRDefault="00F03B79" w:rsidP="00F03B79">
      <w:pPr>
        <w:numPr>
          <w:ilvl w:val="0"/>
          <w:numId w:val="29"/>
        </w:numPr>
        <w:shd w:val="clear" w:color="auto" w:fill="FFFFFF"/>
        <w:bidi w:val="0"/>
        <w:spacing w:before="100" w:beforeAutospacing="1" w:line="360" w:lineRule="auto"/>
        <w:jc w:val="both"/>
        <w:textAlignment w:val="baseline"/>
        <w:rPr>
          <w:rFonts w:asciiTheme="majorBidi" w:hAnsiTheme="majorBidi" w:cstheme="majorBidi"/>
          <w:sz w:val="24"/>
          <w:szCs w:val="24"/>
        </w:rPr>
      </w:pPr>
      <w:r w:rsidRPr="008E4380">
        <w:rPr>
          <w:rFonts w:asciiTheme="majorBidi" w:hAnsiTheme="majorBidi" w:cstheme="majorBidi"/>
          <w:sz w:val="24"/>
          <w:szCs w:val="24"/>
        </w:rPr>
        <w:t>Cannot reject the null hypothesis that</w:t>
      </w:r>
      <w:r>
        <w:rPr>
          <w:rFonts w:asciiTheme="majorBidi" w:hAnsiTheme="majorBidi" w:cstheme="majorBidi"/>
          <w:sz w:val="24"/>
          <w:szCs w:val="24"/>
        </w:rPr>
        <w:t xml:space="preserve"> the</w:t>
      </w:r>
      <w:r w:rsidRPr="008E4380">
        <w:rPr>
          <w:rFonts w:asciiTheme="majorBidi" w:hAnsiTheme="majorBidi" w:cstheme="majorBidi"/>
          <w:sz w:val="24"/>
          <w:szCs w:val="24"/>
        </w:rPr>
        <w:t xml:space="preserve"> economic integration level </w:t>
      </w:r>
      <w:r w:rsidRPr="008E4380">
        <w:rPr>
          <w:rFonts w:asciiTheme="majorBidi" w:hAnsiTheme="majorBidi" w:cstheme="majorBidi"/>
          <w:sz w:val="24"/>
          <w:szCs w:val="24"/>
          <w:bdr w:val="none" w:sz="0" w:space="0" w:color="auto" w:frame="1"/>
        </w:rPr>
        <w:t>fails to Granger-causes</w:t>
      </w:r>
      <w:r>
        <w:rPr>
          <w:rFonts w:asciiTheme="majorBidi" w:hAnsiTheme="majorBidi" w:cstheme="majorBidi"/>
          <w:sz w:val="24"/>
          <w:szCs w:val="24"/>
          <w:bdr w:val="none" w:sz="0" w:space="0" w:color="auto" w:frame="1"/>
        </w:rPr>
        <w:t xml:space="preserve"> the</w:t>
      </w:r>
      <w:r w:rsidRPr="009D73CD">
        <w:rPr>
          <w:rFonts w:asciiTheme="majorBidi" w:hAnsiTheme="majorBidi" w:cstheme="majorBidi"/>
          <w:sz w:val="24"/>
          <w:szCs w:val="24"/>
          <w:bdr w:val="none" w:sz="0" w:space="0" w:color="auto" w:frame="1"/>
        </w:rPr>
        <w:t xml:space="preserve"> </w:t>
      </w:r>
      <w:r w:rsidRPr="008E4380">
        <w:rPr>
          <w:rFonts w:asciiTheme="majorBidi" w:hAnsiTheme="majorBidi" w:cstheme="majorBidi"/>
          <w:sz w:val="24"/>
          <w:szCs w:val="24"/>
        </w:rPr>
        <w:t xml:space="preserve">unemployment rate. </w:t>
      </w:r>
    </w:p>
    <w:p w14:paraId="4ECAE72F" w14:textId="77777777" w:rsidR="00F03B79" w:rsidRDefault="00F03B79" w:rsidP="00F03B79">
      <w:pPr>
        <w:numPr>
          <w:ilvl w:val="0"/>
          <w:numId w:val="29"/>
        </w:numPr>
        <w:shd w:val="clear" w:color="auto" w:fill="FFFFFF"/>
        <w:bidi w:val="0"/>
        <w:spacing w:line="360" w:lineRule="auto"/>
        <w:jc w:val="both"/>
        <w:textAlignment w:val="baseline"/>
        <w:rPr>
          <w:rFonts w:asciiTheme="majorBidi" w:hAnsiTheme="majorBidi" w:cstheme="majorBidi"/>
          <w:sz w:val="24"/>
          <w:szCs w:val="24"/>
        </w:rPr>
      </w:pPr>
      <w:r>
        <w:rPr>
          <w:rFonts w:asciiTheme="majorBidi" w:hAnsiTheme="majorBidi" w:cstheme="majorBidi"/>
          <w:sz w:val="24"/>
          <w:szCs w:val="24"/>
        </w:rPr>
        <w:t>Cannot r</w:t>
      </w:r>
      <w:r w:rsidRPr="008E4380">
        <w:rPr>
          <w:rFonts w:asciiTheme="majorBidi" w:hAnsiTheme="majorBidi" w:cstheme="majorBidi"/>
          <w:sz w:val="24"/>
          <w:szCs w:val="24"/>
        </w:rPr>
        <w:t>eject</w:t>
      </w:r>
      <w:r w:rsidRPr="007D667C">
        <w:rPr>
          <w:rFonts w:asciiTheme="majorBidi" w:hAnsiTheme="majorBidi" w:cstheme="majorBidi"/>
          <w:sz w:val="24"/>
          <w:szCs w:val="24"/>
        </w:rPr>
        <w:t xml:space="preserve"> the</w:t>
      </w:r>
      <w:r w:rsidRPr="003107C8">
        <w:rPr>
          <w:rFonts w:asciiTheme="majorBidi" w:hAnsiTheme="majorBidi" w:cstheme="majorBidi"/>
          <w:sz w:val="24"/>
          <w:szCs w:val="24"/>
        </w:rPr>
        <w:t xml:space="preserve"> null hypothesis that </w:t>
      </w:r>
      <w:r>
        <w:rPr>
          <w:rFonts w:asciiTheme="majorBidi" w:hAnsiTheme="majorBidi" w:cstheme="majorBidi"/>
          <w:sz w:val="24"/>
          <w:szCs w:val="24"/>
        </w:rPr>
        <w:t>the</w:t>
      </w:r>
      <w:r w:rsidRPr="008E4380">
        <w:rPr>
          <w:rFonts w:asciiTheme="majorBidi" w:hAnsiTheme="majorBidi" w:cstheme="majorBidi"/>
          <w:sz w:val="24"/>
          <w:szCs w:val="24"/>
        </w:rPr>
        <w:t xml:space="preserve"> unemployment rate </w:t>
      </w:r>
      <w:r w:rsidRPr="008E4380">
        <w:rPr>
          <w:rFonts w:asciiTheme="majorBidi" w:hAnsiTheme="majorBidi" w:cstheme="majorBidi"/>
          <w:sz w:val="24"/>
          <w:szCs w:val="24"/>
          <w:bdr w:val="none" w:sz="0" w:space="0" w:color="auto" w:frame="1"/>
        </w:rPr>
        <w:t>fails to Granger-causes</w:t>
      </w:r>
      <w:r>
        <w:rPr>
          <w:rFonts w:asciiTheme="majorBidi" w:hAnsiTheme="majorBidi" w:cstheme="majorBidi"/>
          <w:sz w:val="24"/>
          <w:szCs w:val="24"/>
          <w:bdr w:val="none" w:sz="0" w:space="0" w:color="auto" w:frame="1"/>
        </w:rPr>
        <w:t xml:space="preserve"> </w:t>
      </w:r>
      <w:r w:rsidRPr="008E4380">
        <w:rPr>
          <w:rFonts w:asciiTheme="majorBidi" w:hAnsiTheme="majorBidi" w:cstheme="majorBidi"/>
          <w:sz w:val="24"/>
          <w:szCs w:val="24"/>
        </w:rPr>
        <w:t>terrorism</w:t>
      </w:r>
      <w:r>
        <w:rPr>
          <w:rFonts w:asciiTheme="majorBidi" w:hAnsiTheme="majorBidi" w:cstheme="majorBidi"/>
          <w:sz w:val="24"/>
          <w:szCs w:val="24"/>
        </w:rPr>
        <w:t>.</w:t>
      </w:r>
    </w:p>
    <w:p w14:paraId="5913DF33" w14:textId="77777777" w:rsidR="00F03B79" w:rsidRDefault="00F03B79" w:rsidP="00F03B79">
      <w:pPr>
        <w:numPr>
          <w:ilvl w:val="0"/>
          <w:numId w:val="29"/>
        </w:numPr>
        <w:shd w:val="clear" w:color="auto" w:fill="FFFFFF"/>
        <w:bidi w:val="0"/>
        <w:spacing w:before="100" w:beforeAutospacing="1" w:line="360" w:lineRule="auto"/>
        <w:jc w:val="both"/>
        <w:textAlignment w:val="baseline"/>
        <w:rPr>
          <w:rFonts w:asciiTheme="majorBidi" w:hAnsiTheme="majorBidi" w:cstheme="majorBidi"/>
          <w:sz w:val="24"/>
          <w:szCs w:val="24"/>
        </w:rPr>
      </w:pPr>
      <w:r>
        <w:rPr>
          <w:rFonts w:asciiTheme="majorBidi" w:hAnsiTheme="majorBidi" w:cstheme="majorBidi"/>
          <w:sz w:val="24"/>
          <w:szCs w:val="24"/>
        </w:rPr>
        <w:t>R</w:t>
      </w:r>
      <w:r w:rsidRPr="008E4380">
        <w:rPr>
          <w:rFonts w:asciiTheme="majorBidi" w:hAnsiTheme="majorBidi" w:cstheme="majorBidi"/>
          <w:sz w:val="24"/>
          <w:szCs w:val="24"/>
        </w:rPr>
        <w:t>eject the null hypothesis that</w:t>
      </w:r>
      <w:r>
        <w:rPr>
          <w:rFonts w:asciiTheme="majorBidi" w:hAnsiTheme="majorBidi" w:cstheme="majorBidi"/>
          <w:sz w:val="24"/>
          <w:szCs w:val="24"/>
        </w:rPr>
        <w:t xml:space="preserve"> the</w:t>
      </w:r>
      <w:r w:rsidRPr="008E4380">
        <w:rPr>
          <w:rFonts w:asciiTheme="majorBidi" w:hAnsiTheme="majorBidi" w:cstheme="majorBidi"/>
          <w:sz w:val="24"/>
          <w:szCs w:val="24"/>
        </w:rPr>
        <w:t xml:space="preserve"> </w:t>
      </w:r>
      <w:r w:rsidRPr="007D667C">
        <w:rPr>
          <w:rFonts w:asciiTheme="majorBidi" w:hAnsiTheme="majorBidi" w:cstheme="majorBidi"/>
          <w:sz w:val="24"/>
          <w:szCs w:val="24"/>
        </w:rPr>
        <w:t xml:space="preserve">unemployment rate </w:t>
      </w:r>
      <w:r w:rsidRPr="008E4380">
        <w:rPr>
          <w:rFonts w:asciiTheme="majorBidi" w:hAnsiTheme="majorBidi" w:cstheme="majorBidi"/>
          <w:sz w:val="24"/>
          <w:szCs w:val="24"/>
          <w:bdr w:val="none" w:sz="0" w:space="0" w:color="auto" w:frame="1"/>
        </w:rPr>
        <w:t>fails</w:t>
      </w:r>
      <w:r w:rsidRPr="003107C8">
        <w:rPr>
          <w:rFonts w:asciiTheme="majorBidi" w:hAnsiTheme="majorBidi" w:cstheme="majorBidi"/>
          <w:sz w:val="24"/>
          <w:szCs w:val="24"/>
          <w:bdr w:val="none" w:sz="0" w:space="0" w:color="auto" w:frame="1"/>
        </w:rPr>
        <w:t xml:space="preserve"> to Granger</w:t>
      </w:r>
      <w:r w:rsidRPr="008E4380">
        <w:rPr>
          <w:rFonts w:asciiTheme="majorBidi" w:hAnsiTheme="majorBidi" w:cstheme="majorBidi"/>
          <w:sz w:val="24"/>
          <w:szCs w:val="24"/>
          <w:bdr w:val="none" w:sz="0" w:space="0" w:color="auto" w:frame="1"/>
        </w:rPr>
        <w:t xml:space="preserve"> causes</w:t>
      </w:r>
      <w:r w:rsidRPr="008E4380">
        <w:rPr>
          <w:rFonts w:asciiTheme="majorBidi" w:hAnsiTheme="majorBidi" w:cstheme="majorBidi"/>
          <w:sz w:val="24"/>
          <w:szCs w:val="24"/>
        </w:rPr>
        <w:t xml:space="preserve"> the</w:t>
      </w:r>
      <w:r>
        <w:rPr>
          <w:rFonts w:asciiTheme="majorBidi" w:hAnsiTheme="majorBidi" w:cstheme="majorBidi"/>
          <w:sz w:val="24"/>
          <w:szCs w:val="24"/>
        </w:rPr>
        <w:t xml:space="preserve"> </w:t>
      </w:r>
      <w:r w:rsidRPr="008E4380">
        <w:rPr>
          <w:rFonts w:asciiTheme="majorBidi" w:hAnsiTheme="majorBidi" w:cstheme="majorBidi"/>
          <w:sz w:val="24"/>
          <w:szCs w:val="24"/>
        </w:rPr>
        <w:t xml:space="preserve">economic </w:t>
      </w:r>
      <w:r w:rsidRPr="007D667C">
        <w:rPr>
          <w:rFonts w:asciiTheme="majorBidi" w:hAnsiTheme="majorBidi" w:cstheme="majorBidi"/>
          <w:sz w:val="24"/>
          <w:szCs w:val="24"/>
        </w:rPr>
        <w:t>integration level</w:t>
      </w:r>
      <w:r w:rsidRPr="003107C8">
        <w:rPr>
          <w:rFonts w:asciiTheme="majorBidi" w:hAnsiTheme="majorBidi" w:cstheme="majorBidi"/>
          <w:sz w:val="24"/>
          <w:szCs w:val="24"/>
        </w:rPr>
        <w:t xml:space="preserve"> at the </w:t>
      </w:r>
      <w:r w:rsidRPr="007D667C">
        <w:rPr>
          <w:rFonts w:asciiTheme="majorBidi" w:hAnsiTheme="majorBidi" w:cstheme="majorBidi"/>
          <w:sz w:val="24"/>
          <w:szCs w:val="24"/>
        </w:rPr>
        <w:t>5</w:t>
      </w:r>
      <w:r w:rsidRPr="003107C8">
        <w:rPr>
          <w:rFonts w:asciiTheme="majorBidi" w:hAnsiTheme="majorBidi" w:cstheme="majorBidi"/>
          <w:sz w:val="24"/>
          <w:szCs w:val="24"/>
        </w:rPr>
        <w:t>% level.</w:t>
      </w:r>
    </w:p>
    <w:p w14:paraId="6A667B4B" w14:textId="77777777" w:rsidR="00F03B79" w:rsidRPr="008E4380" w:rsidRDefault="00F03B79" w:rsidP="00F03B79">
      <w:pPr>
        <w:numPr>
          <w:ilvl w:val="0"/>
          <w:numId w:val="29"/>
        </w:numPr>
        <w:shd w:val="clear" w:color="auto" w:fill="FFFFFF"/>
        <w:bidi w:val="0"/>
        <w:spacing w:before="100" w:beforeAutospacing="1" w:line="360" w:lineRule="auto"/>
        <w:jc w:val="both"/>
        <w:textAlignment w:val="baseline"/>
        <w:rPr>
          <w:rFonts w:asciiTheme="majorBidi" w:hAnsiTheme="majorBidi" w:cstheme="majorBidi"/>
          <w:sz w:val="24"/>
          <w:szCs w:val="24"/>
        </w:rPr>
      </w:pPr>
      <w:r w:rsidRPr="009D73CD">
        <w:rPr>
          <w:rFonts w:asciiTheme="majorBidi" w:hAnsiTheme="majorBidi" w:cstheme="majorBidi"/>
          <w:sz w:val="24"/>
          <w:szCs w:val="24"/>
        </w:rPr>
        <w:t>Cannot reject</w:t>
      </w:r>
      <w:r w:rsidRPr="003107C8">
        <w:rPr>
          <w:rFonts w:asciiTheme="majorBidi" w:hAnsiTheme="majorBidi" w:cstheme="majorBidi"/>
          <w:sz w:val="24"/>
          <w:szCs w:val="24"/>
        </w:rPr>
        <w:t xml:space="preserve"> the null hypothesis that </w:t>
      </w:r>
      <w:r>
        <w:rPr>
          <w:rFonts w:asciiTheme="majorBidi" w:hAnsiTheme="majorBidi" w:cstheme="majorBidi"/>
          <w:sz w:val="24"/>
          <w:szCs w:val="24"/>
        </w:rPr>
        <w:t>terrorism</w:t>
      </w:r>
      <w:r w:rsidRPr="003107C8">
        <w:rPr>
          <w:rFonts w:asciiTheme="majorBidi" w:hAnsiTheme="majorBidi" w:cstheme="majorBidi"/>
          <w:sz w:val="24"/>
          <w:szCs w:val="24"/>
        </w:rPr>
        <w:t xml:space="preserve"> </w:t>
      </w:r>
      <w:r w:rsidRPr="008E4380">
        <w:rPr>
          <w:rFonts w:asciiTheme="majorBidi" w:hAnsiTheme="majorBidi" w:cstheme="majorBidi"/>
          <w:sz w:val="24"/>
          <w:szCs w:val="24"/>
          <w:bdr w:val="none" w:sz="0" w:space="0" w:color="auto" w:frame="1"/>
        </w:rPr>
        <w:t>fail</w:t>
      </w:r>
      <w:r>
        <w:rPr>
          <w:rFonts w:asciiTheme="majorBidi" w:hAnsiTheme="majorBidi" w:cstheme="majorBidi"/>
          <w:sz w:val="24"/>
          <w:szCs w:val="24"/>
          <w:bdr w:val="none" w:sz="0" w:space="0" w:color="auto" w:frame="1"/>
        </w:rPr>
        <w:t>s</w:t>
      </w:r>
      <w:r w:rsidRPr="003107C8">
        <w:rPr>
          <w:rFonts w:asciiTheme="majorBidi" w:hAnsiTheme="majorBidi" w:cstheme="majorBidi"/>
          <w:sz w:val="24"/>
          <w:szCs w:val="24"/>
          <w:bdr w:val="none" w:sz="0" w:space="0" w:color="auto" w:frame="1"/>
        </w:rPr>
        <w:t xml:space="preserve"> to Granger-</w:t>
      </w:r>
      <w:r w:rsidRPr="008E4380">
        <w:rPr>
          <w:rFonts w:asciiTheme="majorBidi" w:hAnsiTheme="majorBidi" w:cstheme="majorBidi"/>
          <w:sz w:val="24"/>
          <w:szCs w:val="24"/>
          <w:bdr w:val="none" w:sz="0" w:space="0" w:color="auto" w:frame="1"/>
        </w:rPr>
        <w:t>cause</w:t>
      </w:r>
      <w:r>
        <w:rPr>
          <w:rFonts w:asciiTheme="majorBidi" w:hAnsiTheme="majorBidi" w:cstheme="majorBidi"/>
          <w:sz w:val="24"/>
          <w:szCs w:val="24"/>
          <w:bdr w:val="none" w:sz="0" w:space="0" w:color="auto" w:frame="1"/>
        </w:rPr>
        <w:t>s</w:t>
      </w:r>
      <w:r w:rsidRPr="008E4380">
        <w:rPr>
          <w:rFonts w:asciiTheme="majorBidi" w:hAnsiTheme="majorBidi" w:cstheme="majorBidi"/>
          <w:sz w:val="24"/>
          <w:szCs w:val="24"/>
        </w:rPr>
        <w:t> </w:t>
      </w:r>
      <w:r>
        <w:rPr>
          <w:rFonts w:asciiTheme="majorBidi" w:hAnsiTheme="majorBidi" w:cstheme="majorBidi"/>
          <w:sz w:val="24"/>
          <w:szCs w:val="24"/>
        </w:rPr>
        <w:t xml:space="preserve">the </w:t>
      </w:r>
      <w:r w:rsidRPr="008E4380">
        <w:rPr>
          <w:rFonts w:asciiTheme="majorBidi" w:hAnsiTheme="majorBidi" w:cstheme="majorBidi"/>
          <w:sz w:val="24"/>
          <w:szCs w:val="24"/>
        </w:rPr>
        <w:t>economic integration level.</w:t>
      </w:r>
    </w:p>
    <w:p w14:paraId="7894EF4B" w14:textId="77777777" w:rsidR="00F03B79" w:rsidRPr="008E4380" w:rsidRDefault="00F03B79" w:rsidP="00F03B79">
      <w:pPr>
        <w:numPr>
          <w:ilvl w:val="0"/>
          <w:numId w:val="29"/>
        </w:numPr>
        <w:shd w:val="clear" w:color="auto" w:fill="FFFFFF"/>
        <w:bidi w:val="0"/>
        <w:spacing w:before="100" w:beforeAutospacing="1" w:line="360" w:lineRule="auto"/>
        <w:jc w:val="both"/>
        <w:textAlignment w:val="baseline"/>
        <w:rPr>
          <w:rFonts w:asciiTheme="majorBidi" w:hAnsiTheme="majorBidi" w:cstheme="majorBidi"/>
          <w:sz w:val="24"/>
          <w:szCs w:val="24"/>
        </w:rPr>
      </w:pPr>
      <w:r w:rsidRPr="008E4380">
        <w:rPr>
          <w:rFonts w:asciiTheme="majorBidi" w:hAnsiTheme="majorBidi" w:cstheme="majorBidi"/>
          <w:sz w:val="24"/>
          <w:szCs w:val="24"/>
        </w:rPr>
        <w:t xml:space="preserve"> </w:t>
      </w:r>
      <w:r w:rsidRPr="009D73CD">
        <w:rPr>
          <w:rFonts w:asciiTheme="majorBidi" w:hAnsiTheme="majorBidi" w:cstheme="majorBidi"/>
          <w:sz w:val="24"/>
          <w:szCs w:val="24"/>
        </w:rPr>
        <w:t>Cannot reject the null hypothesis that terrorism </w:t>
      </w:r>
      <w:r w:rsidRPr="009D73CD">
        <w:rPr>
          <w:rFonts w:asciiTheme="majorBidi" w:hAnsiTheme="majorBidi" w:cstheme="majorBidi"/>
          <w:sz w:val="24"/>
          <w:szCs w:val="24"/>
          <w:bdr w:val="none" w:sz="0" w:space="0" w:color="auto" w:frame="1"/>
        </w:rPr>
        <w:t>fails to Granger-causes</w:t>
      </w:r>
      <w:r w:rsidRPr="009D73CD">
        <w:rPr>
          <w:rFonts w:asciiTheme="majorBidi" w:hAnsiTheme="majorBidi" w:cstheme="majorBidi"/>
          <w:sz w:val="24"/>
          <w:szCs w:val="24"/>
        </w:rPr>
        <w:t xml:space="preserve"> unemployment rate. </w:t>
      </w:r>
    </w:p>
    <w:p w14:paraId="04AD048A" w14:textId="77777777" w:rsidR="00F03B79" w:rsidRDefault="00F03B79" w:rsidP="00F03B79">
      <w:pPr>
        <w:pStyle w:val="paragraph"/>
        <w:spacing w:before="0" w:beforeAutospacing="0" w:after="0" w:afterAutospacing="0" w:line="480" w:lineRule="auto"/>
        <w:ind w:left="720"/>
        <w:jc w:val="both"/>
        <w:textAlignment w:val="baseline"/>
        <w:rPr>
          <w:rStyle w:val="eop"/>
          <w:u w:val="single"/>
        </w:rPr>
      </w:pPr>
    </w:p>
    <w:p w14:paraId="7C93D202" w14:textId="77777777" w:rsidR="00F03B79" w:rsidRPr="0037349E" w:rsidRDefault="00F03B79" w:rsidP="00F03B79">
      <w:pPr>
        <w:pStyle w:val="paragraph"/>
        <w:spacing w:before="0" w:beforeAutospacing="0" w:after="0" w:afterAutospacing="0" w:line="480" w:lineRule="auto"/>
        <w:ind w:left="720"/>
        <w:jc w:val="both"/>
        <w:textAlignment w:val="baseline"/>
        <w:rPr>
          <w:rStyle w:val="eop"/>
          <w:u w:val="single"/>
        </w:rPr>
      </w:pPr>
      <w:r w:rsidRPr="0037349E">
        <w:rPr>
          <w:rStyle w:val="eop"/>
          <w:u w:val="single"/>
        </w:rPr>
        <w:t>Summary</w:t>
      </w:r>
      <w:r>
        <w:rPr>
          <w:rStyle w:val="eop"/>
          <w:u w:val="single"/>
        </w:rPr>
        <w:t xml:space="preserve"> and discussion</w:t>
      </w:r>
      <w:r w:rsidRPr="0037349E">
        <w:rPr>
          <w:rStyle w:val="eop"/>
          <w:u w:val="single"/>
        </w:rPr>
        <w:t xml:space="preserve"> of the</w:t>
      </w:r>
      <w:r>
        <w:rPr>
          <w:rStyle w:val="eop"/>
          <w:u w:val="single"/>
        </w:rPr>
        <w:t xml:space="preserve"> main</w:t>
      </w:r>
      <w:r w:rsidRPr="0037349E">
        <w:rPr>
          <w:rStyle w:val="eop"/>
          <w:u w:val="single"/>
        </w:rPr>
        <w:t xml:space="preserve"> results</w:t>
      </w:r>
    </w:p>
    <w:p w14:paraId="4DEC998D" w14:textId="77777777" w:rsidR="00F03B79" w:rsidRPr="00D340FF" w:rsidRDefault="00F03B79" w:rsidP="00F03B79">
      <w:pPr>
        <w:pStyle w:val="paragraph"/>
        <w:spacing w:before="0" w:beforeAutospacing="0" w:after="0" w:afterAutospacing="0" w:line="480" w:lineRule="auto"/>
        <w:ind w:left="720"/>
        <w:jc w:val="both"/>
        <w:textAlignment w:val="baseline"/>
        <w:rPr>
          <w:rStyle w:val="normaltextrun"/>
          <w:rFonts w:asciiTheme="majorBidi" w:hAnsiTheme="majorBidi" w:cstheme="majorBidi"/>
        </w:rPr>
      </w:pPr>
      <w:r w:rsidRPr="00D340FF">
        <w:rPr>
          <w:rStyle w:val="eop"/>
        </w:rPr>
        <w:t>We found that t</w:t>
      </w:r>
      <w:r w:rsidRPr="00D340FF">
        <w:rPr>
          <w:rFonts w:asciiTheme="majorBidi" w:hAnsiTheme="majorBidi" w:cstheme="majorBidi"/>
        </w:rPr>
        <w:t>he level of economic integration</w:t>
      </w:r>
      <w:r w:rsidRPr="00D340FF">
        <w:rPr>
          <w:rStyle w:val="eop"/>
        </w:rPr>
        <w:t xml:space="preserve"> Granger causes terrorism, but terrorism does not Granger causes </w:t>
      </w:r>
      <w:r w:rsidRPr="00D340FF">
        <w:rPr>
          <w:rFonts w:asciiTheme="majorBidi" w:hAnsiTheme="majorBidi" w:cstheme="majorBidi"/>
        </w:rPr>
        <w:t>the level of integration</w:t>
      </w:r>
      <w:r w:rsidRPr="00D340FF">
        <w:rPr>
          <w:rStyle w:val="eop"/>
        </w:rPr>
        <w:t xml:space="preserve">. This finding supports the work by </w:t>
      </w:r>
      <w:r w:rsidRPr="00D340FF">
        <w:rPr>
          <w:rStyle w:val="normaltextrun"/>
        </w:rPr>
        <w:t xml:space="preserve">Krueger and </w:t>
      </w:r>
      <w:proofErr w:type="spellStart"/>
      <w:r w:rsidRPr="00D340FF">
        <w:rPr>
          <w:rStyle w:val="spellingerror"/>
        </w:rPr>
        <w:t>Maleckova</w:t>
      </w:r>
      <w:proofErr w:type="spellEnd"/>
      <w:r w:rsidRPr="00D340FF">
        <w:rPr>
          <w:rStyle w:val="normaltextrun"/>
        </w:rPr>
        <w:t xml:space="preserve"> (2003) which argue that terrorism is a response to political conditions and long-standing feelings of indignity and frustration that have little to do with economics and low market opportunities or ignorance. For example, the years preceding the 1987 uprising had been marked by growing frustration on the part of the Palestinians. </w:t>
      </w:r>
      <w:r w:rsidRPr="00D340FF">
        <w:rPr>
          <w:rStyle w:val="normaltextrun"/>
          <w:rFonts w:asciiTheme="majorBidi" w:hAnsiTheme="majorBidi" w:cstheme="majorBidi"/>
        </w:rPr>
        <w:t xml:space="preserve">The ISR-WBG-II 1968 confirms that before the “First </w:t>
      </w:r>
      <w:r w:rsidRPr="00D340FF">
        <w:rPr>
          <w:rFonts w:asciiTheme="majorBidi" w:hAnsiTheme="majorBidi" w:cstheme="majorBidi"/>
          <w:color w:val="202122"/>
          <w:shd w:val="clear" w:color="auto" w:fill="FFFFFF"/>
        </w:rPr>
        <w:t>Intifada”</w:t>
      </w:r>
      <w:r w:rsidRPr="00D340FF">
        <w:rPr>
          <w:rStyle w:val="normaltextrun"/>
          <w:rFonts w:asciiTheme="majorBidi" w:hAnsiTheme="majorBidi" w:cstheme="majorBidi"/>
        </w:rPr>
        <w:t xml:space="preserve"> the level of economic integration was the highest which was reflected in the fact that the unemployment rate was at an all-time low and the relative standard of living was at its peak. Also before the “</w:t>
      </w:r>
      <w:r w:rsidRPr="00D340FF">
        <w:rPr>
          <w:rFonts w:asciiTheme="majorBidi" w:hAnsiTheme="majorBidi" w:cstheme="majorBidi"/>
          <w:color w:val="202122"/>
          <w:shd w:val="clear" w:color="auto" w:fill="FFFFFF"/>
        </w:rPr>
        <w:t>Second Intifada”</w:t>
      </w:r>
      <w:r w:rsidRPr="00D340FF">
        <w:rPr>
          <w:rStyle w:val="normaltextrun"/>
          <w:rFonts w:asciiTheme="majorBidi" w:hAnsiTheme="majorBidi" w:cstheme="majorBidi"/>
        </w:rPr>
        <w:t xml:space="preserve"> we can see a rise in the integration level and reduction in unemployment rates in the WBG.</w:t>
      </w:r>
    </w:p>
    <w:p w14:paraId="08CB95C3" w14:textId="77777777" w:rsidR="00F03B79" w:rsidRPr="00D340FF" w:rsidRDefault="00F03B79" w:rsidP="00F03B79">
      <w:pPr>
        <w:pStyle w:val="paragraph"/>
        <w:spacing w:before="0" w:beforeAutospacing="0" w:after="0" w:afterAutospacing="0" w:line="480" w:lineRule="auto"/>
        <w:ind w:left="720"/>
        <w:jc w:val="both"/>
        <w:textAlignment w:val="baseline"/>
        <w:rPr>
          <w:rStyle w:val="normaltextrun"/>
        </w:rPr>
      </w:pPr>
      <w:r>
        <w:rPr>
          <w:color w:val="000000"/>
        </w:rPr>
        <w:t>We also</w:t>
      </w:r>
      <w:r w:rsidRPr="00D340FF">
        <w:rPr>
          <w:color w:val="000000"/>
        </w:rPr>
        <w:t xml:space="preserve"> found that unemployment rate in the WBG Granger causes </w:t>
      </w:r>
      <w:r w:rsidRPr="00D340FF">
        <w:rPr>
          <w:rStyle w:val="eop"/>
        </w:rPr>
        <w:t>t</w:t>
      </w:r>
      <w:r w:rsidRPr="00D340FF">
        <w:rPr>
          <w:rFonts w:asciiTheme="majorBidi" w:hAnsiTheme="majorBidi" w:cstheme="majorBidi"/>
        </w:rPr>
        <w:t>he level of economic integration</w:t>
      </w:r>
      <w:r>
        <w:rPr>
          <w:color w:val="000000"/>
        </w:rPr>
        <w:t xml:space="preserve">, </w:t>
      </w:r>
      <w:r w:rsidRPr="00D340FF">
        <w:rPr>
          <w:rStyle w:val="eop"/>
        </w:rPr>
        <w:t>but</w:t>
      </w:r>
      <w:r w:rsidRPr="00AF195B">
        <w:rPr>
          <w:rStyle w:val="eop"/>
        </w:rPr>
        <w:t xml:space="preserve"> </w:t>
      </w:r>
      <w:r w:rsidRPr="00D340FF">
        <w:rPr>
          <w:rStyle w:val="eop"/>
        </w:rPr>
        <w:t>t</w:t>
      </w:r>
      <w:r w:rsidRPr="00D340FF">
        <w:rPr>
          <w:rFonts w:asciiTheme="majorBidi" w:hAnsiTheme="majorBidi" w:cstheme="majorBidi"/>
        </w:rPr>
        <w:t>he level of economic integration</w:t>
      </w:r>
      <w:r>
        <w:rPr>
          <w:rFonts w:asciiTheme="majorBidi" w:hAnsiTheme="majorBidi" w:cstheme="majorBidi"/>
        </w:rPr>
        <w:t xml:space="preserve"> does not</w:t>
      </w:r>
      <w:r w:rsidRPr="00AF195B">
        <w:rPr>
          <w:color w:val="000000"/>
        </w:rPr>
        <w:t xml:space="preserve"> </w:t>
      </w:r>
      <w:r w:rsidRPr="00D340FF">
        <w:rPr>
          <w:color w:val="000000"/>
        </w:rPr>
        <w:t>Granger causes unemployment rate in the WBG</w:t>
      </w:r>
      <w:r>
        <w:rPr>
          <w:rStyle w:val="normaltextrun"/>
        </w:rPr>
        <w:t xml:space="preserve">. This finding could </w:t>
      </w:r>
      <w:r w:rsidRPr="00BC7DA2">
        <w:rPr>
          <w:rStyle w:val="normaltextrun"/>
        </w:rPr>
        <w:t>be linked</w:t>
      </w:r>
      <w:r>
        <w:rPr>
          <w:rStyle w:val="normaltextrun"/>
        </w:rPr>
        <w:t xml:space="preserve"> to the Israeli policy </w:t>
      </w:r>
      <w:r w:rsidRPr="00133438">
        <w:rPr>
          <w:rStyle w:val="normaltextrun"/>
        </w:rPr>
        <w:t>toward the territories</w:t>
      </w:r>
      <w:r>
        <w:rPr>
          <w:rStyle w:val="normaltextrun"/>
        </w:rPr>
        <w:t>, that w</w:t>
      </w:r>
      <w:r w:rsidRPr="004831AF">
        <w:rPr>
          <w:rStyle w:val="normaltextrun"/>
        </w:rPr>
        <w:t xml:space="preserve">hen there is a fear of a significant decrease in the standard of living in the </w:t>
      </w:r>
      <w:r>
        <w:rPr>
          <w:rStyle w:val="normaltextrun"/>
        </w:rPr>
        <w:t>WBG</w:t>
      </w:r>
      <w:r w:rsidRPr="004831AF">
        <w:rPr>
          <w:rStyle w:val="normaltextrun"/>
        </w:rPr>
        <w:t xml:space="preserve"> caused by, among other things, a high unemployment rate, Israel allows for more economic activity with the PA, for example the </w:t>
      </w:r>
      <w:r>
        <w:rPr>
          <w:rStyle w:val="normaltextrun"/>
        </w:rPr>
        <w:t xml:space="preserve">movement </w:t>
      </w:r>
      <w:r w:rsidRPr="004831AF">
        <w:rPr>
          <w:rStyle w:val="normaltextrun"/>
        </w:rPr>
        <w:t xml:space="preserve">of </w:t>
      </w:r>
      <w:r>
        <w:rPr>
          <w:rStyle w:val="normaltextrun"/>
        </w:rPr>
        <w:t>workers without permits</w:t>
      </w:r>
      <w:r w:rsidRPr="004831AF">
        <w:rPr>
          <w:rStyle w:val="normaltextrun"/>
        </w:rPr>
        <w:t xml:space="preserve"> to work in Israel and </w:t>
      </w:r>
      <w:r>
        <w:rPr>
          <w:rStyle w:val="normaltextrun"/>
        </w:rPr>
        <w:t xml:space="preserve">also </w:t>
      </w:r>
      <w:r w:rsidRPr="004831AF">
        <w:rPr>
          <w:rStyle w:val="normaltextrun"/>
        </w:rPr>
        <w:t>increase in</w:t>
      </w:r>
      <w:r>
        <w:rPr>
          <w:rStyle w:val="normaltextrun"/>
        </w:rPr>
        <w:t xml:space="preserve"> quota of</w:t>
      </w:r>
      <w:r w:rsidRPr="004831AF">
        <w:rPr>
          <w:rStyle w:val="normaltextrun"/>
        </w:rPr>
        <w:t xml:space="preserve"> </w:t>
      </w:r>
      <w:r>
        <w:rPr>
          <w:rStyle w:val="normaltextrun"/>
        </w:rPr>
        <w:t xml:space="preserve"> working </w:t>
      </w:r>
      <w:r w:rsidRPr="004831AF">
        <w:rPr>
          <w:rStyle w:val="normaltextrun"/>
        </w:rPr>
        <w:t>permits</w:t>
      </w:r>
      <w:r>
        <w:rPr>
          <w:rStyle w:val="normaltextrun"/>
        </w:rPr>
        <w:t xml:space="preserve"> in Israel.</w:t>
      </w:r>
    </w:p>
    <w:p w14:paraId="32B6B336" w14:textId="77777777" w:rsidR="00EA62DD" w:rsidRDefault="00EA62DD" w:rsidP="007E48B3">
      <w:pPr>
        <w:pStyle w:val="ListParagraph"/>
        <w:autoSpaceDE w:val="0"/>
        <w:autoSpaceDN w:val="0"/>
        <w:bidi w:val="0"/>
        <w:adjustRightInd w:val="0"/>
        <w:spacing w:after="240" w:line="480" w:lineRule="auto"/>
        <w:jc w:val="center"/>
        <w:rPr>
          <w:rFonts w:ascii="Times New Roman" w:hAnsi="Times New Roman" w:cs="David"/>
          <w:b/>
          <w:bCs/>
          <w:sz w:val="24"/>
          <w:szCs w:val="24"/>
        </w:rPr>
        <w:sectPr w:rsidR="00EA62DD" w:rsidSect="00EC513F">
          <w:pgSz w:w="11906" w:h="16838"/>
          <w:pgMar w:top="1440" w:right="1800" w:bottom="1440" w:left="1800" w:header="708" w:footer="708" w:gutter="0"/>
          <w:cols w:space="708"/>
          <w:bidi/>
          <w:rtlGutter/>
          <w:docGrid w:linePitch="360"/>
        </w:sectPr>
      </w:pPr>
    </w:p>
    <w:p w14:paraId="41F121A5" w14:textId="3325B3CB" w:rsidR="009238E1" w:rsidRDefault="00BD2F13" w:rsidP="00EA62DD">
      <w:pPr>
        <w:pStyle w:val="ListParagraph"/>
        <w:numPr>
          <w:ilvl w:val="0"/>
          <w:numId w:val="3"/>
        </w:numPr>
        <w:bidi w:val="0"/>
        <w:spacing w:line="480" w:lineRule="auto"/>
        <w:jc w:val="both"/>
        <w:rPr>
          <w:rFonts w:asciiTheme="majorBidi" w:hAnsiTheme="majorBidi" w:cstheme="majorBidi"/>
          <w:b/>
          <w:bCs/>
          <w:sz w:val="28"/>
          <w:szCs w:val="28"/>
        </w:rPr>
      </w:pPr>
      <w:r>
        <w:rPr>
          <w:rFonts w:asciiTheme="majorBidi" w:hAnsiTheme="majorBidi" w:cstheme="majorBidi"/>
          <w:b/>
          <w:bCs/>
          <w:sz w:val="28"/>
          <w:szCs w:val="28"/>
        </w:rPr>
        <w:t xml:space="preserve">Chapter </w:t>
      </w:r>
      <w:r w:rsidR="00396644">
        <w:rPr>
          <w:rFonts w:asciiTheme="majorBidi" w:hAnsiTheme="majorBidi" w:cstheme="majorBidi"/>
          <w:b/>
          <w:bCs/>
          <w:sz w:val="28"/>
          <w:szCs w:val="28"/>
        </w:rPr>
        <w:t>7</w:t>
      </w:r>
      <w:r w:rsidR="00D50F7A">
        <w:rPr>
          <w:rFonts w:asciiTheme="majorBidi" w:hAnsiTheme="majorBidi" w:cstheme="majorBidi"/>
          <w:b/>
          <w:bCs/>
          <w:sz w:val="28"/>
          <w:szCs w:val="28"/>
        </w:rPr>
        <w:t xml:space="preserve"> : </w:t>
      </w:r>
      <w:r w:rsidR="009238E1">
        <w:rPr>
          <w:rFonts w:asciiTheme="majorBidi" w:hAnsiTheme="majorBidi" w:cstheme="majorBidi"/>
          <w:b/>
          <w:bCs/>
          <w:sz w:val="28"/>
          <w:szCs w:val="28"/>
        </w:rPr>
        <w:t>Conclu</w:t>
      </w:r>
      <w:r w:rsidR="00BB798B">
        <w:rPr>
          <w:rFonts w:asciiTheme="majorBidi" w:hAnsiTheme="majorBidi" w:cstheme="majorBidi"/>
          <w:b/>
          <w:bCs/>
          <w:sz w:val="28"/>
          <w:szCs w:val="28"/>
        </w:rPr>
        <w:t>sions</w:t>
      </w:r>
    </w:p>
    <w:p w14:paraId="69414463" w14:textId="77777777" w:rsidR="00BB798B" w:rsidRDefault="00BB798B" w:rsidP="00BB798B">
      <w:pPr>
        <w:pStyle w:val="ListParagraph"/>
        <w:bidi w:val="0"/>
        <w:spacing w:line="480" w:lineRule="auto"/>
        <w:ind w:left="360"/>
        <w:jc w:val="both"/>
        <w:rPr>
          <w:rFonts w:asciiTheme="majorBidi" w:hAnsiTheme="majorBidi" w:cstheme="majorBidi"/>
          <w:b/>
          <w:bCs/>
          <w:sz w:val="28"/>
          <w:szCs w:val="28"/>
        </w:rPr>
      </w:pPr>
    </w:p>
    <w:p w14:paraId="4FCC6B19" w14:textId="77777777" w:rsidR="009238E1" w:rsidRDefault="009238E1" w:rsidP="009238E1">
      <w:pPr>
        <w:bidi w:val="0"/>
        <w:spacing w:line="480" w:lineRule="auto"/>
        <w:jc w:val="both"/>
        <w:rPr>
          <w:rFonts w:asciiTheme="majorBidi" w:hAnsiTheme="majorBidi" w:cstheme="majorBidi"/>
          <w:b/>
          <w:bCs/>
          <w:sz w:val="28"/>
          <w:szCs w:val="28"/>
        </w:rPr>
      </w:pPr>
    </w:p>
    <w:p w14:paraId="5571A49B" w14:textId="77777777" w:rsidR="009238E1" w:rsidRDefault="009238E1" w:rsidP="009238E1">
      <w:pPr>
        <w:bidi w:val="0"/>
        <w:spacing w:line="480" w:lineRule="auto"/>
        <w:jc w:val="both"/>
        <w:rPr>
          <w:rFonts w:asciiTheme="majorBidi" w:hAnsiTheme="majorBidi" w:cstheme="majorBidi"/>
          <w:b/>
          <w:bCs/>
          <w:sz w:val="28"/>
          <w:szCs w:val="28"/>
        </w:rPr>
        <w:sectPr w:rsidR="009238E1" w:rsidSect="008B17D7">
          <w:pgSz w:w="11906" w:h="16838"/>
          <w:pgMar w:top="1440" w:right="1800" w:bottom="1440" w:left="1800" w:header="708" w:footer="708" w:gutter="0"/>
          <w:cols w:space="708"/>
          <w:titlePg/>
          <w:bidi/>
          <w:rtlGutter/>
          <w:docGrid w:linePitch="360"/>
        </w:sectPr>
      </w:pPr>
    </w:p>
    <w:p w14:paraId="2605F922" w14:textId="603DE7C4" w:rsidR="00EA62DD" w:rsidRPr="00462035" w:rsidRDefault="00EA62DD" w:rsidP="009238E1">
      <w:pPr>
        <w:pStyle w:val="ListParagraph"/>
        <w:numPr>
          <w:ilvl w:val="0"/>
          <w:numId w:val="3"/>
        </w:numPr>
        <w:bidi w:val="0"/>
        <w:spacing w:line="480" w:lineRule="auto"/>
        <w:jc w:val="both"/>
        <w:rPr>
          <w:rFonts w:asciiTheme="majorBidi" w:hAnsiTheme="majorBidi" w:cstheme="majorBidi"/>
          <w:b/>
          <w:bCs/>
          <w:sz w:val="28"/>
          <w:szCs w:val="28"/>
        </w:rPr>
      </w:pPr>
      <w:r w:rsidRPr="00462035">
        <w:rPr>
          <w:rFonts w:asciiTheme="majorBidi" w:hAnsiTheme="majorBidi" w:cstheme="majorBidi"/>
          <w:b/>
          <w:bCs/>
          <w:sz w:val="28"/>
          <w:szCs w:val="28"/>
        </w:rPr>
        <w:t xml:space="preserve">References </w:t>
      </w:r>
    </w:p>
    <w:p w14:paraId="4E335103" w14:textId="77777777" w:rsidR="00EA62DD" w:rsidRDefault="00EA62DD" w:rsidP="00EA62DD">
      <w:pPr>
        <w:autoSpaceDE w:val="0"/>
        <w:autoSpaceDN w:val="0"/>
        <w:bidi w:val="0"/>
        <w:adjustRightInd w:val="0"/>
        <w:spacing w:after="240" w:line="480" w:lineRule="auto"/>
        <w:ind w:left="360"/>
        <w:jc w:val="both"/>
        <w:rPr>
          <w:rFonts w:asciiTheme="majorBidi" w:hAnsiTheme="majorBidi" w:cstheme="majorBidi"/>
          <w:sz w:val="24"/>
          <w:szCs w:val="24"/>
        </w:rPr>
      </w:pPr>
      <w:r w:rsidRPr="00772042">
        <w:rPr>
          <w:rFonts w:asciiTheme="majorBidi" w:hAnsiTheme="majorBidi" w:cstheme="majorBidi"/>
          <w:sz w:val="24"/>
          <w:szCs w:val="24"/>
        </w:rPr>
        <w:t>Al-</w:t>
      </w:r>
      <w:proofErr w:type="spellStart"/>
      <w:r w:rsidRPr="00772042">
        <w:rPr>
          <w:rFonts w:asciiTheme="majorBidi" w:hAnsiTheme="majorBidi" w:cstheme="majorBidi"/>
          <w:sz w:val="24"/>
          <w:szCs w:val="24"/>
        </w:rPr>
        <w:t>Botmeh</w:t>
      </w:r>
      <w:proofErr w:type="spellEnd"/>
      <w:r w:rsidRPr="00772042">
        <w:rPr>
          <w:rFonts w:asciiTheme="majorBidi" w:hAnsiTheme="majorBidi" w:cstheme="majorBidi"/>
          <w:sz w:val="24"/>
          <w:szCs w:val="24"/>
        </w:rPr>
        <w:t>, S. and Kanafani, N. (2006), “The Paris Economic Protocol and Beyond – in</w:t>
      </w:r>
      <w:r w:rsidRPr="00772042">
        <w:rPr>
          <w:rFonts w:asciiTheme="majorBidi" w:hAnsiTheme="majorBidi" w:cs="Times New Roman"/>
          <w:sz w:val="24"/>
          <w:szCs w:val="24"/>
          <w:rtl/>
        </w:rPr>
        <w:t xml:space="preserve"> </w:t>
      </w:r>
      <w:r w:rsidRPr="00772042">
        <w:rPr>
          <w:rFonts w:asciiTheme="majorBidi" w:hAnsiTheme="majorBidi" w:cstheme="majorBidi"/>
          <w:sz w:val="24"/>
          <w:szCs w:val="24"/>
        </w:rPr>
        <w:t>Search of an Optimal Trade Arrangement”, The Palestine Yearbook of International Law</w:t>
      </w:r>
      <w:r>
        <w:rPr>
          <w:rFonts w:asciiTheme="majorBidi" w:hAnsiTheme="majorBidi" w:cstheme="majorBidi"/>
          <w:sz w:val="24"/>
          <w:szCs w:val="24"/>
        </w:rPr>
        <w:t xml:space="preserve">, </w:t>
      </w:r>
      <w:r w:rsidRPr="00772042">
        <w:rPr>
          <w:rFonts w:asciiTheme="majorBidi" w:hAnsiTheme="majorBidi" w:cstheme="majorBidi"/>
          <w:sz w:val="24"/>
          <w:szCs w:val="24"/>
        </w:rPr>
        <w:t>14(1)</w:t>
      </w:r>
      <w:r>
        <w:rPr>
          <w:rFonts w:asciiTheme="majorBidi" w:hAnsiTheme="majorBidi" w:cstheme="majorBidi"/>
          <w:sz w:val="24"/>
          <w:szCs w:val="24"/>
        </w:rPr>
        <w:t>, pp.</w:t>
      </w:r>
      <w:r w:rsidRPr="00772042">
        <w:rPr>
          <w:rFonts w:asciiTheme="majorBidi" w:hAnsiTheme="majorBidi" w:cstheme="majorBidi"/>
          <w:sz w:val="24"/>
          <w:szCs w:val="24"/>
        </w:rPr>
        <w:t xml:space="preserve"> 75-97</w:t>
      </w:r>
    </w:p>
    <w:p w14:paraId="21B7BAC1" w14:textId="77777777" w:rsidR="00EA62DD" w:rsidRDefault="00EA62DD" w:rsidP="00EA62DD">
      <w:pPr>
        <w:autoSpaceDE w:val="0"/>
        <w:autoSpaceDN w:val="0"/>
        <w:bidi w:val="0"/>
        <w:adjustRightInd w:val="0"/>
        <w:spacing w:after="240" w:line="480" w:lineRule="auto"/>
        <w:ind w:left="360"/>
        <w:jc w:val="both"/>
        <w:rPr>
          <w:rFonts w:asciiTheme="majorBidi" w:hAnsiTheme="majorBidi" w:cstheme="majorBidi"/>
          <w:sz w:val="24"/>
          <w:szCs w:val="24"/>
        </w:rPr>
      </w:pPr>
      <w:proofErr w:type="spellStart"/>
      <w:r w:rsidRPr="00461C3F">
        <w:rPr>
          <w:rFonts w:asciiTheme="majorBidi" w:hAnsiTheme="majorBidi" w:cstheme="majorBidi"/>
          <w:sz w:val="24"/>
          <w:szCs w:val="24"/>
        </w:rPr>
        <w:t>Alesina</w:t>
      </w:r>
      <w:proofErr w:type="spellEnd"/>
      <w:r w:rsidRPr="00461C3F">
        <w:rPr>
          <w:rFonts w:asciiTheme="majorBidi" w:hAnsiTheme="majorBidi" w:cstheme="majorBidi"/>
          <w:sz w:val="24"/>
          <w:szCs w:val="24"/>
        </w:rPr>
        <w:t xml:space="preserve">, A., </w:t>
      </w:r>
      <w:proofErr w:type="spellStart"/>
      <w:r w:rsidRPr="00461C3F">
        <w:rPr>
          <w:rFonts w:asciiTheme="majorBidi" w:hAnsiTheme="majorBidi" w:cstheme="majorBidi"/>
          <w:sz w:val="24"/>
          <w:szCs w:val="24"/>
        </w:rPr>
        <w:t>Spolaore</w:t>
      </w:r>
      <w:proofErr w:type="spellEnd"/>
      <w:r w:rsidRPr="00461C3F">
        <w:rPr>
          <w:rFonts w:asciiTheme="majorBidi" w:hAnsiTheme="majorBidi" w:cstheme="majorBidi"/>
          <w:sz w:val="24"/>
          <w:szCs w:val="24"/>
        </w:rPr>
        <w:t xml:space="preserve">, E., &amp; </w:t>
      </w:r>
      <w:proofErr w:type="spellStart"/>
      <w:r w:rsidRPr="00461C3F">
        <w:rPr>
          <w:rFonts w:asciiTheme="majorBidi" w:hAnsiTheme="majorBidi" w:cstheme="majorBidi"/>
          <w:sz w:val="24"/>
          <w:szCs w:val="24"/>
        </w:rPr>
        <w:t>Wacziarg</w:t>
      </w:r>
      <w:proofErr w:type="spellEnd"/>
      <w:r w:rsidRPr="00461C3F">
        <w:rPr>
          <w:rFonts w:asciiTheme="majorBidi" w:hAnsiTheme="majorBidi" w:cstheme="majorBidi"/>
          <w:sz w:val="24"/>
          <w:szCs w:val="24"/>
        </w:rPr>
        <w:t>, R. (2000)</w:t>
      </w:r>
      <w:r>
        <w:rPr>
          <w:rFonts w:asciiTheme="majorBidi" w:hAnsiTheme="majorBidi" w:cstheme="majorBidi"/>
          <w:sz w:val="24"/>
          <w:szCs w:val="24"/>
        </w:rPr>
        <w:t>,</w:t>
      </w:r>
      <w:r w:rsidRPr="00461C3F">
        <w:rPr>
          <w:rFonts w:asciiTheme="majorBidi" w:hAnsiTheme="majorBidi" w:cstheme="majorBidi"/>
          <w:sz w:val="24"/>
          <w:szCs w:val="24"/>
        </w:rPr>
        <w:t xml:space="preserve"> </w:t>
      </w:r>
      <w:r>
        <w:rPr>
          <w:rFonts w:asciiTheme="majorBidi" w:hAnsiTheme="majorBidi" w:cstheme="majorBidi"/>
          <w:sz w:val="24"/>
          <w:szCs w:val="24"/>
        </w:rPr>
        <w:t>“</w:t>
      </w:r>
      <w:r w:rsidRPr="00461C3F">
        <w:rPr>
          <w:rFonts w:asciiTheme="majorBidi" w:hAnsiTheme="majorBidi" w:cstheme="majorBidi"/>
          <w:sz w:val="24"/>
          <w:szCs w:val="24"/>
        </w:rPr>
        <w:t>Economic integration and political disintegration</w:t>
      </w:r>
      <w:r>
        <w:rPr>
          <w:rFonts w:asciiTheme="majorBidi" w:hAnsiTheme="majorBidi" w:cstheme="majorBidi"/>
          <w:sz w:val="24"/>
          <w:szCs w:val="24"/>
        </w:rPr>
        <w:t>”,</w:t>
      </w:r>
      <w:r w:rsidRPr="00461C3F">
        <w:rPr>
          <w:rFonts w:asciiTheme="majorBidi" w:hAnsiTheme="majorBidi" w:cstheme="majorBidi"/>
          <w:sz w:val="24"/>
          <w:szCs w:val="24"/>
        </w:rPr>
        <w:t xml:space="preserve"> American Economic Review, 90(5),</w:t>
      </w:r>
      <w:r>
        <w:rPr>
          <w:rFonts w:asciiTheme="majorBidi" w:hAnsiTheme="majorBidi" w:cstheme="majorBidi"/>
          <w:sz w:val="24"/>
          <w:szCs w:val="24"/>
        </w:rPr>
        <w:t xml:space="preserve"> pp.</w:t>
      </w:r>
      <w:r w:rsidRPr="00461C3F">
        <w:rPr>
          <w:rFonts w:asciiTheme="majorBidi" w:hAnsiTheme="majorBidi" w:cstheme="majorBidi"/>
          <w:sz w:val="24"/>
          <w:szCs w:val="24"/>
        </w:rPr>
        <w:t xml:space="preserve"> 1276-1296.</w:t>
      </w:r>
    </w:p>
    <w:p w14:paraId="20844FB6" w14:textId="77777777" w:rsidR="00EA62DD" w:rsidRDefault="00EA62DD" w:rsidP="00EA62DD">
      <w:pPr>
        <w:autoSpaceDE w:val="0"/>
        <w:autoSpaceDN w:val="0"/>
        <w:bidi w:val="0"/>
        <w:adjustRightInd w:val="0"/>
        <w:spacing w:after="240" w:line="480" w:lineRule="auto"/>
        <w:ind w:left="360"/>
        <w:jc w:val="both"/>
        <w:rPr>
          <w:rFonts w:asciiTheme="majorBidi" w:hAnsiTheme="majorBidi" w:cstheme="majorBidi"/>
          <w:sz w:val="24"/>
          <w:szCs w:val="24"/>
        </w:rPr>
      </w:pPr>
      <w:proofErr w:type="spellStart"/>
      <w:r w:rsidRPr="00772042">
        <w:rPr>
          <w:rFonts w:asciiTheme="majorBidi" w:hAnsiTheme="majorBidi" w:cstheme="majorBidi"/>
          <w:sz w:val="24"/>
          <w:szCs w:val="24"/>
        </w:rPr>
        <w:t>Arnon</w:t>
      </w:r>
      <w:proofErr w:type="spellEnd"/>
      <w:r w:rsidRPr="00772042">
        <w:rPr>
          <w:rFonts w:asciiTheme="majorBidi" w:hAnsiTheme="majorBidi" w:cstheme="majorBidi"/>
          <w:sz w:val="24"/>
          <w:szCs w:val="24"/>
        </w:rPr>
        <w:t xml:space="preserve">, A. (2007), </w:t>
      </w:r>
      <w:r>
        <w:rPr>
          <w:rFonts w:asciiTheme="majorBidi" w:hAnsiTheme="majorBidi" w:cstheme="majorBidi"/>
          <w:sz w:val="24"/>
          <w:szCs w:val="24"/>
        </w:rPr>
        <w:t>"</w:t>
      </w:r>
      <w:r w:rsidRPr="00772042">
        <w:rPr>
          <w:rFonts w:asciiTheme="majorBidi" w:hAnsiTheme="majorBidi" w:cstheme="majorBidi"/>
          <w:sz w:val="24"/>
          <w:szCs w:val="24"/>
        </w:rPr>
        <w:t xml:space="preserve">Israeli Policy </w:t>
      </w:r>
      <w:r>
        <w:rPr>
          <w:rFonts w:asciiTheme="majorBidi" w:hAnsiTheme="majorBidi" w:cstheme="majorBidi"/>
          <w:sz w:val="24"/>
          <w:szCs w:val="24"/>
        </w:rPr>
        <w:t>t</w:t>
      </w:r>
      <w:r w:rsidRPr="00772042">
        <w:rPr>
          <w:rFonts w:asciiTheme="majorBidi" w:hAnsiTheme="majorBidi" w:cstheme="majorBidi"/>
          <w:sz w:val="24"/>
          <w:szCs w:val="24"/>
        </w:rPr>
        <w:t xml:space="preserve">owards the Occupied Palestinian Territories: </w:t>
      </w:r>
      <w:r>
        <w:rPr>
          <w:rFonts w:asciiTheme="majorBidi" w:hAnsiTheme="majorBidi" w:cstheme="majorBidi"/>
          <w:sz w:val="24"/>
          <w:szCs w:val="24"/>
        </w:rPr>
        <w:t>T</w:t>
      </w:r>
      <w:r w:rsidRPr="00772042">
        <w:rPr>
          <w:rFonts w:asciiTheme="majorBidi" w:hAnsiTheme="majorBidi" w:cstheme="majorBidi"/>
          <w:sz w:val="24"/>
          <w:szCs w:val="24"/>
        </w:rPr>
        <w:t>he Economic Dimension 1967-2007</w:t>
      </w:r>
      <w:r>
        <w:rPr>
          <w:rFonts w:asciiTheme="majorBidi" w:hAnsiTheme="majorBidi" w:cstheme="majorBidi"/>
          <w:sz w:val="24"/>
          <w:szCs w:val="24"/>
        </w:rPr>
        <w:t>"</w:t>
      </w:r>
      <w:r w:rsidRPr="00772042">
        <w:rPr>
          <w:rFonts w:asciiTheme="majorBidi" w:hAnsiTheme="majorBidi" w:cstheme="majorBidi"/>
          <w:sz w:val="24"/>
          <w:szCs w:val="24"/>
        </w:rPr>
        <w:t>, Middle-East Journal, 61</w:t>
      </w:r>
      <w:r>
        <w:rPr>
          <w:rFonts w:asciiTheme="majorBidi" w:hAnsiTheme="majorBidi" w:cstheme="majorBidi"/>
          <w:sz w:val="24"/>
          <w:szCs w:val="24"/>
        </w:rPr>
        <w:t>(4), pp.</w:t>
      </w:r>
      <w:r w:rsidRPr="00772042">
        <w:rPr>
          <w:rFonts w:asciiTheme="majorBidi" w:hAnsiTheme="majorBidi" w:cstheme="majorBidi"/>
          <w:sz w:val="24"/>
          <w:szCs w:val="24"/>
        </w:rPr>
        <w:t xml:space="preserve"> 573-595</w:t>
      </w:r>
      <w:r>
        <w:rPr>
          <w:rFonts w:asciiTheme="majorBidi" w:hAnsiTheme="majorBidi" w:cstheme="majorBidi"/>
          <w:sz w:val="24"/>
          <w:szCs w:val="24"/>
        </w:rPr>
        <w:t>.</w:t>
      </w:r>
    </w:p>
    <w:p w14:paraId="0EF2CB8B" w14:textId="77777777" w:rsidR="00EA62DD" w:rsidRPr="00505300" w:rsidRDefault="00EA62DD" w:rsidP="00EA62DD">
      <w:pPr>
        <w:autoSpaceDE w:val="0"/>
        <w:autoSpaceDN w:val="0"/>
        <w:bidi w:val="0"/>
        <w:adjustRightInd w:val="0"/>
        <w:spacing w:after="240" w:line="480" w:lineRule="auto"/>
        <w:ind w:left="360"/>
        <w:jc w:val="both"/>
        <w:rPr>
          <w:rFonts w:asciiTheme="majorBidi" w:hAnsiTheme="majorBidi" w:cstheme="majorBidi"/>
          <w:sz w:val="24"/>
          <w:szCs w:val="24"/>
        </w:rPr>
      </w:pPr>
      <w:proofErr w:type="spellStart"/>
      <w:r>
        <w:rPr>
          <w:rFonts w:asciiTheme="majorBidi" w:hAnsiTheme="majorBidi" w:cstheme="majorBidi"/>
          <w:sz w:val="24"/>
          <w:szCs w:val="24"/>
        </w:rPr>
        <w:t>Arnon</w:t>
      </w:r>
      <w:proofErr w:type="spellEnd"/>
      <w:r>
        <w:rPr>
          <w:rFonts w:asciiTheme="majorBidi" w:hAnsiTheme="majorBidi" w:cstheme="majorBidi"/>
          <w:sz w:val="24"/>
          <w:szCs w:val="24"/>
        </w:rPr>
        <w:t xml:space="preserve">, A. and </w:t>
      </w:r>
      <w:proofErr w:type="spellStart"/>
      <w:r>
        <w:rPr>
          <w:rFonts w:asciiTheme="majorBidi" w:hAnsiTheme="majorBidi" w:cstheme="majorBidi"/>
          <w:sz w:val="24"/>
          <w:szCs w:val="24"/>
        </w:rPr>
        <w:t>Bamya</w:t>
      </w:r>
      <w:proofErr w:type="spellEnd"/>
      <w:r>
        <w:rPr>
          <w:rFonts w:asciiTheme="majorBidi" w:hAnsiTheme="majorBidi" w:cstheme="majorBidi"/>
          <w:sz w:val="24"/>
          <w:szCs w:val="24"/>
        </w:rPr>
        <w:t>, S. (2015), "</w:t>
      </w:r>
      <w:r w:rsidRPr="00505300">
        <w:rPr>
          <w:rFonts w:asciiTheme="majorBidi" w:hAnsiTheme="majorBidi" w:cstheme="majorBidi"/>
          <w:sz w:val="24"/>
          <w:szCs w:val="24"/>
        </w:rPr>
        <w:t>Economics and Politics in the Israeli</w:t>
      </w:r>
      <w:r>
        <w:rPr>
          <w:rFonts w:asciiTheme="majorBidi" w:hAnsiTheme="majorBidi" w:cstheme="majorBidi"/>
          <w:sz w:val="24"/>
          <w:szCs w:val="24"/>
        </w:rPr>
        <w:t xml:space="preserve"> </w:t>
      </w:r>
      <w:r w:rsidRPr="00505300">
        <w:rPr>
          <w:rFonts w:asciiTheme="majorBidi" w:hAnsiTheme="majorBidi" w:cstheme="majorBidi"/>
          <w:sz w:val="24"/>
          <w:szCs w:val="24"/>
        </w:rPr>
        <w:t>Palestinian Conflict, The AIX Group</w:t>
      </w:r>
      <w:r>
        <w:rPr>
          <w:rFonts w:asciiTheme="majorBidi" w:hAnsiTheme="majorBidi" w:cstheme="majorBidi"/>
          <w:sz w:val="24"/>
          <w:szCs w:val="24"/>
        </w:rPr>
        <w:t>.</w:t>
      </w:r>
    </w:p>
    <w:p w14:paraId="13773F7B"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proofErr w:type="spellStart"/>
      <w:r w:rsidRPr="007B745E">
        <w:rPr>
          <w:rFonts w:asciiTheme="majorBidi" w:hAnsiTheme="majorBidi" w:cstheme="majorBidi"/>
          <w:sz w:val="24"/>
          <w:szCs w:val="24"/>
        </w:rPr>
        <w:t>Arnon</w:t>
      </w:r>
      <w:proofErr w:type="spellEnd"/>
      <w:r w:rsidRPr="007B745E">
        <w:rPr>
          <w:rFonts w:asciiTheme="majorBidi" w:hAnsiTheme="majorBidi" w:cstheme="majorBidi"/>
          <w:sz w:val="24"/>
          <w:szCs w:val="24"/>
        </w:rPr>
        <w:t>, A., &amp; Spivak, A. (1995)</w:t>
      </w:r>
      <w:r>
        <w:rPr>
          <w:rFonts w:asciiTheme="majorBidi" w:hAnsiTheme="majorBidi" w:cstheme="majorBidi"/>
          <w:sz w:val="24"/>
          <w:szCs w:val="24"/>
        </w:rPr>
        <w:t>,</w:t>
      </w:r>
      <w:r w:rsidRPr="007B745E">
        <w:rPr>
          <w:rFonts w:asciiTheme="majorBidi" w:hAnsiTheme="majorBidi" w:cstheme="majorBidi"/>
          <w:sz w:val="24"/>
          <w:szCs w:val="24"/>
        </w:rPr>
        <w:t> </w:t>
      </w:r>
      <w:r>
        <w:rPr>
          <w:rFonts w:asciiTheme="majorBidi" w:hAnsiTheme="majorBidi" w:cstheme="majorBidi"/>
          <w:sz w:val="24"/>
          <w:szCs w:val="24"/>
        </w:rPr>
        <w:t>"</w:t>
      </w:r>
      <w:r w:rsidRPr="007B745E">
        <w:rPr>
          <w:rFonts w:asciiTheme="majorBidi" w:hAnsiTheme="majorBidi" w:cstheme="majorBidi"/>
          <w:sz w:val="24"/>
          <w:szCs w:val="24"/>
        </w:rPr>
        <w:t>A Seigniorage Perspective on the Introduction of a Palestinian Currency</w:t>
      </w:r>
      <w:r>
        <w:rPr>
          <w:rFonts w:asciiTheme="majorBidi" w:hAnsiTheme="majorBidi" w:cstheme="majorBidi"/>
          <w:sz w:val="24"/>
          <w:szCs w:val="24"/>
        </w:rPr>
        <w:t>",</w:t>
      </w:r>
      <w:r w:rsidRPr="007B745E">
        <w:rPr>
          <w:rFonts w:asciiTheme="majorBidi" w:hAnsiTheme="majorBidi" w:cstheme="majorBidi"/>
          <w:sz w:val="24"/>
          <w:szCs w:val="24"/>
        </w:rPr>
        <w:t xml:space="preserve"> Research Department, Bank of Israel.</w:t>
      </w:r>
    </w:p>
    <w:p w14:paraId="60CB1D0F"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proofErr w:type="spellStart"/>
      <w:r w:rsidRPr="00FD1206">
        <w:rPr>
          <w:rFonts w:asciiTheme="majorBidi" w:hAnsiTheme="majorBidi" w:cstheme="majorBidi"/>
          <w:sz w:val="24"/>
          <w:szCs w:val="24"/>
        </w:rPr>
        <w:t>Arnon</w:t>
      </w:r>
      <w:proofErr w:type="spellEnd"/>
      <w:r w:rsidRPr="00FD1206">
        <w:rPr>
          <w:rFonts w:asciiTheme="majorBidi" w:hAnsiTheme="majorBidi" w:cstheme="majorBidi"/>
          <w:sz w:val="24"/>
          <w:szCs w:val="24"/>
        </w:rPr>
        <w:t>, A., &amp; Spivak, A. (1996)</w:t>
      </w:r>
      <w:r>
        <w:rPr>
          <w:rFonts w:asciiTheme="majorBidi" w:hAnsiTheme="majorBidi" w:cstheme="majorBidi"/>
          <w:sz w:val="24"/>
          <w:szCs w:val="24"/>
        </w:rPr>
        <w:t>,</w:t>
      </w:r>
      <w:r w:rsidRPr="00FD1206">
        <w:rPr>
          <w:rFonts w:asciiTheme="majorBidi" w:hAnsiTheme="majorBidi" w:cstheme="majorBidi"/>
          <w:sz w:val="24"/>
          <w:szCs w:val="24"/>
        </w:rPr>
        <w:t xml:space="preserve"> </w:t>
      </w:r>
      <w:r>
        <w:rPr>
          <w:rFonts w:asciiTheme="majorBidi" w:hAnsiTheme="majorBidi" w:cstheme="majorBidi"/>
          <w:sz w:val="24"/>
          <w:szCs w:val="24"/>
        </w:rPr>
        <w:t>"</w:t>
      </w:r>
      <w:r w:rsidRPr="00FD1206">
        <w:rPr>
          <w:rFonts w:asciiTheme="majorBidi" w:hAnsiTheme="majorBidi" w:cstheme="majorBidi"/>
          <w:sz w:val="24"/>
          <w:szCs w:val="24"/>
        </w:rPr>
        <w:t xml:space="preserve">Monetary </w:t>
      </w:r>
      <w:r>
        <w:rPr>
          <w:rFonts w:asciiTheme="majorBidi" w:hAnsiTheme="majorBidi" w:cstheme="majorBidi"/>
          <w:sz w:val="24"/>
          <w:szCs w:val="24"/>
        </w:rPr>
        <w:t>I</w:t>
      </w:r>
      <w:r w:rsidRPr="00FD1206">
        <w:rPr>
          <w:rFonts w:asciiTheme="majorBidi" w:hAnsiTheme="majorBidi" w:cstheme="majorBidi"/>
          <w:sz w:val="24"/>
          <w:szCs w:val="24"/>
        </w:rPr>
        <w:t xml:space="preserve">ntegration between the Israeli, Jordanian and Palestinian </w:t>
      </w:r>
      <w:r>
        <w:rPr>
          <w:rFonts w:asciiTheme="majorBidi" w:hAnsiTheme="majorBidi" w:cstheme="majorBidi"/>
          <w:sz w:val="24"/>
          <w:szCs w:val="24"/>
        </w:rPr>
        <w:t>E</w:t>
      </w:r>
      <w:r w:rsidRPr="00FD1206">
        <w:rPr>
          <w:rFonts w:asciiTheme="majorBidi" w:hAnsiTheme="majorBidi" w:cstheme="majorBidi"/>
          <w:sz w:val="24"/>
          <w:szCs w:val="24"/>
        </w:rPr>
        <w:t>conomies</w:t>
      </w:r>
      <w:r>
        <w:rPr>
          <w:rFonts w:asciiTheme="majorBidi" w:hAnsiTheme="majorBidi" w:cstheme="majorBidi"/>
          <w:sz w:val="24"/>
          <w:szCs w:val="24"/>
        </w:rPr>
        <w:t>",</w:t>
      </w:r>
      <w:r w:rsidRPr="00FD1206">
        <w:rPr>
          <w:rFonts w:asciiTheme="majorBidi" w:hAnsiTheme="majorBidi" w:cstheme="majorBidi"/>
          <w:sz w:val="24"/>
          <w:szCs w:val="24"/>
        </w:rPr>
        <w:t> </w:t>
      </w:r>
      <w:proofErr w:type="spellStart"/>
      <w:r w:rsidRPr="00FD1206">
        <w:rPr>
          <w:rFonts w:asciiTheme="majorBidi" w:hAnsiTheme="majorBidi" w:cstheme="majorBidi"/>
          <w:sz w:val="24"/>
          <w:szCs w:val="24"/>
        </w:rPr>
        <w:t>Weltwirtschaftliches</w:t>
      </w:r>
      <w:proofErr w:type="spellEnd"/>
      <w:r w:rsidRPr="00FD1206">
        <w:rPr>
          <w:rFonts w:asciiTheme="majorBidi" w:hAnsiTheme="majorBidi" w:cstheme="majorBidi"/>
          <w:sz w:val="24"/>
          <w:szCs w:val="24"/>
        </w:rPr>
        <w:t xml:space="preserve"> </w:t>
      </w:r>
      <w:proofErr w:type="spellStart"/>
      <w:r w:rsidRPr="00FD1206">
        <w:rPr>
          <w:rFonts w:asciiTheme="majorBidi" w:hAnsiTheme="majorBidi" w:cstheme="majorBidi"/>
          <w:sz w:val="24"/>
          <w:szCs w:val="24"/>
        </w:rPr>
        <w:t>Archiv</w:t>
      </w:r>
      <w:proofErr w:type="spellEnd"/>
      <w:r w:rsidRPr="00FD1206">
        <w:rPr>
          <w:rFonts w:asciiTheme="majorBidi" w:hAnsiTheme="majorBidi" w:cstheme="majorBidi"/>
          <w:sz w:val="24"/>
          <w:szCs w:val="24"/>
        </w:rPr>
        <w:t>, 132(2),</w:t>
      </w:r>
      <w:r>
        <w:rPr>
          <w:rFonts w:asciiTheme="majorBidi" w:hAnsiTheme="majorBidi" w:cstheme="majorBidi"/>
          <w:sz w:val="24"/>
          <w:szCs w:val="24"/>
        </w:rPr>
        <w:t xml:space="preserve"> pp.</w:t>
      </w:r>
      <w:r w:rsidRPr="00FD1206">
        <w:rPr>
          <w:rFonts w:asciiTheme="majorBidi" w:hAnsiTheme="majorBidi" w:cstheme="majorBidi"/>
          <w:sz w:val="24"/>
          <w:szCs w:val="24"/>
        </w:rPr>
        <w:t xml:space="preserve"> 259-277.</w:t>
      </w:r>
    </w:p>
    <w:p w14:paraId="6B26BE4F"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proofErr w:type="spellStart"/>
      <w:r w:rsidRPr="00896EF6">
        <w:rPr>
          <w:rFonts w:asciiTheme="majorBidi" w:hAnsiTheme="majorBidi" w:cstheme="majorBidi"/>
          <w:sz w:val="24"/>
          <w:szCs w:val="24"/>
        </w:rPr>
        <w:t>Arnon</w:t>
      </w:r>
      <w:proofErr w:type="spellEnd"/>
      <w:r w:rsidRPr="00896EF6">
        <w:rPr>
          <w:rFonts w:asciiTheme="majorBidi" w:hAnsiTheme="majorBidi" w:cstheme="majorBidi"/>
          <w:sz w:val="24"/>
          <w:szCs w:val="24"/>
        </w:rPr>
        <w:t>, A. and </w:t>
      </w:r>
      <w:proofErr w:type="spellStart"/>
      <w:r w:rsidRPr="00896EF6">
        <w:rPr>
          <w:rFonts w:asciiTheme="majorBidi" w:hAnsiTheme="majorBidi" w:cstheme="majorBidi"/>
          <w:sz w:val="24"/>
          <w:szCs w:val="24"/>
        </w:rPr>
        <w:t>Weinblatt</w:t>
      </w:r>
      <w:proofErr w:type="spellEnd"/>
      <w:r>
        <w:rPr>
          <w:rFonts w:asciiTheme="majorBidi" w:hAnsiTheme="majorBidi" w:cstheme="majorBidi"/>
          <w:sz w:val="24"/>
          <w:szCs w:val="24"/>
        </w:rPr>
        <w:t>, J.</w:t>
      </w:r>
      <w:r w:rsidRPr="00896EF6">
        <w:rPr>
          <w:rFonts w:asciiTheme="majorBidi" w:hAnsiTheme="majorBidi" w:cstheme="majorBidi"/>
          <w:sz w:val="24"/>
          <w:szCs w:val="24"/>
        </w:rPr>
        <w:t> (2001), "Sovereignty and Economic Development: The Case of Israel and Palestine", Economic Journal, 111,</w:t>
      </w:r>
      <w:r>
        <w:rPr>
          <w:rFonts w:asciiTheme="majorBidi" w:hAnsiTheme="majorBidi" w:cstheme="majorBidi"/>
          <w:sz w:val="24"/>
          <w:szCs w:val="24"/>
        </w:rPr>
        <w:t xml:space="preserve"> pp.</w:t>
      </w:r>
      <w:r w:rsidRPr="00896EF6">
        <w:rPr>
          <w:rFonts w:asciiTheme="majorBidi" w:hAnsiTheme="majorBidi" w:cstheme="majorBidi"/>
          <w:sz w:val="24"/>
          <w:szCs w:val="24"/>
        </w:rPr>
        <w:t xml:space="preserve"> F291- F308.</w:t>
      </w:r>
    </w:p>
    <w:p w14:paraId="485FD230"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r>
        <w:rPr>
          <w:rFonts w:asciiTheme="majorBidi" w:hAnsiTheme="majorBidi" w:cstheme="majorBidi"/>
          <w:sz w:val="24"/>
          <w:szCs w:val="24"/>
        </w:rPr>
        <w:t>Balassa, B. (</w:t>
      </w:r>
      <w:r w:rsidRPr="001C34D1">
        <w:rPr>
          <w:rFonts w:asciiTheme="majorBidi" w:hAnsiTheme="majorBidi" w:cstheme="majorBidi"/>
          <w:sz w:val="24"/>
          <w:szCs w:val="24"/>
        </w:rPr>
        <w:t>1961</w:t>
      </w:r>
      <w:r>
        <w:rPr>
          <w:rFonts w:asciiTheme="majorBidi" w:hAnsiTheme="majorBidi" w:cstheme="majorBidi"/>
          <w:sz w:val="24"/>
          <w:szCs w:val="24"/>
        </w:rPr>
        <w:t>), "</w:t>
      </w:r>
      <w:r w:rsidRPr="001C34D1">
        <w:rPr>
          <w:rFonts w:asciiTheme="majorBidi" w:hAnsiTheme="majorBidi" w:cstheme="majorBidi"/>
          <w:sz w:val="24"/>
          <w:szCs w:val="24"/>
        </w:rPr>
        <w:t>The Theory of Economic Integration</w:t>
      </w:r>
      <w:r>
        <w:rPr>
          <w:rFonts w:asciiTheme="majorBidi" w:hAnsiTheme="majorBidi" w:cstheme="majorBidi"/>
          <w:sz w:val="24"/>
          <w:szCs w:val="24"/>
        </w:rPr>
        <w:t>",</w:t>
      </w:r>
      <w:r w:rsidRPr="00054CEB">
        <w:rPr>
          <w:rFonts w:asciiTheme="majorBidi" w:hAnsiTheme="majorBidi" w:cstheme="majorBidi"/>
          <w:sz w:val="24"/>
          <w:szCs w:val="24"/>
        </w:rPr>
        <w:t xml:space="preserve"> </w:t>
      </w:r>
      <w:r w:rsidRPr="001C34D1">
        <w:rPr>
          <w:rFonts w:asciiTheme="majorBidi" w:hAnsiTheme="majorBidi" w:cstheme="majorBidi"/>
          <w:sz w:val="24"/>
          <w:szCs w:val="24"/>
        </w:rPr>
        <w:t>Richard D. Irwin</w:t>
      </w:r>
      <w:r>
        <w:rPr>
          <w:rFonts w:asciiTheme="majorBidi" w:hAnsiTheme="majorBidi" w:cstheme="majorBidi"/>
          <w:sz w:val="24"/>
          <w:szCs w:val="24"/>
        </w:rPr>
        <w:t>, Homewood.</w:t>
      </w:r>
    </w:p>
    <w:p w14:paraId="1F0F4E16"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r w:rsidRPr="00122821">
        <w:rPr>
          <w:rFonts w:asciiTheme="majorBidi" w:hAnsiTheme="majorBidi" w:cstheme="majorBidi"/>
          <w:sz w:val="24"/>
          <w:szCs w:val="24"/>
        </w:rPr>
        <w:t xml:space="preserve">Calvo, G., &amp; </w:t>
      </w:r>
      <w:proofErr w:type="spellStart"/>
      <w:r w:rsidRPr="00122821">
        <w:rPr>
          <w:rFonts w:asciiTheme="majorBidi" w:hAnsiTheme="majorBidi" w:cstheme="majorBidi"/>
          <w:sz w:val="24"/>
          <w:szCs w:val="24"/>
        </w:rPr>
        <w:t>Vegh</w:t>
      </w:r>
      <w:proofErr w:type="spellEnd"/>
      <w:r w:rsidRPr="00122821">
        <w:rPr>
          <w:rFonts w:asciiTheme="majorBidi" w:hAnsiTheme="majorBidi" w:cstheme="majorBidi"/>
          <w:sz w:val="24"/>
          <w:szCs w:val="24"/>
        </w:rPr>
        <w:t>, C.</w:t>
      </w:r>
      <w:r>
        <w:rPr>
          <w:rFonts w:asciiTheme="majorBidi" w:hAnsiTheme="majorBidi" w:cstheme="majorBidi"/>
          <w:sz w:val="24"/>
          <w:szCs w:val="24"/>
        </w:rPr>
        <w:t xml:space="preserve"> </w:t>
      </w:r>
      <w:r w:rsidRPr="00122821">
        <w:rPr>
          <w:rFonts w:asciiTheme="majorBidi" w:hAnsiTheme="majorBidi" w:cstheme="majorBidi"/>
          <w:sz w:val="24"/>
          <w:szCs w:val="24"/>
        </w:rPr>
        <w:t>(1992)</w:t>
      </w:r>
      <w:r>
        <w:rPr>
          <w:rFonts w:asciiTheme="majorBidi" w:hAnsiTheme="majorBidi" w:cstheme="majorBidi"/>
          <w:sz w:val="24"/>
          <w:szCs w:val="24"/>
        </w:rPr>
        <w:t>,</w:t>
      </w:r>
      <w:r w:rsidRPr="00122821">
        <w:rPr>
          <w:rFonts w:asciiTheme="majorBidi" w:hAnsiTheme="majorBidi" w:cstheme="majorBidi"/>
          <w:sz w:val="24"/>
          <w:szCs w:val="24"/>
        </w:rPr>
        <w:t xml:space="preserve"> </w:t>
      </w:r>
      <w:r>
        <w:rPr>
          <w:rFonts w:asciiTheme="majorBidi" w:hAnsiTheme="majorBidi" w:cstheme="majorBidi"/>
          <w:sz w:val="24"/>
          <w:szCs w:val="24"/>
        </w:rPr>
        <w:t>"</w:t>
      </w:r>
      <w:r w:rsidRPr="00122821">
        <w:rPr>
          <w:rFonts w:asciiTheme="majorBidi" w:hAnsiTheme="majorBidi" w:cstheme="majorBidi"/>
          <w:sz w:val="24"/>
          <w:szCs w:val="24"/>
        </w:rPr>
        <w:t xml:space="preserve">Currency </w:t>
      </w:r>
      <w:r>
        <w:rPr>
          <w:rFonts w:asciiTheme="majorBidi" w:hAnsiTheme="majorBidi" w:cstheme="majorBidi"/>
          <w:sz w:val="24"/>
          <w:szCs w:val="24"/>
        </w:rPr>
        <w:t>S</w:t>
      </w:r>
      <w:r w:rsidRPr="00122821">
        <w:rPr>
          <w:rFonts w:asciiTheme="majorBidi" w:hAnsiTheme="majorBidi" w:cstheme="majorBidi"/>
          <w:sz w:val="24"/>
          <w:szCs w:val="24"/>
        </w:rPr>
        <w:t xml:space="preserve">ubstitution in </w:t>
      </w:r>
      <w:r>
        <w:rPr>
          <w:rFonts w:asciiTheme="majorBidi" w:hAnsiTheme="majorBidi" w:cstheme="majorBidi"/>
          <w:sz w:val="24"/>
          <w:szCs w:val="24"/>
        </w:rPr>
        <w:t>D</w:t>
      </w:r>
      <w:r w:rsidRPr="00122821">
        <w:rPr>
          <w:rFonts w:asciiTheme="majorBidi" w:hAnsiTheme="majorBidi" w:cstheme="majorBidi"/>
          <w:sz w:val="24"/>
          <w:szCs w:val="24"/>
        </w:rPr>
        <w:t xml:space="preserve">eveloping </w:t>
      </w:r>
      <w:r>
        <w:rPr>
          <w:rFonts w:asciiTheme="majorBidi" w:hAnsiTheme="majorBidi" w:cstheme="majorBidi"/>
          <w:sz w:val="24"/>
          <w:szCs w:val="24"/>
        </w:rPr>
        <w:t>C</w:t>
      </w:r>
      <w:r w:rsidRPr="00122821">
        <w:rPr>
          <w:rFonts w:asciiTheme="majorBidi" w:hAnsiTheme="majorBidi" w:cstheme="majorBidi"/>
          <w:sz w:val="24"/>
          <w:szCs w:val="24"/>
        </w:rPr>
        <w:t xml:space="preserve">ountries: </w:t>
      </w:r>
      <w:r>
        <w:rPr>
          <w:rFonts w:asciiTheme="majorBidi" w:hAnsiTheme="majorBidi" w:cstheme="majorBidi"/>
          <w:sz w:val="24"/>
          <w:szCs w:val="24"/>
        </w:rPr>
        <w:t>A</w:t>
      </w:r>
      <w:r w:rsidRPr="00122821">
        <w:rPr>
          <w:rFonts w:asciiTheme="majorBidi" w:hAnsiTheme="majorBidi" w:cstheme="majorBidi"/>
          <w:sz w:val="24"/>
          <w:szCs w:val="24"/>
        </w:rPr>
        <w:t xml:space="preserve">n </w:t>
      </w:r>
      <w:r>
        <w:rPr>
          <w:rFonts w:asciiTheme="majorBidi" w:hAnsiTheme="majorBidi" w:cstheme="majorBidi"/>
          <w:sz w:val="24"/>
          <w:szCs w:val="24"/>
        </w:rPr>
        <w:t>I</w:t>
      </w:r>
      <w:r w:rsidRPr="00122821">
        <w:rPr>
          <w:rFonts w:asciiTheme="majorBidi" w:hAnsiTheme="majorBidi" w:cstheme="majorBidi"/>
          <w:sz w:val="24"/>
          <w:szCs w:val="24"/>
        </w:rPr>
        <w:t>ntroduction</w:t>
      </w:r>
      <w:r>
        <w:rPr>
          <w:rFonts w:asciiTheme="majorBidi" w:hAnsiTheme="majorBidi" w:cstheme="majorBidi"/>
          <w:sz w:val="24"/>
          <w:szCs w:val="24"/>
        </w:rPr>
        <w:t>", IMF working paper 92/40.</w:t>
      </w:r>
    </w:p>
    <w:p w14:paraId="293362E2" w14:textId="77777777" w:rsidR="00EA62DD" w:rsidRDefault="00EA62DD" w:rsidP="00EA62DD">
      <w:pPr>
        <w:autoSpaceDE w:val="0"/>
        <w:autoSpaceDN w:val="0"/>
        <w:bidi w:val="0"/>
        <w:adjustRightInd w:val="0"/>
        <w:spacing w:after="240" w:line="480" w:lineRule="auto"/>
        <w:ind w:left="360"/>
        <w:jc w:val="both"/>
        <w:rPr>
          <w:rFonts w:asciiTheme="majorBidi" w:hAnsiTheme="majorBidi" w:cstheme="majorBidi"/>
          <w:sz w:val="24"/>
          <w:szCs w:val="24"/>
        </w:rPr>
      </w:pPr>
      <w:r w:rsidRPr="009D2C10">
        <w:rPr>
          <w:rFonts w:asciiTheme="majorBidi" w:hAnsiTheme="majorBidi" w:cstheme="majorBidi"/>
          <w:sz w:val="24"/>
          <w:szCs w:val="24"/>
        </w:rPr>
        <w:t xml:space="preserve">Cheung, Y., </w:t>
      </w:r>
      <w:proofErr w:type="spellStart"/>
      <w:r w:rsidRPr="009D2C10">
        <w:rPr>
          <w:rFonts w:asciiTheme="majorBidi" w:hAnsiTheme="majorBidi" w:cstheme="majorBidi"/>
          <w:sz w:val="24"/>
          <w:szCs w:val="24"/>
        </w:rPr>
        <w:t>Y</w:t>
      </w:r>
      <w:r>
        <w:rPr>
          <w:rFonts w:asciiTheme="majorBidi" w:hAnsiTheme="majorBidi" w:cstheme="majorBidi"/>
          <w:sz w:val="24"/>
          <w:szCs w:val="24"/>
        </w:rPr>
        <w:t>iu</w:t>
      </w:r>
      <w:proofErr w:type="spellEnd"/>
      <w:r>
        <w:rPr>
          <w:rFonts w:asciiTheme="majorBidi" w:hAnsiTheme="majorBidi" w:cstheme="majorBidi"/>
          <w:sz w:val="24"/>
          <w:szCs w:val="24"/>
        </w:rPr>
        <w:t>, M. and Chow, K. (2008), "</w:t>
      </w:r>
      <w:r w:rsidRPr="009D2C10">
        <w:rPr>
          <w:rFonts w:asciiTheme="majorBidi" w:hAnsiTheme="majorBidi" w:cstheme="majorBidi"/>
          <w:sz w:val="24"/>
          <w:szCs w:val="24"/>
        </w:rPr>
        <w:t xml:space="preserve">Measuring </w:t>
      </w:r>
      <w:r>
        <w:rPr>
          <w:rFonts w:asciiTheme="majorBidi" w:hAnsiTheme="majorBidi" w:cstheme="majorBidi"/>
          <w:sz w:val="24"/>
          <w:szCs w:val="24"/>
        </w:rPr>
        <w:t>E</w:t>
      </w:r>
      <w:r w:rsidRPr="009D2C10">
        <w:rPr>
          <w:rFonts w:asciiTheme="majorBidi" w:hAnsiTheme="majorBidi" w:cstheme="majorBidi"/>
          <w:sz w:val="24"/>
          <w:szCs w:val="24"/>
        </w:rPr>
        <w:t>conomic</w:t>
      </w:r>
      <w:r>
        <w:rPr>
          <w:rFonts w:asciiTheme="majorBidi" w:hAnsiTheme="majorBidi" w:cstheme="majorBidi"/>
          <w:sz w:val="24"/>
          <w:szCs w:val="24"/>
        </w:rPr>
        <w:t xml:space="preserve"> I</w:t>
      </w:r>
      <w:r w:rsidRPr="009D2C10">
        <w:rPr>
          <w:rFonts w:asciiTheme="majorBidi" w:hAnsiTheme="majorBidi" w:cstheme="majorBidi"/>
          <w:sz w:val="24"/>
          <w:szCs w:val="24"/>
        </w:rPr>
        <w:t xml:space="preserve">ntegration: </w:t>
      </w:r>
      <w:r>
        <w:rPr>
          <w:rFonts w:asciiTheme="majorBidi" w:hAnsiTheme="majorBidi" w:cstheme="majorBidi"/>
          <w:sz w:val="24"/>
          <w:szCs w:val="24"/>
        </w:rPr>
        <w:t>T</w:t>
      </w:r>
      <w:r w:rsidRPr="009D2C10">
        <w:rPr>
          <w:rFonts w:asciiTheme="majorBidi" w:hAnsiTheme="majorBidi" w:cstheme="majorBidi"/>
          <w:sz w:val="24"/>
          <w:szCs w:val="24"/>
        </w:rPr>
        <w:t xml:space="preserve">he </w:t>
      </w:r>
      <w:r>
        <w:rPr>
          <w:rFonts w:asciiTheme="majorBidi" w:hAnsiTheme="majorBidi" w:cstheme="majorBidi"/>
          <w:sz w:val="24"/>
          <w:szCs w:val="24"/>
        </w:rPr>
        <w:t>C</w:t>
      </w:r>
      <w:r w:rsidRPr="009D2C10">
        <w:rPr>
          <w:rFonts w:asciiTheme="majorBidi" w:hAnsiTheme="majorBidi" w:cstheme="majorBidi"/>
          <w:sz w:val="24"/>
          <w:szCs w:val="24"/>
        </w:rPr>
        <w:t>ase of Asian</w:t>
      </w:r>
      <w:r>
        <w:rPr>
          <w:rFonts w:asciiTheme="majorBidi" w:hAnsiTheme="majorBidi" w:cstheme="majorBidi"/>
          <w:sz w:val="24"/>
          <w:szCs w:val="24"/>
        </w:rPr>
        <w:t xml:space="preserve"> E</w:t>
      </w:r>
      <w:r w:rsidRPr="009D2C10">
        <w:rPr>
          <w:rFonts w:asciiTheme="majorBidi" w:hAnsiTheme="majorBidi" w:cstheme="majorBidi"/>
          <w:sz w:val="24"/>
          <w:szCs w:val="24"/>
        </w:rPr>
        <w:t>conomies</w:t>
      </w:r>
      <w:r>
        <w:rPr>
          <w:rFonts w:asciiTheme="majorBidi" w:hAnsiTheme="majorBidi" w:cstheme="majorBidi"/>
          <w:sz w:val="24"/>
          <w:szCs w:val="24"/>
        </w:rPr>
        <w:t>",</w:t>
      </w:r>
      <w:r w:rsidRPr="009D2C10">
        <w:rPr>
          <w:rFonts w:asciiTheme="majorBidi" w:hAnsiTheme="majorBidi" w:cstheme="majorBidi"/>
          <w:sz w:val="24"/>
          <w:szCs w:val="24"/>
        </w:rPr>
        <w:t xml:space="preserve"> Ba</w:t>
      </w:r>
      <w:r>
        <w:rPr>
          <w:rFonts w:asciiTheme="majorBidi" w:hAnsiTheme="majorBidi" w:cstheme="majorBidi"/>
          <w:sz w:val="24"/>
          <w:szCs w:val="24"/>
        </w:rPr>
        <w:t xml:space="preserve">nk for International Settlement papers, </w:t>
      </w:r>
      <w:r w:rsidRPr="009D2C10">
        <w:rPr>
          <w:rFonts w:asciiTheme="majorBidi" w:hAnsiTheme="majorBidi" w:cstheme="majorBidi"/>
          <w:sz w:val="24"/>
          <w:szCs w:val="24"/>
        </w:rPr>
        <w:t>42, pp</w:t>
      </w:r>
      <w:r>
        <w:rPr>
          <w:rFonts w:asciiTheme="majorBidi" w:hAnsiTheme="majorBidi" w:cstheme="majorBidi"/>
          <w:sz w:val="24"/>
          <w:szCs w:val="24"/>
        </w:rPr>
        <w:t>.</w:t>
      </w:r>
      <w:r w:rsidRPr="009D2C10">
        <w:rPr>
          <w:rFonts w:asciiTheme="majorBidi" w:hAnsiTheme="majorBidi" w:cstheme="majorBidi"/>
          <w:sz w:val="24"/>
          <w:szCs w:val="24"/>
        </w:rPr>
        <w:t xml:space="preserve"> 136-158</w:t>
      </w:r>
      <w:r>
        <w:rPr>
          <w:rFonts w:asciiTheme="majorBidi" w:hAnsiTheme="majorBidi" w:cstheme="majorBidi"/>
          <w:sz w:val="24"/>
          <w:szCs w:val="24"/>
        </w:rPr>
        <w:t>.</w:t>
      </w:r>
      <w:r w:rsidRPr="009D2C10">
        <w:rPr>
          <w:rFonts w:asciiTheme="majorBidi" w:hAnsiTheme="majorBidi" w:cstheme="majorBidi"/>
          <w:sz w:val="24"/>
          <w:szCs w:val="24"/>
        </w:rPr>
        <w:t xml:space="preserve"> </w:t>
      </w:r>
    </w:p>
    <w:p w14:paraId="3365371E"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proofErr w:type="spellStart"/>
      <w:r>
        <w:rPr>
          <w:rFonts w:asciiTheme="majorBidi" w:hAnsiTheme="majorBidi" w:cstheme="majorBidi"/>
          <w:sz w:val="24"/>
          <w:szCs w:val="24"/>
        </w:rPr>
        <w:t>Cobham</w:t>
      </w:r>
      <w:proofErr w:type="spellEnd"/>
      <w:r>
        <w:rPr>
          <w:rFonts w:asciiTheme="majorBidi" w:hAnsiTheme="majorBidi" w:cstheme="majorBidi"/>
          <w:sz w:val="24"/>
          <w:szCs w:val="24"/>
        </w:rPr>
        <w:t>, D. (2004),</w:t>
      </w:r>
      <w:r w:rsidRPr="007B745E">
        <w:rPr>
          <w:rFonts w:asciiTheme="majorBidi" w:hAnsiTheme="majorBidi" w:cstheme="majorBidi"/>
          <w:sz w:val="24"/>
          <w:szCs w:val="24"/>
        </w:rPr>
        <w:t xml:space="preserve"> </w:t>
      </w:r>
      <w:r>
        <w:rPr>
          <w:rFonts w:asciiTheme="majorBidi" w:hAnsiTheme="majorBidi" w:cstheme="majorBidi"/>
          <w:sz w:val="24"/>
          <w:szCs w:val="24"/>
        </w:rPr>
        <w:t>"</w:t>
      </w:r>
      <w:r w:rsidRPr="007B745E">
        <w:rPr>
          <w:rFonts w:asciiTheme="majorBidi" w:hAnsiTheme="majorBidi" w:cstheme="majorBidi"/>
          <w:sz w:val="24"/>
          <w:szCs w:val="24"/>
        </w:rPr>
        <w:t xml:space="preserve">Alternative </w:t>
      </w:r>
      <w:r>
        <w:rPr>
          <w:rFonts w:asciiTheme="majorBidi" w:hAnsiTheme="majorBidi" w:cstheme="majorBidi"/>
          <w:sz w:val="24"/>
          <w:szCs w:val="24"/>
        </w:rPr>
        <w:t>C</w:t>
      </w:r>
      <w:r w:rsidRPr="007B745E">
        <w:rPr>
          <w:rFonts w:asciiTheme="majorBidi" w:hAnsiTheme="majorBidi" w:cstheme="majorBidi"/>
          <w:sz w:val="24"/>
          <w:szCs w:val="24"/>
        </w:rPr>
        <w:t xml:space="preserve">urrency </w:t>
      </w:r>
      <w:r>
        <w:rPr>
          <w:rFonts w:asciiTheme="majorBidi" w:hAnsiTheme="majorBidi" w:cstheme="majorBidi"/>
          <w:sz w:val="24"/>
          <w:szCs w:val="24"/>
        </w:rPr>
        <w:t>A</w:t>
      </w:r>
      <w:r w:rsidRPr="007B745E">
        <w:rPr>
          <w:rFonts w:asciiTheme="majorBidi" w:hAnsiTheme="majorBidi" w:cstheme="majorBidi"/>
          <w:sz w:val="24"/>
          <w:szCs w:val="24"/>
        </w:rPr>
        <w:t xml:space="preserve">rrangements for a </w:t>
      </w:r>
      <w:r>
        <w:rPr>
          <w:rFonts w:asciiTheme="majorBidi" w:hAnsiTheme="majorBidi" w:cstheme="majorBidi"/>
          <w:sz w:val="24"/>
          <w:szCs w:val="24"/>
        </w:rPr>
        <w:t>N</w:t>
      </w:r>
      <w:r w:rsidRPr="007B745E">
        <w:rPr>
          <w:rFonts w:asciiTheme="majorBidi" w:hAnsiTheme="majorBidi" w:cstheme="majorBidi"/>
          <w:sz w:val="24"/>
          <w:szCs w:val="24"/>
        </w:rPr>
        <w:t xml:space="preserve">ew Palestinian </w:t>
      </w:r>
      <w:r>
        <w:rPr>
          <w:rFonts w:asciiTheme="majorBidi" w:hAnsiTheme="majorBidi" w:cstheme="majorBidi"/>
          <w:sz w:val="24"/>
          <w:szCs w:val="24"/>
        </w:rPr>
        <w:t>S</w:t>
      </w:r>
      <w:r w:rsidRPr="007B745E">
        <w:rPr>
          <w:rFonts w:asciiTheme="majorBidi" w:hAnsiTheme="majorBidi" w:cstheme="majorBidi"/>
          <w:sz w:val="24"/>
          <w:szCs w:val="24"/>
        </w:rPr>
        <w:t>tate</w:t>
      </w:r>
      <w:r>
        <w:rPr>
          <w:rFonts w:asciiTheme="majorBidi" w:hAnsiTheme="majorBidi" w:cstheme="majorBidi"/>
          <w:sz w:val="24"/>
          <w:szCs w:val="24"/>
        </w:rPr>
        <w:t>", University of St Andrews.</w:t>
      </w:r>
    </w:p>
    <w:p w14:paraId="4D004A85"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r w:rsidRPr="0026796C">
        <w:rPr>
          <w:rFonts w:asciiTheme="majorBidi" w:hAnsiTheme="majorBidi" w:cstheme="majorBidi"/>
          <w:sz w:val="24"/>
          <w:szCs w:val="24"/>
        </w:rPr>
        <w:t>Combes, P., Ma</w:t>
      </w:r>
      <w:r>
        <w:rPr>
          <w:rFonts w:asciiTheme="majorBidi" w:hAnsiTheme="majorBidi" w:cstheme="majorBidi"/>
          <w:sz w:val="24"/>
          <w:szCs w:val="24"/>
        </w:rPr>
        <w:t xml:space="preserve">yer, T., &amp; </w:t>
      </w:r>
      <w:proofErr w:type="spellStart"/>
      <w:r>
        <w:rPr>
          <w:rFonts w:asciiTheme="majorBidi" w:hAnsiTheme="majorBidi" w:cstheme="majorBidi"/>
          <w:sz w:val="24"/>
          <w:szCs w:val="24"/>
        </w:rPr>
        <w:t>Thisse</w:t>
      </w:r>
      <w:proofErr w:type="spellEnd"/>
      <w:r>
        <w:rPr>
          <w:rFonts w:asciiTheme="majorBidi" w:hAnsiTheme="majorBidi" w:cstheme="majorBidi"/>
          <w:sz w:val="24"/>
          <w:szCs w:val="24"/>
        </w:rPr>
        <w:t>, J. (2008),</w:t>
      </w:r>
      <w:r w:rsidRPr="0026796C">
        <w:rPr>
          <w:rFonts w:asciiTheme="majorBidi" w:hAnsiTheme="majorBidi" w:cstheme="majorBidi"/>
          <w:sz w:val="24"/>
          <w:szCs w:val="24"/>
        </w:rPr>
        <w:t> </w:t>
      </w:r>
      <w:r>
        <w:rPr>
          <w:rFonts w:asciiTheme="majorBidi" w:hAnsiTheme="majorBidi" w:cstheme="majorBidi"/>
          <w:sz w:val="24"/>
          <w:szCs w:val="24"/>
        </w:rPr>
        <w:t>"</w:t>
      </w:r>
      <w:r w:rsidRPr="0026796C">
        <w:rPr>
          <w:rFonts w:asciiTheme="majorBidi" w:hAnsiTheme="majorBidi" w:cstheme="majorBidi"/>
          <w:sz w:val="24"/>
          <w:szCs w:val="24"/>
        </w:rPr>
        <w:t>Economic</w:t>
      </w:r>
      <w:r>
        <w:rPr>
          <w:rFonts w:asciiTheme="majorBidi" w:hAnsiTheme="majorBidi" w:cstheme="majorBidi"/>
          <w:sz w:val="24"/>
          <w:szCs w:val="24"/>
        </w:rPr>
        <w:t xml:space="preserve"> G</w:t>
      </w:r>
      <w:r w:rsidRPr="0026796C">
        <w:rPr>
          <w:rFonts w:asciiTheme="majorBidi" w:hAnsiTheme="majorBidi" w:cstheme="majorBidi"/>
          <w:sz w:val="24"/>
          <w:szCs w:val="24"/>
        </w:rPr>
        <w:t xml:space="preserve">eography: The </w:t>
      </w:r>
      <w:r>
        <w:rPr>
          <w:rFonts w:asciiTheme="majorBidi" w:hAnsiTheme="majorBidi" w:cstheme="majorBidi"/>
          <w:sz w:val="24"/>
          <w:szCs w:val="24"/>
        </w:rPr>
        <w:t>I</w:t>
      </w:r>
      <w:r w:rsidRPr="0026796C">
        <w:rPr>
          <w:rFonts w:asciiTheme="majorBidi" w:hAnsiTheme="majorBidi" w:cstheme="majorBidi"/>
          <w:sz w:val="24"/>
          <w:szCs w:val="24"/>
        </w:rPr>
        <w:t xml:space="preserve">ntegration of </w:t>
      </w:r>
      <w:r>
        <w:rPr>
          <w:rFonts w:asciiTheme="majorBidi" w:hAnsiTheme="majorBidi" w:cstheme="majorBidi"/>
          <w:sz w:val="24"/>
          <w:szCs w:val="24"/>
        </w:rPr>
        <w:t>R</w:t>
      </w:r>
      <w:r w:rsidRPr="0026796C">
        <w:rPr>
          <w:rFonts w:asciiTheme="majorBidi" w:hAnsiTheme="majorBidi" w:cstheme="majorBidi"/>
          <w:sz w:val="24"/>
          <w:szCs w:val="24"/>
        </w:rPr>
        <w:t xml:space="preserve">egions and </w:t>
      </w:r>
      <w:r>
        <w:rPr>
          <w:rFonts w:asciiTheme="majorBidi" w:hAnsiTheme="majorBidi" w:cstheme="majorBidi"/>
          <w:sz w:val="24"/>
          <w:szCs w:val="24"/>
        </w:rPr>
        <w:t>N</w:t>
      </w:r>
      <w:r w:rsidRPr="0026796C">
        <w:rPr>
          <w:rFonts w:asciiTheme="majorBidi" w:hAnsiTheme="majorBidi" w:cstheme="majorBidi"/>
          <w:sz w:val="24"/>
          <w:szCs w:val="24"/>
        </w:rPr>
        <w:t>ations</w:t>
      </w:r>
      <w:r>
        <w:rPr>
          <w:rFonts w:asciiTheme="majorBidi" w:hAnsiTheme="majorBidi" w:cstheme="majorBidi"/>
          <w:sz w:val="24"/>
          <w:szCs w:val="24"/>
        </w:rPr>
        <w:t>",</w:t>
      </w:r>
      <w:r w:rsidRPr="0026796C">
        <w:rPr>
          <w:rFonts w:asciiTheme="majorBidi" w:hAnsiTheme="majorBidi" w:cstheme="majorBidi"/>
          <w:sz w:val="24"/>
          <w:szCs w:val="24"/>
        </w:rPr>
        <w:t xml:space="preserve"> Princeton University Press</w:t>
      </w:r>
      <w:r>
        <w:rPr>
          <w:rFonts w:asciiTheme="majorBidi" w:hAnsiTheme="majorBidi" w:cstheme="majorBidi"/>
          <w:sz w:val="24"/>
          <w:szCs w:val="24"/>
        </w:rPr>
        <w:t>, Princeton.</w:t>
      </w:r>
    </w:p>
    <w:p w14:paraId="1F37BB3E"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proofErr w:type="spellStart"/>
      <w:r w:rsidRPr="007B745E">
        <w:rPr>
          <w:rFonts w:asciiTheme="majorBidi" w:hAnsiTheme="majorBidi" w:cstheme="majorBidi"/>
          <w:sz w:val="24"/>
          <w:szCs w:val="24"/>
        </w:rPr>
        <w:t>Dellas</w:t>
      </w:r>
      <w:proofErr w:type="spellEnd"/>
      <w:r w:rsidRPr="007B745E">
        <w:rPr>
          <w:rFonts w:asciiTheme="majorBidi" w:hAnsiTheme="majorBidi" w:cstheme="majorBidi"/>
          <w:sz w:val="24"/>
          <w:szCs w:val="24"/>
        </w:rPr>
        <w:t xml:space="preserve">, H., &amp; </w:t>
      </w:r>
      <w:proofErr w:type="spellStart"/>
      <w:r w:rsidRPr="007B745E">
        <w:rPr>
          <w:rFonts w:asciiTheme="majorBidi" w:hAnsiTheme="majorBidi" w:cstheme="majorBidi"/>
          <w:sz w:val="24"/>
          <w:szCs w:val="24"/>
        </w:rPr>
        <w:t>Tavlas</w:t>
      </w:r>
      <w:proofErr w:type="spellEnd"/>
      <w:r w:rsidRPr="007B745E">
        <w:rPr>
          <w:rFonts w:asciiTheme="majorBidi" w:hAnsiTheme="majorBidi" w:cstheme="majorBidi"/>
          <w:sz w:val="24"/>
          <w:szCs w:val="24"/>
        </w:rPr>
        <w:t>, G. (2008)</w:t>
      </w:r>
      <w:r>
        <w:rPr>
          <w:rFonts w:asciiTheme="majorBidi" w:hAnsiTheme="majorBidi" w:cstheme="majorBidi"/>
          <w:sz w:val="24"/>
          <w:szCs w:val="24"/>
        </w:rPr>
        <w:t>,</w:t>
      </w:r>
      <w:r w:rsidRPr="007B745E">
        <w:rPr>
          <w:rFonts w:asciiTheme="majorBidi" w:hAnsiTheme="majorBidi" w:cstheme="majorBidi"/>
          <w:sz w:val="24"/>
          <w:szCs w:val="24"/>
        </w:rPr>
        <w:t> </w:t>
      </w:r>
      <w:r>
        <w:rPr>
          <w:rFonts w:asciiTheme="majorBidi" w:hAnsiTheme="majorBidi" w:cstheme="majorBidi"/>
          <w:sz w:val="24"/>
          <w:szCs w:val="24"/>
        </w:rPr>
        <w:t>"</w:t>
      </w:r>
      <w:r w:rsidRPr="007B745E">
        <w:rPr>
          <w:rFonts w:asciiTheme="majorBidi" w:hAnsiTheme="majorBidi" w:cstheme="majorBidi"/>
          <w:sz w:val="24"/>
          <w:szCs w:val="24"/>
        </w:rPr>
        <w:t xml:space="preserve">The </w:t>
      </w:r>
      <w:r>
        <w:rPr>
          <w:rFonts w:asciiTheme="majorBidi" w:hAnsiTheme="majorBidi" w:cstheme="majorBidi"/>
          <w:sz w:val="24"/>
          <w:szCs w:val="24"/>
        </w:rPr>
        <w:t>T</w:t>
      </w:r>
      <w:r w:rsidRPr="007B745E">
        <w:rPr>
          <w:rFonts w:asciiTheme="majorBidi" w:hAnsiTheme="majorBidi" w:cstheme="majorBidi"/>
          <w:sz w:val="24"/>
          <w:szCs w:val="24"/>
        </w:rPr>
        <w:t xml:space="preserve">wo </w:t>
      </w:r>
      <w:r>
        <w:rPr>
          <w:rFonts w:asciiTheme="majorBidi" w:hAnsiTheme="majorBidi" w:cstheme="majorBidi"/>
          <w:sz w:val="24"/>
          <w:szCs w:val="24"/>
        </w:rPr>
        <w:t>F</w:t>
      </w:r>
      <w:r w:rsidRPr="007B745E">
        <w:rPr>
          <w:rFonts w:asciiTheme="majorBidi" w:hAnsiTheme="majorBidi" w:cstheme="majorBidi"/>
          <w:sz w:val="24"/>
          <w:szCs w:val="24"/>
        </w:rPr>
        <w:t>aces of the Founding Fathers: An Optimum Currency Area Odyssey</w:t>
      </w:r>
      <w:r>
        <w:rPr>
          <w:rFonts w:asciiTheme="majorBidi" w:hAnsiTheme="majorBidi" w:cstheme="majorBidi"/>
          <w:sz w:val="24"/>
          <w:szCs w:val="24"/>
        </w:rPr>
        <w:t>",</w:t>
      </w:r>
      <w:r w:rsidRPr="007B745E">
        <w:rPr>
          <w:rFonts w:asciiTheme="majorBidi" w:hAnsiTheme="majorBidi" w:cstheme="majorBidi"/>
          <w:sz w:val="24"/>
          <w:szCs w:val="24"/>
        </w:rPr>
        <w:t xml:space="preserve"> Mimeo, Bank of Greece.</w:t>
      </w:r>
    </w:p>
    <w:p w14:paraId="3816F4B8"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proofErr w:type="spellStart"/>
      <w:r w:rsidRPr="00D14011">
        <w:rPr>
          <w:rFonts w:asciiTheme="majorBidi" w:hAnsiTheme="majorBidi" w:cstheme="majorBidi"/>
          <w:sz w:val="24"/>
          <w:szCs w:val="24"/>
        </w:rPr>
        <w:t>Dar</w:t>
      </w:r>
      <w:r>
        <w:rPr>
          <w:rFonts w:asciiTheme="majorBidi" w:hAnsiTheme="majorBidi" w:cstheme="majorBidi"/>
          <w:sz w:val="24"/>
          <w:szCs w:val="24"/>
        </w:rPr>
        <w:t>aghma</w:t>
      </w:r>
      <w:proofErr w:type="spellEnd"/>
      <w:r>
        <w:rPr>
          <w:rFonts w:asciiTheme="majorBidi" w:hAnsiTheme="majorBidi" w:cstheme="majorBidi"/>
          <w:sz w:val="24"/>
          <w:szCs w:val="24"/>
        </w:rPr>
        <w:t>, Z.</w:t>
      </w:r>
      <w:r w:rsidRPr="00D14011">
        <w:rPr>
          <w:rFonts w:asciiTheme="majorBidi" w:hAnsiTheme="majorBidi" w:cstheme="majorBidi"/>
          <w:sz w:val="24"/>
          <w:szCs w:val="24"/>
        </w:rPr>
        <w:t xml:space="preserve">, &amp; </w:t>
      </w:r>
      <w:proofErr w:type="spellStart"/>
      <w:r w:rsidRPr="00D14011">
        <w:rPr>
          <w:rFonts w:asciiTheme="majorBidi" w:hAnsiTheme="majorBidi" w:cstheme="majorBidi"/>
          <w:sz w:val="24"/>
          <w:szCs w:val="24"/>
        </w:rPr>
        <w:t>Iriqat</w:t>
      </w:r>
      <w:proofErr w:type="spellEnd"/>
      <w:r w:rsidRPr="00D14011">
        <w:rPr>
          <w:rFonts w:asciiTheme="majorBidi" w:hAnsiTheme="majorBidi" w:cstheme="majorBidi"/>
          <w:sz w:val="24"/>
          <w:szCs w:val="24"/>
        </w:rPr>
        <w:t>, R. (2015)</w:t>
      </w:r>
      <w:r>
        <w:rPr>
          <w:rFonts w:asciiTheme="majorBidi" w:hAnsiTheme="majorBidi" w:cstheme="majorBidi"/>
          <w:sz w:val="24"/>
          <w:szCs w:val="24"/>
        </w:rPr>
        <w:t>,</w:t>
      </w:r>
      <w:r w:rsidRPr="00D14011">
        <w:rPr>
          <w:rFonts w:asciiTheme="majorBidi" w:hAnsiTheme="majorBidi" w:cstheme="majorBidi"/>
          <w:sz w:val="24"/>
          <w:szCs w:val="24"/>
        </w:rPr>
        <w:t xml:space="preserve"> </w:t>
      </w:r>
      <w:r>
        <w:rPr>
          <w:rFonts w:asciiTheme="majorBidi" w:hAnsiTheme="majorBidi" w:cstheme="majorBidi"/>
          <w:sz w:val="24"/>
          <w:szCs w:val="24"/>
        </w:rPr>
        <w:t>"</w:t>
      </w:r>
      <w:r w:rsidRPr="00D14011">
        <w:rPr>
          <w:rFonts w:asciiTheme="majorBidi" w:hAnsiTheme="majorBidi" w:cstheme="majorBidi"/>
          <w:sz w:val="24"/>
          <w:szCs w:val="24"/>
        </w:rPr>
        <w:t xml:space="preserve">Exploring </w:t>
      </w:r>
      <w:r>
        <w:rPr>
          <w:rFonts w:asciiTheme="majorBidi" w:hAnsiTheme="majorBidi" w:cstheme="majorBidi"/>
          <w:sz w:val="24"/>
          <w:szCs w:val="24"/>
        </w:rPr>
        <w:t>E</w:t>
      </w:r>
      <w:r w:rsidRPr="00D14011">
        <w:rPr>
          <w:rFonts w:asciiTheme="majorBidi" w:hAnsiTheme="majorBidi" w:cstheme="majorBidi"/>
          <w:sz w:val="24"/>
          <w:szCs w:val="24"/>
        </w:rPr>
        <w:t xml:space="preserve">conomy </w:t>
      </w:r>
      <w:r>
        <w:rPr>
          <w:rFonts w:asciiTheme="majorBidi" w:hAnsiTheme="majorBidi" w:cstheme="majorBidi"/>
          <w:sz w:val="24"/>
          <w:szCs w:val="24"/>
        </w:rPr>
        <w:t>D</w:t>
      </w:r>
      <w:r w:rsidRPr="00D14011">
        <w:rPr>
          <w:rFonts w:asciiTheme="majorBidi" w:hAnsiTheme="majorBidi" w:cstheme="majorBidi"/>
          <w:sz w:val="24"/>
          <w:szCs w:val="24"/>
        </w:rPr>
        <w:t xml:space="preserve">ependence in the Middle East </w:t>
      </w:r>
      <w:r>
        <w:rPr>
          <w:rFonts w:asciiTheme="majorBidi" w:hAnsiTheme="majorBidi" w:cstheme="majorBidi"/>
          <w:sz w:val="24"/>
          <w:szCs w:val="24"/>
        </w:rPr>
        <w:t>U</w:t>
      </w:r>
      <w:r w:rsidRPr="00D14011">
        <w:rPr>
          <w:rFonts w:asciiTheme="majorBidi" w:hAnsiTheme="majorBidi" w:cstheme="majorBidi"/>
          <w:sz w:val="24"/>
          <w:szCs w:val="24"/>
        </w:rPr>
        <w:t xml:space="preserve">sing </w:t>
      </w:r>
      <w:r>
        <w:rPr>
          <w:rFonts w:asciiTheme="majorBidi" w:hAnsiTheme="majorBidi" w:cstheme="majorBidi"/>
          <w:sz w:val="24"/>
          <w:szCs w:val="24"/>
        </w:rPr>
        <w:t>G</w:t>
      </w:r>
      <w:r w:rsidRPr="00D14011">
        <w:rPr>
          <w:rFonts w:asciiTheme="majorBidi" w:hAnsiTheme="majorBidi" w:cstheme="majorBidi"/>
          <w:sz w:val="24"/>
          <w:szCs w:val="24"/>
        </w:rPr>
        <w:t xml:space="preserve">overnmental </w:t>
      </w:r>
      <w:r>
        <w:rPr>
          <w:rFonts w:asciiTheme="majorBidi" w:hAnsiTheme="majorBidi" w:cstheme="majorBidi"/>
          <w:sz w:val="24"/>
          <w:szCs w:val="24"/>
        </w:rPr>
        <w:t>A</w:t>
      </w:r>
      <w:r w:rsidRPr="00D14011">
        <w:rPr>
          <w:rFonts w:asciiTheme="majorBidi" w:hAnsiTheme="majorBidi" w:cstheme="majorBidi"/>
          <w:sz w:val="24"/>
          <w:szCs w:val="24"/>
        </w:rPr>
        <w:t xml:space="preserve">ccounting </w:t>
      </w:r>
      <w:r>
        <w:rPr>
          <w:rFonts w:asciiTheme="majorBidi" w:hAnsiTheme="majorBidi" w:cstheme="majorBidi"/>
          <w:sz w:val="24"/>
          <w:szCs w:val="24"/>
        </w:rPr>
        <w:t>I</w:t>
      </w:r>
      <w:r w:rsidRPr="00D14011">
        <w:rPr>
          <w:rFonts w:asciiTheme="majorBidi" w:hAnsiTheme="majorBidi" w:cstheme="majorBidi"/>
          <w:sz w:val="24"/>
          <w:szCs w:val="24"/>
        </w:rPr>
        <w:t xml:space="preserve">ndicators: The </w:t>
      </w:r>
      <w:r>
        <w:rPr>
          <w:rFonts w:asciiTheme="majorBidi" w:hAnsiTheme="majorBidi" w:cstheme="majorBidi"/>
          <w:sz w:val="24"/>
          <w:szCs w:val="24"/>
        </w:rPr>
        <w:t>C</w:t>
      </w:r>
      <w:r w:rsidRPr="00D14011">
        <w:rPr>
          <w:rFonts w:asciiTheme="majorBidi" w:hAnsiTheme="majorBidi" w:cstheme="majorBidi"/>
          <w:sz w:val="24"/>
          <w:szCs w:val="24"/>
        </w:rPr>
        <w:t>ase of Palestine, Jordan &amp; Israel</w:t>
      </w:r>
      <w:r>
        <w:rPr>
          <w:rFonts w:asciiTheme="majorBidi" w:hAnsiTheme="majorBidi" w:cstheme="majorBidi"/>
          <w:sz w:val="24"/>
          <w:szCs w:val="24"/>
        </w:rPr>
        <w:t>",</w:t>
      </w:r>
      <w:r w:rsidRPr="00D14011">
        <w:rPr>
          <w:rFonts w:asciiTheme="majorBidi" w:hAnsiTheme="majorBidi" w:cstheme="majorBidi"/>
          <w:sz w:val="24"/>
          <w:szCs w:val="24"/>
        </w:rPr>
        <w:t xml:space="preserve"> International Business Research,</w:t>
      </w:r>
      <w:r>
        <w:rPr>
          <w:rFonts w:asciiTheme="majorBidi" w:hAnsiTheme="majorBidi" w:cstheme="majorBidi"/>
          <w:sz w:val="24"/>
          <w:szCs w:val="24"/>
        </w:rPr>
        <w:t xml:space="preserve"> </w:t>
      </w:r>
      <w:r w:rsidRPr="00D14011">
        <w:rPr>
          <w:rFonts w:asciiTheme="majorBidi" w:hAnsiTheme="majorBidi" w:cstheme="majorBidi"/>
          <w:sz w:val="24"/>
          <w:szCs w:val="24"/>
        </w:rPr>
        <w:t>9(1),</w:t>
      </w:r>
      <w:r>
        <w:rPr>
          <w:rFonts w:asciiTheme="majorBidi" w:hAnsiTheme="majorBidi" w:cstheme="majorBidi"/>
          <w:sz w:val="24"/>
          <w:szCs w:val="24"/>
        </w:rPr>
        <w:t xml:space="preserve"> pp.</w:t>
      </w:r>
      <w:r w:rsidRPr="00D14011">
        <w:rPr>
          <w:rFonts w:asciiTheme="majorBidi" w:hAnsiTheme="majorBidi" w:cstheme="majorBidi"/>
          <w:sz w:val="24"/>
          <w:szCs w:val="24"/>
        </w:rPr>
        <w:t xml:space="preserve"> 154-164.</w:t>
      </w:r>
    </w:p>
    <w:p w14:paraId="63B6FD59"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r w:rsidRPr="006350EC">
        <w:rPr>
          <w:rFonts w:asciiTheme="majorBidi" w:hAnsiTheme="majorBidi" w:cstheme="majorBidi"/>
          <w:sz w:val="24"/>
          <w:szCs w:val="24"/>
        </w:rPr>
        <w:t>Friedman, M. (1953)</w:t>
      </w:r>
      <w:r>
        <w:rPr>
          <w:rFonts w:asciiTheme="majorBidi" w:hAnsiTheme="majorBidi" w:cstheme="majorBidi"/>
          <w:sz w:val="24"/>
          <w:szCs w:val="24"/>
        </w:rPr>
        <w:t>,</w:t>
      </w:r>
      <w:r w:rsidRPr="006350EC">
        <w:rPr>
          <w:rFonts w:asciiTheme="majorBidi" w:hAnsiTheme="majorBidi" w:cstheme="majorBidi"/>
          <w:sz w:val="24"/>
          <w:szCs w:val="24"/>
        </w:rPr>
        <w:t xml:space="preserve"> “The Case for Flexible Exchange Rates”</w:t>
      </w:r>
      <w:r>
        <w:rPr>
          <w:rFonts w:asciiTheme="majorBidi" w:hAnsiTheme="majorBidi" w:cstheme="majorBidi"/>
          <w:sz w:val="24"/>
          <w:szCs w:val="24"/>
        </w:rPr>
        <w:t>,</w:t>
      </w:r>
      <w:r w:rsidRPr="006350EC">
        <w:rPr>
          <w:rFonts w:asciiTheme="majorBidi" w:hAnsiTheme="majorBidi" w:cstheme="majorBidi"/>
          <w:sz w:val="24"/>
          <w:szCs w:val="24"/>
        </w:rPr>
        <w:t xml:space="preserve"> </w:t>
      </w:r>
      <w:r>
        <w:rPr>
          <w:rFonts w:asciiTheme="majorBidi" w:hAnsiTheme="majorBidi" w:cstheme="majorBidi"/>
          <w:sz w:val="24"/>
          <w:szCs w:val="24"/>
        </w:rPr>
        <w:t>i</w:t>
      </w:r>
      <w:r w:rsidRPr="006350EC">
        <w:rPr>
          <w:rFonts w:asciiTheme="majorBidi" w:hAnsiTheme="majorBidi" w:cstheme="majorBidi"/>
          <w:sz w:val="24"/>
          <w:szCs w:val="24"/>
        </w:rPr>
        <w:t>n M. Friedman (eds.), Essays in Positive Economics, 157-203</w:t>
      </w:r>
      <w:r>
        <w:rPr>
          <w:rFonts w:asciiTheme="majorBidi" w:hAnsiTheme="majorBidi" w:cstheme="majorBidi"/>
          <w:sz w:val="24"/>
          <w:szCs w:val="24"/>
        </w:rPr>
        <w:t>,</w:t>
      </w:r>
      <w:r w:rsidRPr="006350EC">
        <w:rPr>
          <w:rFonts w:asciiTheme="majorBidi" w:hAnsiTheme="majorBidi" w:cstheme="majorBidi"/>
          <w:sz w:val="24"/>
          <w:szCs w:val="24"/>
        </w:rPr>
        <w:t xml:space="preserve"> University of Chicago Press</w:t>
      </w:r>
      <w:r>
        <w:rPr>
          <w:rFonts w:asciiTheme="majorBidi" w:hAnsiTheme="majorBidi" w:cstheme="majorBidi"/>
          <w:sz w:val="24"/>
          <w:szCs w:val="24"/>
        </w:rPr>
        <w:t xml:space="preserve">, </w:t>
      </w:r>
      <w:r w:rsidRPr="006350EC">
        <w:rPr>
          <w:rFonts w:asciiTheme="majorBidi" w:hAnsiTheme="majorBidi" w:cstheme="majorBidi"/>
          <w:sz w:val="24"/>
          <w:szCs w:val="24"/>
        </w:rPr>
        <w:t>Chicago</w:t>
      </w:r>
      <w:r>
        <w:rPr>
          <w:rFonts w:asciiTheme="majorBidi" w:hAnsiTheme="majorBidi" w:cstheme="majorBidi"/>
          <w:sz w:val="24"/>
          <w:szCs w:val="24"/>
        </w:rPr>
        <w:t>.</w:t>
      </w:r>
    </w:p>
    <w:p w14:paraId="7E223C9C"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r w:rsidRPr="00896EF6">
        <w:rPr>
          <w:rFonts w:asciiTheme="majorBidi" w:hAnsiTheme="majorBidi" w:cstheme="majorBidi"/>
          <w:sz w:val="24"/>
          <w:szCs w:val="24"/>
        </w:rPr>
        <w:t>Gross, O</w:t>
      </w:r>
      <w:r>
        <w:rPr>
          <w:rFonts w:asciiTheme="majorBidi" w:hAnsiTheme="majorBidi" w:cstheme="majorBidi"/>
          <w:sz w:val="24"/>
          <w:szCs w:val="24"/>
        </w:rPr>
        <w:t>. (2000),</w:t>
      </w:r>
      <w:r w:rsidRPr="00896EF6">
        <w:rPr>
          <w:rFonts w:asciiTheme="majorBidi" w:hAnsiTheme="majorBidi" w:cstheme="majorBidi"/>
          <w:sz w:val="24"/>
          <w:szCs w:val="24"/>
        </w:rPr>
        <w:t xml:space="preserve"> "Mending Walls: The Economic Aspects of Israeli-Palestinian Peace"</w:t>
      </w:r>
      <w:r>
        <w:rPr>
          <w:rFonts w:asciiTheme="majorBidi" w:hAnsiTheme="majorBidi" w:cstheme="majorBidi"/>
          <w:sz w:val="24"/>
          <w:szCs w:val="24"/>
        </w:rPr>
        <w:t>,</w:t>
      </w:r>
      <w:r w:rsidRPr="00896EF6">
        <w:rPr>
          <w:rFonts w:asciiTheme="majorBidi" w:hAnsiTheme="majorBidi" w:cstheme="majorBidi"/>
          <w:sz w:val="24"/>
          <w:szCs w:val="24"/>
        </w:rPr>
        <w:t xml:space="preserve"> American University Inte</w:t>
      </w:r>
      <w:r>
        <w:rPr>
          <w:rFonts w:asciiTheme="majorBidi" w:hAnsiTheme="majorBidi" w:cstheme="majorBidi"/>
          <w:sz w:val="24"/>
          <w:szCs w:val="24"/>
        </w:rPr>
        <w:t>rnational Law Review 15(6), pp.</w:t>
      </w:r>
      <w:r w:rsidRPr="00896EF6">
        <w:rPr>
          <w:rFonts w:asciiTheme="majorBidi" w:hAnsiTheme="majorBidi" w:cstheme="majorBidi"/>
          <w:sz w:val="24"/>
          <w:szCs w:val="24"/>
        </w:rPr>
        <w:t xml:space="preserve"> 1539-1626.</w:t>
      </w:r>
    </w:p>
    <w:p w14:paraId="027C217D"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proofErr w:type="spellStart"/>
      <w:r w:rsidRPr="00717CC6">
        <w:rPr>
          <w:rFonts w:asciiTheme="majorBidi" w:hAnsiTheme="majorBidi" w:cstheme="majorBidi"/>
          <w:sz w:val="24"/>
          <w:szCs w:val="24"/>
        </w:rPr>
        <w:t>Jordà</w:t>
      </w:r>
      <w:proofErr w:type="spellEnd"/>
      <w:r w:rsidRPr="00717CC6">
        <w:rPr>
          <w:rFonts w:asciiTheme="majorBidi" w:hAnsiTheme="majorBidi" w:cstheme="majorBidi"/>
          <w:sz w:val="24"/>
          <w:szCs w:val="24"/>
        </w:rPr>
        <w:t>, Ò. (2005), "Estimation and Inference of Impulse Responses by Local Projections</w:t>
      </w:r>
      <w:r>
        <w:rPr>
          <w:rFonts w:asciiTheme="majorBidi" w:hAnsiTheme="majorBidi" w:cstheme="majorBidi"/>
          <w:sz w:val="24"/>
          <w:szCs w:val="24"/>
        </w:rPr>
        <w:t>", American Economic Review, 95</w:t>
      </w:r>
      <w:r w:rsidRPr="00717CC6">
        <w:rPr>
          <w:rFonts w:asciiTheme="majorBidi" w:hAnsiTheme="majorBidi" w:cstheme="majorBidi"/>
          <w:sz w:val="24"/>
          <w:szCs w:val="24"/>
        </w:rPr>
        <w:t>(1)</w:t>
      </w:r>
      <w:r>
        <w:rPr>
          <w:rFonts w:asciiTheme="majorBidi" w:hAnsiTheme="majorBidi" w:cstheme="majorBidi"/>
          <w:sz w:val="24"/>
          <w:szCs w:val="24"/>
        </w:rPr>
        <w:t>, pp.</w:t>
      </w:r>
      <w:r w:rsidRPr="00717CC6">
        <w:rPr>
          <w:rFonts w:asciiTheme="majorBidi" w:hAnsiTheme="majorBidi" w:cstheme="majorBidi"/>
          <w:sz w:val="24"/>
          <w:szCs w:val="24"/>
        </w:rPr>
        <w:t xml:space="preserve"> 161-182</w:t>
      </w:r>
      <w:r>
        <w:rPr>
          <w:rFonts w:asciiTheme="majorBidi" w:hAnsiTheme="majorBidi" w:cstheme="majorBidi"/>
          <w:sz w:val="24"/>
          <w:szCs w:val="24"/>
        </w:rPr>
        <w:t>.</w:t>
      </w:r>
    </w:p>
    <w:p w14:paraId="6F1D72C7"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proofErr w:type="spellStart"/>
      <w:r>
        <w:rPr>
          <w:rFonts w:asciiTheme="majorBidi" w:hAnsiTheme="majorBidi" w:cstheme="majorBidi"/>
          <w:sz w:val="24"/>
          <w:szCs w:val="24"/>
        </w:rPr>
        <w:t>Kenen</w:t>
      </w:r>
      <w:proofErr w:type="spellEnd"/>
      <w:r>
        <w:rPr>
          <w:rFonts w:asciiTheme="majorBidi" w:hAnsiTheme="majorBidi" w:cstheme="majorBidi"/>
          <w:sz w:val="24"/>
          <w:szCs w:val="24"/>
        </w:rPr>
        <w:t>, P.</w:t>
      </w:r>
      <w:r w:rsidRPr="006350EC">
        <w:rPr>
          <w:rFonts w:asciiTheme="majorBidi" w:hAnsiTheme="majorBidi" w:cstheme="majorBidi"/>
          <w:sz w:val="24"/>
          <w:szCs w:val="24"/>
        </w:rPr>
        <w:t xml:space="preserve"> </w:t>
      </w:r>
      <w:r>
        <w:rPr>
          <w:rFonts w:asciiTheme="majorBidi" w:hAnsiTheme="majorBidi" w:cstheme="majorBidi"/>
          <w:sz w:val="24"/>
          <w:szCs w:val="24"/>
        </w:rPr>
        <w:t>(</w:t>
      </w:r>
      <w:r w:rsidRPr="006350EC">
        <w:rPr>
          <w:rFonts w:asciiTheme="majorBidi" w:hAnsiTheme="majorBidi" w:cstheme="majorBidi"/>
          <w:sz w:val="24"/>
          <w:szCs w:val="24"/>
        </w:rPr>
        <w:t>1969</w:t>
      </w:r>
      <w:r>
        <w:rPr>
          <w:rFonts w:asciiTheme="majorBidi" w:hAnsiTheme="majorBidi" w:cstheme="majorBidi"/>
          <w:sz w:val="24"/>
          <w:szCs w:val="24"/>
        </w:rPr>
        <w:t>)</w:t>
      </w:r>
      <w:r w:rsidRPr="006350EC">
        <w:rPr>
          <w:rFonts w:asciiTheme="majorBidi" w:hAnsiTheme="majorBidi" w:cstheme="majorBidi"/>
          <w:sz w:val="24"/>
          <w:szCs w:val="24"/>
        </w:rPr>
        <w:t>, “The Theory of Optimum Currency Areas: An Eclectic View”</w:t>
      </w:r>
      <w:r>
        <w:rPr>
          <w:rFonts w:asciiTheme="majorBidi" w:hAnsiTheme="majorBidi" w:cstheme="majorBidi"/>
          <w:sz w:val="24"/>
          <w:szCs w:val="24"/>
        </w:rPr>
        <w:t>,</w:t>
      </w:r>
      <w:r w:rsidRPr="006350EC">
        <w:rPr>
          <w:rFonts w:asciiTheme="majorBidi" w:hAnsiTheme="majorBidi" w:cstheme="majorBidi"/>
          <w:sz w:val="24"/>
          <w:szCs w:val="24"/>
        </w:rPr>
        <w:t xml:space="preserve"> in Mundell</w:t>
      </w:r>
      <w:r>
        <w:rPr>
          <w:rFonts w:asciiTheme="majorBidi" w:hAnsiTheme="majorBidi" w:cstheme="majorBidi"/>
          <w:sz w:val="24"/>
          <w:szCs w:val="24"/>
        </w:rPr>
        <w:t>, R.</w:t>
      </w:r>
      <w:r w:rsidRPr="006350EC">
        <w:rPr>
          <w:rFonts w:asciiTheme="majorBidi" w:hAnsiTheme="majorBidi" w:cstheme="majorBidi"/>
          <w:sz w:val="24"/>
          <w:szCs w:val="24"/>
        </w:rPr>
        <w:t xml:space="preserve"> and Swoboda</w:t>
      </w:r>
      <w:r>
        <w:rPr>
          <w:rFonts w:asciiTheme="majorBidi" w:hAnsiTheme="majorBidi" w:cstheme="majorBidi"/>
          <w:sz w:val="24"/>
          <w:szCs w:val="24"/>
        </w:rPr>
        <w:t>, A.</w:t>
      </w:r>
      <w:r w:rsidRPr="006350EC">
        <w:rPr>
          <w:rFonts w:asciiTheme="majorBidi" w:hAnsiTheme="majorBidi" w:cstheme="majorBidi"/>
          <w:sz w:val="24"/>
          <w:szCs w:val="24"/>
        </w:rPr>
        <w:t xml:space="preserve"> (eds.) Monetary Problems in the International Economy, University of Chicago Press, Chicago.</w:t>
      </w:r>
    </w:p>
    <w:p w14:paraId="57C9293D"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proofErr w:type="spellStart"/>
      <w:r>
        <w:rPr>
          <w:rFonts w:asciiTheme="majorBidi" w:hAnsiTheme="majorBidi" w:cstheme="majorBidi"/>
          <w:sz w:val="24"/>
          <w:szCs w:val="24"/>
        </w:rPr>
        <w:t>Naqib</w:t>
      </w:r>
      <w:proofErr w:type="spellEnd"/>
      <w:r>
        <w:rPr>
          <w:rFonts w:asciiTheme="majorBidi" w:hAnsiTheme="majorBidi" w:cstheme="majorBidi"/>
          <w:sz w:val="24"/>
          <w:szCs w:val="24"/>
        </w:rPr>
        <w:t>, F. (20</w:t>
      </w:r>
      <w:r>
        <w:rPr>
          <w:rFonts w:asciiTheme="majorBidi" w:hAnsiTheme="majorBidi" w:cstheme="majorBidi" w:hint="cs"/>
          <w:sz w:val="24"/>
          <w:szCs w:val="24"/>
          <w:rtl/>
        </w:rPr>
        <w:t>00</w:t>
      </w:r>
      <w:r>
        <w:rPr>
          <w:rFonts w:asciiTheme="majorBidi" w:hAnsiTheme="majorBidi" w:cstheme="majorBidi"/>
          <w:sz w:val="24"/>
          <w:szCs w:val="24"/>
        </w:rPr>
        <w:t>), "</w:t>
      </w:r>
      <w:r w:rsidRPr="00E50230">
        <w:rPr>
          <w:rFonts w:asciiTheme="majorBidi" w:hAnsiTheme="majorBidi" w:cstheme="majorBidi"/>
          <w:sz w:val="24"/>
          <w:szCs w:val="24"/>
        </w:rPr>
        <w:t xml:space="preserve">Economic </w:t>
      </w:r>
      <w:r>
        <w:rPr>
          <w:rFonts w:asciiTheme="majorBidi" w:hAnsiTheme="majorBidi" w:cstheme="majorBidi"/>
          <w:sz w:val="24"/>
          <w:szCs w:val="24"/>
        </w:rPr>
        <w:t>R</w:t>
      </w:r>
      <w:r w:rsidRPr="00E50230">
        <w:rPr>
          <w:rFonts w:asciiTheme="majorBidi" w:hAnsiTheme="majorBidi" w:cstheme="majorBidi"/>
          <w:sz w:val="24"/>
          <w:szCs w:val="24"/>
        </w:rPr>
        <w:t xml:space="preserve">elations between Palestine and Israel during the </w:t>
      </w:r>
      <w:r>
        <w:rPr>
          <w:rFonts w:asciiTheme="majorBidi" w:hAnsiTheme="majorBidi" w:cstheme="majorBidi"/>
          <w:sz w:val="24"/>
          <w:szCs w:val="24"/>
        </w:rPr>
        <w:t>O</w:t>
      </w:r>
      <w:r w:rsidRPr="00E50230">
        <w:rPr>
          <w:rFonts w:asciiTheme="majorBidi" w:hAnsiTheme="majorBidi" w:cstheme="majorBidi"/>
          <w:sz w:val="24"/>
          <w:szCs w:val="24"/>
        </w:rPr>
        <w:t xml:space="preserve">ccupation </w:t>
      </w:r>
      <w:r>
        <w:rPr>
          <w:rFonts w:asciiTheme="majorBidi" w:hAnsiTheme="majorBidi" w:cstheme="majorBidi"/>
          <w:sz w:val="24"/>
          <w:szCs w:val="24"/>
        </w:rPr>
        <w:t>E</w:t>
      </w:r>
      <w:r w:rsidRPr="00E50230">
        <w:rPr>
          <w:rFonts w:asciiTheme="majorBidi" w:hAnsiTheme="majorBidi" w:cstheme="majorBidi"/>
          <w:sz w:val="24"/>
          <w:szCs w:val="24"/>
        </w:rPr>
        <w:t xml:space="preserve">ra and the </w:t>
      </w:r>
      <w:r>
        <w:rPr>
          <w:rFonts w:asciiTheme="majorBidi" w:hAnsiTheme="majorBidi" w:cstheme="majorBidi"/>
          <w:sz w:val="24"/>
          <w:szCs w:val="24"/>
        </w:rPr>
        <w:t>P</w:t>
      </w:r>
      <w:r w:rsidRPr="00E50230">
        <w:rPr>
          <w:rFonts w:asciiTheme="majorBidi" w:hAnsiTheme="majorBidi" w:cstheme="majorBidi"/>
          <w:sz w:val="24"/>
          <w:szCs w:val="24"/>
        </w:rPr>
        <w:t>eriod of</w:t>
      </w:r>
      <w:r>
        <w:rPr>
          <w:rFonts w:asciiTheme="majorBidi" w:hAnsiTheme="majorBidi" w:cstheme="majorBidi"/>
          <w:sz w:val="24"/>
          <w:szCs w:val="24"/>
        </w:rPr>
        <w:t xml:space="preserve"> L</w:t>
      </w:r>
      <w:r w:rsidRPr="00E50230">
        <w:rPr>
          <w:rFonts w:asciiTheme="majorBidi" w:hAnsiTheme="majorBidi" w:cstheme="majorBidi"/>
          <w:sz w:val="24"/>
          <w:szCs w:val="24"/>
        </w:rPr>
        <w:t xml:space="preserve">imited </w:t>
      </w:r>
      <w:r>
        <w:rPr>
          <w:rFonts w:asciiTheme="majorBidi" w:hAnsiTheme="majorBidi" w:cstheme="majorBidi"/>
          <w:sz w:val="24"/>
          <w:szCs w:val="24"/>
        </w:rPr>
        <w:t>S</w:t>
      </w:r>
      <w:r w:rsidRPr="00E50230">
        <w:rPr>
          <w:rFonts w:asciiTheme="majorBidi" w:hAnsiTheme="majorBidi" w:cstheme="majorBidi"/>
          <w:sz w:val="24"/>
          <w:szCs w:val="24"/>
        </w:rPr>
        <w:t>elf-</w:t>
      </w:r>
      <w:r>
        <w:rPr>
          <w:rFonts w:asciiTheme="majorBidi" w:hAnsiTheme="majorBidi" w:cstheme="majorBidi"/>
          <w:sz w:val="24"/>
          <w:szCs w:val="24"/>
        </w:rPr>
        <w:t>r</w:t>
      </w:r>
      <w:r w:rsidRPr="00E50230">
        <w:rPr>
          <w:rFonts w:asciiTheme="majorBidi" w:hAnsiTheme="majorBidi" w:cstheme="majorBidi"/>
          <w:sz w:val="24"/>
          <w:szCs w:val="24"/>
        </w:rPr>
        <w:t>ule</w:t>
      </w:r>
      <w:r>
        <w:rPr>
          <w:rFonts w:asciiTheme="majorBidi" w:hAnsiTheme="majorBidi" w:cstheme="majorBidi"/>
          <w:sz w:val="24"/>
          <w:szCs w:val="24"/>
        </w:rPr>
        <w:t>", working p</w:t>
      </w:r>
      <w:r w:rsidRPr="00564A21">
        <w:rPr>
          <w:rFonts w:asciiTheme="majorBidi" w:hAnsiTheme="majorBidi" w:cstheme="majorBidi"/>
          <w:sz w:val="24"/>
          <w:szCs w:val="24"/>
        </w:rPr>
        <w:t xml:space="preserve">aper </w:t>
      </w:r>
      <w:r>
        <w:rPr>
          <w:rFonts w:asciiTheme="majorBidi" w:hAnsiTheme="majorBidi" w:cstheme="majorBidi"/>
          <w:sz w:val="24"/>
          <w:szCs w:val="24"/>
        </w:rPr>
        <w:t>2015</w:t>
      </w:r>
      <w:r w:rsidRPr="00564A21">
        <w:rPr>
          <w:rFonts w:asciiTheme="majorBidi" w:hAnsiTheme="majorBidi" w:cstheme="majorBidi"/>
          <w:sz w:val="24"/>
          <w:szCs w:val="24"/>
        </w:rPr>
        <w:t>, University of Waterloo</w:t>
      </w:r>
      <w:r>
        <w:rPr>
          <w:rFonts w:asciiTheme="majorBidi" w:hAnsiTheme="majorBidi" w:cstheme="majorBidi"/>
          <w:sz w:val="24"/>
          <w:szCs w:val="24"/>
        </w:rPr>
        <w:t>,</w:t>
      </w:r>
      <w:r w:rsidRPr="00564A21">
        <w:rPr>
          <w:rFonts w:asciiTheme="majorBidi" w:hAnsiTheme="majorBidi" w:cstheme="majorBidi"/>
          <w:sz w:val="24"/>
          <w:szCs w:val="24"/>
        </w:rPr>
        <w:t xml:space="preserve"> Canada.</w:t>
      </w:r>
    </w:p>
    <w:p w14:paraId="5B3FFE1F"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r w:rsidRPr="006350EC">
        <w:rPr>
          <w:rFonts w:asciiTheme="majorBidi" w:hAnsiTheme="majorBidi" w:cstheme="majorBidi"/>
          <w:sz w:val="24"/>
          <w:szCs w:val="24"/>
        </w:rPr>
        <w:t xml:space="preserve">McKinnon, R. </w:t>
      </w:r>
      <w:r>
        <w:rPr>
          <w:rFonts w:asciiTheme="majorBidi" w:hAnsiTheme="majorBidi" w:cstheme="majorBidi"/>
          <w:sz w:val="24"/>
          <w:szCs w:val="24"/>
        </w:rPr>
        <w:t>(</w:t>
      </w:r>
      <w:r w:rsidRPr="006350EC">
        <w:rPr>
          <w:rFonts w:asciiTheme="majorBidi" w:hAnsiTheme="majorBidi" w:cstheme="majorBidi"/>
          <w:sz w:val="24"/>
          <w:szCs w:val="24"/>
        </w:rPr>
        <w:t>1963</w:t>
      </w:r>
      <w:r>
        <w:rPr>
          <w:rFonts w:asciiTheme="majorBidi" w:hAnsiTheme="majorBidi" w:cstheme="majorBidi"/>
          <w:sz w:val="24"/>
          <w:szCs w:val="24"/>
        </w:rPr>
        <w:t>)</w:t>
      </w:r>
      <w:r w:rsidRPr="006350EC">
        <w:rPr>
          <w:rFonts w:asciiTheme="majorBidi" w:hAnsiTheme="majorBidi" w:cstheme="majorBidi"/>
          <w:sz w:val="24"/>
          <w:szCs w:val="24"/>
        </w:rPr>
        <w:t>, “</w:t>
      </w:r>
      <w:r w:rsidRPr="00144ECC">
        <w:rPr>
          <w:rFonts w:asciiTheme="majorBidi" w:hAnsiTheme="majorBidi" w:cstheme="majorBidi"/>
          <w:sz w:val="24"/>
          <w:szCs w:val="24"/>
        </w:rPr>
        <w:t>Theory of Optimum Currency Area</w:t>
      </w:r>
      <w:r w:rsidRPr="006350EC">
        <w:rPr>
          <w:rFonts w:asciiTheme="majorBidi" w:hAnsiTheme="majorBidi" w:cstheme="majorBidi"/>
          <w:sz w:val="24"/>
          <w:szCs w:val="24"/>
        </w:rPr>
        <w:t xml:space="preserve">”, American Economic Review, </w:t>
      </w:r>
      <w:r>
        <w:rPr>
          <w:rFonts w:asciiTheme="majorBidi" w:hAnsiTheme="majorBidi" w:cstheme="majorBidi"/>
          <w:sz w:val="24"/>
          <w:szCs w:val="24"/>
        </w:rPr>
        <w:t>52</w:t>
      </w:r>
      <w:r w:rsidRPr="006350EC">
        <w:rPr>
          <w:rFonts w:asciiTheme="majorBidi" w:hAnsiTheme="majorBidi" w:cstheme="majorBidi"/>
          <w:sz w:val="24"/>
          <w:szCs w:val="24"/>
        </w:rPr>
        <w:t>, pp. 717-725.</w:t>
      </w:r>
    </w:p>
    <w:p w14:paraId="4104D9DB"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proofErr w:type="spellStart"/>
      <w:r w:rsidRPr="00D35668">
        <w:rPr>
          <w:rFonts w:asciiTheme="majorBidi" w:hAnsiTheme="majorBidi" w:cstheme="majorBidi"/>
          <w:sz w:val="24"/>
          <w:szCs w:val="24"/>
        </w:rPr>
        <w:t>Metzer</w:t>
      </w:r>
      <w:proofErr w:type="spellEnd"/>
      <w:r w:rsidRPr="00D35668">
        <w:rPr>
          <w:rFonts w:asciiTheme="majorBidi" w:hAnsiTheme="majorBidi" w:cstheme="majorBidi"/>
          <w:sz w:val="24"/>
          <w:szCs w:val="24"/>
        </w:rPr>
        <w:t>, J., &amp; Kaplan, O. (1985)</w:t>
      </w:r>
      <w:r>
        <w:rPr>
          <w:rFonts w:asciiTheme="majorBidi" w:hAnsiTheme="majorBidi" w:cstheme="majorBidi"/>
          <w:sz w:val="24"/>
          <w:szCs w:val="24"/>
        </w:rPr>
        <w:t>,</w:t>
      </w:r>
      <w:r w:rsidRPr="00D35668">
        <w:rPr>
          <w:rFonts w:asciiTheme="majorBidi" w:hAnsiTheme="majorBidi" w:cstheme="majorBidi"/>
          <w:sz w:val="24"/>
          <w:szCs w:val="24"/>
        </w:rPr>
        <w:t xml:space="preserve"> </w:t>
      </w:r>
      <w:r>
        <w:rPr>
          <w:rFonts w:asciiTheme="majorBidi" w:hAnsiTheme="majorBidi" w:cstheme="majorBidi"/>
          <w:sz w:val="24"/>
          <w:szCs w:val="24"/>
        </w:rPr>
        <w:t>“</w:t>
      </w:r>
      <w:r w:rsidRPr="00D35668">
        <w:rPr>
          <w:rFonts w:asciiTheme="majorBidi" w:hAnsiTheme="majorBidi" w:cstheme="majorBidi"/>
          <w:sz w:val="24"/>
          <w:szCs w:val="24"/>
        </w:rPr>
        <w:t>Jointly but severally: Arab-Jewish dualism and economic growth in mandatory Palestine</w:t>
      </w:r>
      <w:r>
        <w:rPr>
          <w:rFonts w:asciiTheme="majorBidi" w:hAnsiTheme="majorBidi" w:cstheme="majorBidi"/>
          <w:sz w:val="24"/>
          <w:szCs w:val="24"/>
        </w:rPr>
        <w:t>”,</w:t>
      </w:r>
      <w:r w:rsidRPr="00D35668">
        <w:rPr>
          <w:rFonts w:asciiTheme="majorBidi" w:hAnsiTheme="majorBidi" w:cstheme="majorBidi"/>
          <w:sz w:val="24"/>
          <w:szCs w:val="24"/>
        </w:rPr>
        <w:t xml:space="preserve"> Journal of Economic History,</w:t>
      </w:r>
      <w:r>
        <w:rPr>
          <w:rFonts w:asciiTheme="majorBidi" w:hAnsiTheme="majorBidi" w:cstheme="majorBidi"/>
          <w:sz w:val="24"/>
          <w:szCs w:val="24"/>
        </w:rPr>
        <w:t xml:space="preserve"> pp.</w:t>
      </w:r>
      <w:r w:rsidRPr="00D35668">
        <w:rPr>
          <w:rFonts w:asciiTheme="majorBidi" w:hAnsiTheme="majorBidi" w:cstheme="majorBidi"/>
          <w:sz w:val="24"/>
          <w:szCs w:val="24"/>
        </w:rPr>
        <w:t xml:space="preserve"> 327-345.</w:t>
      </w:r>
    </w:p>
    <w:p w14:paraId="7226844B" w14:textId="77777777" w:rsidR="00EA62DD" w:rsidRPr="006350EC" w:rsidRDefault="00EA62DD" w:rsidP="00EA62DD">
      <w:pPr>
        <w:autoSpaceDE w:val="0"/>
        <w:autoSpaceDN w:val="0"/>
        <w:bidi w:val="0"/>
        <w:adjustRightInd w:val="0"/>
        <w:spacing w:after="240" w:line="480" w:lineRule="auto"/>
        <w:ind w:left="360"/>
        <w:rPr>
          <w:rFonts w:asciiTheme="majorBidi" w:hAnsiTheme="majorBidi" w:cstheme="majorBidi"/>
          <w:sz w:val="24"/>
          <w:szCs w:val="24"/>
        </w:rPr>
      </w:pPr>
      <w:r w:rsidRPr="006350EC">
        <w:rPr>
          <w:rFonts w:asciiTheme="majorBidi" w:hAnsiTheme="majorBidi" w:cstheme="majorBidi"/>
          <w:sz w:val="24"/>
          <w:szCs w:val="24"/>
        </w:rPr>
        <w:t>Mundell, R.</w:t>
      </w:r>
      <w:r>
        <w:rPr>
          <w:rFonts w:asciiTheme="majorBidi" w:hAnsiTheme="majorBidi" w:cstheme="majorBidi"/>
          <w:sz w:val="24"/>
          <w:szCs w:val="24"/>
        </w:rPr>
        <w:t xml:space="preserve"> </w:t>
      </w:r>
      <w:r w:rsidRPr="006350EC">
        <w:rPr>
          <w:rFonts w:asciiTheme="majorBidi" w:hAnsiTheme="majorBidi" w:cstheme="majorBidi"/>
          <w:sz w:val="24"/>
          <w:szCs w:val="24"/>
        </w:rPr>
        <w:t>(1961), "A Theory of Optimum Currency Areas", American Economic Review</w:t>
      </w:r>
      <w:r>
        <w:rPr>
          <w:rFonts w:asciiTheme="majorBidi" w:hAnsiTheme="majorBidi" w:cstheme="majorBidi"/>
          <w:sz w:val="24"/>
          <w:szCs w:val="24"/>
        </w:rPr>
        <w:t>, 51(4), pp.</w:t>
      </w:r>
      <w:r w:rsidRPr="006350EC">
        <w:rPr>
          <w:rFonts w:asciiTheme="majorBidi" w:hAnsiTheme="majorBidi" w:cstheme="majorBidi"/>
          <w:sz w:val="24"/>
          <w:szCs w:val="24"/>
        </w:rPr>
        <w:t xml:space="preserve"> 657-665.</w:t>
      </w:r>
    </w:p>
    <w:p w14:paraId="4AAE1400" w14:textId="77777777" w:rsidR="00EA62DD" w:rsidRDefault="00EA62DD" w:rsidP="00EA62DD">
      <w:pPr>
        <w:autoSpaceDE w:val="0"/>
        <w:autoSpaceDN w:val="0"/>
        <w:bidi w:val="0"/>
        <w:adjustRightInd w:val="0"/>
        <w:spacing w:after="240" w:line="480" w:lineRule="auto"/>
        <w:ind w:left="360"/>
        <w:jc w:val="both"/>
        <w:rPr>
          <w:rFonts w:asciiTheme="majorBidi" w:hAnsiTheme="majorBidi" w:cstheme="majorBidi"/>
          <w:sz w:val="24"/>
          <w:szCs w:val="24"/>
        </w:rPr>
      </w:pPr>
      <w:r w:rsidRPr="007B745E">
        <w:rPr>
          <w:rFonts w:asciiTheme="majorBidi" w:hAnsiTheme="majorBidi" w:cstheme="majorBidi"/>
          <w:sz w:val="24"/>
          <w:szCs w:val="24"/>
        </w:rPr>
        <w:t>Mundell, R. (1997)</w:t>
      </w:r>
      <w:r>
        <w:rPr>
          <w:rFonts w:asciiTheme="majorBidi" w:hAnsiTheme="majorBidi" w:cstheme="majorBidi"/>
          <w:sz w:val="24"/>
          <w:szCs w:val="24"/>
        </w:rPr>
        <w:t>,</w:t>
      </w:r>
      <w:r w:rsidRPr="007B745E">
        <w:rPr>
          <w:rFonts w:asciiTheme="majorBidi" w:hAnsiTheme="majorBidi" w:cstheme="majorBidi"/>
          <w:sz w:val="24"/>
          <w:szCs w:val="24"/>
        </w:rPr>
        <w:t xml:space="preserve"> </w:t>
      </w:r>
      <w:r>
        <w:rPr>
          <w:rFonts w:asciiTheme="majorBidi" w:hAnsiTheme="majorBidi" w:cstheme="majorBidi"/>
          <w:sz w:val="24"/>
          <w:szCs w:val="24"/>
        </w:rPr>
        <w:t>"</w:t>
      </w:r>
      <w:r w:rsidRPr="007B745E">
        <w:rPr>
          <w:rFonts w:asciiTheme="majorBidi" w:hAnsiTheme="majorBidi" w:cstheme="majorBidi"/>
          <w:sz w:val="24"/>
          <w:szCs w:val="24"/>
        </w:rPr>
        <w:t xml:space="preserve">Currency </w:t>
      </w:r>
      <w:r>
        <w:rPr>
          <w:rFonts w:asciiTheme="majorBidi" w:hAnsiTheme="majorBidi" w:cstheme="majorBidi"/>
          <w:sz w:val="24"/>
          <w:szCs w:val="24"/>
        </w:rPr>
        <w:t>A</w:t>
      </w:r>
      <w:r w:rsidRPr="007B745E">
        <w:rPr>
          <w:rFonts w:asciiTheme="majorBidi" w:hAnsiTheme="majorBidi" w:cstheme="majorBidi"/>
          <w:sz w:val="24"/>
          <w:szCs w:val="24"/>
        </w:rPr>
        <w:t xml:space="preserve">reas, </w:t>
      </w:r>
      <w:r>
        <w:rPr>
          <w:rFonts w:asciiTheme="majorBidi" w:hAnsiTheme="majorBidi" w:cstheme="majorBidi"/>
          <w:sz w:val="24"/>
          <w:szCs w:val="24"/>
        </w:rPr>
        <w:t>C</w:t>
      </w:r>
      <w:r w:rsidRPr="007B745E">
        <w:rPr>
          <w:rFonts w:asciiTheme="majorBidi" w:hAnsiTheme="majorBidi" w:cstheme="majorBidi"/>
          <w:sz w:val="24"/>
          <w:szCs w:val="24"/>
        </w:rPr>
        <w:t xml:space="preserve">ommon </w:t>
      </w:r>
      <w:r>
        <w:rPr>
          <w:rFonts w:asciiTheme="majorBidi" w:hAnsiTheme="majorBidi" w:cstheme="majorBidi"/>
          <w:sz w:val="24"/>
          <w:szCs w:val="24"/>
        </w:rPr>
        <w:t>C</w:t>
      </w:r>
      <w:r w:rsidRPr="007B745E">
        <w:rPr>
          <w:rFonts w:asciiTheme="majorBidi" w:hAnsiTheme="majorBidi" w:cstheme="majorBidi"/>
          <w:sz w:val="24"/>
          <w:szCs w:val="24"/>
        </w:rPr>
        <w:t>urrencies, and EMU</w:t>
      </w:r>
      <w:r>
        <w:rPr>
          <w:rFonts w:asciiTheme="majorBidi" w:hAnsiTheme="majorBidi" w:cstheme="majorBidi"/>
          <w:sz w:val="24"/>
          <w:szCs w:val="24"/>
        </w:rPr>
        <w:t>",</w:t>
      </w:r>
      <w:r w:rsidRPr="007B745E">
        <w:rPr>
          <w:rFonts w:asciiTheme="majorBidi" w:hAnsiTheme="majorBidi" w:cstheme="majorBidi"/>
          <w:sz w:val="24"/>
          <w:szCs w:val="24"/>
        </w:rPr>
        <w:t xml:space="preserve"> American Economic Review, 87(2),</w:t>
      </w:r>
      <w:r>
        <w:rPr>
          <w:rFonts w:asciiTheme="majorBidi" w:hAnsiTheme="majorBidi" w:cstheme="majorBidi"/>
          <w:sz w:val="24"/>
          <w:szCs w:val="24"/>
        </w:rPr>
        <w:t xml:space="preserve"> pp.</w:t>
      </w:r>
      <w:r w:rsidRPr="007B745E">
        <w:rPr>
          <w:rFonts w:asciiTheme="majorBidi" w:hAnsiTheme="majorBidi" w:cstheme="majorBidi"/>
          <w:sz w:val="24"/>
          <w:szCs w:val="24"/>
        </w:rPr>
        <w:t xml:space="preserve"> 214-216.</w:t>
      </w:r>
    </w:p>
    <w:p w14:paraId="13422D6D" w14:textId="77777777" w:rsidR="00EA62DD" w:rsidRDefault="00EA62DD" w:rsidP="00EA62DD">
      <w:pPr>
        <w:tabs>
          <w:tab w:val="right" w:pos="2835"/>
        </w:tabs>
        <w:autoSpaceDE w:val="0"/>
        <w:autoSpaceDN w:val="0"/>
        <w:bidi w:val="0"/>
        <w:adjustRightInd w:val="0"/>
        <w:spacing w:after="240" w:line="480" w:lineRule="auto"/>
        <w:ind w:left="360"/>
        <w:rPr>
          <w:rFonts w:asciiTheme="majorBidi" w:hAnsiTheme="majorBidi" w:cstheme="majorBidi"/>
          <w:sz w:val="24"/>
          <w:szCs w:val="24"/>
        </w:rPr>
      </w:pPr>
      <w:r w:rsidRPr="002A3480">
        <w:rPr>
          <w:rFonts w:asciiTheme="majorBidi" w:hAnsiTheme="majorBidi" w:cstheme="majorBidi"/>
          <w:sz w:val="24"/>
          <w:szCs w:val="24"/>
        </w:rPr>
        <w:t>Organization for Economic Co-operation and Development (OECD) (2008)</w:t>
      </w:r>
      <w:r>
        <w:rPr>
          <w:rFonts w:asciiTheme="majorBidi" w:hAnsiTheme="majorBidi" w:cstheme="majorBidi"/>
          <w:sz w:val="24"/>
          <w:szCs w:val="24"/>
        </w:rPr>
        <w:t>,</w:t>
      </w:r>
      <w:r w:rsidRPr="002A3480">
        <w:rPr>
          <w:rFonts w:asciiTheme="majorBidi" w:hAnsiTheme="majorBidi" w:cstheme="majorBidi"/>
          <w:sz w:val="24"/>
          <w:szCs w:val="24"/>
        </w:rPr>
        <w:t xml:space="preserve"> Handbook on Constructing Composite Indicators: Methodology and Users Guide (Paris: OECD).</w:t>
      </w:r>
    </w:p>
    <w:p w14:paraId="6CD577E0" w14:textId="77777777" w:rsidR="00EA62DD" w:rsidRPr="00E457A4" w:rsidRDefault="00EA62DD" w:rsidP="00EA62DD">
      <w:pPr>
        <w:autoSpaceDE w:val="0"/>
        <w:autoSpaceDN w:val="0"/>
        <w:bidi w:val="0"/>
        <w:adjustRightInd w:val="0"/>
        <w:spacing w:after="240" w:line="480" w:lineRule="auto"/>
        <w:ind w:left="360"/>
        <w:rPr>
          <w:rFonts w:asciiTheme="majorBidi" w:hAnsiTheme="majorBidi" w:cstheme="majorBidi"/>
          <w:sz w:val="24"/>
          <w:szCs w:val="24"/>
        </w:rPr>
      </w:pPr>
      <w:r w:rsidRPr="00E457A4">
        <w:rPr>
          <w:rFonts w:asciiTheme="majorBidi" w:hAnsiTheme="majorBidi" w:cstheme="majorBidi"/>
          <w:sz w:val="24"/>
          <w:szCs w:val="24"/>
        </w:rPr>
        <w:t xml:space="preserve">Wazir, J., </w:t>
      </w:r>
      <w:proofErr w:type="spellStart"/>
      <w:r w:rsidRPr="00E457A4">
        <w:rPr>
          <w:rFonts w:asciiTheme="majorBidi" w:hAnsiTheme="majorBidi" w:cstheme="majorBidi"/>
          <w:sz w:val="24"/>
          <w:szCs w:val="24"/>
        </w:rPr>
        <w:t>Atallah</w:t>
      </w:r>
      <w:proofErr w:type="spellEnd"/>
      <w:r w:rsidRPr="00E457A4">
        <w:rPr>
          <w:rFonts w:asciiTheme="majorBidi" w:hAnsiTheme="majorBidi" w:cstheme="majorBidi"/>
          <w:sz w:val="24"/>
          <w:szCs w:val="24"/>
        </w:rPr>
        <w:t xml:space="preserve">, M. and </w:t>
      </w:r>
      <w:proofErr w:type="spellStart"/>
      <w:r w:rsidRPr="00E457A4">
        <w:rPr>
          <w:rFonts w:asciiTheme="majorBidi" w:hAnsiTheme="majorBidi" w:cstheme="majorBidi"/>
          <w:sz w:val="24"/>
          <w:szCs w:val="24"/>
        </w:rPr>
        <w:t>Sarsour</w:t>
      </w:r>
      <w:proofErr w:type="spellEnd"/>
      <w:r w:rsidRPr="00E457A4">
        <w:rPr>
          <w:rFonts w:asciiTheme="majorBidi" w:hAnsiTheme="majorBidi" w:cstheme="majorBidi"/>
          <w:sz w:val="24"/>
          <w:szCs w:val="24"/>
        </w:rPr>
        <w:t>, S. (2011), “From Occupation to an Independent</w:t>
      </w:r>
      <w:r>
        <w:rPr>
          <w:rFonts w:asciiTheme="majorBidi" w:hAnsiTheme="majorBidi" w:cstheme="majorBidi"/>
          <w:sz w:val="24"/>
          <w:szCs w:val="24"/>
        </w:rPr>
        <w:t xml:space="preserve"> </w:t>
      </w:r>
      <w:r w:rsidRPr="00E457A4">
        <w:rPr>
          <w:rFonts w:asciiTheme="majorBidi" w:hAnsiTheme="majorBidi" w:cstheme="majorBidi"/>
          <w:sz w:val="24"/>
          <w:szCs w:val="24"/>
        </w:rPr>
        <w:t xml:space="preserve">Monetary Policy”, in Money in the Middle East and North Africa, edited by a D. </w:t>
      </w:r>
      <w:proofErr w:type="spellStart"/>
      <w:r w:rsidRPr="00E457A4">
        <w:rPr>
          <w:rFonts w:asciiTheme="majorBidi" w:hAnsiTheme="majorBidi" w:cstheme="majorBidi"/>
          <w:sz w:val="24"/>
          <w:szCs w:val="24"/>
        </w:rPr>
        <w:t>Cobham</w:t>
      </w:r>
      <w:proofErr w:type="spellEnd"/>
      <w:r>
        <w:rPr>
          <w:rFonts w:asciiTheme="majorBidi" w:hAnsiTheme="majorBidi" w:cstheme="majorBidi"/>
          <w:sz w:val="24"/>
          <w:szCs w:val="24"/>
        </w:rPr>
        <w:t xml:space="preserve"> </w:t>
      </w:r>
      <w:r w:rsidRPr="00E457A4">
        <w:rPr>
          <w:rFonts w:asciiTheme="majorBidi" w:hAnsiTheme="majorBidi" w:cstheme="majorBidi"/>
          <w:sz w:val="24"/>
          <w:szCs w:val="24"/>
        </w:rPr>
        <w:t xml:space="preserve">and G. </w:t>
      </w:r>
      <w:proofErr w:type="spellStart"/>
      <w:r w:rsidRPr="00E457A4">
        <w:rPr>
          <w:rFonts w:asciiTheme="majorBidi" w:hAnsiTheme="majorBidi" w:cstheme="majorBidi"/>
          <w:sz w:val="24"/>
          <w:szCs w:val="24"/>
        </w:rPr>
        <w:t>Dibeh</w:t>
      </w:r>
      <w:proofErr w:type="spellEnd"/>
      <w:r>
        <w:rPr>
          <w:rFonts w:asciiTheme="majorBidi" w:hAnsiTheme="majorBidi" w:cstheme="majorBidi"/>
          <w:sz w:val="24"/>
          <w:szCs w:val="24"/>
        </w:rPr>
        <w:t>,</w:t>
      </w:r>
      <w:r w:rsidRPr="00E457A4">
        <w:rPr>
          <w:rFonts w:asciiTheme="majorBidi" w:hAnsiTheme="majorBidi" w:cstheme="majorBidi"/>
          <w:sz w:val="24"/>
          <w:szCs w:val="24"/>
        </w:rPr>
        <w:t xml:space="preserve"> Routledge</w:t>
      </w:r>
      <w:r>
        <w:rPr>
          <w:rFonts w:asciiTheme="majorBidi" w:hAnsiTheme="majorBidi" w:cstheme="majorBidi"/>
          <w:sz w:val="24"/>
          <w:szCs w:val="24"/>
        </w:rPr>
        <w:t>, New York.</w:t>
      </w:r>
    </w:p>
    <w:p w14:paraId="5464BEF0"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r w:rsidRPr="0026796C">
        <w:rPr>
          <w:rFonts w:asciiTheme="majorBidi" w:hAnsiTheme="majorBidi" w:cstheme="majorBidi"/>
          <w:sz w:val="24"/>
          <w:szCs w:val="24"/>
        </w:rPr>
        <w:t>Rivera-</w:t>
      </w:r>
      <w:proofErr w:type="spellStart"/>
      <w:r w:rsidRPr="0026796C">
        <w:rPr>
          <w:rFonts w:asciiTheme="majorBidi" w:hAnsiTheme="majorBidi" w:cstheme="majorBidi"/>
          <w:sz w:val="24"/>
          <w:szCs w:val="24"/>
        </w:rPr>
        <w:t>Bati</w:t>
      </w:r>
      <w:r>
        <w:rPr>
          <w:rFonts w:asciiTheme="majorBidi" w:hAnsiTheme="majorBidi" w:cstheme="majorBidi"/>
          <w:sz w:val="24"/>
          <w:szCs w:val="24"/>
        </w:rPr>
        <w:t>z</w:t>
      </w:r>
      <w:proofErr w:type="spellEnd"/>
      <w:r>
        <w:rPr>
          <w:rFonts w:asciiTheme="majorBidi" w:hAnsiTheme="majorBidi" w:cstheme="majorBidi"/>
          <w:sz w:val="24"/>
          <w:szCs w:val="24"/>
        </w:rPr>
        <w:t>, L., &amp; Romer, P. (1991), "</w:t>
      </w:r>
      <w:r w:rsidRPr="0026796C">
        <w:rPr>
          <w:rFonts w:asciiTheme="majorBidi" w:hAnsiTheme="majorBidi" w:cstheme="majorBidi"/>
          <w:sz w:val="24"/>
          <w:szCs w:val="24"/>
        </w:rPr>
        <w:t xml:space="preserve">Economic </w:t>
      </w:r>
      <w:r>
        <w:rPr>
          <w:rFonts w:asciiTheme="majorBidi" w:hAnsiTheme="majorBidi" w:cstheme="majorBidi"/>
          <w:sz w:val="24"/>
          <w:szCs w:val="24"/>
        </w:rPr>
        <w:t>I</w:t>
      </w:r>
      <w:r w:rsidRPr="0026796C">
        <w:rPr>
          <w:rFonts w:asciiTheme="majorBidi" w:hAnsiTheme="majorBidi" w:cstheme="majorBidi"/>
          <w:sz w:val="24"/>
          <w:szCs w:val="24"/>
        </w:rPr>
        <w:t xml:space="preserve">ntegration and </w:t>
      </w:r>
      <w:r>
        <w:rPr>
          <w:rFonts w:asciiTheme="majorBidi" w:hAnsiTheme="majorBidi" w:cstheme="majorBidi"/>
          <w:sz w:val="24"/>
          <w:szCs w:val="24"/>
        </w:rPr>
        <w:t>E</w:t>
      </w:r>
      <w:r w:rsidRPr="0026796C">
        <w:rPr>
          <w:rFonts w:asciiTheme="majorBidi" w:hAnsiTheme="majorBidi" w:cstheme="majorBidi"/>
          <w:sz w:val="24"/>
          <w:szCs w:val="24"/>
        </w:rPr>
        <w:t xml:space="preserve">ndogenous </w:t>
      </w:r>
      <w:r>
        <w:rPr>
          <w:rFonts w:asciiTheme="majorBidi" w:hAnsiTheme="majorBidi" w:cstheme="majorBidi"/>
          <w:sz w:val="24"/>
          <w:szCs w:val="24"/>
        </w:rPr>
        <w:t>G</w:t>
      </w:r>
      <w:r w:rsidRPr="0026796C">
        <w:rPr>
          <w:rFonts w:asciiTheme="majorBidi" w:hAnsiTheme="majorBidi" w:cstheme="majorBidi"/>
          <w:sz w:val="24"/>
          <w:szCs w:val="24"/>
        </w:rPr>
        <w:t>rowth</w:t>
      </w:r>
      <w:r>
        <w:rPr>
          <w:rFonts w:asciiTheme="majorBidi" w:hAnsiTheme="majorBidi" w:cstheme="majorBidi"/>
          <w:sz w:val="24"/>
          <w:szCs w:val="24"/>
        </w:rPr>
        <w:t>",</w:t>
      </w:r>
      <w:r w:rsidRPr="0026796C">
        <w:rPr>
          <w:rFonts w:asciiTheme="majorBidi" w:hAnsiTheme="majorBidi" w:cstheme="majorBidi"/>
          <w:sz w:val="24"/>
          <w:szCs w:val="24"/>
        </w:rPr>
        <w:t> The Quarte</w:t>
      </w:r>
      <w:r>
        <w:rPr>
          <w:rFonts w:asciiTheme="majorBidi" w:hAnsiTheme="majorBidi" w:cstheme="majorBidi"/>
          <w:sz w:val="24"/>
          <w:szCs w:val="24"/>
        </w:rPr>
        <w:t>rly Journal of Economics, 106(2)</w:t>
      </w:r>
      <w:r w:rsidRPr="0026796C">
        <w:rPr>
          <w:rFonts w:asciiTheme="majorBidi" w:hAnsiTheme="majorBidi" w:cstheme="majorBidi"/>
          <w:sz w:val="24"/>
          <w:szCs w:val="24"/>
        </w:rPr>
        <w:t>,</w:t>
      </w:r>
      <w:r>
        <w:rPr>
          <w:rFonts w:asciiTheme="majorBidi" w:hAnsiTheme="majorBidi" w:cstheme="majorBidi"/>
          <w:sz w:val="24"/>
          <w:szCs w:val="24"/>
        </w:rPr>
        <w:t xml:space="preserve"> pp.</w:t>
      </w:r>
      <w:r w:rsidRPr="0026796C">
        <w:rPr>
          <w:rFonts w:asciiTheme="majorBidi" w:hAnsiTheme="majorBidi" w:cstheme="majorBidi"/>
          <w:sz w:val="24"/>
          <w:szCs w:val="24"/>
        </w:rPr>
        <w:t xml:space="preserve"> 531-555.</w:t>
      </w:r>
    </w:p>
    <w:p w14:paraId="37FDF30D" w14:textId="77777777" w:rsidR="00EA62DD" w:rsidRPr="0026796C" w:rsidRDefault="00EA62DD" w:rsidP="00EA62DD">
      <w:pPr>
        <w:autoSpaceDE w:val="0"/>
        <w:autoSpaceDN w:val="0"/>
        <w:bidi w:val="0"/>
        <w:adjustRightInd w:val="0"/>
        <w:spacing w:after="240" w:line="480" w:lineRule="auto"/>
        <w:ind w:left="360"/>
        <w:rPr>
          <w:rFonts w:asciiTheme="majorBidi" w:hAnsiTheme="majorBidi" w:cstheme="majorBidi"/>
          <w:sz w:val="24"/>
          <w:szCs w:val="24"/>
        </w:rPr>
      </w:pPr>
      <w:r w:rsidRPr="00461C3F">
        <w:rPr>
          <w:rFonts w:asciiTheme="majorBidi" w:hAnsiTheme="majorBidi" w:cstheme="majorBidi"/>
          <w:sz w:val="24"/>
          <w:szCs w:val="24"/>
        </w:rPr>
        <w:t>Rodrik, D. (2000)</w:t>
      </w:r>
      <w:r>
        <w:rPr>
          <w:rFonts w:asciiTheme="majorBidi" w:hAnsiTheme="majorBidi" w:cstheme="majorBidi"/>
          <w:sz w:val="24"/>
          <w:szCs w:val="24"/>
        </w:rPr>
        <w:t>,</w:t>
      </w:r>
      <w:r w:rsidRPr="00461C3F">
        <w:rPr>
          <w:rFonts w:asciiTheme="majorBidi" w:hAnsiTheme="majorBidi" w:cstheme="majorBidi"/>
          <w:sz w:val="24"/>
          <w:szCs w:val="24"/>
        </w:rPr>
        <w:t xml:space="preserve"> </w:t>
      </w:r>
      <w:r>
        <w:rPr>
          <w:rFonts w:asciiTheme="majorBidi" w:hAnsiTheme="majorBidi" w:cstheme="majorBidi"/>
          <w:sz w:val="24"/>
          <w:szCs w:val="24"/>
        </w:rPr>
        <w:t>“</w:t>
      </w:r>
      <w:r w:rsidRPr="00461C3F">
        <w:rPr>
          <w:rFonts w:asciiTheme="majorBidi" w:hAnsiTheme="majorBidi" w:cstheme="majorBidi"/>
          <w:sz w:val="24"/>
          <w:szCs w:val="24"/>
        </w:rPr>
        <w:t>How far will international economic integration go?</w:t>
      </w:r>
      <w:r>
        <w:rPr>
          <w:rFonts w:asciiTheme="majorBidi" w:hAnsiTheme="majorBidi" w:cstheme="majorBidi"/>
          <w:sz w:val="24"/>
          <w:szCs w:val="24"/>
        </w:rPr>
        <w:t>”,</w:t>
      </w:r>
      <w:r w:rsidRPr="00461C3F">
        <w:rPr>
          <w:rFonts w:asciiTheme="majorBidi" w:hAnsiTheme="majorBidi" w:cstheme="majorBidi"/>
          <w:sz w:val="24"/>
          <w:szCs w:val="24"/>
        </w:rPr>
        <w:t xml:space="preserve"> Journal of economic perspectives, 14(1),</w:t>
      </w:r>
      <w:r>
        <w:rPr>
          <w:rFonts w:asciiTheme="majorBidi" w:hAnsiTheme="majorBidi" w:cstheme="majorBidi"/>
          <w:sz w:val="24"/>
          <w:szCs w:val="24"/>
        </w:rPr>
        <w:t xml:space="preserve"> pp.</w:t>
      </w:r>
      <w:r w:rsidRPr="00461C3F">
        <w:rPr>
          <w:rFonts w:asciiTheme="majorBidi" w:hAnsiTheme="majorBidi" w:cstheme="majorBidi"/>
          <w:sz w:val="24"/>
          <w:szCs w:val="24"/>
        </w:rPr>
        <w:t xml:space="preserve"> 177-186.</w:t>
      </w:r>
    </w:p>
    <w:p w14:paraId="246208D9"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proofErr w:type="spellStart"/>
      <w:r>
        <w:rPr>
          <w:rFonts w:asciiTheme="majorBidi" w:hAnsiTheme="majorBidi" w:cstheme="majorBidi"/>
          <w:sz w:val="24"/>
          <w:szCs w:val="24"/>
        </w:rPr>
        <w:t>Sarsour</w:t>
      </w:r>
      <w:proofErr w:type="spellEnd"/>
      <w:r>
        <w:rPr>
          <w:rFonts w:asciiTheme="majorBidi" w:hAnsiTheme="majorBidi" w:cstheme="majorBidi"/>
          <w:sz w:val="24"/>
          <w:szCs w:val="24"/>
        </w:rPr>
        <w:t>, S. (2012),</w:t>
      </w:r>
      <w:r w:rsidRPr="002A3480">
        <w:rPr>
          <w:rFonts w:asciiTheme="majorBidi" w:hAnsiTheme="majorBidi" w:cstheme="majorBidi"/>
          <w:sz w:val="24"/>
          <w:szCs w:val="24"/>
        </w:rPr>
        <w:t xml:space="preserve"> </w:t>
      </w:r>
      <w:r>
        <w:rPr>
          <w:rFonts w:asciiTheme="majorBidi" w:hAnsiTheme="majorBidi" w:cstheme="majorBidi"/>
          <w:sz w:val="24"/>
          <w:szCs w:val="24"/>
        </w:rPr>
        <w:t>"</w:t>
      </w:r>
      <w:r w:rsidRPr="002A3480">
        <w:rPr>
          <w:rFonts w:asciiTheme="majorBidi" w:hAnsiTheme="majorBidi" w:cstheme="majorBidi"/>
          <w:sz w:val="24"/>
          <w:szCs w:val="24"/>
        </w:rPr>
        <w:t xml:space="preserve">Analyzing </w:t>
      </w:r>
      <w:r>
        <w:rPr>
          <w:rFonts w:asciiTheme="majorBidi" w:hAnsiTheme="majorBidi" w:cstheme="majorBidi"/>
          <w:sz w:val="24"/>
          <w:szCs w:val="24"/>
        </w:rPr>
        <w:t>t</w:t>
      </w:r>
      <w:r w:rsidRPr="002A3480">
        <w:rPr>
          <w:rFonts w:asciiTheme="majorBidi" w:hAnsiTheme="majorBidi" w:cstheme="majorBidi"/>
          <w:sz w:val="24"/>
          <w:szCs w:val="24"/>
        </w:rPr>
        <w:t xml:space="preserve">he Transmission Mechanisms </w:t>
      </w:r>
      <w:r>
        <w:rPr>
          <w:rFonts w:asciiTheme="majorBidi" w:hAnsiTheme="majorBidi" w:cstheme="majorBidi"/>
          <w:sz w:val="24"/>
          <w:szCs w:val="24"/>
        </w:rPr>
        <w:t>o</w:t>
      </w:r>
      <w:r w:rsidRPr="002A3480">
        <w:rPr>
          <w:rFonts w:asciiTheme="majorBidi" w:hAnsiTheme="majorBidi" w:cstheme="majorBidi"/>
          <w:sz w:val="24"/>
          <w:szCs w:val="24"/>
        </w:rPr>
        <w:t xml:space="preserve">f Monetary Policy </w:t>
      </w:r>
      <w:r>
        <w:rPr>
          <w:rFonts w:asciiTheme="majorBidi" w:hAnsiTheme="majorBidi" w:cstheme="majorBidi"/>
          <w:sz w:val="24"/>
          <w:szCs w:val="24"/>
        </w:rPr>
        <w:t>i</w:t>
      </w:r>
      <w:r w:rsidRPr="002A3480">
        <w:rPr>
          <w:rFonts w:asciiTheme="majorBidi" w:hAnsiTheme="majorBidi" w:cstheme="majorBidi"/>
          <w:sz w:val="24"/>
          <w:szCs w:val="24"/>
        </w:rPr>
        <w:t xml:space="preserve">n </w:t>
      </w:r>
      <w:r>
        <w:rPr>
          <w:rFonts w:asciiTheme="majorBidi" w:hAnsiTheme="majorBidi" w:cstheme="majorBidi"/>
          <w:sz w:val="24"/>
          <w:szCs w:val="24"/>
        </w:rPr>
        <w:t>t</w:t>
      </w:r>
      <w:r w:rsidRPr="002A3480">
        <w:rPr>
          <w:rFonts w:asciiTheme="majorBidi" w:hAnsiTheme="majorBidi" w:cstheme="majorBidi"/>
          <w:sz w:val="24"/>
          <w:szCs w:val="24"/>
        </w:rPr>
        <w:t xml:space="preserve">he Absence </w:t>
      </w:r>
      <w:r>
        <w:rPr>
          <w:rFonts w:asciiTheme="majorBidi" w:hAnsiTheme="majorBidi" w:cstheme="majorBidi"/>
          <w:sz w:val="24"/>
          <w:szCs w:val="24"/>
        </w:rPr>
        <w:t>o</w:t>
      </w:r>
      <w:r w:rsidRPr="002A3480">
        <w:rPr>
          <w:rFonts w:asciiTheme="majorBidi" w:hAnsiTheme="majorBidi" w:cstheme="majorBidi"/>
          <w:sz w:val="24"/>
          <w:szCs w:val="24"/>
        </w:rPr>
        <w:t xml:space="preserve">f </w:t>
      </w:r>
      <w:r>
        <w:rPr>
          <w:rFonts w:asciiTheme="majorBidi" w:hAnsiTheme="majorBidi" w:cstheme="majorBidi"/>
          <w:sz w:val="24"/>
          <w:szCs w:val="24"/>
        </w:rPr>
        <w:t>a</w:t>
      </w:r>
      <w:r w:rsidRPr="002A3480">
        <w:rPr>
          <w:rFonts w:asciiTheme="majorBidi" w:hAnsiTheme="majorBidi" w:cstheme="majorBidi"/>
          <w:sz w:val="24"/>
          <w:szCs w:val="24"/>
        </w:rPr>
        <w:t xml:space="preserve"> National Currency: The Palestinian Case</w:t>
      </w:r>
      <w:r>
        <w:rPr>
          <w:rFonts w:asciiTheme="majorBidi" w:hAnsiTheme="majorBidi" w:cstheme="majorBidi"/>
          <w:sz w:val="24"/>
          <w:szCs w:val="24"/>
        </w:rPr>
        <w:t>",</w:t>
      </w:r>
      <w:r w:rsidRPr="002A3480">
        <w:rPr>
          <w:rFonts w:asciiTheme="majorBidi" w:hAnsiTheme="majorBidi" w:cstheme="majorBidi"/>
          <w:sz w:val="24"/>
          <w:szCs w:val="24"/>
        </w:rPr>
        <w:t xml:space="preserve"> Middle East Development </w:t>
      </w:r>
      <w:r>
        <w:rPr>
          <w:rFonts w:asciiTheme="majorBidi" w:hAnsiTheme="majorBidi" w:cstheme="majorBidi"/>
          <w:sz w:val="24"/>
          <w:szCs w:val="24"/>
        </w:rPr>
        <w:t xml:space="preserve">Journal, 4, pp. </w:t>
      </w:r>
      <w:r w:rsidRPr="00377B68">
        <w:rPr>
          <w:rFonts w:asciiTheme="majorBidi" w:hAnsiTheme="majorBidi" w:cstheme="majorBidi"/>
          <w:sz w:val="24"/>
          <w:szCs w:val="24"/>
        </w:rPr>
        <w:t>1-</w:t>
      </w:r>
      <w:r>
        <w:rPr>
          <w:rFonts w:asciiTheme="majorBidi" w:hAnsiTheme="majorBidi" w:cstheme="majorBidi"/>
          <w:sz w:val="24"/>
          <w:szCs w:val="24"/>
        </w:rPr>
        <w:t xml:space="preserve"> </w:t>
      </w:r>
      <w:r w:rsidRPr="00377B68">
        <w:rPr>
          <w:rFonts w:asciiTheme="majorBidi" w:hAnsiTheme="majorBidi" w:cstheme="majorBidi"/>
          <w:sz w:val="24"/>
          <w:szCs w:val="24"/>
        </w:rPr>
        <w:t>30</w:t>
      </w:r>
      <w:r>
        <w:rPr>
          <w:rFonts w:asciiTheme="majorBidi" w:hAnsiTheme="majorBidi" w:cstheme="majorBidi"/>
          <w:sz w:val="24"/>
          <w:szCs w:val="24"/>
        </w:rPr>
        <w:t>.</w:t>
      </w:r>
    </w:p>
    <w:p w14:paraId="5FFA3F7A" w14:textId="77777777" w:rsidR="00EA62DD" w:rsidRDefault="00EA62DD" w:rsidP="00EA62DD">
      <w:pPr>
        <w:autoSpaceDE w:val="0"/>
        <w:autoSpaceDN w:val="0"/>
        <w:bidi w:val="0"/>
        <w:adjustRightInd w:val="0"/>
        <w:spacing w:after="240" w:line="480" w:lineRule="auto"/>
        <w:ind w:left="360"/>
        <w:rPr>
          <w:rFonts w:asciiTheme="majorBidi" w:hAnsiTheme="majorBidi" w:cstheme="majorBidi"/>
          <w:sz w:val="24"/>
          <w:szCs w:val="24"/>
        </w:rPr>
      </w:pPr>
      <w:proofErr w:type="spellStart"/>
      <w:r>
        <w:t>Nardo</w:t>
      </w:r>
      <w:proofErr w:type="spellEnd"/>
      <w:r>
        <w:t xml:space="preserve">, M., </w:t>
      </w:r>
      <w:proofErr w:type="spellStart"/>
      <w:r>
        <w:t>Saisana</w:t>
      </w:r>
      <w:proofErr w:type="spellEnd"/>
      <w:r>
        <w:t xml:space="preserve">, M., </w:t>
      </w:r>
      <w:proofErr w:type="spellStart"/>
      <w:r>
        <w:t>Saltelli</w:t>
      </w:r>
      <w:proofErr w:type="spellEnd"/>
      <w:r>
        <w:t xml:space="preserve">, A., </w:t>
      </w:r>
      <w:proofErr w:type="spellStart"/>
      <w:r>
        <w:t>Tarantola</w:t>
      </w:r>
      <w:proofErr w:type="spellEnd"/>
      <w:r>
        <w:t xml:space="preserve">, S., Hoffman, A., &amp; </w:t>
      </w:r>
      <w:proofErr w:type="spellStart"/>
      <w:r>
        <w:t>Giovannini</w:t>
      </w:r>
      <w:proofErr w:type="spellEnd"/>
      <w:r>
        <w:t>, E. (2005). Handbook on Constructing Composite Indicators. https://doi.org/10.1787/533411815016</w:t>
      </w:r>
    </w:p>
    <w:p w14:paraId="1E621293" w14:textId="77777777" w:rsidR="00EA62DD" w:rsidRDefault="00EA62DD" w:rsidP="00EA62DD">
      <w:pPr>
        <w:bidi w:val="0"/>
        <w:spacing w:line="480" w:lineRule="auto"/>
        <w:ind w:left="851"/>
        <w:jc w:val="both"/>
        <w:rPr>
          <w:rFonts w:ascii="Times New Roman" w:eastAsiaTheme="minorHAnsi" w:hAnsi="Times New Roman" w:cs="Times New Roman"/>
          <w:sz w:val="24"/>
          <w:szCs w:val="24"/>
        </w:rPr>
      </w:pPr>
    </w:p>
    <w:p w14:paraId="336F506B" w14:textId="77777777" w:rsidR="00EA62DD" w:rsidRDefault="00EA62DD" w:rsidP="00EA62DD">
      <w:pPr>
        <w:bidi w:val="0"/>
        <w:spacing w:line="480" w:lineRule="auto"/>
        <w:ind w:left="851"/>
        <w:jc w:val="both"/>
        <w:rPr>
          <w:rFonts w:ascii="Times New Roman" w:eastAsiaTheme="minorHAnsi" w:hAnsi="Times New Roman" w:cs="Times New Roman"/>
          <w:sz w:val="24"/>
          <w:szCs w:val="24"/>
        </w:rPr>
      </w:pPr>
    </w:p>
    <w:p w14:paraId="112110D0" w14:textId="77777777" w:rsidR="007E48B3" w:rsidRDefault="007E48B3" w:rsidP="007E48B3">
      <w:pPr>
        <w:pStyle w:val="ListParagraph"/>
        <w:autoSpaceDE w:val="0"/>
        <w:autoSpaceDN w:val="0"/>
        <w:bidi w:val="0"/>
        <w:adjustRightInd w:val="0"/>
        <w:spacing w:after="240" w:line="480" w:lineRule="auto"/>
        <w:jc w:val="center"/>
        <w:rPr>
          <w:rFonts w:ascii="Times New Roman" w:hAnsi="Times New Roman" w:cs="David"/>
          <w:b/>
          <w:bCs/>
          <w:sz w:val="24"/>
          <w:szCs w:val="24"/>
        </w:rPr>
      </w:pPr>
    </w:p>
    <w:p w14:paraId="6A51E7A1" w14:textId="77777777" w:rsidR="007E48B3" w:rsidRPr="004A635E" w:rsidRDefault="007E48B3" w:rsidP="007E48B3">
      <w:pPr>
        <w:sectPr w:rsidR="007E48B3" w:rsidRPr="004A635E" w:rsidSect="008B17D7">
          <w:pgSz w:w="11906" w:h="16838"/>
          <w:pgMar w:top="1440" w:right="1800" w:bottom="1440" w:left="1800" w:header="708" w:footer="708" w:gutter="0"/>
          <w:cols w:space="708"/>
          <w:titlePg/>
          <w:bidi/>
          <w:rtlGutter/>
          <w:docGrid w:linePitch="360"/>
        </w:sectPr>
      </w:pPr>
    </w:p>
    <w:p w14:paraId="632FF9B5" w14:textId="09D7F89D" w:rsidR="007E48B3" w:rsidRPr="007F1AC1" w:rsidRDefault="007E48B3" w:rsidP="007E48B3">
      <w:pPr>
        <w:pStyle w:val="ListParagraph"/>
        <w:autoSpaceDE w:val="0"/>
        <w:autoSpaceDN w:val="0"/>
        <w:bidi w:val="0"/>
        <w:adjustRightInd w:val="0"/>
        <w:spacing w:after="240" w:line="480" w:lineRule="auto"/>
        <w:ind w:left="851"/>
        <w:jc w:val="center"/>
        <w:rPr>
          <w:rFonts w:asciiTheme="majorBidi" w:hAnsiTheme="majorBidi" w:cstheme="majorBidi"/>
          <w:b/>
          <w:bCs/>
          <w:sz w:val="24"/>
          <w:szCs w:val="24"/>
        </w:rPr>
      </w:pPr>
      <w:r>
        <w:rPr>
          <w:rFonts w:asciiTheme="majorBidi" w:hAnsiTheme="majorBidi" w:cstheme="majorBidi"/>
          <w:b/>
          <w:bCs/>
          <w:sz w:val="24"/>
          <w:szCs w:val="24"/>
        </w:rPr>
        <w:t>Appendix</w:t>
      </w:r>
      <w:r w:rsidRPr="007F1AC1">
        <w:rPr>
          <w:rFonts w:asciiTheme="majorBidi" w:hAnsiTheme="majorBidi" w:cstheme="majorBidi"/>
          <w:b/>
          <w:bCs/>
          <w:sz w:val="24"/>
          <w:szCs w:val="24"/>
        </w:rPr>
        <w:t xml:space="preserve"> </w:t>
      </w:r>
      <w:r w:rsidR="00AA7C0F">
        <w:rPr>
          <w:rFonts w:asciiTheme="majorBidi" w:hAnsiTheme="majorBidi" w:cstheme="majorBidi"/>
          <w:b/>
          <w:bCs/>
          <w:sz w:val="24"/>
          <w:szCs w:val="24"/>
        </w:rPr>
        <w:t>I</w:t>
      </w:r>
      <w:r w:rsidRPr="007F1AC1">
        <w:rPr>
          <w:rFonts w:asciiTheme="majorBidi" w:hAnsiTheme="majorBidi" w:cstheme="majorBidi"/>
          <w:b/>
          <w:bCs/>
          <w:sz w:val="24"/>
          <w:szCs w:val="24"/>
        </w:rPr>
        <w:t xml:space="preserve"> -IS</w:t>
      </w:r>
      <w:r>
        <w:rPr>
          <w:rFonts w:asciiTheme="majorBidi" w:hAnsiTheme="majorBidi" w:cstheme="majorBidi"/>
          <w:b/>
          <w:bCs/>
          <w:sz w:val="24"/>
          <w:szCs w:val="24"/>
        </w:rPr>
        <w:t>R-</w:t>
      </w:r>
      <w:r w:rsidRPr="007F1AC1">
        <w:rPr>
          <w:rFonts w:asciiTheme="majorBidi" w:hAnsiTheme="majorBidi" w:cstheme="majorBidi"/>
          <w:b/>
          <w:bCs/>
          <w:sz w:val="24"/>
          <w:szCs w:val="24"/>
        </w:rPr>
        <w:t>WBG</w:t>
      </w:r>
      <w:r>
        <w:rPr>
          <w:rFonts w:asciiTheme="majorBidi" w:hAnsiTheme="majorBidi" w:cstheme="majorBidi"/>
          <w:b/>
          <w:bCs/>
          <w:sz w:val="24"/>
          <w:szCs w:val="24"/>
        </w:rPr>
        <w:t>-</w:t>
      </w:r>
      <w:r w:rsidRPr="007F1AC1">
        <w:rPr>
          <w:rFonts w:asciiTheme="majorBidi" w:hAnsiTheme="majorBidi" w:cstheme="majorBidi"/>
          <w:b/>
          <w:bCs/>
          <w:sz w:val="24"/>
          <w:szCs w:val="24"/>
        </w:rPr>
        <w:t>II Indicators</w:t>
      </w:r>
      <w:r>
        <w:rPr>
          <w:rFonts w:asciiTheme="majorBidi" w:hAnsiTheme="majorBidi" w:cstheme="majorBidi"/>
          <w:b/>
          <w:bCs/>
          <w:sz w:val="24"/>
          <w:szCs w:val="24"/>
        </w:rPr>
        <w:t xml:space="preserve"> </w:t>
      </w:r>
    </w:p>
    <w:p w14:paraId="428B7603" w14:textId="77777777" w:rsidR="007E48B3" w:rsidRPr="001D40DD" w:rsidRDefault="007E48B3" w:rsidP="007E48B3">
      <w:pPr>
        <w:pStyle w:val="ListParagraph"/>
        <w:numPr>
          <w:ilvl w:val="0"/>
          <w:numId w:val="26"/>
        </w:numPr>
        <w:autoSpaceDE w:val="0"/>
        <w:autoSpaceDN w:val="0"/>
        <w:bidi w:val="0"/>
        <w:adjustRightInd w:val="0"/>
        <w:spacing w:line="360" w:lineRule="auto"/>
        <w:rPr>
          <w:rFonts w:asciiTheme="majorBidi" w:hAnsiTheme="majorBidi" w:cstheme="majorBidi"/>
          <w:b/>
          <w:bCs/>
          <w:sz w:val="24"/>
          <w:szCs w:val="24"/>
        </w:rPr>
      </w:pPr>
      <w:r w:rsidRPr="001D40DD">
        <w:rPr>
          <w:rFonts w:asciiTheme="majorBidi" w:hAnsiTheme="majorBidi" w:cstheme="majorBidi"/>
          <w:b/>
          <w:bCs/>
          <w:sz w:val="24"/>
          <w:szCs w:val="24"/>
        </w:rPr>
        <w:t>Trade, employment, and taxes</w:t>
      </w:r>
    </w:p>
    <w:p w14:paraId="7B3B2216"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461DA6">
        <w:rPr>
          <w:b/>
          <w:bCs/>
        </w:rPr>
        <w:t xml:space="preserve">Palestinian </w:t>
      </w:r>
      <w:r>
        <w:rPr>
          <w:b/>
          <w:bCs/>
        </w:rPr>
        <w:t>e</w:t>
      </w:r>
      <w:r w:rsidRPr="00461DA6">
        <w:rPr>
          <w:b/>
          <w:bCs/>
        </w:rPr>
        <w:t>xports</w:t>
      </w:r>
      <w:r w:rsidRPr="00135645">
        <w:rPr>
          <w:b/>
          <w:bCs/>
        </w:rPr>
        <w:t xml:space="preserve"> of goods and services to Israel out of total </w:t>
      </w:r>
      <w:r w:rsidRPr="00461DA6">
        <w:rPr>
          <w:b/>
          <w:bCs/>
        </w:rPr>
        <w:t xml:space="preserve">Palestinian </w:t>
      </w:r>
      <w:r>
        <w:rPr>
          <w:b/>
          <w:bCs/>
        </w:rPr>
        <w:t>e</w:t>
      </w:r>
      <w:r w:rsidRPr="00135645">
        <w:rPr>
          <w:b/>
          <w:bCs/>
        </w:rPr>
        <w:t>xports –</w:t>
      </w:r>
      <w:r>
        <w:rPr>
          <w:b/>
          <w:bCs/>
        </w:rPr>
        <w:t xml:space="preserve"> </w:t>
      </w:r>
    </w:p>
    <w:p w14:paraId="26978D65" w14:textId="39C7302F" w:rsidR="007E48B3" w:rsidRPr="00A00835" w:rsidRDefault="007E48B3" w:rsidP="007E48B3">
      <w:pPr>
        <w:pStyle w:val="ListParagraph"/>
        <w:autoSpaceDE w:val="0"/>
        <w:autoSpaceDN w:val="0"/>
        <w:bidi w:val="0"/>
        <w:adjustRightInd w:val="0"/>
        <w:spacing w:line="480" w:lineRule="auto"/>
        <w:rPr>
          <w:b/>
          <w:bCs/>
        </w:rPr>
      </w:pPr>
      <w:r>
        <w:t>M</w:t>
      </w:r>
      <w:r w:rsidRPr="00135645">
        <w:t xml:space="preserve">easures the value of the </w:t>
      </w:r>
      <w:r w:rsidRPr="0080393A">
        <w:t xml:space="preserve">goods and services </w:t>
      </w:r>
      <w:r w:rsidRPr="00135645">
        <w:t xml:space="preserve">that PA has exported to Israel or through Israel abroad as a percentage of </w:t>
      </w:r>
      <w:r w:rsidRPr="0080393A">
        <w:t xml:space="preserve">total </w:t>
      </w:r>
      <w:r>
        <w:t>Palestinian e</w:t>
      </w:r>
      <w:r w:rsidRPr="0080393A">
        <w:t>xports</w:t>
      </w:r>
      <w:r>
        <w:t>.</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735"/>
      </w:tblGrid>
      <w:tr w:rsidR="007E48B3" w:rsidRPr="007B3551" w14:paraId="7CDC0A52" w14:textId="77777777" w:rsidTr="00416373">
        <w:trPr>
          <w:trHeight w:val="300"/>
        </w:trPr>
        <w:tc>
          <w:tcPr>
            <w:tcW w:w="9315" w:type="dxa"/>
            <w:gridSpan w:val="2"/>
            <w:shd w:val="clear" w:color="auto" w:fill="auto"/>
            <w:noWrap/>
            <w:vAlign w:val="bottom"/>
          </w:tcPr>
          <w:p w14:paraId="1F1828A5" w14:textId="77777777" w:rsidR="007E48B3" w:rsidRPr="00A00835" w:rsidRDefault="007E48B3" w:rsidP="00416373">
            <w:pPr>
              <w:bidi w:val="0"/>
              <w:rPr>
                <w:rFonts w:cs="Calibri"/>
                <w:color w:val="000000"/>
              </w:rPr>
            </w:pPr>
            <w:r>
              <w:rPr>
                <w:rFonts w:cs="Calibri"/>
                <w:color w:val="000000"/>
              </w:rPr>
              <w:t>Data source</w:t>
            </w:r>
          </w:p>
        </w:tc>
      </w:tr>
      <w:tr w:rsidR="007E48B3" w:rsidRPr="007B3551" w14:paraId="0193E723" w14:textId="77777777" w:rsidTr="00416373">
        <w:trPr>
          <w:trHeight w:val="300"/>
        </w:trPr>
        <w:tc>
          <w:tcPr>
            <w:tcW w:w="1580" w:type="dxa"/>
            <w:shd w:val="clear" w:color="auto" w:fill="auto"/>
            <w:noWrap/>
            <w:vAlign w:val="center"/>
            <w:hideMark/>
          </w:tcPr>
          <w:p w14:paraId="2084D777" w14:textId="77777777" w:rsidR="007E48B3" w:rsidRPr="007B3551" w:rsidRDefault="007E48B3" w:rsidP="00416373">
            <w:pPr>
              <w:bidi w:val="0"/>
              <w:rPr>
                <w:rFonts w:cs="Calibri"/>
                <w:color w:val="000000"/>
              </w:rPr>
            </w:pPr>
            <w:r w:rsidRPr="007B3551">
              <w:rPr>
                <w:rFonts w:cs="Calibri"/>
                <w:color w:val="000000"/>
              </w:rPr>
              <w:t>1968 - 1987</w:t>
            </w:r>
          </w:p>
        </w:tc>
        <w:tc>
          <w:tcPr>
            <w:tcW w:w="7735" w:type="dxa"/>
            <w:shd w:val="clear" w:color="auto" w:fill="auto"/>
            <w:noWrap/>
            <w:vAlign w:val="bottom"/>
            <w:hideMark/>
          </w:tcPr>
          <w:p w14:paraId="234AA475" w14:textId="77777777" w:rsidR="007E48B3" w:rsidRPr="007B3551" w:rsidRDefault="007E48B3" w:rsidP="00416373">
            <w:pPr>
              <w:bidi w:val="0"/>
              <w:rPr>
                <w:rFonts w:cs="Calibri"/>
                <w:color w:val="000000"/>
              </w:rPr>
            </w:pPr>
            <w:r w:rsidRPr="007B3551">
              <w:rPr>
                <w:rFonts w:cs="Calibri"/>
                <w:color w:val="000000"/>
              </w:rPr>
              <w:t xml:space="preserve">National Accounts of Judea, Samaria and the Gaza area, 1968-1993, Registered goods only, Publication No. 1012, Israeli Central Bureau of Statistics </w:t>
            </w:r>
          </w:p>
        </w:tc>
      </w:tr>
      <w:tr w:rsidR="007E48B3" w:rsidRPr="007B3551" w14:paraId="038A3DAA" w14:textId="77777777" w:rsidTr="00416373">
        <w:trPr>
          <w:trHeight w:val="300"/>
        </w:trPr>
        <w:tc>
          <w:tcPr>
            <w:tcW w:w="1580" w:type="dxa"/>
            <w:shd w:val="clear" w:color="auto" w:fill="auto"/>
            <w:noWrap/>
            <w:vAlign w:val="center"/>
            <w:hideMark/>
          </w:tcPr>
          <w:p w14:paraId="2216D9E5" w14:textId="77777777" w:rsidR="007E48B3" w:rsidRPr="007B3551" w:rsidRDefault="007E48B3" w:rsidP="00416373">
            <w:pPr>
              <w:bidi w:val="0"/>
              <w:rPr>
                <w:rFonts w:cs="Calibri"/>
                <w:color w:val="000000"/>
              </w:rPr>
            </w:pPr>
            <w:r w:rsidRPr="007B3551">
              <w:rPr>
                <w:rFonts w:cs="Calibri"/>
                <w:color w:val="000000"/>
              </w:rPr>
              <w:t>1988 - 1991</w:t>
            </w:r>
          </w:p>
        </w:tc>
        <w:tc>
          <w:tcPr>
            <w:tcW w:w="7735" w:type="dxa"/>
            <w:shd w:val="clear" w:color="auto" w:fill="auto"/>
            <w:noWrap/>
            <w:vAlign w:val="bottom"/>
            <w:hideMark/>
          </w:tcPr>
          <w:p w14:paraId="61B1F82A" w14:textId="77777777" w:rsidR="007E48B3" w:rsidRPr="007B3551" w:rsidRDefault="007E48B3" w:rsidP="00416373">
            <w:pPr>
              <w:bidi w:val="0"/>
              <w:rPr>
                <w:rFonts w:cs="Calibri"/>
                <w:color w:val="000000"/>
              </w:rPr>
            </w:pPr>
            <w:r w:rsidRPr="007B3551">
              <w:rPr>
                <w:rFonts w:cs="Calibri"/>
                <w:color w:val="000000"/>
              </w:rPr>
              <w:t>World bank Report, September 1993, Developing the Occupied territories</w:t>
            </w:r>
          </w:p>
        </w:tc>
      </w:tr>
      <w:tr w:rsidR="007E48B3" w:rsidRPr="007B3551" w14:paraId="7F16838D" w14:textId="77777777" w:rsidTr="00416373">
        <w:trPr>
          <w:trHeight w:val="300"/>
        </w:trPr>
        <w:tc>
          <w:tcPr>
            <w:tcW w:w="1580" w:type="dxa"/>
            <w:shd w:val="clear" w:color="auto" w:fill="auto"/>
            <w:noWrap/>
            <w:vAlign w:val="center"/>
            <w:hideMark/>
          </w:tcPr>
          <w:p w14:paraId="696C48D2" w14:textId="77777777" w:rsidR="007E48B3" w:rsidRPr="007B3551" w:rsidRDefault="007E48B3" w:rsidP="00416373">
            <w:pPr>
              <w:bidi w:val="0"/>
              <w:rPr>
                <w:rFonts w:cs="Calibri"/>
                <w:color w:val="000000"/>
              </w:rPr>
            </w:pPr>
            <w:r w:rsidRPr="007B3551">
              <w:rPr>
                <w:rFonts w:cs="Calibri"/>
                <w:color w:val="000000"/>
              </w:rPr>
              <w:t>1992-1994</w:t>
            </w:r>
          </w:p>
        </w:tc>
        <w:tc>
          <w:tcPr>
            <w:tcW w:w="7735" w:type="dxa"/>
            <w:shd w:val="clear" w:color="auto" w:fill="auto"/>
            <w:noWrap/>
            <w:vAlign w:val="bottom"/>
            <w:hideMark/>
          </w:tcPr>
          <w:p w14:paraId="7A32849D" w14:textId="77777777" w:rsidR="007E48B3" w:rsidRPr="007B3551" w:rsidRDefault="007E48B3" w:rsidP="00416373">
            <w:pPr>
              <w:bidi w:val="0"/>
              <w:rPr>
                <w:rFonts w:cs="Calibri"/>
                <w:color w:val="000000"/>
              </w:rPr>
            </w:pPr>
            <w:r w:rsidRPr="007B3551">
              <w:rPr>
                <w:rFonts w:cs="Calibri"/>
                <w:color w:val="000000"/>
              </w:rPr>
              <w:t xml:space="preserve">Missing </w:t>
            </w:r>
            <w:r>
              <w:rPr>
                <w:rFonts w:cs="Calibri"/>
                <w:color w:val="000000"/>
              </w:rPr>
              <w:t>data</w:t>
            </w:r>
            <w:r w:rsidRPr="007B3551">
              <w:rPr>
                <w:rFonts w:cs="Calibri"/>
                <w:color w:val="000000"/>
              </w:rPr>
              <w:t xml:space="preserve"> - supplemented by the average of the years before and after</w:t>
            </w:r>
          </w:p>
        </w:tc>
      </w:tr>
      <w:tr w:rsidR="007E48B3" w:rsidRPr="007B3551" w14:paraId="1BD2C5F4" w14:textId="77777777" w:rsidTr="00416373">
        <w:trPr>
          <w:trHeight w:val="300"/>
        </w:trPr>
        <w:tc>
          <w:tcPr>
            <w:tcW w:w="1580" w:type="dxa"/>
            <w:shd w:val="clear" w:color="auto" w:fill="auto"/>
            <w:noWrap/>
            <w:vAlign w:val="center"/>
            <w:hideMark/>
          </w:tcPr>
          <w:p w14:paraId="1DC1B6A1" w14:textId="77777777" w:rsidR="007E48B3" w:rsidRPr="007B3551" w:rsidRDefault="007E48B3" w:rsidP="00416373">
            <w:pPr>
              <w:bidi w:val="0"/>
              <w:rPr>
                <w:rFonts w:cs="Calibri"/>
                <w:color w:val="000000"/>
              </w:rPr>
            </w:pPr>
            <w:r w:rsidRPr="007B3551">
              <w:rPr>
                <w:rFonts w:cs="Calibri"/>
                <w:color w:val="000000"/>
              </w:rPr>
              <w:t>1995 - 1999</w:t>
            </w:r>
          </w:p>
        </w:tc>
        <w:tc>
          <w:tcPr>
            <w:tcW w:w="7735" w:type="dxa"/>
            <w:shd w:val="clear" w:color="auto" w:fill="auto"/>
            <w:noWrap/>
            <w:vAlign w:val="bottom"/>
            <w:hideMark/>
          </w:tcPr>
          <w:p w14:paraId="2B880273" w14:textId="77777777" w:rsidR="007E48B3" w:rsidRPr="007B3551" w:rsidRDefault="007E48B3" w:rsidP="00416373">
            <w:pPr>
              <w:bidi w:val="0"/>
              <w:rPr>
                <w:rFonts w:cs="Calibri"/>
                <w:color w:val="000000"/>
              </w:rPr>
            </w:pPr>
            <w:r w:rsidRPr="007B3551">
              <w:rPr>
                <w:rFonts w:cs="Calibri"/>
                <w:color w:val="000000"/>
              </w:rPr>
              <w:t>Palestinian Central Bureau of Statistics, Registered goods only, Foreign Trade Statistics</w:t>
            </w:r>
          </w:p>
        </w:tc>
      </w:tr>
      <w:tr w:rsidR="007E48B3" w:rsidRPr="007B3551" w14:paraId="71444F87" w14:textId="77777777" w:rsidTr="00416373">
        <w:trPr>
          <w:trHeight w:val="300"/>
        </w:trPr>
        <w:tc>
          <w:tcPr>
            <w:tcW w:w="1580" w:type="dxa"/>
            <w:shd w:val="clear" w:color="auto" w:fill="auto"/>
            <w:noWrap/>
            <w:vAlign w:val="center"/>
            <w:hideMark/>
          </w:tcPr>
          <w:p w14:paraId="0000E2C2" w14:textId="77777777" w:rsidR="007E48B3" w:rsidRPr="007B3551" w:rsidRDefault="007E48B3" w:rsidP="00416373">
            <w:pPr>
              <w:bidi w:val="0"/>
              <w:rPr>
                <w:rFonts w:cs="Calibri"/>
                <w:color w:val="000000"/>
              </w:rPr>
            </w:pPr>
            <w:r w:rsidRPr="007B3551">
              <w:rPr>
                <w:rFonts w:cs="Calibri"/>
                <w:color w:val="000000"/>
              </w:rPr>
              <w:t>2000 - 2019</w:t>
            </w:r>
          </w:p>
        </w:tc>
        <w:tc>
          <w:tcPr>
            <w:tcW w:w="7735" w:type="dxa"/>
            <w:shd w:val="clear" w:color="auto" w:fill="auto"/>
            <w:noWrap/>
            <w:vAlign w:val="bottom"/>
            <w:hideMark/>
          </w:tcPr>
          <w:p w14:paraId="3D07DA09" w14:textId="77777777" w:rsidR="007E48B3" w:rsidRPr="007B3551" w:rsidRDefault="007E48B3" w:rsidP="00416373">
            <w:pPr>
              <w:bidi w:val="0"/>
              <w:rPr>
                <w:rFonts w:cs="Calibri"/>
                <w:color w:val="000000"/>
              </w:rPr>
            </w:pPr>
            <w:r w:rsidRPr="007B3551">
              <w:rPr>
                <w:rFonts w:cs="Calibri"/>
                <w:color w:val="000000"/>
              </w:rPr>
              <w:t>Palestinian Central Bureau of Statistics, foreign trade and balance of payments</w:t>
            </w:r>
          </w:p>
        </w:tc>
      </w:tr>
    </w:tbl>
    <w:p w14:paraId="64ABE7E0" w14:textId="77777777" w:rsidR="007E48B3" w:rsidRPr="00135645" w:rsidRDefault="007E48B3" w:rsidP="007E48B3">
      <w:pPr>
        <w:pStyle w:val="ListParagraph"/>
        <w:autoSpaceDE w:val="0"/>
        <w:autoSpaceDN w:val="0"/>
        <w:bidi w:val="0"/>
        <w:adjustRightInd w:val="0"/>
        <w:spacing w:after="240" w:line="480" w:lineRule="auto"/>
        <w:ind w:left="1080"/>
        <w:rPr>
          <w:b/>
          <w:bCs/>
        </w:rPr>
      </w:pPr>
      <w:r>
        <w:t xml:space="preserve"> </w:t>
      </w:r>
    </w:p>
    <w:p w14:paraId="31EB63B4"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461DA6">
        <w:rPr>
          <w:b/>
          <w:bCs/>
        </w:rPr>
        <w:t xml:space="preserve">Palestinian </w:t>
      </w:r>
      <w:r>
        <w:rPr>
          <w:b/>
          <w:bCs/>
        </w:rPr>
        <w:t>i</w:t>
      </w:r>
      <w:r w:rsidRPr="00135645">
        <w:rPr>
          <w:b/>
          <w:bCs/>
        </w:rPr>
        <w:t xml:space="preserve">mports of goods and services from Israel out of total </w:t>
      </w:r>
      <w:r w:rsidRPr="00461DA6">
        <w:rPr>
          <w:b/>
          <w:bCs/>
        </w:rPr>
        <w:t xml:space="preserve">Palestinian </w:t>
      </w:r>
      <w:r w:rsidRPr="00135645">
        <w:rPr>
          <w:b/>
          <w:bCs/>
        </w:rPr>
        <w:t xml:space="preserve">imports </w:t>
      </w:r>
      <w:r>
        <w:rPr>
          <w:b/>
          <w:bCs/>
        </w:rPr>
        <w:t xml:space="preserve">– </w:t>
      </w:r>
    </w:p>
    <w:p w14:paraId="2E5CB660" w14:textId="77777777" w:rsidR="007E48B3" w:rsidRPr="006E07D6" w:rsidRDefault="007E48B3" w:rsidP="007E48B3">
      <w:pPr>
        <w:pStyle w:val="ListParagraph"/>
        <w:autoSpaceDE w:val="0"/>
        <w:autoSpaceDN w:val="0"/>
        <w:bidi w:val="0"/>
        <w:adjustRightInd w:val="0"/>
        <w:spacing w:line="480" w:lineRule="auto"/>
      </w:pPr>
      <w:r w:rsidRPr="006E07D6">
        <w:t xml:space="preserve">Measures the value of the goods and services the Palestinians </w:t>
      </w:r>
      <w:r>
        <w:t>have</w:t>
      </w:r>
      <w:r w:rsidRPr="006E07D6">
        <w:t xml:space="preserve"> imported from Israel or through Israel as a percentage of total Palestinian </w:t>
      </w:r>
      <w:r>
        <w:t>i</w:t>
      </w:r>
      <w:r w:rsidRPr="006E07D6">
        <w:t xml:space="preserve">mports.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735"/>
      </w:tblGrid>
      <w:tr w:rsidR="007E48B3" w:rsidRPr="007B3551" w14:paraId="201E472D" w14:textId="77777777" w:rsidTr="00416373">
        <w:trPr>
          <w:trHeight w:val="300"/>
        </w:trPr>
        <w:tc>
          <w:tcPr>
            <w:tcW w:w="9315" w:type="dxa"/>
            <w:gridSpan w:val="2"/>
            <w:shd w:val="clear" w:color="auto" w:fill="auto"/>
            <w:noWrap/>
            <w:vAlign w:val="bottom"/>
          </w:tcPr>
          <w:p w14:paraId="35CD4D61" w14:textId="77777777" w:rsidR="007E48B3" w:rsidRPr="00A00835" w:rsidRDefault="007E48B3" w:rsidP="00416373">
            <w:pPr>
              <w:bidi w:val="0"/>
              <w:rPr>
                <w:rFonts w:cs="Calibri"/>
                <w:color w:val="000000"/>
              </w:rPr>
            </w:pPr>
            <w:r>
              <w:rPr>
                <w:rFonts w:cs="Calibri"/>
                <w:color w:val="000000"/>
              </w:rPr>
              <w:t>Data source</w:t>
            </w:r>
          </w:p>
        </w:tc>
      </w:tr>
      <w:tr w:rsidR="007E48B3" w:rsidRPr="007B3551" w14:paraId="6B053F6B" w14:textId="77777777" w:rsidTr="00416373">
        <w:trPr>
          <w:trHeight w:val="300"/>
        </w:trPr>
        <w:tc>
          <w:tcPr>
            <w:tcW w:w="1580" w:type="dxa"/>
            <w:shd w:val="clear" w:color="auto" w:fill="auto"/>
            <w:noWrap/>
            <w:vAlign w:val="center"/>
            <w:hideMark/>
          </w:tcPr>
          <w:p w14:paraId="449D4105" w14:textId="77777777" w:rsidR="007E48B3" w:rsidRPr="007B3551" w:rsidRDefault="007E48B3" w:rsidP="00416373">
            <w:pPr>
              <w:bidi w:val="0"/>
              <w:rPr>
                <w:rFonts w:cs="Calibri"/>
                <w:color w:val="000000"/>
              </w:rPr>
            </w:pPr>
            <w:r>
              <w:rPr>
                <w:rFonts w:cs="Calibri"/>
                <w:color w:val="000000"/>
              </w:rPr>
              <w:t>1968 - 1987</w:t>
            </w:r>
          </w:p>
        </w:tc>
        <w:tc>
          <w:tcPr>
            <w:tcW w:w="7735" w:type="dxa"/>
            <w:shd w:val="clear" w:color="auto" w:fill="auto"/>
            <w:noWrap/>
            <w:vAlign w:val="bottom"/>
            <w:hideMark/>
          </w:tcPr>
          <w:p w14:paraId="5FD43515" w14:textId="77777777" w:rsidR="007E48B3" w:rsidRPr="007B3551" w:rsidRDefault="007E48B3" w:rsidP="00416373">
            <w:pPr>
              <w:bidi w:val="0"/>
              <w:rPr>
                <w:rFonts w:cs="Calibri"/>
                <w:color w:val="000000"/>
              </w:rPr>
            </w:pPr>
            <w:r>
              <w:rPr>
                <w:rFonts w:cs="Calibri"/>
                <w:color w:val="000000"/>
              </w:rPr>
              <w:t xml:space="preserve">National Accounts of Judea, Samaria and the Gaza area, 1968-1993, Registered goods only, Publication No. 1012, Israeli Central Bureau of Statistics </w:t>
            </w:r>
          </w:p>
        </w:tc>
      </w:tr>
      <w:tr w:rsidR="007E48B3" w:rsidRPr="007B3551" w14:paraId="1C60DB1C" w14:textId="77777777" w:rsidTr="00416373">
        <w:trPr>
          <w:trHeight w:val="300"/>
        </w:trPr>
        <w:tc>
          <w:tcPr>
            <w:tcW w:w="1580" w:type="dxa"/>
            <w:shd w:val="clear" w:color="auto" w:fill="auto"/>
            <w:noWrap/>
            <w:vAlign w:val="center"/>
            <w:hideMark/>
          </w:tcPr>
          <w:p w14:paraId="435ECF14" w14:textId="77777777" w:rsidR="007E48B3" w:rsidRPr="007B3551" w:rsidRDefault="007E48B3" w:rsidP="00416373">
            <w:pPr>
              <w:bidi w:val="0"/>
              <w:rPr>
                <w:rFonts w:cs="Calibri"/>
                <w:color w:val="000000"/>
              </w:rPr>
            </w:pPr>
            <w:r>
              <w:rPr>
                <w:rFonts w:cs="Calibri"/>
                <w:color w:val="000000"/>
              </w:rPr>
              <w:t>1988 - 1991</w:t>
            </w:r>
          </w:p>
        </w:tc>
        <w:tc>
          <w:tcPr>
            <w:tcW w:w="7735" w:type="dxa"/>
            <w:shd w:val="clear" w:color="auto" w:fill="auto"/>
            <w:noWrap/>
            <w:vAlign w:val="bottom"/>
            <w:hideMark/>
          </w:tcPr>
          <w:p w14:paraId="273AF8A0" w14:textId="77777777" w:rsidR="007E48B3" w:rsidRPr="007B3551" w:rsidRDefault="007E48B3" w:rsidP="00416373">
            <w:pPr>
              <w:bidi w:val="0"/>
              <w:rPr>
                <w:rFonts w:cs="Calibri"/>
                <w:color w:val="000000"/>
              </w:rPr>
            </w:pPr>
            <w:r>
              <w:rPr>
                <w:rFonts w:cs="Calibri"/>
                <w:color w:val="000000"/>
              </w:rPr>
              <w:t>World bank Report, September 1993, Developing the Occupied territories</w:t>
            </w:r>
          </w:p>
        </w:tc>
      </w:tr>
      <w:tr w:rsidR="007E48B3" w:rsidRPr="007B3551" w14:paraId="46ED51CD" w14:textId="77777777" w:rsidTr="00416373">
        <w:trPr>
          <w:trHeight w:val="300"/>
        </w:trPr>
        <w:tc>
          <w:tcPr>
            <w:tcW w:w="1580" w:type="dxa"/>
            <w:shd w:val="clear" w:color="auto" w:fill="auto"/>
            <w:noWrap/>
            <w:vAlign w:val="center"/>
            <w:hideMark/>
          </w:tcPr>
          <w:p w14:paraId="4AC27180" w14:textId="77777777" w:rsidR="007E48B3" w:rsidRPr="007B3551" w:rsidRDefault="007E48B3" w:rsidP="00416373">
            <w:pPr>
              <w:bidi w:val="0"/>
              <w:rPr>
                <w:rFonts w:cs="Calibri"/>
                <w:color w:val="000000"/>
              </w:rPr>
            </w:pPr>
            <w:r>
              <w:rPr>
                <w:rFonts w:cs="Calibri"/>
                <w:color w:val="000000"/>
              </w:rPr>
              <w:t>1992-1994</w:t>
            </w:r>
          </w:p>
        </w:tc>
        <w:tc>
          <w:tcPr>
            <w:tcW w:w="7735" w:type="dxa"/>
            <w:shd w:val="clear" w:color="auto" w:fill="auto"/>
            <w:noWrap/>
            <w:vAlign w:val="bottom"/>
            <w:hideMark/>
          </w:tcPr>
          <w:p w14:paraId="20891B69" w14:textId="77777777" w:rsidR="007E48B3" w:rsidRPr="007B3551" w:rsidRDefault="007E48B3" w:rsidP="00416373">
            <w:pPr>
              <w:bidi w:val="0"/>
              <w:rPr>
                <w:rFonts w:cs="Calibri"/>
                <w:color w:val="000000"/>
              </w:rPr>
            </w:pPr>
            <w:r>
              <w:rPr>
                <w:rFonts w:cs="Calibri"/>
                <w:color w:val="000000"/>
              </w:rPr>
              <w:t>Missing data - supplemented by the average of the years before and after</w:t>
            </w:r>
          </w:p>
        </w:tc>
      </w:tr>
      <w:tr w:rsidR="007E48B3" w:rsidRPr="007B3551" w14:paraId="6F18E09C" w14:textId="77777777" w:rsidTr="00416373">
        <w:trPr>
          <w:trHeight w:val="300"/>
        </w:trPr>
        <w:tc>
          <w:tcPr>
            <w:tcW w:w="1580" w:type="dxa"/>
            <w:shd w:val="clear" w:color="auto" w:fill="auto"/>
            <w:noWrap/>
            <w:vAlign w:val="center"/>
            <w:hideMark/>
          </w:tcPr>
          <w:p w14:paraId="19680A54" w14:textId="77777777" w:rsidR="007E48B3" w:rsidRPr="007B3551" w:rsidRDefault="007E48B3" w:rsidP="00416373">
            <w:pPr>
              <w:bidi w:val="0"/>
              <w:rPr>
                <w:rFonts w:cs="Calibri"/>
                <w:color w:val="000000"/>
              </w:rPr>
            </w:pPr>
            <w:r>
              <w:rPr>
                <w:rFonts w:cs="Calibri"/>
                <w:color w:val="000000"/>
              </w:rPr>
              <w:t>1995 - 1999</w:t>
            </w:r>
          </w:p>
        </w:tc>
        <w:tc>
          <w:tcPr>
            <w:tcW w:w="7735" w:type="dxa"/>
            <w:shd w:val="clear" w:color="auto" w:fill="auto"/>
            <w:noWrap/>
            <w:vAlign w:val="bottom"/>
            <w:hideMark/>
          </w:tcPr>
          <w:p w14:paraId="4760FEB9" w14:textId="77777777" w:rsidR="007E48B3" w:rsidRPr="007B3551" w:rsidRDefault="007E48B3" w:rsidP="00416373">
            <w:pPr>
              <w:bidi w:val="0"/>
              <w:rPr>
                <w:rFonts w:cs="Calibri"/>
                <w:color w:val="000000"/>
              </w:rPr>
            </w:pPr>
            <w:r>
              <w:rPr>
                <w:rFonts w:cs="Calibri"/>
                <w:color w:val="000000"/>
              </w:rPr>
              <w:t>Palestinian Central Bureau of Statistics, Registered goods only, Foreign Trade Statistics</w:t>
            </w:r>
          </w:p>
        </w:tc>
      </w:tr>
      <w:tr w:rsidR="007E48B3" w:rsidRPr="007B3551" w14:paraId="2D3D5D30" w14:textId="77777777" w:rsidTr="00416373">
        <w:trPr>
          <w:trHeight w:val="300"/>
        </w:trPr>
        <w:tc>
          <w:tcPr>
            <w:tcW w:w="1580" w:type="dxa"/>
            <w:shd w:val="clear" w:color="auto" w:fill="auto"/>
            <w:noWrap/>
            <w:vAlign w:val="center"/>
            <w:hideMark/>
          </w:tcPr>
          <w:p w14:paraId="286DC5F9" w14:textId="77777777" w:rsidR="007E48B3" w:rsidRPr="007B3551" w:rsidRDefault="007E48B3" w:rsidP="00416373">
            <w:pPr>
              <w:bidi w:val="0"/>
              <w:rPr>
                <w:rFonts w:cs="Calibri"/>
                <w:color w:val="000000"/>
              </w:rPr>
            </w:pPr>
            <w:r>
              <w:rPr>
                <w:rFonts w:cs="Calibri"/>
                <w:color w:val="000000"/>
              </w:rPr>
              <w:t>2000 - 2019</w:t>
            </w:r>
          </w:p>
        </w:tc>
        <w:tc>
          <w:tcPr>
            <w:tcW w:w="7735" w:type="dxa"/>
            <w:shd w:val="clear" w:color="auto" w:fill="auto"/>
            <w:noWrap/>
            <w:vAlign w:val="bottom"/>
            <w:hideMark/>
          </w:tcPr>
          <w:p w14:paraId="16509A55" w14:textId="77777777" w:rsidR="007E48B3" w:rsidRPr="007B3551" w:rsidRDefault="007E48B3" w:rsidP="00416373">
            <w:pPr>
              <w:bidi w:val="0"/>
              <w:rPr>
                <w:rFonts w:cs="Calibri"/>
                <w:color w:val="000000"/>
              </w:rPr>
            </w:pPr>
            <w:r>
              <w:rPr>
                <w:rFonts w:cs="Calibri"/>
                <w:color w:val="000000"/>
              </w:rPr>
              <w:t>Palestinian Central Bureau of Statistics, foreign trade and balance of payments</w:t>
            </w:r>
          </w:p>
        </w:tc>
      </w:tr>
    </w:tbl>
    <w:p w14:paraId="262CB7A8" w14:textId="77777777" w:rsidR="007E48B3" w:rsidRPr="00422D3F" w:rsidRDefault="007E48B3" w:rsidP="007E48B3">
      <w:pPr>
        <w:pStyle w:val="ListParagraph"/>
        <w:autoSpaceDE w:val="0"/>
        <w:autoSpaceDN w:val="0"/>
        <w:bidi w:val="0"/>
        <w:adjustRightInd w:val="0"/>
        <w:spacing w:after="240" w:line="480" w:lineRule="auto"/>
        <w:ind w:left="360"/>
        <w:rPr>
          <w:b/>
          <w:bCs/>
        </w:rPr>
      </w:pPr>
    </w:p>
    <w:p w14:paraId="1C8E6ADF" w14:textId="77777777" w:rsidR="007E48B3" w:rsidRDefault="007E48B3" w:rsidP="007E48B3">
      <w:pPr>
        <w:pStyle w:val="ListParagraph"/>
        <w:numPr>
          <w:ilvl w:val="0"/>
          <w:numId w:val="20"/>
        </w:numPr>
        <w:autoSpaceDE w:val="0"/>
        <w:autoSpaceDN w:val="0"/>
        <w:bidi w:val="0"/>
        <w:adjustRightInd w:val="0"/>
        <w:spacing w:line="480" w:lineRule="auto"/>
        <w:ind w:left="720"/>
        <w:rPr>
          <w:b/>
          <w:bCs/>
        </w:rPr>
      </w:pPr>
      <w:r w:rsidRPr="00135645">
        <w:rPr>
          <w:b/>
          <w:bCs/>
        </w:rPr>
        <w:t xml:space="preserve">Share of Gross clearance revenues </w:t>
      </w:r>
      <w:r>
        <w:rPr>
          <w:b/>
          <w:bCs/>
        </w:rPr>
        <w:t xml:space="preserve">out </w:t>
      </w:r>
      <w:r w:rsidRPr="00135645">
        <w:rPr>
          <w:b/>
          <w:bCs/>
        </w:rPr>
        <w:t xml:space="preserve">of Total PA net revenues and grants </w:t>
      </w:r>
      <w:r>
        <w:rPr>
          <w:b/>
          <w:bCs/>
        </w:rPr>
        <w:t>–</w:t>
      </w:r>
      <w:r w:rsidRPr="00135645">
        <w:rPr>
          <w:b/>
          <w:bCs/>
        </w:rPr>
        <w:t xml:space="preserve"> </w:t>
      </w:r>
    </w:p>
    <w:p w14:paraId="1EA6A164" w14:textId="77777777" w:rsidR="007E48B3" w:rsidRDefault="007E48B3" w:rsidP="007E48B3">
      <w:pPr>
        <w:pStyle w:val="ListParagraph"/>
        <w:autoSpaceDE w:val="0"/>
        <w:autoSpaceDN w:val="0"/>
        <w:bidi w:val="0"/>
        <w:adjustRightInd w:val="0"/>
        <w:spacing w:line="480" w:lineRule="auto"/>
      </w:pPr>
      <w:r w:rsidRPr="0093017A">
        <w:t>Measures the value of clearance revenues collected by Israel and transferred to the PA out of total PA net revenues and grants</w:t>
      </w:r>
      <w:r>
        <w:t>.</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44B4CEB5" w14:textId="77777777" w:rsidTr="00416373">
        <w:trPr>
          <w:trHeight w:val="385"/>
        </w:trPr>
        <w:tc>
          <w:tcPr>
            <w:tcW w:w="8409" w:type="dxa"/>
            <w:gridSpan w:val="2"/>
            <w:shd w:val="clear" w:color="auto" w:fill="auto"/>
            <w:noWrap/>
            <w:vAlign w:val="center"/>
          </w:tcPr>
          <w:p w14:paraId="798A2B87"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4081E17F" w14:textId="77777777" w:rsidTr="00416373">
        <w:trPr>
          <w:trHeight w:val="1200"/>
        </w:trPr>
        <w:tc>
          <w:tcPr>
            <w:tcW w:w="1580" w:type="dxa"/>
            <w:shd w:val="clear" w:color="auto" w:fill="auto"/>
            <w:noWrap/>
            <w:vAlign w:val="center"/>
            <w:hideMark/>
          </w:tcPr>
          <w:p w14:paraId="676AC88C" w14:textId="77777777" w:rsidR="007E48B3" w:rsidRPr="003C3F18" w:rsidRDefault="007E48B3" w:rsidP="00416373">
            <w:pPr>
              <w:bidi w:val="0"/>
              <w:rPr>
                <w:rFonts w:cs="Calibri"/>
                <w:color w:val="000000"/>
              </w:rPr>
            </w:pPr>
            <w:r w:rsidRPr="003C3F18">
              <w:rPr>
                <w:rFonts w:cs="Calibri"/>
                <w:color w:val="000000"/>
              </w:rPr>
              <w:t>1998-2019</w:t>
            </w:r>
          </w:p>
        </w:tc>
        <w:tc>
          <w:tcPr>
            <w:tcW w:w="6829" w:type="dxa"/>
            <w:shd w:val="clear" w:color="auto" w:fill="auto"/>
            <w:noWrap/>
            <w:vAlign w:val="center"/>
            <w:hideMark/>
          </w:tcPr>
          <w:p w14:paraId="069C980D" w14:textId="77777777" w:rsidR="007E48B3" w:rsidRPr="003C3F18" w:rsidRDefault="007E48B3" w:rsidP="00416373">
            <w:pPr>
              <w:bidi w:val="0"/>
              <w:rPr>
                <w:rFonts w:cs="Calibri"/>
                <w:color w:val="000000"/>
              </w:rPr>
            </w:pPr>
            <w:r w:rsidRPr="003C3F18">
              <w:rPr>
                <w:rFonts w:cs="Calibri"/>
                <w:color w:val="000000"/>
              </w:rPr>
              <w:t>Palestine Monetary Authority, Annual Statistics, Time Series Data,</w:t>
            </w:r>
            <w:r>
              <w:rPr>
                <w:rFonts w:cs="Calibri"/>
                <w:color w:val="000000"/>
              </w:rPr>
              <w:t xml:space="preserve"> </w:t>
            </w:r>
            <w:r w:rsidRPr="003C3F18">
              <w:rPr>
                <w:rFonts w:cs="Calibri"/>
                <w:color w:val="000000"/>
              </w:rPr>
              <w:t>Public Finance, Revenues, expenditures and financing sources of PNA fiscal operations (cash basis)</w:t>
            </w:r>
          </w:p>
        </w:tc>
      </w:tr>
    </w:tbl>
    <w:p w14:paraId="51B49682"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135645">
        <w:rPr>
          <w:b/>
          <w:bCs/>
        </w:rPr>
        <w:t>Palestinians employed in Israel out of total Palestinian</w:t>
      </w:r>
      <w:r>
        <w:rPr>
          <w:b/>
          <w:bCs/>
        </w:rPr>
        <w:t xml:space="preserve"> </w:t>
      </w:r>
      <w:r w:rsidRPr="00135645">
        <w:rPr>
          <w:b/>
          <w:bCs/>
        </w:rPr>
        <w:t xml:space="preserve">employed Individuals </w:t>
      </w:r>
      <w:r>
        <w:rPr>
          <w:b/>
          <w:bCs/>
        </w:rPr>
        <w:t>–</w:t>
      </w:r>
      <w:r w:rsidRPr="00135645">
        <w:rPr>
          <w:b/>
          <w:bCs/>
        </w:rPr>
        <w:t xml:space="preserve"> </w:t>
      </w:r>
    </w:p>
    <w:p w14:paraId="17FEDD1C" w14:textId="77777777" w:rsidR="007E48B3" w:rsidRPr="00BF0BD8" w:rsidRDefault="007E48B3" w:rsidP="007E48B3">
      <w:pPr>
        <w:pStyle w:val="ListParagraph"/>
        <w:autoSpaceDE w:val="0"/>
        <w:autoSpaceDN w:val="0"/>
        <w:bidi w:val="0"/>
        <w:adjustRightInd w:val="0"/>
        <w:spacing w:line="480" w:lineRule="auto"/>
      </w:pPr>
      <w:r w:rsidRPr="00BF0BD8">
        <w:t>Measures the number pf Palestinians employed in Israel and the settlements out of total Palestinian employed Individuals.</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735"/>
      </w:tblGrid>
      <w:tr w:rsidR="007E48B3" w:rsidRPr="007B3551" w14:paraId="56463F92" w14:textId="77777777" w:rsidTr="00416373">
        <w:trPr>
          <w:trHeight w:val="300"/>
        </w:trPr>
        <w:tc>
          <w:tcPr>
            <w:tcW w:w="9315" w:type="dxa"/>
            <w:gridSpan w:val="2"/>
            <w:shd w:val="clear" w:color="auto" w:fill="auto"/>
            <w:noWrap/>
            <w:vAlign w:val="bottom"/>
          </w:tcPr>
          <w:p w14:paraId="27753385" w14:textId="77777777" w:rsidR="007E48B3" w:rsidRPr="00A00835" w:rsidRDefault="007E48B3" w:rsidP="00416373">
            <w:pPr>
              <w:bidi w:val="0"/>
              <w:rPr>
                <w:rFonts w:cs="Calibri"/>
                <w:color w:val="000000"/>
              </w:rPr>
            </w:pPr>
            <w:r>
              <w:rPr>
                <w:rFonts w:cs="Calibri"/>
                <w:color w:val="000000"/>
              </w:rPr>
              <w:t>Data source</w:t>
            </w:r>
          </w:p>
        </w:tc>
      </w:tr>
      <w:tr w:rsidR="007E48B3" w:rsidRPr="007B3551" w14:paraId="635ADD34" w14:textId="77777777" w:rsidTr="00416373">
        <w:trPr>
          <w:trHeight w:val="300"/>
        </w:trPr>
        <w:tc>
          <w:tcPr>
            <w:tcW w:w="1580" w:type="dxa"/>
            <w:shd w:val="clear" w:color="auto" w:fill="auto"/>
            <w:noWrap/>
            <w:vAlign w:val="center"/>
            <w:hideMark/>
          </w:tcPr>
          <w:p w14:paraId="60019E1A" w14:textId="77777777" w:rsidR="007E48B3" w:rsidRPr="007B3551" w:rsidRDefault="007E48B3" w:rsidP="00416373">
            <w:pPr>
              <w:bidi w:val="0"/>
              <w:rPr>
                <w:rFonts w:cs="Calibri"/>
                <w:color w:val="000000"/>
              </w:rPr>
            </w:pPr>
            <w:r>
              <w:rPr>
                <w:rFonts w:cs="Calibri"/>
                <w:color w:val="000000"/>
              </w:rPr>
              <w:t>1968, 1969 ,1994</w:t>
            </w:r>
          </w:p>
        </w:tc>
        <w:tc>
          <w:tcPr>
            <w:tcW w:w="7735" w:type="dxa"/>
            <w:shd w:val="clear" w:color="auto" w:fill="auto"/>
            <w:noWrap/>
            <w:vAlign w:val="center"/>
            <w:hideMark/>
          </w:tcPr>
          <w:p w14:paraId="391B3206" w14:textId="77777777" w:rsidR="007E48B3" w:rsidRPr="007B3551" w:rsidRDefault="007E48B3" w:rsidP="00416373">
            <w:pPr>
              <w:bidi w:val="0"/>
              <w:rPr>
                <w:rFonts w:cs="Calibri"/>
                <w:color w:val="000000"/>
              </w:rPr>
            </w:pPr>
            <w:r>
              <w:rPr>
                <w:rFonts w:cs="Calibri"/>
                <w:color w:val="000000"/>
              </w:rPr>
              <w:t>Missing data - supplemented by the average of the years before and after</w:t>
            </w:r>
          </w:p>
        </w:tc>
      </w:tr>
      <w:tr w:rsidR="007E48B3" w:rsidRPr="007B3551" w14:paraId="37ED2307" w14:textId="77777777" w:rsidTr="00416373">
        <w:trPr>
          <w:trHeight w:val="300"/>
        </w:trPr>
        <w:tc>
          <w:tcPr>
            <w:tcW w:w="1580" w:type="dxa"/>
            <w:shd w:val="clear" w:color="auto" w:fill="auto"/>
            <w:noWrap/>
            <w:vAlign w:val="center"/>
            <w:hideMark/>
          </w:tcPr>
          <w:p w14:paraId="2FE5099B" w14:textId="77777777" w:rsidR="007E48B3" w:rsidRPr="007B3551" w:rsidRDefault="007E48B3" w:rsidP="00416373">
            <w:pPr>
              <w:bidi w:val="0"/>
              <w:rPr>
                <w:rFonts w:cs="Calibri"/>
                <w:color w:val="000000"/>
              </w:rPr>
            </w:pPr>
            <w:r>
              <w:rPr>
                <w:rFonts w:cs="Calibri"/>
                <w:color w:val="000000"/>
              </w:rPr>
              <w:t>1970 - 1993</w:t>
            </w:r>
          </w:p>
        </w:tc>
        <w:tc>
          <w:tcPr>
            <w:tcW w:w="7735" w:type="dxa"/>
            <w:shd w:val="clear" w:color="auto" w:fill="auto"/>
            <w:noWrap/>
            <w:vAlign w:val="center"/>
            <w:hideMark/>
          </w:tcPr>
          <w:p w14:paraId="00AE4080" w14:textId="77777777" w:rsidR="007E48B3" w:rsidRPr="007B3551" w:rsidRDefault="007E48B3" w:rsidP="00416373">
            <w:pPr>
              <w:bidi w:val="0"/>
              <w:rPr>
                <w:rFonts w:cs="Calibri"/>
                <w:color w:val="000000"/>
              </w:rPr>
            </w:pPr>
            <w:r>
              <w:rPr>
                <w:rFonts w:cs="Calibri"/>
                <w:color w:val="000000"/>
              </w:rPr>
              <w:t xml:space="preserve">National Accounts of Judea, Samaria and the Gaza area, 1968-1993, Publication No. 1012, Israeli Central Bureau of Statistics </w:t>
            </w:r>
          </w:p>
        </w:tc>
      </w:tr>
      <w:tr w:rsidR="007E48B3" w:rsidRPr="007B3551" w14:paraId="194C648A" w14:textId="77777777" w:rsidTr="00416373">
        <w:trPr>
          <w:trHeight w:val="300"/>
        </w:trPr>
        <w:tc>
          <w:tcPr>
            <w:tcW w:w="1580" w:type="dxa"/>
            <w:shd w:val="clear" w:color="auto" w:fill="auto"/>
            <w:noWrap/>
            <w:vAlign w:val="center"/>
            <w:hideMark/>
          </w:tcPr>
          <w:p w14:paraId="1F6583AF" w14:textId="77777777" w:rsidR="007E48B3" w:rsidRPr="007B3551" w:rsidRDefault="007E48B3" w:rsidP="00416373">
            <w:pPr>
              <w:bidi w:val="0"/>
              <w:rPr>
                <w:rFonts w:cs="Calibri"/>
                <w:color w:val="000000"/>
              </w:rPr>
            </w:pPr>
            <w:r>
              <w:rPr>
                <w:rFonts w:cs="Calibri"/>
                <w:color w:val="000000"/>
              </w:rPr>
              <w:t>1995 - 2019</w:t>
            </w:r>
          </w:p>
        </w:tc>
        <w:tc>
          <w:tcPr>
            <w:tcW w:w="7735" w:type="dxa"/>
            <w:shd w:val="clear" w:color="auto" w:fill="auto"/>
            <w:noWrap/>
            <w:vAlign w:val="center"/>
            <w:hideMark/>
          </w:tcPr>
          <w:p w14:paraId="1479A219" w14:textId="77777777" w:rsidR="007E48B3" w:rsidRPr="007B3551" w:rsidRDefault="007E48B3" w:rsidP="00416373">
            <w:pPr>
              <w:bidi w:val="0"/>
              <w:rPr>
                <w:rFonts w:cs="Calibri"/>
                <w:color w:val="000000"/>
              </w:rPr>
            </w:pPr>
            <w:r>
              <w:rPr>
                <w:rFonts w:cs="Calibri"/>
                <w:color w:val="000000"/>
              </w:rPr>
              <w:t>Palestinian Central Bureau of Statistics, </w:t>
            </w:r>
            <w:r>
              <w:rPr>
                <w:i/>
                <w:iCs/>
                <w:color w:val="000000"/>
                <w:sz w:val="20"/>
                <w:szCs w:val="20"/>
              </w:rPr>
              <w:t>Labor Force Survey</w:t>
            </w:r>
          </w:p>
        </w:tc>
      </w:tr>
    </w:tbl>
    <w:p w14:paraId="22B9B23D" w14:textId="77777777" w:rsidR="007E48B3" w:rsidRPr="00064DC6" w:rsidRDefault="007E48B3" w:rsidP="007E48B3">
      <w:pPr>
        <w:pStyle w:val="ListParagraph"/>
        <w:autoSpaceDE w:val="0"/>
        <w:autoSpaceDN w:val="0"/>
        <w:bidi w:val="0"/>
        <w:adjustRightInd w:val="0"/>
        <w:spacing w:after="240" w:line="480" w:lineRule="auto"/>
        <w:ind w:left="360"/>
      </w:pPr>
    </w:p>
    <w:p w14:paraId="48F7992A"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135645">
        <w:rPr>
          <w:b/>
          <w:bCs/>
        </w:rPr>
        <w:t xml:space="preserve">Remittances of Palestinians workers in Israel out of WBG GNI </w:t>
      </w:r>
      <w:r>
        <w:rPr>
          <w:b/>
          <w:bCs/>
        </w:rPr>
        <w:t>–</w:t>
      </w:r>
    </w:p>
    <w:p w14:paraId="5DBBB347" w14:textId="77777777" w:rsidR="007E48B3" w:rsidRDefault="007E48B3" w:rsidP="007E48B3">
      <w:pPr>
        <w:pStyle w:val="ListParagraph"/>
        <w:autoSpaceDE w:val="0"/>
        <w:autoSpaceDN w:val="0"/>
        <w:bidi w:val="0"/>
        <w:adjustRightInd w:val="0"/>
        <w:spacing w:line="480" w:lineRule="auto"/>
      </w:pPr>
      <w:r w:rsidRPr="00F83A2E">
        <w:t>Measures the value of Palestinians workers’ salaries in Israel and the settlements out of total WBG gross national income</w:t>
      </w:r>
      <w:r>
        <w:t>.</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735"/>
      </w:tblGrid>
      <w:tr w:rsidR="007E48B3" w:rsidRPr="007B3551" w14:paraId="293D7B74" w14:textId="77777777" w:rsidTr="00416373">
        <w:trPr>
          <w:trHeight w:val="300"/>
        </w:trPr>
        <w:tc>
          <w:tcPr>
            <w:tcW w:w="9315" w:type="dxa"/>
            <w:gridSpan w:val="2"/>
            <w:shd w:val="clear" w:color="auto" w:fill="auto"/>
            <w:noWrap/>
            <w:vAlign w:val="bottom"/>
          </w:tcPr>
          <w:p w14:paraId="04D98E87" w14:textId="77777777" w:rsidR="007E48B3" w:rsidRDefault="007E48B3" w:rsidP="00416373">
            <w:pPr>
              <w:bidi w:val="0"/>
              <w:rPr>
                <w:rFonts w:cs="Calibri"/>
                <w:color w:val="000000"/>
              </w:rPr>
            </w:pPr>
            <w:r>
              <w:rPr>
                <w:rFonts w:cs="Calibri"/>
                <w:color w:val="000000"/>
              </w:rPr>
              <w:t>Data source</w:t>
            </w:r>
          </w:p>
        </w:tc>
      </w:tr>
      <w:tr w:rsidR="007E48B3" w:rsidRPr="007B3551" w14:paraId="1A75D1AA" w14:textId="77777777" w:rsidTr="00416373">
        <w:trPr>
          <w:trHeight w:val="300"/>
        </w:trPr>
        <w:tc>
          <w:tcPr>
            <w:tcW w:w="1580" w:type="dxa"/>
            <w:shd w:val="clear" w:color="auto" w:fill="auto"/>
            <w:noWrap/>
            <w:vAlign w:val="center"/>
            <w:hideMark/>
          </w:tcPr>
          <w:p w14:paraId="36B5E3A3" w14:textId="77777777" w:rsidR="007E48B3" w:rsidRPr="007B3551" w:rsidRDefault="007E48B3" w:rsidP="00416373">
            <w:pPr>
              <w:bidi w:val="0"/>
              <w:rPr>
                <w:rFonts w:cs="Calibri"/>
                <w:color w:val="000000"/>
              </w:rPr>
            </w:pPr>
            <w:r>
              <w:rPr>
                <w:rFonts w:cs="Calibri"/>
                <w:color w:val="000000"/>
              </w:rPr>
              <w:t>1968-1994</w:t>
            </w:r>
          </w:p>
        </w:tc>
        <w:tc>
          <w:tcPr>
            <w:tcW w:w="7735" w:type="dxa"/>
            <w:shd w:val="clear" w:color="auto" w:fill="auto"/>
            <w:noWrap/>
            <w:vAlign w:val="center"/>
            <w:hideMark/>
          </w:tcPr>
          <w:p w14:paraId="7AEABD87" w14:textId="77777777" w:rsidR="007E48B3" w:rsidRPr="007B3551" w:rsidRDefault="007E48B3" w:rsidP="00416373">
            <w:pPr>
              <w:bidi w:val="0"/>
              <w:rPr>
                <w:rFonts w:cs="Calibri"/>
                <w:color w:val="000000"/>
              </w:rPr>
            </w:pPr>
            <w:proofErr w:type="spellStart"/>
            <w:r>
              <w:rPr>
                <w:rFonts w:cs="Calibri"/>
                <w:color w:val="000000"/>
              </w:rPr>
              <w:t>Sharbel</w:t>
            </w:r>
            <w:proofErr w:type="spellEnd"/>
            <w:r>
              <w:rPr>
                <w:rFonts w:cs="Calibri"/>
                <w:color w:val="000000"/>
              </w:rPr>
              <w:t xml:space="preserve"> </w:t>
            </w:r>
            <w:proofErr w:type="spellStart"/>
            <w:r>
              <w:rPr>
                <w:rFonts w:cs="Calibri"/>
                <w:color w:val="000000"/>
              </w:rPr>
              <w:t>Shoukair</w:t>
            </w:r>
            <w:proofErr w:type="spellEnd"/>
            <w:r>
              <w:rPr>
                <w:rFonts w:cs="Calibri"/>
                <w:color w:val="000000"/>
              </w:rPr>
              <w:t xml:space="preserve"> (2013), The Impact of Foreign Aid and Donations to Palestine on Development of its Economy under Alternative Israeli- Palestinian Economic Interaction Regimes, Salaries of residents from abroad and net income from abroad </w:t>
            </w:r>
          </w:p>
        </w:tc>
      </w:tr>
      <w:tr w:rsidR="007E48B3" w:rsidRPr="007B3551" w14:paraId="4511A06F" w14:textId="77777777" w:rsidTr="00416373">
        <w:trPr>
          <w:trHeight w:val="300"/>
        </w:trPr>
        <w:tc>
          <w:tcPr>
            <w:tcW w:w="1580" w:type="dxa"/>
            <w:shd w:val="clear" w:color="auto" w:fill="auto"/>
            <w:noWrap/>
            <w:vAlign w:val="center"/>
            <w:hideMark/>
          </w:tcPr>
          <w:p w14:paraId="34F936B5" w14:textId="77777777" w:rsidR="007E48B3" w:rsidRPr="007B3551" w:rsidRDefault="007E48B3" w:rsidP="00416373">
            <w:pPr>
              <w:bidi w:val="0"/>
              <w:rPr>
                <w:rFonts w:cs="Calibri"/>
                <w:color w:val="000000"/>
              </w:rPr>
            </w:pPr>
            <w:r>
              <w:rPr>
                <w:rFonts w:cs="Calibri"/>
                <w:color w:val="000000"/>
              </w:rPr>
              <w:t>1995 -2019</w:t>
            </w:r>
          </w:p>
        </w:tc>
        <w:tc>
          <w:tcPr>
            <w:tcW w:w="7735" w:type="dxa"/>
            <w:shd w:val="clear" w:color="auto" w:fill="auto"/>
            <w:noWrap/>
            <w:vAlign w:val="center"/>
            <w:hideMark/>
          </w:tcPr>
          <w:p w14:paraId="57B49053" w14:textId="77777777" w:rsidR="007E48B3" w:rsidRPr="007B3551" w:rsidRDefault="007E48B3" w:rsidP="00416373">
            <w:pPr>
              <w:bidi w:val="0"/>
              <w:rPr>
                <w:rFonts w:cs="Calibri"/>
                <w:color w:val="000000"/>
              </w:rPr>
            </w:pPr>
            <w:r>
              <w:rPr>
                <w:rFonts w:cs="Calibri"/>
                <w:color w:val="000000"/>
              </w:rPr>
              <w:t>Palestinian Central Bureau of Statistics, National accounts and Balance of Payments, Fifth Edition. Compensation of employees from balance of payment out of GNI in current prices</w:t>
            </w:r>
          </w:p>
        </w:tc>
      </w:tr>
    </w:tbl>
    <w:p w14:paraId="5044ABD3" w14:textId="77777777" w:rsidR="007E48B3" w:rsidRDefault="007E48B3" w:rsidP="007E48B3">
      <w:pPr>
        <w:pStyle w:val="ListParagraph"/>
        <w:autoSpaceDE w:val="0"/>
        <w:autoSpaceDN w:val="0"/>
        <w:bidi w:val="0"/>
        <w:adjustRightInd w:val="0"/>
        <w:spacing w:after="240" w:line="480" w:lineRule="auto"/>
        <w:ind w:left="360"/>
        <w:jc w:val="center"/>
        <w:rPr>
          <w:b/>
          <w:bCs/>
        </w:rPr>
      </w:pPr>
    </w:p>
    <w:p w14:paraId="75808DE6" w14:textId="3DB15C71" w:rsidR="007E48B3" w:rsidRPr="001D40DD" w:rsidRDefault="00372450" w:rsidP="007E48B3">
      <w:pPr>
        <w:pStyle w:val="ListParagraph"/>
        <w:autoSpaceDE w:val="0"/>
        <w:autoSpaceDN w:val="0"/>
        <w:bidi w:val="0"/>
        <w:adjustRightInd w:val="0"/>
        <w:spacing w:after="240" w:line="480" w:lineRule="auto"/>
        <w:ind w:left="360"/>
        <w:jc w:val="center"/>
        <w:rPr>
          <w:b/>
          <w:bCs/>
        </w:rPr>
      </w:pPr>
      <w:r>
        <w:rPr>
          <w:b/>
          <w:bCs/>
        </w:rPr>
        <w:t xml:space="preserve">Figure </w:t>
      </w:r>
      <w:r w:rsidRPr="00F0741A">
        <w:rPr>
          <w:b/>
          <w:bCs/>
          <w:shd w:val="clear" w:color="auto" w:fill="FFFF00"/>
        </w:rPr>
        <w:t>XX</w:t>
      </w:r>
      <w:r>
        <w:rPr>
          <w:b/>
          <w:bCs/>
        </w:rPr>
        <w:t xml:space="preserve"> - </w:t>
      </w:r>
      <w:r w:rsidR="007E48B3" w:rsidRPr="001D40DD">
        <w:rPr>
          <w:b/>
          <w:bCs/>
        </w:rPr>
        <w:t>Trade, Employment and Taxes</w:t>
      </w:r>
    </w:p>
    <w:p w14:paraId="5FD09EFF" w14:textId="77777777" w:rsidR="007E48B3" w:rsidRDefault="007E48B3" w:rsidP="007E48B3">
      <w:pPr>
        <w:pStyle w:val="ListParagraph"/>
        <w:autoSpaceDE w:val="0"/>
        <w:autoSpaceDN w:val="0"/>
        <w:bidi w:val="0"/>
        <w:adjustRightInd w:val="0"/>
        <w:spacing w:after="240" w:line="480" w:lineRule="auto"/>
        <w:ind w:left="360"/>
        <w:jc w:val="center"/>
        <w:rPr>
          <w:rFonts w:asciiTheme="majorBidi" w:hAnsiTheme="majorBidi" w:cstheme="majorBidi"/>
          <w:b/>
          <w:bCs/>
          <w:sz w:val="24"/>
          <w:szCs w:val="24"/>
          <w:rtl/>
        </w:rPr>
      </w:pPr>
      <w:r>
        <w:rPr>
          <w:noProof/>
        </w:rPr>
        <w:drawing>
          <wp:inline distT="0" distB="0" distL="0" distR="0" wp14:anchorId="5B4989A0" wp14:editId="2F3199B7">
            <wp:extent cx="5292000" cy="3060000"/>
            <wp:effectExtent l="0" t="0" r="4445" b="7620"/>
            <wp:docPr id="44" name="Chart 44">
              <a:extLst xmlns:a="http://schemas.openxmlformats.org/drawingml/2006/main">
                <a:ext uri="{FF2B5EF4-FFF2-40B4-BE49-F238E27FC236}">
                  <a16:creationId xmlns:a16="http://schemas.microsoft.com/office/drawing/2014/main" id="{4F9867DD-86AE-4EC5-8903-32AD57E8B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17092F2" w14:textId="77777777" w:rsidR="007E48B3" w:rsidRDefault="007E48B3" w:rsidP="007E48B3">
      <w:pPr>
        <w:pStyle w:val="ListParagraph"/>
        <w:autoSpaceDE w:val="0"/>
        <w:autoSpaceDN w:val="0"/>
        <w:bidi w:val="0"/>
        <w:adjustRightInd w:val="0"/>
        <w:spacing w:line="360" w:lineRule="auto"/>
        <w:ind w:left="360"/>
        <w:rPr>
          <w:rFonts w:asciiTheme="majorBidi" w:hAnsiTheme="majorBidi" w:cstheme="majorBidi"/>
          <w:b/>
          <w:bCs/>
          <w:sz w:val="24"/>
          <w:szCs w:val="24"/>
        </w:rPr>
      </w:pPr>
    </w:p>
    <w:p w14:paraId="36C246D9" w14:textId="1C019E76" w:rsidR="007E48B3" w:rsidRDefault="00466813" w:rsidP="00F0741A">
      <w:pPr>
        <w:pStyle w:val="ListParagraph"/>
        <w:autoSpaceDE w:val="0"/>
        <w:autoSpaceDN w:val="0"/>
        <w:bidi w:val="0"/>
        <w:adjustRightInd w:val="0"/>
        <w:spacing w:line="360" w:lineRule="auto"/>
        <w:ind w:left="360"/>
        <w:jc w:val="center"/>
        <w:rPr>
          <w:rFonts w:asciiTheme="majorBidi" w:hAnsiTheme="majorBidi" w:cstheme="majorBidi"/>
          <w:b/>
          <w:bCs/>
          <w:sz w:val="24"/>
          <w:szCs w:val="24"/>
        </w:rPr>
      </w:pPr>
      <w:r>
        <w:rPr>
          <w:rFonts w:asciiTheme="majorBidi" w:hAnsiTheme="majorBidi" w:cstheme="majorBidi"/>
          <w:b/>
          <w:bCs/>
          <w:sz w:val="24"/>
          <w:szCs w:val="24"/>
        </w:rPr>
        <w:t xml:space="preserve">Table </w:t>
      </w:r>
      <w:r w:rsidR="00F0741A" w:rsidRPr="00F0741A">
        <w:rPr>
          <w:rFonts w:asciiTheme="majorBidi" w:hAnsiTheme="majorBidi" w:cstheme="majorBidi"/>
          <w:b/>
          <w:bCs/>
          <w:sz w:val="24"/>
          <w:szCs w:val="24"/>
          <w:shd w:val="clear" w:color="auto" w:fill="FFFF00"/>
        </w:rPr>
        <w:t>XX</w:t>
      </w:r>
      <w:r>
        <w:rPr>
          <w:rFonts w:asciiTheme="majorBidi" w:hAnsiTheme="majorBidi" w:cstheme="majorBidi"/>
          <w:b/>
          <w:bCs/>
          <w:sz w:val="24"/>
          <w:szCs w:val="24"/>
        </w:rPr>
        <w:t xml:space="preserve"> </w:t>
      </w:r>
      <w:r w:rsidR="00F0741A">
        <w:rPr>
          <w:rFonts w:asciiTheme="majorBidi" w:hAnsiTheme="majorBidi" w:cstheme="majorBidi"/>
          <w:b/>
          <w:bCs/>
          <w:sz w:val="24"/>
          <w:szCs w:val="24"/>
        </w:rPr>
        <w:t>–</w:t>
      </w:r>
      <w:r>
        <w:rPr>
          <w:rFonts w:asciiTheme="majorBidi" w:hAnsiTheme="majorBidi" w:cstheme="majorBidi"/>
          <w:b/>
          <w:bCs/>
          <w:sz w:val="24"/>
          <w:szCs w:val="24"/>
        </w:rPr>
        <w:t xml:space="preserve"> </w:t>
      </w:r>
      <w:r w:rsidR="00F0741A">
        <w:rPr>
          <w:rFonts w:asciiTheme="majorBidi" w:hAnsiTheme="majorBidi" w:cstheme="majorBidi" w:hint="cs"/>
          <w:b/>
          <w:bCs/>
          <w:sz w:val="24"/>
          <w:szCs w:val="24"/>
        </w:rPr>
        <w:t>R</w:t>
      </w:r>
      <w:r w:rsidR="00F0741A">
        <w:rPr>
          <w:rFonts w:asciiTheme="majorBidi" w:hAnsiTheme="majorBidi" w:cstheme="majorBidi"/>
          <w:b/>
          <w:bCs/>
          <w:sz w:val="24"/>
          <w:szCs w:val="24"/>
        </w:rPr>
        <w:t xml:space="preserve">aw data - </w:t>
      </w:r>
      <w:r w:rsidR="00F0741A" w:rsidRPr="001D40DD">
        <w:rPr>
          <w:b/>
          <w:bCs/>
        </w:rPr>
        <w:t>Trade, Employment and Taxes</w:t>
      </w:r>
    </w:p>
    <w:p w14:paraId="5624D31D" w14:textId="77777777" w:rsidR="007E48B3" w:rsidRDefault="007E48B3" w:rsidP="007E48B3">
      <w:pPr>
        <w:pStyle w:val="ListParagraph"/>
        <w:autoSpaceDE w:val="0"/>
        <w:autoSpaceDN w:val="0"/>
        <w:bidi w:val="0"/>
        <w:adjustRightInd w:val="0"/>
        <w:spacing w:line="360" w:lineRule="auto"/>
        <w:ind w:left="360"/>
        <w:rPr>
          <w:rFonts w:asciiTheme="majorBidi" w:hAnsiTheme="majorBidi" w:cstheme="majorBidi"/>
          <w:b/>
          <w:bCs/>
          <w:sz w:val="24"/>
          <w:szCs w:val="24"/>
        </w:rPr>
      </w:pPr>
    </w:p>
    <w:tbl>
      <w:tblPr>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866"/>
        <w:gridCol w:w="1485"/>
        <w:gridCol w:w="1407"/>
        <w:gridCol w:w="1435"/>
        <w:gridCol w:w="1490"/>
      </w:tblGrid>
      <w:tr w:rsidR="007E48B3" w:rsidRPr="00672DA8" w14:paraId="5F6222E7" w14:textId="77777777" w:rsidTr="00416373">
        <w:trPr>
          <w:trHeight w:val="1692"/>
        </w:trPr>
        <w:tc>
          <w:tcPr>
            <w:tcW w:w="722" w:type="dxa"/>
            <w:shd w:val="clear" w:color="auto" w:fill="auto"/>
          </w:tcPr>
          <w:p w14:paraId="5DC3E908" w14:textId="77777777" w:rsidR="007E48B3" w:rsidRPr="00741E8E" w:rsidRDefault="007E48B3" w:rsidP="00416373">
            <w:pPr>
              <w:bidi w:val="0"/>
              <w:jc w:val="center"/>
              <w:rPr>
                <w:rFonts w:cs="Calibri"/>
                <w:b/>
                <w:bCs/>
                <w:color w:val="000000"/>
                <w:sz w:val="18"/>
                <w:szCs w:val="18"/>
              </w:rPr>
            </w:pPr>
            <w:r w:rsidRPr="00672DA8">
              <w:rPr>
                <w:rFonts w:cs="Calibri"/>
                <w:b/>
                <w:bCs/>
                <w:color w:val="000000"/>
                <w:sz w:val="18"/>
                <w:szCs w:val="18"/>
              </w:rPr>
              <w:t>Year</w:t>
            </w:r>
          </w:p>
        </w:tc>
        <w:tc>
          <w:tcPr>
            <w:tcW w:w="1866" w:type="dxa"/>
            <w:shd w:val="clear" w:color="auto" w:fill="auto"/>
            <w:hideMark/>
          </w:tcPr>
          <w:p w14:paraId="3FCFCE85" w14:textId="77777777" w:rsidR="007E48B3" w:rsidRPr="00741E8E" w:rsidRDefault="007E48B3" w:rsidP="00416373">
            <w:pPr>
              <w:bidi w:val="0"/>
              <w:rPr>
                <w:rFonts w:cs="Calibri"/>
                <w:b/>
                <w:bCs/>
                <w:color w:val="000000"/>
                <w:sz w:val="18"/>
                <w:szCs w:val="18"/>
              </w:rPr>
            </w:pPr>
            <w:r w:rsidRPr="00741E8E">
              <w:rPr>
                <w:rFonts w:cs="Calibri"/>
                <w:b/>
                <w:bCs/>
                <w:color w:val="000000"/>
                <w:sz w:val="18"/>
                <w:szCs w:val="18"/>
              </w:rPr>
              <w:t>Palestinian exports of goods and services to Israel out of total Palestinian exports</w:t>
            </w:r>
          </w:p>
        </w:tc>
        <w:tc>
          <w:tcPr>
            <w:tcW w:w="1485" w:type="dxa"/>
            <w:shd w:val="clear" w:color="auto" w:fill="auto"/>
            <w:hideMark/>
          </w:tcPr>
          <w:p w14:paraId="22328C66" w14:textId="77777777" w:rsidR="007E48B3" w:rsidRPr="00741E8E" w:rsidRDefault="007E48B3" w:rsidP="00416373">
            <w:pPr>
              <w:bidi w:val="0"/>
              <w:rPr>
                <w:rFonts w:cs="Calibri"/>
                <w:b/>
                <w:bCs/>
                <w:color w:val="000000"/>
                <w:sz w:val="18"/>
                <w:szCs w:val="18"/>
              </w:rPr>
            </w:pPr>
            <w:r w:rsidRPr="00741E8E">
              <w:rPr>
                <w:rFonts w:cs="Calibri"/>
                <w:b/>
                <w:bCs/>
                <w:color w:val="000000"/>
                <w:sz w:val="18"/>
                <w:szCs w:val="18"/>
              </w:rPr>
              <w:t>Palestinian imports of goods and services from Israel out of total Palestinian imports</w:t>
            </w:r>
          </w:p>
        </w:tc>
        <w:tc>
          <w:tcPr>
            <w:tcW w:w="1407" w:type="dxa"/>
            <w:shd w:val="clear" w:color="auto" w:fill="auto"/>
            <w:hideMark/>
          </w:tcPr>
          <w:p w14:paraId="0840F4DB" w14:textId="77777777" w:rsidR="007E48B3" w:rsidRPr="00741E8E" w:rsidRDefault="007E48B3" w:rsidP="00416373">
            <w:pPr>
              <w:bidi w:val="0"/>
              <w:rPr>
                <w:rFonts w:cs="Calibri"/>
                <w:b/>
                <w:bCs/>
                <w:color w:val="000000"/>
                <w:sz w:val="18"/>
                <w:szCs w:val="18"/>
              </w:rPr>
            </w:pPr>
            <w:r w:rsidRPr="00741E8E">
              <w:rPr>
                <w:rFonts w:cs="Calibri"/>
                <w:b/>
                <w:bCs/>
                <w:color w:val="000000"/>
                <w:sz w:val="18"/>
                <w:szCs w:val="18"/>
              </w:rPr>
              <w:t>Share of Gross clearance revenues out of Total PA net revenues and grants</w:t>
            </w:r>
          </w:p>
        </w:tc>
        <w:tc>
          <w:tcPr>
            <w:tcW w:w="1435" w:type="dxa"/>
            <w:shd w:val="clear" w:color="auto" w:fill="auto"/>
            <w:hideMark/>
          </w:tcPr>
          <w:p w14:paraId="3EFE3A31" w14:textId="77777777" w:rsidR="007E48B3" w:rsidRPr="00741E8E" w:rsidRDefault="007E48B3" w:rsidP="00416373">
            <w:pPr>
              <w:bidi w:val="0"/>
              <w:rPr>
                <w:rFonts w:cs="Calibri"/>
                <w:b/>
                <w:bCs/>
                <w:color w:val="000000"/>
                <w:sz w:val="18"/>
                <w:szCs w:val="18"/>
              </w:rPr>
            </w:pPr>
            <w:r w:rsidRPr="00741E8E">
              <w:rPr>
                <w:rFonts w:cs="Calibri"/>
                <w:b/>
                <w:bCs/>
                <w:color w:val="000000"/>
                <w:sz w:val="18"/>
                <w:szCs w:val="18"/>
              </w:rPr>
              <w:t>Palestinians employed in Israel out of total Palestinian employed Individuals</w:t>
            </w:r>
          </w:p>
        </w:tc>
        <w:tc>
          <w:tcPr>
            <w:tcW w:w="1490" w:type="dxa"/>
            <w:shd w:val="clear" w:color="auto" w:fill="auto"/>
            <w:hideMark/>
          </w:tcPr>
          <w:p w14:paraId="3A0B5254" w14:textId="77777777" w:rsidR="007E48B3" w:rsidRPr="00741E8E" w:rsidRDefault="007E48B3" w:rsidP="00416373">
            <w:pPr>
              <w:bidi w:val="0"/>
              <w:rPr>
                <w:rFonts w:cs="Calibri"/>
                <w:b/>
                <w:bCs/>
                <w:color w:val="000000"/>
                <w:sz w:val="18"/>
                <w:szCs w:val="18"/>
              </w:rPr>
            </w:pPr>
            <w:r w:rsidRPr="00741E8E">
              <w:rPr>
                <w:rFonts w:cs="Calibri"/>
                <w:b/>
                <w:bCs/>
                <w:color w:val="000000"/>
                <w:sz w:val="18"/>
                <w:szCs w:val="18"/>
              </w:rPr>
              <w:t>Remittances of Palestinians workers in Israel out of WBG GNI</w:t>
            </w:r>
          </w:p>
        </w:tc>
      </w:tr>
      <w:tr w:rsidR="007E48B3" w:rsidRPr="00672DA8" w14:paraId="77597ECF" w14:textId="77777777" w:rsidTr="00416373">
        <w:trPr>
          <w:trHeight w:val="300"/>
        </w:trPr>
        <w:tc>
          <w:tcPr>
            <w:tcW w:w="722" w:type="dxa"/>
            <w:shd w:val="clear" w:color="auto" w:fill="auto"/>
            <w:noWrap/>
            <w:vAlign w:val="bottom"/>
            <w:hideMark/>
          </w:tcPr>
          <w:p w14:paraId="52E1CF3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1968</w:t>
            </w:r>
          </w:p>
        </w:tc>
        <w:tc>
          <w:tcPr>
            <w:tcW w:w="1866" w:type="dxa"/>
            <w:shd w:val="clear" w:color="auto" w:fill="auto"/>
            <w:noWrap/>
            <w:vAlign w:val="bottom"/>
            <w:hideMark/>
          </w:tcPr>
          <w:p w14:paraId="3BD7158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43.1%</w:t>
            </w:r>
          </w:p>
        </w:tc>
        <w:tc>
          <w:tcPr>
            <w:tcW w:w="1485" w:type="dxa"/>
            <w:shd w:val="clear" w:color="auto" w:fill="auto"/>
            <w:noWrap/>
            <w:vAlign w:val="bottom"/>
            <w:hideMark/>
          </w:tcPr>
          <w:p w14:paraId="456267E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76.5%</w:t>
            </w:r>
          </w:p>
        </w:tc>
        <w:tc>
          <w:tcPr>
            <w:tcW w:w="1407" w:type="dxa"/>
            <w:shd w:val="clear" w:color="auto" w:fill="auto"/>
            <w:noWrap/>
            <w:vAlign w:val="bottom"/>
            <w:hideMark/>
          </w:tcPr>
          <w:p w14:paraId="6B393D7E"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DEEAF6" w:themeFill="accent5" w:themeFillTint="33"/>
            <w:noWrap/>
            <w:vAlign w:val="bottom"/>
            <w:hideMark/>
          </w:tcPr>
          <w:p w14:paraId="0DF9018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12%</w:t>
            </w:r>
          </w:p>
        </w:tc>
        <w:tc>
          <w:tcPr>
            <w:tcW w:w="1490" w:type="dxa"/>
            <w:shd w:val="clear" w:color="auto" w:fill="auto"/>
            <w:noWrap/>
            <w:vAlign w:val="bottom"/>
            <w:hideMark/>
          </w:tcPr>
          <w:p w14:paraId="24BCBAD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w:t>
            </w:r>
          </w:p>
        </w:tc>
      </w:tr>
      <w:tr w:rsidR="007E48B3" w:rsidRPr="00672DA8" w14:paraId="780FA59F" w14:textId="77777777" w:rsidTr="00416373">
        <w:trPr>
          <w:trHeight w:val="300"/>
        </w:trPr>
        <w:tc>
          <w:tcPr>
            <w:tcW w:w="722" w:type="dxa"/>
            <w:shd w:val="clear" w:color="auto" w:fill="auto"/>
            <w:noWrap/>
            <w:vAlign w:val="bottom"/>
            <w:hideMark/>
          </w:tcPr>
          <w:p w14:paraId="3F62B2D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1969</w:t>
            </w:r>
          </w:p>
        </w:tc>
        <w:tc>
          <w:tcPr>
            <w:tcW w:w="1866" w:type="dxa"/>
            <w:shd w:val="clear" w:color="auto" w:fill="auto"/>
            <w:noWrap/>
            <w:vAlign w:val="bottom"/>
            <w:hideMark/>
          </w:tcPr>
          <w:p w14:paraId="48732A9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36.6%</w:t>
            </w:r>
          </w:p>
        </w:tc>
        <w:tc>
          <w:tcPr>
            <w:tcW w:w="1485" w:type="dxa"/>
            <w:shd w:val="clear" w:color="auto" w:fill="auto"/>
            <w:noWrap/>
            <w:vAlign w:val="bottom"/>
            <w:hideMark/>
          </w:tcPr>
          <w:p w14:paraId="05357F7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80.2%</w:t>
            </w:r>
          </w:p>
        </w:tc>
        <w:tc>
          <w:tcPr>
            <w:tcW w:w="1407" w:type="dxa"/>
            <w:shd w:val="clear" w:color="auto" w:fill="auto"/>
            <w:noWrap/>
            <w:vAlign w:val="bottom"/>
            <w:hideMark/>
          </w:tcPr>
          <w:p w14:paraId="706853FE"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DEEAF6" w:themeFill="accent5" w:themeFillTint="33"/>
            <w:noWrap/>
            <w:vAlign w:val="bottom"/>
            <w:hideMark/>
          </w:tcPr>
          <w:p w14:paraId="6D6B2DF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12%</w:t>
            </w:r>
          </w:p>
        </w:tc>
        <w:tc>
          <w:tcPr>
            <w:tcW w:w="1490" w:type="dxa"/>
            <w:shd w:val="clear" w:color="auto" w:fill="auto"/>
            <w:noWrap/>
            <w:vAlign w:val="bottom"/>
            <w:hideMark/>
          </w:tcPr>
          <w:p w14:paraId="43CF056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w:t>
            </w:r>
          </w:p>
        </w:tc>
      </w:tr>
      <w:tr w:rsidR="007E48B3" w:rsidRPr="00672DA8" w14:paraId="7DF89D9A" w14:textId="77777777" w:rsidTr="00416373">
        <w:trPr>
          <w:trHeight w:val="300"/>
        </w:trPr>
        <w:tc>
          <w:tcPr>
            <w:tcW w:w="722" w:type="dxa"/>
            <w:shd w:val="clear" w:color="auto" w:fill="auto"/>
            <w:noWrap/>
            <w:vAlign w:val="bottom"/>
            <w:hideMark/>
          </w:tcPr>
          <w:p w14:paraId="0B51B71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1970</w:t>
            </w:r>
          </w:p>
        </w:tc>
        <w:tc>
          <w:tcPr>
            <w:tcW w:w="1866" w:type="dxa"/>
            <w:shd w:val="clear" w:color="auto" w:fill="auto"/>
            <w:noWrap/>
            <w:vAlign w:val="bottom"/>
            <w:hideMark/>
          </w:tcPr>
          <w:p w14:paraId="58EA417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46.2%</w:t>
            </w:r>
          </w:p>
        </w:tc>
        <w:tc>
          <w:tcPr>
            <w:tcW w:w="1485" w:type="dxa"/>
            <w:shd w:val="clear" w:color="auto" w:fill="auto"/>
            <w:noWrap/>
            <w:vAlign w:val="bottom"/>
            <w:hideMark/>
          </w:tcPr>
          <w:p w14:paraId="2DDEC7C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83.6%</w:t>
            </w:r>
          </w:p>
        </w:tc>
        <w:tc>
          <w:tcPr>
            <w:tcW w:w="1407" w:type="dxa"/>
            <w:shd w:val="clear" w:color="auto" w:fill="auto"/>
            <w:noWrap/>
            <w:vAlign w:val="bottom"/>
            <w:hideMark/>
          </w:tcPr>
          <w:p w14:paraId="56A2EAB1"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43127A7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12%</w:t>
            </w:r>
          </w:p>
        </w:tc>
        <w:tc>
          <w:tcPr>
            <w:tcW w:w="1490" w:type="dxa"/>
            <w:shd w:val="clear" w:color="auto" w:fill="auto"/>
            <w:noWrap/>
            <w:vAlign w:val="bottom"/>
            <w:hideMark/>
          </w:tcPr>
          <w:p w14:paraId="36F206B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11%</w:t>
            </w:r>
          </w:p>
        </w:tc>
      </w:tr>
      <w:tr w:rsidR="007E48B3" w:rsidRPr="00672DA8" w14:paraId="7D5A79AA" w14:textId="77777777" w:rsidTr="00416373">
        <w:trPr>
          <w:trHeight w:val="300"/>
        </w:trPr>
        <w:tc>
          <w:tcPr>
            <w:tcW w:w="722" w:type="dxa"/>
            <w:shd w:val="clear" w:color="auto" w:fill="auto"/>
            <w:noWrap/>
            <w:vAlign w:val="bottom"/>
            <w:hideMark/>
          </w:tcPr>
          <w:p w14:paraId="45C3183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1971</w:t>
            </w:r>
          </w:p>
        </w:tc>
        <w:tc>
          <w:tcPr>
            <w:tcW w:w="1866" w:type="dxa"/>
            <w:shd w:val="clear" w:color="auto" w:fill="auto"/>
            <w:noWrap/>
            <w:vAlign w:val="bottom"/>
            <w:hideMark/>
          </w:tcPr>
          <w:p w14:paraId="6884551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44.6%</w:t>
            </w:r>
          </w:p>
        </w:tc>
        <w:tc>
          <w:tcPr>
            <w:tcW w:w="1485" w:type="dxa"/>
            <w:shd w:val="clear" w:color="auto" w:fill="auto"/>
            <w:noWrap/>
            <w:vAlign w:val="bottom"/>
            <w:hideMark/>
          </w:tcPr>
          <w:p w14:paraId="37C110C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81.7%</w:t>
            </w:r>
          </w:p>
        </w:tc>
        <w:tc>
          <w:tcPr>
            <w:tcW w:w="1407" w:type="dxa"/>
            <w:shd w:val="clear" w:color="auto" w:fill="auto"/>
            <w:noWrap/>
            <w:vAlign w:val="bottom"/>
            <w:hideMark/>
          </w:tcPr>
          <w:p w14:paraId="04AE39DB"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2AEE2E9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w:t>
            </w:r>
          </w:p>
        </w:tc>
        <w:tc>
          <w:tcPr>
            <w:tcW w:w="1490" w:type="dxa"/>
            <w:shd w:val="clear" w:color="auto" w:fill="auto"/>
            <w:noWrap/>
            <w:vAlign w:val="bottom"/>
            <w:hideMark/>
          </w:tcPr>
          <w:p w14:paraId="0E7D70B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16%</w:t>
            </w:r>
          </w:p>
        </w:tc>
      </w:tr>
      <w:tr w:rsidR="007E48B3" w:rsidRPr="00672DA8" w14:paraId="77121150" w14:textId="77777777" w:rsidTr="00416373">
        <w:trPr>
          <w:trHeight w:val="300"/>
        </w:trPr>
        <w:tc>
          <w:tcPr>
            <w:tcW w:w="722" w:type="dxa"/>
            <w:shd w:val="clear" w:color="auto" w:fill="auto"/>
            <w:noWrap/>
            <w:vAlign w:val="bottom"/>
            <w:hideMark/>
          </w:tcPr>
          <w:p w14:paraId="12FA76C1"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1972</w:t>
            </w:r>
          </w:p>
        </w:tc>
        <w:tc>
          <w:tcPr>
            <w:tcW w:w="1866" w:type="dxa"/>
            <w:shd w:val="clear" w:color="auto" w:fill="auto"/>
            <w:noWrap/>
            <w:vAlign w:val="bottom"/>
            <w:hideMark/>
          </w:tcPr>
          <w:p w14:paraId="2DAA97A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48.9%</w:t>
            </w:r>
          </w:p>
        </w:tc>
        <w:tc>
          <w:tcPr>
            <w:tcW w:w="1485" w:type="dxa"/>
            <w:shd w:val="clear" w:color="auto" w:fill="auto"/>
            <w:noWrap/>
            <w:vAlign w:val="bottom"/>
            <w:hideMark/>
          </w:tcPr>
          <w:p w14:paraId="04892E8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85.0%</w:t>
            </w:r>
          </w:p>
        </w:tc>
        <w:tc>
          <w:tcPr>
            <w:tcW w:w="1407" w:type="dxa"/>
            <w:shd w:val="clear" w:color="auto" w:fill="auto"/>
            <w:noWrap/>
            <w:vAlign w:val="bottom"/>
            <w:hideMark/>
          </w:tcPr>
          <w:p w14:paraId="1DCA9563"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7FD1AE1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28%</w:t>
            </w:r>
          </w:p>
        </w:tc>
        <w:tc>
          <w:tcPr>
            <w:tcW w:w="1490" w:type="dxa"/>
            <w:shd w:val="clear" w:color="auto" w:fill="auto"/>
            <w:noWrap/>
            <w:vAlign w:val="bottom"/>
            <w:hideMark/>
          </w:tcPr>
          <w:p w14:paraId="2A115C6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23%</w:t>
            </w:r>
          </w:p>
        </w:tc>
      </w:tr>
      <w:tr w:rsidR="007E48B3" w:rsidRPr="00672DA8" w14:paraId="1E3AFBE3" w14:textId="77777777" w:rsidTr="00416373">
        <w:trPr>
          <w:trHeight w:val="300"/>
        </w:trPr>
        <w:tc>
          <w:tcPr>
            <w:tcW w:w="722" w:type="dxa"/>
            <w:shd w:val="clear" w:color="auto" w:fill="auto"/>
            <w:noWrap/>
            <w:vAlign w:val="bottom"/>
            <w:hideMark/>
          </w:tcPr>
          <w:p w14:paraId="0B2F119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1973</w:t>
            </w:r>
          </w:p>
        </w:tc>
        <w:tc>
          <w:tcPr>
            <w:tcW w:w="1866" w:type="dxa"/>
            <w:shd w:val="clear" w:color="auto" w:fill="auto"/>
            <w:noWrap/>
            <w:vAlign w:val="bottom"/>
            <w:hideMark/>
          </w:tcPr>
          <w:p w14:paraId="27C38F1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66.1%</w:t>
            </w:r>
          </w:p>
        </w:tc>
        <w:tc>
          <w:tcPr>
            <w:tcW w:w="1485" w:type="dxa"/>
            <w:shd w:val="clear" w:color="auto" w:fill="auto"/>
            <w:noWrap/>
            <w:vAlign w:val="bottom"/>
            <w:hideMark/>
          </w:tcPr>
          <w:p w14:paraId="145499F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90.1%</w:t>
            </w:r>
          </w:p>
        </w:tc>
        <w:tc>
          <w:tcPr>
            <w:tcW w:w="1407" w:type="dxa"/>
            <w:shd w:val="clear" w:color="auto" w:fill="auto"/>
            <w:noWrap/>
            <w:vAlign w:val="bottom"/>
            <w:hideMark/>
          </w:tcPr>
          <w:p w14:paraId="0CA3F001"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083B043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32%</w:t>
            </w:r>
          </w:p>
        </w:tc>
        <w:tc>
          <w:tcPr>
            <w:tcW w:w="1490" w:type="dxa"/>
            <w:shd w:val="clear" w:color="auto" w:fill="auto"/>
            <w:noWrap/>
            <w:vAlign w:val="bottom"/>
            <w:hideMark/>
          </w:tcPr>
          <w:p w14:paraId="5B1DB87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24%</w:t>
            </w:r>
          </w:p>
        </w:tc>
      </w:tr>
      <w:tr w:rsidR="007E48B3" w:rsidRPr="00672DA8" w14:paraId="6F2E3333" w14:textId="77777777" w:rsidTr="00416373">
        <w:trPr>
          <w:trHeight w:val="300"/>
        </w:trPr>
        <w:tc>
          <w:tcPr>
            <w:tcW w:w="722" w:type="dxa"/>
            <w:shd w:val="clear" w:color="auto" w:fill="auto"/>
            <w:noWrap/>
            <w:vAlign w:val="bottom"/>
            <w:hideMark/>
          </w:tcPr>
          <w:p w14:paraId="57DDE59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1974</w:t>
            </w:r>
          </w:p>
        </w:tc>
        <w:tc>
          <w:tcPr>
            <w:tcW w:w="1866" w:type="dxa"/>
            <w:shd w:val="clear" w:color="auto" w:fill="auto"/>
            <w:noWrap/>
            <w:vAlign w:val="bottom"/>
            <w:hideMark/>
          </w:tcPr>
          <w:p w14:paraId="76BDBF8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67.0%</w:t>
            </w:r>
          </w:p>
        </w:tc>
        <w:tc>
          <w:tcPr>
            <w:tcW w:w="1485" w:type="dxa"/>
            <w:shd w:val="clear" w:color="auto" w:fill="auto"/>
            <w:noWrap/>
            <w:vAlign w:val="bottom"/>
            <w:hideMark/>
          </w:tcPr>
          <w:p w14:paraId="686A5B1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89.2%</w:t>
            </w:r>
          </w:p>
        </w:tc>
        <w:tc>
          <w:tcPr>
            <w:tcW w:w="1407" w:type="dxa"/>
            <w:shd w:val="clear" w:color="auto" w:fill="auto"/>
            <w:noWrap/>
            <w:vAlign w:val="bottom"/>
            <w:hideMark/>
          </w:tcPr>
          <w:p w14:paraId="533462BB"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1BBC8BA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33%</w:t>
            </w:r>
          </w:p>
        </w:tc>
        <w:tc>
          <w:tcPr>
            <w:tcW w:w="1490" w:type="dxa"/>
            <w:shd w:val="clear" w:color="auto" w:fill="auto"/>
            <w:noWrap/>
            <w:vAlign w:val="bottom"/>
            <w:hideMark/>
          </w:tcPr>
          <w:p w14:paraId="2B4773B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21%</w:t>
            </w:r>
          </w:p>
        </w:tc>
      </w:tr>
      <w:tr w:rsidR="007E48B3" w:rsidRPr="00672DA8" w14:paraId="10A8235E" w14:textId="77777777" w:rsidTr="00416373">
        <w:trPr>
          <w:trHeight w:val="300"/>
        </w:trPr>
        <w:tc>
          <w:tcPr>
            <w:tcW w:w="722" w:type="dxa"/>
            <w:shd w:val="clear" w:color="auto" w:fill="auto"/>
            <w:noWrap/>
            <w:vAlign w:val="bottom"/>
            <w:hideMark/>
          </w:tcPr>
          <w:p w14:paraId="5A6F2CE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1975</w:t>
            </w:r>
          </w:p>
        </w:tc>
        <w:tc>
          <w:tcPr>
            <w:tcW w:w="1866" w:type="dxa"/>
            <w:shd w:val="clear" w:color="auto" w:fill="auto"/>
            <w:noWrap/>
            <w:vAlign w:val="bottom"/>
            <w:hideMark/>
          </w:tcPr>
          <w:p w14:paraId="761B749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63.9%</w:t>
            </w:r>
          </w:p>
        </w:tc>
        <w:tc>
          <w:tcPr>
            <w:tcW w:w="1485" w:type="dxa"/>
            <w:shd w:val="clear" w:color="auto" w:fill="auto"/>
            <w:noWrap/>
            <w:vAlign w:val="bottom"/>
            <w:hideMark/>
          </w:tcPr>
          <w:p w14:paraId="16556FD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91.2%</w:t>
            </w:r>
          </w:p>
        </w:tc>
        <w:tc>
          <w:tcPr>
            <w:tcW w:w="1407" w:type="dxa"/>
            <w:shd w:val="clear" w:color="auto" w:fill="auto"/>
            <w:noWrap/>
            <w:vAlign w:val="bottom"/>
            <w:hideMark/>
          </w:tcPr>
          <w:p w14:paraId="66AF9B89"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79EEC53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33%</w:t>
            </w:r>
          </w:p>
        </w:tc>
        <w:tc>
          <w:tcPr>
            <w:tcW w:w="1490" w:type="dxa"/>
            <w:shd w:val="clear" w:color="auto" w:fill="auto"/>
            <w:noWrap/>
            <w:vAlign w:val="bottom"/>
            <w:hideMark/>
          </w:tcPr>
          <w:p w14:paraId="58109EC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24%</w:t>
            </w:r>
          </w:p>
        </w:tc>
      </w:tr>
      <w:tr w:rsidR="007E48B3" w:rsidRPr="00672DA8" w14:paraId="76ADEE65" w14:textId="77777777" w:rsidTr="00416373">
        <w:trPr>
          <w:trHeight w:val="300"/>
        </w:trPr>
        <w:tc>
          <w:tcPr>
            <w:tcW w:w="722" w:type="dxa"/>
            <w:shd w:val="clear" w:color="auto" w:fill="auto"/>
            <w:noWrap/>
            <w:vAlign w:val="bottom"/>
            <w:hideMark/>
          </w:tcPr>
          <w:p w14:paraId="1D61964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1976</w:t>
            </w:r>
          </w:p>
        </w:tc>
        <w:tc>
          <w:tcPr>
            <w:tcW w:w="1866" w:type="dxa"/>
            <w:shd w:val="clear" w:color="auto" w:fill="auto"/>
            <w:noWrap/>
            <w:vAlign w:val="bottom"/>
            <w:hideMark/>
          </w:tcPr>
          <w:p w14:paraId="43CF066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63.0%</w:t>
            </w:r>
          </w:p>
        </w:tc>
        <w:tc>
          <w:tcPr>
            <w:tcW w:w="1485" w:type="dxa"/>
            <w:shd w:val="clear" w:color="auto" w:fill="auto"/>
            <w:noWrap/>
            <w:vAlign w:val="bottom"/>
            <w:hideMark/>
          </w:tcPr>
          <w:p w14:paraId="783634E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90.3%</w:t>
            </w:r>
          </w:p>
        </w:tc>
        <w:tc>
          <w:tcPr>
            <w:tcW w:w="1407" w:type="dxa"/>
            <w:shd w:val="clear" w:color="auto" w:fill="auto"/>
            <w:noWrap/>
            <w:vAlign w:val="bottom"/>
            <w:hideMark/>
          </w:tcPr>
          <w:p w14:paraId="52984953"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3741D30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32%</w:t>
            </w:r>
          </w:p>
        </w:tc>
        <w:tc>
          <w:tcPr>
            <w:tcW w:w="1490" w:type="dxa"/>
            <w:shd w:val="clear" w:color="auto" w:fill="auto"/>
            <w:noWrap/>
            <w:vAlign w:val="bottom"/>
            <w:hideMark/>
          </w:tcPr>
          <w:p w14:paraId="7349F0F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21%</w:t>
            </w:r>
          </w:p>
        </w:tc>
      </w:tr>
      <w:tr w:rsidR="007E48B3" w:rsidRPr="00672DA8" w14:paraId="41695B6F" w14:textId="77777777" w:rsidTr="00416373">
        <w:trPr>
          <w:trHeight w:val="300"/>
        </w:trPr>
        <w:tc>
          <w:tcPr>
            <w:tcW w:w="722" w:type="dxa"/>
            <w:shd w:val="clear" w:color="auto" w:fill="auto"/>
            <w:noWrap/>
            <w:vAlign w:val="bottom"/>
            <w:hideMark/>
          </w:tcPr>
          <w:p w14:paraId="099FA19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1977</w:t>
            </w:r>
          </w:p>
        </w:tc>
        <w:tc>
          <w:tcPr>
            <w:tcW w:w="1866" w:type="dxa"/>
            <w:shd w:val="clear" w:color="auto" w:fill="auto"/>
            <w:noWrap/>
            <w:vAlign w:val="bottom"/>
            <w:hideMark/>
          </w:tcPr>
          <w:p w14:paraId="4C06CBF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60.4%</w:t>
            </w:r>
          </w:p>
        </w:tc>
        <w:tc>
          <w:tcPr>
            <w:tcW w:w="1485" w:type="dxa"/>
            <w:shd w:val="clear" w:color="auto" w:fill="auto"/>
            <w:noWrap/>
            <w:vAlign w:val="bottom"/>
            <w:hideMark/>
          </w:tcPr>
          <w:p w14:paraId="3BCA84D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91.4%</w:t>
            </w:r>
          </w:p>
        </w:tc>
        <w:tc>
          <w:tcPr>
            <w:tcW w:w="1407" w:type="dxa"/>
            <w:shd w:val="clear" w:color="auto" w:fill="auto"/>
            <w:noWrap/>
            <w:vAlign w:val="bottom"/>
            <w:hideMark/>
          </w:tcPr>
          <w:p w14:paraId="6357E17C"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3D722BA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31%</w:t>
            </w:r>
          </w:p>
        </w:tc>
        <w:tc>
          <w:tcPr>
            <w:tcW w:w="1490" w:type="dxa"/>
            <w:shd w:val="clear" w:color="auto" w:fill="auto"/>
            <w:noWrap/>
            <w:vAlign w:val="bottom"/>
            <w:hideMark/>
          </w:tcPr>
          <w:p w14:paraId="6001D58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22%</w:t>
            </w:r>
          </w:p>
        </w:tc>
      </w:tr>
      <w:tr w:rsidR="007E48B3" w:rsidRPr="00672DA8" w14:paraId="59DE5356" w14:textId="77777777" w:rsidTr="00416373">
        <w:trPr>
          <w:trHeight w:val="300"/>
        </w:trPr>
        <w:tc>
          <w:tcPr>
            <w:tcW w:w="722" w:type="dxa"/>
            <w:shd w:val="clear" w:color="auto" w:fill="auto"/>
            <w:noWrap/>
            <w:vAlign w:val="bottom"/>
            <w:hideMark/>
          </w:tcPr>
          <w:p w14:paraId="01E57E6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1978</w:t>
            </w:r>
          </w:p>
        </w:tc>
        <w:tc>
          <w:tcPr>
            <w:tcW w:w="1866" w:type="dxa"/>
            <w:shd w:val="clear" w:color="auto" w:fill="auto"/>
            <w:noWrap/>
            <w:vAlign w:val="bottom"/>
            <w:hideMark/>
          </w:tcPr>
          <w:p w14:paraId="5C2FF1E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60.0%</w:t>
            </w:r>
          </w:p>
        </w:tc>
        <w:tc>
          <w:tcPr>
            <w:tcW w:w="1485" w:type="dxa"/>
            <w:shd w:val="clear" w:color="auto" w:fill="auto"/>
            <w:noWrap/>
            <w:vAlign w:val="bottom"/>
            <w:hideMark/>
          </w:tcPr>
          <w:p w14:paraId="36608171"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88.6%</w:t>
            </w:r>
          </w:p>
        </w:tc>
        <w:tc>
          <w:tcPr>
            <w:tcW w:w="1407" w:type="dxa"/>
            <w:shd w:val="clear" w:color="auto" w:fill="auto"/>
            <w:noWrap/>
            <w:vAlign w:val="bottom"/>
            <w:hideMark/>
          </w:tcPr>
          <w:p w14:paraId="2F5297F4"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0E9C458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32%</w:t>
            </w:r>
          </w:p>
        </w:tc>
        <w:tc>
          <w:tcPr>
            <w:tcW w:w="1490" w:type="dxa"/>
            <w:shd w:val="clear" w:color="auto" w:fill="auto"/>
            <w:noWrap/>
            <w:vAlign w:val="bottom"/>
            <w:hideMark/>
          </w:tcPr>
          <w:p w14:paraId="1C25313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22%</w:t>
            </w:r>
          </w:p>
        </w:tc>
      </w:tr>
      <w:tr w:rsidR="007E48B3" w:rsidRPr="00672DA8" w14:paraId="39121637" w14:textId="77777777" w:rsidTr="00416373">
        <w:trPr>
          <w:trHeight w:val="300"/>
        </w:trPr>
        <w:tc>
          <w:tcPr>
            <w:tcW w:w="722" w:type="dxa"/>
            <w:shd w:val="clear" w:color="auto" w:fill="auto"/>
            <w:noWrap/>
            <w:vAlign w:val="bottom"/>
            <w:hideMark/>
          </w:tcPr>
          <w:p w14:paraId="412FFF3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1979</w:t>
            </w:r>
          </w:p>
        </w:tc>
        <w:tc>
          <w:tcPr>
            <w:tcW w:w="1866" w:type="dxa"/>
            <w:shd w:val="clear" w:color="auto" w:fill="auto"/>
            <w:noWrap/>
            <w:vAlign w:val="bottom"/>
            <w:hideMark/>
          </w:tcPr>
          <w:p w14:paraId="695E5C7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62.2%</w:t>
            </w:r>
          </w:p>
        </w:tc>
        <w:tc>
          <w:tcPr>
            <w:tcW w:w="1485" w:type="dxa"/>
            <w:shd w:val="clear" w:color="auto" w:fill="auto"/>
            <w:noWrap/>
            <w:vAlign w:val="bottom"/>
            <w:hideMark/>
          </w:tcPr>
          <w:p w14:paraId="640EDEC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86.8%</w:t>
            </w:r>
          </w:p>
        </w:tc>
        <w:tc>
          <w:tcPr>
            <w:tcW w:w="1407" w:type="dxa"/>
            <w:shd w:val="clear" w:color="auto" w:fill="auto"/>
            <w:noWrap/>
            <w:vAlign w:val="bottom"/>
            <w:hideMark/>
          </w:tcPr>
          <w:p w14:paraId="2985816A"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01C2826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35%</w:t>
            </w:r>
          </w:p>
        </w:tc>
        <w:tc>
          <w:tcPr>
            <w:tcW w:w="1490" w:type="dxa"/>
            <w:shd w:val="clear" w:color="auto" w:fill="auto"/>
            <w:noWrap/>
            <w:vAlign w:val="bottom"/>
            <w:hideMark/>
          </w:tcPr>
          <w:p w14:paraId="1E12249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25%</w:t>
            </w:r>
          </w:p>
        </w:tc>
      </w:tr>
      <w:tr w:rsidR="007E48B3" w:rsidRPr="00672DA8" w14:paraId="1977E6DC" w14:textId="77777777" w:rsidTr="00416373">
        <w:trPr>
          <w:trHeight w:val="300"/>
        </w:trPr>
        <w:tc>
          <w:tcPr>
            <w:tcW w:w="722" w:type="dxa"/>
            <w:shd w:val="clear" w:color="auto" w:fill="auto"/>
            <w:noWrap/>
            <w:vAlign w:val="bottom"/>
            <w:hideMark/>
          </w:tcPr>
          <w:p w14:paraId="05EAFB4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1980</w:t>
            </w:r>
          </w:p>
        </w:tc>
        <w:tc>
          <w:tcPr>
            <w:tcW w:w="1866" w:type="dxa"/>
            <w:shd w:val="clear" w:color="auto" w:fill="auto"/>
            <w:noWrap/>
            <w:vAlign w:val="bottom"/>
            <w:hideMark/>
          </w:tcPr>
          <w:p w14:paraId="22B758B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65.4%</w:t>
            </w:r>
          </w:p>
        </w:tc>
        <w:tc>
          <w:tcPr>
            <w:tcW w:w="1485" w:type="dxa"/>
            <w:shd w:val="clear" w:color="auto" w:fill="auto"/>
            <w:noWrap/>
            <w:vAlign w:val="bottom"/>
            <w:hideMark/>
          </w:tcPr>
          <w:p w14:paraId="6ED44B7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87.6%</w:t>
            </w:r>
          </w:p>
        </w:tc>
        <w:tc>
          <w:tcPr>
            <w:tcW w:w="1407" w:type="dxa"/>
            <w:shd w:val="clear" w:color="auto" w:fill="auto"/>
            <w:noWrap/>
            <w:vAlign w:val="bottom"/>
            <w:hideMark/>
          </w:tcPr>
          <w:p w14:paraId="615FD0EC"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33DECCA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35%</w:t>
            </w:r>
          </w:p>
        </w:tc>
        <w:tc>
          <w:tcPr>
            <w:tcW w:w="1490" w:type="dxa"/>
            <w:shd w:val="clear" w:color="auto" w:fill="auto"/>
            <w:noWrap/>
            <w:vAlign w:val="bottom"/>
            <w:hideMark/>
          </w:tcPr>
          <w:p w14:paraId="055E9B4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21%</w:t>
            </w:r>
          </w:p>
        </w:tc>
      </w:tr>
      <w:tr w:rsidR="007E48B3" w:rsidRPr="00672DA8" w14:paraId="4B585FC8" w14:textId="77777777" w:rsidTr="00416373">
        <w:trPr>
          <w:trHeight w:val="300"/>
        </w:trPr>
        <w:tc>
          <w:tcPr>
            <w:tcW w:w="722" w:type="dxa"/>
            <w:shd w:val="clear" w:color="auto" w:fill="auto"/>
            <w:noWrap/>
            <w:vAlign w:val="bottom"/>
            <w:hideMark/>
          </w:tcPr>
          <w:p w14:paraId="27E0474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1981</w:t>
            </w:r>
          </w:p>
        </w:tc>
        <w:tc>
          <w:tcPr>
            <w:tcW w:w="1866" w:type="dxa"/>
            <w:shd w:val="clear" w:color="auto" w:fill="auto"/>
            <w:noWrap/>
            <w:vAlign w:val="bottom"/>
            <w:hideMark/>
          </w:tcPr>
          <w:p w14:paraId="621A97C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71.6%</w:t>
            </w:r>
          </w:p>
        </w:tc>
        <w:tc>
          <w:tcPr>
            <w:tcW w:w="1485" w:type="dxa"/>
            <w:shd w:val="clear" w:color="auto" w:fill="auto"/>
            <w:noWrap/>
            <w:vAlign w:val="bottom"/>
            <w:hideMark/>
          </w:tcPr>
          <w:p w14:paraId="313E71B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90.1%</w:t>
            </w:r>
          </w:p>
        </w:tc>
        <w:tc>
          <w:tcPr>
            <w:tcW w:w="1407" w:type="dxa"/>
            <w:shd w:val="clear" w:color="auto" w:fill="auto"/>
            <w:noWrap/>
            <w:vAlign w:val="bottom"/>
            <w:hideMark/>
          </w:tcPr>
          <w:p w14:paraId="439E001B"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1F76D83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35%</w:t>
            </w:r>
          </w:p>
        </w:tc>
        <w:tc>
          <w:tcPr>
            <w:tcW w:w="1490" w:type="dxa"/>
            <w:shd w:val="clear" w:color="auto" w:fill="auto"/>
            <w:noWrap/>
            <w:vAlign w:val="bottom"/>
            <w:hideMark/>
          </w:tcPr>
          <w:p w14:paraId="2D525A21"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24%</w:t>
            </w:r>
          </w:p>
        </w:tc>
      </w:tr>
      <w:tr w:rsidR="007E48B3" w:rsidRPr="00672DA8" w14:paraId="7E05E169" w14:textId="77777777" w:rsidTr="00416373">
        <w:trPr>
          <w:trHeight w:val="300"/>
        </w:trPr>
        <w:tc>
          <w:tcPr>
            <w:tcW w:w="722" w:type="dxa"/>
            <w:shd w:val="clear" w:color="auto" w:fill="auto"/>
            <w:noWrap/>
            <w:vAlign w:val="bottom"/>
            <w:hideMark/>
          </w:tcPr>
          <w:p w14:paraId="185F538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1982</w:t>
            </w:r>
          </w:p>
        </w:tc>
        <w:tc>
          <w:tcPr>
            <w:tcW w:w="1866" w:type="dxa"/>
            <w:shd w:val="clear" w:color="auto" w:fill="auto"/>
            <w:noWrap/>
            <w:vAlign w:val="bottom"/>
            <w:hideMark/>
          </w:tcPr>
          <w:p w14:paraId="1C14FE2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66.2%</w:t>
            </w:r>
          </w:p>
        </w:tc>
        <w:tc>
          <w:tcPr>
            <w:tcW w:w="1485" w:type="dxa"/>
            <w:shd w:val="clear" w:color="auto" w:fill="auto"/>
            <w:noWrap/>
            <w:vAlign w:val="bottom"/>
            <w:hideMark/>
          </w:tcPr>
          <w:p w14:paraId="6C67AF6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89.0%</w:t>
            </w:r>
          </w:p>
        </w:tc>
        <w:tc>
          <w:tcPr>
            <w:tcW w:w="1407" w:type="dxa"/>
            <w:shd w:val="clear" w:color="auto" w:fill="auto"/>
            <w:noWrap/>
            <w:vAlign w:val="bottom"/>
            <w:hideMark/>
          </w:tcPr>
          <w:p w14:paraId="60C1F9CF"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0C9954F1"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36%</w:t>
            </w:r>
          </w:p>
        </w:tc>
        <w:tc>
          <w:tcPr>
            <w:tcW w:w="1490" w:type="dxa"/>
            <w:shd w:val="clear" w:color="auto" w:fill="auto"/>
            <w:noWrap/>
            <w:vAlign w:val="bottom"/>
            <w:hideMark/>
          </w:tcPr>
          <w:p w14:paraId="715C53C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26%</w:t>
            </w:r>
          </w:p>
        </w:tc>
      </w:tr>
      <w:tr w:rsidR="007E48B3" w:rsidRPr="00672DA8" w14:paraId="2E98E653" w14:textId="77777777" w:rsidTr="00416373">
        <w:trPr>
          <w:trHeight w:val="300"/>
        </w:trPr>
        <w:tc>
          <w:tcPr>
            <w:tcW w:w="722" w:type="dxa"/>
            <w:shd w:val="clear" w:color="auto" w:fill="auto"/>
            <w:noWrap/>
            <w:vAlign w:val="bottom"/>
            <w:hideMark/>
          </w:tcPr>
          <w:p w14:paraId="42A5724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1983</w:t>
            </w:r>
          </w:p>
        </w:tc>
        <w:tc>
          <w:tcPr>
            <w:tcW w:w="1866" w:type="dxa"/>
            <w:shd w:val="clear" w:color="auto" w:fill="auto"/>
            <w:noWrap/>
            <w:vAlign w:val="bottom"/>
            <w:hideMark/>
          </w:tcPr>
          <w:p w14:paraId="601EE93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74.7%</w:t>
            </w:r>
          </w:p>
        </w:tc>
        <w:tc>
          <w:tcPr>
            <w:tcW w:w="1485" w:type="dxa"/>
            <w:shd w:val="clear" w:color="auto" w:fill="auto"/>
            <w:noWrap/>
            <w:vAlign w:val="bottom"/>
            <w:hideMark/>
          </w:tcPr>
          <w:p w14:paraId="1CE686E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90.8%</w:t>
            </w:r>
          </w:p>
        </w:tc>
        <w:tc>
          <w:tcPr>
            <w:tcW w:w="1407" w:type="dxa"/>
            <w:shd w:val="clear" w:color="auto" w:fill="auto"/>
            <w:noWrap/>
            <w:vAlign w:val="bottom"/>
            <w:hideMark/>
          </w:tcPr>
          <w:p w14:paraId="52D2192B"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611C6AE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38%</w:t>
            </w:r>
          </w:p>
        </w:tc>
        <w:tc>
          <w:tcPr>
            <w:tcW w:w="1490" w:type="dxa"/>
            <w:shd w:val="clear" w:color="auto" w:fill="auto"/>
            <w:noWrap/>
            <w:vAlign w:val="bottom"/>
            <w:hideMark/>
          </w:tcPr>
          <w:p w14:paraId="1A3CEE91"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28%</w:t>
            </w:r>
          </w:p>
        </w:tc>
      </w:tr>
      <w:tr w:rsidR="007E48B3" w:rsidRPr="00672DA8" w14:paraId="2E298487" w14:textId="77777777" w:rsidTr="00416373">
        <w:trPr>
          <w:trHeight w:val="300"/>
        </w:trPr>
        <w:tc>
          <w:tcPr>
            <w:tcW w:w="722" w:type="dxa"/>
            <w:shd w:val="clear" w:color="auto" w:fill="auto"/>
            <w:noWrap/>
            <w:vAlign w:val="bottom"/>
            <w:hideMark/>
          </w:tcPr>
          <w:p w14:paraId="3AC8DA1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1984</w:t>
            </w:r>
          </w:p>
        </w:tc>
        <w:tc>
          <w:tcPr>
            <w:tcW w:w="1866" w:type="dxa"/>
            <w:shd w:val="clear" w:color="auto" w:fill="auto"/>
            <w:noWrap/>
            <w:vAlign w:val="bottom"/>
            <w:hideMark/>
          </w:tcPr>
          <w:p w14:paraId="4663795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64.1%</w:t>
            </w:r>
          </w:p>
        </w:tc>
        <w:tc>
          <w:tcPr>
            <w:tcW w:w="1485" w:type="dxa"/>
            <w:shd w:val="clear" w:color="auto" w:fill="auto"/>
            <w:noWrap/>
            <w:vAlign w:val="bottom"/>
            <w:hideMark/>
          </w:tcPr>
          <w:p w14:paraId="71323E3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90.3%</w:t>
            </w:r>
          </w:p>
        </w:tc>
        <w:tc>
          <w:tcPr>
            <w:tcW w:w="1407" w:type="dxa"/>
            <w:shd w:val="clear" w:color="auto" w:fill="auto"/>
            <w:noWrap/>
            <w:vAlign w:val="bottom"/>
            <w:hideMark/>
          </w:tcPr>
          <w:p w14:paraId="2F8AA93D"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758B656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38%</w:t>
            </w:r>
          </w:p>
        </w:tc>
        <w:tc>
          <w:tcPr>
            <w:tcW w:w="1490" w:type="dxa"/>
            <w:shd w:val="clear" w:color="auto" w:fill="auto"/>
            <w:noWrap/>
            <w:vAlign w:val="bottom"/>
            <w:hideMark/>
          </w:tcPr>
          <w:p w14:paraId="7FBDC48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25%</w:t>
            </w:r>
          </w:p>
        </w:tc>
      </w:tr>
      <w:tr w:rsidR="007E48B3" w:rsidRPr="00672DA8" w14:paraId="63A3550A" w14:textId="77777777" w:rsidTr="00416373">
        <w:trPr>
          <w:trHeight w:val="300"/>
        </w:trPr>
        <w:tc>
          <w:tcPr>
            <w:tcW w:w="722" w:type="dxa"/>
            <w:shd w:val="clear" w:color="auto" w:fill="auto"/>
            <w:noWrap/>
            <w:vAlign w:val="bottom"/>
            <w:hideMark/>
          </w:tcPr>
          <w:p w14:paraId="09CDF0E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1985</w:t>
            </w:r>
          </w:p>
        </w:tc>
        <w:tc>
          <w:tcPr>
            <w:tcW w:w="1866" w:type="dxa"/>
            <w:shd w:val="clear" w:color="auto" w:fill="auto"/>
            <w:noWrap/>
            <w:vAlign w:val="bottom"/>
            <w:hideMark/>
          </w:tcPr>
          <w:p w14:paraId="3C9FC12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66.6%</w:t>
            </w:r>
          </w:p>
        </w:tc>
        <w:tc>
          <w:tcPr>
            <w:tcW w:w="1485" w:type="dxa"/>
            <w:shd w:val="clear" w:color="auto" w:fill="auto"/>
            <w:noWrap/>
            <w:vAlign w:val="bottom"/>
            <w:hideMark/>
          </w:tcPr>
          <w:p w14:paraId="57C2034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89.5%</w:t>
            </w:r>
          </w:p>
        </w:tc>
        <w:tc>
          <w:tcPr>
            <w:tcW w:w="1407" w:type="dxa"/>
            <w:shd w:val="clear" w:color="auto" w:fill="auto"/>
            <w:noWrap/>
            <w:vAlign w:val="bottom"/>
            <w:hideMark/>
          </w:tcPr>
          <w:p w14:paraId="4905B721"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7B4F472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37%</w:t>
            </w:r>
          </w:p>
        </w:tc>
        <w:tc>
          <w:tcPr>
            <w:tcW w:w="1490" w:type="dxa"/>
            <w:shd w:val="clear" w:color="auto" w:fill="auto"/>
            <w:noWrap/>
            <w:vAlign w:val="bottom"/>
            <w:hideMark/>
          </w:tcPr>
          <w:p w14:paraId="2B68842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24%</w:t>
            </w:r>
          </w:p>
        </w:tc>
      </w:tr>
      <w:tr w:rsidR="007E48B3" w:rsidRPr="00672DA8" w14:paraId="798C55F0" w14:textId="77777777" w:rsidTr="00416373">
        <w:trPr>
          <w:trHeight w:val="300"/>
        </w:trPr>
        <w:tc>
          <w:tcPr>
            <w:tcW w:w="722" w:type="dxa"/>
            <w:shd w:val="clear" w:color="auto" w:fill="auto"/>
            <w:noWrap/>
            <w:vAlign w:val="bottom"/>
            <w:hideMark/>
          </w:tcPr>
          <w:p w14:paraId="0C023E4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1986</w:t>
            </w:r>
          </w:p>
        </w:tc>
        <w:tc>
          <w:tcPr>
            <w:tcW w:w="1866" w:type="dxa"/>
            <w:shd w:val="clear" w:color="auto" w:fill="auto"/>
            <w:noWrap/>
            <w:vAlign w:val="bottom"/>
            <w:hideMark/>
          </w:tcPr>
          <w:p w14:paraId="4D1C9F0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72.3%</w:t>
            </w:r>
          </w:p>
        </w:tc>
        <w:tc>
          <w:tcPr>
            <w:tcW w:w="1485" w:type="dxa"/>
            <w:shd w:val="clear" w:color="auto" w:fill="auto"/>
            <w:noWrap/>
            <w:vAlign w:val="bottom"/>
            <w:hideMark/>
          </w:tcPr>
          <w:p w14:paraId="5E0DE34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89.6%</w:t>
            </w:r>
          </w:p>
        </w:tc>
        <w:tc>
          <w:tcPr>
            <w:tcW w:w="1407" w:type="dxa"/>
            <w:shd w:val="clear" w:color="auto" w:fill="auto"/>
            <w:noWrap/>
            <w:vAlign w:val="bottom"/>
            <w:hideMark/>
          </w:tcPr>
          <w:p w14:paraId="55D5E24E"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0957A24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36%</w:t>
            </w:r>
          </w:p>
        </w:tc>
        <w:tc>
          <w:tcPr>
            <w:tcW w:w="1490" w:type="dxa"/>
            <w:shd w:val="clear" w:color="auto" w:fill="auto"/>
            <w:noWrap/>
            <w:vAlign w:val="bottom"/>
            <w:hideMark/>
          </w:tcPr>
          <w:p w14:paraId="01FA474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25%</w:t>
            </w:r>
          </w:p>
        </w:tc>
      </w:tr>
      <w:tr w:rsidR="007E48B3" w:rsidRPr="00672DA8" w14:paraId="4E3E7B0A" w14:textId="77777777" w:rsidTr="00416373">
        <w:trPr>
          <w:trHeight w:val="300"/>
        </w:trPr>
        <w:tc>
          <w:tcPr>
            <w:tcW w:w="722" w:type="dxa"/>
            <w:shd w:val="clear" w:color="auto" w:fill="auto"/>
            <w:noWrap/>
            <w:vAlign w:val="bottom"/>
            <w:hideMark/>
          </w:tcPr>
          <w:p w14:paraId="17C9C36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1987</w:t>
            </w:r>
          </w:p>
        </w:tc>
        <w:tc>
          <w:tcPr>
            <w:tcW w:w="1866" w:type="dxa"/>
            <w:shd w:val="clear" w:color="auto" w:fill="auto"/>
            <w:noWrap/>
            <w:vAlign w:val="bottom"/>
            <w:hideMark/>
          </w:tcPr>
          <w:p w14:paraId="325A813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78.8%</w:t>
            </w:r>
          </w:p>
        </w:tc>
        <w:tc>
          <w:tcPr>
            <w:tcW w:w="1485" w:type="dxa"/>
            <w:shd w:val="clear" w:color="auto" w:fill="auto"/>
            <w:noWrap/>
            <w:vAlign w:val="bottom"/>
            <w:hideMark/>
          </w:tcPr>
          <w:p w14:paraId="551BEE4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91.4%</w:t>
            </w:r>
          </w:p>
        </w:tc>
        <w:tc>
          <w:tcPr>
            <w:tcW w:w="1407" w:type="dxa"/>
            <w:shd w:val="clear" w:color="auto" w:fill="auto"/>
            <w:noWrap/>
            <w:vAlign w:val="bottom"/>
            <w:hideMark/>
          </w:tcPr>
          <w:p w14:paraId="2B91D937"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1546D34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39%</w:t>
            </w:r>
          </w:p>
        </w:tc>
        <w:tc>
          <w:tcPr>
            <w:tcW w:w="1490" w:type="dxa"/>
            <w:shd w:val="clear" w:color="auto" w:fill="auto"/>
            <w:noWrap/>
            <w:vAlign w:val="bottom"/>
            <w:hideMark/>
          </w:tcPr>
          <w:p w14:paraId="5923D20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30%</w:t>
            </w:r>
          </w:p>
        </w:tc>
      </w:tr>
      <w:tr w:rsidR="007E48B3" w:rsidRPr="00672DA8" w14:paraId="771B4919" w14:textId="77777777" w:rsidTr="00416373">
        <w:trPr>
          <w:trHeight w:val="300"/>
        </w:trPr>
        <w:tc>
          <w:tcPr>
            <w:tcW w:w="722" w:type="dxa"/>
            <w:shd w:val="clear" w:color="auto" w:fill="auto"/>
            <w:noWrap/>
            <w:vAlign w:val="bottom"/>
            <w:hideMark/>
          </w:tcPr>
          <w:p w14:paraId="4E03168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1988</w:t>
            </w:r>
          </w:p>
        </w:tc>
        <w:tc>
          <w:tcPr>
            <w:tcW w:w="1866" w:type="dxa"/>
            <w:shd w:val="clear" w:color="auto" w:fill="auto"/>
            <w:noWrap/>
            <w:vAlign w:val="bottom"/>
            <w:hideMark/>
          </w:tcPr>
          <w:p w14:paraId="6785435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70.8%</w:t>
            </w:r>
          </w:p>
        </w:tc>
        <w:tc>
          <w:tcPr>
            <w:tcW w:w="1485" w:type="dxa"/>
            <w:shd w:val="clear" w:color="auto" w:fill="auto"/>
            <w:noWrap/>
            <w:vAlign w:val="bottom"/>
            <w:hideMark/>
          </w:tcPr>
          <w:p w14:paraId="7E744C5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88.2%</w:t>
            </w:r>
          </w:p>
        </w:tc>
        <w:tc>
          <w:tcPr>
            <w:tcW w:w="1407" w:type="dxa"/>
            <w:shd w:val="clear" w:color="auto" w:fill="auto"/>
            <w:noWrap/>
            <w:vAlign w:val="bottom"/>
            <w:hideMark/>
          </w:tcPr>
          <w:p w14:paraId="4EA0D415"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0AF511D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39%</w:t>
            </w:r>
          </w:p>
        </w:tc>
        <w:tc>
          <w:tcPr>
            <w:tcW w:w="1490" w:type="dxa"/>
            <w:shd w:val="clear" w:color="auto" w:fill="auto"/>
            <w:noWrap/>
            <w:vAlign w:val="bottom"/>
            <w:hideMark/>
          </w:tcPr>
          <w:p w14:paraId="76BACB6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27%</w:t>
            </w:r>
          </w:p>
        </w:tc>
      </w:tr>
      <w:tr w:rsidR="007E48B3" w:rsidRPr="00672DA8" w14:paraId="28F05BDA" w14:textId="77777777" w:rsidTr="00416373">
        <w:trPr>
          <w:trHeight w:val="300"/>
        </w:trPr>
        <w:tc>
          <w:tcPr>
            <w:tcW w:w="722" w:type="dxa"/>
            <w:shd w:val="clear" w:color="auto" w:fill="auto"/>
            <w:noWrap/>
            <w:vAlign w:val="bottom"/>
            <w:hideMark/>
          </w:tcPr>
          <w:p w14:paraId="6CD033F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1989</w:t>
            </w:r>
          </w:p>
        </w:tc>
        <w:tc>
          <w:tcPr>
            <w:tcW w:w="1866" w:type="dxa"/>
            <w:shd w:val="clear" w:color="auto" w:fill="auto"/>
            <w:noWrap/>
            <w:vAlign w:val="bottom"/>
            <w:hideMark/>
          </w:tcPr>
          <w:p w14:paraId="0A65D27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69.6%</w:t>
            </w:r>
          </w:p>
        </w:tc>
        <w:tc>
          <w:tcPr>
            <w:tcW w:w="1485" w:type="dxa"/>
            <w:shd w:val="clear" w:color="auto" w:fill="auto"/>
            <w:noWrap/>
            <w:vAlign w:val="bottom"/>
            <w:hideMark/>
          </w:tcPr>
          <w:p w14:paraId="7F47C2F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81.6%</w:t>
            </w:r>
          </w:p>
        </w:tc>
        <w:tc>
          <w:tcPr>
            <w:tcW w:w="1407" w:type="dxa"/>
            <w:shd w:val="clear" w:color="auto" w:fill="auto"/>
            <w:noWrap/>
            <w:vAlign w:val="bottom"/>
            <w:hideMark/>
          </w:tcPr>
          <w:p w14:paraId="7F0F9695"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1410C0F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38%</w:t>
            </w:r>
          </w:p>
        </w:tc>
        <w:tc>
          <w:tcPr>
            <w:tcW w:w="1490" w:type="dxa"/>
            <w:shd w:val="clear" w:color="auto" w:fill="auto"/>
            <w:noWrap/>
            <w:vAlign w:val="bottom"/>
            <w:hideMark/>
          </w:tcPr>
          <w:p w14:paraId="61C6F6A1"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27%</w:t>
            </w:r>
          </w:p>
        </w:tc>
      </w:tr>
      <w:tr w:rsidR="007E48B3" w:rsidRPr="00672DA8" w14:paraId="46CA17AF" w14:textId="77777777" w:rsidTr="00416373">
        <w:trPr>
          <w:trHeight w:val="300"/>
        </w:trPr>
        <w:tc>
          <w:tcPr>
            <w:tcW w:w="722" w:type="dxa"/>
            <w:shd w:val="clear" w:color="auto" w:fill="auto"/>
            <w:noWrap/>
            <w:vAlign w:val="bottom"/>
            <w:hideMark/>
          </w:tcPr>
          <w:p w14:paraId="28007A1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1990</w:t>
            </w:r>
          </w:p>
        </w:tc>
        <w:tc>
          <w:tcPr>
            <w:tcW w:w="1866" w:type="dxa"/>
            <w:shd w:val="clear" w:color="auto" w:fill="auto"/>
            <w:noWrap/>
            <w:vAlign w:val="bottom"/>
            <w:hideMark/>
          </w:tcPr>
          <w:p w14:paraId="35595BB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79.5%</w:t>
            </w:r>
          </w:p>
        </w:tc>
        <w:tc>
          <w:tcPr>
            <w:tcW w:w="1485" w:type="dxa"/>
            <w:shd w:val="clear" w:color="auto" w:fill="auto"/>
            <w:noWrap/>
            <w:vAlign w:val="bottom"/>
            <w:hideMark/>
          </w:tcPr>
          <w:p w14:paraId="401F4EC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84.2%</w:t>
            </w:r>
          </w:p>
        </w:tc>
        <w:tc>
          <w:tcPr>
            <w:tcW w:w="1407" w:type="dxa"/>
            <w:shd w:val="clear" w:color="auto" w:fill="auto"/>
            <w:noWrap/>
            <w:vAlign w:val="bottom"/>
            <w:hideMark/>
          </w:tcPr>
          <w:p w14:paraId="0C1DC19F"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6C99B35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36%</w:t>
            </w:r>
          </w:p>
        </w:tc>
        <w:tc>
          <w:tcPr>
            <w:tcW w:w="1490" w:type="dxa"/>
            <w:shd w:val="clear" w:color="auto" w:fill="auto"/>
            <w:noWrap/>
            <w:vAlign w:val="bottom"/>
            <w:hideMark/>
          </w:tcPr>
          <w:p w14:paraId="5F832FB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26%</w:t>
            </w:r>
          </w:p>
        </w:tc>
      </w:tr>
      <w:tr w:rsidR="007E48B3" w:rsidRPr="00672DA8" w14:paraId="79BC8062" w14:textId="77777777" w:rsidTr="00416373">
        <w:trPr>
          <w:trHeight w:val="300"/>
        </w:trPr>
        <w:tc>
          <w:tcPr>
            <w:tcW w:w="722" w:type="dxa"/>
            <w:shd w:val="clear" w:color="auto" w:fill="auto"/>
            <w:noWrap/>
            <w:vAlign w:val="bottom"/>
            <w:hideMark/>
          </w:tcPr>
          <w:p w14:paraId="51FB61C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1991</w:t>
            </w:r>
          </w:p>
        </w:tc>
        <w:tc>
          <w:tcPr>
            <w:tcW w:w="1866" w:type="dxa"/>
            <w:shd w:val="clear" w:color="auto" w:fill="auto"/>
            <w:noWrap/>
            <w:vAlign w:val="bottom"/>
            <w:hideMark/>
          </w:tcPr>
          <w:p w14:paraId="33E1E00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77.6%</w:t>
            </w:r>
          </w:p>
        </w:tc>
        <w:tc>
          <w:tcPr>
            <w:tcW w:w="1485" w:type="dxa"/>
            <w:shd w:val="clear" w:color="auto" w:fill="auto"/>
            <w:noWrap/>
            <w:vAlign w:val="bottom"/>
            <w:hideMark/>
          </w:tcPr>
          <w:p w14:paraId="7B5C989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86.2%</w:t>
            </w:r>
          </w:p>
        </w:tc>
        <w:tc>
          <w:tcPr>
            <w:tcW w:w="1407" w:type="dxa"/>
            <w:shd w:val="clear" w:color="auto" w:fill="auto"/>
            <w:noWrap/>
            <w:vAlign w:val="bottom"/>
            <w:hideMark/>
          </w:tcPr>
          <w:p w14:paraId="2A564168"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4A17EBF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34%</w:t>
            </w:r>
          </w:p>
        </w:tc>
        <w:tc>
          <w:tcPr>
            <w:tcW w:w="1490" w:type="dxa"/>
            <w:shd w:val="clear" w:color="auto" w:fill="auto"/>
            <w:noWrap/>
            <w:vAlign w:val="bottom"/>
            <w:hideMark/>
          </w:tcPr>
          <w:p w14:paraId="12C3B9D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26%</w:t>
            </w:r>
          </w:p>
        </w:tc>
      </w:tr>
      <w:tr w:rsidR="007E48B3" w:rsidRPr="00672DA8" w14:paraId="7A17A708" w14:textId="77777777" w:rsidTr="00416373">
        <w:trPr>
          <w:trHeight w:val="300"/>
        </w:trPr>
        <w:tc>
          <w:tcPr>
            <w:tcW w:w="722" w:type="dxa"/>
            <w:shd w:val="clear" w:color="auto" w:fill="auto"/>
            <w:noWrap/>
            <w:vAlign w:val="bottom"/>
            <w:hideMark/>
          </w:tcPr>
          <w:p w14:paraId="4F961A4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1992</w:t>
            </w:r>
          </w:p>
        </w:tc>
        <w:tc>
          <w:tcPr>
            <w:tcW w:w="1866" w:type="dxa"/>
            <w:shd w:val="clear" w:color="auto" w:fill="DEEAF6" w:themeFill="accent5" w:themeFillTint="33"/>
            <w:noWrap/>
            <w:vAlign w:val="bottom"/>
            <w:hideMark/>
          </w:tcPr>
          <w:p w14:paraId="4C7BC8A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85.0%</w:t>
            </w:r>
          </w:p>
        </w:tc>
        <w:tc>
          <w:tcPr>
            <w:tcW w:w="1485" w:type="dxa"/>
            <w:shd w:val="clear" w:color="auto" w:fill="DEEAF6" w:themeFill="accent5" w:themeFillTint="33"/>
            <w:noWrap/>
            <w:vAlign w:val="bottom"/>
            <w:hideMark/>
          </w:tcPr>
          <w:p w14:paraId="43CC74F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87.1%</w:t>
            </w:r>
          </w:p>
        </w:tc>
        <w:tc>
          <w:tcPr>
            <w:tcW w:w="1407" w:type="dxa"/>
            <w:shd w:val="clear" w:color="auto" w:fill="auto"/>
            <w:noWrap/>
            <w:vAlign w:val="bottom"/>
            <w:hideMark/>
          </w:tcPr>
          <w:p w14:paraId="15B1306F"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499BC4F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36%</w:t>
            </w:r>
          </w:p>
        </w:tc>
        <w:tc>
          <w:tcPr>
            <w:tcW w:w="1490" w:type="dxa"/>
            <w:shd w:val="clear" w:color="auto" w:fill="auto"/>
            <w:noWrap/>
            <w:vAlign w:val="bottom"/>
            <w:hideMark/>
          </w:tcPr>
          <w:p w14:paraId="77E07C9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26%</w:t>
            </w:r>
          </w:p>
        </w:tc>
      </w:tr>
      <w:tr w:rsidR="007E48B3" w:rsidRPr="00672DA8" w14:paraId="5939C368" w14:textId="77777777" w:rsidTr="00416373">
        <w:trPr>
          <w:trHeight w:val="300"/>
        </w:trPr>
        <w:tc>
          <w:tcPr>
            <w:tcW w:w="722" w:type="dxa"/>
            <w:shd w:val="clear" w:color="auto" w:fill="auto"/>
            <w:noWrap/>
            <w:vAlign w:val="bottom"/>
            <w:hideMark/>
          </w:tcPr>
          <w:p w14:paraId="786FCE8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1993</w:t>
            </w:r>
          </w:p>
        </w:tc>
        <w:tc>
          <w:tcPr>
            <w:tcW w:w="1866" w:type="dxa"/>
            <w:shd w:val="clear" w:color="auto" w:fill="DEEAF6" w:themeFill="accent5" w:themeFillTint="33"/>
            <w:noWrap/>
            <w:vAlign w:val="bottom"/>
            <w:hideMark/>
          </w:tcPr>
          <w:p w14:paraId="7452C4D1"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85.0%</w:t>
            </w:r>
          </w:p>
        </w:tc>
        <w:tc>
          <w:tcPr>
            <w:tcW w:w="1485" w:type="dxa"/>
            <w:shd w:val="clear" w:color="auto" w:fill="DEEAF6" w:themeFill="accent5" w:themeFillTint="33"/>
            <w:noWrap/>
            <w:vAlign w:val="bottom"/>
            <w:hideMark/>
          </w:tcPr>
          <w:p w14:paraId="2655738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87.1%</w:t>
            </w:r>
          </w:p>
        </w:tc>
        <w:tc>
          <w:tcPr>
            <w:tcW w:w="1407" w:type="dxa"/>
            <w:shd w:val="clear" w:color="auto" w:fill="auto"/>
            <w:noWrap/>
            <w:vAlign w:val="bottom"/>
            <w:hideMark/>
          </w:tcPr>
          <w:p w14:paraId="373E91CF"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766C84C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27%</w:t>
            </w:r>
          </w:p>
        </w:tc>
        <w:tc>
          <w:tcPr>
            <w:tcW w:w="1490" w:type="dxa"/>
            <w:shd w:val="clear" w:color="auto" w:fill="auto"/>
            <w:noWrap/>
            <w:vAlign w:val="bottom"/>
            <w:hideMark/>
          </w:tcPr>
          <w:p w14:paraId="3C2E59D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18%</w:t>
            </w:r>
          </w:p>
        </w:tc>
      </w:tr>
      <w:tr w:rsidR="007E48B3" w:rsidRPr="00672DA8" w14:paraId="6EF9D85D" w14:textId="77777777" w:rsidTr="00416373">
        <w:trPr>
          <w:trHeight w:val="300"/>
        </w:trPr>
        <w:tc>
          <w:tcPr>
            <w:tcW w:w="722" w:type="dxa"/>
            <w:shd w:val="clear" w:color="auto" w:fill="auto"/>
            <w:noWrap/>
            <w:vAlign w:val="bottom"/>
            <w:hideMark/>
          </w:tcPr>
          <w:p w14:paraId="180A440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1994</w:t>
            </w:r>
          </w:p>
        </w:tc>
        <w:tc>
          <w:tcPr>
            <w:tcW w:w="1866" w:type="dxa"/>
            <w:shd w:val="clear" w:color="auto" w:fill="DEEAF6" w:themeFill="accent5" w:themeFillTint="33"/>
            <w:noWrap/>
            <w:vAlign w:val="bottom"/>
            <w:hideMark/>
          </w:tcPr>
          <w:p w14:paraId="5CDF77F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85.0%</w:t>
            </w:r>
          </w:p>
        </w:tc>
        <w:tc>
          <w:tcPr>
            <w:tcW w:w="1485" w:type="dxa"/>
            <w:shd w:val="clear" w:color="auto" w:fill="DEEAF6" w:themeFill="accent5" w:themeFillTint="33"/>
            <w:noWrap/>
            <w:vAlign w:val="bottom"/>
            <w:hideMark/>
          </w:tcPr>
          <w:p w14:paraId="0409E88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87.1%</w:t>
            </w:r>
          </w:p>
        </w:tc>
        <w:tc>
          <w:tcPr>
            <w:tcW w:w="1407" w:type="dxa"/>
            <w:shd w:val="clear" w:color="auto" w:fill="auto"/>
            <w:noWrap/>
            <w:vAlign w:val="bottom"/>
            <w:hideMark/>
          </w:tcPr>
          <w:p w14:paraId="0B2ADD9D"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DEEAF6" w:themeFill="accent5" w:themeFillTint="33"/>
            <w:noWrap/>
            <w:vAlign w:val="bottom"/>
            <w:hideMark/>
          </w:tcPr>
          <w:p w14:paraId="06847D9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21%</w:t>
            </w:r>
          </w:p>
        </w:tc>
        <w:tc>
          <w:tcPr>
            <w:tcW w:w="1490" w:type="dxa"/>
            <w:shd w:val="clear" w:color="auto" w:fill="auto"/>
            <w:noWrap/>
            <w:vAlign w:val="bottom"/>
            <w:hideMark/>
          </w:tcPr>
          <w:p w14:paraId="23D2F47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12%</w:t>
            </w:r>
          </w:p>
        </w:tc>
      </w:tr>
      <w:tr w:rsidR="007E48B3" w:rsidRPr="00672DA8" w14:paraId="2ADFAB3E" w14:textId="77777777" w:rsidTr="00416373">
        <w:trPr>
          <w:trHeight w:val="300"/>
        </w:trPr>
        <w:tc>
          <w:tcPr>
            <w:tcW w:w="722" w:type="dxa"/>
            <w:shd w:val="clear" w:color="auto" w:fill="auto"/>
            <w:noWrap/>
            <w:vAlign w:val="bottom"/>
            <w:hideMark/>
          </w:tcPr>
          <w:p w14:paraId="01EE652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1995</w:t>
            </w:r>
          </w:p>
        </w:tc>
        <w:tc>
          <w:tcPr>
            <w:tcW w:w="1866" w:type="dxa"/>
            <w:shd w:val="clear" w:color="auto" w:fill="auto"/>
            <w:noWrap/>
            <w:vAlign w:val="bottom"/>
            <w:hideMark/>
          </w:tcPr>
          <w:p w14:paraId="31AAEB9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92.4%</w:t>
            </w:r>
          </w:p>
        </w:tc>
        <w:tc>
          <w:tcPr>
            <w:tcW w:w="1485" w:type="dxa"/>
            <w:shd w:val="clear" w:color="auto" w:fill="auto"/>
            <w:noWrap/>
            <w:vAlign w:val="bottom"/>
            <w:hideMark/>
          </w:tcPr>
          <w:p w14:paraId="051C238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88.1%</w:t>
            </w:r>
          </w:p>
        </w:tc>
        <w:tc>
          <w:tcPr>
            <w:tcW w:w="1407" w:type="dxa"/>
            <w:shd w:val="clear" w:color="auto" w:fill="auto"/>
            <w:noWrap/>
            <w:vAlign w:val="bottom"/>
            <w:hideMark/>
          </w:tcPr>
          <w:p w14:paraId="238C84BB" w14:textId="77777777" w:rsidR="007E48B3" w:rsidRPr="00741E8E" w:rsidRDefault="007E48B3" w:rsidP="00416373">
            <w:pPr>
              <w:bidi w:val="0"/>
              <w:rPr>
                <w:rFonts w:cs="Calibri"/>
                <w:color w:val="000000"/>
                <w:sz w:val="18"/>
                <w:szCs w:val="18"/>
              </w:rPr>
            </w:pPr>
            <w:r w:rsidRPr="00741E8E">
              <w:rPr>
                <w:rFonts w:cs="Calibri"/>
                <w:color w:val="000000"/>
                <w:sz w:val="18"/>
                <w:szCs w:val="18"/>
              </w:rPr>
              <w:t> </w:t>
            </w:r>
          </w:p>
        </w:tc>
        <w:tc>
          <w:tcPr>
            <w:tcW w:w="1435" w:type="dxa"/>
            <w:shd w:val="clear" w:color="auto" w:fill="auto"/>
            <w:noWrap/>
            <w:vAlign w:val="bottom"/>
            <w:hideMark/>
          </w:tcPr>
          <w:p w14:paraId="60CCCFB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16%</w:t>
            </w:r>
          </w:p>
        </w:tc>
        <w:tc>
          <w:tcPr>
            <w:tcW w:w="1490" w:type="dxa"/>
            <w:shd w:val="clear" w:color="auto" w:fill="auto"/>
            <w:noWrap/>
            <w:vAlign w:val="bottom"/>
            <w:hideMark/>
          </w:tcPr>
          <w:p w14:paraId="2C49EB9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13%</w:t>
            </w:r>
          </w:p>
        </w:tc>
      </w:tr>
      <w:tr w:rsidR="007E48B3" w:rsidRPr="00672DA8" w14:paraId="03842AB0" w14:textId="77777777" w:rsidTr="00416373">
        <w:trPr>
          <w:trHeight w:val="300"/>
        </w:trPr>
        <w:tc>
          <w:tcPr>
            <w:tcW w:w="722" w:type="dxa"/>
            <w:shd w:val="clear" w:color="auto" w:fill="auto"/>
            <w:noWrap/>
            <w:vAlign w:val="bottom"/>
            <w:hideMark/>
          </w:tcPr>
          <w:p w14:paraId="61B9238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1996</w:t>
            </w:r>
          </w:p>
        </w:tc>
        <w:tc>
          <w:tcPr>
            <w:tcW w:w="1866" w:type="dxa"/>
            <w:shd w:val="clear" w:color="auto" w:fill="auto"/>
            <w:noWrap/>
            <w:vAlign w:val="bottom"/>
            <w:hideMark/>
          </w:tcPr>
          <w:p w14:paraId="16946F6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94.0%</w:t>
            </w:r>
          </w:p>
        </w:tc>
        <w:tc>
          <w:tcPr>
            <w:tcW w:w="1485" w:type="dxa"/>
            <w:shd w:val="clear" w:color="auto" w:fill="auto"/>
            <w:noWrap/>
            <w:vAlign w:val="bottom"/>
            <w:hideMark/>
          </w:tcPr>
          <w:p w14:paraId="57834E5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86.5%</w:t>
            </w:r>
          </w:p>
        </w:tc>
        <w:tc>
          <w:tcPr>
            <w:tcW w:w="1407" w:type="dxa"/>
            <w:shd w:val="clear" w:color="auto" w:fill="auto"/>
            <w:noWrap/>
            <w:vAlign w:val="bottom"/>
            <w:hideMark/>
          </w:tcPr>
          <w:p w14:paraId="63620E3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38%</w:t>
            </w:r>
          </w:p>
        </w:tc>
        <w:tc>
          <w:tcPr>
            <w:tcW w:w="1435" w:type="dxa"/>
            <w:shd w:val="clear" w:color="auto" w:fill="auto"/>
            <w:noWrap/>
            <w:vAlign w:val="bottom"/>
            <w:hideMark/>
          </w:tcPr>
          <w:p w14:paraId="43C92CC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14%</w:t>
            </w:r>
          </w:p>
        </w:tc>
        <w:tc>
          <w:tcPr>
            <w:tcW w:w="1490" w:type="dxa"/>
            <w:shd w:val="clear" w:color="auto" w:fill="auto"/>
            <w:noWrap/>
            <w:vAlign w:val="bottom"/>
            <w:hideMark/>
          </w:tcPr>
          <w:p w14:paraId="17C88AD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12%</w:t>
            </w:r>
          </w:p>
        </w:tc>
      </w:tr>
      <w:tr w:rsidR="007E48B3" w:rsidRPr="00672DA8" w14:paraId="4F2D5B10" w14:textId="77777777" w:rsidTr="00416373">
        <w:trPr>
          <w:trHeight w:val="300"/>
        </w:trPr>
        <w:tc>
          <w:tcPr>
            <w:tcW w:w="722" w:type="dxa"/>
            <w:shd w:val="clear" w:color="auto" w:fill="auto"/>
            <w:noWrap/>
            <w:vAlign w:val="bottom"/>
            <w:hideMark/>
          </w:tcPr>
          <w:p w14:paraId="006652B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1997</w:t>
            </w:r>
          </w:p>
        </w:tc>
        <w:tc>
          <w:tcPr>
            <w:tcW w:w="1866" w:type="dxa"/>
            <w:shd w:val="clear" w:color="auto" w:fill="auto"/>
            <w:noWrap/>
            <w:vAlign w:val="bottom"/>
            <w:hideMark/>
          </w:tcPr>
          <w:p w14:paraId="708019D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93.7%</w:t>
            </w:r>
          </w:p>
        </w:tc>
        <w:tc>
          <w:tcPr>
            <w:tcW w:w="1485" w:type="dxa"/>
            <w:shd w:val="clear" w:color="auto" w:fill="auto"/>
            <w:noWrap/>
            <w:vAlign w:val="bottom"/>
            <w:hideMark/>
          </w:tcPr>
          <w:p w14:paraId="7D6BFB0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82.7%</w:t>
            </w:r>
          </w:p>
        </w:tc>
        <w:tc>
          <w:tcPr>
            <w:tcW w:w="1407" w:type="dxa"/>
            <w:shd w:val="clear" w:color="auto" w:fill="auto"/>
            <w:noWrap/>
            <w:vAlign w:val="bottom"/>
            <w:hideMark/>
          </w:tcPr>
          <w:p w14:paraId="328A7DD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44%</w:t>
            </w:r>
          </w:p>
        </w:tc>
        <w:tc>
          <w:tcPr>
            <w:tcW w:w="1435" w:type="dxa"/>
            <w:shd w:val="clear" w:color="auto" w:fill="auto"/>
            <w:noWrap/>
            <w:vAlign w:val="bottom"/>
            <w:hideMark/>
          </w:tcPr>
          <w:p w14:paraId="060A2E1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17%</w:t>
            </w:r>
          </w:p>
        </w:tc>
        <w:tc>
          <w:tcPr>
            <w:tcW w:w="1490" w:type="dxa"/>
            <w:shd w:val="clear" w:color="auto" w:fill="auto"/>
            <w:noWrap/>
            <w:vAlign w:val="bottom"/>
            <w:hideMark/>
          </w:tcPr>
          <w:p w14:paraId="4F962C4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12%</w:t>
            </w:r>
          </w:p>
        </w:tc>
      </w:tr>
      <w:tr w:rsidR="007E48B3" w:rsidRPr="00672DA8" w14:paraId="717EF71B" w14:textId="77777777" w:rsidTr="00416373">
        <w:trPr>
          <w:trHeight w:val="300"/>
        </w:trPr>
        <w:tc>
          <w:tcPr>
            <w:tcW w:w="722" w:type="dxa"/>
            <w:shd w:val="clear" w:color="auto" w:fill="auto"/>
            <w:noWrap/>
            <w:vAlign w:val="bottom"/>
            <w:hideMark/>
          </w:tcPr>
          <w:p w14:paraId="1A0B424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1998</w:t>
            </w:r>
          </w:p>
        </w:tc>
        <w:tc>
          <w:tcPr>
            <w:tcW w:w="1866" w:type="dxa"/>
            <w:shd w:val="clear" w:color="auto" w:fill="auto"/>
            <w:noWrap/>
            <w:vAlign w:val="bottom"/>
            <w:hideMark/>
          </w:tcPr>
          <w:p w14:paraId="3CFAE3A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96.1%</w:t>
            </w:r>
          </w:p>
        </w:tc>
        <w:tc>
          <w:tcPr>
            <w:tcW w:w="1485" w:type="dxa"/>
            <w:shd w:val="clear" w:color="auto" w:fill="auto"/>
            <w:noWrap/>
            <w:vAlign w:val="bottom"/>
            <w:hideMark/>
          </w:tcPr>
          <w:p w14:paraId="7FFD590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77.2%</w:t>
            </w:r>
          </w:p>
        </w:tc>
        <w:tc>
          <w:tcPr>
            <w:tcW w:w="1407" w:type="dxa"/>
            <w:shd w:val="clear" w:color="auto" w:fill="auto"/>
            <w:noWrap/>
            <w:vAlign w:val="bottom"/>
            <w:hideMark/>
          </w:tcPr>
          <w:p w14:paraId="354D8B6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49%</w:t>
            </w:r>
          </w:p>
        </w:tc>
        <w:tc>
          <w:tcPr>
            <w:tcW w:w="1435" w:type="dxa"/>
            <w:shd w:val="clear" w:color="auto" w:fill="auto"/>
            <w:noWrap/>
            <w:vAlign w:val="bottom"/>
            <w:hideMark/>
          </w:tcPr>
          <w:p w14:paraId="7AE9E63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22%</w:t>
            </w:r>
          </w:p>
        </w:tc>
        <w:tc>
          <w:tcPr>
            <w:tcW w:w="1490" w:type="dxa"/>
            <w:shd w:val="clear" w:color="auto" w:fill="auto"/>
            <w:noWrap/>
            <w:vAlign w:val="bottom"/>
            <w:hideMark/>
          </w:tcPr>
          <w:p w14:paraId="7A3229E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17%</w:t>
            </w:r>
          </w:p>
        </w:tc>
      </w:tr>
      <w:tr w:rsidR="007E48B3" w:rsidRPr="00672DA8" w14:paraId="608C27F9" w14:textId="77777777" w:rsidTr="00416373">
        <w:trPr>
          <w:trHeight w:val="300"/>
        </w:trPr>
        <w:tc>
          <w:tcPr>
            <w:tcW w:w="722" w:type="dxa"/>
            <w:shd w:val="clear" w:color="auto" w:fill="auto"/>
            <w:noWrap/>
            <w:vAlign w:val="bottom"/>
            <w:hideMark/>
          </w:tcPr>
          <w:p w14:paraId="2EDAC5D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1999</w:t>
            </w:r>
          </w:p>
        </w:tc>
        <w:tc>
          <w:tcPr>
            <w:tcW w:w="1866" w:type="dxa"/>
            <w:shd w:val="clear" w:color="auto" w:fill="auto"/>
            <w:noWrap/>
            <w:vAlign w:val="bottom"/>
            <w:hideMark/>
          </w:tcPr>
          <w:p w14:paraId="19E391E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96.9%</w:t>
            </w:r>
          </w:p>
        </w:tc>
        <w:tc>
          <w:tcPr>
            <w:tcW w:w="1485" w:type="dxa"/>
            <w:shd w:val="clear" w:color="auto" w:fill="auto"/>
            <w:noWrap/>
            <w:vAlign w:val="bottom"/>
            <w:hideMark/>
          </w:tcPr>
          <w:p w14:paraId="4A6146D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61.6%</w:t>
            </w:r>
          </w:p>
        </w:tc>
        <w:tc>
          <w:tcPr>
            <w:tcW w:w="1407" w:type="dxa"/>
            <w:shd w:val="clear" w:color="auto" w:fill="auto"/>
            <w:noWrap/>
            <w:vAlign w:val="bottom"/>
            <w:hideMark/>
          </w:tcPr>
          <w:p w14:paraId="10E7DD4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49%</w:t>
            </w:r>
          </w:p>
        </w:tc>
        <w:tc>
          <w:tcPr>
            <w:tcW w:w="1435" w:type="dxa"/>
            <w:shd w:val="clear" w:color="auto" w:fill="auto"/>
            <w:noWrap/>
            <w:vAlign w:val="bottom"/>
            <w:hideMark/>
          </w:tcPr>
          <w:p w14:paraId="2A21D77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23%</w:t>
            </w:r>
          </w:p>
        </w:tc>
        <w:tc>
          <w:tcPr>
            <w:tcW w:w="1490" w:type="dxa"/>
            <w:shd w:val="clear" w:color="auto" w:fill="auto"/>
            <w:noWrap/>
            <w:vAlign w:val="bottom"/>
            <w:hideMark/>
          </w:tcPr>
          <w:p w14:paraId="6F530FA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17%</w:t>
            </w:r>
          </w:p>
        </w:tc>
      </w:tr>
      <w:tr w:rsidR="007E48B3" w:rsidRPr="00672DA8" w14:paraId="4F0FDFCB" w14:textId="77777777" w:rsidTr="00416373">
        <w:trPr>
          <w:trHeight w:val="300"/>
        </w:trPr>
        <w:tc>
          <w:tcPr>
            <w:tcW w:w="722" w:type="dxa"/>
            <w:shd w:val="clear" w:color="auto" w:fill="auto"/>
            <w:noWrap/>
            <w:vAlign w:val="bottom"/>
            <w:hideMark/>
          </w:tcPr>
          <w:p w14:paraId="7BE65F2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2000</w:t>
            </w:r>
          </w:p>
        </w:tc>
        <w:tc>
          <w:tcPr>
            <w:tcW w:w="1866" w:type="dxa"/>
            <w:shd w:val="clear" w:color="auto" w:fill="auto"/>
            <w:noWrap/>
            <w:vAlign w:val="bottom"/>
            <w:hideMark/>
          </w:tcPr>
          <w:p w14:paraId="4FDE853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95.5%</w:t>
            </w:r>
          </w:p>
        </w:tc>
        <w:tc>
          <w:tcPr>
            <w:tcW w:w="1485" w:type="dxa"/>
            <w:shd w:val="clear" w:color="auto" w:fill="auto"/>
            <w:noWrap/>
            <w:vAlign w:val="bottom"/>
            <w:hideMark/>
          </w:tcPr>
          <w:p w14:paraId="26A93B4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73.8%</w:t>
            </w:r>
          </w:p>
        </w:tc>
        <w:tc>
          <w:tcPr>
            <w:tcW w:w="1407" w:type="dxa"/>
            <w:shd w:val="clear" w:color="auto" w:fill="auto"/>
            <w:noWrap/>
            <w:vAlign w:val="bottom"/>
            <w:hideMark/>
          </w:tcPr>
          <w:p w14:paraId="4553609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41%</w:t>
            </w:r>
          </w:p>
        </w:tc>
        <w:tc>
          <w:tcPr>
            <w:tcW w:w="1435" w:type="dxa"/>
            <w:shd w:val="clear" w:color="auto" w:fill="auto"/>
            <w:noWrap/>
            <w:vAlign w:val="bottom"/>
            <w:hideMark/>
          </w:tcPr>
          <w:p w14:paraId="2AAD663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19%</w:t>
            </w:r>
          </w:p>
        </w:tc>
        <w:tc>
          <w:tcPr>
            <w:tcW w:w="1490" w:type="dxa"/>
            <w:shd w:val="clear" w:color="auto" w:fill="auto"/>
            <w:noWrap/>
            <w:vAlign w:val="bottom"/>
            <w:hideMark/>
          </w:tcPr>
          <w:p w14:paraId="5937DC6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w:t>
            </w:r>
          </w:p>
        </w:tc>
      </w:tr>
      <w:tr w:rsidR="007E48B3" w:rsidRPr="00672DA8" w14:paraId="11FC4ECE" w14:textId="77777777" w:rsidTr="00416373">
        <w:trPr>
          <w:trHeight w:val="300"/>
        </w:trPr>
        <w:tc>
          <w:tcPr>
            <w:tcW w:w="722" w:type="dxa"/>
            <w:shd w:val="clear" w:color="auto" w:fill="auto"/>
            <w:noWrap/>
            <w:vAlign w:val="bottom"/>
            <w:hideMark/>
          </w:tcPr>
          <w:p w14:paraId="2F09504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2001</w:t>
            </w:r>
          </w:p>
        </w:tc>
        <w:tc>
          <w:tcPr>
            <w:tcW w:w="1866" w:type="dxa"/>
            <w:shd w:val="clear" w:color="auto" w:fill="auto"/>
            <w:noWrap/>
            <w:vAlign w:val="bottom"/>
            <w:hideMark/>
          </w:tcPr>
          <w:p w14:paraId="135A86D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96.8%</w:t>
            </w:r>
          </w:p>
        </w:tc>
        <w:tc>
          <w:tcPr>
            <w:tcW w:w="1485" w:type="dxa"/>
            <w:shd w:val="clear" w:color="auto" w:fill="auto"/>
            <w:noWrap/>
            <w:vAlign w:val="bottom"/>
            <w:hideMark/>
          </w:tcPr>
          <w:p w14:paraId="12F3E36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68.4%</w:t>
            </w:r>
          </w:p>
        </w:tc>
        <w:tc>
          <w:tcPr>
            <w:tcW w:w="1407" w:type="dxa"/>
            <w:shd w:val="clear" w:color="auto" w:fill="auto"/>
            <w:noWrap/>
            <w:vAlign w:val="bottom"/>
            <w:hideMark/>
          </w:tcPr>
          <w:p w14:paraId="31671B6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0%</w:t>
            </w:r>
          </w:p>
        </w:tc>
        <w:tc>
          <w:tcPr>
            <w:tcW w:w="1435" w:type="dxa"/>
            <w:shd w:val="clear" w:color="auto" w:fill="auto"/>
            <w:noWrap/>
            <w:vAlign w:val="bottom"/>
            <w:hideMark/>
          </w:tcPr>
          <w:p w14:paraId="5B93922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13%</w:t>
            </w:r>
          </w:p>
        </w:tc>
        <w:tc>
          <w:tcPr>
            <w:tcW w:w="1490" w:type="dxa"/>
            <w:shd w:val="clear" w:color="auto" w:fill="auto"/>
            <w:noWrap/>
            <w:vAlign w:val="bottom"/>
            <w:hideMark/>
          </w:tcPr>
          <w:p w14:paraId="475B3B3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w:t>
            </w:r>
          </w:p>
        </w:tc>
      </w:tr>
      <w:tr w:rsidR="007E48B3" w:rsidRPr="00672DA8" w14:paraId="0F9AE666" w14:textId="77777777" w:rsidTr="00416373">
        <w:trPr>
          <w:trHeight w:val="300"/>
        </w:trPr>
        <w:tc>
          <w:tcPr>
            <w:tcW w:w="722" w:type="dxa"/>
            <w:shd w:val="clear" w:color="auto" w:fill="auto"/>
            <w:noWrap/>
            <w:vAlign w:val="bottom"/>
            <w:hideMark/>
          </w:tcPr>
          <w:p w14:paraId="1767FEC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2002</w:t>
            </w:r>
          </w:p>
        </w:tc>
        <w:tc>
          <w:tcPr>
            <w:tcW w:w="1866" w:type="dxa"/>
            <w:shd w:val="clear" w:color="auto" w:fill="auto"/>
            <w:noWrap/>
            <w:vAlign w:val="bottom"/>
            <w:hideMark/>
          </w:tcPr>
          <w:p w14:paraId="0BA66FF1"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94.0%</w:t>
            </w:r>
          </w:p>
        </w:tc>
        <w:tc>
          <w:tcPr>
            <w:tcW w:w="1485" w:type="dxa"/>
            <w:shd w:val="clear" w:color="auto" w:fill="auto"/>
            <w:noWrap/>
            <w:vAlign w:val="bottom"/>
            <w:hideMark/>
          </w:tcPr>
          <w:p w14:paraId="0B211AE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76.3%</w:t>
            </w:r>
          </w:p>
        </w:tc>
        <w:tc>
          <w:tcPr>
            <w:tcW w:w="1407" w:type="dxa"/>
            <w:shd w:val="clear" w:color="auto" w:fill="auto"/>
            <w:noWrap/>
            <w:vAlign w:val="bottom"/>
            <w:hideMark/>
          </w:tcPr>
          <w:p w14:paraId="101141F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w:t>
            </w:r>
          </w:p>
        </w:tc>
        <w:tc>
          <w:tcPr>
            <w:tcW w:w="1435" w:type="dxa"/>
            <w:shd w:val="clear" w:color="auto" w:fill="auto"/>
            <w:noWrap/>
            <w:vAlign w:val="bottom"/>
            <w:hideMark/>
          </w:tcPr>
          <w:p w14:paraId="011D8AB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w:t>
            </w:r>
          </w:p>
        </w:tc>
        <w:tc>
          <w:tcPr>
            <w:tcW w:w="1490" w:type="dxa"/>
            <w:shd w:val="clear" w:color="auto" w:fill="auto"/>
            <w:noWrap/>
            <w:vAlign w:val="bottom"/>
            <w:hideMark/>
          </w:tcPr>
          <w:p w14:paraId="655F2EF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w:t>
            </w:r>
          </w:p>
        </w:tc>
      </w:tr>
      <w:tr w:rsidR="007E48B3" w:rsidRPr="00672DA8" w14:paraId="235EB44A" w14:textId="77777777" w:rsidTr="00416373">
        <w:trPr>
          <w:trHeight w:val="300"/>
        </w:trPr>
        <w:tc>
          <w:tcPr>
            <w:tcW w:w="722" w:type="dxa"/>
            <w:shd w:val="clear" w:color="auto" w:fill="auto"/>
            <w:noWrap/>
            <w:vAlign w:val="bottom"/>
            <w:hideMark/>
          </w:tcPr>
          <w:p w14:paraId="44859C5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2003</w:t>
            </w:r>
          </w:p>
        </w:tc>
        <w:tc>
          <w:tcPr>
            <w:tcW w:w="1866" w:type="dxa"/>
            <w:shd w:val="clear" w:color="auto" w:fill="auto"/>
            <w:noWrap/>
            <w:vAlign w:val="bottom"/>
            <w:hideMark/>
          </w:tcPr>
          <w:p w14:paraId="54CC764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94.1%</w:t>
            </w:r>
          </w:p>
        </w:tc>
        <w:tc>
          <w:tcPr>
            <w:tcW w:w="1485" w:type="dxa"/>
            <w:shd w:val="clear" w:color="auto" w:fill="auto"/>
            <w:noWrap/>
            <w:vAlign w:val="bottom"/>
            <w:hideMark/>
          </w:tcPr>
          <w:p w14:paraId="42E32BA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76.6%</w:t>
            </w:r>
          </w:p>
        </w:tc>
        <w:tc>
          <w:tcPr>
            <w:tcW w:w="1407" w:type="dxa"/>
            <w:shd w:val="clear" w:color="auto" w:fill="auto"/>
            <w:noWrap/>
            <w:vAlign w:val="bottom"/>
            <w:hideMark/>
          </w:tcPr>
          <w:p w14:paraId="200DC08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35%</w:t>
            </w:r>
          </w:p>
        </w:tc>
        <w:tc>
          <w:tcPr>
            <w:tcW w:w="1435" w:type="dxa"/>
            <w:shd w:val="clear" w:color="auto" w:fill="auto"/>
            <w:noWrap/>
            <w:vAlign w:val="bottom"/>
            <w:hideMark/>
          </w:tcPr>
          <w:p w14:paraId="4A9F598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w:t>
            </w:r>
          </w:p>
        </w:tc>
        <w:tc>
          <w:tcPr>
            <w:tcW w:w="1490" w:type="dxa"/>
            <w:shd w:val="clear" w:color="auto" w:fill="auto"/>
            <w:noWrap/>
            <w:vAlign w:val="bottom"/>
            <w:hideMark/>
          </w:tcPr>
          <w:p w14:paraId="5E3B48A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w:t>
            </w:r>
          </w:p>
        </w:tc>
      </w:tr>
      <w:tr w:rsidR="007E48B3" w:rsidRPr="00672DA8" w14:paraId="0E593EF5" w14:textId="77777777" w:rsidTr="00416373">
        <w:trPr>
          <w:trHeight w:val="300"/>
        </w:trPr>
        <w:tc>
          <w:tcPr>
            <w:tcW w:w="722" w:type="dxa"/>
            <w:shd w:val="clear" w:color="auto" w:fill="auto"/>
            <w:noWrap/>
            <w:vAlign w:val="bottom"/>
            <w:hideMark/>
          </w:tcPr>
          <w:p w14:paraId="0337464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2004</w:t>
            </w:r>
          </w:p>
        </w:tc>
        <w:tc>
          <w:tcPr>
            <w:tcW w:w="1866" w:type="dxa"/>
            <w:shd w:val="clear" w:color="auto" w:fill="auto"/>
            <w:noWrap/>
            <w:vAlign w:val="bottom"/>
            <w:hideMark/>
          </w:tcPr>
          <w:p w14:paraId="7A8F47D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93.2%</w:t>
            </w:r>
          </w:p>
        </w:tc>
        <w:tc>
          <w:tcPr>
            <w:tcW w:w="1485" w:type="dxa"/>
            <w:shd w:val="clear" w:color="auto" w:fill="auto"/>
            <w:noWrap/>
            <w:vAlign w:val="bottom"/>
            <w:hideMark/>
          </w:tcPr>
          <w:p w14:paraId="65C3D23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77.0%</w:t>
            </w:r>
          </w:p>
        </w:tc>
        <w:tc>
          <w:tcPr>
            <w:tcW w:w="1407" w:type="dxa"/>
            <w:shd w:val="clear" w:color="auto" w:fill="auto"/>
            <w:noWrap/>
            <w:vAlign w:val="bottom"/>
            <w:hideMark/>
          </w:tcPr>
          <w:p w14:paraId="24650B2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51%</w:t>
            </w:r>
          </w:p>
        </w:tc>
        <w:tc>
          <w:tcPr>
            <w:tcW w:w="1435" w:type="dxa"/>
            <w:shd w:val="clear" w:color="auto" w:fill="auto"/>
            <w:noWrap/>
            <w:vAlign w:val="bottom"/>
            <w:hideMark/>
          </w:tcPr>
          <w:p w14:paraId="5369E2A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w:t>
            </w:r>
          </w:p>
        </w:tc>
        <w:tc>
          <w:tcPr>
            <w:tcW w:w="1490" w:type="dxa"/>
            <w:shd w:val="clear" w:color="auto" w:fill="auto"/>
            <w:noWrap/>
            <w:vAlign w:val="bottom"/>
            <w:hideMark/>
          </w:tcPr>
          <w:p w14:paraId="202A35A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w:t>
            </w:r>
          </w:p>
        </w:tc>
      </w:tr>
      <w:tr w:rsidR="007E48B3" w:rsidRPr="00672DA8" w14:paraId="56A798D8" w14:textId="77777777" w:rsidTr="00416373">
        <w:trPr>
          <w:trHeight w:val="300"/>
        </w:trPr>
        <w:tc>
          <w:tcPr>
            <w:tcW w:w="722" w:type="dxa"/>
            <w:shd w:val="clear" w:color="auto" w:fill="auto"/>
            <w:noWrap/>
            <w:vAlign w:val="bottom"/>
            <w:hideMark/>
          </w:tcPr>
          <w:p w14:paraId="10D0F71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2005</w:t>
            </w:r>
          </w:p>
        </w:tc>
        <w:tc>
          <w:tcPr>
            <w:tcW w:w="1866" w:type="dxa"/>
            <w:shd w:val="clear" w:color="auto" w:fill="auto"/>
            <w:noWrap/>
            <w:vAlign w:val="bottom"/>
            <w:hideMark/>
          </w:tcPr>
          <w:p w14:paraId="3BA364F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92.8%</w:t>
            </w:r>
          </w:p>
        </w:tc>
        <w:tc>
          <w:tcPr>
            <w:tcW w:w="1485" w:type="dxa"/>
            <w:shd w:val="clear" w:color="auto" w:fill="auto"/>
            <w:noWrap/>
            <w:vAlign w:val="bottom"/>
            <w:hideMark/>
          </w:tcPr>
          <w:p w14:paraId="066592D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75.5%</w:t>
            </w:r>
          </w:p>
        </w:tc>
        <w:tc>
          <w:tcPr>
            <w:tcW w:w="1407" w:type="dxa"/>
            <w:shd w:val="clear" w:color="auto" w:fill="auto"/>
            <w:noWrap/>
            <w:vAlign w:val="bottom"/>
            <w:hideMark/>
          </w:tcPr>
          <w:p w14:paraId="01BE97D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45%</w:t>
            </w:r>
          </w:p>
        </w:tc>
        <w:tc>
          <w:tcPr>
            <w:tcW w:w="1435" w:type="dxa"/>
            <w:shd w:val="clear" w:color="auto" w:fill="auto"/>
            <w:noWrap/>
            <w:vAlign w:val="bottom"/>
            <w:hideMark/>
          </w:tcPr>
          <w:p w14:paraId="07D4289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w:t>
            </w:r>
          </w:p>
        </w:tc>
        <w:tc>
          <w:tcPr>
            <w:tcW w:w="1490" w:type="dxa"/>
            <w:shd w:val="clear" w:color="auto" w:fill="auto"/>
            <w:noWrap/>
            <w:vAlign w:val="bottom"/>
            <w:hideMark/>
          </w:tcPr>
          <w:p w14:paraId="7125EAA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w:t>
            </w:r>
          </w:p>
        </w:tc>
      </w:tr>
      <w:tr w:rsidR="007E48B3" w:rsidRPr="00672DA8" w14:paraId="2D0D832B" w14:textId="77777777" w:rsidTr="00416373">
        <w:trPr>
          <w:trHeight w:val="300"/>
        </w:trPr>
        <w:tc>
          <w:tcPr>
            <w:tcW w:w="722" w:type="dxa"/>
            <w:shd w:val="clear" w:color="auto" w:fill="auto"/>
            <w:noWrap/>
            <w:vAlign w:val="bottom"/>
            <w:hideMark/>
          </w:tcPr>
          <w:p w14:paraId="769F6A2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2006</w:t>
            </w:r>
          </w:p>
        </w:tc>
        <w:tc>
          <w:tcPr>
            <w:tcW w:w="1866" w:type="dxa"/>
            <w:shd w:val="clear" w:color="auto" w:fill="auto"/>
            <w:noWrap/>
            <w:vAlign w:val="bottom"/>
            <w:hideMark/>
          </w:tcPr>
          <w:p w14:paraId="5CB8A2F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94.2%</w:t>
            </w:r>
          </w:p>
        </w:tc>
        <w:tc>
          <w:tcPr>
            <w:tcW w:w="1485" w:type="dxa"/>
            <w:shd w:val="clear" w:color="auto" w:fill="auto"/>
            <w:noWrap/>
            <w:vAlign w:val="bottom"/>
            <w:hideMark/>
          </w:tcPr>
          <w:p w14:paraId="325122D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77.4%</w:t>
            </w:r>
          </w:p>
        </w:tc>
        <w:tc>
          <w:tcPr>
            <w:tcW w:w="1407" w:type="dxa"/>
            <w:shd w:val="clear" w:color="auto" w:fill="auto"/>
            <w:noWrap/>
            <w:vAlign w:val="bottom"/>
            <w:hideMark/>
          </w:tcPr>
          <w:p w14:paraId="6DB3748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w:t>
            </w:r>
          </w:p>
        </w:tc>
        <w:tc>
          <w:tcPr>
            <w:tcW w:w="1435" w:type="dxa"/>
            <w:shd w:val="clear" w:color="auto" w:fill="auto"/>
            <w:noWrap/>
            <w:vAlign w:val="bottom"/>
            <w:hideMark/>
          </w:tcPr>
          <w:p w14:paraId="1889CBF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w:t>
            </w:r>
          </w:p>
        </w:tc>
        <w:tc>
          <w:tcPr>
            <w:tcW w:w="1490" w:type="dxa"/>
            <w:shd w:val="clear" w:color="auto" w:fill="auto"/>
            <w:noWrap/>
            <w:vAlign w:val="bottom"/>
            <w:hideMark/>
          </w:tcPr>
          <w:p w14:paraId="796183E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5%</w:t>
            </w:r>
          </w:p>
        </w:tc>
      </w:tr>
      <w:tr w:rsidR="007E48B3" w:rsidRPr="00672DA8" w14:paraId="0060581A" w14:textId="77777777" w:rsidTr="00416373">
        <w:trPr>
          <w:trHeight w:val="300"/>
        </w:trPr>
        <w:tc>
          <w:tcPr>
            <w:tcW w:w="722" w:type="dxa"/>
            <w:shd w:val="clear" w:color="auto" w:fill="auto"/>
            <w:noWrap/>
            <w:vAlign w:val="bottom"/>
            <w:hideMark/>
          </w:tcPr>
          <w:p w14:paraId="7A6DCB1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2007</w:t>
            </w:r>
          </w:p>
        </w:tc>
        <w:tc>
          <w:tcPr>
            <w:tcW w:w="1866" w:type="dxa"/>
            <w:shd w:val="clear" w:color="auto" w:fill="auto"/>
            <w:noWrap/>
            <w:vAlign w:val="bottom"/>
            <w:hideMark/>
          </w:tcPr>
          <w:p w14:paraId="6114C2E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93.8%</w:t>
            </w:r>
          </w:p>
        </w:tc>
        <w:tc>
          <w:tcPr>
            <w:tcW w:w="1485" w:type="dxa"/>
            <w:shd w:val="clear" w:color="auto" w:fill="auto"/>
            <w:noWrap/>
            <w:vAlign w:val="bottom"/>
            <w:hideMark/>
          </w:tcPr>
          <w:p w14:paraId="74856BC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77.6%</w:t>
            </w:r>
          </w:p>
        </w:tc>
        <w:tc>
          <w:tcPr>
            <w:tcW w:w="1407" w:type="dxa"/>
            <w:shd w:val="clear" w:color="auto" w:fill="auto"/>
            <w:noWrap/>
            <w:vAlign w:val="bottom"/>
            <w:hideMark/>
          </w:tcPr>
          <w:p w14:paraId="3D84D86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45%</w:t>
            </w:r>
          </w:p>
        </w:tc>
        <w:tc>
          <w:tcPr>
            <w:tcW w:w="1435" w:type="dxa"/>
            <w:shd w:val="clear" w:color="auto" w:fill="auto"/>
            <w:noWrap/>
            <w:vAlign w:val="bottom"/>
            <w:hideMark/>
          </w:tcPr>
          <w:p w14:paraId="2C6E03D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w:t>
            </w:r>
          </w:p>
        </w:tc>
        <w:tc>
          <w:tcPr>
            <w:tcW w:w="1490" w:type="dxa"/>
            <w:shd w:val="clear" w:color="auto" w:fill="auto"/>
            <w:noWrap/>
            <w:vAlign w:val="bottom"/>
            <w:hideMark/>
          </w:tcPr>
          <w:p w14:paraId="1396199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5%</w:t>
            </w:r>
          </w:p>
        </w:tc>
      </w:tr>
      <w:tr w:rsidR="007E48B3" w:rsidRPr="00672DA8" w14:paraId="28A75A82" w14:textId="77777777" w:rsidTr="00416373">
        <w:trPr>
          <w:trHeight w:val="300"/>
        </w:trPr>
        <w:tc>
          <w:tcPr>
            <w:tcW w:w="722" w:type="dxa"/>
            <w:shd w:val="clear" w:color="auto" w:fill="auto"/>
            <w:noWrap/>
            <w:vAlign w:val="bottom"/>
            <w:hideMark/>
          </w:tcPr>
          <w:p w14:paraId="0B20914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2008</w:t>
            </w:r>
          </w:p>
        </w:tc>
        <w:tc>
          <w:tcPr>
            <w:tcW w:w="1866" w:type="dxa"/>
            <w:shd w:val="clear" w:color="auto" w:fill="auto"/>
            <w:noWrap/>
            <w:vAlign w:val="bottom"/>
            <w:hideMark/>
          </w:tcPr>
          <w:p w14:paraId="7B72DEC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93.7%</w:t>
            </w:r>
          </w:p>
        </w:tc>
        <w:tc>
          <w:tcPr>
            <w:tcW w:w="1485" w:type="dxa"/>
            <w:shd w:val="clear" w:color="auto" w:fill="auto"/>
            <w:noWrap/>
            <w:vAlign w:val="bottom"/>
            <w:hideMark/>
          </w:tcPr>
          <w:p w14:paraId="00D8B201"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83.4%</w:t>
            </w:r>
          </w:p>
        </w:tc>
        <w:tc>
          <w:tcPr>
            <w:tcW w:w="1407" w:type="dxa"/>
            <w:shd w:val="clear" w:color="auto" w:fill="auto"/>
            <w:noWrap/>
            <w:vAlign w:val="bottom"/>
            <w:hideMark/>
          </w:tcPr>
          <w:p w14:paraId="14318C8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30%</w:t>
            </w:r>
          </w:p>
        </w:tc>
        <w:tc>
          <w:tcPr>
            <w:tcW w:w="1435" w:type="dxa"/>
            <w:shd w:val="clear" w:color="auto" w:fill="auto"/>
            <w:noWrap/>
            <w:vAlign w:val="bottom"/>
            <w:hideMark/>
          </w:tcPr>
          <w:p w14:paraId="4BE911C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10%</w:t>
            </w:r>
          </w:p>
        </w:tc>
        <w:tc>
          <w:tcPr>
            <w:tcW w:w="1490" w:type="dxa"/>
            <w:shd w:val="clear" w:color="auto" w:fill="auto"/>
            <w:noWrap/>
            <w:vAlign w:val="bottom"/>
            <w:hideMark/>
          </w:tcPr>
          <w:p w14:paraId="475BD28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w:t>
            </w:r>
          </w:p>
        </w:tc>
      </w:tr>
      <w:tr w:rsidR="007E48B3" w:rsidRPr="00672DA8" w14:paraId="623F6829" w14:textId="77777777" w:rsidTr="00416373">
        <w:trPr>
          <w:trHeight w:val="300"/>
        </w:trPr>
        <w:tc>
          <w:tcPr>
            <w:tcW w:w="722" w:type="dxa"/>
            <w:shd w:val="clear" w:color="auto" w:fill="auto"/>
            <w:noWrap/>
            <w:vAlign w:val="bottom"/>
            <w:hideMark/>
          </w:tcPr>
          <w:p w14:paraId="3747F72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2009</w:t>
            </w:r>
          </w:p>
        </w:tc>
        <w:tc>
          <w:tcPr>
            <w:tcW w:w="1866" w:type="dxa"/>
            <w:shd w:val="clear" w:color="auto" w:fill="auto"/>
            <w:noWrap/>
            <w:vAlign w:val="bottom"/>
            <w:hideMark/>
          </w:tcPr>
          <w:p w14:paraId="5EE2844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93.0%</w:t>
            </w:r>
          </w:p>
        </w:tc>
        <w:tc>
          <w:tcPr>
            <w:tcW w:w="1485" w:type="dxa"/>
            <w:shd w:val="clear" w:color="auto" w:fill="auto"/>
            <w:noWrap/>
            <w:vAlign w:val="bottom"/>
            <w:hideMark/>
          </w:tcPr>
          <w:p w14:paraId="32F8F56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78.0%</w:t>
            </w:r>
          </w:p>
        </w:tc>
        <w:tc>
          <w:tcPr>
            <w:tcW w:w="1407" w:type="dxa"/>
            <w:shd w:val="clear" w:color="auto" w:fill="auto"/>
            <w:noWrap/>
            <w:vAlign w:val="bottom"/>
            <w:hideMark/>
          </w:tcPr>
          <w:p w14:paraId="13EB3BF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37%</w:t>
            </w:r>
          </w:p>
        </w:tc>
        <w:tc>
          <w:tcPr>
            <w:tcW w:w="1435" w:type="dxa"/>
            <w:shd w:val="clear" w:color="auto" w:fill="auto"/>
            <w:noWrap/>
            <w:vAlign w:val="bottom"/>
            <w:hideMark/>
          </w:tcPr>
          <w:p w14:paraId="4267905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10%</w:t>
            </w:r>
          </w:p>
        </w:tc>
        <w:tc>
          <w:tcPr>
            <w:tcW w:w="1490" w:type="dxa"/>
            <w:shd w:val="clear" w:color="auto" w:fill="auto"/>
            <w:noWrap/>
            <w:vAlign w:val="bottom"/>
            <w:hideMark/>
          </w:tcPr>
          <w:p w14:paraId="1A19939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5%</w:t>
            </w:r>
          </w:p>
        </w:tc>
      </w:tr>
      <w:tr w:rsidR="007E48B3" w:rsidRPr="00672DA8" w14:paraId="6581FDBB" w14:textId="77777777" w:rsidTr="00416373">
        <w:trPr>
          <w:trHeight w:val="315"/>
        </w:trPr>
        <w:tc>
          <w:tcPr>
            <w:tcW w:w="722" w:type="dxa"/>
            <w:shd w:val="clear" w:color="auto" w:fill="auto"/>
            <w:noWrap/>
            <w:vAlign w:val="bottom"/>
            <w:hideMark/>
          </w:tcPr>
          <w:p w14:paraId="358BCD1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2010</w:t>
            </w:r>
          </w:p>
        </w:tc>
        <w:tc>
          <w:tcPr>
            <w:tcW w:w="1866" w:type="dxa"/>
            <w:shd w:val="clear" w:color="auto" w:fill="auto"/>
            <w:noWrap/>
            <w:vAlign w:val="bottom"/>
            <w:hideMark/>
          </w:tcPr>
          <w:p w14:paraId="4F4840F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90.7%</w:t>
            </w:r>
          </w:p>
        </w:tc>
        <w:tc>
          <w:tcPr>
            <w:tcW w:w="1485" w:type="dxa"/>
            <w:shd w:val="clear" w:color="auto" w:fill="auto"/>
            <w:noWrap/>
            <w:vAlign w:val="bottom"/>
            <w:hideMark/>
          </w:tcPr>
          <w:p w14:paraId="21F18B31"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75.3%</w:t>
            </w:r>
          </w:p>
        </w:tc>
        <w:tc>
          <w:tcPr>
            <w:tcW w:w="1407" w:type="dxa"/>
            <w:shd w:val="clear" w:color="auto" w:fill="auto"/>
            <w:noWrap/>
            <w:vAlign w:val="bottom"/>
            <w:hideMark/>
          </w:tcPr>
          <w:p w14:paraId="4A759E8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40%</w:t>
            </w:r>
          </w:p>
        </w:tc>
        <w:tc>
          <w:tcPr>
            <w:tcW w:w="1435" w:type="dxa"/>
            <w:shd w:val="clear" w:color="auto" w:fill="auto"/>
            <w:noWrap/>
            <w:vAlign w:val="bottom"/>
            <w:hideMark/>
          </w:tcPr>
          <w:p w14:paraId="1D4EB48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10%</w:t>
            </w:r>
          </w:p>
        </w:tc>
        <w:tc>
          <w:tcPr>
            <w:tcW w:w="1490" w:type="dxa"/>
            <w:shd w:val="clear" w:color="auto" w:fill="auto"/>
            <w:noWrap/>
            <w:vAlign w:val="bottom"/>
            <w:hideMark/>
          </w:tcPr>
          <w:p w14:paraId="6F71381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5%</w:t>
            </w:r>
          </w:p>
        </w:tc>
      </w:tr>
      <w:tr w:rsidR="007E48B3" w:rsidRPr="00672DA8" w14:paraId="25E01721" w14:textId="77777777" w:rsidTr="00416373">
        <w:trPr>
          <w:trHeight w:val="300"/>
        </w:trPr>
        <w:tc>
          <w:tcPr>
            <w:tcW w:w="722" w:type="dxa"/>
            <w:shd w:val="clear" w:color="auto" w:fill="auto"/>
            <w:noWrap/>
            <w:vAlign w:val="bottom"/>
            <w:hideMark/>
          </w:tcPr>
          <w:p w14:paraId="46EFE971"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2011</w:t>
            </w:r>
          </w:p>
        </w:tc>
        <w:tc>
          <w:tcPr>
            <w:tcW w:w="1866" w:type="dxa"/>
            <w:shd w:val="clear" w:color="auto" w:fill="auto"/>
            <w:noWrap/>
            <w:vAlign w:val="bottom"/>
            <w:hideMark/>
          </w:tcPr>
          <w:p w14:paraId="7CDB6D3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91.6%</w:t>
            </w:r>
          </w:p>
        </w:tc>
        <w:tc>
          <w:tcPr>
            <w:tcW w:w="1485" w:type="dxa"/>
            <w:shd w:val="clear" w:color="auto" w:fill="auto"/>
            <w:noWrap/>
            <w:vAlign w:val="bottom"/>
            <w:hideMark/>
          </w:tcPr>
          <w:p w14:paraId="08F9B6A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74.1%</w:t>
            </w:r>
          </w:p>
        </w:tc>
        <w:tc>
          <w:tcPr>
            <w:tcW w:w="1407" w:type="dxa"/>
            <w:shd w:val="clear" w:color="auto" w:fill="auto"/>
            <w:noWrap/>
            <w:vAlign w:val="bottom"/>
            <w:hideMark/>
          </w:tcPr>
          <w:p w14:paraId="6EE16FF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47%</w:t>
            </w:r>
          </w:p>
        </w:tc>
        <w:tc>
          <w:tcPr>
            <w:tcW w:w="1435" w:type="dxa"/>
            <w:shd w:val="clear" w:color="auto" w:fill="auto"/>
            <w:noWrap/>
            <w:vAlign w:val="bottom"/>
            <w:hideMark/>
          </w:tcPr>
          <w:p w14:paraId="59908F1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10%</w:t>
            </w:r>
          </w:p>
        </w:tc>
        <w:tc>
          <w:tcPr>
            <w:tcW w:w="1490" w:type="dxa"/>
            <w:shd w:val="clear" w:color="auto" w:fill="auto"/>
            <w:noWrap/>
            <w:vAlign w:val="bottom"/>
            <w:hideMark/>
          </w:tcPr>
          <w:p w14:paraId="19CE9969"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w:t>
            </w:r>
          </w:p>
        </w:tc>
      </w:tr>
      <w:tr w:rsidR="007E48B3" w:rsidRPr="00672DA8" w14:paraId="495D7775" w14:textId="77777777" w:rsidTr="00416373">
        <w:trPr>
          <w:trHeight w:val="300"/>
        </w:trPr>
        <w:tc>
          <w:tcPr>
            <w:tcW w:w="722" w:type="dxa"/>
            <w:shd w:val="clear" w:color="auto" w:fill="auto"/>
            <w:noWrap/>
            <w:vAlign w:val="bottom"/>
            <w:hideMark/>
          </w:tcPr>
          <w:p w14:paraId="20E4197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2012</w:t>
            </w:r>
          </w:p>
        </w:tc>
        <w:tc>
          <w:tcPr>
            <w:tcW w:w="1866" w:type="dxa"/>
            <w:shd w:val="clear" w:color="auto" w:fill="auto"/>
            <w:noWrap/>
            <w:vAlign w:val="bottom"/>
            <w:hideMark/>
          </w:tcPr>
          <w:p w14:paraId="69B2BBB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88.9%</w:t>
            </w:r>
          </w:p>
        </w:tc>
        <w:tc>
          <w:tcPr>
            <w:tcW w:w="1485" w:type="dxa"/>
            <w:shd w:val="clear" w:color="auto" w:fill="auto"/>
            <w:noWrap/>
            <w:vAlign w:val="bottom"/>
            <w:hideMark/>
          </w:tcPr>
          <w:p w14:paraId="08D7ECC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75.0%</w:t>
            </w:r>
          </w:p>
        </w:tc>
        <w:tc>
          <w:tcPr>
            <w:tcW w:w="1407" w:type="dxa"/>
            <w:shd w:val="clear" w:color="auto" w:fill="auto"/>
            <w:noWrap/>
            <w:vAlign w:val="bottom"/>
            <w:hideMark/>
          </w:tcPr>
          <w:p w14:paraId="5EA3D9A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50%</w:t>
            </w:r>
          </w:p>
        </w:tc>
        <w:tc>
          <w:tcPr>
            <w:tcW w:w="1435" w:type="dxa"/>
            <w:shd w:val="clear" w:color="auto" w:fill="auto"/>
            <w:noWrap/>
            <w:vAlign w:val="bottom"/>
            <w:hideMark/>
          </w:tcPr>
          <w:p w14:paraId="4EE18E1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10%</w:t>
            </w:r>
          </w:p>
        </w:tc>
        <w:tc>
          <w:tcPr>
            <w:tcW w:w="1490" w:type="dxa"/>
            <w:shd w:val="clear" w:color="auto" w:fill="auto"/>
            <w:noWrap/>
            <w:vAlign w:val="bottom"/>
            <w:hideMark/>
          </w:tcPr>
          <w:p w14:paraId="3E1511E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w:t>
            </w:r>
          </w:p>
        </w:tc>
      </w:tr>
      <w:tr w:rsidR="007E48B3" w:rsidRPr="00672DA8" w14:paraId="68910316" w14:textId="77777777" w:rsidTr="00416373">
        <w:trPr>
          <w:trHeight w:val="300"/>
        </w:trPr>
        <w:tc>
          <w:tcPr>
            <w:tcW w:w="722" w:type="dxa"/>
            <w:shd w:val="clear" w:color="auto" w:fill="auto"/>
            <w:noWrap/>
            <w:vAlign w:val="bottom"/>
            <w:hideMark/>
          </w:tcPr>
          <w:p w14:paraId="21BC8C7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2013</w:t>
            </w:r>
          </w:p>
        </w:tc>
        <w:tc>
          <w:tcPr>
            <w:tcW w:w="1866" w:type="dxa"/>
            <w:shd w:val="clear" w:color="auto" w:fill="auto"/>
            <w:noWrap/>
            <w:vAlign w:val="bottom"/>
            <w:hideMark/>
          </w:tcPr>
          <w:p w14:paraId="596647B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91.7%</w:t>
            </w:r>
          </w:p>
        </w:tc>
        <w:tc>
          <w:tcPr>
            <w:tcW w:w="1485" w:type="dxa"/>
            <w:shd w:val="clear" w:color="auto" w:fill="auto"/>
            <w:noWrap/>
            <w:vAlign w:val="bottom"/>
            <w:hideMark/>
          </w:tcPr>
          <w:p w14:paraId="43DAFD9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75.6%</w:t>
            </w:r>
          </w:p>
        </w:tc>
        <w:tc>
          <w:tcPr>
            <w:tcW w:w="1407" w:type="dxa"/>
            <w:shd w:val="clear" w:color="auto" w:fill="auto"/>
            <w:noWrap/>
            <w:vAlign w:val="bottom"/>
            <w:hideMark/>
          </w:tcPr>
          <w:p w14:paraId="433E90B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46%</w:t>
            </w:r>
          </w:p>
        </w:tc>
        <w:tc>
          <w:tcPr>
            <w:tcW w:w="1435" w:type="dxa"/>
            <w:shd w:val="clear" w:color="auto" w:fill="auto"/>
            <w:noWrap/>
            <w:vAlign w:val="bottom"/>
            <w:hideMark/>
          </w:tcPr>
          <w:p w14:paraId="5241E18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11%</w:t>
            </w:r>
          </w:p>
        </w:tc>
        <w:tc>
          <w:tcPr>
            <w:tcW w:w="1490" w:type="dxa"/>
            <w:shd w:val="clear" w:color="auto" w:fill="auto"/>
            <w:noWrap/>
            <w:vAlign w:val="bottom"/>
            <w:hideMark/>
          </w:tcPr>
          <w:p w14:paraId="4475718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w:t>
            </w:r>
          </w:p>
        </w:tc>
      </w:tr>
      <w:tr w:rsidR="007E48B3" w:rsidRPr="00672DA8" w14:paraId="582213B3" w14:textId="77777777" w:rsidTr="00416373">
        <w:trPr>
          <w:trHeight w:val="300"/>
        </w:trPr>
        <w:tc>
          <w:tcPr>
            <w:tcW w:w="722" w:type="dxa"/>
            <w:shd w:val="clear" w:color="auto" w:fill="auto"/>
            <w:noWrap/>
            <w:vAlign w:val="bottom"/>
            <w:hideMark/>
          </w:tcPr>
          <w:p w14:paraId="1E3041E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2014</w:t>
            </w:r>
          </w:p>
        </w:tc>
        <w:tc>
          <w:tcPr>
            <w:tcW w:w="1866" w:type="dxa"/>
            <w:shd w:val="clear" w:color="auto" w:fill="auto"/>
            <w:noWrap/>
            <w:vAlign w:val="bottom"/>
            <w:hideMark/>
          </w:tcPr>
          <w:p w14:paraId="3C5E004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90.6%</w:t>
            </w:r>
          </w:p>
        </w:tc>
        <w:tc>
          <w:tcPr>
            <w:tcW w:w="1485" w:type="dxa"/>
            <w:shd w:val="clear" w:color="auto" w:fill="auto"/>
            <w:noWrap/>
            <w:vAlign w:val="bottom"/>
            <w:hideMark/>
          </w:tcPr>
          <w:p w14:paraId="7D3CB1AC"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73.2%</w:t>
            </w:r>
          </w:p>
        </w:tc>
        <w:tc>
          <w:tcPr>
            <w:tcW w:w="1407" w:type="dxa"/>
            <w:shd w:val="clear" w:color="auto" w:fill="auto"/>
            <w:noWrap/>
            <w:vAlign w:val="bottom"/>
            <w:hideMark/>
          </w:tcPr>
          <w:p w14:paraId="1C79218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51%</w:t>
            </w:r>
          </w:p>
        </w:tc>
        <w:tc>
          <w:tcPr>
            <w:tcW w:w="1435" w:type="dxa"/>
            <w:shd w:val="clear" w:color="auto" w:fill="auto"/>
            <w:noWrap/>
            <w:vAlign w:val="bottom"/>
            <w:hideMark/>
          </w:tcPr>
          <w:p w14:paraId="6E08E0AE"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12%</w:t>
            </w:r>
          </w:p>
        </w:tc>
        <w:tc>
          <w:tcPr>
            <w:tcW w:w="1490" w:type="dxa"/>
            <w:shd w:val="clear" w:color="auto" w:fill="auto"/>
            <w:noWrap/>
            <w:vAlign w:val="bottom"/>
            <w:hideMark/>
          </w:tcPr>
          <w:p w14:paraId="65A077D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w:t>
            </w:r>
          </w:p>
        </w:tc>
      </w:tr>
      <w:tr w:rsidR="007E48B3" w:rsidRPr="00672DA8" w14:paraId="62B71A01" w14:textId="77777777" w:rsidTr="00416373">
        <w:trPr>
          <w:trHeight w:val="300"/>
        </w:trPr>
        <w:tc>
          <w:tcPr>
            <w:tcW w:w="722" w:type="dxa"/>
            <w:shd w:val="clear" w:color="auto" w:fill="auto"/>
            <w:noWrap/>
            <w:vAlign w:val="bottom"/>
            <w:hideMark/>
          </w:tcPr>
          <w:p w14:paraId="2E5A946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2015</w:t>
            </w:r>
          </w:p>
        </w:tc>
        <w:tc>
          <w:tcPr>
            <w:tcW w:w="1866" w:type="dxa"/>
            <w:shd w:val="clear" w:color="auto" w:fill="auto"/>
            <w:noWrap/>
            <w:vAlign w:val="bottom"/>
            <w:hideMark/>
          </w:tcPr>
          <w:p w14:paraId="63FB9C6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91.5%</w:t>
            </w:r>
          </w:p>
        </w:tc>
        <w:tc>
          <w:tcPr>
            <w:tcW w:w="1485" w:type="dxa"/>
            <w:shd w:val="clear" w:color="auto" w:fill="auto"/>
            <w:noWrap/>
            <w:vAlign w:val="bottom"/>
            <w:hideMark/>
          </w:tcPr>
          <w:p w14:paraId="46AC716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65.5%</w:t>
            </w:r>
          </w:p>
        </w:tc>
        <w:tc>
          <w:tcPr>
            <w:tcW w:w="1407" w:type="dxa"/>
            <w:shd w:val="clear" w:color="auto" w:fill="auto"/>
            <w:noWrap/>
            <w:vAlign w:val="bottom"/>
            <w:hideMark/>
          </w:tcPr>
          <w:p w14:paraId="6087C05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55%</w:t>
            </w:r>
          </w:p>
        </w:tc>
        <w:tc>
          <w:tcPr>
            <w:tcW w:w="1435" w:type="dxa"/>
            <w:shd w:val="clear" w:color="auto" w:fill="auto"/>
            <w:noWrap/>
            <w:vAlign w:val="bottom"/>
            <w:hideMark/>
          </w:tcPr>
          <w:p w14:paraId="52EB3C86"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12%</w:t>
            </w:r>
          </w:p>
        </w:tc>
        <w:tc>
          <w:tcPr>
            <w:tcW w:w="1490" w:type="dxa"/>
            <w:shd w:val="clear" w:color="auto" w:fill="auto"/>
            <w:noWrap/>
            <w:vAlign w:val="bottom"/>
            <w:hideMark/>
          </w:tcPr>
          <w:p w14:paraId="257DB5E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11%</w:t>
            </w:r>
          </w:p>
        </w:tc>
      </w:tr>
      <w:tr w:rsidR="007E48B3" w:rsidRPr="00672DA8" w14:paraId="2786F2CF" w14:textId="77777777" w:rsidTr="00416373">
        <w:trPr>
          <w:trHeight w:val="300"/>
        </w:trPr>
        <w:tc>
          <w:tcPr>
            <w:tcW w:w="722" w:type="dxa"/>
            <w:shd w:val="clear" w:color="auto" w:fill="auto"/>
            <w:noWrap/>
            <w:vAlign w:val="bottom"/>
            <w:hideMark/>
          </w:tcPr>
          <w:p w14:paraId="256D8B1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2016</w:t>
            </w:r>
          </w:p>
        </w:tc>
        <w:tc>
          <w:tcPr>
            <w:tcW w:w="1866" w:type="dxa"/>
            <w:shd w:val="clear" w:color="auto" w:fill="auto"/>
            <w:noWrap/>
            <w:vAlign w:val="bottom"/>
            <w:hideMark/>
          </w:tcPr>
          <w:p w14:paraId="767D5BA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91.6%</w:t>
            </w:r>
          </w:p>
        </w:tc>
        <w:tc>
          <w:tcPr>
            <w:tcW w:w="1485" w:type="dxa"/>
            <w:shd w:val="clear" w:color="auto" w:fill="auto"/>
            <w:noWrap/>
            <w:vAlign w:val="bottom"/>
            <w:hideMark/>
          </w:tcPr>
          <w:p w14:paraId="4230EF67"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66.0%</w:t>
            </w:r>
          </w:p>
        </w:tc>
        <w:tc>
          <w:tcPr>
            <w:tcW w:w="1407" w:type="dxa"/>
            <w:shd w:val="clear" w:color="auto" w:fill="auto"/>
            <w:noWrap/>
            <w:vAlign w:val="bottom"/>
            <w:hideMark/>
          </w:tcPr>
          <w:p w14:paraId="6A5D1A0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54%</w:t>
            </w:r>
          </w:p>
        </w:tc>
        <w:tc>
          <w:tcPr>
            <w:tcW w:w="1435" w:type="dxa"/>
            <w:shd w:val="clear" w:color="auto" w:fill="auto"/>
            <w:noWrap/>
            <w:vAlign w:val="bottom"/>
            <w:hideMark/>
          </w:tcPr>
          <w:p w14:paraId="10BBA58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12%</w:t>
            </w:r>
          </w:p>
        </w:tc>
        <w:tc>
          <w:tcPr>
            <w:tcW w:w="1490" w:type="dxa"/>
            <w:shd w:val="clear" w:color="auto" w:fill="auto"/>
            <w:noWrap/>
            <w:vAlign w:val="bottom"/>
            <w:hideMark/>
          </w:tcPr>
          <w:p w14:paraId="09CA0DF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11%</w:t>
            </w:r>
          </w:p>
        </w:tc>
      </w:tr>
      <w:tr w:rsidR="007E48B3" w:rsidRPr="00672DA8" w14:paraId="3BD219B9" w14:textId="77777777" w:rsidTr="00416373">
        <w:trPr>
          <w:trHeight w:val="300"/>
        </w:trPr>
        <w:tc>
          <w:tcPr>
            <w:tcW w:w="722" w:type="dxa"/>
            <w:shd w:val="clear" w:color="auto" w:fill="auto"/>
            <w:noWrap/>
            <w:vAlign w:val="bottom"/>
            <w:hideMark/>
          </w:tcPr>
          <w:p w14:paraId="7F1DB18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2017</w:t>
            </w:r>
          </w:p>
        </w:tc>
        <w:tc>
          <w:tcPr>
            <w:tcW w:w="1866" w:type="dxa"/>
            <w:shd w:val="clear" w:color="auto" w:fill="auto"/>
            <w:noWrap/>
            <w:vAlign w:val="bottom"/>
            <w:hideMark/>
          </w:tcPr>
          <w:p w14:paraId="312FBEEA"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91.1%</w:t>
            </w:r>
          </w:p>
        </w:tc>
        <w:tc>
          <w:tcPr>
            <w:tcW w:w="1485" w:type="dxa"/>
            <w:shd w:val="clear" w:color="auto" w:fill="auto"/>
            <w:noWrap/>
            <w:vAlign w:val="bottom"/>
            <w:hideMark/>
          </w:tcPr>
          <w:p w14:paraId="0FBBE60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63.0%</w:t>
            </w:r>
          </w:p>
        </w:tc>
        <w:tc>
          <w:tcPr>
            <w:tcW w:w="1407" w:type="dxa"/>
            <w:shd w:val="clear" w:color="auto" w:fill="auto"/>
            <w:noWrap/>
            <w:vAlign w:val="bottom"/>
            <w:hideMark/>
          </w:tcPr>
          <w:p w14:paraId="36759921"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57%</w:t>
            </w:r>
          </w:p>
        </w:tc>
        <w:tc>
          <w:tcPr>
            <w:tcW w:w="1435" w:type="dxa"/>
            <w:shd w:val="clear" w:color="auto" w:fill="auto"/>
            <w:noWrap/>
            <w:vAlign w:val="bottom"/>
            <w:hideMark/>
          </w:tcPr>
          <w:p w14:paraId="58804BFF"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13%</w:t>
            </w:r>
          </w:p>
        </w:tc>
        <w:tc>
          <w:tcPr>
            <w:tcW w:w="1490" w:type="dxa"/>
            <w:shd w:val="clear" w:color="auto" w:fill="auto"/>
            <w:noWrap/>
            <w:vAlign w:val="bottom"/>
            <w:hideMark/>
          </w:tcPr>
          <w:p w14:paraId="4CF05AA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11%</w:t>
            </w:r>
          </w:p>
        </w:tc>
      </w:tr>
      <w:tr w:rsidR="007E48B3" w:rsidRPr="00672DA8" w14:paraId="29B77007" w14:textId="77777777" w:rsidTr="00416373">
        <w:trPr>
          <w:trHeight w:val="300"/>
        </w:trPr>
        <w:tc>
          <w:tcPr>
            <w:tcW w:w="722" w:type="dxa"/>
            <w:shd w:val="clear" w:color="auto" w:fill="auto"/>
            <w:noWrap/>
            <w:vAlign w:val="bottom"/>
            <w:hideMark/>
          </w:tcPr>
          <w:p w14:paraId="0631A760"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2018</w:t>
            </w:r>
          </w:p>
        </w:tc>
        <w:tc>
          <w:tcPr>
            <w:tcW w:w="1866" w:type="dxa"/>
            <w:shd w:val="clear" w:color="auto" w:fill="auto"/>
            <w:noWrap/>
            <w:vAlign w:val="bottom"/>
            <w:hideMark/>
          </w:tcPr>
          <w:p w14:paraId="39EEC732"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90.8%</w:t>
            </w:r>
          </w:p>
        </w:tc>
        <w:tc>
          <w:tcPr>
            <w:tcW w:w="1485" w:type="dxa"/>
            <w:shd w:val="clear" w:color="auto" w:fill="auto"/>
            <w:noWrap/>
            <w:vAlign w:val="bottom"/>
            <w:hideMark/>
          </w:tcPr>
          <w:p w14:paraId="185CA14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60.6%</w:t>
            </w:r>
          </w:p>
        </w:tc>
        <w:tc>
          <w:tcPr>
            <w:tcW w:w="1407" w:type="dxa"/>
            <w:shd w:val="clear" w:color="auto" w:fill="auto"/>
            <w:noWrap/>
            <w:vAlign w:val="bottom"/>
            <w:hideMark/>
          </w:tcPr>
          <w:p w14:paraId="34A4120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55%</w:t>
            </w:r>
          </w:p>
        </w:tc>
        <w:tc>
          <w:tcPr>
            <w:tcW w:w="1435" w:type="dxa"/>
            <w:shd w:val="clear" w:color="auto" w:fill="auto"/>
            <w:noWrap/>
            <w:vAlign w:val="bottom"/>
            <w:hideMark/>
          </w:tcPr>
          <w:p w14:paraId="1553C22D"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13%</w:t>
            </w:r>
          </w:p>
        </w:tc>
        <w:tc>
          <w:tcPr>
            <w:tcW w:w="1490" w:type="dxa"/>
            <w:shd w:val="clear" w:color="auto" w:fill="auto"/>
            <w:noWrap/>
            <w:vAlign w:val="bottom"/>
            <w:hideMark/>
          </w:tcPr>
          <w:p w14:paraId="494CFDF5"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14%</w:t>
            </w:r>
          </w:p>
        </w:tc>
      </w:tr>
      <w:tr w:rsidR="007E48B3" w:rsidRPr="00672DA8" w14:paraId="0CD305F1" w14:textId="77777777" w:rsidTr="00416373">
        <w:trPr>
          <w:trHeight w:val="315"/>
        </w:trPr>
        <w:tc>
          <w:tcPr>
            <w:tcW w:w="722" w:type="dxa"/>
            <w:shd w:val="clear" w:color="auto" w:fill="auto"/>
            <w:noWrap/>
            <w:vAlign w:val="bottom"/>
            <w:hideMark/>
          </w:tcPr>
          <w:p w14:paraId="7D519614"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2019</w:t>
            </w:r>
          </w:p>
        </w:tc>
        <w:tc>
          <w:tcPr>
            <w:tcW w:w="1866" w:type="dxa"/>
            <w:shd w:val="clear" w:color="auto" w:fill="auto"/>
            <w:noWrap/>
            <w:vAlign w:val="bottom"/>
            <w:hideMark/>
          </w:tcPr>
          <w:p w14:paraId="3DF77FCB"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89.4%</w:t>
            </w:r>
          </w:p>
        </w:tc>
        <w:tc>
          <w:tcPr>
            <w:tcW w:w="1485" w:type="dxa"/>
            <w:shd w:val="clear" w:color="auto" w:fill="auto"/>
            <w:noWrap/>
            <w:vAlign w:val="bottom"/>
            <w:hideMark/>
          </w:tcPr>
          <w:p w14:paraId="5AEE5268"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60.2%</w:t>
            </w:r>
          </w:p>
        </w:tc>
        <w:tc>
          <w:tcPr>
            <w:tcW w:w="1407" w:type="dxa"/>
            <w:shd w:val="clear" w:color="auto" w:fill="auto"/>
            <w:noWrap/>
            <w:vAlign w:val="bottom"/>
            <w:hideMark/>
          </w:tcPr>
          <w:p w14:paraId="03DC3A7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59%</w:t>
            </w:r>
          </w:p>
        </w:tc>
        <w:tc>
          <w:tcPr>
            <w:tcW w:w="1435" w:type="dxa"/>
            <w:shd w:val="clear" w:color="auto" w:fill="auto"/>
            <w:noWrap/>
            <w:vAlign w:val="bottom"/>
            <w:hideMark/>
          </w:tcPr>
          <w:p w14:paraId="32BAF90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13%</w:t>
            </w:r>
          </w:p>
        </w:tc>
        <w:tc>
          <w:tcPr>
            <w:tcW w:w="1490" w:type="dxa"/>
            <w:shd w:val="clear" w:color="auto" w:fill="auto"/>
            <w:noWrap/>
            <w:vAlign w:val="bottom"/>
            <w:hideMark/>
          </w:tcPr>
          <w:p w14:paraId="49EFBA83" w14:textId="77777777" w:rsidR="007E48B3" w:rsidRPr="00741E8E" w:rsidRDefault="007E48B3" w:rsidP="00416373">
            <w:pPr>
              <w:bidi w:val="0"/>
              <w:jc w:val="right"/>
              <w:rPr>
                <w:rFonts w:cs="Calibri"/>
                <w:color w:val="000000"/>
                <w:sz w:val="18"/>
                <w:szCs w:val="18"/>
              </w:rPr>
            </w:pPr>
            <w:r w:rsidRPr="00741E8E">
              <w:rPr>
                <w:rFonts w:cs="Calibri"/>
                <w:color w:val="000000"/>
                <w:sz w:val="18"/>
                <w:szCs w:val="18"/>
              </w:rPr>
              <w:t>14.61%</w:t>
            </w:r>
          </w:p>
        </w:tc>
      </w:tr>
    </w:tbl>
    <w:p w14:paraId="16979391" w14:textId="77777777" w:rsidR="007E48B3" w:rsidRDefault="007E48B3" w:rsidP="007E48B3">
      <w:pPr>
        <w:pStyle w:val="ListParagraph"/>
        <w:autoSpaceDE w:val="0"/>
        <w:autoSpaceDN w:val="0"/>
        <w:bidi w:val="0"/>
        <w:adjustRightInd w:val="0"/>
        <w:spacing w:line="360" w:lineRule="auto"/>
        <w:ind w:left="360"/>
        <w:rPr>
          <w:rFonts w:asciiTheme="majorBidi" w:hAnsiTheme="majorBidi" w:cstheme="majorBidi"/>
          <w:b/>
          <w:bCs/>
          <w:sz w:val="24"/>
          <w:szCs w:val="24"/>
        </w:rPr>
      </w:pPr>
    </w:p>
    <w:p w14:paraId="5004F12D" w14:textId="77777777" w:rsidR="007E48B3" w:rsidRDefault="007E48B3" w:rsidP="007E48B3">
      <w:pPr>
        <w:pStyle w:val="ListParagraph"/>
        <w:autoSpaceDE w:val="0"/>
        <w:autoSpaceDN w:val="0"/>
        <w:bidi w:val="0"/>
        <w:adjustRightInd w:val="0"/>
        <w:spacing w:line="360" w:lineRule="auto"/>
        <w:ind w:left="360"/>
        <w:rPr>
          <w:rFonts w:asciiTheme="majorBidi" w:hAnsiTheme="majorBidi" w:cstheme="majorBidi"/>
          <w:b/>
          <w:bCs/>
          <w:sz w:val="24"/>
          <w:szCs w:val="24"/>
        </w:rPr>
      </w:pPr>
    </w:p>
    <w:p w14:paraId="68A51A78" w14:textId="77777777" w:rsidR="007E48B3" w:rsidRPr="001D40DD" w:rsidRDefault="007E48B3" w:rsidP="007E48B3">
      <w:pPr>
        <w:pStyle w:val="ListParagraph"/>
        <w:numPr>
          <w:ilvl w:val="0"/>
          <w:numId w:val="26"/>
        </w:numPr>
        <w:autoSpaceDE w:val="0"/>
        <w:autoSpaceDN w:val="0"/>
        <w:bidi w:val="0"/>
        <w:adjustRightInd w:val="0"/>
        <w:spacing w:line="360" w:lineRule="auto"/>
        <w:rPr>
          <w:rFonts w:asciiTheme="majorBidi" w:hAnsiTheme="majorBidi" w:cstheme="majorBidi"/>
          <w:b/>
          <w:bCs/>
          <w:sz w:val="24"/>
          <w:szCs w:val="24"/>
        </w:rPr>
      </w:pPr>
      <w:r w:rsidRPr="001D40DD">
        <w:rPr>
          <w:rFonts w:asciiTheme="majorBidi" w:hAnsiTheme="majorBidi" w:cstheme="majorBidi"/>
          <w:b/>
          <w:bCs/>
          <w:sz w:val="24"/>
          <w:szCs w:val="24"/>
        </w:rPr>
        <w:t xml:space="preserve">Movement of people </w:t>
      </w:r>
    </w:p>
    <w:p w14:paraId="20F5669B" w14:textId="13FAC758" w:rsidR="007E48B3" w:rsidRPr="00146FE6" w:rsidRDefault="007E48B3" w:rsidP="007E48B3">
      <w:pPr>
        <w:pStyle w:val="ListParagraph"/>
        <w:numPr>
          <w:ilvl w:val="0"/>
          <w:numId w:val="20"/>
        </w:numPr>
        <w:autoSpaceDE w:val="0"/>
        <w:autoSpaceDN w:val="0"/>
        <w:bidi w:val="0"/>
        <w:adjustRightInd w:val="0"/>
        <w:spacing w:after="240" w:line="480" w:lineRule="auto"/>
        <w:ind w:left="720"/>
        <w:rPr>
          <w:b/>
          <w:bCs/>
        </w:rPr>
      </w:pPr>
      <w:r w:rsidRPr="00146FE6">
        <w:rPr>
          <w:b/>
          <w:bCs/>
        </w:rPr>
        <w:t xml:space="preserve">Percentage of Israeli cars </w:t>
      </w:r>
      <w:r w:rsidR="00A906D5">
        <w:rPr>
          <w:b/>
          <w:bCs/>
        </w:rPr>
        <w:t>entering</w:t>
      </w:r>
      <w:r w:rsidRPr="00146FE6">
        <w:rPr>
          <w:b/>
          <w:bCs/>
        </w:rPr>
        <w:t xml:space="preserve"> the WB </w:t>
      </w:r>
      <w:r>
        <w:rPr>
          <w:b/>
          <w:bCs/>
        </w:rPr>
        <w:t>-</w:t>
      </w:r>
    </w:p>
    <w:p w14:paraId="016E0933" w14:textId="1B96F8D1" w:rsidR="007E48B3" w:rsidRPr="0018372C" w:rsidRDefault="007E48B3" w:rsidP="007E48B3">
      <w:pPr>
        <w:pStyle w:val="ListParagraph"/>
        <w:autoSpaceDE w:val="0"/>
        <w:autoSpaceDN w:val="0"/>
        <w:bidi w:val="0"/>
        <w:adjustRightInd w:val="0"/>
        <w:spacing w:after="240" w:line="480" w:lineRule="auto"/>
      </w:pPr>
      <w:r w:rsidRPr="0018372C">
        <w:t xml:space="preserve">Measures the number of Israeli cars (mainly Israeli Arab) </w:t>
      </w:r>
      <w:r w:rsidR="00A906D5">
        <w:t>entering</w:t>
      </w:r>
      <w:r w:rsidRPr="0018372C">
        <w:t xml:space="preserve"> the WB through the Gilboa crossing point</w:t>
      </w:r>
      <w:r>
        <w:t xml:space="preserve"> out of </w:t>
      </w:r>
      <w:r w:rsidRPr="00510561">
        <w:t>total Israeli Arab population</w:t>
      </w:r>
      <w:r w:rsidRPr="0018372C">
        <w:t xml:space="preserve">. The index reflects aspects of private consumption of Israeli Arabs in the </w:t>
      </w:r>
      <w:r w:rsidRPr="0018372C">
        <w:rPr>
          <w:rFonts w:hint="cs"/>
        </w:rPr>
        <w:t>WB</w:t>
      </w:r>
      <w:r w:rsidRPr="0018372C">
        <w:t>.</w:t>
      </w:r>
      <w:r w:rsidRPr="0018372C">
        <w:tab/>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0B45AD20" w14:textId="77777777" w:rsidTr="00416373">
        <w:trPr>
          <w:trHeight w:val="385"/>
        </w:trPr>
        <w:tc>
          <w:tcPr>
            <w:tcW w:w="8409" w:type="dxa"/>
            <w:gridSpan w:val="2"/>
            <w:shd w:val="clear" w:color="auto" w:fill="auto"/>
            <w:noWrap/>
            <w:vAlign w:val="center"/>
          </w:tcPr>
          <w:p w14:paraId="7563A88A"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16902581" w14:textId="77777777" w:rsidTr="00416373">
        <w:trPr>
          <w:trHeight w:val="1200"/>
        </w:trPr>
        <w:tc>
          <w:tcPr>
            <w:tcW w:w="1580" w:type="dxa"/>
            <w:shd w:val="clear" w:color="auto" w:fill="auto"/>
            <w:noWrap/>
            <w:vAlign w:val="center"/>
          </w:tcPr>
          <w:p w14:paraId="0B0F4E5D" w14:textId="77777777" w:rsidR="007E48B3" w:rsidRPr="003C3F18" w:rsidRDefault="007E48B3" w:rsidP="00416373">
            <w:pPr>
              <w:bidi w:val="0"/>
              <w:jc w:val="center"/>
              <w:rPr>
                <w:rFonts w:cs="Calibri"/>
                <w:color w:val="000000"/>
              </w:rPr>
            </w:pPr>
            <w:r>
              <w:rPr>
                <w:rFonts w:cs="Calibri" w:hint="cs"/>
                <w:color w:val="000000"/>
                <w:rtl/>
              </w:rPr>
              <w:t>2010</w:t>
            </w:r>
          </w:p>
        </w:tc>
        <w:tc>
          <w:tcPr>
            <w:tcW w:w="6829" w:type="dxa"/>
            <w:shd w:val="clear" w:color="auto" w:fill="auto"/>
            <w:noWrap/>
            <w:vAlign w:val="center"/>
          </w:tcPr>
          <w:p w14:paraId="653DFFED" w14:textId="77777777" w:rsidR="007E48B3" w:rsidRPr="003C3F18" w:rsidRDefault="007E48B3" w:rsidP="00416373">
            <w:pPr>
              <w:bidi w:val="0"/>
              <w:rPr>
                <w:rFonts w:cs="Calibri"/>
                <w:color w:val="000000"/>
              </w:rPr>
            </w:pPr>
            <w:r>
              <w:rPr>
                <w:rFonts w:cs="Calibri"/>
                <w:color w:val="000000"/>
              </w:rPr>
              <w:t>Missing data – equal to year 2011</w:t>
            </w:r>
          </w:p>
        </w:tc>
      </w:tr>
      <w:tr w:rsidR="007E48B3" w:rsidRPr="003C3F18" w14:paraId="1701A33E" w14:textId="77777777" w:rsidTr="00416373">
        <w:trPr>
          <w:trHeight w:val="1200"/>
        </w:trPr>
        <w:tc>
          <w:tcPr>
            <w:tcW w:w="1580" w:type="dxa"/>
            <w:shd w:val="clear" w:color="auto" w:fill="auto"/>
            <w:noWrap/>
            <w:vAlign w:val="center"/>
          </w:tcPr>
          <w:p w14:paraId="32FB89C0" w14:textId="77777777" w:rsidR="007E48B3" w:rsidRDefault="007E48B3" w:rsidP="00416373">
            <w:pPr>
              <w:bidi w:val="0"/>
              <w:jc w:val="center"/>
              <w:rPr>
                <w:rFonts w:cs="Calibri"/>
                <w:color w:val="000000"/>
              </w:rPr>
            </w:pPr>
            <w:r>
              <w:rPr>
                <w:rFonts w:cs="Calibri"/>
                <w:color w:val="000000"/>
              </w:rPr>
              <w:t>201</w:t>
            </w:r>
            <w:r>
              <w:rPr>
                <w:rFonts w:cs="Calibri" w:hint="cs"/>
                <w:color w:val="000000"/>
                <w:rtl/>
              </w:rPr>
              <w:t>1</w:t>
            </w:r>
            <w:r>
              <w:rPr>
                <w:rFonts w:cs="Calibri"/>
                <w:color w:val="000000"/>
              </w:rPr>
              <w:t>-2019</w:t>
            </w:r>
          </w:p>
        </w:tc>
        <w:tc>
          <w:tcPr>
            <w:tcW w:w="6829" w:type="dxa"/>
            <w:shd w:val="clear" w:color="auto" w:fill="auto"/>
            <w:noWrap/>
            <w:vAlign w:val="center"/>
          </w:tcPr>
          <w:p w14:paraId="76E053F4" w14:textId="77777777" w:rsidR="007E48B3" w:rsidRDefault="007E48B3" w:rsidP="00416373">
            <w:pPr>
              <w:bidi w:val="0"/>
              <w:rPr>
                <w:rFonts w:cs="Calibri"/>
                <w:color w:val="000000"/>
              </w:rPr>
            </w:pPr>
            <w:r>
              <w:rPr>
                <w:rFonts w:cs="Calibri"/>
                <w:color w:val="000000"/>
              </w:rPr>
              <w:t>The Ministry of Defense Crossing Points Authority (C.P.A.) and the Israeli Central Bureau of Statistics</w:t>
            </w:r>
          </w:p>
        </w:tc>
      </w:tr>
    </w:tbl>
    <w:p w14:paraId="34E02EB5" w14:textId="77777777" w:rsidR="007E48B3" w:rsidRDefault="007E48B3" w:rsidP="007E48B3">
      <w:pPr>
        <w:pStyle w:val="ListParagraph"/>
        <w:autoSpaceDE w:val="0"/>
        <w:autoSpaceDN w:val="0"/>
        <w:bidi w:val="0"/>
        <w:adjustRightInd w:val="0"/>
        <w:spacing w:after="240" w:line="480" w:lineRule="auto"/>
        <w:ind w:left="1080"/>
        <w:rPr>
          <w:b/>
          <w:bCs/>
        </w:rPr>
      </w:pPr>
    </w:p>
    <w:p w14:paraId="176C9D8A" w14:textId="77777777" w:rsidR="007E48B3" w:rsidRDefault="007E48B3" w:rsidP="007E48B3">
      <w:pPr>
        <w:pStyle w:val="ListParagraph"/>
        <w:autoSpaceDE w:val="0"/>
        <w:autoSpaceDN w:val="0"/>
        <w:bidi w:val="0"/>
        <w:adjustRightInd w:val="0"/>
        <w:spacing w:after="240" w:line="480" w:lineRule="auto"/>
        <w:ind w:left="1080"/>
        <w:rPr>
          <w:b/>
          <w:bCs/>
        </w:rPr>
      </w:pPr>
    </w:p>
    <w:p w14:paraId="3CE46B0F" w14:textId="77777777" w:rsidR="007E48B3" w:rsidRDefault="007E48B3" w:rsidP="007E48B3">
      <w:pPr>
        <w:pStyle w:val="ListParagraph"/>
        <w:autoSpaceDE w:val="0"/>
        <w:autoSpaceDN w:val="0"/>
        <w:bidi w:val="0"/>
        <w:adjustRightInd w:val="0"/>
        <w:spacing w:after="240" w:line="480" w:lineRule="auto"/>
        <w:ind w:left="1080"/>
        <w:rPr>
          <w:b/>
          <w:bCs/>
        </w:rPr>
      </w:pPr>
    </w:p>
    <w:p w14:paraId="21EBF392" w14:textId="77777777" w:rsidR="007E48B3" w:rsidRDefault="007E48B3" w:rsidP="007E48B3">
      <w:pPr>
        <w:pStyle w:val="ListParagraph"/>
        <w:autoSpaceDE w:val="0"/>
        <w:autoSpaceDN w:val="0"/>
        <w:bidi w:val="0"/>
        <w:adjustRightInd w:val="0"/>
        <w:spacing w:after="240" w:line="480" w:lineRule="auto"/>
        <w:ind w:left="1080"/>
        <w:rPr>
          <w:b/>
          <w:bCs/>
        </w:rPr>
      </w:pPr>
    </w:p>
    <w:p w14:paraId="73EBE8B3" w14:textId="77777777" w:rsidR="007E48B3" w:rsidRDefault="007E48B3" w:rsidP="007E48B3">
      <w:pPr>
        <w:pStyle w:val="ListParagraph"/>
        <w:autoSpaceDE w:val="0"/>
        <w:autoSpaceDN w:val="0"/>
        <w:bidi w:val="0"/>
        <w:adjustRightInd w:val="0"/>
        <w:spacing w:after="240" w:line="480" w:lineRule="auto"/>
        <w:ind w:left="1080"/>
        <w:rPr>
          <w:b/>
          <w:bCs/>
        </w:rPr>
      </w:pPr>
    </w:p>
    <w:p w14:paraId="3C4B11DD" w14:textId="77777777" w:rsidR="007E48B3" w:rsidRDefault="007E48B3" w:rsidP="007E48B3">
      <w:pPr>
        <w:pStyle w:val="ListParagraph"/>
        <w:autoSpaceDE w:val="0"/>
        <w:autoSpaceDN w:val="0"/>
        <w:bidi w:val="0"/>
        <w:adjustRightInd w:val="0"/>
        <w:spacing w:after="240" w:line="480" w:lineRule="auto"/>
        <w:ind w:left="1080"/>
        <w:rPr>
          <w:b/>
          <w:bCs/>
        </w:rPr>
      </w:pPr>
    </w:p>
    <w:p w14:paraId="26F9286C"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4067D0">
        <w:rPr>
          <w:rFonts w:cs="Calibri"/>
          <w:b/>
          <w:bCs/>
          <w:color w:val="000000"/>
          <w:sz w:val="20"/>
          <w:szCs w:val="20"/>
        </w:rPr>
        <w:t xml:space="preserve">Movement of people between Israel and the WB </w:t>
      </w:r>
      <w:r>
        <w:rPr>
          <w:b/>
          <w:bCs/>
        </w:rPr>
        <w:t>–</w:t>
      </w:r>
    </w:p>
    <w:p w14:paraId="3F90889B" w14:textId="77777777" w:rsidR="007E48B3" w:rsidRDefault="007E48B3" w:rsidP="007E48B3">
      <w:pPr>
        <w:pStyle w:val="ListParagraph"/>
        <w:autoSpaceDE w:val="0"/>
        <w:autoSpaceDN w:val="0"/>
        <w:bidi w:val="0"/>
        <w:adjustRightInd w:val="0"/>
        <w:spacing w:after="240" w:line="480" w:lineRule="auto"/>
        <w:rPr>
          <w:b/>
          <w:bCs/>
          <w:rtl/>
        </w:rPr>
      </w:pPr>
      <w:r w:rsidRPr="00507765">
        <w:t>Measures the number of people passing through the crossings between Israel and the West Bank to the total average population of Israel and the West Bank</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6889BE25" w14:textId="77777777" w:rsidTr="00416373">
        <w:trPr>
          <w:trHeight w:val="385"/>
        </w:trPr>
        <w:tc>
          <w:tcPr>
            <w:tcW w:w="8409" w:type="dxa"/>
            <w:gridSpan w:val="2"/>
            <w:shd w:val="clear" w:color="auto" w:fill="auto"/>
            <w:noWrap/>
            <w:vAlign w:val="center"/>
          </w:tcPr>
          <w:p w14:paraId="26D58631" w14:textId="77777777" w:rsidR="007E48B3" w:rsidRPr="003C3F18" w:rsidRDefault="007E48B3" w:rsidP="00416373">
            <w:pPr>
              <w:bidi w:val="0"/>
              <w:rPr>
                <w:rFonts w:cs="Calibri"/>
                <w:color w:val="000000"/>
              </w:rPr>
            </w:pPr>
            <w:r w:rsidRPr="0099720C">
              <w:rPr>
                <w:b/>
                <w:bCs/>
              </w:rPr>
              <w:t xml:space="preserve"> </w:t>
            </w:r>
            <w:r>
              <w:rPr>
                <w:rFonts w:cs="Calibri"/>
                <w:color w:val="000000"/>
              </w:rPr>
              <w:t>Data source</w:t>
            </w:r>
          </w:p>
        </w:tc>
      </w:tr>
      <w:tr w:rsidR="007E48B3" w:rsidRPr="003C3F18" w14:paraId="5982AF2A" w14:textId="77777777" w:rsidTr="00416373">
        <w:trPr>
          <w:trHeight w:val="1200"/>
        </w:trPr>
        <w:tc>
          <w:tcPr>
            <w:tcW w:w="1580" w:type="dxa"/>
            <w:shd w:val="clear" w:color="auto" w:fill="auto"/>
            <w:noWrap/>
            <w:vAlign w:val="center"/>
          </w:tcPr>
          <w:p w14:paraId="07508210" w14:textId="77777777" w:rsidR="007E48B3" w:rsidRPr="003C3F18" w:rsidRDefault="007E48B3" w:rsidP="00416373">
            <w:pPr>
              <w:bidi w:val="0"/>
              <w:jc w:val="center"/>
              <w:rPr>
                <w:rFonts w:cs="Calibri"/>
                <w:color w:val="000000"/>
              </w:rPr>
            </w:pPr>
            <w:r>
              <w:rPr>
                <w:rFonts w:cs="Calibri" w:hint="cs"/>
                <w:color w:val="000000"/>
                <w:rtl/>
              </w:rPr>
              <w:t>2010</w:t>
            </w:r>
          </w:p>
        </w:tc>
        <w:tc>
          <w:tcPr>
            <w:tcW w:w="6829" w:type="dxa"/>
            <w:shd w:val="clear" w:color="auto" w:fill="auto"/>
            <w:noWrap/>
            <w:vAlign w:val="center"/>
          </w:tcPr>
          <w:p w14:paraId="369A5384" w14:textId="77777777" w:rsidR="007E48B3" w:rsidRPr="003C3F18" w:rsidRDefault="007E48B3" w:rsidP="00416373">
            <w:pPr>
              <w:bidi w:val="0"/>
              <w:rPr>
                <w:rFonts w:cs="Calibri"/>
                <w:color w:val="000000"/>
              </w:rPr>
            </w:pPr>
            <w:r>
              <w:rPr>
                <w:rFonts w:cs="Calibri"/>
                <w:color w:val="000000"/>
              </w:rPr>
              <w:t>Missing data – equal to year 2011</w:t>
            </w:r>
          </w:p>
        </w:tc>
      </w:tr>
      <w:tr w:rsidR="007E48B3" w:rsidRPr="003C3F18" w14:paraId="5DF79A38" w14:textId="77777777" w:rsidTr="00416373">
        <w:trPr>
          <w:trHeight w:val="1200"/>
        </w:trPr>
        <w:tc>
          <w:tcPr>
            <w:tcW w:w="1580" w:type="dxa"/>
            <w:shd w:val="clear" w:color="auto" w:fill="auto"/>
            <w:noWrap/>
            <w:vAlign w:val="center"/>
          </w:tcPr>
          <w:p w14:paraId="0586D1A7" w14:textId="77777777" w:rsidR="007E48B3" w:rsidRDefault="007E48B3" w:rsidP="00416373">
            <w:pPr>
              <w:bidi w:val="0"/>
              <w:jc w:val="center"/>
              <w:rPr>
                <w:rFonts w:cs="Calibri"/>
                <w:color w:val="000000"/>
              </w:rPr>
            </w:pPr>
            <w:r>
              <w:rPr>
                <w:rFonts w:cs="Calibri"/>
                <w:color w:val="000000"/>
              </w:rPr>
              <w:t>2011-2019</w:t>
            </w:r>
          </w:p>
        </w:tc>
        <w:tc>
          <w:tcPr>
            <w:tcW w:w="6829" w:type="dxa"/>
            <w:shd w:val="clear" w:color="auto" w:fill="auto"/>
            <w:noWrap/>
            <w:vAlign w:val="center"/>
          </w:tcPr>
          <w:p w14:paraId="20259CA8" w14:textId="77777777" w:rsidR="007E48B3" w:rsidRDefault="007E48B3" w:rsidP="00416373">
            <w:pPr>
              <w:bidi w:val="0"/>
              <w:rPr>
                <w:rFonts w:cs="Calibri"/>
                <w:color w:val="000000"/>
              </w:rPr>
            </w:pPr>
            <w:r>
              <w:rPr>
                <w:rFonts w:cs="Calibri"/>
                <w:color w:val="000000"/>
              </w:rPr>
              <w:t>The Ministry of Defense Crossing Points Authority (C.P.A.), Palestinian Central Bureau of Statistics, Israeli Central Bureau of Statistics</w:t>
            </w:r>
          </w:p>
        </w:tc>
      </w:tr>
    </w:tbl>
    <w:p w14:paraId="7EE4313A" w14:textId="77777777" w:rsidR="007E48B3" w:rsidRDefault="007E48B3" w:rsidP="007E48B3">
      <w:pPr>
        <w:pStyle w:val="ListParagraph"/>
        <w:autoSpaceDE w:val="0"/>
        <w:autoSpaceDN w:val="0"/>
        <w:bidi w:val="0"/>
        <w:adjustRightInd w:val="0"/>
        <w:spacing w:after="240" w:line="480" w:lineRule="auto"/>
        <w:ind w:left="1440"/>
        <w:rPr>
          <w:b/>
          <w:bCs/>
        </w:rPr>
      </w:pPr>
    </w:p>
    <w:p w14:paraId="13418AF0" w14:textId="4AAB4529" w:rsidR="007E48B3" w:rsidRPr="00E64478" w:rsidRDefault="007E48B3" w:rsidP="007E48B3">
      <w:pPr>
        <w:pStyle w:val="ListParagraph"/>
        <w:numPr>
          <w:ilvl w:val="0"/>
          <w:numId w:val="20"/>
        </w:numPr>
        <w:autoSpaceDE w:val="0"/>
        <w:autoSpaceDN w:val="0"/>
        <w:bidi w:val="0"/>
        <w:adjustRightInd w:val="0"/>
        <w:spacing w:after="240" w:line="480" w:lineRule="auto"/>
        <w:ind w:left="720"/>
        <w:rPr>
          <w:b/>
          <w:bCs/>
        </w:rPr>
      </w:pPr>
      <w:r>
        <w:rPr>
          <w:b/>
          <w:bCs/>
        </w:rPr>
        <w:t>Percentage of</w:t>
      </w:r>
      <w:r w:rsidRPr="00E64478">
        <w:rPr>
          <w:b/>
          <w:bCs/>
        </w:rPr>
        <w:t xml:space="preserve"> Palestinians </w:t>
      </w:r>
      <w:r w:rsidR="00A906D5">
        <w:rPr>
          <w:b/>
          <w:bCs/>
        </w:rPr>
        <w:t>entering</w:t>
      </w:r>
      <w:r>
        <w:rPr>
          <w:b/>
          <w:bCs/>
        </w:rPr>
        <w:t xml:space="preserve"> </w:t>
      </w:r>
      <w:r w:rsidRPr="00E64478">
        <w:rPr>
          <w:b/>
          <w:bCs/>
        </w:rPr>
        <w:t>Israel for medical treatment</w:t>
      </w:r>
      <w:r>
        <w:rPr>
          <w:b/>
          <w:bCs/>
        </w:rPr>
        <w:t xml:space="preserve"> </w:t>
      </w:r>
      <w:r w:rsidRPr="00E64478">
        <w:rPr>
          <w:b/>
          <w:bCs/>
        </w:rPr>
        <w:t xml:space="preserve">– </w:t>
      </w:r>
    </w:p>
    <w:p w14:paraId="547BDF3F" w14:textId="77777777" w:rsidR="007E48B3" w:rsidRPr="007C1E95" w:rsidRDefault="007E48B3" w:rsidP="007E48B3">
      <w:pPr>
        <w:pStyle w:val="ListParagraph"/>
        <w:autoSpaceDE w:val="0"/>
        <w:autoSpaceDN w:val="0"/>
        <w:bidi w:val="0"/>
        <w:adjustRightInd w:val="0"/>
        <w:spacing w:after="240" w:line="480" w:lineRule="auto"/>
      </w:pPr>
      <w:r w:rsidRPr="007C1E95">
        <w:t>Measures the number of applications approved by the Coordination of Government Activities in the Territories in favor of the entry of Palestinians into Israel for the purpose of receiving medical treatment</w:t>
      </w:r>
      <w:r>
        <w:t xml:space="preserve"> out of total Palestinian population.</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6A2E553C" w14:textId="77777777" w:rsidTr="00416373">
        <w:trPr>
          <w:trHeight w:val="385"/>
        </w:trPr>
        <w:tc>
          <w:tcPr>
            <w:tcW w:w="8409" w:type="dxa"/>
            <w:gridSpan w:val="2"/>
            <w:shd w:val="clear" w:color="auto" w:fill="auto"/>
            <w:noWrap/>
            <w:vAlign w:val="center"/>
          </w:tcPr>
          <w:p w14:paraId="2F30475C"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66E2172F" w14:textId="77777777" w:rsidTr="00416373">
        <w:trPr>
          <w:trHeight w:val="1200"/>
        </w:trPr>
        <w:tc>
          <w:tcPr>
            <w:tcW w:w="1580" w:type="dxa"/>
            <w:shd w:val="clear" w:color="auto" w:fill="auto"/>
            <w:noWrap/>
            <w:vAlign w:val="center"/>
          </w:tcPr>
          <w:p w14:paraId="0E88BD36" w14:textId="77777777" w:rsidR="007E48B3" w:rsidRDefault="007E48B3" w:rsidP="00416373">
            <w:pPr>
              <w:bidi w:val="0"/>
              <w:rPr>
                <w:rFonts w:cs="Calibri"/>
                <w:color w:val="000000"/>
              </w:rPr>
            </w:pPr>
            <w:r>
              <w:rPr>
                <w:rFonts w:cs="Calibri"/>
                <w:color w:val="000000"/>
              </w:rPr>
              <w:t>2010</w:t>
            </w:r>
          </w:p>
        </w:tc>
        <w:tc>
          <w:tcPr>
            <w:tcW w:w="6829" w:type="dxa"/>
            <w:shd w:val="clear" w:color="auto" w:fill="auto"/>
            <w:noWrap/>
            <w:vAlign w:val="center"/>
          </w:tcPr>
          <w:p w14:paraId="2ECF6F00" w14:textId="77777777" w:rsidR="007E48B3" w:rsidRDefault="007E48B3" w:rsidP="00416373">
            <w:pPr>
              <w:bidi w:val="0"/>
              <w:rPr>
                <w:rFonts w:cs="Calibri"/>
                <w:color w:val="000000"/>
              </w:rPr>
            </w:pPr>
            <w:r>
              <w:rPr>
                <w:rFonts w:cs="Calibri"/>
                <w:color w:val="000000"/>
              </w:rPr>
              <w:t>Missing data – equal to year 2011</w:t>
            </w:r>
          </w:p>
        </w:tc>
      </w:tr>
      <w:tr w:rsidR="007E48B3" w:rsidRPr="003C3F18" w14:paraId="299E2C9B" w14:textId="77777777" w:rsidTr="00416373">
        <w:trPr>
          <w:trHeight w:val="1200"/>
        </w:trPr>
        <w:tc>
          <w:tcPr>
            <w:tcW w:w="1580" w:type="dxa"/>
            <w:shd w:val="clear" w:color="auto" w:fill="auto"/>
            <w:noWrap/>
            <w:vAlign w:val="center"/>
          </w:tcPr>
          <w:p w14:paraId="0AA04B28" w14:textId="77777777" w:rsidR="007E48B3" w:rsidRDefault="007E48B3" w:rsidP="00416373">
            <w:pPr>
              <w:bidi w:val="0"/>
              <w:rPr>
                <w:rFonts w:cs="Calibri"/>
                <w:color w:val="000000"/>
              </w:rPr>
            </w:pPr>
            <w:r>
              <w:rPr>
                <w:rFonts w:cs="Calibri"/>
                <w:color w:val="000000"/>
              </w:rPr>
              <w:t>2011 - 2014</w:t>
            </w:r>
          </w:p>
        </w:tc>
        <w:tc>
          <w:tcPr>
            <w:tcW w:w="6829" w:type="dxa"/>
            <w:shd w:val="clear" w:color="auto" w:fill="auto"/>
            <w:noWrap/>
            <w:vAlign w:val="center"/>
          </w:tcPr>
          <w:p w14:paraId="426FF248" w14:textId="77777777" w:rsidR="007E48B3" w:rsidRPr="00E35B9E" w:rsidRDefault="007E48B3" w:rsidP="00416373">
            <w:pPr>
              <w:bidi w:val="0"/>
              <w:rPr>
                <w:rFonts w:cs="Calibri"/>
                <w:color w:val="000000"/>
              </w:rPr>
            </w:pPr>
            <w:r>
              <w:rPr>
                <w:rFonts w:cs="Calibri"/>
                <w:color w:val="000000"/>
              </w:rPr>
              <w:t xml:space="preserve">Israeli Knesset, </w:t>
            </w:r>
            <w:r w:rsidRPr="00E35B9E">
              <w:rPr>
                <w:rFonts w:cs="Calibri"/>
                <w:color w:val="000000"/>
              </w:rPr>
              <w:t>Data on providing medical care to Palestinians</w:t>
            </w:r>
          </w:p>
          <w:p w14:paraId="5BAE8933" w14:textId="77777777" w:rsidR="007E48B3" w:rsidRDefault="007E48B3" w:rsidP="00416373">
            <w:pPr>
              <w:bidi w:val="0"/>
              <w:rPr>
                <w:rFonts w:cs="Calibri"/>
                <w:color w:val="000000"/>
              </w:rPr>
            </w:pPr>
            <w:r w:rsidRPr="00E35B9E">
              <w:rPr>
                <w:rFonts w:cs="Calibri"/>
                <w:color w:val="000000"/>
              </w:rPr>
              <w:t>In hospitals in Israel</w:t>
            </w:r>
            <w:r>
              <w:rPr>
                <w:rFonts w:cs="Calibri"/>
                <w:color w:val="000000"/>
              </w:rPr>
              <w:t>, 2017</w:t>
            </w:r>
          </w:p>
          <w:p w14:paraId="51D24996" w14:textId="229D0827" w:rsidR="007E48B3" w:rsidRDefault="00C27BF5" w:rsidP="00416373">
            <w:pPr>
              <w:bidi w:val="0"/>
              <w:rPr>
                <w:rFonts w:cs="Calibri"/>
                <w:color w:val="000000"/>
                <w:rtl/>
              </w:rPr>
            </w:pPr>
            <w:hyperlink r:id="rId84" w:history="1">
              <w:r w:rsidR="007E48B3" w:rsidRPr="00FE2B32">
                <w:rPr>
                  <w:rStyle w:val="Hyperlink"/>
                  <w:rFonts w:cs="Calibri"/>
                </w:rPr>
                <w:t>https://fs.knesset.gov.il/globaldocs/MMM/302ae8cf-a7b3-e511-80d0-00155d0acb9e/2_302ae8cf-a7b3-e511-80d0-00155d0acb9e_11_10394.pdf</w:t>
              </w:r>
            </w:hyperlink>
          </w:p>
          <w:p w14:paraId="0B5DD417" w14:textId="77777777" w:rsidR="007E48B3" w:rsidRDefault="007E48B3" w:rsidP="00416373">
            <w:pPr>
              <w:bidi w:val="0"/>
              <w:rPr>
                <w:rFonts w:cs="Calibri"/>
                <w:color w:val="000000"/>
              </w:rPr>
            </w:pPr>
            <w:r>
              <w:rPr>
                <w:rFonts w:cs="Calibri"/>
                <w:color w:val="000000"/>
              </w:rPr>
              <w:t>Missing data for Gaza strip for the years 2011-2012 - equal to year 2013</w:t>
            </w:r>
          </w:p>
        </w:tc>
      </w:tr>
      <w:tr w:rsidR="007E48B3" w:rsidRPr="003C3F18" w14:paraId="27890C44" w14:textId="77777777" w:rsidTr="00416373">
        <w:trPr>
          <w:trHeight w:val="1200"/>
        </w:trPr>
        <w:tc>
          <w:tcPr>
            <w:tcW w:w="1580" w:type="dxa"/>
            <w:shd w:val="clear" w:color="auto" w:fill="auto"/>
            <w:noWrap/>
            <w:vAlign w:val="center"/>
            <w:hideMark/>
          </w:tcPr>
          <w:p w14:paraId="3421FD44" w14:textId="77777777" w:rsidR="007E48B3" w:rsidRPr="003C3F18" w:rsidRDefault="007E48B3" w:rsidP="00416373">
            <w:pPr>
              <w:bidi w:val="0"/>
              <w:rPr>
                <w:rFonts w:cs="Calibri"/>
                <w:color w:val="000000"/>
              </w:rPr>
            </w:pPr>
            <w:r>
              <w:rPr>
                <w:rFonts w:cs="Calibri"/>
                <w:color w:val="000000"/>
              </w:rPr>
              <w:t>2015-2019</w:t>
            </w:r>
          </w:p>
        </w:tc>
        <w:tc>
          <w:tcPr>
            <w:tcW w:w="6829" w:type="dxa"/>
            <w:shd w:val="clear" w:color="auto" w:fill="auto"/>
            <w:noWrap/>
            <w:vAlign w:val="center"/>
            <w:hideMark/>
          </w:tcPr>
          <w:p w14:paraId="16FDF412" w14:textId="77777777" w:rsidR="007E48B3" w:rsidRPr="003C3F18" w:rsidRDefault="007E48B3" w:rsidP="00416373">
            <w:pPr>
              <w:bidi w:val="0"/>
              <w:rPr>
                <w:rFonts w:cs="Calibri"/>
                <w:color w:val="000000"/>
              </w:rPr>
            </w:pPr>
            <w:r>
              <w:rPr>
                <w:rFonts w:cs="Calibri"/>
                <w:color w:val="000000"/>
              </w:rPr>
              <w:t>Specific request - Coordinator of government activities in the territories, Palestinian Central Bureau of Statistics</w:t>
            </w:r>
          </w:p>
        </w:tc>
      </w:tr>
    </w:tbl>
    <w:p w14:paraId="4FA8493F" w14:textId="77777777" w:rsidR="007E48B3" w:rsidRDefault="007E48B3" w:rsidP="007E48B3">
      <w:pPr>
        <w:pStyle w:val="ListParagraph"/>
        <w:autoSpaceDE w:val="0"/>
        <w:autoSpaceDN w:val="0"/>
        <w:bidi w:val="0"/>
        <w:adjustRightInd w:val="0"/>
        <w:spacing w:after="240" w:line="480" w:lineRule="auto"/>
        <w:ind w:left="1080"/>
        <w:rPr>
          <w:b/>
          <w:bCs/>
        </w:rPr>
      </w:pPr>
    </w:p>
    <w:p w14:paraId="060EC6BD" w14:textId="77777777" w:rsidR="007E48B3" w:rsidRDefault="007E48B3" w:rsidP="007E48B3">
      <w:pPr>
        <w:pStyle w:val="ListParagraph"/>
        <w:autoSpaceDE w:val="0"/>
        <w:autoSpaceDN w:val="0"/>
        <w:bidi w:val="0"/>
        <w:adjustRightInd w:val="0"/>
        <w:spacing w:after="240" w:line="480" w:lineRule="auto"/>
        <w:ind w:left="1080"/>
        <w:rPr>
          <w:b/>
          <w:bCs/>
        </w:rPr>
      </w:pPr>
    </w:p>
    <w:p w14:paraId="7FEAF3C2" w14:textId="77777777" w:rsidR="007E48B3" w:rsidRDefault="007E48B3" w:rsidP="007E48B3">
      <w:pPr>
        <w:pStyle w:val="ListParagraph"/>
        <w:autoSpaceDE w:val="0"/>
        <w:autoSpaceDN w:val="0"/>
        <w:bidi w:val="0"/>
        <w:adjustRightInd w:val="0"/>
        <w:spacing w:after="240" w:line="480" w:lineRule="auto"/>
        <w:ind w:left="1080"/>
        <w:rPr>
          <w:b/>
          <w:bCs/>
        </w:rPr>
      </w:pPr>
    </w:p>
    <w:p w14:paraId="73965508" w14:textId="77777777" w:rsidR="007E48B3" w:rsidRDefault="007E48B3" w:rsidP="007E48B3">
      <w:pPr>
        <w:pStyle w:val="ListParagraph"/>
        <w:autoSpaceDE w:val="0"/>
        <w:autoSpaceDN w:val="0"/>
        <w:bidi w:val="0"/>
        <w:adjustRightInd w:val="0"/>
        <w:spacing w:after="240" w:line="480" w:lineRule="auto"/>
        <w:ind w:left="1080"/>
        <w:rPr>
          <w:b/>
          <w:bCs/>
        </w:rPr>
      </w:pPr>
    </w:p>
    <w:p w14:paraId="694901F9"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99720C">
        <w:rPr>
          <w:b/>
          <w:bCs/>
        </w:rPr>
        <w:t>Percentage of Israeli guest</w:t>
      </w:r>
      <w:r>
        <w:rPr>
          <w:b/>
          <w:bCs/>
        </w:rPr>
        <w:t>s’</w:t>
      </w:r>
      <w:r w:rsidRPr="0099720C">
        <w:rPr>
          <w:b/>
          <w:bCs/>
        </w:rPr>
        <w:t xml:space="preserve"> nights in </w:t>
      </w:r>
      <w:r>
        <w:rPr>
          <w:b/>
          <w:bCs/>
        </w:rPr>
        <w:t>WB</w:t>
      </w:r>
      <w:r w:rsidRPr="0099720C">
        <w:rPr>
          <w:b/>
          <w:bCs/>
        </w:rPr>
        <w:t xml:space="preserve"> Hotels </w:t>
      </w:r>
      <w:r>
        <w:rPr>
          <w:b/>
          <w:bCs/>
        </w:rPr>
        <w:t>–</w:t>
      </w:r>
      <w:r w:rsidRPr="0099720C">
        <w:rPr>
          <w:b/>
          <w:bCs/>
        </w:rPr>
        <w:t xml:space="preserve"> </w:t>
      </w:r>
    </w:p>
    <w:p w14:paraId="30DDA737" w14:textId="77777777" w:rsidR="007E48B3" w:rsidRPr="002E2AA5" w:rsidRDefault="007E48B3" w:rsidP="007E48B3">
      <w:pPr>
        <w:pStyle w:val="ListParagraph"/>
        <w:autoSpaceDE w:val="0"/>
        <w:autoSpaceDN w:val="0"/>
        <w:bidi w:val="0"/>
        <w:adjustRightInd w:val="0"/>
        <w:spacing w:line="480" w:lineRule="auto"/>
      </w:pPr>
      <w:r>
        <w:t xml:space="preserve">Measures the number of guest Nights in Hotels in the West Bank by Israeli nationality to total number of </w:t>
      </w:r>
      <w:r w:rsidRPr="002E2AA5">
        <w:t>guest nights.</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2F8718F8" w14:textId="77777777" w:rsidTr="00416373">
        <w:trPr>
          <w:trHeight w:val="385"/>
        </w:trPr>
        <w:tc>
          <w:tcPr>
            <w:tcW w:w="8409" w:type="dxa"/>
            <w:gridSpan w:val="2"/>
            <w:shd w:val="clear" w:color="auto" w:fill="auto"/>
            <w:noWrap/>
            <w:vAlign w:val="center"/>
          </w:tcPr>
          <w:p w14:paraId="4264C930"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05A15C96" w14:textId="77777777" w:rsidTr="00416373">
        <w:trPr>
          <w:trHeight w:val="1200"/>
        </w:trPr>
        <w:tc>
          <w:tcPr>
            <w:tcW w:w="1580" w:type="dxa"/>
            <w:shd w:val="clear" w:color="auto" w:fill="auto"/>
            <w:noWrap/>
            <w:vAlign w:val="center"/>
          </w:tcPr>
          <w:p w14:paraId="6CD5B676" w14:textId="77777777" w:rsidR="007E48B3" w:rsidRDefault="007E48B3" w:rsidP="00416373">
            <w:pPr>
              <w:bidi w:val="0"/>
              <w:rPr>
                <w:rFonts w:cs="Calibri"/>
                <w:color w:val="000000"/>
              </w:rPr>
            </w:pPr>
            <w:r>
              <w:rPr>
                <w:rFonts w:cs="Calibri"/>
                <w:color w:val="000000"/>
              </w:rPr>
              <w:t>1996-2019</w:t>
            </w:r>
          </w:p>
        </w:tc>
        <w:tc>
          <w:tcPr>
            <w:tcW w:w="6829" w:type="dxa"/>
            <w:shd w:val="clear" w:color="auto" w:fill="auto"/>
            <w:noWrap/>
            <w:vAlign w:val="center"/>
          </w:tcPr>
          <w:p w14:paraId="5DC5BAEF" w14:textId="77777777" w:rsidR="007E48B3" w:rsidRDefault="007E48B3" w:rsidP="00416373">
            <w:pPr>
              <w:bidi w:val="0"/>
              <w:rPr>
                <w:rFonts w:cs="Calibri"/>
                <w:color w:val="000000"/>
              </w:rPr>
            </w:pPr>
            <w:r>
              <w:rPr>
                <w:rFonts w:cs="Calibri"/>
                <w:color w:val="000000"/>
              </w:rPr>
              <w:t xml:space="preserve">Palestinian Central Bureau of Statistics, Hotel Activities </w:t>
            </w:r>
          </w:p>
        </w:tc>
      </w:tr>
    </w:tbl>
    <w:p w14:paraId="1A69A057" w14:textId="77777777" w:rsidR="007E48B3" w:rsidRDefault="007E48B3" w:rsidP="007E48B3">
      <w:pPr>
        <w:pStyle w:val="ListParagraph"/>
        <w:autoSpaceDE w:val="0"/>
        <w:autoSpaceDN w:val="0"/>
        <w:bidi w:val="0"/>
        <w:adjustRightInd w:val="0"/>
        <w:spacing w:after="240" w:line="480" w:lineRule="auto"/>
        <w:ind w:left="1440"/>
        <w:rPr>
          <w:b/>
          <w:bCs/>
        </w:rPr>
      </w:pPr>
    </w:p>
    <w:p w14:paraId="6138E5C5"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B2559E">
        <w:rPr>
          <w:b/>
          <w:bCs/>
        </w:rPr>
        <w:t xml:space="preserve">Percentage of Palestinian households that conducted Outbound Trips to Israel– </w:t>
      </w:r>
    </w:p>
    <w:p w14:paraId="5ED3B14C" w14:textId="77777777" w:rsidR="007E48B3" w:rsidRPr="001F0D27" w:rsidRDefault="007E48B3" w:rsidP="007E48B3">
      <w:pPr>
        <w:pStyle w:val="ListParagraph"/>
        <w:autoSpaceDE w:val="0"/>
        <w:autoSpaceDN w:val="0"/>
        <w:bidi w:val="0"/>
        <w:adjustRightInd w:val="0"/>
        <w:spacing w:after="240" w:line="480" w:lineRule="auto"/>
      </w:pPr>
      <w:r w:rsidRPr="001F0D27">
        <w:t>Measures the number of Palestinian households that conducted Outbound Trips to Israel out of total Palestinian households who conducted a trip.</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5BE54C88" w14:textId="77777777" w:rsidTr="00416373">
        <w:trPr>
          <w:trHeight w:val="385"/>
        </w:trPr>
        <w:tc>
          <w:tcPr>
            <w:tcW w:w="8409" w:type="dxa"/>
            <w:gridSpan w:val="2"/>
            <w:shd w:val="clear" w:color="auto" w:fill="auto"/>
            <w:noWrap/>
            <w:vAlign w:val="center"/>
          </w:tcPr>
          <w:p w14:paraId="7A459EAD"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3B51C137" w14:textId="77777777" w:rsidTr="00416373">
        <w:trPr>
          <w:trHeight w:val="1200"/>
        </w:trPr>
        <w:tc>
          <w:tcPr>
            <w:tcW w:w="1580" w:type="dxa"/>
            <w:shd w:val="clear" w:color="auto" w:fill="auto"/>
            <w:noWrap/>
            <w:vAlign w:val="center"/>
          </w:tcPr>
          <w:p w14:paraId="06B5D6A6" w14:textId="77777777" w:rsidR="007E48B3" w:rsidRPr="003C3F18" w:rsidRDefault="007E48B3" w:rsidP="00416373">
            <w:pPr>
              <w:bidi w:val="0"/>
              <w:rPr>
                <w:rFonts w:cs="Calibri"/>
                <w:color w:val="000000"/>
              </w:rPr>
            </w:pPr>
            <w:r>
              <w:rPr>
                <w:rFonts w:cs="Calibri"/>
                <w:color w:val="000000"/>
              </w:rPr>
              <w:t>2009-2019</w:t>
            </w:r>
          </w:p>
        </w:tc>
        <w:tc>
          <w:tcPr>
            <w:tcW w:w="6829" w:type="dxa"/>
            <w:shd w:val="clear" w:color="auto" w:fill="auto"/>
            <w:noWrap/>
            <w:vAlign w:val="center"/>
          </w:tcPr>
          <w:p w14:paraId="08F85E99" w14:textId="77777777" w:rsidR="007E48B3" w:rsidRPr="003C3F18" w:rsidRDefault="007E48B3" w:rsidP="00416373">
            <w:pPr>
              <w:bidi w:val="0"/>
              <w:rPr>
                <w:rFonts w:cs="Calibri"/>
                <w:color w:val="000000"/>
              </w:rPr>
            </w:pPr>
            <w:r>
              <w:rPr>
                <w:rFonts w:cs="Calibri"/>
                <w:color w:val="000000"/>
              </w:rPr>
              <w:t>Palestinian Central Bureau of Statistics, traveled Households on Outbound Trips by Destination Country and year, the data are published with a frequency of two years and therefore an average is made in the missing years (2011,2013,2015,2017, 2019)</w:t>
            </w:r>
          </w:p>
        </w:tc>
      </w:tr>
    </w:tbl>
    <w:p w14:paraId="4A6E2635" w14:textId="77777777" w:rsidR="007E48B3" w:rsidRDefault="007E48B3" w:rsidP="007E48B3">
      <w:pPr>
        <w:autoSpaceDE w:val="0"/>
        <w:autoSpaceDN w:val="0"/>
        <w:bidi w:val="0"/>
        <w:adjustRightInd w:val="0"/>
        <w:spacing w:after="240" w:line="480" w:lineRule="auto"/>
        <w:jc w:val="center"/>
        <w:rPr>
          <w:rFonts w:asciiTheme="majorBidi" w:hAnsiTheme="majorBidi" w:cstheme="majorBidi"/>
          <w:b/>
          <w:bCs/>
          <w:sz w:val="24"/>
          <w:szCs w:val="24"/>
        </w:rPr>
      </w:pPr>
    </w:p>
    <w:p w14:paraId="7EBCA72D" w14:textId="4DDFD9BC" w:rsidR="007E48B3" w:rsidRDefault="00810E53" w:rsidP="007E48B3">
      <w:pPr>
        <w:autoSpaceDE w:val="0"/>
        <w:autoSpaceDN w:val="0"/>
        <w:bidi w:val="0"/>
        <w:adjustRightInd w:val="0"/>
        <w:spacing w:after="240" w:line="480" w:lineRule="auto"/>
        <w:jc w:val="center"/>
        <w:rPr>
          <w:rFonts w:asciiTheme="majorBidi" w:hAnsiTheme="majorBidi" w:cstheme="majorBidi"/>
          <w:sz w:val="24"/>
          <w:szCs w:val="24"/>
        </w:rPr>
      </w:pPr>
      <w:r>
        <w:rPr>
          <w:rFonts w:asciiTheme="majorBidi" w:hAnsiTheme="majorBidi" w:cstheme="majorBidi"/>
          <w:b/>
          <w:bCs/>
          <w:sz w:val="24"/>
          <w:szCs w:val="24"/>
        </w:rPr>
        <w:t xml:space="preserve">Figure </w:t>
      </w:r>
      <w:r w:rsidRPr="00810E53">
        <w:rPr>
          <w:rFonts w:asciiTheme="majorBidi" w:hAnsiTheme="majorBidi" w:cstheme="majorBidi"/>
          <w:b/>
          <w:bCs/>
          <w:sz w:val="24"/>
          <w:szCs w:val="24"/>
          <w:shd w:val="clear" w:color="auto" w:fill="FFFF00"/>
        </w:rPr>
        <w:t>XX</w:t>
      </w:r>
      <w:r>
        <w:rPr>
          <w:rFonts w:asciiTheme="majorBidi" w:hAnsiTheme="majorBidi" w:cstheme="majorBidi"/>
          <w:b/>
          <w:bCs/>
          <w:sz w:val="24"/>
          <w:szCs w:val="24"/>
        </w:rPr>
        <w:t xml:space="preserve"> - </w:t>
      </w:r>
      <w:r w:rsidR="007E48B3" w:rsidRPr="001664CF">
        <w:rPr>
          <w:rFonts w:asciiTheme="majorBidi" w:hAnsiTheme="majorBidi" w:cstheme="majorBidi"/>
          <w:b/>
          <w:bCs/>
          <w:sz w:val="24"/>
          <w:szCs w:val="24"/>
        </w:rPr>
        <w:t>Movement of people</w:t>
      </w:r>
      <w:r w:rsidR="007E48B3">
        <w:rPr>
          <w:noProof/>
        </w:rPr>
        <w:drawing>
          <wp:inline distT="0" distB="0" distL="0" distR="0" wp14:anchorId="1CE2CC1D" wp14:editId="43BD24B7">
            <wp:extent cx="5292000" cy="3060000"/>
            <wp:effectExtent l="0" t="0" r="4445" b="7620"/>
            <wp:docPr id="46" name="Chart 46">
              <a:extLst xmlns:a="http://schemas.openxmlformats.org/drawingml/2006/main">
                <a:ext uri="{FF2B5EF4-FFF2-40B4-BE49-F238E27FC236}">
                  <a16:creationId xmlns:a16="http://schemas.microsoft.com/office/drawing/2014/main" id="{45F59AA7-88C3-45DE-A12F-BAA52F911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6666714" w14:textId="1DB359D2" w:rsidR="007E48B3" w:rsidRPr="00351568" w:rsidRDefault="00810E53" w:rsidP="007E48B3">
      <w:pPr>
        <w:autoSpaceDE w:val="0"/>
        <w:autoSpaceDN w:val="0"/>
        <w:bidi w:val="0"/>
        <w:adjustRightInd w:val="0"/>
        <w:spacing w:after="24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Table </w:t>
      </w:r>
      <w:r w:rsidRPr="00810E53">
        <w:rPr>
          <w:rFonts w:asciiTheme="majorBidi" w:hAnsiTheme="majorBidi" w:cstheme="majorBidi"/>
          <w:b/>
          <w:bCs/>
          <w:sz w:val="24"/>
          <w:szCs w:val="24"/>
          <w:shd w:val="clear" w:color="auto" w:fill="FFFF00"/>
        </w:rPr>
        <w:t>XX</w:t>
      </w:r>
      <w:r>
        <w:rPr>
          <w:rFonts w:asciiTheme="majorBidi" w:hAnsiTheme="majorBidi" w:cstheme="majorBidi"/>
          <w:b/>
          <w:bCs/>
          <w:sz w:val="24"/>
          <w:szCs w:val="24"/>
        </w:rPr>
        <w:t xml:space="preserve"> - </w:t>
      </w:r>
      <w:r w:rsidR="007E48B3" w:rsidRPr="00351568">
        <w:rPr>
          <w:rFonts w:asciiTheme="majorBidi" w:hAnsiTheme="majorBidi" w:cstheme="majorBidi"/>
          <w:b/>
          <w:bCs/>
          <w:sz w:val="24"/>
          <w:szCs w:val="24"/>
        </w:rPr>
        <w:t>Raw data</w:t>
      </w:r>
      <w:r>
        <w:rPr>
          <w:rFonts w:asciiTheme="majorBidi" w:hAnsiTheme="majorBidi" w:cstheme="majorBidi"/>
          <w:b/>
          <w:bCs/>
          <w:sz w:val="24"/>
          <w:szCs w:val="24"/>
        </w:rPr>
        <w:t xml:space="preserve"> - </w:t>
      </w:r>
      <w:r w:rsidRPr="001664CF">
        <w:rPr>
          <w:rFonts w:asciiTheme="majorBidi" w:hAnsiTheme="majorBidi" w:cstheme="majorBidi"/>
          <w:b/>
          <w:bCs/>
          <w:sz w:val="24"/>
          <w:szCs w:val="24"/>
        </w:rPr>
        <w:t>Movement of people</w:t>
      </w: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191"/>
        <w:gridCol w:w="1380"/>
        <w:gridCol w:w="1616"/>
        <w:gridCol w:w="2085"/>
        <w:gridCol w:w="1987"/>
      </w:tblGrid>
      <w:tr w:rsidR="007E48B3" w:rsidRPr="00672DA8" w14:paraId="3F8D8ED2" w14:textId="77777777" w:rsidTr="00416373">
        <w:trPr>
          <w:trHeight w:val="300"/>
        </w:trPr>
        <w:tc>
          <w:tcPr>
            <w:tcW w:w="622" w:type="dxa"/>
          </w:tcPr>
          <w:p w14:paraId="418D3C50" w14:textId="77777777" w:rsidR="007E48B3" w:rsidRPr="00672DA8" w:rsidRDefault="007E48B3" w:rsidP="00416373">
            <w:pPr>
              <w:bidi w:val="0"/>
              <w:rPr>
                <w:rFonts w:cs="Calibri"/>
                <w:b/>
                <w:bCs/>
                <w:color w:val="000000"/>
                <w:sz w:val="18"/>
                <w:szCs w:val="18"/>
              </w:rPr>
            </w:pPr>
            <w:r w:rsidRPr="00672DA8">
              <w:rPr>
                <w:rFonts w:cs="Calibri"/>
                <w:b/>
                <w:bCs/>
                <w:color w:val="000000"/>
                <w:sz w:val="18"/>
                <w:szCs w:val="18"/>
              </w:rPr>
              <w:t>Year</w:t>
            </w:r>
          </w:p>
        </w:tc>
        <w:tc>
          <w:tcPr>
            <w:tcW w:w="1191" w:type="dxa"/>
            <w:shd w:val="clear" w:color="auto" w:fill="auto"/>
            <w:noWrap/>
          </w:tcPr>
          <w:p w14:paraId="624F9EEE" w14:textId="77777777" w:rsidR="007E48B3" w:rsidRPr="00672DA8" w:rsidRDefault="007E48B3" w:rsidP="00416373">
            <w:pPr>
              <w:bidi w:val="0"/>
              <w:rPr>
                <w:rFonts w:cs="Calibri"/>
                <w:b/>
                <w:bCs/>
                <w:color w:val="000000"/>
                <w:sz w:val="18"/>
                <w:szCs w:val="18"/>
              </w:rPr>
            </w:pPr>
            <w:r w:rsidRPr="00672DA8">
              <w:rPr>
                <w:rFonts w:cs="Calibri"/>
                <w:b/>
                <w:bCs/>
                <w:color w:val="000000"/>
                <w:sz w:val="18"/>
                <w:szCs w:val="18"/>
              </w:rPr>
              <w:t xml:space="preserve">Percentage of Israeli cars entered the WB </w:t>
            </w:r>
          </w:p>
        </w:tc>
        <w:tc>
          <w:tcPr>
            <w:tcW w:w="1380" w:type="dxa"/>
            <w:shd w:val="clear" w:color="auto" w:fill="auto"/>
            <w:noWrap/>
          </w:tcPr>
          <w:p w14:paraId="2390F072" w14:textId="77777777" w:rsidR="007E48B3" w:rsidRPr="00672DA8" w:rsidRDefault="007E48B3" w:rsidP="00416373">
            <w:pPr>
              <w:bidi w:val="0"/>
              <w:rPr>
                <w:rFonts w:cs="Calibri"/>
                <w:b/>
                <w:bCs/>
                <w:color w:val="000000"/>
                <w:sz w:val="18"/>
                <w:szCs w:val="18"/>
              </w:rPr>
            </w:pPr>
            <w:r w:rsidRPr="00672DA8">
              <w:rPr>
                <w:rFonts w:cs="Calibri"/>
                <w:b/>
                <w:bCs/>
                <w:color w:val="000000"/>
                <w:sz w:val="18"/>
                <w:szCs w:val="18"/>
              </w:rPr>
              <w:t xml:space="preserve">Movement of people between Israel and the WB </w:t>
            </w:r>
          </w:p>
        </w:tc>
        <w:tc>
          <w:tcPr>
            <w:tcW w:w="1616" w:type="dxa"/>
            <w:shd w:val="clear" w:color="auto" w:fill="auto"/>
            <w:noWrap/>
          </w:tcPr>
          <w:p w14:paraId="0A65130B" w14:textId="77777777" w:rsidR="007E48B3" w:rsidRPr="00672DA8" w:rsidRDefault="007E48B3" w:rsidP="00416373">
            <w:pPr>
              <w:bidi w:val="0"/>
              <w:rPr>
                <w:rFonts w:cs="Calibri"/>
                <w:b/>
                <w:bCs/>
                <w:color w:val="000000"/>
                <w:sz w:val="18"/>
                <w:szCs w:val="18"/>
              </w:rPr>
            </w:pPr>
            <w:r w:rsidRPr="00672DA8">
              <w:rPr>
                <w:rFonts w:cs="Calibri"/>
                <w:b/>
                <w:bCs/>
                <w:color w:val="000000"/>
                <w:sz w:val="18"/>
                <w:szCs w:val="18"/>
              </w:rPr>
              <w:t>Percentage of Palestinians entered to Israel for medical treatment</w:t>
            </w:r>
          </w:p>
        </w:tc>
        <w:tc>
          <w:tcPr>
            <w:tcW w:w="2085" w:type="dxa"/>
            <w:shd w:val="clear" w:color="auto" w:fill="auto"/>
            <w:noWrap/>
          </w:tcPr>
          <w:p w14:paraId="6298475D" w14:textId="77777777" w:rsidR="007E48B3" w:rsidRPr="00672DA8" w:rsidRDefault="007E48B3" w:rsidP="00416373">
            <w:pPr>
              <w:bidi w:val="0"/>
              <w:rPr>
                <w:rFonts w:ascii="Times New Roman" w:hAnsi="Times New Roman" w:cs="Times New Roman"/>
                <w:b/>
                <w:bCs/>
                <w:sz w:val="18"/>
                <w:szCs w:val="18"/>
              </w:rPr>
            </w:pPr>
            <w:r w:rsidRPr="00672DA8">
              <w:rPr>
                <w:rFonts w:cs="Calibri"/>
                <w:b/>
                <w:bCs/>
                <w:color w:val="000000"/>
                <w:sz w:val="18"/>
                <w:szCs w:val="18"/>
              </w:rPr>
              <w:t>Percentage of Palestinian households that conducted Outbound Trips to Israel</w:t>
            </w:r>
          </w:p>
        </w:tc>
        <w:tc>
          <w:tcPr>
            <w:tcW w:w="1987" w:type="dxa"/>
            <w:shd w:val="clear" w:color="auto" w:fill="auto"/>
            <w:noWrap/>
          </w:tcPr>
          <w:p w14:paraId="06F6A7BC" w14:textId="77777777" w:rsidR="007E48B3" w:rsidRPr="00672DA8" w:rsidRDefault="007E48B3" w:rsidP="00416373">
            <w:pPr>
              <w:bidi w:val="0"/>
              <w:rPr>
                <w:rFonts w:cs="Calibri"/>
                <w:b/>
                <w:bCs/>
                <w:color w:val="000000"/>
                <w:sz w:val="18"/>
                <w:szCs w:val="18"/>
              </w:rPr>
            </w:pPr>
            <w:r w:rsidRPr="00672DA8">
              <w:rPr>
                <w:rFonts w:cs="Calibri"/>
                <w:b/>
                <w:bCs/>
                <w:color w:val="000000"/>
                <w:sz w:val="18"/>
                <w:szCs w:val="18"/>
              </w:rPr>
              <w:t xml:space="preserve">Percentage of Israeli guests’ nights in WB Hotels </w:t>
            </w:r>
          </w:p>
        </w:tc>
      </w:tr>
      <w:tr w:rsidR="007E48B3" w:rsidRPr="00672DA8" w14:paraId="2CAE237F" w14:textId="77777777" w:rsidTr="00416373">
        <w:trPr>
          <w:trHeight w:val="300"/>
        </w:trPr>
        <w:tc>
          <w:tcPr>
            <w:tcW w:w="622" w:type="dxa"/>
            <w:vAlign w:val="bottom"/>
          </w:tcPr>
          <w:p w14:paraId="34ACD89E" w14:textId="77777777" w:rsidR="007E48B3" w:rsidRPr="00672DA8" w:rsidRDefault="007E48B3" w:rsidP="00416373">
            <w:pPr>
              <w:bidi w:val="0"/>
              <w:rPr>
                <w:rFonts w:cs="Calibri"/>
                <w:color w:val="000000"/>
                <w:sz w:val="18"/>
                <w:szCs w:val="18"/>
              </w:rPr>
            </w:pPr>
            <w:r w:rsidRPr="00672DA8">
              <w:rPr>
                <w:rFonts w:cs="Calibri"/>
                <w:color w:val="000000"/>
                <w:sz w:val="18"/>
                <w:szCs w:val="18"/>
              </w:rPr>
              <w:t>1996</w:t>
            </w:r>
          </w:p>
        </w:tc>
        <w:tc>
          <w:tcPr>
            <w:tcW w:w="1191" w:type="dxa"/>
            <w:shd w:val="clear" w:color="auto" w:fill="auto"/>
            <w:noWrap/>
            <w:vAlign w:val="bottom"/>
            <w:hideMark/>
          </w:tcPr>
          <w:p w14:paraId="65FF066E"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03A68C6C"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2765B246" w14:textId="77777777" w:rsidR="007E48B3" w:rsidRPr="000535E2" w:rsidRDefault="007E48B3" w:rsidP="00416373">
            <w:pPr>
              <w:bidi w:val="0"/>
              <w:rPr>
                <w:rFonts w:cs="Calibri"/>
                <w:b/>
                <w:bCs/>
                <w:color w:val="000000"/>
                <w:sz w:val="18"/>
                <w:szCs w:val="18"/>
              </w:rPr>
            </w:pPr>
          </w:p>
        </w:tc>
        <w:tc>
          <w:tcPr>
            <w:tcW w:w="2085" w:type="dxa"/>
            <w:shd w:val="clear" w:color="auto" w:fill="auto"/>
            <w:noWrap/>
            <w:vAlign w:val="bottom"/>
            <w:hideMark/>
          </w:tcPr>
          <w:p w14:paraId="0374F343" w14:textId="77777777" w:rsidR="007E48B3" w:rsidRPr="000535E2" w:rsidRDefault="007E48B3" w:rsidP="00416373">
            <w:pPr>
              <w:bidi w:val="0"/>
              <w:rPr>
                <w:rFonts w:ascii="Times New Roman" w:hAnsi="Times New Roman" w:cs="Times New Roman"/>
                <w:sz w:val="18"/>
                <w:szCs w:val="18"/>
              </w:rPr>
            </w:pPr>
          </w:p>
        </w:tc>
        <w:tc>
          <w:tcPr>
            <w:tcW w:w="1987" w:type="dxa"/>
            <w:shd w:val="clear" w:color="auto" w:fill="auto"/>
            <w:noWrap/>
            <w:vAlign w:val="bottom"/>
            <w:hideMark/>
          </w:tcPr>
          <w:p w14:paraId="38A4FDEC"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2.70%</w:t>
            </w:r>
          </w:p>
        </w:tc>
      </w:tr>
      <w:tr w:rsidR="007E48B3" w:rsidRPr="00672DA8" w14:paraId="75BC488E" w14:textId="77777777" w:rsidTr="00416373">
        <w:trPr>
          <w:trHeight w:val="300"/>
        </w:trPr>
        <w:tc>
          <w:tcPr>
            <w:tcW w:w="622" w:type="dxa"/>
            <w:vAlign w:val="bottom"/>
          </w:tcPr>
          <w:p w14:paraId="2F949408" w14:textId="77777777" w:rsidR="007E48B3" w:rsidRPr="00672DA8" w:rsidRDefault="007E48B3" w:rsidP="00416373">
            <w:pPr>
              <w:bidi w:val="0"/>
              <w:rPr>
                <w:rFonts w:cs="Calibri"/>
                <w:color w:val="000000"/>
                <w:sz w:val="18"/>
                <w:szCs w:val="18"/>
              </w:rPr>
            </w:pPr>
            <w:r w:rsidRPr="00672DA8">
              <w:rPr>
                <w:rFonts w:cs="Calibri"/>
                <w:color w:val="000000"/>
                <w:sz w:val="18"/>
                <w:szCs w:val="18"/>
              </w:rPr>
              <w:t>1997</w:t>
            </w:r>
          </w:p>
        </w:tc>
        <w:tc>
          <w:tcPr>
            <w:tcW w:w="1191" w:type="dxa"/>
            <w:shd w:val="clear" w:color="auto" w:fill="auto"/>
            <w:noWrap/>
            <w:vAlign w:val="bottom"/>
            <w:hideMark/>
          </w:tcPr>
          <w:p w14:paraId="71FFC906"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7CCFEE60"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4FF8DB2D" w14:textId="77777777" w:rsidR="007E48B3" w:rsidRPr="000535E2" w:rsidRDefault="007E48B3" w:rsidP="00416373">
            <w:pPr>
              <w:bidi w:val="0"/>
              <w:rPr>
                <w:rFonts w:ascii="Times New Roman" w:hAnsi="Times New Roman" w:cs="Times New Roman"/>
                <w:sz w:val="18"/>
                <w:szCs w:val="18"/>
              </w:rPr>
            </w:pPr>
          </w:p>
        </w:tc>
        <w:tc>
          <w:tcPr>
            <w:tcW w:w="2085" w:type="dxa"/>
            <w:shd w:val="clear" w:color="auto" w:fill="auto"/>
            <w:noWrap/>
            <w:vAlign w:val="bottom"/>
            <w:hideMark/>
          </w:tcPr>
          <w:p w14:paraId="18FD2265" w14:textId="77777777" w:rsidR="007E48B3" w:rsidRPr="000535E2" w:rsidRDefault="007E48B3" w:rsidP="00416373">
            <w:pPr>
              <w:bidi w:val="0"/>
              <w:rPr>
                <w:rFonts w:ascii="Times New Roman" w:hAnsi="Times New Roman" w:cs="Times New Roman"/>
                <w:sz w:val="18"/>
                <w:szCs w:val="18"/>
              </w:rPr>
            </w:pPr>
          </w:p>
        </w:tc>
        <w:tc>
          <w:tcPr>
            <w:tcW w:w="1987" w:type="dxa"/>
            <w:shd w:val="clear" w:color="auto" w:fill="auto"/>
            <w:noWrap/>
            <w:vAlign w:val="bottom"/>
            <w:hideMark/>
          </w:tcPr>
          <w:p w14:paraId="421D3663"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3.20%</w:t>
            </w:r>
          </w:p>
        </w:tc>
      </w:tr>
      <w:tr w:rsidR="007E48B3" w:rsidRPr="00672DA8" w14:paraId="7D1BD8AF" w14:textId="77777777" w:rsidTr="00416373">
        <w:trPr>
          <w:trHeight w:val="300"/>
        </w:trPr>
        <w:tc>
          <w:tcPr>
            <w:tcW w:w="622" w:type="dxa"/>
            <w:vAlign w:val="bottom"/>
          </w:tcPr>
          <w:p w14:paraId="5338728F" w14:textId="77777777" w:rsidR="007E48B3" w:rsidRPr="00672DA8" w:rsidRDefault="007E48B3" w:rsidP="00416373">
            <w:pPr>
              <w:bidi w:val="0"/>
              <w:rPr>
                <w:rFonts w:cs="Calibri"/>
                <w:color w:val="000000"/>
                <w:sz w:val="18"/>
                <w:szCs w:val="18"/>
              </w:rPr>
            </w:pPr>
            <w:r w:rsidRPr="00672DA8">
              <w:rPr>
                <w:rFonts w:cs="Calibri"/>
                <w:color w:val="000000"/>
                <w:sz w:val="18"/>
                <w:szCs w:val="18"/>
              </w:rPr>
              <w:t>1998</w:t>
            </w:r>
          </w:p>
        </w:tc>
        <w:tc>
          <w:tcPr>
            <w:tcW w:w="1191" w:type="dxa"/>
            <w:shd w:val="clear" w:color="auto" w:fill="auto"/>
            <w:noWrap/>
            <w:vAlign w:val="bottom"/>
            <w:hideMark/>
          </w:tcPr>
          <w:p w14:paraId="378FC545"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218FC26F"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2322D20D" w14:textId="77777777" w:rsidR="007E48B3" w:rsidRPr="000535E2" w:rsidRDefault="007E48B3" w:rsidP="00416373">
            <w:pPr>
              <w:bidi w:val="0"/>
              <w:rPr>
                <w:rFonts w:ascii="Times New Roman" w:hAnsi="Times New Roman" w:cs="Times New Roman"/>
                <w:sz w:val="18"/>
                <w:szCs w:val="18"/>
              </w:rPr>
            </w:pPr>
          </w:p>
        </w:tc>
        <w:tc>
          <w:tcPr>
            <w:tcW w:w="2085" w:type="dxa"/>
            <w:shd w:val="clear" w:color="auto" w:fill="auto"/>
            <w:noWrap/>
            <w:vAlign w:val="bottom"/>
            <w:hideMark/>
          </w:tcPr>
          <w:p w14:paraId="09E0F945" w14:textId="77777777" w:rsidR="007E48B3" w:rsidRPr="000535E2" w:rsidRDefault="007E48B3" w:rsidP="00416373">
            <w:pPr>
              <w:bidi w:val="0"/>
              <w:rPr>
                <w:rFonts w:ascii="Times New Roman" w:hAnsi="Times New Roman" w:cs="Times New Roman"/>
                <w:sz w:val="18"/>
                <w:szCs w:val="18"/>
              </w:rPr>
            </w:pPr>
          </w:p>
        </w:tc>
        <w:tc>
          <w:tcPr>
            <w:tcW w:w="1987" w:type="dxa"/>
            <w:shd w:val="clear" w:color="auto" w:fill="auto"/>
            <w:noWrap/>
            <w:vAlign w:val="bottom"/>
            <w:hideMark/>
          </w:tcPr>
          <w:p w14:paraId="16C7768E"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5.00%</w:t>
            </w:r>
          </w:p>
        </w:tc>
      </w:tr>
      <w:tr w:rsidR="007E48B3" w:rsidRPr="00672DA8" w14:paraId="1E528DC1" w14:textId="77777777" w:rsidTr="00416373">
        <w:trPr>
          <w:trHeight w:val="300"/>
        </w:trPr>
        <w:tc>
          <w:tcPr>
            <w:tcW w:w="622" w:type="dxa"/>
            <w:vAlign w:val="bottom"/>
          </w:tcPr>
          <w:p w14:paraId="3054AD22" w14:textId="77777777" w:rsidR="007E48B3" w:rsidRPr="00672DA8" w:rsidRDefault="007E48B3" w:rsidP="00416373">
            <w:pPr>
              <w:bidi w:val="0"/>
              <w:rPr>
                <w:rFonts w:cs="Calibri"/>
                <w:color w:val="000000"/>
                <w:sz w:val="18"/>
                <w:szCs w:val="18"/>
              </w:rPr>
            </w:pPr>
            <w:r w:rsidRPr="00672DA8">
              <w:rPr>
                <w:rFonts w:cs="Calibri"/>
                <w:color w:val="000000"/>
                <w:sz w:val="18"/>
                <w:szCs w:val="18"/>
              </w:rPr>
              <w:t>1999</w:t>
            </w:r>
          </w:p>
        </w:tc>
        <w:tc>
          <w:tcPr>
            <w:tcW w:w="1191" w:type="dxa"/>
            <w:shd w:val="clear" w:color="auto" w:fill="auto"/>
            <w:noWrap/>
            <w:vAlign w:val="bottom"/>
            <w:hideMark/>
          </w:tcPr>
          <w:p w14:paraId="3B82B90F"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210247C6"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6F8829CE" w14:textId="77777777" w:rsidR="007E48B3" w:rsidRPr="000535E2" w:rsidRDefault="007E48B3" w:rsidP="00416373">
            <w:pPr>
              <w:bidi w:val="0"/>
              <w:rPr>
                <w:rFonts w:ascii="Times New Roman" w:hAnsi="Times New Roman" w:cs="Times New Roman"/>
                <w:sz w:val="18"/>
                <w:szCs w:val="18"/>
              </w:rPr>
            </w:pPr>
          </w:p>
        </w:tc>
        <w:tc>
          <w:tcPr>
            <w:tcW w:w="2085" w:type="dxa"/>
            <w:shd w:val="clear" w:color="auto" w:fill="auto"/>
            <w:noWrap/>
            <w:vAlign w:val="bottom"/>
            <w:hideMark/>
          </w:tcPr>
          <w:p w14:paraId="55B8AA7D" w14:textId="77777777" w:rsidR="007E48B3" w:rsidRPr="000535E2" w:rsidRDefault="007E48B3" w:rsidP="00416373">
            <w:pPr>
              <w:bidi w:val="0"/>
              <w:rPr>
                <w:rFonts w:ascii="Times New Roman" w:hAnsi="Times New Roman" w:cs="Times New Roman"/>
                <w:sz w:val="18"/>
                <w:szCs w:val="18"/>
              </w:rPr>
            </w:pPr>
          </w:p>
        </w:tc>
        <w:tc>
          <w:tcPr>
            <w:tcW w:w="1987" w:type="dxa"/>
            <w:shd w:val="clear" w:color="auto" w:fill="auto"/>
            <w:noWrap/>
            <w:vAlign w:val="bottom"/>
            <w:hideMark/>
          </w:tcPr>
          <w:p w14:paraId="2871518E"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9.70%</w:t>
            </w:r>
          </w:p>
        </w:tc>
      </w:tr>
      <w:tr w:rsidR="007E48B3" w:rsidRPr="00672DA8" w14:paraId="589C6B0A" w14:textId="77777777" w:rsidTr="00416373">
        <w:trPr>
          <w:trHeight w:val="300"/>
        </w:trPr>
        <w:tc>
          <w:tcPr>
            <w:tcW w:w="622" w:type="dxa"/>
            <w:vAlign w:val="bottom"/>
          </w:tcPr>
          <w:p w14:paraId="6014DE6F" w14:textId="77777777" w:rsidR="007E48B3" w:rsidRPr="00672DA8" w:rsidRDefault="007E48B3" w:rsidP="00416373">
            <w:pPr>
              <w:bidi w:val="0"/>
              <w:rPr>
                <w:rFonts w:cs="Calibri"/>
                <w:color w:val="000000"/>
                <w:sz w:val="18"/>
                <w:szCs w:val="18"/>
              </w:rPr>
            </w:pPr>
            <w:r w:rsidRPr="00672DA8">
              <w:rPr>
                <w:rFonts w:cs="Calibri"/>
                <w:color w:val="000000"/>
                <w:sz w:val="18"/>
                <w:szCs w:val="18"/>
              </w:rPr>
              <w:t>2000</w:t>
            </w:r>
          </w:p>
        </w:tc>
        <w:tc>
          <w:tcPr>
            <w:tcW w:w="1191" w:type="dxa"/>
            <w:shd w:val="clear" w:color="auto" w:fill="auto"/>
            <w:noWrap/>
            <w:vAlign w:val="bottom"/>
            <w:hideMark/>
          </w:tcPr>
          <w:p w14:paraId="1BA62071"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4F3759E7"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1980DE5E" w14:textId="77777777" w:rsidR="007E48B3" w:rsidRPr="000535E2" w:rsidRDefault="007E48B3" w:rsidP="00416373">
            <w:pPr>
              <w:bidi w:val="0"/>
              <w:rPr>
                <w:rFonts w:ascii="Times New Roman" w:hAnsi="Times New Roman" w:cs="Times New Roman"/>
                <w:sz w:val="18"/>
                <w:szCs w:val="18"/>
              </w:rPr>
            </w:pPr>
          </w:p>
        </w:tc>
        <w:tc>
          <w:tcPr>
            <w:tcW w:w="2085" w:type="dxa"/>
            <w:shd w:val="clear" w:color="auto" w:fill="auto"/>
            <w:noWrap/>
            <w:vAlign w:val="bottom"/>
            <w:hideMark/>
          </w:tcPr>
          <w:p w14:paraId="7FDF81C1" w14:textId="77777777" w:rsidR="007E48B3" w:rsidRPr="000535E2" w:rsidRDefault="007E48B3" w:rsidP="00416373">
            <w:pPr>
              <w:bidi w:val="0"/>
              <w:rPr>
                <w:rFonts w:ascii="Times New Roman" w:hAnsi="Times New Roman" w:cs="Times New Roman"/>
                <w:sz w:val="18"/>
                <w:szCs w:val="18"/>
              </w:rPr>
            </w:pPr>
          </w:p>
        </w:tc>
        <w:tc>
          <w:tcPr>
            <w:tcW w:w="1987" w:type="dxa"/>
            <w:shd w:val="clear" w:color="auto" w:fill="auto"/>
            <w:noWrap/>
            <w:vAlign w:val="bottom"/>
            <w:hideMark/>
          </w:tcPr>
          <w:p w14:paraId="3C81BF80"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9.30%</w:t>
            </w:r>
          </w:p>
        </w:tc>
      </w:tr>
      <w:tr w:rsidR="007E48B3" w:rsidRPr="00672DA8" w14:paraId="522620D9" w14:textId="77777777" w:rsidTr="00416373">
        <w:trPr>
          <w:trHeight w:val="300"/>
        </w:trPr>
        <w:tc>
          <w:tcPr>
            <w:tcW w:w="622" w:type="dxa"/>
            <w:vAlign w:val="bottom"/>
          </w:tcPr>
          <w:p w14:paraId="03C33ACC" w14:textId="77777777" w:rsidR="007E48B3" w:rsidRPr="00672DA8" w:rsidRDefault="007E48B3" w:rsidP="00416373">
            <w:pPr>
              <w:bidi w:val="0"/>
              <w:rPr>
                <w:rFonts w:cs="Calibri"/>
                <w:color w:val="000000"/>
                <w:sz w:val="18"/>
                <w:szCs w:val="18"/>
              </w:rPr>
            </w:pPr>
            <w:r w:rsidRPr="00672DA8">
              <w:rPr>
                <w:rFonts w:cs="Calibri"/>
                <w:color w:val="000000"/>
                <w:sz w:val="18"/>
                <w:szCs w:val="18"/>
              </w:rPr>
              <w:t>2001</w:t>
            </w:r>
          </w:p>
        </w:tc>
        <w:tc>
          <w:tcPr>
            <w:tcW w:w="1191" w:type="dxa"/>
            <w:shd w:val="clear" w:color="auto" w:fill="auto"/>
            <w:noWrap/>
            <w:vAlign w:val="bottom"/>
            <w:hideMark/>
          </w:tcPr>
          <w:p w14:paraId="73B3679E"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449B0B7D"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0B149441" w14:textId="77777777" w:rsidR="007E48B3" w:rsidRPr="000535E2" w:rsidRDefault="007E48B3" w:rsidP="00416373">
            <w:pPr>
              <w:bidi w:val="0"/>
              <w:rPr>
                <w:rFonts w:ascii="Times New Roman" w:hAnsi="Times New Roman" w:cs="Times New Roman"/>
                <w:sz w:val="18"/>
                <w:szCs w:val="18"/>
              </w:rPr>
            </w:pPr>
          </w:p>
        </w:tc>
        <w:tc>
          <w:tcPr>
            <w:tcW w:w="2085" w:type="dxa"/>
            <w:shd w:val="clear" w:color="auto" w:fill="auto"/>
            <w:noWrap/>
            <w:vAlign w:val="bottom"/>
            <w:hideMark/>
          </w:tcPr>
          <w:p w14:paraId="2F882CEC" w14:textId="77777777" w:rsidR="007E48B3" w:rsidRPr="000535E2" w:rsidRDefault="007E48B3" w:rsidP="00416373">
            <w:pPr>
              <w:bidi w:val="0"/>
              <w:rPr>
                <w:rFonts w:ascii="Times New Roman" w:hAnsi="Times New Roman" w:cs="Times New Roman"/>
                <w:sz w:val="18"/>
                <w:szCs w:val="18"/>
              </w:rPr>
            </w:pPr>
          </w:p>
        </w:tc>
        <w:tc>
          <w:tcPr>
            <w:tcW w:w="1987" w:type="dxa"/>
            <w:shd w:val="clear" w:color="auto" w:fill="auto"/>
            <w:noWrap/>
            <w:vAlign w:val="bottom"/>
            <w:hideMark/>
          </w:tcPr>
          <w:p w14:paraId="16303320"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5.30%</w:t>
            </w:r>
          </w:p>
        </w:tc>
      </w:tr>
      <w:tr w:rsidR="007E48B3" w:rsidRPr="00672DA8" w14:paraId="36CFB8F5" w14:textId="77777777" w:rsidTr="00416373">
        <w:trPr>
          <w:trHeight w:val="300"/>
        </w:trPr>
        <w:tc>
          <w:tcPr>
            <w:tcW w:w="622" w:type="dxa"/>
            <w:vAlign w:val="bottom"/>
          </w:tcPr>
          <w:p w14:paraId="1BC716F3" w14:textId="77777777" w:rsidR="007E48B3" w:rsidRPr="00672DA8" w:rsidRDefault="007E48B3" w:rsidP="00416373">
            <w:pPr>
              <w:bidi w:val="0"/>
              <w:rPr>
                <w:rFonts w:cs="Calibri"/>
                <w:color w:val="000000"/>
                <w:sz w:val="18"/>
                <w:szCs w:val="18"/>
              </w:rPr>
            </w:pPr>
            <w:r w:rsidRPr="00672DA8">
              <w:rPr>
                <w:rFonts w:cs="Calibri"/>
                <w:color w:val="000000"/>
                <w:sz w:val="18"/>
                <w:szCs w:val="18"/>
              </w:rPr>
              <w:t>2002</w:t>
            </w:r>
          </w:p>
        </w:tc>
        <w:tc>
          <w:tcPr>
            <w:tcW w:w="1191" w:type="dxa"/>
            <w:shd w:val="clear" w:color="auto" w:fill="auto"/>
            <w:noWrap/>
            <w:vAlign w:val="bottom"/>
            <w:hideMark/>
          </w:tcPr>
          <w:p w14:paraId="3FC83441"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7E89827E"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7C6016A7" w14:textId="77777777" w:rsidR="007E48B3" w:rsidRPr="000535E2" w:rsidRDefault="007E48B3" w:rsidP="00416373">
            <w:pPr>
              <w:bidi w:val="0"/>
              <w:rPr>
                <w:rFonts w:ascii="Times New Roman" w:hAnsi="Times New Roman" w:cs="Times New Roman"/>
                <w:sz w:val="18"/>
                <w:szCs w:val="18"/>
              </w:rPr>
            </w:pPr>
          </w:p>
        </w:tc>
        <w:tc>
          <w:tcPr>
            <w:tcW w:w="2085" w:type="dxa"/>
            <w:shd w:val="clear" w:color="auto" w:fill="auto"/>
            <w:noWrap/>
            <w:vAlign w:val="bottom"/>
            <w:hideMark/>
          </w:tcPr>
          <w:p w14:paraId="0D5200AD" w14:textId="77777777" w:rsidR="007E48B3" w:rsidRPr="000535E2" w:rsidRDefault="007E48B3" w:rsidP="00416373">
            <w:pPr>
              <w:bidi w:val="0"/>
              <w:rPr>
                <w:rFonts w:ascii="Times New Roman" w:hAnsi="Times New Roman" w:cs="Times New Roman"/>
                <w:sz w:val="18"/>
                <w:szCs w:val="18"/>
              </w:rPr>
            </w:pPr>
          </w:p>
        </w:tc>
        <w:tc>
          <w:tcPr>
            <w:tcW w:w="1987" w:type="dxa"/>
            <w:shd w:val="clear" w:color="auto" w:fill="auto"/>
            <w:noWrap/>
            <w:vAlign w:val="bottom"/>
            <w:hideMark/>
          </w:tcPr>
          <w:p w14:paraId="1DF0B801"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4.30%</w:t>
            </w:r>
          </w:p>
        </w:tc>
      </w:tr>
      <w:tr w:rsidR="007E48B3" w:rsidRPr="00672DA8" w14:paraId="262C48BD" w14:textId="77777777" w:rsidTr="00416373">
        <w:trPr>
          <w:trHeight w:val="300"/>
        </w:trPr>
        <w:tc>
          <w:tcPr>
            <w:tcW w:w="622" w:type="dxa"/>
            <w:vAlign w:val="bottom"/>
          </w:tcPr>
          <w:p w14:paraId="59F76A7D" w14:textId="77777777" w:rsidR="007E48B3" w:rsidRPr="00672DA8" w:rsidRDefault="007E48B3" w:rsidP="00416373">
            <w:pPr>
              <w:bidi w:val="0"/>
              <w:rPr>
                <w:rFonts w:cs="Calibri"/>
                <w:color w:val="000000"/>
                <w:sz w:val="18"/>
                <w:szCs w:val="18"/>
              </w:rPr>
            </w:pPr>
            <w:r w:rsidRPr="00672DA8">
              <w:rPr>
                <w:rFonts w:cs="Calibri"/>
                <w:color w:val="000000"/>
                <w:sz w:val="18"/>
                <w:szCs w:val="18"/>
              </w:rPr>
              <w:t>2003</w:t>
            </w:r>
          </w:p>
        </w:tc>
        <w:tc>
          <w:tcPr>
            <w:tcW w:w="1191" w:type="dxa"/>
            <w:shd w:val="clear" w:color="auto" w:fill="auto"/>
            <w:noWrap/>
            <w:vAlign w:val="bottom"/>
            <w:hideMark/>
          </w:tcPr>
          <w:p w14:paraId="03BD354D"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0CB27011"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3481EC48" w14:textId="77777777" w:rsidR="007E48B3" w:rsidRPr="000535E2" w:rsidRDefault="007E48B3" w:rsidP="00416373">
            <w:pPr>
              <w:bidi w:val="0"/>
              <w:rPr>
                <w:rFonts w:ascii="Times New Roman" w:hAnsi="Times New Roman" w:cs="Times New Roman"/>
                <w:sz w:val="18"/>
                <w:szCs w:val="18"/>
              </w:rPr>
            </w:pPr>
          </w:p>
        </w:tc>
        <w:tc>
          <w:tcPr>
            <w:tcW w:w="2085" w:type="dxa"/>
            <w:shd w:val="clear" w:color="auto" w:fill="auto"/>
            <w:noWrap/>
            <w:vAlign w:val="bottom"/>
            <w:hideMark/>
          </w:tcPr>
          <w:p w14:paraId="77525128" w14:textId="77777777" w:rsidR="007E48B3" w:rsidRPr="000535E2" w:rsidRDefault="007E48B3" w:rsidP="00416373">
            <w:pPr>
              <w:bidi w:val="0"/>
              <w:rPr>
                <w:rFonts w:ascii="Times New Roman" w:hAnsi="Times New Roman" w:cs="Times New Roman"/>
                <w:sz w:val="18"/>
                <w:szCs w:val="18"/>
              </w:rPr>
            </w:pPr>
          </w:p>
        </w:tc>
        <w:tc>
          <w:tcPr>
            <w:tcW w:w="1987" w:type="dxa"/>
            <w:shd w:val="clear" w:color="auto" w:fill="auto"/>
            <w:noWrap/>
            <w:vAlign w:val="bottom"/>
            <w:hideMark/>
          </w:tcPr>
          <w:p w14:paraId="2C0064EB"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8.40%</w:t>
            </w:r>
          </w:p>
        </w:tc>
      </w:tr>
      <w:tr w:rsidR="007E48B3" w:rsidRPr="00672DA8" w14:paraId="048B760F" w14:textId="77777777" w:rsidTr="00416373">
        <w:trPr>
          <w:trHeight w:val="300"/>
        </w:trPr>
        <w:tc>
          <w:tcPr>
            <w:tcW w:w="622" w:type="dxa"/>
            <w:vAlign w:val="bottom"/>
          </w:tcPr>
          <w:p w14:paraId="0BEF4B70" w14:textId="77777777" w:rsidR="007E48B3" w:rsidRPr="00672DA8" w:rsidRDefault="007E48B3" w:rsidP="00416373">
            <w:pPr>
              <w:bidi w:val="0"/>
              <w:rPr>
                <w:rFonts w:cs="Calibri"/>
                <w:color w:val="000000"/>
                <w:sz w:val="18"/>
                <w:szCs w:val="18"/>
              </w:rPr>
            </w:pPr>
            <w:r w:rsidRPr="00672DA8">
              <w:rPr>
                <w:rFonts w:cs="Calibri"/>
                <w:color w:val="000000"/>
                <w:sz w:val="18"/>
                <w:szCs w:val="18"/>
              </w:rPr>
              <w:t>2004</w:t>
            </w:r>
          </w:p>
        </w:tc>
        <w:tc>
          <w:tcPr>
            <w:tcW w:w="1191" w:type="dxa"/>
            <w:shd w:val="clear" w:color="auto" w:fill="auto"/>
            <w:noWrap/>
            <w:vAlign w:val="bottom"/>
            <w:hideMark/>
          </w:tcPr>
          <w:p w14:paraId="762DB3D1"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5258589A"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224BF991" w14:textId="77777777" w:rsidR="007E48B3" w:rsidRPr="000535E2" w:rsidRDefault="007E48B3" w:rsidP="00416373">
            <w:pPr>
              <w:bidi w:val="0"/>
              <w:rPr>
                <w:rFonts w:ascii="Times New Roman" w:hAnsi="Times New Roman" w:cs="Times New Roman"/>
                <w:sz w:val="18"/>
                <w:szCs w:val="18"/>
              </w:rPr>
            </w:pPr>
          </w:p>
        </w:tc>
        <w:tc>
          <w:tcPr>
            <w:tcW w:w="2085" w:type="dxa"/>
            <w:shd w:val="clear" w:color="auto" w:fill="auto"/>
            <w:noWrap/>
            <w:vAlign w:val="bottom"/>
            <w:hideMark/>
          </w:tcPr>
          <w:p w14:paraId="57B1FF8C" w14:textId="77777777" w:rsidR="007E48B3" w:rsidRPr="000535E2" w:rsidRDefault="007E48B3" w:rsidP="00416373">
            <w:pPr>
              <w:bidi w:val="0"/>
              <w:rPr>
                <w:rFonts w:ascii="Times New Roman" w:hAnsi="Times New Roman" w:cs="Times New Roman"/>
                <w:sz w:val="18"/>
                <w:szCs w:val="18"/>
              </w:rPr>
            </w:pPr>
          </w:p>
        </w:tc>
        <w:tc>
          <w:tcPr>
            <w:tcW w:w="1987" w:type="dxa"/>
            <w:shd w:val="clear" w:color="auto" w:fill="auto"/>
            <w:noWrap/>
            <w:vAlign w:val="bottom"/>
            <w:hideMark/>
          </w:tcPr>
          <w:p w14:paraId="62A58FD3"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8.70%</w:t>
            </w:r>
          </w:p>
        </w:tc>
      </w:tr>
      <w:tr w:rsidR="007E48B3" w:rsidRPr="00672DA8" w14:paraId="116FCDA4" w14:textId="77777777" w:rsidTr="00416373">
        <w:trPr>
          <w:trHeight w:val="300"/>
        </w:trPr>
        <w:tc>
          <w:tcPr>
            <w:tcW w:w="622" w:type="dxa"/>
            <w:vAlign w:val="bottom"/>
          </w:tcPr>
          <w:p w14:paraId="753CE035" w14:textId="77777777" w:rsidR="007E48B3" w:rsidRPr="00672DA8" w:rsidRDefault="007E48B3" w:rsidP="00416373">
            <w:pPr>
              <w:bidi w:val="0"/>
              <w:rPr>
                <w:rFonts w:cs="Calibri"/>
                <w:color w:val="000000"/>
                <w:sz w:val="18"/>
                <w:szCs w:val="18"/>
              </w:rPr>
            </w:pPr>
            <w:r w:rsidRPr="00672DA8">
              <w:rPr>
                <w:rFonts w:cs="Calibri"/>
                <w:color w:val="000000"/>
                <w:sz w:val="18"/>
                <w:szCs w:val="18"/>
              </w:rPr>
              <w:t>2005</w:t>
            </w:r>
          </w:p>
        </w:tc>
        <w:tc>
          <w:tcPr>
            <w:tcW w:w="1191" w:type="dxa"/>
            <w:shd w:val="clear" w:color="auto" w:fill="auto"/>
            <w:noWrap/>
            <w:vAlign w:val="bottom"/>
            <w:hideMark/>
          </w:tcPr>
          <w:p w14:paraId="3B724B63"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2AC2F1CD"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13C32156" w14:textId="77777777" w:rsidR="007E48B3" w:rsidRPr="000535E2" w:rsidRDefault="007E48B3" w:rsidP="00416373">
            <w:pPr>
              <w:bidi w:val="0"/>
              <w:rPr>
                <w:rFonts w:ascii="Times New Roman" w:hAnsi="Times New Roman" w:cs="Times New Roman"/>
                <w:sz w:val="18"/>
                <w:szCs w:val="18"/>
              </w:rPr>
            </w:pPr>
          </w:p>
        </w:tc>
        <w:tc>
          <w:tcPr>
            <w:tcW w:w="2085" w:type="dxa"/>
            <w:shd w:val="clear" w:color="auto" w:fill="auto"/>
            <w:noWrap/>
            <w:vAlign w:val="bottom"/>
            <w:hideMark/>
          </w:tcPr>
          <w:p w14:paraId="3FE2AE3E" w14:textId="77777777" w:rsidR="007E48B3" w:rsidRPr="000535E2" w:rsidRDefault="007E48B3" w:rsidP="00416373">
            <w:pPr>
              <w:bidi w:val="0"/>
              <w:rPr>
                <w:rFonts w:ascii="Times New Roman" w:hAnsi="Times New Roman" w:cs="Times New Roman"/>
                <w:sz w:val="18"/>
                <w:szCs w:val="18"/>
              </w:rPr>
            </w:pPr>
          </w:p>
        </w:tc>
        <w:tc>
          <w:tcPr>
            <w:tcW w:w="1987" w:type="dxa"/>
            <w:shd w:val="clear" w:color="auto" w:fill="auto"/>
            <w:noWrap/>
            <w:vAlign w:val="bottom"/>
            <w:hideMark/>
          </w:tcPr>
          <w:p w14:paraId="76435DBB"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8.70%</w:t>
            </w:r>
          </w:p>
        </w:tc>
      </w:tr>
      <w:tr w:rsidR="007E48B3" w:rsidRPr="00672DA8" w14:paraId="136335F9" w14:textId="77777777" w:rsidTr="00416373">
        <w:trPr>
          <w:trHeight w:val="300"/>
        </w:trPr>
        <w:tc>
          <w:tcPr>
            <w:tcW w:w="622" w:type="dxa"/>
            <w:vAlign w:val="bottom"/>
          </w:tcPr>
          <w:p w14:paraId="0930C60D" w14:textId="77777777" w:rsidR="007E48B3" w:rsidRPr="00672DA8" w:rsidRDefault="007E48B3" w:rsidP="00416373">
            <w:pPr>
              <w:bidi w:val="0"/>
              <w:rPr>
                <w:rFonts w:cs="Calibri"/>
                <w:color w:val="000000"/>
                <w:sz w:val="18"/>
                <w:szCs w:val="18"/>
              </w:rPr>
            </w:pPr>
            <w:r w:rsidRPr="00672DA8">
              <w:rPr>
                <w:rFonts w:cs="Calibri"/>
                <w:color w:val="000000"/>
                <w:sz w:val="18"/>
                <w:szCs w:val="18"/>
              </w:rPr>
              <w:t>2006</w:t>
            </w:r>
          </w:p>
        </w:tc>
        <w:tc>
          <w:tcPr>
            <w:tcW w:w="1191" w:type="dxa"/>
            <w:shd w:val="clear" w:color="auto" w:fill="auto"/>
            <w:noWrap/>
            <w:vAlign w:val="bottom"/>
            <w:hideMark/>
          </w:tcPr>
          <w:p w14:paraId="2F2AA06A"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1158C51F"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158EFC19" w14:textId="77777777" w:rsidR="007E48B3" w:rsidRPr="000535E2" w:rsidRDefault="007E48B3" w:rsidP="00416373">
            <w:pPr>
              <w:bidi w:val="0"/>
              <w:rPr>
                <w:rFonts w:ascii="Times New Roman" w:hAnsi="Times New Roman" w:cs="Times New Roman"/>
                <w:sz w:val="18"/>
                <w:szCs w:val="18"/>
              </w:rPr>
            </w:pPr>
          </w:p>
        </w:tc>
        <w:tc>
          <w:tcPr>
            <w:tcW w:w="2085" w:type="dxa"/>
            <w:shd w:val="clear" w:color="auto" w:fill="auto"/>
            <w:noWrap/>
            <w:vAlign w:val="bottom"/>
            <w:hideMark/>
          </w:tcPr>
          <w:p w14:paraId="296A09A6" w14:textId="77777777" w:rsidR="007E48B3" w:rsidRPr="000535E2" w:rsidRDefault="007E48B3" w:rsidP="00416373">
            <w:pPr>
              <w:bidi w:val="0"/>
              <w:rPr>
                <w:rFonts w:ascii="Times New Roman" w:hAnsi="Times New Roman" w:cs="Times New Roman"/>
                <w:sz w:val="18"/>
                <w:szCs w:val="18"/>
              </w:rPr>
            </w:pPr>
          </w:p>
        </w:tc>
        <w:tc>
          <w:tcPr>
            <w:tcW w:w="1987" w:type="dxa"/>
            <w:shd w:val="clear" w:color="auto" w:fill="auto"/>
            <w:noWrap/>
            <w:vAlign w:val="bottom"/>
            <w:hideMark/>
          </w:tcPr>
          <w:p w14:paraId="6400F27B"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11.60%</w:t>
            </w:r>
          </w:p>
        </w:tc>
      </w:tr>
      <w:tr w:rsidR="007E48B3" w:rsidRPr="00672DA8" w14:paraId="4A145F44" w14:textId="77777777" w:rsidTr="00416373">
        <w:trPr>
          <w:trHeight w:val="300"/>
        </w:trPr>
        <w:tc>
          <w:tcPr>
            <w:tcW w:w="622" w:type="dxa"/>
            <w:vAlign w:val="bottom"/>
          </w:tcPr>
          <w:p w14:paraId="601A4A67" w14:textId="77777777" w:rsidR="007E48B3" w:rsidRPr="00672DA8" w:rsidRDefault="007E48B3" w:rsidP="00416373">
            <w:pPr>
              <w:bidi w:val="0"/>
              <w:rPr>
                <w:rFonts w:cs="Calibri"/>
                <w:color w:val="000000"/>
                <w:sz w:val="18"/>
                <w:szCs w:val="18"/>
              </w:rPr>
            </w:pPr>
            <w:r w:rsidRPr="00672DA8">
              <w:rPr>
                <w:rFonts w:cs="Calibri"/>
                <w:color w:val="000000"/>
                <w:sz w:val="18"/>
                <w:szCs w:val="18"/>
              </w:rPr>
              <w:t>2007</w:t>
            </w:r>
          </w:p>
        </w:tc>
        <w:tc>
          <w:tcPr>
            <w:tcW w:w="1191" w:type="dxa"/>
            <w:shd w:val="clear" w:color="auto" w:fill="auto"/>
            <w:noWrap/>
            <w:vAlign w:val="bottom"/>
            <w:hideMark/>
          </w:tcPr>
          <w:p w14:paraId="6BA52D0E"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3ABE518C"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324B2B39" w14:textId="77777777" w:rsidR="007E48B3" w:rsidRPr="000535E2" w:rsidRDefault="007E48B3" w:rsidP="00416373">
            <w:pPr>
              <w:bidi w:val="0"/>
              <w:rPr>
                <w:rFonts w:ascii="Times New Roman" w:hAnsi="Times New Roman" w:cs="Times New Roman"/>
                <w:sz w:val="18"/>
                <w:szCs w:val="18"/>
              </w:rPr>
            </w:pPr>
          </w:p>
        </w:tc>
        <w:tc>
          <w:tcPr>
            <w:tcW w:w="2085" w:type="dxa"/>
            <w:shd w:val="clear" w:color="auto" w:fill="auto"/>
            <w:noWrap/>
            <w:vAlign w:val="bottom"/>
            <w:hideMark/>
          </w:tcPr>
          <w:p w14:paraId="08C5E880" w14:textId="77777777" w:rsidR="007E48B3" w:rsidRPr="000535E2" w:rsidRDefault="007E48B3" w:rsidP="00416373">
            <w:pPr>
              <w:bidi w:val="0"/>
              <w:rPr>
                <w:rFonts w:ascii="Times New Roman" w:hAnsi="Times New Roman" w:cs="Times New Roman"/>
                <w:sz w:val="18"/>
                <w:szCs w:val="18"/>
              </w:rPr>
            </w:pPr>
          </w:p>
        </w:tc>
        <w:tc>
          <w:tcPr>
            <w:tcW w:w="1987" w:type="dxa"/>
            <w:shd w:val="clear" w:color="auto" w:fill="auto"/>
            <w:noWrap/>
            <w:vAlign w:val="bottom"/>
            <w:hideMark/>
          </w:tcPr>
          <w:p w14:paraId="2B753238"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10.00%</w:t>
            </w:r>
          </w:p>
        </w:tc>
      </w:tr>
      <w:tr w:rsidR="007E48B3" w:rsidRPr="00672DA8" w14:paraId="7746289D" w14:textId="77777777" w:rsidTr="00416373">
        <w:trPr>
          <w:trHeight w:val="300"/>
        </w:trPr>
        <w:tc>
          <w:tcPr>
            <w:tcW w:w="622" w:type="dxa"/>
            <w:vAlign w:val="bottom"/>
          </w:tcPr>
          <w:p w14:paraId="0A979424" w14:textId="77777777" w:rsidR="007E48B3" w:rsidRPr="00672DA8" w:rsidRDefault="007E48B3" w:rsidP="00416373">
            <w:pPr>
              <w:bidi w:val="0"/>
              <w:rPr>
                <w:rFonts w:cs="Calibri"/>
                <w:color w:val="000000"/>
                <w:sz w:val="18"/>
                <w:szCs w:val="18"/>
              </w:rPr>
            </w:pPr>
            <w:r w:rsidRPr="00672DA8">
              <w:rPr>
                <w:rFonts w:cs="Calibri"/>
                <w:color w:val="000000"/>
                <w:sz w:val="18"/>
                <w:szCs w:val="18"/>
              </w:rPr>
              <w:t>2008</w:t>
            </w:r>
          </w:p>
        </w:tc>
        <w:tc>
          <w:tcPr>
            <w:tcW w:w="1191" w:type="dxa"/>
            <w:shd w:val="clear" w:color="auto" w:fill="auto"/>
            <w:noWrap/>
            <w:vAlign w:val="bottom"/>
            <w:hideMark/>
          </w:tcPr>
          <w:p w14:paraId="741AD3C9"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443BB464"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4184293C" w14:textId="77777777" w:rsidR="007E48B3" w:rsidRPr="000535E2" w:rsidRDefault="007E48B3" w:rsidP="00416373">
            <w:pPr>
              <w:bidi w:val="0"/>
              <w:rPr>
                <w:rFonts w:ascii="Times New Roman" w:hAnsi="Times New Roman" w:cs="Times New Roman"/>
                <w:sz w:val="18"/>
                <w:szCs w:val="18"/>
              </w:rPr>
            </w:pPr>
          </w:p>
        </w:tc>
        <w:tc>
          <w:tcPr>
            <w:tcW w:w="2085" w:type="dxa"/>
            <w:shd w:val="clear" w:color="auto" w:fill="auto"/>
            <w:noWrap/>
            <w:vAlign w:val="bottom"/>
            <w:hideMark/>
          </w:tcPr>
          <w:p w14:paraId="062EB286" w14:textId="77777777" w:rsidR="007E48B3" w:rsidRPr="000535E2" w:rsidRDefault="007E48B3" w:rsidP="00416373">
            <w:pPr>
              <w:bidi w:val="0"/>
              <w:rPr>
                <w:rFonts w:ascii="Times New Roman" w:hAnsi="Times New Roman" w:cs="Times New Roman"/>
                <w:sz w:val="18"/>
                <w:szCs w:val="18"/>
              </w:rPr>
            </w:pPr>
          </w:p>
        </w:tc>
        <w:tc>
          <w:tcPr>
            <w:tcW w:w="1987" w:type="dxa"/>
            <w:shd w:val="clear" w:color="auto" w:fill="auto"/>
            <w:noWrap/>
            <w:vAlign w:val="bottom"/>
            <w:hideMark/>
          </w:tcPr>
          <w:p w14:paraId="48837C58"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4.20%</w:t>
            </w:r>
          </w:p>
        </w:tc>
      </w:tr>
      <w:tr w:rsidR="007E48B3" w:rsidRPr="00672DA8" w14:paraId="32AFA6FE" w14:textId="77777777" w:rsidTr="00416373">
        <w:trPr>
          <w:trHeight w:val="300"/>
        </w:trPr>
        <w:tc>
          <w:tcPr>
            <w:tcW w:w="622" w:type="dxa"/>
            <w:vAlign w:val="bottom"/>
          </w:tcPr>
          <w:p w14:paraId="5990F769" w14:textId="77777777" w:rsidR="007E48B3" w:rsidRPr="00672DA8" w:rsidRDefault="007E48B3" w:rsidP="00416373">
            <w:pPr>
              <w:bidi w:val="0"/>
              <w:rPr>
                <w:rFonts w:cs="Calibri"/>
                <w:color w:val="000000"/>
                <w:sz w:val="18"/>
                <w:szCs w:val="18"/>
              </w:rPr>
            </w:pPr>
            <w:r w:rsidRPr="00672DA8">
              <w:rPr>
                <w:rFonts w:cs="Calibri"/>
                <w:color w:val="000000"/>
                <w:sz w:val="18"/>
                <w:szCs w:val="18"/>
              </w:rPr>
              <w:t>2009</w:t>
            </w:r>
          </w:p>
        </w:tc>
        <w:tc>
          <w:tcPr>
            <w:tcW w:w="1191" w:type="dxa"/>
            <w:shd w:val="clear" w:color="auto" w:fill="auto"/>
            <w:noWrap/>
            <w:vAlign w:val="bottom"/>
            <w:hideMark/>
          </w:tcPr>
          <w:p w14:paraId="29705209" w14:textId="77777777" w:rsidR="007E48B3" w:rsidRPr="000535E2" w:rsidRDefault="007E48B3" w:rsidP="00416373">
            <w:pPr>
              <w:bidi w:val="0"/>
              <w:rPr>
                <w:rFonts w:cs="Calibri"/>
                <w:color w:val="000000"/>
                <w:sz w:val="18"/>
                <w:szCs w:val="18"/>
              </w:rPr>
            </w:pPr>
            <w:r w:rsidRPr="000535E2">
              <w:rPr>
                <w:rFonts w:cs="Calibri"/>
                <w:color w:val="000000"/>
                <w:sz w:val="18"/>
                <w:szCs w:val="18"/>
              </w:rPr>
              <w:t> </w:t>
            </w:r>
          </w:p>
        </w:tc>
        <w:tc>
          <w:tcPr>
            <w:tcW w:w="1380" w:type="dxa"/>
            <w:shd w:val="clear" w:color="auto" w:fill="auto"/>
            <w:noWrap/>
            <w:vAlign w:val="bottom"/>
            <w:hideMark/>
          </w:tcPr>
          <w:p w14:paraId="5507E368" w14:textId="77777777" w:rsidR="007E48B3" w:rsidRPr="000535E2" w:rsidRDefault="007E48B3" w:rsidP="00416373">
            <w:pPr>
              <w:bidi w:val="0"/>
              <w:rPr>
                <w:rFonts w:cs="Calibri"/>
                <w:color w:val="000000"/>
                <w:sz w:val="18"/>
                <w:szCs w:val="18"/>
              </w:rPr>
            </w:pPr>
          </w:p>
        </w:tc>
        <w:tc>
          <w:tcPr>
            <w:tcW w:w="1616" w:type="dxa"/>
            <w:shd w:val="clear" w:color="auto" w:fill="auto"/>
            <w:noWrap/>
            <w:vAlign w:val="bottom"/>
            <w:hideMark/>
          </w:tcPr>
          <w:p w14:paraId="2AABF934" w14:textId="77777777" w:rsidR="007E48B3" w:rsidRPr="000535E2" w:rsidRDefault="007E48B3" w:rsidP="00416373">
            <w:pPr>
              <w:bidi w:val="0"/>
              <w:rPr>
                <w:rFonts w:ascii="Times New Roman" w:hAnsi="Times New Roman" w:cs="Times New Roman"/>
                <w:sz w:val="18"/>
                <w:szCs w:val="18"/>
              </w:rPr>
            </w:pPr>
          </w:p>
        </w:tc>
        <w:tc>
          <w:tcPr>
            <w:tcW w:w="2085" w:type="dxa"/>
            <w:shd w:val="clear" w:color="auto" w:fill="auto"/>
            <w:noWrap/>
            <w:vAlign w:val="bottom"/>
            <w:hideMark/>
          </w:tcPr>
          <w:p w14:paraId="2284135D"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9.80%</w:t>
            </w:r>
          </w:p>
        </w:tc>
        <w:tc>
          <w:tcPr>
            <w:tcW w:w="1987" w:type="dxa"/>
            <w:shd w:val="clear" w:color="auto" w:fill="auto"/>
            <w:noWrap/>
            <w:vAlign w:val="bottom"/>
            <w:hideMark/>
          </w:tcPr>
          <w:p w14:paraId="3FE79799"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7.70%</w:t>
            </w:r>
          </w:p>
        </w:tc>
      </w:tr>
      <w:tr w:rsidR="007E48B3" w:rsidRPr="00672DA8" w14:paraId="1A340894" w14:textId="77777777" w:rsidTr="00416373">
        <w:trPr>
          <w:trHeight w:val="315"/>
        </w:trPr>
        <w:tc>
          <w:tcPr>
            <w:tcW w:w="622" w:type="dxa"/>
            <w:shd w:val="clear" w:color="auto" w:fill="auto"/>
            <w:vAlign w:val="bottom"/>
          </w:tcPr>
          <w:p w14:paraId="17A63305" w14:textId="77777777" w:rsidR="007E48B3" w:rsidRPr="00672DA8" w:rsidRDefault="007E48B3" w:rsidP="00416373">
            <w:pPr>
              <w:bidi w:val="0"/>
              <w:jc w:val="right"/>
              <w:rPr>
                <w:rFonts w:cs="Calibri"/>
                <w:color w:val="000000"/>
                <w:sz w:val="18"/>
                <w:szCs w:val="18"/>
              </w:rPr>
            </w:pPr>
            <w:r w:rsidRPr="00672DA8">
              <w:rPr>
                <w:rFonts w:cs="Calibri"/>
                <w:color w:val="000000"/>
                <w:sz w:val="18"/>
                <w:szCs w:val="18"/>
              </w:rPr>
              <w:t>2010</w:t>
            </w:r>
          </w:p>
        </w:tc>
        <w:tc>
          <w:tcPr>
            <w:tcW w:w="1191" w:type="dxa"/>
            <w:shd w:val="clear" w:color="auto" w:fill="DEEAF6" w:themeFill="accent5" w:themeFillTint="33"/>
            <w:noWrap/>
            <w:vAlign w:val="bottom"/>
            <w:hideMark/>
          </w:tcPr>
          <w:p w14:paraId="5E000B00"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54%</w:t>
            </w:r>
          </w:p>
        </w:tc>
        <w:tc>
          <w:tcPr>
            <w:tcW w:w="1380" w:type="dxa"/>
            <w:shd w:val="clear" w:color="auto" w:fill="DEEAF6" w:themeFill="accent5" w:themeFillTint="33"/>
            <w:noWrap/>
            <w:vAlign w:val="bottom"/>
            <w:hideMark/>
          </w:tcPr>
          <w:p w14:paraId="42B2E414"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46.71%</w:t>
            </w:r>
          </w:p>
        </w:tc>
        <w:tc>
          <w:tcPr>
            <w:tcW w:w="1616" w:type="dxa"/>
            <w:shd w:val="clear" w:color="auto" w:fill="DEEAF6" w:themeFill="accent5" w:themeFillTint="33"/>
            <w:noWrap/>
            <w:vAlign w:val="bottom"/>
            <w:hideMark/>
          </w:tcPr>
          <w:p w14:paraId="63E4AE60"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2.75%</w:t>
            </w:r>
          </w:p>
        </w:tc>
        <w:tc>
          <w:tcPr>
            <w:tcW w:w="2085" w:type="dxa"/>
            <w:shd w:val="clear" w:color="auto" w:fill="auto"/>
            <w:noWrap/>
            <w:vAlign w:val="bottom"/>
            <w:hideMark/>
          </w:tcPr>
          <w:p w14:paraId="57029448"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15.80%</w:t>
            </w:r>
          </w:p>
        </w:tc>
        <w:tc>
          <w:tcPr>
            <w:tcW w:w="1987" w:type="dxa"/>
            <w:shd w:val="clear" w:color="auto" w:fill="auto"/>
            <w:noWrap/>
            <w:vAlign w:val="bottom"/>
            <w:hideMark/>
          </w:tcPr>
          <w:p w14:paraId="18FF6E38"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6.00%</w:t>
            </w:r>
          </w:p>
        </w:tc>
      </w:tr>
      <w:tr w:rsidR="007E48B3" w:rsidRPr="00672DA8" w14:paraId="152FD505" w14:textId="77777777" w:rsidTr="00416373">
        <w:trPr>
          <w:trHeight w:val="300"/>
        </w:trPr>
        <w:tc>
          <w:tcPr>
            <w:tcW w:w="622" w:type="dxa"/>
            <w:vAlign w:val="bottom"/>
          </w:tcPr>
          <w:p w14:paraId="5939CC03" w14:textId="77777777" w:rsidR="007E48B3" w:rsidRPr="00672DA8" w:rsidRDefault="007E48B3" w:rsidP="00416373">
            <w:pPr>
              <w:bidi w:val="0"/>
              <w:jc w:val="right"/>
              <w:rPr>
                <w:rFonts w:cs="Calibri"/>
                <w:color w:val="000000"/>
                <w:sz w:val="18"/>
                <w:szCs w:val="18"/>
              </w:rPr>
            </w:pPr>
            <w:r w:rsidRPr="00672DA8">
              <w:rPr>
                <w:rFonts w:cs="Calibri"/>
                <w:color w:val="000000"/>
                <w:sz w:val="18"/>
                <w:szCs w:val="18"/>
              </w:rPr>
              <w:t>2011</w:t>
            </w:r>
          </w:p>
        </w:tc>
        <w:tc>
          <w:tcPr>
            <w:tcW w:w="1191" w:type="dxa"/>
            <w:shd w:val="clear" w:color="auto" w:fill="auto"/>
            <w:noWrap/>
            <w:vAlign w:val="bottom"/>
            <w:hideMark/>
          </w:tcPr>
          <w:p w14:paraId="19547C6A"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54%</w:t>
            </w:r>
          </w:p>
        </w:tc>
        <w:tc>
          <w:tcPr>
            <w:tcW w:w="1380" w:type="dxa"/>
            <w:shd w:val="clear" w:color="auto" w:fill="auto"/>
            <w:noWrap/>
            <w:vAlign w:val="bottom"/>
            <w:hideMark/>
          </w:tcPr>
          <w:p w14:paraId="5935A282"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47%</w:t>
            </w:r>
          </w:p>
        </w:tc>
        <w:tc>
          <w:tcPr>
            <w:tcW w:w="1616" w:type="dxa"/>
            <w:shd w:val="clear" w:color="auto" w:fill="auto"/>
            <w:noWrap/>
            <w:vAlign w:val="bottom"/>
            <w:hideMark/>
          </w:tcPr>
          <w:p w14:paraId="79A8314F"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2.75%</w:t>
            </w:r>
          </w:p>
        </w:tc>
        <w:tc>
          <w:tcPr>
            <w:tcW w:w="2085" w:type="dxa"/>
            <w:shd w:val="clear" w:color="auto" w:fill="DEEAF6" w:themeFill="accent5" w:themeFillTint="33"/>
            <w:noWrap/>
            <w:vAlign w:val="bottom"/>
            <w:hideMark/>
          </w:tcPr>
          <w:p w14:paraId="4478ACF8"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12.80%</w:t>
            </w:r>
          </w:p>
        </w:tc>
        <w:tc>
          <w:tcPr>
            <w:tcW w:w="1987" w:type="dxa"/>
            <w:shd w:val="clear" w:color="auto" w:fill="auto"/>
            <w:noWrap/>
            <w:vAlign w:val="bottom"/>
            <w:hideMark/>
          </w:tcPr>
          <w:p w14:paraId="649076F1"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5.90%</w:t>
            </w:r>
          </w:p>
        </w:tc>
      </w:tr>
      <w:tr w:rsidR="007E48B3" w:rsidRPr="00672DA8" w14:paraId="186829FF" w14:textId="77777777" w:rsidTr="00416373">
        <w:trPr>
          <w:trHeight w:val="300"/>
        </w:trPr>
        <w:tc>
          <w:tcPr>
            <w:tcW w:w="622" w:type="dxa"/>
            <w:vAlign w:val="bottom"/>
          </w:tcPr>
          <w:p w14:paraId="670BCFA5" w14:textId="77777777" w:rsidR="007E48B3" w:rsidRPr="00672DA8" w:rsidRDefault="007E48B3" w:rsidP="00416373">
            <w:pPr>
              <w:bidi w:val="0"/>
              <w:jc w:val="right"/>
              <w:rPr>
                <w:rFonts w:cs="Calibri"/>
                <w:color w:val="000000"/>
                <w:sz w:val="18"/>
                <w:szCs w:val="18"/>
              </w:rPr>
            </w:pPr>
            <w:r w:rsidRPr="00672DA8">
              <w:rPr>
                <w:rFonts w:cs="Calibri"/>
                <w:color w:val="000000"/>
                <w:sz w:val="18"/>
                <w:szCs w:val="18"/>
              </w:rPr>
              <w:t>2012</w:t>
            </w:r>
          </w:p>
        </w:tc>
        <w:tc>
          <w:tcPr>
            <w:tcW w:w="1191" w:type="dxa"/>
            <w:shd w:val="clear" w:color="auto" w:fill="auto"/>
            <w:noWrap/>
            <w:vAlign w:val="bottom"/>
            <w:hideMark/>
          </w:tcPr>
          <w:p w14:paraId="4B29DAF0"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67%</w:t>
            </w:r>
          </w:p>
        </w:tc>
        <w:tc>
          <w:tcPr>
            <w:tcW w:w="1380" w:type="dxa"/>
            <w:shd w:val="clear" w:color="auto" w:fill="auto"/>
            <w:noWrap/>
            <w:vAlign w:val="bottom"/>
            <w:hideMark/>
          </w:tcPr>
          <w:p w14:paraId="1FC0F58B"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56%</w:t>
            </w:r>
          </w:p>
        </w:tc>
        <w:tc>
          <w:tcPr>
            <w:tcW w:w="1616" w:type="dxa"/>
            <w:shd w:val="clear" w:color="auto" w:fill="auto"/>
            <w:noWrap/>
            <w:vAlign w:val="bottom"/>
            <w:hideMark/>
          </w:tcPr>
          <w:p w14:paraId="48988C7E"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2.93%</w:t>
            </w:r>
          </w:p>
        </w:tc>
        <w:tc>
          <w:tcPr>
            <w:tcW w:w="2085" w:type="dxa"/>
            <w:shd w:val="clear" w:color="auto" w:fill="auto"/>
            <w:noWrap/>
            <w:vAlign w:val="bottom"/>
            <w:hideMark/>
          </w:tcPr>
          <w:p w14:paraId="1F52A40E"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9.80%</w:t>
            </w:r>
          </w:p>
        </w:tc>
        <w:tc>
          <w:tcPr>
            <w:tcW w:w="1987" w:type="dxa"/>
            <w:shd w:val="clear" w:color="auto" w:fill="auto"/>
            <w:noWrap/>
            <w:vAlign w:val="bottom"/>
            <w:hideMark/>
          </w:tcPr>
          <w:p w14:paraId="406C5E3D"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8.40%</w:t>
            </w:r>
          </w:p>
        </w:tc>
      </w:tr>
      <w:tr w:rsidR="007E48B3" w:rsidRPr="00672DA8" w14:paraId="791E02C5" w14:textId="77777777" w:rsidTr="00416373">
        <w:trPr>
          <w:trHeight w:val="300"/>
        </w:trPr>
        <w:tc>
          <w:tcPr>
            <w:tcW w:w="622" w:type="dxa"/>
            <w:vAlign w:val="bottom"/>
          </w:tcPr>
          <w:p w14:paraId="6F1FDB53" w14:textId="77777777" w:rsidR="007E48B3" w:rsidRPr="00672DA8" w:rsidRDefault="007E48B3" w:rsidP="00416373">
            <w:pPr>
              <w:bidi w:val="0"/>
              <w:jc w:val="right"/>
              <w:rPr>
                <w:rFonts w:cs="Calibri"/>
                <w:color w:val="000000"/>
                <w:sz w:val="18"/>
                <w:szCs w:val="18"/>
              </w:rPr>
            </w:pPr>
            <w:r w:rsidRPr="00672DA8">
              <w:rPr>
                <w:rFonts w:cs="Calibri"/>
                <w:color w:val="000000"/>
                <w:sz w:val="18"/>
                <w:szCs w:val="18"/>
              </w:rPr>
              <w:t>2013</w:t>
            </w:r>
          </w:p>
        </w:tc>
        <w:tc>
          <w:tcPr>
            <w:tcW w:w="1191" w:type="dxa"/>
            <w:shd w:val="clear" w:color="auto" w:fill="auto"/>
            <w:noWrap/>
            <w:vAlign w:val="bottom"/>
            <w:hideMark/>
          </w:tcPr>
          <w:p w14:paraId="342DE821"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75%</w:t>
            </w:r>
          </w:p>
        </w:tc>
        <w:tc>
          <w:tcPr>
            <w:tcW w:w="1380" w:type="dxa"/>
            <w:shd w:val="clear" w:color="auto" w:fill="auto"/>
            <w:noWrap/>
            <w:vAlign w:val="bottom"/>
            <w:hideMark/>
          </w:tcPr>
          <w:p w14:paraId="602EFFE5"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67%</w:t>
            </w:r>
          </w:p>
        </w:tc>
        <w:tc>
          <w:tcPr>
            <w:tcW w:w="1616" w:type="dxa"/>
            <w:shd w:val="clear" w:color="auto" w:fill="auto"/>
            <w:noWrap/>
            <w:vAlign w:val="bottom"/>
            <w:hideMark/>
          </w:tcPr>
          <w:p w14:paraId="061BE018"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2.64%</w:t>
            </w:r>
          </w:p>
        </w:tc>
        <w:tc>
          <w:tcPr>
            <w:tcW w:w="2085" w:type="dxa"/>
            <w:shd w:val="clear" w:color="auto" w:fill="DEEAF6" w:themeFill="accent5" w:themeFillTint="33"/>
            <w:noWrap/>
            <w:vAlign w:val="bottom"/>
            <w:hideMark/>
          </w:tcPr>
          <w:p w14:paraId="76709B68"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11.10%</w:t>
            </w:r>
          </w:p>
        </w:tc>
        <w:tc>
          <w:tcPr>
            <w:tcW w:w="1987" w:type="dxa"/>
            <w:shd w:val="clear" w:color="auto" w:fill="auto"/>
            <w:noWrap/>
            <w:vAlign w:val="bottom"/>
            <w:hideMark/>
          </w:tcPr>
          <w:p w14:paraId="5906E8CE"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9.60%</w:t>
            </w:r>
          </w:p>
        </w:tc>
      </w:tr>
      <w:tr w:rsidR="007E48B3" w:rsidRPr="00672DA8" w14:paraId="5D9F0E41" w14:textId="77777777" w:rsidTr="00416373">
        <w:trPr>
          <w:trHeight w:val="300"/>
        </w:trPr>
        <w:tc>
          <w:tcPr>
            <w:tcW w:w="622" w:type="dxa"/>
            <w:vAlign w:val="bottom"/>
          </w:tcPr>
          <w:p w14:paraId="0F5D3AE7" w14:textId="77777777" w:rsidR="007E48B3" w:rsidRPr="00672DA8" w:rsidRDefault="007E48B3" w:rsidP="00416373">
            <w:pPr>
              <w:bidi w:val="0"/>
              <w:jc w:val="right"/>
              <w:rPr>
                <w:rFonts w:cs="Calibri"/>
                <w:color w:val="000000"/>
                <w:sz w:val="18"/>
                <w:szCs w:val="18"/>
              </w:rPr>
            </w:pPr>
            <w:r w:rsidRPr="00672DA8">
              <w:rPr>
                <w:rFonts w:cs="Calibri"/>
                <w:color w:val="000000"/>
                <w:sz w:val="18"/>
                <w:szCs w:val="18"/>
              </w:rPr>
              <w:t>2014</w:t>
            </w:r>
          </w:p>
        </w:tc>
        <w:tc>
          <w:tcPr>
            <w:tcW w:w="1191" w:type="dxa"/>
            <w:shd w:val="clear" w:color="auto" w:fill="auto"/>
            <w:noWrap/>
            <w:vAlign w:val="bottom"/>
            <w:hideMark/>
          </w:tcPr>
          <w:p w14:paraId="06A962CC"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77%</w:t>
            </w:r>
          </w:p>
        </w:tc>
        <w:tc>
          <w:tcPr>
            <w:tcW w:w="1380" w:type="dxa"/>
            <w:shd w:val="clear" w:color="auto" w:fill="auto"/>
            <w:noWrap/>
            <w:vAlign w:val="bottom"/>
            <w:hideMark/>
          </w:tcPr>
          <w:p w14:paraId="2B3FEC66"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80%</w:t>
            </w:r>
          </w:p>
        </w:tc>
        <w:tc>
          <w:tcPr>
            <w:tcW w:w="1616" w:type="dxa"/>
            <w:shd w:val="clear" w:color="auto" w:fill="auto"/>
            <w:noWrap/>
            <w:vAlign w:val="bottom"/>
            <w:hideMark/>
          </w:tcPr>
          <w:p w14:paraId="4E5CD90C"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2.93%</w:t>
            </w:r>
          </w:p>
        </w:tc>
        <w:tc>
          <w:tcPr>
            <w:tcW w:w="2085" w:type="dxa"/>
            <w:shd w:val="clear" w:color="auto" w:fill="auto"/>
            <w:noWrap/>
            <w:vAlign w:val="bottom"/>
            <w:hideMark/>
          </w:tcPr>
          <w:p w14:paraId="5AFF92F3"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12.40%</w:t>
            </w:r>
          </w:p>
        </w:tc>
        <w:tc>
          <w:tcPr>
            <w:tcW w:w="1987" w:type="dxa"/>
            <w:shd w:val="clear" w:color="auto" w:fill="auto"/>
            <w:noWrap/>
            <w:vAlign w:val="bottom"/>
            <w:hideMark/>
          </w:tcPr>
          <w:p w14:paraId="19B55C35"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8.90%</w:t>
            </w:r>
          </w:p>
        </w:tc>
      </w:tr>
      <w:tr w:rsidR="007E48B3" w:rsidRPr="00672DA8" w14:paraId="41A0F749" w14:textId="77777777" w:rsidTr="00416373">
        <w:trPr>
          <w:trHeight w:val="300"/>
        </w:trPr>
        <w:tc>
          <w:tcPr>
            <w:tcW w:w="622" w:type="dxa"/>
            <w:vAlign w:val="bottom"/>
          </w:tcPr>
          <w:p w14:paraId="39F2CBE0" w14:textId="77777777" w:rsidR="007E48B3" w:rsidRPr="00672DA8" w:rsidRDefault="007E48B3" w:rsidP="00416373">
            <w:pPr>
              <w:bidi w:val="0"/>
              <w:jc w:val="right"/>
              <w:rPr>
                <w:rFonts w:cs="Calibri"/>
                <w:color w:val="000000"/>
                <w:sz w:val="18"/>
                <w:szCs w:val="18"/>
              </w:rPr>
            </w:pPr>
            <w:r w:rsidRPr="00672DA8">
              <w:rPr>
                <w:rFonts w:cs="Calibri"/>
                <w:color w:val="000000"/>
                <w:sz w:val="18"/>
                <w:szCs w:val="18"/>
              </w:rPr>
              <w:t>2015</w:t>
            </w:r>
          </w:p>
        </w:tc>
        <w:tc>
          <w:tcPr>
            <w:tcW w:w="1191" w:type="dxa"/>
            <w:shd w:val="clear" w:color="auto" w:fill="auto"/>
            <w:noWrap/>
            <w:vAlign w:val="bottom"/>
            <w:hideMark/>
          </w:tcPr>
          <w:p w14:paraId="3284184F"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89%</w:t>
            </w:r>
          </w:p>
        </w:tc>
        <w:tc>
          <w:tcPr>
            <w:tcW w:w="1380" w:type="dxa"/>
            <w:shd w:val="clear" w:color="auto" w:fill="auto"/>
            <w:noWrap/>
            <w:vAlign w:val="bottom"/>
            <w:hideMark/>
          </w:tcPr>
          <w:p w14:paraId="10A55090"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104%</w:t>
            </w:r>
          </w:p>
        </w:tc>
        <w:tc>
          <w:tcPr>
            <w:tcW w:w="1616" w:type="dxa"/>
            <w:shd w:val="clear" w:color="auto" w:fill="auto"/>
            <w:noWrap/>
            <w:vAlign w:val="bottom"/>
            <w:hideMark/>
          </w:tcPr>
          <w:p w14:paraId="31107131"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2.53%</w:t>
            </w:r>
          </w:p>
        </w:tc>
        <w:tc>
          <w:tcPr>
            <w:tcW w:w="2085" w:type="dxa"/>
            <w:shd w:val="clear" w:color="auto" w:fill="DEEAF6" w:themeFill="accent5" w:themeFillTint="33"/>
            <w:noWrap/>
            <w:vAlign w:val="bottom"/>
            <w:hideMark/>
          </w:tcPr>
          <w:p w14:paraId="5ED32636"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19.65%</w:t>
            </w:r>
          </w:p>
        </w:tc>
        <w:tc>
          <w:tcPr>
            <w:tcW w:w="1987" w:type="dxa"/>
            <w:shd w:val="clear" w:color="auto" w:fill="auto"/>
            <w:noWrap/>
            <w:vAlign w:val="bottom"/>
            <w:hideMark/>
          </w:tcPr>
          <w:p w14:paraId="656DD569"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2.90%</w:t>
            </w:r>
          </w:p>
        </w:tc>
      </w:tr>
      <w:tr w:rsidR="007E48B3" w:rsidRPr="00672DA8" w14:paraId="6E9AE7C5" w14:textId="77777777" w:rsidTr="00416373">
        <w:trPr>
          <w:trHeight w:val="300"/>
        </w:trPr>
        <w:tc>
          <w:tcPr>
            <w:tcW w:w="622" w:type="dxa"/>
            <w:vAlign w:val="bottom"/>
          </w:tcPr>
          <w:p w14:paraId="573B72B3" w14:textId="77777777" w:rsidR="007E48B3" w:rsidRPr="00672DA8" w:rsidRDefault="007E48B3" w:rsidP="00416373">
            <w:pPr>
              <w:bidi w:val="0"/>
              <w:jc w:val="right"/>
              <w:rPr>
                <w:rFonts w:cs="Calibri"/>
                <w:color w:val="000000"/>
                <w:sz w:val="18"/>
                <w:szCs w:val="18"/>
              </w:rPr>
            </w:pPr>
            <w:r w:rsidRPr="00672DA8">
              <w:rPr>
                <w:rFonts w:cs="Calibri"/>
                <w:color w:val="000000"/>
                <w:sz w:val="18"/>
                <w:szCs w:val="18"/>
              </w:rPr>
              <w:t>2016</w:t>
            </w:r>
          </w:p>
        </w:tc>
        <w:tc>
          <w:tcPr>
            <w:tcW w:w="1191" w:type="dxa"/>
            <w:shd w:val="clear" w:color="auto" w:fill="auto"/>
            <w:noWrap/>
            <w:vAlign w:val="bottom"/>
            <w:hideMark/>
          </w:tcPr>
          <w:p w14:paraId="1EAC2C4C"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101%</w:t>
            </w:r>
          </w:p>
        </w:tc>
        <w:tc>
          <w:tcPr>
            <w:tcW w:w="1380" w:type="dxa"/>
            <w:shd w:val="clear" w:color="auto" w:fill="auto"/>
            <w:noWrap/>
            <w:vAlign w:val="bottom"/>
            <w:hideMark/>
          </w:tcPr>
          <w:p w14:paraId="4E2C2F55"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118%</w:t>
            </w:r>
          </w:p>
        </w:tc>
        <w:tc>
          <w:tcPr>
            <w:tcW w:w="1616" w:type="dxa"/>
            <w:shd w:val="clear" w:color="auto" w:fill="auto"/>
            <w:noWrap/>
            <w:vAlign w:val="bottom"/>
            <w:hideMark/>
          </w:tcPr>
          <w:p w14:paraId="1020B3E9"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2.46%</w:t>
            </w:r>
          </w:p>
        </w:tc>
        <w:tc>
          <w:tcPr>
            <w:tcW w:w="2085" w:type="dxa"/>
            <w:shd w:val="clear" w:color="auto" w:fill="auto"/>
            <w:noWrap/>
            <w:vAlign w:val="bottom"/>
            <w:hideMark/>
          </w:tcPr>
          <w:p w14:paraId="51A2B7ED"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26.90%</w:t>
            </w:r>
          </w:p>
        </w:tc>
        <w:tc>
          <w:tcPr>
            <w:tcW w:w="1987" w:type="dxa"/>
            <w:shd w:val="clear" w:color="auto" w:fill="auto"/>
            <w:noWrap/>
            <w:vAlign w:val="bottom"/>
            <w:hideMark/>
          </w:tcPr>
          <w:p w14:paraId="6A76E778"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11.50%</w:t>
            </w:r>
          </w:p>
        </w:tc>
      </w:tr>
      <w:tr w:rsidR="007E48B3" w:rsidRPr="00672DA8" w14:paraId="525684F0" w14:textId="77777777" w:rsidTr="00416373">
        <w:trPr>
          <w:trHeight w:val="300"/>
        </w:trPr>
        <w:tc>
          <w:tcPr>
            <w:tcW w:w="622" w:type="dxa"/>
            <w:vAlign w:val="bottom"/>
          </w:tcPr>
          <w:p w14:paraId="47BA501A" w14:textId="77777777" w:rsidR="007E48B3" w:rsidRPr="00672DA8" w:rsidRDefault="007E48B3" w:rsidP="00416373">
            <w:pPr>
              <w:bidi w:val="0"/>
              <w:jc w:val="right"/>
              <w:rPr>
                <w:rFonts w:cs="Calibri"/>
                <w:color w:val="000000"/>
                <w:sz w:val="18"/>
                <w:szCs w:val="18"/>
              </w:rPr>
            </w:pPr>
            <w:r w:rsidRPr="00672DA8">
              <w:rPr>
                <w:rFonts w:cs="Calibri"/>
                <w:color w:val="000000"/>
                <w:sz w:val="18"/>
                <w:szCs w:val="18"/>
              </w:rPr>
              <w:t>2017</w:t>
            </w:r>
          </w:p>
        </w:tc>
        <w:tc>
          <w:tcPr>
            <w:tcW w:w="1191" w:type="dxa"/>
            <w:shd w:val="clear" w:color="auto" w:fill="auto"/>
            <w:noWrap/>
            <w:vAlign w:val="bottom"/>
            <w:hideMark/>
          </w:tcPr>
          <w:p w14:paraId="519FBFB3"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102%</w:t>
            </w:r>
          </w:p>
        </w:tc>
        <w:tc>
          <w:tcPr>
            <w:tcW w:w="1380" w:type="dxa"/>
            <w:shd w:val="clear" w:color="auto" w:fill="auto"/>
            <w:noWrap/>
            <w:vAlign w:val="bottom"/>
            <w:hideMark/>
          </w:tcPr>
          <w:p w14:paraId="788A1017"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134%</w:t>
            </w:r>
          </w:p>
        </w:tc>
        <w:tc>
          <w:tcPr>
            <w:tcW w:w="1616" w:type="dxa"/>
            <w:shd w:val="clear" w:color="auto" w:fill="auto"/>
            <w:noWrap/>
            <w:vAlign w:val="bottom"/>
            <w:hideMark/>
          </w:tcPr>
          <w:p w14:paraId="639828EE"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2.49%</w:t>
            </w:r>
          </w:p>
        </w:tc>
        <w:tc>
          <w:tcPr>
            <w:tcW w:w="2085" w:type="dxa"/>
            <w:shd w:val="clear" w:color="auto" w:fill="DEEAF6" w:themeFill="accent5" w:themeFillTint="33"/>
            <w:noWrap/>
            <w:vAlign w:val="bottom"/>
            <w:hideMark/>
          </w:tcPr>
          <w:p w14:paraId="5F6725ED"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24.10%</w:t>
            </w:r>
          </w:p>
        </w:tc>
        <w:tc>
          <w:tcPr>
            <w:tcW w:w="1987" w:type="dxa"/>
            <w:shd w:val="clear" w:color="auto" w:fill="auto"/>
            <w:noWrap/>
            <w:vAlign w:val="bottom"/>
            <w:hideMark/>
          </w:tcPr>
          <w:p w14:paraId="1326CB6B"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8.80%</w:t>
            </w:r>
          </w:p>
        </w:tc>
      </w:tr>
      <w:tr w:rsidR="007E48B3" w:rsidRPr="00672DA8" w14:paraId="2EB5A2C2" w14:textId="77777777" w:rsidTr="00416373">
        <w:trPr>
          <w:trHeight w:val="300"/>
        </w:trPr>
        <w:tc>
          <w:tcPr>
            <w:tcW w:w="622" w:type="dxa"/>
            <w:vAlign w:val="bottom"/>
          </w:tcPr>
          <w:p w14:paraId="5C36C673" w14:textId="77777777" w:rsidR="007E48B3" w:rsidRPr="00672DA8" w:rsidRDefault="007E48B3" w:rsidP="00416373">
            <w:pPr>
              <w:bidi w:val="0"/>
              <w:jc w:val="right"/>
              <w:rPr>
                <w:rFonts w:cs="Calibri"/>
                <w:color w:val="000000"/>
                <w:sz w:val="18"/>
                <w:szCs w:val="18"/>
              </w:rPr>
            </w:pPr>
            <w:r w:rsidRPr="00672DA8">
              <w:rPr>
                <w:rFonts w:cs="Calibri"/>
                <w:color w:val="000000"/>
                <w:sz w:val="18"/>
                <w:szCs w:val="18"/>
              </w:rPr>
              <w:t>2018</w:t>
            </w:r>
          </w:p>
        </w:tc>
        <w:tc>
          <w:tcPr>
            <w:tcW w:w="1191" w:type="dxa"/>
            <w:shd w:val="clear" w:color="auto" w:fill="auto"/>
            <w:noWrap/>
            <w:vAlign w:val="bottom"/>
            <w:hideMark/>
          </w:tcPr>
          <w:p w14:paraId="3C680CC2"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99%</w:t>
            </w:r>
          </w:p>
        </w:tc>
        <w:tc>
          <w:tcPr>
            <w:tcW w:w="1380" w:type="dxa"/>
            <w:shd w:val="clear" w:color="auto" w:fill="auto"/>
            <w:noWrap/>
            <w:vAlign w:val="bottom"/>
            <w:hideMark/>
          </w:tcPr>
          <w:p w14:paraId="7EBE464A"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149%</w:t>
            </w:r>
          </w:p>
        </w:tc>
        <w:tc>
          <w:tcPr>
            <w:tcW w:w="1616" w:type="dxa"/>
            <w:shd w:val="clear" w:color="auto" w:fill="auto"/>
            <w:noWrap/>
            <w:vAlign w:val="bottom"/>
            <w:hideMark/>
          </w:tcPr>
          <w:p w14:paraId="649B8096"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2.62%</w:t>
            </w:r>
          </w:p>
        </w:tc>
        <w:tc>
          <w:tcPr>
            <w:tcW w:w="2085" w:type="dxa"/>
            <w:shd w:val="clear" w:color="auto" w:fill="auto"/>
            <w:noWrap/>
            <w:vAlign w:val="bottom"/>
            <w:hideMark/>
          </w:tcPr>
          <w:p w14:paraId="3CA0F680"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21.30%</w:t>
            </w:r>
          </w:p>
        </w:tc>
        <w:tc>
          <w:tcPr>
            <w:tcW w:w="1987" w:type="dxa"/>
            <w:shd w:val="clear" w:color="auto" w:fill="auto"/>
            <w:noWrap/>
            <w:vAlign w:val="bottom"/>
            <w:hideMark/>
          </w:tcPr>
          <w:p w14:paraId="061D5795"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7.60%</w:t>
            </w:r>
          </w:p>
        </w:tc>
      </w:tr>
      <w:tr w:rsidR="007E48B3" w:rsidRPr="00672DA8" w14:paraId="60EA1CDB" w14:textId="77777777" w:rsidTr="00416373">
        <w:trPr>
          <w:trHeight w:val="315"/>
        </w:trPr>
        <w:tc>
          <w:tcPr>
            <w:tcW w:w="622" w:type="dxa"/>
            <w:vAlign w:val="bottom"/>
          </w:tcPr>
          <w:p w14:paraId="0931A5BA" w14:textId="77777777" w:rsidR="007E48B3" w:rsidRPr="00672DA8" w:rsidRDefault="007E48B3" w:rsidP="00416373">
            <w:pPr>
              <w:bidi w:val="0"/>
              <w:jc w:val="right"/>
              <w:rPr>
                <w:rFonts w:cs="Calibri"/>
                <w:color w:val="000000"/>
                <w:sz w:val="18"/>
                <w:szCs w:val="18"/>
              </w:rPr>
            </w:pPr>
            <w:r w:rsidRPr="00672DA8">
              <w:rPr>
                <w:rFonts w:cs="Calibri"/>
                <w:color w:val="000000"/>
                <w:sz w:val="18"/>
                <w:szCs w:val="18"/>
              </w:rPr>
              <w:t>2019</w:t>
            </w:r>
          </w:p>
        </w:tc>
        <w:tc>
          <w:tcPr>
            <w:tcW w:w="1191" w:type="dxa"/>
            <w:shd w:val="clear" w:color="auto" w:fill="auto"/>
            <w:noWrap/>
            <w:vAlign w:val="bottom"/>
            <w:hideMark/>
          </w:tcPr>
          <w:p w14:paraId="50AF7B5B"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94%</w:t>
            </w:r>
          </w:p>
        </w:tc>
        <w:tc>
          <w:tcPr>
            <w:tcW w:w="1380" w:type="dxa"/>
            <w:shd w:val="clear" w:color="auto" w:fill="auto"/>
            <w:noWrap/>
            <w:vAlign w:val="bottom"/>
            <w:hideMark/>
          </w:tcPr>
          <w:p w14:paraId="771C2108"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157%</w:t>
            </w:r>
          </w:p>
        </w:tc>
        <w:tc>
          <w:tcPr>
            <w:tcW w:w="1616" w:type="dxa"/>
            <w:shd w:val="clear" w:color="auto" w:fill="auto"/>
            <w:noWrap/>
            <w:vAlign w:val="bottom"/>
            <w:hideMark/>
          </w:tcPr>
          <w:p w14:paraId="0D2C1AFB"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2.53%</w:t>
            </w:r>
          </w:p>
        </w:tc>
        <w:tc>
          <w:tcPr>
            <w:tcW w:w="2085" w:type="dxa"/>
            <w:shd w:val="clear" w:color="auto" w:fill="DEEAF6" w:themeFill="accent5" w:themeFillTint="33"/>
            <w:noWrap/>
            <w:vAlign w:val="bottom"/>
            <w:hideMark/>
          </w:tcPr>
          <w:p w14:paraId="7013D863"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21.30%</w:t>
            </w:r>
          </w:p>
        </w:tc>
        <w:tc>
          <w:tcPr>
            <w:tcW w:w="1987" w:type="dxa"/>
            <w:shd w:val="clear" w:color="auto" w:fill="auto"/>
            <w:noWrap/>
            <w:vAlign w:val="bottom"/>
            <w:hideMark/>
          </w:tcPr>
          <w:p w14:paraId="44613990" w14:textId="77777777" w:rsidR="007E48B3" w:rsidRPr="000535E2" w:rsidRDefault="007E48B3" w:rsidP="00416373">
            <w:pPr>
              <w:bidi w:val="0"/>
              <w:jc w:val="right"/>
              <w:rPr>
                <w:rFonts w:cs="Calibri"/>
                <w:color w:val="000000"/>
                <w:sz w:val="18"/>
                <w:szCs w:val="18"/>
              </w:rPr>
            </w:pPr>
            <w:r w:rsidRPr="000535E2">
              <w:rPr>
                <w:rFonts w:cs="Calibri"/>
                <w:color w:val="000000"/>
                <w:sz w:val="18"/>
                <w:szCs w:val="18"/>
              </w:rPr>
              <w:t>6.50%</w:t>
            </w:r>
          </w:p>
        </w:tc>
      </w:tr>
    </w:tbl>
    <w:p w14:paraId="1061EBB5" w14:textId="77777777" w:rsidR="007E48B3" w:rsidRDefault="007E48B3" w:rsidP="007E48B3">
      <w:pPr>
        <w:autoSpaceDE w:val="0"/>
        <w:autoSpaceDN w:val="0"/>
        <w:bidi w:val="0"/>
        <w:adjustRightInd w:val="0"/>
        <w:spacing w:after="240" w:line="360" w:lineRule="auto"/>
        <w:ind w:left="131" w:firstLine="720"/>
        <w:rPr>
          <w:rFonts w:asciiTheme="majorBidi" w:hAnsiTheme="majorBidi" w:cstheme="majorBidi"/>
          <w:sz w:val="24"/>
          <w:szCs w:val="24"/>
          <w:u w:val="single"/>
        </w:rPr>
      </w:pPr>
    </w:p>
    <w:p w14:paraId="179C32AF" w14:textId="77777777" w:rsidR="007E48B3" w:rsidRDefault="007E48B3" w:rsidP="007E48B3">
      <w:pPr>
        <w:autoSpaceDE w:val="0"/>
        <w:autoSpaceDN w:val="0"/>
        <w:bidi w:val="0"/>
        <w:adjustRightInd w:val="0"/>
        <w:spacing w:after="240" w:line="360" w:lineRule="auto"/>
        <w:ind w:left="131" w:firstLine="720"/>
        <w:rPr>
          <w:rFonts w:asciiTheme="majorBidi" w:hAnsiTheme="majorBidi" w:cstheme="majorBidi"/>
          <w:sz w:val="24"/>
          <w:szCs w:val="24"/>
          <w:u w:val="single"/>
        </w:rPr>
      </w:pPr>
    </w:p>
    <w:p w14:paraId="5E511254" w14:textId="77777777" w:rsidR="007E48B3" w:rsidRDefault="007E48B3" w:rsidP="007E48B3">
      <w:pPr>
        <w:autoSpaceDE w:val="0"/>
        <w:autoSpaceDN w:val="0"/>
        <w:bidi w:val="0"/>
        <w:adjustRightInd w:val="0"/>
        <w:spacing w:after="240" w:line="360" w:lineRule="auto"/>
        <w:ind w:left="131" w:firstLine="720"/>
        <w:rPr>
          <w:rFonts w:asciiTheme="majorBidi" w:hAnsiTheme="majorBidi" w:cstheme="majorBidi"/>
          <w:sz w:val="24"/>
          <w:szCs w:val="24"/>
          <w:u w:val="single"/>
        </w:rPr>
      </w:pPr>
    </w:p>
    <w:p w14:paraId="6739078A" w14:textId="77777777" w:rsidR="007E48B3" w:rsidRDefault="007E48B3" w:rsidP="007E48B3">
      <w:pPr>
        <w:autoSpaceDE w:val="0"/>
        <w:autoSpaceDN w:val="0"/>
        <w:bidi w:val="0"/>
        <w:adjustRightInd w:val="0"/>
        <w:spacing w:after="240" w:line="360" w:lineRule="auto"/>
        <w:ind w:left="131" w:firstLine="720"/>
        <w:rPr>
          <w:rFonts w:asciiTheme="majorBidi" w:hAnsiTheme="majorBidi" w:cstheme="majorBidi"/>
          <w:sz w:val="24"/>
          <w:szCs w:val="24"/>
          <w:u w:val="single"/>
        </w:rPr>
      </w:pPr>
    </w:p>
    <w:p w14:paraId="11E32FF9" w14:textId="77777777" w:rsidR="007E48B3" w:rsidRDefault="007E48B3" w:rsidP="007E48B3">
      <w:pPr>
        <w:autoSpaceDE w:val="0"/>
        <w:autoSpaceDN w:val="0"/>
        <w:bidi w:val="0"/>
        <w:adjustRightInd w:val="0"/>
        <w:spacing w:after="240" w:line="360" w:lineRule="auto"/>
        <w:ind w:left="131" w:firstLine="720"/>
        <w:rPr>
          <w:rFonts w:asciiTheme="majorBidi" w:hAnsiTheme="majorBidi" w:cstheme="majorBidi"/>
          <w:sz w:val="24"/>
          <w:szCs w:val="24"/>
          <w:u w:val="single"/>
        </w:rPr>
      </w:pPr>
    </w:p>
    <w:p w14:paraId="53B41A14" w14:textId="77777777" w:rsidR="007E48B3" w:rsidRDefault="007E48B3" w:rsidP="007E48B3">
      <w:pPr>
        <w:autoSpaceDE w:val="0"/>
        <w:autoSpaceDN w:val="0"/>
        <w:bidi w:val="0"/>
        <w:adjustRightInd w:val="0"/>
        <w:spacing w:after="240" w:line="360" w:lineRule="auto"/>
        <w:ind w:left="131" w:firstLine="720"/>
        <w:rPr>
          <w:rFonts w:asciiTheme="majorBidi" w:hAnsiTheme="majorBidi" w:cstheme="majorBidi"/>
          <w:sz w:val="24"/>
          <w:szCs w:val="24"/>
          <w:u w:val="single"/>
        </w:rPr>
      </w:pPr>
    </w:p>
    <w:p w14:paraId="3F595B11" w14:textId="77777777" w:rsidR="007E48B3" w:rsidRDefault="007E48B3" w:rsidP="007E48B3">
      <w:pPr>
        <w:autoSpaceDE w:val="0"/>
        <w:autoSpaceDN w:val="0"/>
        <w:bidi w:val="0"/>
        <w:adjustRightInd w:val="0"/>
        <w:spacing w:after="240" w:line="360" w:lineRule="auto"/>
        <w:ind w:left="131" w:firstLine="720"/>
        <w:rPr>
          <w:rFonts w:asciiTheme="majorBidi" w:hAnsiTheme="majorBidi" w:cstheme="majorBidi"/>
          <w:sz w:val="24"/>
          <w:szCs w:val="24"/>
          <w:u w:val="single"/>
        </w:rPr>
      </w:pPr>
    </w:p>
    <w:p w14:paraId="620760EF" w14:textId="77777777" w:rsidR="007E48B3" w:rsidRPr="001664CF" w:rsidRDefault="007E48B3" w:rsidP="007E48B3">
      <w:pPr>
        <w:pStyle w:val="ListParagraph"/>
        <w:numPr>
          <w:ilvl w:val="0"/>
          <w:numId w:val="26"/>
        </w:numPr>
        <w:autoSpaceDE w:val="0"/>
        <w:autoSpaceDN w:val="0"/>
        <w:bidi w:val="0"/>
        <w:adjustRightInd w:val="0"/>
        <w:spacing w:line="360" w:lineRule="auto"/>
        <w:rPr>
          <w:rFonts w:asciiTheme="majorBidi" w:hAnsiTheme="majorBidi" w:cstheme="majorBidi"/>
          <w:b/>
          <w:bCs/>
          <w:sz w:val="24"/>
          <w:szCs w:val="24"/>
        </w:rPr>
      </w:pPr>
      <w:r w:rsidRPr="001664CF">
        <w:rPr>
          <w:rFonts w:asciiTheme="majorBidi" w:hAnsiTheme="majorBidi" w:cstheme="majorBidi"/>
          <w:b/>
          <w:bCs/>
          <w:sz w:val="24"/>
          <w:szCs w:val="24"/>
        </w:rPr>
        <w:t>Resources and infrastructure</w:t>
      </w:r>
      <w:r>
        <w:rPr>
          <w:rStyle w:val="FootnoteReference"/>
          <w:rFonts w:asciiTheme="majorBidi" w:hAnsiTheme="majorBidi" w:cstheme="majorBidi"/>
          <w:b/>
          <w:bCs/>
          <w:sz w:val="24"/>
          <w:szCs w:val="24"/>
        </w:rPr>
        <w:footnoteReference w:id="56"/>
      </w:r>
    </w:p>
    <w:p w14:paraId="501E8EC9"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99720C">
        <w:rPr>
          <w:b/>
          <w:bCs/>
        </w:rPr>
        <w:t xml:space="preserve">Mobile cellular subscriptions ratio </w:t>
      </w:r>
      <w:r>
        <w:rPr>
          <w:b/>
          <w:bCs/>
        </w:rPr>
        <w:t>–</w:t>
      </w:r>
      <w:r w:rsidRPr="0099720C">
        <w:rPr>
          <w:b/>
          <w:bCs/>
        </w:rPr>
        <w:t xml:space="preserve"> </w:t>
      </w:r>
    </w:p>
    <w:p w14:paraId="3F588651" w14:textId="548BF9E1" w:rsidR="007E48B3" w:rsidRDefault="007E48B3" w:rsidP="007E48B3">
      <w:pPr>
        <w:pStyle w:val="ListParagraph"/>
        <w:autoSpaceDE w:val="0"/>
        <w:autoSpaceDN w:val="0"/>
        <w:bidi w:val="0"/>
        <w:adjustRightInd w:val="0"/>
        <w:spacing w:after="240" w:line="480" w:lineRule="auto"/>
        <w:jc w:val="both"/>
      </w:pPr>
      <w:r w:rsidRPr="00E46EEB">
        <w:t xml:space="preserve">The indicator measures the ratio of Mobile cellular subscriptions </w:t>
      </w:r>
      <w:r w:rsidRPr="00B01CFC">
        <w:t xml:space="preserve">(per 100 people) </w:t>
      </w:r>
      <w:r w:rsidRPr="00E46EEB">
        <w:t xml:space="preserve">in WBG </w:t>
      </w:r>
      <w:r w:rsidR="004D0EDB">
        <w:t xml:space="preserve">relative </w:t>
      </w:r>
      <w:r w:rsidRPr="00E46EEB">
        <w:t>to Israel.</w:t>
      </w:r>
      <w:r>
        <w:t xml:space="preserve"> </w:t>
      </w:r>
      <w:r w:rsidRPr="00EB74C0">
        <w:t>Mobile cellular telephone subscriptions are subscriptions to a public mobile telephone service using cellular technology, which provide access to the public switched telephone network (PSTN) using cellular technology.</w:t>
      </w:r>
      <w:r>
        <w:t xml:space="preserve"> </w:t>
      </w:r>
    </w:p>
    <w:p w14:paraId="4225AE56" w14:textId="77777777" w:rsidR="007E48B3" w:rsidRPr="00EB74C0" w:rsidRDefault="007E48B3" w:rsidP="007E48B3">
      <w:pPr>
        <w:pStyle w:val="ListParagraph"/>
        <w:autoSpaceDE w:val="0"/>
        <w:autoSpaceDN w:val="0"/>
        <w:bidi w:val="0"/>
        <w:adjustRightInd w:val="0"/>
        <w:spacing w:after="240" w:line="480" w:lineRule="auto"/>
        <w:jc w:val="both"/>
      </w:pPr>
      <w:r w:rsidRPr="00EB74C0">
        <w:t>Mobile communications have a particularly important impact in rural areas. The mobility, ease of use, flexible deployment, and relatively low and declining rollout costs of wireless technologies enable them to reach rural populations with low levels of income and literacy. </w:t>
      </w:r>
      <w:r>
        <w:t xml:space="preserve"> </w:t>
      </w:r>
      <w:r w:rsidRPr="00D137C4">
        <w:t>In 2015, an agreement was signed</w:t>
      </w:r>
      <w:r>
        <w:t xml:space="preserve"> between the </w:t>
      </w:r>
      <w:r w:rsidRPr="00BE15AA">
        <w:t>Palestinian Ministry of Communications</w:t>
      </w:r>
      <w:r>
        <w:t xml:space="preserve"> and the </w:t>
      </w:r>
      <w:r w:rsidRPr="00BE15AA">
        <w:t>Ministry of Communications in Israel</w:t>
      </w:r>
      <w:r>
        <w:t xml:space="preserve"> that enables </w:t>
      </w:r>
      <w:r w:rsidRPr="00D137C4">
        <w:t xml:space="preserve">the establishment of infrastructure for a 3G cellular network for the Palestinian population in </w:t>
      </w:r>
      <w:r>
        <w:t>the WB</w:t>
      </w:r>
      <w:r w:rsidRPr="00D137C4">
        <w:t xml:space="preserve"> to help the development of the cellular field and increase the number of Palestinians employed in Palestinian telecommunications companies. </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59DC2EC8" w14:textId="77777777" w:rsidTr="00416373">
        <w:trPr>
          <w:trHeight w:val="385"/>
        </w:trPr>
        <w:tc>
          <w:tcPr>
            <w:tcW w:w="8409" w:type="dxa"/>
            <w:gridSpan w:val="2"/>
            <w:shd w:val="clear" w:color="auto" w:fill="auto"/>
            <w:noWrap/>
            <w:vAlign w:val="center"/>
          </w:tcPr>
          <w:p w14:paraId="3A9DFC13"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1D4EC839" w14:textId="77777777" w:rsidTr="00416373">
        <w:trPr>
          <w:trHeight w:val="1200"/>
        </w:trPr>
        <w:tc>
          <w:tcPr>
            <w:tcW w:w="1580" w:type="dxa"/>
            <w:shd w:val="clear" w:color="auto" w:fill="auto"/>
            <w:noWrap/>
            <w:vAlign w:val="center"/>
            <w:hideMark/>
          </w:tcPr>
          <w:p w14:paraId="6EFB8C3D" w14:textId="77777777" w:rsidR="007E48B3" w:rsidRPr="003C3F18" w:rsidRDefault="007E48B3" w:rsidP="00416373">
            <w:pPr>
              <w:bidi w:val="0"/>
              <w:rPr>
                <w:rFonts w:cs="Calibri"/>
                <w:color w:val="000000"/>
              </w:rPr>
            </w:pPr>
            <w:r>
              <w:rPr>
                <w:rFonts w:cs="Calibri"/>
                <w:color w:val="000000"/>
              </w:rPr>
              <w:t>2000-2019</w:t>
            </w:r>
          </w:p>
        </w:tc>
        <w:tc>
          <w:tcPr>
            <w:tcW w:w="6829" w:type="dxa"/>
            <w:shd w:val="clear" w:color="auto" w:fill="auto"/>
            <w:noWrap/>
            <w:vAlign w:val="center"/>
            <w:hideMark/>
          </w:tcPr>
          <w:p w14:paraId="433FFB58" w14:textId="77777777" w:rsidR="007E48B3" w:rsidRDefault="007E48B3" w:rsidP="00416373">
            <w:pPr>
              <w:bidi w:val="0"/>
              <w:rPr>
                <w:rFonts w:cs="Calibri"/>
                <w:color w:val="000000"/>
              </w:rPr>
            </w:pPr>
            <w:r w:rsidRPr="44534EDD">
              <w:rPr>
                <w:rFonts w:cs="Calibri"/>
                <w:color w:val="000000" w:themeColor="text1"/>
              </w:rPr>
              <w:t>World bank, World Development Indicators, ID: IT.CEL.SETS.P2</w:t>
            </w:r>
          </w:p>
          <w:p w14:paraId="089A2A20" w14:textId="77777777" w:rsidR="007E48B3" w:rsidRPr="003C3F18" w:rsidRDefault="00C27BF5" w:rsidP="00416373">
            <w:pPr>
              <w:bidi w:val="0"/>
              <w:rPr>
                <w:rFonts w:cs="Calibri"/>
                <w:color w:val="000000"/>
              </w:rPr>
            </w:pPr>
            <w:hyperlink r:id="rId86">
              <w:r w:rsidR="007E48B3" w:rsidRPr="44534EDD">
                <w:rPr>
                  <w:rStyle w:val="Hyperlink"/>
                  <w:rFonts w:cs="Calibri"/>
                </w:rPr>
                <w:t>https://data.worldbank.org/indicator/IT.CEL.SETS.P2?locations=IL-PS</w:t>
              </w:r>
            </w:hyperlink>
          </w:p>
        </w:tc>
      </w:tr>
    </w:tbl>
    <w:p w14:paraId="7263E7D4" w14:textId="77777777" w:rsidR="007E48B3" w:rsidRPr="0099720C" w:rsidRDefault="007E48B3" w:rsidP="007E48B3">
      <w:pPr>
        <w:pStyle w:val="ListParagraph"/>
        <w:autoSpaceDE w:val="0"/>
        <w:autoSpaceDN w:val="0"/>
        <w:bidi w:val="0"/>
        <w:adjustRightInd w:val="0"/>
        <w:spacing w:after="240" w:line="480" w:lineRule="auto"/>
        <w:ind w:left="1702"/>
        <w:rPr>
          <w:b/>
          <w:bCs/>
        </w:rPr>
      </w:pPr>
    </w:p>
    <w:p w14:paraId="7DC1A7E6" w14:textId="77777777" w:rsidR="007E48B3" w:rsidRDefault="007E48B3" w:rsidP="007E48B3">
      <w:pPr>
        <w:pStyle w:val="ListParagraph"/>
        <w:autoSpaceDE w:val="0"/>
        <w:autoSpaceDN w:val="0"/>
        <w:bidi w:val="0"/>
        <w:adjustRightInd w:val="0"/>
        <w:spacing w:after="240" w:line="480" w:lineRule="auto"/>
        <w:ind w:left="1702"/>
        <w:rPr>
          <w:b/>
          <w:bCs/>
        </w:rPr>
      </w:pPr>
    </w:p>
    <w:p w14:paraId="09531460" w14:textId="77777777" w:rsidR="007E48B3" w:rsidRDefault="007E48B3" w:rsidP="007E48B3">
      <w:pPr>
        <w:pStyle w:val="ListParagraph"/>
        <w:autoSpaceDE w:val="0"/>
        <w:autoSpaceDN w:val="0"/>
        <w:bidi w:val="0"/>
        <w:adjustRightInd w:val="0"/>
        <w:spacing w:after="240" w:line="480" w:lineRule="auto"/>
        <w:ind w:left="1702"/>
        <w:rPr>
          <w:b/>
          <w:bCs/>
        </w:rPr>
      </w:pPr>
    </w:p>
    <w:p w14:paraId="5341570E" w14:textId="77777777" w:rsidR="007E48B3" w:rsidRPr="0099720C" w:rsidRDefault="007E48B3" w:rsidP="007E48B3">
      <w:pPr>
        <w:pStyle w:val="ListParagraph"/>
        <w:autoSpaceDE w:val="0"/>
        <w:autoSpaceDN w:val="0"/>
        <w:bidi w:val="0"/>
        <w:adjustRightInd w:val="0"/>
        <w:spacing w:after="240" w:line="480" w:lineRule="auto"/>
        <w:ind w:left="1702"/>
        <w:rPr>
          <w:b/>
          <w:bCs/>
        </w:rPr>
      </w:pPr>
    </w:p>
    <w:p w14:paraId="0CB58610" w14:textId="77777777" w:rsidR="007E48B3" w:rsidRDefault="007E48B3" w:rsidP="007E48B3">
      <w:pPr>
        <w:pStyle w:val="ListParagraph"/>
        <w:numPr>
          <w:ilvl w:val="0"/>
          <w:numId w:val="20"/>
        </w:numPr>
        <w:autoSpaceDE w:val="0"/>
        <w:autoSpaceDN w:val="0"/>
        <w:bidi w:val="0"/>
        <w:adjustRightInd w:val="0"/>
        <w:spacing w:line="480" w:lineRule="auto"/>
        <w:ind w:left="720"/>
        <w:rPr>
          <w:b/>
          <w:bCs/>
        </w:rPr>
      </w:pPr>
      <w:r w:rsidRPr="0099720C">
        <w:rPr>
          <w:b/>
          <w:bCs/>
        </w:rPr>
        <w:t xml:space="preserve">Individuals using the Internet ratio </w:t>
      </w:r>
      <w:r>
        <w:rPr>
          <w:b/>
          <w:bCs/>
        </w:rPr>
        <w:t>–</w:t>
      </w:r>
      <w:r w:rsidRPr="0099720C">
        <w:rPr>
          <w:b/>
          <w:bCs/>
        </w:rPr>
        <w:t xml:space="preserve"> </w:t>
      </w:r>
    </w:p>
    <w:p w14:paraId="2AE4BC5A" w14:textId="77777777" w:rsidR="007E48B3" w:rsidRPr="00320C7C" w:rsidRDefault="007E48B3" w:rsidP="007E48B3">
      <w:pPr>
        <w:pStyle w:val="ListParagraph"/>
        <w:autoSpaceDE w:val="0"/>
        <w:autoSpaceDN w:val="0"/>
        <w:bidi w:val="0"/>
        <w:adjustRightInd w:val="0"/>
        <w:spacing w:after="240" w:line="480" w:lineRule="auto"/>
        <w:jc w:val="both"/>
      </w:pPr>
      <w:r w:rsidRPr="00E46EEB">
        <w:t xml:space="preserve">The indicator measures the ratio </w:t>
      </w:r>
      <w:r w:rsidRPr="00B01CFC">
        <w:t>of Individuals using the Internet (% of population)</w:t>
      </w:r>
      <w:r w:rsidRPr="0099720C">
        <w:rPr>
          <w:b/>
          <w:bCs/>
        </w:rPr>
        <w:t xml:space="preserve"> </w:t>
      </w:r>
      <w:r w:rsidRPr="00E46EEB">
        <w:t xml:space="preserve">in </w:t>
      </w:r>
      <w:r>
        <w:t xml:space="preserve">the </w:t>
      </w:r>
      <w:r w:rsidRPr="00E46EEB">
        <w:t>WBG to Israel.</w:t>
      </w:r>
      <w:r>
        <w:t xml:space="preserve"> </w:t>
      </w:r>
      <w:r w:rsidRPr="00320C7C">
        <w:t>Internet users are individuals who have used the Internet (from any location) in the last 3 months. The Internet can be used via a computer, mobile phone, personal digital assistant, games machine, digital TV etc.</w:t>
      </w:r>
      <w:r>
        <w:t xml:space="preserve"> </w:t>
      </w:r>
      <w:r w:rsidRPr="00A64CD1">
        <w:t>New information and communications technologies (ICT) offer vast opportunities for progress in all walks of life in all countries - opportunities for economic growth, improved health, better service delivery, learning through distance education, and social and cultural advances.</w:t>
      </w:r>
      <w:r>
        <w:t xml:space="preserve"> </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28A443F1" w14:textId="77777777" w:rsidTr="00416373">
        <w:trPr>
          <w:trHeight w:val="385"/>
        </w:trPr>
        <w:tc>
          <w:tcPr>
            <w:tcW w:w="8409" w:type="dxa"/>
            <w:gridSpan w:val="2"/>
            <w:shd w:val="clear" w:color="auto" w:fill="auto"/>
            <w:noWrap/>
            <w:vAlign w:val="center"/>
          </w:tcPr>
          <w:p w14:paraId="241A8670"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0DB307ED" w14:textId="77777777" w:rsidTr="00416373">
        <w:trPr>
          <w:trHeight w:val="1200"/>
        </w:trPr>
        <w:tc>
          <w:tcPr>
            <w:tcW w:w="1580" w:type="dxa"/>
            <w:shd w:val="clear" w:color="auto" w:fill="auto"/>
            <w:noWrap/>
            <w:vAlign w:val="center"/>
            <w:hideMark/>
          </w:tcPr>
          <w:p w14:paraId="40CF3271" w14:textId="77777777" w:rsidR="007E48B3" w:rsidRPr="003C3F18" w:rsidRDefault="007E48B3" w:rsidP="00416373">
            <w:pPr>
              <w:bidi w:val="0"/>
              <w:rPr>
                <w:rFonts w:cs="Calibri"/>
                <w:color w:val="000000"/>
              </w:rPr>
            </w:pPr>
            <w:r>
              <w:rPr>
                <w:rFonts w:cs="Calibri"/>
                <w:color w:val="000000"/>
              </w:rPr>
              <w:t>2000-2019</w:t>
            </w:r>
          </w:p>
        </w:tc>
        <w:tc>
          <w:tcPr>
            <w:tcW w:w="6829" w:type="dxa"/>
            <w:shd w:val="clear" w:color="auto" w:fill="auto"/>
            <w:noWrap/>
            <w:vAlign w:val="center"/>
            <w:hideMark/>
          </w:tcPr>
          <w:p w14:paraId="67CEF43D" w14:textId="77777777" w:rsidR="007E48B3" w:rsidRDefault="007E48B3" w:rsidP="00416373">
            <w:pPr>
              <w:bidi w:val="0"/>
              <w:rPr>
                <w:rFonts w:cs="Calibri"/>
                <w:color w:val="000000"/>
              </w:rPr>
            </w:pPr>
            <w:r w:rsidRPr="44534EDD">
              <w:rPr>
                <w:rFonts w:cs="Calibri"/>
                <w:color w:val="000000" w:themeColor="text1"/>
              </w:rPr>
              <w:t>World bank, World Development Indicators</w:t>
            </w:r>
            <w:r>
              <w:rPr>
                <w:rFonts w:cs="Calibri"/>
                <w:color w:val="000000"/>
              </w:rPr>
              <w:t xml:space="preserve">, </w:t>
            </w:r>
            <w:r w:rsidRPr="009566E0">
              <w:rPr>
                <w:rFonts w:cs="Calibri"/>
                <w:color w:val="000000"/>
              </w:rPr>
              <w:t>ID: IT.NET.USER.ZS</w:t>
            </w:r>
          </w:p>
          <w:p w14:paraId="097CA42D" w14:textId="77777777" w:rsidR="007E48B3" w:rsidRPr="003C3F18" w:rsidRDefault="00C27BF5" w:rsidP="00416373">
            <w:pPr>
              <w:bidi w:val="0"/>
              <w:rPr>
                <w:rFonts w:cs="Calibri"/>
                <w:color w:val="000000"/>
              </w:rPr>
            </w:pPr>
            <w:hyperlink r:id="rId87">
              <w:r w:rsidR="007E48B3" w:rsidRPr="44534EDD">
                <w:rPr>
                  <w:rStyle w:val="Hyperlink"/>
                  <w:rFonts w:cs="Calibri"/>
                </w:rPr>
                <w:t>https://data.worldbank.org/indicator/IT.NET.USER.ZS?locations=IL-PS</w:t>
              </w:r>
            </w:hyperlink>
          </w:p>
        </w:tc>
      </w:tr>
    </w:tbl>
    <w:p w14:paraId="2843BDB4" w14:textId="77777777" w:rsidR="007E48B3" w:rsidRPr="0099720C" w:rsidRDefault="007E48B3" w:rsidP="007E48B3">
      <w:pPr>
        <w:pStyle w:val="ListParagraph"/>
        <w:autoSpaceDE w:val="0"/>
        <w:autoSpaceDN w:val="0"/>
        <w:bidi w:val="0"/>
        <w:adjustRightInd w:val="0"/>
        <w:spacing w:after="240" w:line="480" w:lineRule="auto"/>
        <w:ind w:left="1702"/>
        <w:rPr>
          <w:b/>
          <w:bCs/>
        </w:rPr>
      </w:pPr>
    </w:p>
    <w:p w14:paraId="49D17B7B"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99720C">
        <w:rPr>
          <w:b/>
          <w:bCs/>
        </w:rPr>
        <w:t xml:space="preserve">Fixed broadband subscriptions ratio </w:t>
      </w:r>
      <w:r>
        <w:rPr>
          <w:b/>
          <w:bCs/>
        </w:rPr>
        <w:t>–</w:t>
      </w:r>
      <w:r w:rsidRPr="0099720C">
        <w:rPr>
          <w:b/>
          <w:bCs/>
        </w:rPr>
        <w:t xml:space="preserve"> </w:t>
      </w:r>
    </w:p>
    <w:p w14:paraId="047AF667" w14:textId="77777777" w:rsidR="007E48B3" w:rsidRPr="00AA26F9" w:rsidRDefault="007E48B3" w:rsidP="007E48B3">
      <w:pPr>
        <w:pStyle w:val="ListParagraph"/>
        <w:autoSpaceDE w:val="0"/>
        <w:autoSpaceDN w:val="0"/>
        <w:bidi w:val="0"/>
        <w:adjustRightInd w:val="0"/>
        <w:spacing w:after="240" w:line="480" w:lineRule="auto"/>
        <w:jc w:val="both"/>
      </w:pPr>
      <w:r w:rsidRPr="00E46EEB">
        <w:t xml:space="preserve">The indicator measures </w:t>
      </w:r>
      <w:r w:rsidRPr="00524D75">
        <w:t xml:space="preserve">fixed broadband subscriptions (per 100 people) </w:t>
      </w:r>
      <w:r w:rsidRPr="00E46EEB">
        <w:t xml:space="preserve">in </w:t>
      </w:r>
      <w:r>
        <w:t xml:space="preserve">the </w:t>
      </w:r>
      <w:r w:rsidRPr="00E46EEB">
        <w:t>WBG to Israel.</w:t>
      </w:r>
      <w:r>
        <w:t xml:space="preserve"> </w:t>
      </w:r>
      <w:r w:rsidRPr="00AA26F9">
        <w:t>Fixed broadband subscriptions refers to fixed subscriptions to high-speed access to the public Internet (a TCP/IP connection), at downstream speeds equal to, or greater than, 256 kbit/s. This includes cable modem, DSL, fiber-to-the-home/building, other fixed (wired)-broadband subscriptions, satellite broadband and terrestrial fixed wireless broadband. </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77F89EB9" w14:textId="77777777" w:rsidTr="00416373">
        <w:trPr>
          <w:trHeight w:val="385"/>
        </w:trPr>
        <w:tc>
          <w:tcPr>
            <w:tcW w:w="8409" w:type="dxa"/>
            <w:gridSpan w:val="2"/>
            <w:shd w:val="clear" w:color="auto" w:fill="auto"/>
            <w:noWrap/>
            <w:vAlign w:val="center"/>
          </w:tcPr>
          <w:p w14:paraId="7C4B834A"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329F4C1E" w14:textId="77777777" w:rsidTr="00416373">
        <w:trPr>
          <w:trHeight w:val="1200"/>
        </w:trPr>
        <w:tc>
          <w:tcPr>
            <w:tcW w:w="1580" w:type="dxa"/>
            <w:shd w:val="clear" w:color="auto" w:fill="auto"/>
            <w:noWrap/>
            <w:vAlign w:val="center"/>
            <w:hideMark/>
          </w:tcPr>
          <w:p w14:paraId="17EE0E54" w14:textId="77777777" w:rsidR="007E48B3" w:rsidRPr="003C3F18" w:rsidRDefault="007E48B3" w:rsidP="00416373">
            <w:pPr>
              <w:bidi w:val="0"/>
              <w:rPr>
                <w:rFonts w:cs="Calibri"/>
                <w:color w:val="000000"/>
              </w:rPr>
            </w:pPr>
            <w:r>
              <w:rPr>
                <w:rFonts w:cs="Calibri"/>
                <w:color w:val="000000"/>
              </w:rPr>
              <w:t>2010</w:t>
            </w:r>
          </w:p>
        </w:tc>
        <w:tc>
          <w:tcPr>
            <w:tcW w:w="6829" w:type="dxa"/>
            <w:shd w:val="clear" w:color="auto" w:fill="auto"/>
            <w:noWrap/>
            <w:vAlign w:val="center"/>
            <w:hideMark/>
          </w:tcPr>
          <w:p w14:paraId="22A86E61" w14:textId="77777777" w:rsidR="007E48B3" w:rsidRPr="003C3F18" w:rsidRDefault="007E48B3" w:rsidP="00416373">
            <w:pPr>
              <w:bidi w:val="0"/>
              <w:rPr>
                <w:rFonts w:cs="Calibri"/>
                <w:color w:val="000000"/>
              </w:rPr>
            </w:pPr>
            <w:r w:rsidRPr="3D45ED07">
              <w:rPr>
                <w:rFonts w:cs="Calibri"/>
                <w:color w:val="000000" w:themeColor="text1"/>
              </w:rPr>
              <w:t>Missing data – equal to year 2011</w:t>
            </w:r>
            <w:r>
              <w:rPr>
                <w:rFonts w:cs="Calibri"/>
                <w:color w:val="000000"/>
              </w:rPr>
              <w:t xml:space="preserve">, </w:t>
            </w:r>
            <w:r w:rsidRPr="00AA26F9">
              <w:rPr>
                <w:rFonts w:cs="Calibri"/>
                <w:color w:val="000000"/>
              </w:rPr>
              <w:t>ID: IT.NET.BBND.P2</w:t>
            </w:r>
          </w:p>
        </w:tc>
      </w:tr>
      <w:tr w:rsidR="007E48B3" w:rsidRPr="003C3F18" w14:paraId="23118931" w14:textId="77777777" w:rsidTr="00416373">
        <w:trPr>
          <w:trHeight w:val="1200"/>
        </w:trPr>
        <w:tc>
          <w:tcPr>
            <w:tcW w:w="1580" w:type="dxa"/>
            <w:shd w:val="clear" w:color="auto" w:fill="auto"/>
            <w:noWrap/>
            <w:vAlign w:val="center"/>
          </w:tcPr>
          <w:p w14:paraId="2437DC50" w14:textId="77777777" w:rsidR="007E48B3" w:rsidRDefault="007E48B3" w:rsidP="00416373">
            <w:pPr>
              <w:bidi w:val="0"/>
              <w:rPr>
                <w:rFonts w:cs="Calibri"/>
                <w:color w:val="000000"/>
              </w:rPr>
            </w:pPr>
            <w:r>
              <w:rPr>
                <w:rFonts w:cs="Calibri"/>
                <w:color w:val="000000"/>
              </w:rPr>
              <w:t>2011-2019</w:t>
            </w:r>
          </w:p>
        </w:tc>
        <w:tc>
          <w:tcPr>
            <w:tcW w:w="6829" w:type="dxa"/>
            <w:shd w:val="clear" w:color="auto" w:fill="auto"/>
            <w:noWrap/>
            <w:vAlign w:val="center"/>
          </w:tcPr>
          <w:p w14:paraId="0E0BB27F" w14:textId="77777777" w:rsidR="007E48B3" w:rsidRDefault="007E48B3" w:rsidP="00416373">
            <w:pPr>
              <w:bidi w:val="0"/>
              <w:rPr>
                <w:rFonts w:cs="Calibri"/>
                <w:color w:val="000000"/>
              </w:rPr>
            </w:pPr>
            <w:r>
              <w:rPr>
                <w:rFonts w:cs="Calibri"/>
                <w:color w:val="000000"/>
              </w:rPr>
              <w:t>World bank, World Development Indicators</w:t>
            </w:r>
          </w:p>
          <w:p w14:paraId="71CB65E9" w14:textId="7D4E8480" w:rsidR="007E48B3" w:rsidRDefault="00C27BF5" w:rsidP="00416373">
            <w:pPr>
              <w:bidi w:val="0"/>
              <w:rPr>
                <w:rFonts w:cs="Calibri"/>
                <w:color w:val="000000"/>
              </w:rPr>
            </w:pPr>
            <w:hyperlink r:id="rId88" w:history="1">
              <w:r w:rsidR="007E48B3" w:rsidRPr="00E75C8F">
                <w:rPr>
                  <w:rStyle w:val="Hyperlink"/>
                  <w:rFonts w:cs="Calibri"/>
                </w:rPr>
                <w:t>https://data.worldbank.org/indicator/IT.NET.BBND.P2?locations=IL-PS</w:t>
              </w:r>
            </w:hyperlink>
          </w:p>
        </w:tc>
      </w:tr>
    </w:tbl>
    <w:p w14:paraId="72C8E5DA" w14:textId="77777777" w:rsidR="007E48B3" w:rsidRDefault="007E48B3" w:rsidP="007E48B3">
      <w:pPr>
        <w:pStyle w:val="ListParagraph"/>
        <w:autoSpaceDE w:val="0"/>
        <w:autoSpaceDN w:val="0"/>
        <w:bidi w:val="0"/>
        <w:adjustRightInd w:val="0"/>
        <w:spacing w:after="240" w:line="480" w:lineRule="auto"/>
        <w:ind w:left="1211"/>
        <w:rPr>
          <w:b/>
          <w:bCs/>
        </w:rPr>
      </w:pPr>
    </w:p>
    <w:p w14:paraId="2026E039"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99720C">
        <w:rPr>
          <w:b/>
          <w:bCs/>
        </w:rPr>
        <w:t xml:space="preserve">Electricity </w:t>
      </w:r>
      <w:r>
        <w:rPr>
          <w:b/>
          <w:bCs/>
        </w:rPr>
        <w:t>i</w:t>
      </w:r>
      <w:r w:rsidRPr="0099720C">
        <w:rPr>
          <w:b/>
          <w:bCs/>
        </w:rPr>
        <w:t xml:space="preserve">mported from Israel out of total </w:t>
      </w:r>
      <w:r>
        <w:rPr>
          <w:b/>
          <w:bCs/>
        </w:rPr>
        <w:t>a</w:t>
      </w:r>
      <w:r w:rsidRPr="0099720C">
        <w:rPr>
          <w:b/>
          <w:bCs/>
        </w:rPr>
        <w:t xml:space="preserve">vailable </w:t>
      </w:r>
      <w:r>
        <w:rPr>
          <w:b/>
          <w:bCs/>
        </w:rPr>
        <w:t>e</w:t>
      </w:r>
      <w:r w:rsidRPr="0099720C">
        <w:rPr>
          <w:b/>
          <w:bCs/>
        </w:rPr>
        <w:t xml:space="preserve">lectricity in the </w:t>
      </w:r>
      <w:r>
        <w:rPr>
          <w:b/>
          <w:bCs/>
        </w:rPr>
        <w:t>WBG</w:t>
      </w:r>
      <w:r w:rsidRPr="0099720C">
        <w:rPr>
          <w:b/>
          <w:bCs/>
        </w:rPr>
        <w:t xml:space="preserve"> </w:t>
      </w:r>
      <w:r>
        <w:rPr>
          <w:b/>
          <w:bCs/>
        </w:rPr>
        <w:t>–</w:t>
      </w:r>
    </w:p>
    <w:p w14:paraId="0E74A049" w14:textId="77777777" w:rsidR="007E48B3" w:rsidRDefault="007E48B3" w:rsidP="007E48B3">
      <w:pPr>
        <w:pStyle w:val="ListParagraph"/>
        <w:autoSpaceDE w:val="0"/>
        <w:autoSpaceDN w:val="0"/>
        <w:bidi w:val="0"/>
        <w:adjustRightInd w:val="0"/>
        <w:spacing w:after="240" w:line="480" w:lineRule="auto"/>
        <w:jc w:val="both"/>
      </w:pPr>
      <w:r>
        <w:t>The indicator measures the quantity of electricity Imported from Israeli Electricity</w:t>
      </w:r>
    </w:p>
    <w:p w14:paraId="2B35BF20" w14:textId="77777777" w:rsidR="007E48B3" w:rsidRDefault="007E48B3" w:rsidP="007E48B3">
      <w:pPr>
        <w:pStyle w:val="ListParagraph"/>
        <w:autoSpaceDE w:val="0"/>
        <w:autoSpaceDN w:val="0"/>
        <w:bidi w:val="0"/>
        <w:adjustRightInd w:val="0"/>
        <w:spacing w:after="240" w:line="480" w:lineRule="auto"/>
        <w:jc w:val="both"/>
        <w:rPr>
          <w:b/>
          <w:bCs/>
        </w:rPr>
      </w:pPr>
      <w:r w:rsidRPr="002218AD">
        <w:t>Company to total available electricity in the WBG. It reflects</w:t>
      </w:r>
      <w:r>
        <w:t xml:space="preserve"> the dependency of the WBG on Israeli electricity infrastructure.</w:t>
      </w:r>
      <w:r>
        <w:tab/>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2B1ED032" w14:textId="77777777" w:rsidTr="00416373">
        <w:trPr>
          <w:trHeight w:val="385"/>
        </w:trPr>
        <w:tc>
          <w:tcPr>
            <w:tcW w:w="8409" w:type="dxa"/>
            <w:gridSpan w:val="2"/>
            <w:shd w:val="clear" w:color="auto" w:fill="auto"/>
            <w:noWrap/>
            <w:vAlign w:val="center"/>
          </w:tcPr>
          <w:p w14:paraId="47F207B7"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6E6CAF28" w14:textId="77777777" w:rsidTr="00416373">
        <w:trPr>
          <w:trHeight w:val="1200"/>
        </w:trPr>
        <w:tc>
          <w:tcPr>
            <w:tcW w:w="1580" w:type="dxa"/>
            <w:shd w:val="clear" w:color="auto" w:fill="auto"/>
            <w:noWrap/>
            <w:vAlign w:val="center"/>
            <w:hideMark/>
          </w:tcPr>
          <w:p w14:paraId="5825EA66" w14:textId="77777777" w:rsidR="007E48B3" w:rsidRPr="003C3F18" w:rsidRDefault="007E48B3" w:rsidP="00416373">
            <w:pPr>
              <w:bidi w:val="0"/>
              <w:rPr>
                <w:rFonts w:cs="Calibri"/>
                <w:color w:val="000000"/>
              </w:rPr>
            </w:pPr>
            <w:r>
              <w:rPr>
                <w:rFonts w:cs="Calibri"/>
                <w:color w:val="000000"/>
              </w:rPr>
              <w:t>2004-2019</w:t>
            </w:r>
          </w:p>
        </w:tc>
        <w:tc>
          <w:tcPr>
            <w:tcW w:w="6829" w:type="dxa"/>
            <w:shd w:val="clear" w:color="auto" w:fill="auto"/>
            <w:noWrap/>
            <w:vAlign w:val="center"/>
            <w:hideMark/>
          </w:tcPr>
          <w:p w14:paraId="419E3BE6" w14:textId="77777777" w:rsidR="007E48B3" w:rsidRPr="003C3F18" w:rsidRDefault="007E48B3" w:rsidP="00416373">
            <w:pPr>
              <w:bidi w:val="0"/>
              <w:rPr>
                <w:rFonts w:cs="Calibri"/>
                <w:color w:val="000000"/>
              </w:rPr>
            </w:pPr>
            <w:r>
              <w:rPr>
                <w:rFonts w:cs="Calibri"/>
                <w:color w:val="000000"/>
              </w:rPr>
              <w:t>Palestinian Central Bureau of Statistics, Energy Tables and Energy Balance</w:t>
            </w:r>
          </w:p>
        </w:tc>
      </w:tr>
    </w:tbl>
    <w:p w14:paraId="5A88921B" w14:textId="77777777" w:rsidR="007E48B3" w:rsidRPr="0099720C" w:rsidRDefault="007E48B3" w:rsidP="007E48B3">
      <w:pPr>
        <w:pStyle w:val="ListParagraph"/>
        <w:autoSpaceDE w:val="0"/>
        <w:autoSpaceDN w:val="0"/>
        <w:bidi w:val="0"/>
        <w:adjustRightInd w:val="0"/>
        <w:spacing w:after="240" w:line="480" w:lineRule="auto"/>
        <w:ind w:left="1702"/>
        <w:rPr>
          <w:b/>
          <w:bCs/>
        </w:rPr>
      </w:pPr>
    </w:p>
    <w:p w14:paraId="445A0A52"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99720C">
        <w:rPr>
          <w:b/>
          <w:bCs/>
        </w:rPr>
        <w:t xml:space="preserve">Water Purchased from Israel </w:t>
      </w:r>
      <w:r w:rsidRPr="00592547">
        <w:rPr>
          <w:b/>
          <w:bCs/>
        </w:rPr>
        <w:t xml:space="preserve">out of </w:t>
      </w:r>
      <w:r>
        <w:rPr>
          <w:b/>
          <w:bCs/>
        </w:rPr>
        <w:t>a</w:t>
      </w:r>
      <w:r w:rsidRPr="00592547">
        <w:rPr>
          <w:b/>
          <w:bCs/>
        </w:rPr>
        <w:t xml:space="preserve">vailable </w:t>
      </w:r>
      <w:r>
        <w:rPr>
          <w:b/>
          <w:bCs/>
        </w:rPr>
        <w:t>w</w:t>
      </w:r>
      <w:r w:rsidRPr="00592547">
        <w:rPr>
          <w:b/>
          <w:bCs/>
        </w:rPr>
        <w:t xml:space="preserve">ater </w:t>
      </w:r>
      <w:r>
        <w:rPr>
          <w:b/>
          <w:bCs/>
        </w:rPr>
        <w:t>q</w:t>
      </w:r>
      <w:r w:rsidRPr="00592547">
        <w:rPr>
          <w:b/>
          <w:bCs/>
        </w:rPr>
        <w:t xml:space="preserve">uantity in the </w:t>
      </w:r>
      <w:r>
        <w:rPr>
          <w:b/>
          <w:bCs/>
        </w:rPr>
        <w:t>WBG</w:t>
      </w:r>
      <w:r w:rsidRPr="00592547">
        <w:rPr>
          <w:b/>
          <w:bCs/>
        </w:rPr>
        <w:t xml:space="preserve"> </w:t>
      </w:r>
      <w:r>
        <w:rPr>
          <w:b/>
          <w:bCs/>
        </w:rPr>
        <w:t>–</w:t>
      </w:r>
      <w:r w:rsidRPr="0099720C">
        <w:rPr>
          <w:b/>
          <w:bCs/>
        </w:rPr>
        <w:t xml:space="preserve"> </w:t>
      </w:r>
    </w:p>
    <w:p w14:paraId="4D4AD6F0" w14:textId="77777777" w:rsidR="007E48B3" w:rsidRPr="00EF02A2" w:rsidRDefault="007E48B3" w:rsidP="007E48B3">
      <w:pPr>
        <w:pStyle w:val="ListParagraph"/>
        <w:autoSpaceDE w:val="0"/>
        <w:autoSpaceDN w:val="0"/>
        <w:bidi w:val="0"/>
        <w:adjustRightInd w:val="0"/>
        <w:spacing w:after="240" w:line="480" w:lineRule="auto"/>
      </w:pPr>
      <w:r w:rsidRPr="00EF02A2">
        <w:t xml:space="preserve">Annual </w:t>
      </w:r>
      <w:r>
        <w:t>q</w:t>
      </w:r>
      <w:r w:rsidRPr="00EF02A2">
        <w:t xml:space="preserve">uantity of </w:t>
      </w:r>
      <w:r>
        <w:t>w</w:t>
      </w:r>
      <w:r w:rsidRPr="00EF02A2">
        <w:t xml:space="preserve">ater </w:t>
      </w:r>
      <w:r>
        <w:t>p</w:t>
      </w:r>
      <w:r w:rsidRPr="00EF02A2">
        <w:t>urchased from Israeli Water Company (</w:t>
      </w:r>
      <w:proofErr w:type="spellStart"/>
      <w:r w:rsidRPr="00EF02A2">
        <w:t>Mekorot</w:t>
      </w:r>
      <w:proofErr w:type="spellEnd"/>
      <w:r w:rsidRPr="00EF02A2">
        <w:t>) out of total annual available water quantity</w:t>
      </w:r>
      <w:r>
        <w:t xml:space="preserve"> in the WBG</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531A2207" w14:textId="77777777" w:rsidTr="00416373">
        <w:trPr>
          <w:trHeight w:val="385"/>
        </w:trPr>
        <w:tc>
          <w:tcPr>
            <w:tcW w:w="8409" w:type="dxa"/>
            <w:gridSpan w:val="2"/>
            <w:shd w:val="clear" w:color="auto" w:fill="auto"/>
            <w:noWrap/>
            <w:vAlign w:val="center"/>
          </w:tcPr>
          <w:p w14:paraId="4B248549"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5D6B8671" w14:textId="77777777" w:rsidTr="00416373">
        <w:trPr>
          <w:trHeight w:val="1200"/>
        </w:trPr>
        <w:tc>
          <w:tcPr>
            <w:tcW w:w="1580" w:type="dxa"/>
            <w:shd w:val="clear" w:color="auto" w:fill="auto"/>
            <w:noWrap/>
            <w:vAlign w:val="center"/>
            <w:hideMark/>
          </w:tcPr>
          <w:p w14:paraId="2C983E96" w14:textId="77777777" w:rsidR="007E48B3" w:rsidRPr="003C3F18" w:rsidRDefault="007E48B3" w:rsidP="00416373">
            <w:pPr>
              <w:bidi w:val="0"/>
              <w:rPr>
                <w:rFonts w:cs="Calibri"/>
                <w:color w:val="000000"/>
              </w:rPr>
            </w:pPr>
            <w:r>
              <w:rPr>
                <w:rFonts w:cs="Calibri"/>
                <w:color w:val="000000"/>
              </w:rPr>
              <w:t>2000-2019</w:t>
            </w:r>
          </w:p>
        </w:tc>
        <w:tc>
          <w:tcPr>
            <w:tcW w:w="6829" w:type="dxa"/>
            <w:shd w:val="clear" w:color="auto" w:fill="auto"/>
            <w:noWrap/>
            <w:vAlign w:val="center"/>
            <w:hideMark/>
          </w:tcPr>
          <w:p w14:paraId="67A5C460" w14:textId="77777777" w:rsidR="007E48B3" w:rsidRPr="003C3F18" w:rsidRDefault="007E48B3" w:rsidP="00416373">
            <w:pPr>
              <w:bidi w:val="0"/>
              <w:rPr>
                <w:rFonts w:cs="Calibri"/>
                <w:color w:val="000000"/>
              </w:rPr>
            </w:pPr>
            <w:r>
              <w:rPr>
                <w:rFonts w:cs="Calibri"/>
                <w:color w:val="000000"/>
              </w:rPr>
              <w:t>Palestinian Central Bureau of Statistics, Selected Indicators for Water Statistics</w:t>
            </w:r>
          </w:p>
        </w:tc>
      </w:tr>
    </w:tbl>
    <w:p w14:paraId="011188A7" w14:textId="77777777" w:rsidR="007E48B3" w:rsidRDefault="007E48B3" w:rsidP="007E48B3">
      <w:pPr>
        <w:autoSpaceDE w:val="0"/>
        <w:autoSpaceDN w:val="0"/>
        <w:bidi w:val="0"/>
        <w:adjustRightInd w:val="0"/>
        <w:spacing w:after="240" w:line="480" w:lineRule="auto"/>
        <w:rPr>
          <w:b/>
          <w:bCs/>
        </w:rPr>
      </w:pPr>
    </w:p>
    <w:p w14:paraId="18B41BDA" w14:textId="77777777" w:rsidR="007E48B3" w:rsidRDefault="007E48B3" w:rsidP="007E48B3">
      <w:pPr>
        <w:autoSpaceDE w:val="0"/>
        <w:autoSpaceDN w:val="0"/>
        <w:bidi w:val="0"/>
        <w:adjustRightInd w:val="0"/>
        <w:spacing w:after="240" w:line="480" w:lineRule="auto"/>
        <w:jc w:val="center"/>
        <w:rPr>
          <w:b/>
          <w:bCs/>
        </w:rPr>
      </w:pPr>
    </w:p>
    <w:p w14:paraId="509D41FA" w14:textId="77777777" w:rsidR="007E48B3" w:rsidRDefault="007E48B3" w:rsidP="007E48B3">
      <w:pPr>
        <w:autoSpaceDE w:val="0"/>
        <w:autoSpaceDN w:val="0"/>
        <w:bidi w:val="0"/>
        <w:adjustRightInd w:val="0"/>
        <w:spacing w:after="240" w:line="480" w:lineRule="auto"/>
        <w:jc w:val="center"/>
        <w:rPr>
          <w:b/>
          <w:bCs/>
        </w:rPr>
      </w:pPr>
    </w:p>
    <w:p w14:paraId="3BF8F99C" w14:textId="77777777" w:rsidR="007E48B3" w:rsidRDefault="007E48B3" w:rsidP="007E48B3">
      <w:pPr>
        <w:autoSpaceDE w:val="0"/>
        <w:autoSpaceDN w:val="0"/>
        <w:bidi w:val="0"/>
        <w:adjustRightInd w:val="0"/>
        <w:spacing w:after="240" w:line="480" w:lineRule="auto"/>
        <w:jc w:val="center"/>
        <w:rPr>
          <w:b/>
          <w:bCs/>
        </w:rPr>
      </w:pPr>
    </w:p>
    <w:p w14:paraId="598CB97A" w14:textId="77777777" w:rsidR="007E48B3" w:rsidRDefault="007E48B3" w:rsidP="007E48B3">
      <w:pPr>
        <w:autoSpaceDE w:val="0"/>
        <w:autoSpaceDN w:val="0"/>
        <w:bidi w:val="0"/>
        <w:adjustRightInd w:val="0"/>
        <w:spacing w:after="240" w:line="480" w:lineRule="auto"/>
        <w:jc w:val="center"/>
        <w:rPr>
          <w:b/>
          <w:bCs/>
        </w:rPr>
      </w:pPr>
    </w:p>
    <w:p w14:paraId="06B45511" w14:textId="77777777" w:rsidR="007E48B3" w:rsidRDefault="007E48B3" w:rsidP="007E48B3">
      <w:pPr>
        <w:autoSpaceDE w:val="0"/>
        <w:autoSpaceDN w:val="0"/>
        <w:bidi w:val="0"/>
        <w:adjustRightInd w:val="0"/>
        <w:spacing w:after="240" w:line="480" w:lineRule="auto"/>
        <w:jc w:val="center"/>
        <w:rPr>
          <w:b/>
          <w:bCs/>
        </w:rPr>
      </w:pPr>
    </w:p>
    <w:p w14:paraId="4F301530" w14:textId="09BC9EA2" w:rsidR="007E48B3" w:rsidRPr="0099720C" w:rsidRDefault="001C4FA3" w:rsidP="007E48B3">
      <w:pPr>
        <w:autoSpaceDE w:val="0"/>
        <w:autoSpaceDN w:val="0"/>
        <w:bidi w:val="0"/>
        <w:adjustRightInd w:val="0"/>
        <w:spacing w:line="480" w:lineRule="auto"/>
        <w:jc w:val="center"/>
        <w:rPr>
          <w:rFonts w:asciiTheme="majorBidi" w:hAnsiTheme="majorBidi" w:cstheme="majorBidi"/>
          <w:b/>
          <w:bCs/>
          <w:sz w:val="24"/>
          <w:szCs w:val="24"/>
        </w:rPr>
      </w:pPr>
      <w:r>
        <w:rPr>
          <w:b/>
          <w:bCs/>
        </w:rPr>
        <w:t xml:space="preserve">Figure </w:t>
      </w:r>
      <w:r w:rsidRPr="001C4FA3">
        <w:rPr>
          <w:b/>
          <w:bCs/>
          <w:shd w:val="clear" w:color="auto" w:fill="FFFF00"/>
        </w:rPr>
        <w:t>XX</w:t>
      </w:r>
      <w:r>
        <w:rPr>
          <w:b/>
          <w:bCs/>
        </w:rPr>
        <w:t xml:space="preserve"> - </w:t>
      </w:r>
      <w:r w:rsidR="007E48B3" w:rsidRPr="00E36872">
        <w:rPr>
          <w:b/>
          <w:bCs/>
        </w:rPr>
        <w:t>Resources and networks</w:t>
      </w:r>
    </w:p>
    <w:p w14:paraId="02A9AC21" w14:textId="77777777" w:rsidR="007E48B3" w:rsidRDefault="007E48B3" w:rsidP="007E48B3">
      <w:pPr>
        <w:pStyle w:val="ListParagraph"/>
        <w:autoSpaceDE w:val="0"/>
        <w:autoSpaceDN w:val="0"/>
        <w:bidi w:val="0"/>
        <w:adjustRightInd w:val="0"/>
        <w:spacing w:after="240" w:line="480" w:lineRule="auto"/>
        <w:ind w:left="0"/>
        <w:rPr>
          <w:rFonts w:asciiTheme="majorBidi" w:hAnsiTheme="majorBidi" w:cstheme="majorBidi"/>
          <w:b/>
          <w:bCs/>
          <w:sz w:val="24"/>
          <w:szCs w:val="24"/>
        </w:rPr>
      </w:pPr>
      <w:r>
        <w:rPr>
          <w:noProof/>
        </w:rPr>
        <w:drawing>
          <wp:inline distT="0" distB="0" distL="0" distR="0" wp14:anchorId="4A365274" wp14:editId="2105FB0B">
            <wp:extent cx="5292000" cy="3060000"/>
            <wp:effectExtent l="0" t="0" r="4445" b="7620"/>
            <wp:docPr id="47" name="Chart 47">
              <a:extLst xmlns:a="http://schemas.openxmlformats.org/drawingml/2006/main">
                <a:ext uri="{FF2B5EF4-FFF2-40B4-BE49-F238E27FC236}">
                  <a16:creationId xmlns:a16="http://schemas.microsoft.com/office/drawing/2014/main" id="{6F7A3421-C107-45F8-ADFC-EA97CE283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23D31B9" w14:textId="59DD2763" w:rsidR="007E48B3" w:rsidRDefault="001C4FA3" w:rsidP="007E48B3">
      <w:pPr>
        <w:pStyle w:val="ListParagraph"/>
        <w:autoSpaceDE w:val="0"/>
        <w:autoSpaceDN w:val="0"/>
        <w:bidi w:val="0"/>
        <w:adjustRightInd w:val="0"/>
        <w:spacing w:line="360" w:lineRule="auto"/>
        <w:ind w:left="360"/>
        <w:jc w:val="center"/>
        <w:rPr>
          <w:rFonts w:asciiTheme="majorBidi" w:hAnsiTheme="majorBidi" w:cstheme="majorBidi"/>
          <w:b/>
          <w:bCs/>
          <w:sz w:val="24"/>
          <w:szCs w:val="24"/>
        </w:rPr>
      </w:pPr>
      <w:r>
        <w:rPr>
          <w:rFonts w:asciiTheme="majorBidi" w:hAnsiTheme="majorBidi" w:cstheme="majorBidi"/>
          <w:b/>
          <w:bCs/>
          <w:sz w:val="24"/>
          <w:szCs w:val="24"/>
        </w:rPr>
        <w:t xml:space="preserve">Table </w:t>
      </w:r>
      <w:r w:rsidRPr="001C4FA3">
        <w:rPr>
          <w:rFonts w:asciiTheme="majorBidi" w:hAnsiTheme="majorBidi" w:cstheme="majorBidi"/>
          <w:b/>
          <w:bCs/>
          <w:sz w:val="24"/>
          <w:szCs w:val="24"/>
          <w:shd w:val="clear" w:color="auto" w:fill="FFFF00"/>
        </w:rPr>
        <w:t>XX</w:t>
      </w:r>
      <w:r>
        <w:rPr>
          <w:rFonts w:asciiTheme="majorBidi" w:hAnsiTheme="majorBidi" w:cstheme="majorBidi"/>
          <w:b/>
          <w:bCs/>
          <w:sz w:val="24"/>
          <w:szCs w:val="24"/>
        </w:rPr>
        <w:t xml:space="preserve"> - </w:t>
      </w:r>
      <w:r w:rsidR="007E48B3">
        <w:rPr>
          <w:rFonts w:asciiTheme="majorBidi" w:hAnsiTheme="majorBidi" w:cstheme="majorBidi"/>
          <w:b/>
          <w:bCs/>
          <w:sz w:val="24"/>
          <w:szCs w:val="24"/>
        </w:rPr>
        <w:t>Raw data</w:t>
      </w:r>
      <w:r w:rsidR="00DF021D">
        <w:rPr>
          <w:rFonts w:asciiTheme="majorBidi" w:hAnsiTheme="majorBidi" w:cstheme="majorBidi"/>
          <w:b/>
          <w:bCs/>
          <w:sz w:val="24"/>
          <w:szCs w:val="24"/>
        </w:rPr>
        <w:t xml:space="preserve"> - </w:t>
      </w:r>
      <w:r w:rsidR="00DF021D" w:rsidRPr="00DF021D">
        <w:rPr>
          <w:rFonts w:asciiTheme="majorBidi" w:hAnsiTheme="majorBidi" w:cstheme="majorBidi"/>
          <w:b/>
          <w:bCs/>
          <w:sz w:val="24"/>
          <w:szCs w:val="24"/>
        </w:rPr>
        <w:t>Resources and networks</w:t>
      </w:r>
    </w:p>
    <w:tbl>
      <w:tblPr>
        <w:tblpPr w:leftFromText="180" w:rightFromText="180" w:vertAnchor="text" w:horzAnchor="margin" w:tblpXSpec="center" w:tblpY="18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205"/>
        <w:gridCol w:w="1955"/>
        <w:gridCol w:w="1275"/>
        <w:gridCol w:w="2263"/>
        <w:gridCol w:w="1848"/>
      </w:tblGrid>
      <w:tr w:rsidR="007E48B3" w:rsidRPr="00B91BCA" w14:paraId="63B375C2" w14:textId="77777777" w:rsidTr="00416373">
        <w:trPr>
          <w:trHeight w:val="300"/>
        </w:trPr>
        <w:tc>
          <w:tcPr>
            <w:tcW w:w="663" w:type="dxa"/>
          </w:tcPr>
          <w:p w14:paraId="40A967D7" w14:textId="77777777" w:rsidR="007E48B3" w:rsidRPr="00672DA8" w:rsidRDefault="007E48B3" w:rsidP="00416373">
            <w:pPr>
              <w:bidi w:val="0"/>
              <w:rPr>
                <w:rFonts w:cs="Calibri"/>
                <w:b/>
                <w:bCs/>
                <w:color w:val="000000"/>
                <w:sz w:val="18"/>
                <w:szCs w:val="18"/>
              </w:rPr>
            </w:pPr>
            <w:r w:rsidRPr="00672DA8">
              <w:rPr>
                <w:rFonts w:cs="Calibri"/>
                <w:b/>
                <w:bCs/>
                <w:color w:val="000000"/>
                <w:sz w:val="18"/>
                <w:szCs w:val="18"/>
              </w:rPr>
              <w:t>Year</w:t>
            </w:r>
          </w:p>
        </w:tc>
        <w:tc>
          <w:tcPr>
            <w:tcW w:w="1205" w:type="dxa"/>
            <w:shd w:val="clear" w:color="auto" w:fill="auto"/>
            <w:noWrap/>
          </w:tcPr>
          <w:p w14:paraId="3E018796" w14:textId="77777777" w:rsidR="007E48B3" w:rsidRPr="00672DA8" w:rsidRDefault="007E48B3" w:rsidP="00416373">
            <w:pPr>
              <w:bidi w:val="0"/>
              <w:rPr>
                <w:rFonts w:cs="Calibri"/>
                <w:b/>
                <w:bCs/>
                <w:color w:val="000000"/>
                <w:sz w:val="18"/>
                <w:szCs w:val="18"/>
              </w:rPr>
            </w:pPr>
            <w:r w:rsidRPr="00672DA8">
              <w:rPr>
                <w:rFonts w:cs="Calibri"/>
                <w:b/>
                <w:bCs/>
                <w:color w:val="000000"/>
                <w:sz w:val="18"/>
                <w:szCs w:val="18"/>
              </w:rPr>
              <w:t xml:space="preserve">Mobile cellular subscriptions ratio </w:t>
            </w:r>
          </w:p>
        </w:tc>
        <w:tc>
          <w:tcPr>
            <w:tcW w:w="1955" w:type="dxa"/>
            <w:shd w:val="clear" w:color="auto" w:fill="auto"/>
            <w:noWrap/>
          </w:tcPr>
          <w:p w14:paraId="5BBB4F38" w14:textId="77777777" w:rsidR="007E48B3" w:rsidRPr="00672DA8" w:rsidRDefault="007E48B3" w:rsidP="00416373">
            <w:pPr>
              <w:bidi w:val="0"/>
              <w:rPr>
                <w:rFonts w:cs="Calibri"/>
                <w:b/>
                <w:bCs/>
                <w:color w:val="000000"/>
                <w:sz w:val="18"/>
                <w:szCs w:val="18"/>
              </w:rPr>
            </w:pPr>
            <w:r w:rsidRPr="00672DA8">
              <w:rPr>
                <w:rFonts w:cs="Calibri"/>
                <w:b/>
                <w:bCs/>
                <w:color w:val="000000"/>
                <w:sz w:val="18"/>
                <w:szCs w:val="18"/>
              </w:rPr>
              <w:t xml:space="preserve">Individuals using the Internet ratio </w:t>
            </w:r>
          </w:p>
        </w:tc>
        <w:tc>
          <w:tcPr>
            <w:tcW w:w="1275" w:type="dxa"/>
            <w:shd w:val="clear" w:color="auto" w:fill="auto"/>
            <w:noWrap/>
          </w:tcPr>
          <w:p w14:paraId="3BDB0D5B" w14:textId="77777777" w:rsidR="007E48B3" w:rsidRPr="00672DA8" w:rsidRDefault="007E48B3" w:rsidP="00416373">
            <w:pPr>
              <w:bidi w:val="0"/>
              <w:rPr>
                <w:rFonts w:cs="Calibri"/>
                <w:b/>
                <w:bCs/>
                <w:color w:val="000000"/>
                <w:sz w:val="18"/>
                <w:szCs w:val="18"/>
              </w:rPr>
            </w:pPr>
            <w:r w:rsidRPr="00672DA8">
              <w:rPr>
                <w:rFonts w:cs="Calibri"/>
                <w:b/>
                <w:bCs/>
                <w:color w:val="000000"/>
                <w:sz w:val="18"/>
                <w:szCs w:val="18"/>
              </w:rPr>
              <w:t xml:space="preserve">Fixed broadband subscriptions ratio </w:t>
            </w:r>
          </w:p>
        </w:tc>
        <w:tc>
          <w:tcPr>
            <w:tcW w:w="2263" w:type="dxa"/>
            <w:shd w:val="clear" w:color="auto" w:fill="auto"/>
            <w:noWrap/>
          </w:tcPr>
          <w:p w14:paraId="5D9C391E" w14:textId="77777777" w:rsidR="007E48B3" w:rsidRPr="00672DA8" w:rsidRDefault="007E48B3" w:rsidP="00416373">
            <w:pPr>
              <w:bidi w:val="0"/>
              <w:rPr>
                <w:rFonts w:ascii="Times New Roman" w:hAnsi="Times New Roman" w:cs="Times New Roman"/>
                <w:b/>
                <w:bCs/>
                <w:sz w:val="18"/>
                <w:szCs w:val="18"/>
              </w:rPr>
            </w:pPr>
            <w:r w:rsidRPr="00672DA8">
              <w:rPr>
                <w:rFonts w:cs="Calibri"/>
                <w:b/>
                <w:bCs/>
                <w:color w:val="000000"/>
                <w:sz w:val="18"/>
                <w:szCs w:val="18"/>
              </w:rPr>
              <w:t>Electricity imported from Israel out of total available electricity in the WBG</w:t>
            </w:r>
          </w:p>
        </w:tc>
        <w:tc>
          <w:tcPr>
            <w:tcW w:w="1848" w:type="dxa"/>
            <w:shd w:val="clear" w:color="auto" w:fill="auto"/>
            <w:noWrap/>
          </w:tcPr>
          <w:p w14:paraId="4D4824AA" w14:textId="77777777" w:rsidR="007E48B3" w:rsidRPr="00672DA8" w:rsidRDefault="007E48B3" w:rsidP="00416373">
            <w:pPr>
              <w:bidi w:val="0"/>
              <w:rPr>
                <w:rFonts w:cs="Calibri"/>
                <w:b/>
                <w:bCs/>
                <w:color w:val="000000"/>
                <w:sz w:val="18"/>
                <w:szCs w:val="18"/>
              </w:rPr>
            </w:pPr>
            <w:r w:rsidRPr="00672DA8">
              <w:rPr>
                <w:rFonts w:cs="Calibri"/>
                <w:b/>
                <w:bCs/>
                <w:color w:val="000000"/>
                <w:sz w:val="18"/>
                <w:szCs w:val="18"/>
              </w:rPr>
              <w:t>Water Purchased from Israel out of available water quantity in the WBG</w:t>
            </w:r>
          </w:p>
        </w:tc>
      </w:tr>
      <w:tr w:rsidR="007E48B3" w:rsidRPr="00B91BCA" w14:paraId="06811119" w14:textId="77777777" w:rsidTr="00416373">
        <w:trPr>
          <w:trHeight w:val="300"/>
        </w:trPr>
        <w:tc>
          <w:tcPr>
            <w:tcW w:w="663" w:type="dxa"/>
            <w:vAlign w:val="bottom"/>
          </w:tcPr>
          <w:p w14:paraId="76B971CF" w14:textId="77777777" w:rsidR="007E48B3" w:rsidRPr="00B91BCA" w:rsidRDefault="007E48B3" w:rsidP="00416373">
            <w:pPr>
              <w:bidi w:val="0"/>
              <w:jc w:val="right"/>
              <w:rPr>
                <w:rFonts w:cs="Calibri"/>
                <w:color w:val="000000"/>
                <w:sz w:val="18"/>
                <w:szCs w:val="18"/>
              </w:rPr>
            </w:pPr>
            <w:r>
              <w:rPr>
                <w:rFonts w:cs="Calibri"/>
                <w:color w:val="000000"/>
              </w:rPr>
              <w:t>2000</w:t>
            </w:r>
          </w:p>
        </w:tc>
        <w:tc>
          <w:tcPr>
            <w:tcW w:w="1205" w:type="dxa"/>
            <w:shd w:val="clear" w:color="auto" w:fill="auto"/>
            <w:noWrap/>
            <w:vAlign w:val="bottom"/>
            <w:hideMark/>
          </w:tcPr>
          <w:p w14:paraId="43500657"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0%</w:t>
            </w:r>
          </w:p>
        </w:tc>
        <w:tc>
          <w:tcPr>
            <w:tcW w:w="1955" w:type="dxa"/>
            <w:shd w:val="clear" w:color="auto" w:fill="auto"/>
            <w:noWrap/>
            <w:vAlign w:val="bottom"/>
            <w:hideMark/>
          </w:tcPr>
          <w:p w14:paraId="7010000F"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5%</w:t>
            </w:r>
          </w:p>
        </w:tc>
        <w:tc>
          <w:tcPr>
            <w:tcW w:w="1275" w:type="dxa"/>
            <w:shd w:val="clear" w:color="auto" w:fill="auto"/>
            <w:noWrap/>
            <w:vAlign w:val="bottom"/>
            <w:hideMark/>
          </w:tcPr>
          <w:p w14:paraId="30DF3217" w14:textId="77777777" w:rsidR="007E48B3" w:rsidRPr="00B91BCA" w:rsidRDefault="007E48B3" w:rsidP="00416373">
            <w:pPr>
              <w:bidi w:val="0"/>
              <w:jc w:val="right"/>
              <w:rPr>
                <w:rFonts w:cs="Calibri"/>
                <w:color w:val="000000"/>
                <w:sz w:val="18"/>
                <w:szCs w:val="18"/>
              </w:rPr>
            </w:pPr>
          </w:p>
        </w:tc>
        <w:tc>
          <w:tcPr>
            <w:tcW w:w="2263" w:type="dxa"/>
            <w:shd w:val="clear" w:color="auto" w:fill="auto"/>
            <w:noWrap/>
            <w:vAlign w:val="bottom"/>
            <w:hideMark/>
          </w:tcPr>
          <w:p w14:paraId="7D9172E5" w14:textId="77777777" w:rsidR="007E48B3" w:rsidRPr="00B91BCA" w:rsidRDefault="007E48B3" w:rsidP="00416373">
            <w:pPr>
              <w:bidi w:val="0"/>
              <w:rPr>
                <w:rFonts w:ascii="Times New Roman" w:hAnsi="Times New Roman" w:cs="Times New Roman"/>
                <w:sz w:val="18"/>
                <w:szCs w:val="18"/>
              </w:rPr>
            </w:pPr>
          </w:p>
        </w:tc>
        <w:tc>
          <w:tcPr>
            <w:tcW w:w="1848" w:type="dxa"/>
            <w:shd w:val="clear" w:color="auto" w:fill="auto"/>
            <w:noWrap/>
            <w:vAlign w:val="bottom"/>
            <w:hideMark/>
          </w:tcPr>
          <w:p w14:paraId="4FF1B387"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13.74%</w:t>
            </w:r>
          </w:p>
        </w:tc>
      </w:tr>
      <w:tr w:rsidR="007E48B3" w:rsidRPr="00B91BCA" w14:paraId="2450F005" w14:textId="77777777" w:rsidTr="00416373">
        <w:trPr>
          <w:trHeight w:val="300"/>
        </w:trPr>
        <w:tc>
          <w:tcPr>
            <w:tcW w:w="663" w:type="dxa"/>
            <w:vAlign w:val="bottom"/>
          </w:tcPr>
          <w:p w14:paraId="20799166" w14:textId="77777777" w:rsidR="007E48B3" w:rsidRPr="00B91BCA" w:rsidRDefault="007E48B3" w:rsidP="00416373">
            <w:pPr>
              <w:bidi w:val="0"/>
              <w:jc w:val="right"/>
              <w:rPr>
                <w:rFonts w:cs="Calibri"/>
                <w:color w:val="000000"/>
                <w:sz w:val="18"/>
                <w:szCs w:val="18"/>
              </w:rPr>
            </w:pPr>
            <w:r>
              <w:rPr>
                <w:rFonts w:cs="Calibri"/>
                <w:color w:val="000000"/>
              </w:rPr>
              <w:t>2001</w:t>
            </w:r>
          </w:p>
        </w:tc>
        <w:tc>
          <w:tcPr>
            <w:tcW w:w="1205" w:type="dxa"/>
            <w:shd w:val="clear" w:color="auto" w:fill="auto"/>
            <w:noWrap/>
            <w:vAlign w:val="bottom"/>
            <w:hideMark/>
          </w:tcPr>
          <w:p w14:paraId="72CBBB10"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6%</w:t>
            </w:r>
          </w:p>
        </w:tc>
        <w:tc>
          <w:tcPr>
            <w:tcW w:w="1955" w:type="dxa"/>
            <w:shd w:val="clear" w:color="auto" w:fill="auto"/>
            <w:noWrap/>
            <w:vAlign w:val="bottom"/>
            <w:hideMark/>
          </w:tcPr>
          <w:p w14:paraId="0CD439D2"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11%</w:t>
            </w:r>
          </w:p>
        </w:tc>
        <w:tc>
          <w:tcPr>
            <w:tcW w:w="1275" w:type="dxa"/>
            <w:shd w:val="clear" w:color="auto" w:fill="auto"/>
            <w:noWrap/>
            <w:vAlign w:val="bottom"/>
            <w:hideMark/>
          </w:tcPr>
          <w:p w14:paraId="44BADB12" w14:textId="77777777" w:rsidR="007E48B3" w:rsidRPr="00B91BCA" w:rsidRDefault="007E48B3" w:rsidP="00416373">
            <w:pPr>
              <w:bidi w:val="0"/>
              <w:jc w:val="right"/>
              <w:rPr>
                <w:rFonts w:cs="Calibri"/>
                <w:color w:val="000000"/>
                <w:sz w:val="18"/>
                <w:szCs w:val="18"/>
              </w:rPr>
            </w:pPr>
          </w:p>
        </w:tc>
        <w:tc>
          <w:tcPr>
            <w:tcW w:w="2263" w:type="dxa"/>
            <w:shd w:val="clear" w:color="auto" w:fill="auto"/>
            <w:noWrap/>
            <w:vAlign w:val="bottom"/>
            <w:hideMark/>
          </w:tcPr>
          <w:p w14:paraId="4F731AB4" w14:textId="77777777" w:rsidR="007E48B3" w:rsidRPr="00B91BCA" w:rsidRDefault="007E48B3" w:rsidP="00416373">
            <w:pPr>
              <w:bidi w:val="0"/>
              <w:rPr>
                <w:rFonts w:ascii="Times New Roman" w:hAnsi="Times New Roman" w:cs="Times New Roman"/>
                <w:sz w:val="18"/>
                <w:szCs w:val="18"/>
              </w:rPr>
            </w:pPr>
          </w:p>
        </w:tc>
        <w:tc>
          <w:tcPr>
            <w:tcW w:w="1848" w:type="dxa"/>
            <w:shd w:val="clear" w:color="auto" w:fill="auto"/>
            <w:noWrap/>
            <w:vAlign w:val="bottom"/>
            <w:hideMark/>
          </w:tcPr>
          <w:p w14:paraId="0DD44B14"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15.17%</w:t>
            </w:r>
          </w:p>
        </w:tc>
      </w:tr>
      <w:tr w:rsidR="007E48B3" w:rsidRPr="00B91BCA" w14:paraId="5DC51AE9" w14:textId="77777777" w:rsidTr="00416373">
        <w:trPr>
          <w:trHeight w:val="300"/>
        </w:trPr>
        <w:tc>
          <w:tcPr>
            <w:tcW w:w="663" w:type="dxa"/>
            <w:vAlign w:val="bottom"/>
          </w:tcPr>
          <w:p w14:paraId="5014BAAB" w14:textId="77777777" w:rsidR="007E48B3" w:rsidRPr="00B91BCA" w:rsidRDefault="007E48B3" w:rsidP="00416373">
            <w:pPr>
              <w:bidi w:val="0"/>
              <w:jc w:val="right"/>
              <w:rPr>
                <w:rFonts w:cs="Calibri"/>
                <w:color w:val="000000"/>
                <w:sz w:val="18"/>
                <w:szCs w:val="18"/>
              </w:rPr>
            </w:pPr>
            <w:r>
              <w:rPr>
                <w:rFonts w:cs="Calibri"/>
                <w:color w:val="000000"/>
              </w:rPr>
              <w:t>2002</w:t>
            </w:r>
          </w:p>
        </w:tc>
        <w:tc>
          <w:tcPr>
            <w:tcW w:w="1205" w:type="dxa"/>
            <w:shd w:val="clear" w:color="auto" w:fill="auto"/>
            <w:noWrap/>
            <w:vAlign w:val="bottom"/>
            <w:hideMark/>
          </w:tcPr>
          <w:p w14:paraId="464A1D91"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7%</w:t>
            </w:r>
          </w:p>
        </w:tc>
        <w:tc>
          <w:tcPr>
            <w:tcW w:w="1955" w:type="dxa"/>
            <w:shd w:val="clear" w:color="auto" w:fill="auto"/>
            <w:noWrap/>
            <w:vAlign w:val="bottom"/>
            <w:hideMark/>
          </w:tcPr>
          <w:p w14:paraId="245D2FA6"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17%</w:t>
            </w:r>
          </w:p>
        </w:tc>
        <w:tc>
          <w:tcPr>
            <w:tcW w:w="1275" w:type="dxa"/>
            <w:shd w:val="clear" w:color="auto" w:fill="auto"/>
            <w:noWrap/>
            <w:vAlign w:val="bottom"/>
            <w:hideMark/>
          </w:tcPr>
          <w:p w14:paraId="25F9C354" w14:textId="77777777" w:rsidR="007E48B3" w:rsidRPr="00B91BCA" w:rsidRDefault="007E48B3" w:rsidP="00416373">
            <w:pPr>
              <w:bidi w:val="0"/>
              <w:jc w:val="right"/>
              <w:rPr>
                <w:rFonts w:cs="Calibri"/>
                <w:color w:val="000000"/>
                <w:sz w:val="18"/>
                <w:szCs w:val="18"/>
              </w:rPr>
            </w:pPr>
          </w:p>
        </w:tc>
        <w:tc>
          <w:tcPr>
            <w:tcW w:w="2263" w:type="dxa"/>
            <w:shd w:val="clear" w:color="auto" w:fill="auto"/>
            <w:noWrap/>
            <w:vAlign w:val="bottom"/>
            <w:hideMark/>
          </w:tcPr>
          <w:p w14:paraId="79C7470D" w14:textId="77777777" w:rsidR="007E48B3" w:rsidRPr="00B91BCA" w:rsidRDefault="007E48B3" w:rsidP="00416373">
            <w:pPr>
              <w:bidi w:val="0"/>
              <w:rPr>
                <w:rFonts w:ascii="Times New Roman" w:hAnsi="Times New Roman" w:cs="Times New Roman"/>
                <w:sz w:val="18"/>
                <w:szCs w:val="18"/>
              </w:rPr>
            </w:pPr>
          </w:p>
        </w:tc>
        <w:tc>
          <w:tcPr>
            <w:tcW w:w="1848" w:type="dxa"/>
            <w:shd w:val="clear" w:color="auto" w:fill="auto"/>
            <w:noWrap/>
            <w:vAlign w:val="bottom"/>
            <w:hideMark/>
          </w:tcPr>
          <w:p w14:paraId="6CFDC03F"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13.72%</w:t>
            </w:r>
          </w:p>
        </w:tc>
      </w:tr>
      <w:tr w:rsidR="007E48B3" w:rsidRPr="00B91BCA" w14:paraId="5DF9CAF2" w14:textId="77777777" w:rsidTr="00416373">
        <w:trPr>
          <w:trHeight w:val="300"/>
        </w:trPr>
        <w:tc>
          <w:tcPr>
            <w:tcW w:w="663" w:type="dxa"/>
            <w:vAlign w:val="bottom"/>
          </w:tcPr>
          <w:p w14:paraId="6DA63761" w14:textId="77777777" w:rsidR="007E48B3" w:rsidRPr="00B91BCA" w:rsidRDefault="007E48B3" w:rsidP="00416373">
            <w:pPr>
              <w:bidi w:val="0"/>
              <w:jc w:val="right"/>
              <w:rPr>
                <w:rFonts w:cs="Calibri"/>
                <w:color w:val="000000"/>
                <w:sz w:val="18"/>
                <w:szCs w:val="18"/>
              </w:rPr>
            </w:pPr>
            <w:r>
              <w:rPr>
                <w:rFonts w:cs="Calibri"/>
                <w:color w:val="000000"/>
              </w:rPr>
              <w:t>2003</w:t>
            </w:r>
          </w:p>
        </w:tc>
        <w:tc>
          <w:tcPr>
            <w:tcW w:w="1205" w:type="dxa"/>
            <w:shd w:val="clear" w:color="auto" w:fill="auto"/>
            <w:noWrap/>
            <w:vAlign w:val="bottom"/>
            <w:hideMark/>
          </w:tcPr>
          <w:p w14:paraId="1CA7832B"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7%</w:t>
            </w:r>
          </w:p>
        </w:tc>
        <w:tc>
          <w:tcPr>
            <w:tcW w:w="1955" w:type="dxa"/>
            <w:shd w:val="clear" w:color="auto" w:fill="auto"/>
            <w:noWrap/>
            <w:vAlign w:val="bottom"/>
            <w:hideMark/>
          </w:tcPr>
          <w:p w14:paraId="615FD712"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21%</w:t>
            </w:r>
          </w:p>
        </w:tc>
        <w:tc>
          <w:tcPr>
            <w:tcW w:w="1275" w:type="dxa"/>
            <w:shd w:val="clear" w:color="auto" w:fill="auto"/>
            <w:noWrap/>
            <w:vAlign w:val="bottom"/>
            <w:hideMark/>
          </w:tcPr>
          <w:p w14:paraId="34CAAE33" w14:textId="77777777" w:rsidR="007E48B3" w:rsidRPr="00B91BCA" w:rsidRDefault="007E48B3" w:rsidP="00416373">
            <w:pPr>
              <w:bidi w:val="0"/>
              <w:jc w:val="right"/>
              <w:rPr>
                <w:rFonts w:cs="Calibri"/>
                <w:color w:val="000000"/>
                <w:sz w:val="18"/>
                <w:szCs w:val="18"/>
              </w:rPr>
            </w:pPr>
          </w:p>
        </w:tc>
        <w:tc>
          <w:tcPr>
            <w:tcW w:w="2263" w:type="dxa"/>
            <w:shd w:val="clear" w:color="auto" w:fill="auto"/>
            <w:noWrap/>
            <w:vAlign w:val="bottom"/>
            <w:hideMark/>
          </w:tcPr>
          <w:p w14:paraId="5E899A24" w14:textId="77777777" w:rsidR="007E48B3" w:rsidRPr="00B91BCA" w:rsidRDefault="007E48B3" w:rsidP="00416373">
            <w:pPr>
              <w:bidi w:val="0"/>
              <w:rPr>
                <w:rFonts w:ascii="Times New Roman" w:hAnsi="Times New Roman" w:cs="Times New Roman"/>
                <w:sz w:val="18"/>
                <w:szCs w:val="18"/>
              </w:rPr>
            </w:pPr>
          </w:p>
        </w:tc>
        <w:tc>
          <w:tcPr>
            <w:tcW w:w="1848" w:type="dxa"/>
            <w:shd w:val="clear" w:color="auto" w:fill="auto"/>
            <w:noWrap/>
            <w:vAlign w:val="bottom"/>
            <w:hideMark/>
          </w:tcPr>
          <w:p w14:paraId="5FEB3915"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14.05%</w:t>
            </w:r>
          </w:p>
        </w:tc>
      </w:tr>
      <w:tr w:rsidR="007E48B3" w:rsidRPr="00B91BCA" w14:paraId="76C21211" w14:textId="77777777" w:rsidTr="00416373">
        <w:trPr>
          <w:trHeight w:val="300"/>
        </w:trPr>
        <w:tc>
          <w:tcPr>
            <w:tcW w:w="663" w:type="dxa"/>
            <w:vAlign w:val="bottom"/>
          </w:tcPr>
          <w:p w14:paraId="52EB8A78" w14:textId="77777777" w:rsidR="007E48B3" w:rsidRPr="00B91BCA" w:rsidRDefault="007E48B3" w:rsidP="00416373">
            <w:pPr>
              <w:bidi w:val="0"/>
              <w:jc w:val="right"/>
              <w:rPr>
                <w:rFonts w:cs="Calibri"/>
                <w:color w:val="000000"/>
                <w:sz w:val="18"/>
                <w:szCs w:val="18"/>
              </w:rPr>
            </w:pPr>
            <w:r>
              <w:rPr>
                <w:rFonts w:cs="Calibri"/>
                <w:color w:val="000000"/>
              </w:rPr>
              <w:t>2004</w:t>
            </w:r>
          </w:p>
        </w:tc>
        <w:tc>
          <w:tcPr>
            <w:tcW w:w="1205" w:type="dxa"/>
            <w:shd w:val="clear" w:color="auto" w:fill="auto"/>
            <w:noWrap/>
            <w:vAlign w:val="bottom"/>
            <w:hideMark/>
          </w:tcPr>
          <w:p w14:paraId="312BEE4B"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11%</w:t>
            </w:r>
          </w:p>
        </w:tc>
        <w:tc>
          <w:tcPr>
            <w:tcW w:w="1955" w:type="dxa"/>
            <w:shd w:val="clear" w:color="auto" w:fill="auto"/>
            <w:noWrap/>
            <w:vAlign w:val="bottom"/>
            <w:hideMark/>
          </w:tcPr>
          <w:p w14:paraId="7D617EC5"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19%</w:t>
            </w:r>
          </w:p>
        </w:tc>
        <w:tc>
          <w:tcPr>
            <w:tcW w:w="1275" w:type="dxa"/>
            <w:shd w:val="clear" w:color="auto" w:fill="auto"/>
            <w:noWrap/>
            <w:vAlign w:val="bottom"/>
            <w:hideMark/>
          </w:tcPr>
          <w:p w14:paraId="20494F5E" w14:textId="77777777" w:rsidR="007E48B3" w:rsidRPr="00B91BCA" w:rsidRDefault="007E48B3" w:rsidP="00416373">
            <w:pPr>
              <w:bidi w:val="0"/>
              <w:jc w:val="right"/>
              <w:rPr>
                <w:rFonts w:cs="Calibri"/>
                <w:color w:val="000000"/>
                <w:sz w:val="18"/>
                <w:szCs w:val="18"/>
              </w:rPr>
            </w:pPr>
          </w:p>
        </w:tc>
        <w:tc>
          <w:tcPr>
            <w:tcW w:w="2263" w:type="dxa"/>
            <w:shd w:val="clear" w:color="auto" w:fill="auto"/>
            <w:noWrap/>
            <w:vAlign w:val="bottom"/>
            <w:hideMark/>
          </w:tcPr>
          <w:p w14:paraId="3776901B"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87%</w:t>
            </w:r>
          </w:p>
        </w:tc>
        <w:tc>
          <w:tcPr>
            <w:tcW w:w="1848" w:type="dxa"/>
            <w:shd w:val="clear" w:color="auto" w:fill="auto"/>
            <w:noWrap/>
            <w:vAlign w:val="bottom"/>
            <w:hideMark/>
          </w:tcPr>
          <w:p w14:paraId="5A83362C"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14.39%</w:t>
            </w:r>
          </w:p>
        </w:tc>
      </w:tr>
      <w:tr w:rsidR="007E48B3" w:rsidRPr="00B91BCA" w14:paraId="7B13DA67" w14:textId="77777777" w:rsidTr="00416373">
        <w:trPr>
          <w:trHeight w:val="300"/>
        </w:trPr>
        <w:tc>
          <w:tcPr>
            <w:tcW w:w="663" w:type="dxa"/>
            <w:vAlign w:val="bottom"/>
          </w:tcPr>
          <w:p w14:paraId="0E3C1F73" w14:textId="77777777" w:rsidR="007E48B3" w:rsidRPr="00B91BCA" w:rsidRDefault="007E48B3" w:rsidP="00416373">
            <w:pPr>
              <w:bidi w:val="0"/>
              <w:jc w:val="right"/>
              <w:rPr>
                <w:rFonts w:cs="Calibri"/>
                <w:color w:val="000000"/>
                <w:sz w:val="18"/>
                <w:szCs w:val="18"/>
              </w:rPr>
            </w:pPr>
            <w:r>
              <w:rPr>
                <w:rFonts w:cs="Calibri"/>
                <w:color w:val="000000"/>
              </w:rPr>
              <w:t>2005</w:t>
            </w:r>
          </w:p>
        </w:tc>
        <w:tc>
          <w:tcPr>
            <w:tcW w:w="1205" w:type="dxa"/>
            <w:shd w:val="clear" w:color="auto" w:fill="auto"/>
            <w:noWrap/>
            <w:vAlign w:val="bottom"/>
            <w:hideMark/>
          </w:tcPr>
          <w:p w14:paraId="338F2943"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13%</w:t>
            </w:r>
          </w:p>
        </w:tc>
        <w:tc>
          <w:tcPr>
            <w:tcW w:w="1955" w:type="dxa"/>
            <w:shd w:val="clear" w:color="auto" w:fill="auto"/>
            <w:noWrap/>
            <w:vAlign w:val="bottom"/>
            <w:hideMark/>
          </w:tcPr>
          <w:p w14:paraId="162EC8CF"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64%</w:t>
            </w:r>
          </w:p>
        </w:tc>
        <w:tc>
          <w:tcPr>
            <w:tcW w:w="1275" w:type="dxa"/>
            <w:shd w:val="clear" w:color="auto" w:fill="auto"/>
            <w:noWrap/>
            <w:vAlign w:val="bottom"/>
            <w:hideMark/>
          </w:tcPr>
          <w:p w14:paraId="1BDA5C08" w14:textId="77777777" w:rsidR="007E48B3" w:rsidRPr="00B91BCA" w:rsidRDefault="007E48B3" w:rsidP="00416373">
            <w:pPr>
              <w:bidi w:val="0"/>
              <w:jc w:val="right"/>
              <w:rPr>
                <w:rFonts w:cs="Calibri"/>
                <w:color w:val="000000"/>
                <w:sz w:val="18"/>
                <w:szCs w:val="18"/>
              </w:rPr>
            </w:pPr>
          </w:p>
        </w:tc>
        <w:tc>
          <w:tcPr>
            <w:tcW w:w="2263" w:type="dxa"/>
            <w:shd w:val="clear" w:color="auto" w:fill="auto"/>
            <w:noWrap/>
            <w:vAlign w:val="bottom"/>
            <w:hideMark/>
          </w:tcPr>
          <w:p w14:paraId="2309668A"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85%</w:t>
            </w:r>
          </w:p>
        </w:tc>
        <w:tc>
          <w:tcPr>
            <w:tcW w:w="1848" w:type="dxa"/>
            <w:shd w:val="clear" w:color="auto" w:fill="auto"/>
            <w:noWrap/>
            <w:vAlign w:val="bottom"/>
            <w:hideMark/>
          </w:tcPr>
          <w:p w14:paraId="3AAF887C"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13.38%</w:t>
            </w:r>
          </w:p>
        </w:tc>
      </w:tr>
      <w:tr w:rsidR="007E48B3" w:rsidRPr="00B91BCA" w14:paraId="6EA7DD51" w14:textId="77777777" w:rsidTr="00416373">
        <w:trPr>
          <w:trHeight w:val="300"/>
        </w:trPr>
        <w:tc>
          <w:tcPr>
            <w:tcW w:w="663" w:type="dxa"/>
            <w:vAlign w:val="bottom"/>
          </w:tcPr>
          <w:p w14:paraId="43AEAE0F" w14:textId="77777777" w:rsidR="007E48B3" w:rsidRPr="00B91BCA" w:rsidRDefault="007E48B3" w:rsidP="00416373">
            <w:pPr>
              <w:bidi w:val="0"/>
              <w:jc w:val="right"/>
              <w:rPr>
                <w:rFonts w:cs="Calibri"/>
                <w:color w:val="000000"/>
                <w:sz w:val="18"/>
                <w:szCs w:val="18"/>
              </w:rPr>
            </w:pPr>
            <w:r>
              <w:rPr>
                <w:rFonts w:cs="Calibri"/>
                <w:color w:val="000000"/>
              </w:rPr>
              <w:t>2006</w:t>
            </w:r>
          </w:p>
        </w:tc>
        <w:tc>
          <w:tcPr>
            <w:tcW w:w="1205" w:type="dxa"/>
            <w:shd w:val="clear" w:color="auto" w:fill="auto"/>
            <w:noWrap/>
            <w:vAlign w:val="bottom"/>
            <w:hideMark/>
          </w:tcPr>
          <w:p w14:paraId="1F584D0B"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18%</w:t>
            </w:r>
          </w:p>
        </w:tc>
        <w:tc>
          <w:tcPr>
            <w:tcW w:w="1955" w:type="dxa"/>
            <w:shd w:val="clear" w:color="auto" w:fill="auto"/>
            <w:noWrap/>
            <w:vAlign w:val="bottom"/>
            <w:hideMark/>
          </w:tcPr>
          <w:p w14:paraId="19905F70"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66%</w:t>
            </w:r>
          </w:p>
        </w:tc>
        <w:tc>
          <w:tcPr>
            <w:tcW w:w="1275" w:type="dxa"/>
            <w:shd w:val="clear" w:color="auto" w:fill="auto"/>
            <w:noWrap/>
            <w:vAlign w:val="bottom"/>
            <w:hideMark/>
          </w:tcPr>
          <w:p w14:paraId="52AA0741" w14:textId="77777777" w:rsidR="007E48B3" w:rsidRPr="00B91BCA" w:rsidRDefault="007E48B3" w:rsidP="00416373">
            <w:pPr>
              <w:bidi w:val="0"/>
              <w:jc w:val="right"/>
              <w:rPr>
                <w:rFonts w:cs="Calibri"/>
                <w:color w:val="000000"/>
                <w:sz w:val="18"/>
                <w:szCs w:val="18"/>
              </w:rPr>
            </w:pPr>
          </w:p>
        </w:tc>
        <w:tc>
          <w:tcPr>
            <w:tcW w:w="2263" w:type="dxa"/>
            <w:shd w:val="clear" w:color="auto" w:fill="auto"/>
            <w:noWrap/>
            <w:vAlign w:val="bottom"/>
            <w:hideMark/>
          </w:tcPr>
          <w:p w14:paraId="5FE531F6"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90%</w:t>
            </w:r>
          </w:p>
        </w:tc>
        <w:tc>
          <w:tcPr>
            <w:tcW w:w="1848" w:type="dxa"/>
            <w:shd w:val="clear" w:color="auto" w:fill="auto"/>
            <w:noWrap/>
            <w:vAlign w:val="bottom"/>
            <w:hideMark/>
          </w:tcPr>
          <w:p w14:paraId="76BA930A"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13.76%</w:t>
            </w:r>
          </w:p>
        </w:tc>
      </w:tr>
      <w:tr w:rsidR="007E48B3" w:rsidRPr="00B91BCA" w14:paraId="7A91A0B4" w14:textId="77777777" w:rsidTr="00416373">
        <w:trPr>
          <w:trHeight w:val="300"/>
        </w:trPr>
        <w:tc>
          <w:tcPr>
            <w:tcW w:w="663" w:type="dxa"/>
            <w:vAlign w:val="bottom"/>
          </w:tcPr>
          <w:p w14:paraId="38E261D7" w14:textId="77777777" w:rsidR="007E48B3" w:rsidRPr="00B91BCA" w:rsidRDefault="007E48B3" w:rsidP="00416373">
            <w:pPr>
              <w:bidi w:val="0"/>
              <w:jc w:val="right"/>
              <w:rPr>
                <w:rFonts w:cs="Calibri"/>
                <w:color w:val="000000"/>
                <w:sz w:val="18"/>
                <w:szCs w:val="18"/>
              </w:rPr>
            </w:pPr>
            <w:r>
              <w:rPr>
                <w:rFonts w:cs="Calibri"/>
                <w:color w:val="000000"/>
              </w:rPr>
              <w:t>2007</w:t>
            </w:r>
          </w:p>
        </w:tc>
        <w:tc>
          <w:tcPr>
            <w:tcW w:w="1205" w:type="dxa"/>
            <w:shd w:val="clear" w:color="auto" w:fill="auto"/>
            <w:noWrap/>
            <w:vAlign w:val="bottom"/>
            <w:hideMark/>
          </w:tcPr>
          <w:p w14:paraId="5FD040DB"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21%</w:t>
            </w:r>
          </w:p>
        </w:tc>
        <w:tc>
          <w:tcPr>
            <w:tcW w:w="1955" w:type="dxa"/>
            <w:shd w:val="clear" w:color="auto" w:fill="auto"/>
            <w:noWrap/>
            <w:vAlign w:val="bottom"/>
            <w:hideMark/>
          </w:tcPr>
          <w:p w14:paraId="535503E6"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44%</w:t>
            </w:r>
          </w:p>
        </w:tc>
        <w:tc>
          <w:tcPr>
            <w:tcW w:w="1275" w:type="dxa"/>
            <w:shd w:val="clear" w:color="auto" w:fill="auto"/>
            <w:noWrap/>
            <w:vAlign w:val="bottom"/>
            <w:hideMark/>
          </w:tcPr>
          <w:p w14:paraId="7F836F6F" w14:textId="77777777" w:rsidR="007E48B3" w:rsidRPr="00B91BCA" w:rsidRDefault="007E48B3" w:rsidP="00416373">
            <w:pPr>
              <w:bidi w:val="0"/>
              <w:jc w:val="right"/>
              <w:rPr>
                <w:rFonts w:cs="Calibri"/>
                <w:color w:val="000000"/>
                <w:sz w:val="18"/>
                <w:szCs w:val="18"/>
              </w:rPr>
            </w:pPr>
          </w:p>
        </w:tc>
        <w:tc>
          <w:tcPr>
            <w:tcW w:w="2263" w:type="dxa"/>
            <w:shd w:val="clear" w:color="auto" w:fill="auto"/>
            <w:noWrap/>
            <w:vAlign w:val="bottom"/>
            <w:hideMark/>
          </w:tcPr>
          <w:p w14:paraId="7056F034"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85%</w:t>
            </w:r>
          </w:p>
        </w:tc>
        <w:tc>
          <w:tcPr>
            <w:tcW w:w="1848" w:type="dxa"/>
            <w:shd w:val="clear" w:color="auto" w:fill="auto"/>
            <w:noWrap/>
            <w:vAlign w:val="bottom"/>
            <w:hideMark/>
          </w:tcPr>
          <w:p w14:paraId="5249F6E5"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14.74%</w:t>
            </w:r>
          </w:p>
        </w:tc>
      </w:tr>
      <w:tr w:rsidR="007E48B3" w:rsidRPr="00B91BCA" w14:paraId="554FDC93" w14:textId="77777777" w:rsidTr="00416373">
        <w:trPr>
          <w:trHeight w:val="300"/>
        </w:trPr>
        <w:tc>
          <w:tcPr>
            <w:tcW w:w="663" w:type="dxa"/>
            <w:vAlign w:val="bottom"/>
          </w:tcPr>
          <w:p w14:paraId="3FCF20B6" w14:textId="77777777" w:rsidR="007E48B3" w:rsidRPr="00B91BCA" w:rsidRDefault="007E48B3" w:rsidP="00416373">
            <w:pPr>
              <w:bidi w:val="0"/>
              <w:jc w:val="right"/>
              <w:rPr>
                <w:rFonts w:cs="Calibri"/>
                <w:color w:val="000000"/>
                <w:sz w:val="18"/>
                <w:szCs w:val="18"/>
              </w:rPr>
            </w:pPr>
            <w:r>
              <w:rPr>
                <w:rFonts w:cs="Calibri"/>
                <w:color w:val="000000"/>
              </w:rPr>
              <w:t>2008</w:t>
            </w:r>
          </w:p>
        </w:tc>
        <w:tc>
          <w:tcPr>
            <w:tcW w:w="1205" w:type="dxa"/>
            <w:shd w:val="clear" w:color="auto" w:fill="auto"/>
            <w:noWrap/>
            <w:vAlign w:val="bottom"/>
            <w:hideMark/>
          </w:tcPr>
          <w:p w14:paraId="0826C1C2"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27%</w:t>
            </w:r>
          </w:p>
        </w:tc>
        <w:tc>
          <w:tcPr>
            <w:tcW w:w="1955" w:type="dxa"/>
            <w:shd w:val="clear" w:color="auto" w:fill="auto"/>
            <w:noWrap/>
            <w:vAlign w:val="bottom"/>
            <w:hideMark/>
          </w:tcPr>
          <w:p w14:paraId="51E3E892"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41%</w:t>
            </w:r>
          </w:p>
        </w:tc>
        <w:tc>
          <w:tcPr>
            <w:tcW w:w="1275" w:type="dxa"/>
            <w:shd w:val="clear" w:color="auto" w:fill="auto"/>
            <w:noWrap/>
            <w:vAlign w:val="bottom"/>
            <w:hideMark/>
          </w:tcPr>
          <w:p w14:paraId="2F5E129D" w14:textId="77777777" w:rsidR="007E48B3" w:rsidRPr="00B91BCA" w:rsidRDefault="007E48B3" w:rsidP="00416373">
            <w:pPr>
              <w:bidi w:val="0"/>
              <w:jc w:val="right"/>
              <w:rPr>
                <w:rFonts w:cs="Calibri"/>
                <w:color w:val="000000"/>
                <w:sz w:val="18"/>
                <w:szCs w:val="18"/>
              </w:rPr>
            </w:pPr>
          </w:p>
        </w:tc>
        <w:tc>
          <w:tcPr>
            <w:tcW w:w="2263" w:type="dxa"/>
            <w:shd w:val="clear" w:color="auto" w:fill="auto"/>
            <w:noWrap/>
            <w:vAlign w:val="bottom"/>
            <w:hideMark/>
          </w:tcPr>
          <w:p w14:paraId="46FCE840"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86%</w:t>
            </w:r>
          </w:p>
        </w:tc>
        <w:tc>
          <w:tcPr>
            <w:tcW w:w="1848" w:type="dxa"/>
            <w:shd w:val="clear" w:color="auto" w:fill="auto"/>
            <w:noWrap/>
            <w:vAlign w:val="bottom"/>
            <w:hideMark/>
          </w:tcPr>
          <w:p w14:paraId="6F66C992"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17.11%</w:t>
            </w:r>
          </w:p>
        </w:tc>
      </w:tr>
      <w:tr w:rsidR="007E48B3" w:rsidRPr="00B91BCA" w14:paraId="3F103E75" w14:textId="77777777" w:rsidTr="00416373">
        <w:trPr>
          <w:trHeight w:val="300"/>
        </w:trPr>
        <w:tc>
          <w:tcPr>
            <w:tcW w:w="663" w:type="dxa"/>
            <w:vAlign w:val="bottom"/>
          </w:tcPr>
          <w:p w14:paraId="73CDDB06" w14:textId="77777777" w:rsidR="007E48B3" w:rsidRPr="00B91BCA" w:rsidRDefault="007E48B3" w:rsidP="00416373">
            <w:pPr>
              <w:bidi w:val="0"/>
              <w:jc w:val="right"/>
              <w:rPr>
                <w:rFonts w:cs="Calibri"/>
                <w:color w:val="000000"/>
                <w:sz w:val="18"/>
                <w:szCs w:val="18"/>
              </w:rPr>
            </w:pPr>
            <w:r>
              <w:rPr>
                <w:rFonts w:cs="Calibri"/>
                <w:color w:val="000000"/>
              </w:rPr>
              <w:t>2009</w:t>
            </w:r>
          </w:p>
        </w:tc>
        <w:tc>
          <w:tcPr>
            <w:tcW w:w="1205" w:type="dxa"/>
            <w:shd w:val="clear" w:color="auto" w:fill="auto"/>
            <w:noWrap/>
            <w:vAlign w:val="bottom"/>
            <w:hideMark/>
          </w:tcPr>
          <w:p w14:paraId="3B587D66"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36%</w:t>
            </w:r>
          </w:p>
        </w:tc>
        <w:tc>
          <w:tcPr>
            <w:tcW w:w="1955" w:type="dxa"/>
            <w:shd w:val="clear" w:color="auto" w:fill="auto"/>
            <w:noWrap/>
            <w:vAlign w:val="bottom"/>
            <w:hideMark/>
          </w:tcPr>
          <w:p w14:paraId="4CCF9496"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51%</w:t>
            </w:r>
          </w:p>
        </w:tc>
        <w:tc>
          <w:tcPr>
            <w:tcW w:w="1275" w:type="dxa"/>
            <w:shd w:val="clear" w:color="auto" w:fill="auto"/>
            <w:noWrap/>
            <w:vAlign w:val="bottom"/>
            <w:hideMark/>
          </w:tcPr>
          <w:p w14:paraId="528412DC" w14:textId="77777777" w:rsidR="007E48B3" w:rsidRPr="00B91BCA" w:rsidRDefault="007E48B3" w:rsidP="00416373">
            <w:pPr>
              <w:bidi w:val="0"/>
              <w:jc w:val="right"/>
              <w:rPr>
                <w:rFonts w:cs="Calibri"/>
                <w:color w:val="000000"/>
                <w:sz w:val="18"/>
                <w:szCs w:val="18"/>
              </w:rPr>
            </w:pPr>
          </w:p>
        </w:tc>
        <w:tc>
          <w:tcPr>
            <w:tcW w:w="2263" w:type="dxa"/>
            <w:shd w:val="clear" w:color="auto" w:fill="auto"/>
            <w:noWrap/>
            <w:vAlign w:val="bottom"/>
            <w:hideMark/>
          </w:tcPr>
          <w:p w14:paraId="2FD46FFE"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84%</w:t>
            </w:r>
          </w:p>
        </w:tc>
        <w:tc>
          <w:tcPr>
            <w:tcW w:w="1848" w:type="dxa"/>
            <w:shd w:val="clear" w:color="auto" w:fill="auto"/>
            <w:noWrap/>
            <w:vAlign w:val="bottom"/>
            <w:hideMark/>
          </w:tcPr>
          <w:p w14:paraId="03D93699"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16.93%</w:t>
            </w:r>
          </w:p>
        </w:tc>
      </w:tr>
      <w:tr w:rsidR="007E48B3" w:rsidRPr="00B91BCA" w14:paraId="265E6A9F" w14:textId="77777777" w:rsidTr="00416373">
        <w:trPr>
          <w:trHeight w:val="315"/>
        </w:trPr>
        <w:tc>
          <w:tcPr>
            <w:tcW w:w="663" w:type="dxa"/>
            <w:vAlign w:val="bottom"/>
          </w:tcPr>
          <w:p w14:paraId="6D38F527" w14:textId="77777777" w:rsidR="007E48B3" w:rsidRPr="00B91BCA" w:rsidRDefault="007E48B3" w:rsidP="00416373">
            <w:pPr>
              <w:bidi w:val="0"/>
              <w:jc w:val="right"/>
              <w:rPr>
                <w:rFonts w:cs="Calibri"/>
                <w:color w:val="000000"/>
                <w:sz w:val="18"/>
                <w:szCs w:val="18"/>
              </w:rPr>
            </w:pPr>
            <w:r>
              <w:rPr>
                <w:rFonts w:cs="Calibri"/>
                <w:color w:val="000000"/>
              </w:rPr>
              <w:t>2010</w:t>
            </w:r>
          </w:p>
        </w:tc>
        <w:tc>
          <w:tcPr>
            <w:tcW w:w="1205" w:type="dxa"/>
            <w:shd w:val="clear" w:color="auto" w:fill="auto"/>
            <w:noWrap/>
            <w:vAlign w:val="bottom"/>
            <w:hideMark/>
          </w:tcPr>
          <w:p w14:paraId="3D21D387"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52%</w:t>
            </w:r>
          </w:p>
        </w:tc>
        <w:tc>
          <w:tcPr>
            <w:tcW w:w="1955" w:type="dxa"/>
            <w:shd w:val="clear" w:color="auto" w:fill="auto"/>
            <w:noWrap/>
            <w:vAlign w:val="bottom"/>
            <w:hideMark/>
          </w:tcPr>
          <w:p w14:paraId="55BCAD58"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55%</w:t>
            </w:r>
          </w:p>
        </w:tc>
        <w:tc>
          <w:tcPr>
            <w:tcW w:w="1275" w:type="dxa"/>
            <w:shd w:val="clear" w:color="auto" w:fill="DEEAF6" w:themeFill="accent5" w:themeFillTint="33"/>
            <w:noWrap/>
            <w:vAlign w:val="bottom"/>
            <w:hideMark/>
          </w:tcPr>
          <w:p w14:paraId="4252F7DD"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14.98%</w:t>
            </w:r>
          </w:p>
        </w:tc>
        <w:tc>
          <w:tcPr>
            <w:tcW w:w="2263" w:type="dxa"/>
            <w:shd w:val="clear" w:color="auto" w:fill="auto"/>
            <w:noWrap/>
            <w:vAlign w:val="bottom"/>
            <w:hideMark/>
          </w:tcPr>
          <w:p w14:paraId="03FBAC89"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86%</w:t>
            </w:r>
          </w:p>
        </w:tc>
        <w:tc>
          <w:tcPr>
            <w:tcW w:w="1848" w:type="dxa"/>
            <w:shd w:val="clear" w:color="auto" w:fill="auto"/>
            <w:noWrap/>
            <w:vAlign w:val="bottom"/>
            <w:hideMark/>
          </w:tcPr>
          <w:p w14:paraId="6916AFAD"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18.21%</w:t>
            </w:r>
          </w:p>
        </w:tc>
      </w:tr>
      <w:tr w:rsidR="007E48B3" w:rsidRPr="00B91BCA" w14:paraId="69318176" w14:textId="77777777" w:rsidTr="00416373">
        <w:trPr>
          <w:trHeight w:val="300"/>
        </w:trPr>
        <w:tc>
          <w:tcPr>
            <w:tcW w:w="663" w:type="dxa"/>
            <w:vAlign w:val="bottom"/>
          </w:tcPr>
          <w:p w14:paraId="0F2D2963" w14:textId="77777777" w:rsidR="007E48B3" w:rsidRPr="00B91BCA" w:rsidRDefault="007E48B3" w:rsidP="00416373">
            <w:pPr>
              <w:bidi w:val="0"/>
              <w:jc w:val="right"/>
              <w:rPr>
                <w:rFonts w:cs="Calibri"/>
                <w:color w:val="000000"/>
                <w:sz w:val="18"/>
                <w:szCs w:val="18"/>
              </w:rPr>
            </w:pPr>
            <w:r>
              <w:rPr>
                <w:rFonts w:cs="Calibri"/>
                <w:color w:val="000000"/>
              </w:rPr>
              <w:t>2011</w:t>
            </w:r>
          </w:p>
        </w:tc>
        <w:tc>
          <w:tcPr>
            <w:tcW w:w="1205" w:type="dxa"/>
            <w:shd w:val="clear" w:color="auto" w:fill="auto"/>
            <w:noWrap/>
            <w:vAlign w:val="bottom"/>
            <w:hideMark/>
          </w:tcPr>
          <w:p w14:paraId="5299635A"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57%</w:t>
            </w:r>
          </w:p>
        </w:tc>
        <w:tc>
          <w:tcPr>
            <w:tcW w:w="1955" w:type="dxa"/>
            <w:shd w:val="clear" w:color="auto" w:fill="auto"/>
            <w:noWrap/>
            <w:vAlign w:val="bottom"/>
            <w:hideMark/>
          </w:tcPr>
          <w:p w14:paraId="618549DC"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60%</w:t>
            </w:r>
          </w:p>
        </w:tc>
        <w:tc>
          <w:tcPr>
            <w:tcW w:w="1275" w:type="dxa"/>
            <w:shd w:val="clear" w:color="auto" w:fill="auto"/>
            <w:noWrap/>
            <w:vAlign w:val="bottom"/>
            <w:hideMark/>
          </w:tcPr>
          <w:p w14:paraId="516F78C7"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15%</w:t>
            </w:r>
          </w:p>
        </w:tc>
        <w:tc>
          <w:tcPr>
            <w:tcW w:w="2263" w:type="dxa"/>
            <w:shd w:val="clear" w:color="auto" w:fill="auto"/>
            <w:noWrap/>
            <w:vAlign w:val="bottom"/>
            <w:hideMark/>
          </w:tcPr>
          <w:p w14:paraId="3C794DCC"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85%</w:t>
            </w:r>
          </w:p>
        </w:tc>
        <w:tc>
          <w:tcPr>
            <w:tcW w:w="1848" w:type="dxa"/>
            <w:shd w:val="clear" w:color="auto" w:fill="auto"/>
            <w:noWrap/>
            <w:vAlign w:val="bottom"/>
            <w:hideMark/>
          </w:tcPr>
          <w:p w14:paraId="14AA6D58"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17.60%</w:t>
            </w:r>
          </w:p>
        </w:tc>
      </w:tr>
      <w:tr w:rsidR="007E48B3" w:rsidRPr="00B91BCA" w14:paraId="6080D29B" w14:textId="77777777" w:rsidTr="00416373">
        <w:trPr>
          <w:trHeight w:val="300"/>
        </w:trPr>
        <w:tc>
          <w:tcPr>
            <w:tcW w:w="663" w:type="dxa"/>
            <w:vAlign w:val="bottom"/>
          </w:tcPr>
          <w:p w14:paraId="2B408A6C" w14:textId="77777777" w:rsidR="007E48B3" w:rsidRPr="00B91BCA" w:rsidRDefault="007E48B3" w:rsidP="00416373">
            <w:pPr>
              <w:bidi w:val="0"/>
              <w:jc w:val="right"/>
              <w:rPr>
                <w:rFonts w:cs="Calibri"/>
                <w:color w:val="000000"/>
                <w:sz w:val="18"/>
                <w:szCs w:val="18"/>
              </w:rPr>
            </w:pPr>
            <w:r>
              <w:rPr>
                <w:rFonts w:cs="Calibri"/>
                <w:color w:val="000000"/>
              </w:rPr>
              <w:t>2012</w:t>
            </w:r>
          </w:p>
        </w:tc>
        <w:tc>
          <w:tcPr>
            <w:tcW w:w="1205" w:type="dxa"/>
            <w:shd w:val="clear" w:color="auto" w:fill="auto"/>
            <w:noWrap/>
            <w:vAlign w:val="bottom"/>
            <w:hideMark/>
          </w:tcPr>
          <w:p w14:paraId="660B230E"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61%</w:t>
            </w:r>
          </w:p>
        </w:tc>
        <w:tc>
          <w:tcPr>
            <w:tcW w:w="1955" w:type="dxa"/>
            <w:shd w:val="clear" w:color="auto" w:fill="auto"/>
            <w:noWrap/>
            <w:vAlign w:val="bottom"/>
            <w:hideMark/>
          </w:tcPr>
          <w:p w14:paraId="544CB769"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61%</w:t>
            </w:r>
          </w:p>
        </w:tc>
        <w:tc>
          <w:tcPr>
            <w:tcW w:w="1275" w:type="dxa"/>
            <w:shd w:val="clear" w:color="auto" w:fill="auto"/>
            <w:noWrap/>
            <w:vAlign w:val="bottom"/>
            <w:hideMark/>
          </w:tcPr>
          <w:p w14:paraId="1E25237E"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17%</w:t>
            </w:r>
          </w:p>
        </w:tc>
        <w:tc>
          <w:tcPr>
            <w:tcW w:w="2263" w:type="dxa"/>
            <w:shd w:val="clear" w:color="auto" w:fill="auto"/>
            <w:noWrap/>
            <w:vAlign w:val="bottom"/>
            <w:hideMark/>
          </w:tcPr>
          <w:p w14:paraId="11CF6547"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88%</w:t>
            </w:r>
          </w:p>
        </w:tc>
        <w:tc>
          <w:tcPr>
            <w:tcW w:w="1848" w:type="dxa"/>
            <w:shd w:val="clear" w:color="auto" w:fill="auto"/>
            <w:noWrap/>
            <w:vAlign w:val="bottom"/>
            <w:hideMark/>
          </w:tcPr>
          <w:p w14:paraId="5C6D19BA"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16.21%</w:t>
            </w:r>
          </w:p>
        </w:tc>
      </w:tr>
      <w:tr w:rsidR="007E48B3" w:rsidRPr="00B91BCA" w14:paraId="752156B6" w14:textId="77777777" w:rsidTr="00416373">
        <w:trPr>
          <w:trHeight w:val="300"/>
        </w:trPr>
        <w:tc>
          <w:tcPr>
            <w:tcW w:w="663" w:type="dxa"/>
            <w:vAlign w:val="bottom"/>
          </w:tcPr>
          <w:p w14:paraId="491C5C93" w14:textId="77777777" w:rsidR="007E48B3" w:rsidRPr="00B91BCA" w:rsidRDefault="007E48B3" w:rsidP="00416373">
            <w:pPr>
              <w:bidi w:val="0"/>
              <w:jc w:val="right"/>
              <w:rPr>
                <w:rFonts w:cs="Calibri"/>
                <w:color w:val="000000"/>
                <w:sz w:val="18"/>
                <w:szCs w:val="18"/>
              </w:rPr>
            </w:pPr>
            <w:r>
              <w:rPr>
                <w:rFonts w:cs="Calibri"/>
                <w:color w:val="000000"/>
              </w:rPr>
              <w:t>2013</w:t>
            </w:r>
          </w:p>
        </w:tc>
        <w:tc>
          <w:tcPr>
            <w:tcW w:w="1205" w:type="dxa"/>
            <w:shd w:val="clear" w:color="auto" w:fill="auto"/>
            <w:noWrap/>
            <w:vAlign w:val="bottom"/>
            <w:hideMark/>
          </w:tcPr>
          <w:p w14:paraId="60184C31"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60%</w:t>
            </w:r>
          </w:p>
        </w:tc>
        <w:tc>
          <w:tcPr>
            <w:tcW w:w="1955" w:type="dxa"/>
            <w:shd w:val="clear" w:color="auto" w:fill="auto"/>
            <w:noWrap/>
            <w:vAlign w:val="bottom"/>
            <w:hideMark/>
          </w:tcPr>
          <w:p w14:paraId="1F2FD702"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66%</w:t>
            </w:r>
          </w:p>
        </w:tc>
        <w:tc>
          <w:tcPr>
            <w:tcW w:w="1275" w:type="dxa"/>
            <w:shd w:val="clear" w:color="auto" w:fill="auto"/>
            <w:noWrap/>
            <w:vAlign w:val="bottom"/>
            <w:hideMark/>
          </w:tcPr>
          <w:p w14:paraId="09582E17"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19%</w:t>
            </w:r>
          </w:p>
        </w:tc>
        <w:tc>
          <w:tcPr>
            <w:tcW w:w="2263" w:type="dxa"/>
            <w:shd w:val="clear" w:color="auto" w:fill="auto"/>
            <w:noWrap/>
            <w:vAlign w:val="bottom"/>
            <w:hideMark/>
          </w:tcPr>
          <w:p w14:paraId="16ECCAFA"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85%</w:t>
            </w:r>
          </w:p>
        </w:tc>
        <w:tc>
          <w:tcPr>
            <w:tcW w:w="1848" w:type="dxa"/>
            <w:shd w:val="clear" w:color="auto" w:fill="auto"/>
            <w:noWrap/>
            <w:vAlign w:val="bottom"/>
            <w:hideMark/>
          </w:tcPr>
          <w:p w14:paraId="15338927"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17.31%</w:t>
            </w:r>
          </w:p>
        </w:tc>
      </w:tr>
      <w:tr w:rsidR="007E48B3" w:rsidRPr="00B91BCA" w14:paraId="056AAF9F" w14:textId="77777777" w:rsidTr="00416373">
        <w:trPr>
          <w:trHeight w:val="300"/>
        </w:trPr>
        <w:tc>
          <w:tcPr>
            <w:tcW w:w="663" w:type="dxa"/>
            <w:vAlign w:val="bottom"/>
          </w:tcPr>
          <w:p w14:paraId="1B087124" w14:textId="77777777" w:rsidR="007E48B3" w:rsidRPr="00B91BCA" w:rsidRDefault="007E48B3" w:rsidP="00416373">
            <w:pPr>
              <w:bidi w:val="0"/>
              <w:jc w:val="right"/>
              <w:rPr>
                <w:rFonts w:cs="Calibri"/>
                <w:color w:val="000000"/>
                <w:sz w:val="18"/>
                <w:szCs w:val="18"/>
              </w:rPr>
            </w:pPr>
            <w:r>
              <w:rPr>
                <w:rFonts w:cs="Calibri"/>
                <w:color w:val="000000"/>
              </w:rPr>
              <w:t>2014</w:t>
            </w:r>
          </w:p>
        </w:tc>
        <w:tc>
          <w:tcPr>
            <w:tcW w:w="1205" w:type="dxa"/>
            <w:shd w:val="clear" w:color="auto" w:fill="auto"/>
            <w:noWrap/>
            <w:vAlign w:val="bottom"/>
            <w:hideMark/>
          </w:tcPr>
          <w:p w14:paraId="2DE930A5"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60%</w:t>
            </w:r>
          </w:p>
        </w:tc>
        <w:tc>
          <w:tcPr>
            <w:tcW w:w="1955" w:type="dxa"/>
            <w:shd w:val="clear" w:color="auto" w:fill="auto"/>
            <w:noWrap/>
            <w:vAlign w:val="bottom"/>
            <w:hideMark/>
          </w:tcPr>
          <w:p w14:paraId="65FBF71E"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72%</w:t>
            </w:r>
          </w:p>
        </w:tc>
        <w:tc>
          <w:tcPr>
            <w:tcW w:w="1275" w:type="dxa"/>
            <w:shd w:val="clear" w:color="auto" w:fill="auto"/>
            <w:noWrap/>
            <w:vAlign w:val="bottom"/>
            <w:hideMark/>
          </w:tcPr>
          <w:p w14:paraId="0E441730"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20%</w:t>
            </w:r>
          </w:p>
        </w:tc>
        <w:tc>
          <w:tcPr>
            <w:tcW w:w="2263" w:type="dxa"/>
            <w:shd w:val="clear" w:color="auto" w:fill="auto"/>
            <w:noWrap/>
            <w:vAlign w:val="bottom"/>
            <w:hideMark/>
          </w:tcPr>
          <w:p w14:paraId="653A4562"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89%</w:t>
            </w:r>
          </w:p>
        </w:tc>
        <w:tc>
          <w:tcPr>
            <w:tcW w:w="1848" w:type="dxa"/>
            <w:shd w:val="clear" w:color="auto" w:fill="auto"/>
            <w:noWrap/>
            <w:vAlign w:val="bottom"/>
            <w:hideMark/>
          </w:tcPr>
          <w:p w14:paraId="07849C3E"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18.53%</w:t>
            </w:r>
          </w:p>
        </w:tc>
      </w:tr>
      <w:tr w:rsidR="007E48B3" w:rsidRPr="00B91BCA" w14:paraId="370A18EB" w14:textId="77777777" w:rsidTr="00416373">
        <w:trPr>
          <w:trHeight w:val="300"/>
        </w:trPr>
        <w:tc>
          <w:tcPr>
            <w:tcW w:w="663" w:type="dxa"/>
            <w:vAlign w:val="bottom"/>
          </w:tcPr>
          <w:p w14:paraId="68E029F8" w14:textId="77777777" w:rsidR="007E48B3" w:rsidRPr="00B91BCA" w:rsidRDefault="007E48B3" w:rsidP="00416373">
            <w:pPr>
              <w:bidi w:val="0"/>
              <w:jc w:val="right"/>
              <w:rPr>
                <w:rFonts w:cs="Calibri"/>
                <w:color w:val="000000"/>
                <w:sz w:val="18"/>
                <w:szCs w:val="18"/>
              </w:rPr>
            </w:pPr>
            <w:r>
              <w:rPr>
                <w:rFonts w:cs="Calibri"/>
                <w:color w:val="000000"/>
              </w:rPr>
              <w:t>2015</w:t>
            </w:r>
          </w:p>
        </w:tc>
        <w:tc>
          <w:tcPr>
            <w:tcW w:w="1205" w:type="dxa"/>
            <w:shd w:val="clear" w:color="auto" w:fill="auto"/>
            <w:noWrap/>
            <w:vAlign w:val="bottom"/>
            <w:hideMark/>
          </w:tcPr>
          <w:p w14:paraId="7AB70CAC"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59%</w:t>
            </w:r>
          </w:p>
        </w:tc>
        <w:tc>
          <w:tcPr>
            <w:tcW w:w="1955" w:type="dxa"/>
            <w:shd w:val="clear" w:color="auto" w:fill="auto"/>
            <w:noWrap/>
            <w:vAlign w:val="bottom"/>
            <w:hideMark/>
          </w:tcPr>
          <w:p w14:paraId="5B6E0CCE"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74%</w:t>
            </w:r>
          </w:p>
        </w:tc>
        <w:tc>
          <w:tcPr>
            <w:tcW w:w="1275" w:type="dxa"/>
            <w:shd w:val="clear" w:color="auto" w:fill="auto"/>
            <w:noWrap/>
            <w:vAlign w:val="bottom"/>
            <w:hideMark/>
          </w:tcPr>
          <w:p w14:paraId="27EE3173"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22%</w:t>
            </w:r>
          </w:p>
        </w:tc>
        <w:tc>
          <w:tcPr>
            <w:tcW w:w="2263" w:type="dxa"/>
            <w:shd w:val="clear" w:color="auto" w:fill="auto"/>
            <w:noWrap/>
            <w:vAlign w:val="bottom"/>
            <w:hideMark/>
          </w:tcPr>
          <w:p w14:paraId="77EBD0DB"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87%</w:t>
            </w:r>
          </w:p>
        </w:tc>
        <w:tc>
          <w:tcPr>
            <w:tcW w:w="1848" w:type="dxa"/>
            <w:shd w:val="clear" w:color="auto" w:fill="auto"/>
            <w:noWrap/>
            <w:vAlign w:val="bottom"/>
            <w:hideMark/>
          </w:tcPr>
          <w:p w14:paraId="2CB857B9"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19.22%</w:t>
            </w:r>
          </w:p>
        </w:tc>
      </w:tr>
      <w:tr w:rsidR="007E48B3" w:rsidRPr="00B91BCA" w14:paraId="44B72C13" w14:textId="77777777" w:rsidTr="00416373">
        <w:trPr>
          <w:trHeight w:val="300"/>
        </w:trPr>
        <w:tc>
          <w:tcPr>
            <w:tcW w:w="663" w:type="dxa"/>
            <w:vAlign w:val="bottom"/>
          </w:tcPr>
          <w:p w14:paraId="196AB881" w14:textId="77777777" w:rsidR="007E48B3" w:rsidRPr="00B91BCA" w:rsidRDefault="007E48B3" w:rsidP="00416373">
            <w:pPr>
              <w:bidi w:val="0"/>
              <w:jc w:val="right"/>
              <w:rPr>
                <w:rFonts w:cs="Calibri"/>
                <w:color w:val="000000"/>
                <w:sz w:val="18"/>
                <w:szCs w:val="18"/>
              </w:rPr>
            </w:pPr>
            <w:r>
              <w:rPr>
                <w:rFonts w:cs="Calibri"/>
                <w:color w:val="000000"/>
              </w:rPr>
              <w:t>2016</w:t>
            </w:r>
          </w:p>
        </w:tc>
        <w:tc>
          <w:tcPr>
            <w:tcW w:w="1205" w:type="dxa"/>
            <w:shd w:val="clear" w:color="auto" w:fill="auto"/>
            <w:noWrap/>
            <w:vAlign w:val="bottom"/>
            <w:hideMark/>
          </w:tcPr>
          <w:p w14:paraId="2E34EB21"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61%</w:t>
            </w:r>
          </w:p>
        </w:tc>
        <w:tc>
          <w:tcPr>
            <w:tcW w:w="1955" w:type="dxa"/>
            <w:shd w:val="clear" w:color="auto" w:fill="auto"/>
            <w:noWrap/>
            <w:vAlign w:val="bottom"/>
            <w:hideMark/>
          </w:tcPr>
          <w:p w14:paraId="3F2D28A8"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77%</w:t>
            </w:r>
          </w:p>
        </w:tc>
        <w:tc>
          <w:tcPr>
            <w:tcW w:w="1275" w:type="dxa"/>
            <w:shd w:val="clear" w:color="auto" w:fill="auto"/>
            <w:noWrap/>
            <w:vAlign w:val="bottom"/>
            <w:hideMark/>
          </w:tcPr>
          <w:p w14:paraId="427D7C70"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25%</w:t>
            </w:r>
          </w:p>
        </w:tc>
        <w:tc>
          <w:tcPr>
            <w:tcW w:w="2263" w:type="dxa"/>
            <w:shd w:val="clear" w:color="auto" w:fill="auto"/>
            <w:noWrap/>
            <w:vAlign w:val="bottom"/>
            <w:hideMark/>
          </w:tcPr>
          <w:p w14:paraId="631BB27F"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88%</w:t>
            </w:r>
          </w:p>
        </w:tc>
        <w:tc>
          <w:tcPr>
            <w:tcW w:w="1848" w:type="dxa"/>
            <w:shd w:val="clear" w:color="auto" w:fill="auto"/>
            <w:noWrap/>
            <w:vAlign w:val="bottom"/>
            <w:hideMark/>
          </w:tcPr>
          <w:p w14:paraId="389B9BDC"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21.75%</w:t>
            </w:r>
          </w:p>
        </w:tc>
      </w:tr>
      <w:tr w:rsidR="007E48B3" w:rsidRPr="00B91BCA" w14:paraId="62D109CA" w14:textId="77777777" w:rsidTr="00416373">
        <w:trPr>
          <w:trHeight w:val="300"/>
        </w:trPr>
        <w:tc>
          <w:tcPr>
            <w:tcW w:w="663" w:type="dxa"/>
            <w:vAlign w:val="bottom"/>
          </w:tcPr>
          <w:p w14:paraId="4222B6FC" w14:textId="77777777" w:rsidR="007E48B3" w:rsidRPr="00B91BCA" w:rsidRDefault="007E48B3" w:rsidP="00416373">
            <w:pPr>
              <w:bidi w:val="0"/>
              <w:jc w:val="right"/>
              <w:rPr>
                <w:rFonts w:cs="Calibri"/>
                <w:color w:val="000000"/>
                <w:sz w:val="18"/>
                <w:szCs w:val="18"/>
              </w:rPr>
            </w:pPr>
            <w:r>
              <w:rPr>
                <w:rFonts w:cs="Calibri"/>
                <w:color w:val="000000"/>
              </w:rPr>
              <w:t>2017</w:t>
            </w:r>
          </w:p>
        </w:tc>
        <w:tc>
          <w:tcPr>
            <w:tcW w:w="1205" w:type="dxa"/>
            <w:shd w:val="clear" w:color="auto" w:fill="auto"/>
            <w:noWrap/>
            <w:vAlign w:val="bottom"/>
            <w:hideMark/>
          </w:tcPr>
          <w:p w14:paraId="48D2B278"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66%</w:t>
            </w:r>
          </w:p>
        </w:tc>
        <w:tc>
          <w:tcPr>
            <w:tcW w:w="1955" w:type="dxa"/>
            <w:shd w:val="clear" w:color="auto" w:fill="auto"/>
            <w:noWrap/>
            <w:vAlign w:val="bottom"/>
            <w:hideMark/>
          </w:tcPr>
          <w:p w14:paraId="56158607"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80%</w:t>
            </w:r>
          </w:p>
        </w:tc>
        <w:tc>
          <w:tcPr>
            <w:tcW w:w="1275" w:type="dxa"/>
            <w:shd w:val="clear" w:color="auto" w:fill="auto"/>
            <w:noWrap/>
            <w:vAlign w:val="bottom"/>
            <w:hideMark/>
          </w:tcPr>
          <w:p w14:paraId="12C38B9E"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27%</w:t>
            </w:r>
          </w:p>
        </w:tc>
        <w:tc>
          <w:tcPr>
            <w:tcW w:w="2263" w:type="dxa"/>
            <w:shd w:val="clear" w:color="auto" w:fill="auto"/>
            <w:noWrap/>
            <w:vAlign w:val="bottom"/>
            <w:hideMark/>
          </w:tcPr>
          <w:p w14:paraId="72CFF467"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89%</w:t>
            </w:r>
          </w:p>
        </w:tc>
        <w:tc>
          <w:tcPr>
            <w:tcW w:w="1848" w:type="dxa"/>
            <w:shd w:val="clear" w:color="auto" w:fill="auto"/>
            <w:noWrap/>
            <w:vAlign w:val="bottom"/>
            <w:hideMark/>
          </w:tcPr>
          <w:p w14:paraId="2EE0029D"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22.17%</w:t>
            </w:r>
          </w:p>
        </w:tc>
      </w:tr>
      <w:tr w:rsidR="007E48B3" w:rsidRPr="00B91BCA" w14:paraId="30DD7BC0" w14:textId="77777777" w:rsidTr="00416373">
        <w:trPr>
          <w:trHeight w:val="300"/>
        </w:trPr>
        <w:tc>
          <w:tcPr>
            <w:tcW w:w="663" w:type="dxa"/>
            <w:vAlign w:val="bottom"/>
          </w:tcPr>
          <w:p w14:paraId="08717289" w14:textId="77777777" w:rsidR="007E48B3" w:rsidRPr="00B91BCA" w:rsidRDefault="007E48B3" w:rsidP="00416373">
            <w:pPr>
              <w:bidi w:val="0"/>
              <w:jc w:val="right"/>
              <w:rPr>
                <w:rFonts w:cs="Calibri"/>
                <w:color w:val="000000"/>
                <w:sz w:val="18"/>
                <w:szCs w:val="18"/>
              </w:rPr>
            </w:pPr>
            <w:r>
              <w:rPr>
                <w:rFonts w:cs="Calibri"/>
                <w:color w:val="000000"/>
              </w:rPr>
              <w:t>2018</w:t>
            </w:r>
          </w:p>
        </w:tc>
        <w:tc>
          <w:tcPr>
            <w:tcW w:w="1205" w:type="dxa"/>
            <w:shd w:val="clear" w:color="auto" w:fill="auto"/>
            <w:noWrap/>
            <w:vAlign w:val="bottom"/>
            <w:hideMark/>
          </w:tcPr>
          <w:p w14:paraId="0343B7AF"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70%</w:t>
            </w:r>
          </w:p>
        </w:tc>
        <w:tc>
          <w:tcPr>
            <w:tcW w:w="1955" w:type="dxa"/>
            <w:shd w:val="clear" w:color="auto" w:fill="auto"/>
            <w:noWrap/>
            <w:vAlign w:val="bottom"/>
            <w:hideMark/>
          </w:tcPr>
          <w:p w14:paraId="57EA53BE"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77%</w:t>
            </w:r>
          </w:p>
        </w:tc>
        <w:tc>
          <w:tcPr>
            <w:tcW w:w="1275" w:type="dxa"/>
            <w:shd w:val="clear" w:color="auto" w:fill="auto"/>
            <w:noWrap/>
            <w:vAlign w:val="bottom"/>
            <w:hideMark/>
          </w:tcPr>
          <w:p w14:paraId="539B8F71"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26%</w:t>
            </w:r>
          </w:p>
        </w:tc>
        <w:tc>
          <w:tcPr>
            <w:tcW w:w="2263" w:type="dxa"/>
            <w:shd w:val="clear" w:color="auto" w:fill="auto"/>
            <w:noWrap/>
            <w:vAlign w:val="bottom"/>
            <w:hideMark/>
          </w:tcPr>
          <w:p w14:paraId="11DAD6B8"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91%</w:t>
            </w:r>
          </w:p>
        </w:tc>
        <w:tc>
          <w:tcPr>
            <w:tcW w:w="1848" w:type="dxa"/>
            <w:shd w:val="clear" w:color="auto" w:fill="auto"/>
            <w:noWrap/>
            <w:vAlign w:val="bottom"/>
            <w:hideMark/>
          </w:tcPr>
          <w:p w14:paraId="136BFD34"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22.00%</w:t>
            </w:r>
          </w:p>
        </w:tc>
      </w:tr>
      <w:tr w:rsidR="007E48B3" w:rsidRPr="00B91BCA" w14:paraId="2CA76534" w14:textId="77777777" w:rsidTr="00416373">
        <w:trPr>
          <w:trHeight w:val="315"/>
        </w:trPr>
        <w:tc>
          <w:tcPr>
            <w:tcW w:w="663" w:type="dxa"/>
            <w:vAlign w:val="bottom"/>
          </w:tcPr>
          <w:p w14:paraId="3BE12FA5" w14:textId="77777777" w:rsidR="007E48B3" w:rsidRPr="00B91BCA" w:rsidRDefault="007E48B3" w:rsidP="00416373">
            <w:pPr>
              <w:bidi w:val="0"/>
              <w:jc w:val="right"/>
              <w:rPr>
                <w:rFonts w:cs="Calibri"/>
                <w:color w:val="000000"/>
                <w:sz w:val="18"/>
                <w:szCs w:val="18"/>
              </w:rPr>
            </w:pPr>
            <w:r>
              <w:rPr>
                <w:rFonts w:cs="Calibri"/>
                <w:color w:val="000000"/>
              </w:rPr>
              <w:t>2019</w:t>
            </w:r>
          </w:p>
        </w:tc>
        <w:tc>
          <w:tcPr>
            <w:tcW w:w="1205" w:type="dxa"/>
            <w:shd w:val="clear" w:color="auto" w:fill="auto"/>
            <w:noWrap/>
            <w:vAlign w:val="bottom"/>
            <w:hideMark/>
          </w:tcPr>
          <w:p w14:paraId="48ED9DF0"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63%</w:t>
            </w:r>
          </w:p>
        </w:tc>
        <w:tc>
          <w:tcPr>
            <w:tcW w:w="1955" w:type="dxa"/>
            <w:shd w:val="clear" w:color="auto" w:fill="auto"/>
            <w:noWrap/>
            <w:vAlign w:val="bottom"/>
            <w:hideMark/>
          </w:tcPr>
          <w:p w14:paraId="5ED0E796"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81%</w:t>
            </w:r>
          </w:p>
        </w:tc>
        <w:tc>
          <w:tcPr>
            <w:tcW w:w="1275" w:type="dxa"/>
            <w:shd w:val="clear" w:color="auto" w:fill="auto"/>
            <w:noWrap/>
            <w:vAlign w:val="bottom"/>
            <w:hideMark/>
          </w:tcPr>
          <w:p w14:paraId="0F5158CF"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25%</w:t>
            </w:r>
          </w:p>
        </w:tc>
        <w:tc>
          <w:tcPr>
            <w:tcW w:w="2263" w:type="dxa"/>
            <w:shd w:val="clear" w:color="auto" w:fill="auto"/>
            <w:noWrap/>
            <w:vAlign w:val="bottom"/>
            <w:hideMark/>
          </w:tcPr>
          <w:p w14:paraId="3EC8C595"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87%</w:t>
            </w:r>
          </w:p>
        </w:tc>
        <w:tc>
          <w:tcPr>
            <w:tcW w:w="1848" w:type="dxa"/>
            <w:shd w:val="clear" w:color="auto" w:fill="auto"/>
            <w:noWrap/>
            <w:vAlign w:val="bottom"/>
            <w:hideMark/>
          </w:tcPr>
          <w:p w14:paraId="3750AA70" w14:textId="77777777" w:rsidR="007E48B3" w:rsidRPr="00B91BCA" w:rsidRDefault="007E48B3" w:rsidP="00416373">
            <w:pPr>
              <w:bidi w:val="0"/>
              <w:jc w:val="right"/>
              <w:rPr>
                <w:rFonts w:cs="Calibri"/>
                <w:color w:val="000000"/>
                <w:sz w:val="18"/>
                <w:szCs w:val="18"/>
              </w:rPr>
            </w:pPr>
            <w:r w:rsidRPr="00B91BCA">
              <w:rPr>
                <w:rFonts w:cs="Calibri"/>
                <w:color w:val="000000"/>
                <w:sz w:val="18"/>
                <w:szCs w:val="18"/>
              </w:rPr>
              <w:t>20.15%</w:t>
            </w:r>
          </w:p>
        </w:tc>
      </w:tr>
    </w:tbl>
    <w:p w14:paraId="2CE23F8D" w14:textId="77777777" w:rsidR="007E48B3" w:rsidRDefault="007E48B3" w:rsidP="007E48B3">
      <w:pPr>
        <w:pStyle w:val="ListParagraph"/>
        <w:autoSpaceDE w:val="0"/>
        <w:autoSpaceDN w:val="0"/>
        <w:bidi w:val="0"/>
        <w:adjustRightInd w:val="0"/>
        <w:spacing w:line="360" w:lineRule="auto"/>
        <w:ind w:left="360"/>
        <w:jc w:val="center"/>
        <w:rPr>
          <w:rFonts w:asciiTheme="majorBidi" w:hAnsiTheme="majorBidi" w:cstheme="majorBidi"/>
          <w:b/>
          <w:bCs/>
          <w:sz w:val="24"/>
          <w:szCs w:val="24"/>
        </w:rPr>
      </w:pPr>
    </w:p>
    <w:p w14:paraId="7EACDEE2" w14:textId="77777777" w:rsidR="007E48B3" w:rsidRPr="001664CF" w:rsidRDefault="007E48B3" w:rsidP="007E48B3">
      <w:pPr>
        <w:pStyle w:val="ListParagraph"/>
        <w:numPr>
          <w:ilvl w:val="0"/>
          <w:numId w:val="26"/>
        </w:numPr>
        <w:autoSpaceDE w:val="0"/>
        <w:autoSpaceDN w:val="0"/>
        <w:bidi w:val="0"/>
        <w:adjustRightInd w:val="0"/>
        <w:spacing w:line="360" w:lineRule="auto"/>
        <w:rPr>
          <w:rFonts w:asciiTheme="majorBidi" w:hAnsiTheme="majorBidi" w:cstheme="majorBidi"/>
          <w:b/>
          <w:bCs/>
          <w:sz w:val="24"/>
          <w:szCs w:val="24"/>
        </w:rPr>
      </w:pPr>
      <w:r w:rsidRPr="001664CF">
        <w:rPr>
          <w:rFonts w:asciiTheme="majorBidi" w:hAnsiTheme="majorBidi" w:cstheme="majorBidi"/>
          <w:b/>
          <w:bCs/>
          <w:sz w:val="24"/>
          <w:szCs w:val="24"/>
        </w:rPr>
        <w:t>Banking and money</w:t>
      </w:r>
    </w:p>
    <w:p w14:paraId="48EF7C10"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99720C">
        <w:rPr>
          <w:b/>
          <w:bCs/>
        </w:rPr>
        <w:t xml:space="preserve">Share of NIS deposits in the Palestinian banking system </w:t>
      </w:r>
      <w:r>
        <w:rPr>
          <w:b/>
          <w:bCs/>
        </w:rPr>
        <w:t>–</w:t>
      </w:r>
      <w:r w:rsidRPr="0099720C">
        <w:rPr>
          <w:b/>
          <w:bCs/>
        </w:rPr>
        <w:t xml:space="preserve"> </w:t>
      </w:r>
    </w:p>
    <w:p w14:paraId="2677444F" w14:textId="77777777" w:rsidR="007E48B3" w:rsidRPr="006E789E" w:rsidRDefault="007E48B3" w:rsidP="007E48B3">
      <w:pPr>
        <w:pStyle w:val="ListParagraph"/>
        <w:autoSpaceDE w:val="0"/>
        <w:autoSpaceDN w:val="0"/>
        <w:bidi w:val="0"/>
        <w:adjustRightInd w:val="0"/>
        <w:spacing w:line="480" w:lineRule="auto"/>
      </w:pPr>
      <w:r w:rsidRPr="006E789E">
        <w:t>Measures the amount of NIS deposits in the Palestinian banking system out of total amount of deposits</w:t>
      </w:r>
      <w:r>
        <w:t>.</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19FDB4B6" w14:textId="77777777" w:rsidTr="00416373">
        <w:trPr>
          <w:trHeight w:val="385"/>
        </w:trPr>
        <w:tc>
          <w:tcPr>
            <w:tcW w:w="8409" w:type="dxa"/>
            <w:gridSpan w:val="2"/>
            <w:shd w:val="clear" w:color="auto" w:fill="auto"/>
            <w:noWrap/>
            <w:vAlign w:val="center"/>
          </w:tcPr>
          <w:p w14:paraId="48846403"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30B805C8" w14:textId="77777777" w:rsidTr="00416373">
        <w:trPr>
          <w:trHeight w:val="548"/>
        </w:trPr>
        <w:tc>
          <w:tcPr>
            <w:tcW w:w="1580" w:type="dxa"/>
            <w:shd w:val="clear" w:color="auto" w:fill="auto"/>
            <w:noWrap/>
            <w:vAlign w:val="center"/>
            <w:hideMark/>
          </w:tcPr>
          <w:p w14:paraId="350A79FE" w14:textId="77777777" w:rsidR="007E48B3" w:rsidRPr="003C3F18" w:rsidRDefault="007E48B3" w:rsidP="00416373">
            <w:pPr>
              <w:bidi w:val="0"/>
              <w:rPr>
                <w:rFonts w:cs="Calibri"/>
                <w:color w:val="000000"/>
              </w:rPr>
            </w:pPr>
            <w:r>
              <w:rPr>
                <w:rFonts w:cs="Calibri"/>
                <w:color w:val="000000"/>
              </w:rPr>
              <w:t>2006 - 2019</w:t>
            </w:r>
          </w:p>
        </w:tc>
        <w:tc>
          <w:tcPr>
            <w:tcW w:w="6829" w:type="dxa"/>
            <w:shd w:val="clear" w:color="auto" w:fill="auto"/>
            <w:noWrap/>
            <w:vAlign w:val="center"/>
            <w:hideMark/>
          </w:tcPr>
          <w:p w14:paraId="6DF6D0E0" w14:textId="77777777" w:rsidR="007E48B3" w:rsidRPr="003C3F18" w:rsidRDefault="007E48B3" w:rsidP="00416373">
            <w:pPr>
              <w:bidi w:val="0"/>
              <w:rPr>
                <w:rFonts w:cs="Calibri"/>
                <w:color w:val="000000"/>
              </w:rPr>
            </w:pPr>
            <w:r>
              <w:rPr>
                <w:rFonts w:cs="Calibri"/>
                <w:color w:val="000000"/>
              </w:rPr>
              <w:t>Palestine Monetary Authority, Annual Statistics, Time Series Data, Deposits</w:t>
            </w:r>
          </w:p>
        </w:tc>
      </w:tr>
    </w:tbl>
    <w:p w14:paraId="1EC28C6B" w14:textId="77777777" w:rsidR="007E48B3" w:rsidRDefault="007E48B3" w:rsidP="007E48B3">
      <w:pPr>
        <w:pStyle w:val="ListParagraph"/>
        <w:autoSpaceDE w:val="0"/>
        <w:autoSpaceDN w:val="0"/>
        <w:bidi w:val="0"/>
        <w:adjustRightInd w:val="0"/>
        <w:spacing w:after="240" w:line="480" w:lineRule="auto"/>
        <w:rPr>
          <w:b/>
          <w:bCs/>
        </w:rPr>
      </w:pPr>
    </w:p>
    <w:p w14:paraId="2891B8A5"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99720C">
        <w:rPr>
          <w:b/>
          <w:bCs/>
        </w:rPr>
        <w:t xml:space="preserve">Share of NIS credit in the Palestinian banking system </w:t>
      </w:r>
      <w:r>
        <w:rPr>
          <w:b/>
          <w:bCs/>
        </w:rPr>
        <w:t>–</w:t>
      </w:r>
      <w:r w:rsidRPr="0099720C">
        <w:rPr>
          <w:b/>
          <w:bCs/>
        </w:rPr>
        <w:t xml:space="preserve"> </w:t>
      </w:r>
    </w:p>
    <w:p w14:paraId="79654843" w14:textId="77777777" w:rsidR="007E48B3" w:rsidRPr="006E789E" w:rsidRDefault="007E48B3" w:rsidP="007E48B3">
      <w:pPr>
        <w:pStyle w:val="ListParagraph"/>
        <w:autoSpaceDE w:val="0"/>
        <w:autoSpaceDN w:val="0"/>
        <w:bidi w:val="0"/>
        <w:adjustRightInd w:val="0"/>
        <w:spacing w:line="480" w:lineRule="auto"/>
      </w:pPr>
      <w:r w:rsidRPr="006E789E">
        <w:t xml:space="preserve">Measures the amount of NIS </w:t>
      </w:r>
      <w:r>
        <w:t>gross credit</w:t>
      </w:r>
      <w:r w:rsidRPr="008F08BE">
        <w:t xml:space="preserve"> facilities</w:t>
      </w:r>
      <w:r w:rsidRPr="006E789E">
        <w:t xml:space="preserve"> out of total amount of </w:t>
      </w:r>
      <w:r>
        <w:t xml:space="preserve">gross credit </w:t>
      </w:r>
      <w:r w:rsidRPr="008F08BE">
        <w:t>facilities</w:t>
      </w:r>
      <w:r w:rsidRPr="006E789E">
        <w:t xml:space="preserve"> in the Palestinian banking system</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2AE0C4BB" w14:textId="77777777" w:rsidTr="00416373">
        <w:trPr>
          <w:trHeight w:val="385"/>
        </w:trPr>
        <w:tc>
          <w:tcPr>
            <w:tcW w:w="8409" w:type="dxa"/>
            <w:gridSpan w:val="2"/>
            <w:shd w:val="clear" w:color="auto" w:fill="auto"/>
            <w:noWrap/>
            <w:vAlign w:val="center"/>
          </w:tcPr>
          <w:p w14:paraId="3D9226A1"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37FFBB82" w14:textId="77777777" w:rsidTr="00416373">
        <w:trPr>
          <w:trHeight w:val="744"/>
        </w:trPr>
        <w:tc>
          <w:tcPr>
            <w:tcW w:w="1580" w:type="dxa"/>
            <w:shd w:val="clear" w:color="auto" w:fill="auto"/>
            <w:noWrap/>
            <w:vAlign w:val="center"/>
            <w:hideMark/>
          </w:tcPr>
          <w:p w14:paraId="0BE81666" w14:textId="77777777" w:rsidR="007E48B3" w:rsidRPr="003C3F18" w:rsidRDefault="007E48B3" w:rsidP="00416373">
            <w:pPr>
              <w:bidi w:val="0"/>
              <w:rPr>
                <w:rFonts w:cs="Calibri"/>
                <w:color w:val="000000"/>
              </w:rPr>
            </w:pPr>
            <w:r>
              <w:rPr>
                <w:rFonts w:cs="Calibri"/>
                <w:color w:val="000000"/>
              </w:rPr>
              <w:t>1996-2019</w:t>
            </w:r>
          </w:p>
        </w:tc>
        <w:tc>
          <w:tcPr>
            <w:tcW w:w="6829" w:type="dxa"/>
            <w:shd w:val="clear" w:color="auto" w:fill="auto"/>
            <w:noWrap/>
            <w:vAlign w:val="center"/>
            <w:hideMark/>
          </w:tcPr>
          <w:p w14:paraId="61B00013" w14:textId="77777777" w:rsidR="007E48B3" w:rsidRPr="003C3F18" w:rsidRDefault="007E48B3" w:rsidP="00416373">
            <w:pPr>
              <w:bidi w:val="0"/>
              <w:rPr>
                <w:rFonts w:cs="Calibri"/>
                <w:color w:val="000000"/>
              </w:rPr>
            </w:pPr>
            <w:r>
              <w:rPr>
                <w:rFonts w:cs="Calibri"/>
                <w:color w:val="000000"/>
              </w:rPr>
              <w:t>Palestine Monetary Authority, Annual Statistics, Time Series Data, Credit Facilities</w:t>
            </w:r>
          </w:p>
        </w:tc>
      </w:tr>
    </w:tbl>
    <w:p w14:paraId="68C94590" w14:textId="77777777" w:rsidR="007E48B3" w:rsidRPr="0099720C" w:rsidRDefault="007E48B3" w:rsidP="007E48B3">
      <w:pPr>
        <w:pStyle w:val="ListParagraph"/>
        <w:autoSpaceDE w:val="0"/>
        <w:autoSpaceDN w:val="0"/>
        <w:bidi w:val="0"/>
        <w:adjustRightInd w:val="0"/>
        <w:spacing w:after="240" w:line="480" w:lineRule="auto"/>
        <w:ind w:left="1702"/>
        <w:rPr>
          <w:b/>
          <w:bCs/>
        </w:rPr>
      </w:pPr>
    </w:p>
    <w:p w14:paraId="0C7E8F44" w14:textId="77777777" w:rsidR="007E48B3" w:rsidRDefault="007E48B3" w:rsidP="007E48B3">
      <w:pPr>
        <w:pStyle w:val="ListParagraph"/>
        <w:numPr>
          <w:ilvl w:val="0"/>
          <w:numId w:val="20"/>
        </w:numPr>
        <w:autoSpaceDE w:val="0"/>
        <w:autoSpaceDN w:val="0"/>
        <w:bidi w:val="0"/>
        <w:adjustRightInd w:val="0"/>
        <w:spacing w:line="480" w:lineRule="auto"/>
        <w:ind w:left="720"/>
        <w:rPr>
          <w:b/>
          <w:bCs/>
        </w:rPr>
      </w:pPr>
      <w:r w:rsidRPr="0099720C">
        <w:rPr>
          <w:b/>
          <w:bCs/>
        </w:rPr>
        <w:t xml:space="preserve">Share of NIS checks presented for clearing in the Palestinian banking system </w:t>
      </w:r>
      <w:r>
        <w:rPr>
          <w:b/>
          <w:bCs/>
        </w:rPr>
        <w:t>–</w:t>
      </w:r>
      <w:r w:rsidRPr="0099720C">
        <w:rPr>
          <w:b/>
          <w:bCs/>
        </w:rPr>
        <w:t xml:space="preserve"> </w:t>
      </w:r>
    </w:p>
    <w:p w14:paraId="6E4AD108" w14:textId="77777777" w:rsidR="007E48B3" w:rsidRPr="00E86D29" w:rsidRDefault="007E48B3" w:rsidP="007E48B3">
      <w:pPr>
        <w:autoSpaceDE w:val="0"/>
        <w:autoSpaceDN w:val="0"/>
        <w:bidi w:val="0"/>
        <w:adjustRightInd w:val="0"/>
        <w:spacing w:line="480" w:lineRule="auto"/>
        <w:ind w:left="720"/>
      </w:pPr>
      <w:r w:rsidRPr="00E86D29">
        <w:t>Measures the value of NIS checks presented for clearing out of total value of checks presented for clearing in the Palestinian banking system</w:t>
      </w:r>
      <w:r>
        <w:t>.</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4E388AF5" w14:textId="77777777" w:rsidTr="00416373">
        <w:trPr>
          <w:trHeight w:val="385"/>
        </w:trPr>
        <w:tc>
          <w:tcPr>
            <w:tcW w:w="8409" w:type="dxa"/>
            <w:gridSpan w:val="2"/>
            <w:shd w:val="clear" w:color="auto" w:fill="auto"/>
            <w:noWrap/>
            <w:vAlign w:val="center"/>
          </w:tcPr>
          <w:p w14:paraId="47421BFD"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2D2D8444" w14:textId="77777777" w:rsidTr="00416373">
        <w:trPr>
          <w:trHeight w:val="813"/>
        </w:trPr>
        <w:tc>
          <w:tcPr>
            <w:tcW w:w="1580" w:type="dxa"/>
            <w:shd w:val="clear" w:color="auto" w:fill="auto"/>
            <w:noWrap/>
            <w:vAlign w:val="center"/>
            <w:hideMark/>
          </w:tcPr>
          <w:p w14:paraId="6A37AEDF" w14:textId="77777777" w:rsidR="007E48B3" w:rsidRPr="003C3F18" w:rsidRDefault="007E48B3" w:rsidP="00416373">
            <w:pPr>
              <w:bidi w:val="0"/>
              <w:rPr>
                <w:rFonts w:cs="Calibri"/>
                <w:color w:val="000000"/>
              </w:rPr>
            </w:pPr>
            <w:r>
              <w:rPr>
                <w:rFonts w:cs="Calibri"/>
                <w:color w:val="000000"/>
              </w:rPr>
              <w:t>1998-2019</w:t>
            </w:r>
          </w:p>
        </w:tc>
        <w:tc>
          <w:tcPr>
            <w:tcW w:w="6829" w:type="dxa"/>
            <w:shd w:val="clear" w:color="auto" w:fill="auto"/>
            <w:noWrap/>
            <w:vAlign w:val="center"/>
            <w:hideMark/>
          </w:tcPr>
          <w:p w14:paraId="753C80FE" w14:textId="77777777" w:rsidR="007E48B3" w:rsidRPr="003C3F18" w:rsidRDefault="007E48B3" w:rsidP="00416373">
            <w:pPr>
              <w:bidi w:val="0"/>
              <w:rPr>
                <w:rFonts w:cs="Calibri"/>
                <w:color w:val="000000"/>
              </w:rPr>
            </w:pPr>
            <w:r>
              <w:rPr>
                <w:rFonts w:cs="Calibri"/>
                <w:color w:val="000000"/>
              </w:rPr>
              <w:t>Palestine Monetary Authority, Annual Statistics, Time Series Data, Clearance Data</w:t>
            </w:r>
          </w:p>
        </w:tc>
      </w:tr>
    </w:tbl>
    <w:p w14:paraId="4637DF12" w14:textId="77777777" w:rsidR="007E48B3" w:rsidRDefault="007E48B3" w:rsidP="007E48B3">
      <w:pPr>
        <w:pStyle w:val="ListParagraph"/>
        <w:autoSpaceDE w:val="0"/>
        <w:autoSpaceDN w:val="0"/>
        <w:bidi w:val="0"/>
        <w:adjustRightInd w:val="0"/>
        <w:spacing w:after="240" w:line="480" w:lineRule="auto"/>
        <w:rPr>
          <w:b/>
          <w:bCs/>
        </w:rPr>
      </w:pPr>
    </w:p>
    <w:p w14:paraId="6875A27C"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Pr>
          <w:b/>
          <w:bCs/>
        </w:rPr>
        <w:t>E</w:t>
      </w:r>
      <w:r w:rsidRPr="0099720C">
        <w:rPr>
          <w:b/>
          <w:bCs/>
        </w:rPr>
        <w:t xml:space="preserve">xcess NIS cash deposited in Israel out of total NIS circulation -  </w:t>
      </w:r>
    </w:p>
    <w:p w14:paraId="03E74CF0" w14:textId="77777777" w:rsidR="007E48B3" w:rsidRPr="00570994" w:rsidRDefault="007E48B3" w:rsidP="007E48B3">
      <w:pPr>
        <w:pStyle w:val="ListParagraph"/>
        <w:autoSpaceDE w:val="0"/>
        <w:autoSpaceDN w:val="0"/>
        <w:bidi w:val="0"/>
        <w:adjustRightInd w:val="0"/>
        <w:spacing w:line="480" w:lineRule="auto"/>
      </w:pPr>
      <w:r w:rsidRPr="00570994">
        <w:t>Measures the amount of excess NIS cash of the Palestinian banking system deposited in Israel out of total NIS circulation</w:t>
      </w:r>
      <w:r>
        <w:t>.</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3A73B433" w14:textId="77777777" w:rsidTr="00416373">
        <w:trPr>
          <w:trHeight w:val="385"/>
        </w:trPr>
        <w:tc>
          <w:tcPr>
            <w:tcW w:w="8409" w:type="dxa"/>
            <w:gridSpan w:val="2"/>
            <w:shd w:val="clear" w:color="auto" w:fill="auto"/>
            <w:noWrap/>
            <w:vAlign w:val="center"/>
          </w:tcPr>
          <w:p w14:paraId="5B7F3727"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46DD401B" w14:textId="77777777" w:rsidTr="00416373">
        <w:trPr>
          <w:trHeight w:val="699"/>
        </w:trPr>
        <w:tc>
          <w:tcPr>
            <w:tcW w:w="1580" w:type="dxa"/>
            <w:shd w:val="clear" w:color="auto" w:fill="auto"/>
            <w:noWrap/>
            <w:vAlign w:val="center"/>
            <w:hideMark/>
          </w:tcPr>
          <w:p w14:paraId="03D4EAFD" w14:textId="77777777" w:rsidR="007E48B3" w:rsidRPr="003C3F18" w:rsidRDefault="007E48B3" w:rsidP="00416373">
            <w:pPr>
              <w:bidi w:val="0"/>
              <w:rPr>
                <w:rFonts w:cs="Calibri"/>
                <w:color w:val="000000"/>
              </w:rPr>
            </w:pPr>
            <w:r>
              <w:rPr>
                <w:rFonts w:cs="Calibri"/>
                <w:color w:val="000000"/>
              </w:rPr>
              <w:t>2010 -2019</w:t>
            </w:r>
          </w:p>
        </w:tc>
        <w:tc>
          <w:tcPr>
            <w:tcW w:w="6829" w:type="dxa"/>
            <w:shd w:val="clear" w:color="auto" w:fill="auto"/>
            <w:noWrap/>
            <w:vAlign w:val="center"/>
            <w:hideMark/>
          </w:tcPr>
          <w:p w14:paraId="1A4792F3" w14:textId="77777777" w:rsidR="007E48B3" w:rsidRPr="003C3F18" w:rsidRDefault="007E48B3" w:rsidP="00416373">
            <w:pPr>
              <w:bidi w:val="0"/>
              <w:rPr>
                <w:rFonts w:cs="Calibri"/>
                <w:color w:val="000000"/>
              </w:rPr>
            </w:pPr>
            <w:r>
              <w:rPr>
                <w:rFonts w:cs="Calibri"/>
                <w:color w:val="000000"/>
              </w:rPr>
              <w:t>Palestine Monetary Authority, annual reports</w:t>
            </w:r>
          </w:p>
        </w:tc>
      </w:tr>
    </w:tbl>
    <w:p w14:paraId="30F11EC1" w14:textId="77777777" w:rsidR="007E48B3" w:rsidRPr="00883882" w:rsidRDefault="007E48B3" w:rsidP="007E48B3">
      <w:pPr>
        <w:autoSpaceDE w:val="0"/>
        <w:autoSpaceDN w:val="0"/>
        <w:bidi w:val="0"/>
        <w:adjustRightInd w:val="0"/>
        <w:spacing w:after="240" w:line="480" w:lineRule="auto"/>
        <w:rPr>
          <w:b/>
          <w:bCs/>
        </w:rPr>
      </w:pPr>
    </w:p>
    <w:p w14:paraId="2D35AEE0" w14:textId="77777777" w:rsidR="007E48B3" w:rsidRPr="00A70CEF" w:rsidRDefault="007E48B3" w:rsidP="007E48B3">
      <w:pPr>
        <w:pStyle w:val="ListParagraph"/>
        <w:numPr>
          <w:ilvl w:val="0"/>
          <w:numId w:val="20"/>
        </w:numPr>
        <w:autoSpaceDE w:val="0"/>
        <w:autoSpaceDN w:val="0"/>
        <w:bidi w:val="0"/>
        <w:adjustRightInd w:val="0"/>
        <w:spacing w:line="480" w:lineRule="auto"/>
        <w:ind w:left="720"/>
        <w:rPr>
          <w:b/>
          <w:bCs/>
        </w:rPr>
      </w:pPr>
      <w:r w:rsidRPr="00A70CEF">
        <w:rPr>
          <w:b/>
          <w:bCs/>
        </w:rPr>
        <w:t>Checks and Money transfers volume out of WBG GNI</w:t>
      </w:r>
      <w:r>
        <w:rPr>
          <w:b/>
          <w:bCs/>
        </w:rPr>
        <w:t xml:space="preserve"> -</w:t>
      </w:r>
    </w:p>
    <w:p w14:paraId="7F829C44" w14:textId="77777777" w:rsidR="007E48B3" w:rsidRPr="00C5539F" w:rsidRDefault="007E48B3" w:rsidP="007E48B3">
      <w:pPr>
        <w:pStyle w:val="ListParagraph"/>
        <w:autoSpaceDE w:val="0"/>
        <w:autoSpaceDN w:val="0"/>
        <w:bidi w:val="0"/>
        <w:adjustRightInd w:val="0"/>
        <w:spacing w:line="480" w:lineRule="auto"/>
        <w:jc w:val="both"/>
      </w:pPr>
      <w:r w:rsidRPr="00C5539F">
        <w:t xml:space="preserve">Measures the amount of NIS Checks &amp; Money transfers </w:t>
      </w:r>
      <w:r>
        <w:t>on</w:t>
      </w:r>
      <w:r w:rsidRPr="00C5539F">
        <w:t xml:space="preserve"> the correspondent banking relation of Israeli banks and the Palestinian banks out of WBG </w:t>
      </w:r>
      <w:r>
        <w:t>g</w:t>
      </w:r>
      <w:r w:rsidRPr="00C5539F">
        <w:t>ross national income.</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514C6F46" w14:textId="77777777" w:rsidTr="00416373">
        <w:trPr>
          <w:trHeight w:val="385"/>
        </w:trPr>
        <w:tc>
          <w:tcPr>
            <w:tcW w:w="8409" w:type="dxa"/>
            <w:gridSpan w:val="2"/>
            <w:shd w:val="clear" w:color="auto" w:fill="auto"/>
            <w:noWrap/>
            <w:vAlign w:val="center"/>
          </w:tcPr>
          <w:p w14:paraId="50B1D530"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37B4592C" w14:textId="77777777" w:rsidTr="00416373">
        <w:trPr>
          <w:trHeight w:val="633"/>
        </w:trPr>
        <w:tc>
          <w:tcPr>
            <w:tcW w:w="1580" w:type="dxa"/>
            <w:shd w:val="clear" w:color="auto" w:fill="auto"/>
            <w:noWrap/>
            <w:vAlign w:val="center"/>
            <w:hideMark/>
          </w:tcPr>
          <w:p w14:paraId="7C55AC4A" w14:textId="77777777" w:rsidR="007E48B3" w:rsidRPr="003C3F18" w:rsidRDefault="007E48B3" w:rsidP="00416373">
            <w:pPr>
              <w:bidi w:val="0"/>
              <w:rPr>
                <w:rFonts w:cs="Calibri"/>
                <w:color w:val="000000"/>
              </w:rPr>
            </w:pPr>
            <w:r>
              <w:rPr>
                <w:rFonts w:cs="Calibri"/>
                <w:color w:val="000000"/>
              </w:rPr>
              <w:t>2010 - 2019</w:t>
            </w:r>
          </w:p>
        </w:tc>
        <w:tc>
          <w:tcPr>
            <w:tcW w:w="6829" w:type="dxa"/>
            <w:shd w:val="clear" w:color="auto" w:fill="auto"/>
            <w:noWrap/>
            <w:vAlign w:val="center"/>
            <w:hideMark/>
          </w:tcPr>
          <w:p w14:paraId="7DBF873E" w14:textId="77777777" w:rsidR="007E48B3" w:rsidRPr="003C3F18" w:rsidRDefault="007E48B3" w:rsidP="00416373">
            <w:pPr>
              <w:bidi w:val="0"/>
              <w:rPr>
                <w:rFonts w:cs="Calibri"/>
                <w:color w:val="000000"/>
              </w:rPr>
            </w:pPr>
            <w:r>
              <w:rPr>
                <w:rFonts w:cs="Calibri"/>
                <w:color w:val="000000"/>
              </w:rPr>
              <w:t>Palestine Monetary Authority and Palestinian Central Bureau of Statistics</w:t>
            </w:r>
          </w:p>
        </w:tc>
      </w:tr>
    </w:tbl>
    <w:p w14:paraId="1CCDCC5F" w14:textId="77777777" w:rsidR="007E48B3" w:rsidRDefault="007E48B3" w:rsidP="007E48B3">
      <w:pPr>
        <w:autoSpaceDE w:val="0"/>
        <w:autoSpaceDN w:val="0"/>
        <w:bidi w:val="0"/>
        <w:adjustRightInd w:val="0"/>
        <w:spacing w:line="480" w:lineRule="auto"/>
        <w:jc w:val="center"/>
        <w:rPr>
          <w:b/>
          <w:bCs/>
        </w:rPr>
      </w:pPr>
    </w:p>
    <w:p w14:paraId="1E2614C2" w14:textId="48BC3BB1" w:rsidR="007E48B3" w:rsidRPr="00147490" w:rsidRDefault="00986C40" w:rsidP="007E48B3">
      <w:pPr>
        <w:autoSpaceDE w:val="0"/>
        <w:autoSpaceDN w:val="0"/>
        <w:bidi w:val="0"/>
        <w:adjustRightInd w:val="0"/>
        <w:spacing w:line="480" w:lineRule="auto"/>
        <w:jc w:val="center"/>
        <w:rPr>
          <w:b/>
          <w:bCs/>
        </w:rPr>
      </w:pPr>
      <w:r>
        <w:rPr>
          <w:b/>
          <w:bCs/>
        </w:rPr>
        <w:t xml:space="preserve">Figure </w:t>
      </w:r>
      <w:r w:rsidRPr="00986C40">
        <w:rPr>
          <w:b/>
          <w:bCs/>
          <w:shd w:val="clear" w:color="auto" w:fill="FFFF00"/>
        </w:rPr>
        <w:t>XX</w:t>
      </w:r>
      <w:r>
        <w:rPr>
          <w:b/>
          <w:bCs/>
        </w:rPr>
        <w:t xml:space="preserve"> - </w:t>
      </w:r>
      <w:r w:rsidR="007E48B3" w:rsidRPr="00147490">
        <w:rPr>
          <w:b/>
          <w:bCs/>
        </w:rPr>
        <w:t>Banking and money</w:t>
      </w:r>
    </w:p>
    <w:p w14:paraId="35F70B74" w14:textId="77777777" w:rsidR="007E48B3" w:rsidRPr="0099720C" w:rsidRDefault="007E48B3" w:rsidP="007E48B3">
      <w:pPr>
        <w:pStyle w:val="ListParagraph"/>
        <w:autoSpaceDE w:val="0"/>
        <w:autoSpaceDN w:val="0"/>
        <w:bidi w:val="0"/>
        <w:adjustRightInd w:val="0"/>
        <w:spacing w:after="240" w:line="480" w:lineRule="auto"/>
        <w:ind w:left="0"/>
        <w:rPr>
          <w:b/>
          <w:bCs/>
        </w:rPr>
      </w:pPr>
      <w:r>
        <w:rPr>
          <w:noProof/>
        </w:rPr>
        <w:drawing>
          <wp:inline distT="0" distB="0" distL="0" distR="0" wp14:anchorId="7D7C92BC" wp14:editId="2F1629EA">
            <wp:extent cx="5292000" cy="3060000"/>
            <wp:effectExtent l="0" t="0" r="4445" b="7620"/>
            <wp:docPr id="49" name="Chart 49">
              <a:extLst xmlns:a="http://schemas.openxmlformats.org/drawingml/2006/main">
                <a:ext uri="{FF2B5EF4-FFF2-40B4-BE49-F238E27FC236}">
                  <a16:creationId xmlns:a16="http://schemas.microsoft.com/office/drawing/2014/main" id="{6D19B342-3AAE-49A7-8F68-6E0DCEA4D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D067B45" w14:textId="77777777" w:rsidR="00986C40" w:rsidRPr="00147490" w:rsidRDefault="00986C40" w:rsidP="00986C40">
      <w:pPr>
        <w:autoSpaceDE w:val="0"/>
        <w:autoSpaceDN w:val="0"/>
        <w:bidi w:val="0"/>
        <w:adjustRightInd w:val="0"/>
        <w:spacing w:line="480" w:lineRule="auto"/>
        <w:jc w:val="center"/>
        <w:rPr>
          <w:b/>
          <w:bCs/>
        </w:rPr>
      </w:pPr>
      <w:r>
        <w:rPr>
          <w:rFonts w:cs="Calibri"/>
          <w:b/>
          <w:bCs/>
          <w:color w:val="000000"/>
        </w:rPr>
        <w:t xml:space="preserve">Table XX - </w:t>
      </w:r>
      <w:r w:rsidR="007E48B3" w:rsidRPr="004D1081">
        <w:rPr>
          <w:rFonts w:cs="Calibri"/>
          <w:b/>
          <w:bCs/>
          <w:color w:val="000000"/>
        </w:rPr>
        <w:t>Raw data</w:t>
      </w:r>
      <w:r>
        <w:rPr>
          <w:rFonts w:cs="Calibri"/>
          <w:b/>
          <w:bCs/>
          <w:color w:val="000000"/>
        </w:rPr>
        <w:t xml:space="preserve"> - </w:t>
      </w:r>
      <w:r w:rsidRPr="00147490">
        <w:rPr>
          <w:b/>
          <w:bCs/>
        </w:rPr>
        <w:t>Banking and money</w:t>
      </w:r>
    </w:p>
    <w:tbl>
      <w:tblPr>
        <w:tblW w:w="665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1193"/>
        <w:gridCol w:w="1193"/>
        <w:gridCol w:w="1157"/>
        <w:gridCol w:w="1116"/>
        <w:gridCol w:w="1418"/>
      </w:tblGrid>
      <w:tr w:rsidR="007E48B3" w:rsidRPr="000853B7" w14:paraId="37E3DAD6" w14:textId="77777777" w:rsidTr="00416373">
        <w:trPr>
          <w:trHeight w:val="300"/>
        </w:trPr>
        <w:tc>
          <w:tcPr>
            <w:tcW w:w="581" w:type="dxa"/>
          </w:tcPr>
          <w:p w14:paraId="65B0C743" w14:textId="77777777" w:rsidR="007E48B3" w:rsidRPr="000853B7" w:rsidRDefault="007E48B3" w:rsidP="00416373">
            <w:pPr>
              <w:bidi w:val="0"/>
              <w:rPr>
                <w:rFonts w:cs="Calibri"/>
                <w:b/>
                <w:bCs/>
                <w:color w:val="000000"/>
                <w:sz w:val="18"/>
                <w:szCs w:val="18"/>
              </w:rPr>
            </w:pPr>
            <w:r w:rsidRPr="000853B7">
              <w:rPr>
                <w:rFonts w:cs="Calibri"/>
                <w:b/>
                <w:bCs/>
                <w:color w:val="000000"/>
                <w:sz w:val="18"/>
                <w:szCs w:val="18"/>
              </w:rPr>
              <w:t>Year</w:t>
            </w:r>
          </w:p>
        </w:tc>
        <w:tc>
          <w:tcPr>
            <w:tcW w:w="1193" w:type="dxa"/>
            <w:shd w:val="clear" w:color="auto" w:fill="auto"/>
            <w:noWrap/>
          </w:tcPr>
          <w:p w14:paraId="49D9516C" w14:textId="77777777" w:rsidR="007E48B3" w:rsidRPr="000853B7" w:rsidRDefault="007E48B3" w:rsidP="00416373">
            <w:pPr>
              <w:bidi w:val="0"/>
              <w:rPr>
                <w:rFonts w:cs="Calibri"/>
                <w:b/>
                <w:bCs/>
                <w:color w:val="000000"/>
                <w:sz w:val="18"/>
                <w:szCs w:val="18"/>
              </w:rPr>
            </w:pPr>
            <w:r w:rsidRPr="000853B7">
              <w:rPr>
                <w:rFonts w:cs="Calibri"/>
                <w:b/>
                <w:bCs/>
                <w:color w:val="000000"/>
                <w:sz w:val="18"/>
                <w:szCs w:val="18"/>
              </w:rPr>
              <w:t>Share of NIS deposits in the Palestinian banking system</w:t>
            </w:r>
          </w:p>
        </w:tc>
        <w:tc>
          <w:tcPr>
            <w:tcW w:w="1193" w:type="dxa"/>
            <w:shd w:val="clear" w:color="auto" w:fill="auto"/>
            <w:noWrap/>
          </w:tcPr>
          <w:p w14:paraId="31156E48" w14:textId="77777777" w:rsidR="007E48B3" w:rsidRPr="000853B7" w:rsidRDefault="007E48B3" w:rsidP="00416373">
            <w:pPr>
              <w:bidi w:val="0"/>
              <w:rPr>
                <w:rFonts w:cs="Calibri"/>
                <w:b/>
                <w:bCs/>
                <w:color w:val="000000"/>
                <w:sz w:val="18"/>
                <w:szCs w:val="18"/>
              </w:rPr>
            </w:pPr>
            <w:r w:rsidRPr="000853B7">
              <w:rPr>
                <w:rFonts w:cs="Calibri"/>
                <w:b/>
                <w:bCs/>
                <w:color w:val="000000"/>
                <w:sz w:val="18"/>
                <w:szCs w:val="18"/>
              </w:rPr>
              <w:t>Share of NIS credit in the Palestinian banking system</w:t>
            </w:r>
          </w:p>
        </w:tc>
        <w:tc>
          <w:tcPr>
            <w:tcW w:w="1157" w:type="dxa"/>
            <w:shd w:val="clear" w:color="auto" w:fill="auto"/>
            <w:noWrap/>
          </w:tcPr>
          <w:p w14:paraId="1E349607" w14:textId="77777777" w:rsidR="007E48B3" w:rsidRPr="000853B7" w:rsidRDefault="007E48B3" w:rsidP="00416373">
            <w:pPr>
              <w:bidi w:val="0"/>
              <w:rPr>
                <w:rFonts w:cs="Calibri"/>
                <w:b/>
                <w:bCs/>
                <w:color w:val="000000"/>
                <w:sz w:val="18"/>
                <w:szCs w:val="18"/>
              </w:rPr>
            </w:pPr>
            <w:r w:rsidRPr="000853B7">
              <w:rPr>
                <w:rFonts w:cs="Calibri"/>
                <w:b/>
                <w:bCs/>
                <w:color w:val="000000"/>
                <w:sz w:val="18"/>
                <w:szCs w:val="18"/>
              </w:rPr>
              <w:t>Excess NIS cash deposited in Israel out of total NIS circulation</w:t>
            </w:r>
          </w:p>
        </w:tc>
        <w:tc>
          <w:tcPr>
            <w:tcW w:w="1116" w:type="dxa"/>
            <w:shd w:val="clear" w:color="auto" w:fill="auto"/>
            <w:noWrap/>
          </w:tcPr>
          <w:p w14:paraId="626C4429" w14:textId="77777777" w:rsidR="007E48B3" w:rsidRPr="000853B7" w:rsidRDefault="007E48B3" w:rsidP="00416373">
            <w:pPr>
              <w:bidi w:val="0"/>
              <w:rPr>
                <w:rFonts w:ascii="Times New Roman" w:hAnsi="Times New Roman" w:cs="Times New Roman"/>
                <w:b/>
                <w:bCs/>
                <w:sz w:val="18"/>
                <w:szCs w:val="18"/>
              </w:rPr>
            </w:pPr>
            <w:r w:rsidRPr="000853B7">
              <w:rPr>
                <w:rFonts w:cs="Calibri"/>
                <w:b/>
                <w:bCs/>
                <w:color w:val="000000"/>
                <w:sz w:val="18"/>
                <w:szCs w:val="18"/>
              </w:rPr>
              <w:t xml:space="preserve">Checks and Money transfers volume out of WBG GNI </w:t>
            </w:r>
          </w:p>
        </w:tc>
        <w:tc>
          <w:tcPr>
            <w:tcW w:w="1418" w:type="dxa"/>
            <w:shd w:val="clear" w:color="auto" w:fill="auto"/>
            <w:noWrap/>
          </w:tcPr>
          <w:p w14:paraId="6E7FCCE2" w14:textId="77777777" w:rsidR="007E48B3" w:rsidRPr="000853B7" w:rsidRDefault="007E48B3" w:rsidP="00416373">
            <w:pPr>
              <w:bidi w:val="0"/>
              <w:rPr>
                <w:rFonts w:cs="Calibri"/>
                <w:b/>
                <w:bCs/>
                <w:color w:val="000000"/>
                <w:sz w:val="18"/>
                <w:szCs w:val="18"/>
              </w:rPr>
            </w:pPr>
            <w:r w:rsidRPr="000853B7">
              <w:rPr>
                <w:rFonts w:cs="Calibri"/>
                <w:b/>
                <w:bCs/>
                <w:color w:val="000000"/>
                <w:sz w:val="18"/>
                <w:szCs w:val="18"/>
              </w:rPr>
              <w:t xml:space="preserve">Share of NIS checks presented for clearing in the Palestinian banking system </w:t>
            </w:r>
          </w:p>
        </w:tc>
      </w:tr>
      <w:tr w:rsidR="007E48B3" w:rsidRPr="000853B7" w14:paraId="443ED441" w14:textId="77777777" w:rsidTr="00416373">
        <w:trPr>
          <w:trHeight w:val="300"/>
        </w:trPr>
        <w:tc>
          <w:tcPr>
            <w:tcW w:w="581" w:type="dxa"/>
            <w:vAlign w:val="bottom"/>
          </w:tcPr>
          <w:p w14:paraId="3B4F0A66" w14:textId="77777777" w:rsidR="007E48B3" w:rsidRPr="000853B7" w:rsidRDefault="007E48B3" w:rsidP="00416373">
            <w:pPr>
              <w:bidi w:val="0"/>
              <w:rPr>
                <w:rFonts w:cs="Calibri"/>
                <w:color w:val="000000"/>
                <w:sz w:val="18"/>
                <w:szCs w:val="18"/>
              </w:rPr>
            </w:pPr>
            <w:r w:rsidRPr="000853B7">
              <w:rPr>
                <w:rFonts w:cs="Calibri"/>
                <w:color w:val="000000"/>
                <w:sz w:val="18"/>
                <w:szCs w:val="18"/>
              </w:rPr>
              <w:t>1996</w:t>
            </w:r>
          </w:p>
        </w:tc>
        <w:tc>
          <w:tcPr>
            <w:tcW w:w="1193" w:type="dxa"/>
            <w:shd w:val="clear" w:color="auto" w:fill="auto"/>
            <w:noWrap/>
            <w:vAlign w:val="bottom"/>
            <w:hideMark/>
          </w:tcPr>
          <w:p w14:paraId="624ECFE8" w14:textId="77777777" w:rsidR="007E48B3" w:rsidRPr="00533A00" w:rsidRDefault="007E48B3" w:rsidP="00416373">
            <w:pPr>
              <w:bidi w:val="0"/>
              <w:rPr>
                <w:rFonts w:cs="Calibri"/>
                <w:color w:val="000000"/>
                <w:sz w:val="18"/>
                <w:szCs w:val="18"/>
              </w:rPr>
            </w:pPr>
            <w:r w:rsidRPr="00533A00">
              <w:rPr>
                <w:rFonts w:cs="Calibri"/>
                <w:color w:val="000000"/>
                <w:sz w:val="18"/>
                <w:szCs w:val="18"/>
              </w:rPr>
              <w:t> </w:t>
            </w:r>
          </w:p>
        </w:tc>
        <w:tc>
          <w:tcPr>
            <w:tcW w:w="1193" w:type="dxa"/>
            <w:shd w:val="clear" w:color="auto" w:fill="auto"/>
            <w:noWrap/>
            <w:vAlign w:val="bottom"/>
            <w:hideMark/>
          </w:tcPr>
          <w:p w14:paraId="048AE3DB"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30%</w:t>
            </w:r>
          </w:p>
        </w:tc>
        <w:tc>
          <w:tcPr>
            <w:tcW w:w="1157" w:type="dxa"/>
            <w:shd w:val="clear" w:color="auto" w:fill="auto"/>
            <w:noWrap/>
            <w:vAlign w:val="bottom"/>
            <w:hideMark/>
          </w:tcPr>
          <w:p w14:paraId="5F54039A"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351B09E1"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6956DBE5" w14:textId="77777777" w:rsidR="007E48B3" w:rsidRPr="00533A00" w:rsidRDefault="007E48B3" w:rsidP="00416373">
            <w:pPr>
              <w:bidi w:val="0"/>
              <w:rPr>
                <w:rFonts w:cs="Calibri"/>
                <w:color w:val="000000"/>
                <w:sz w:val="18"/>
                <w:szCs w:val="18"/>
              </w:rPr>
            </w:pPr>
            <w:r w:rsidRPr="00533A00">
              <w:rPr>
                <w:rFonts w:cs="Calibri"/>
                <w:color w:val="000000"/>
                <w:sz w:val="18"/>
                <w:szCs w:val="18"/>
              </w:rPr>
              <w:t> </w:t>
            </w:r>
          </w:p>
        </w:tc>
      </w:tr>
      <w:tr w:rsidR="007E48B3" w:rsidRPr="000853B7" w14:paraId="4084F38E" w14:textId="77777777" w:rsidTr="00416373">
        <w:trPr>
          <w:trHeight w:val="300"/>
        </w:trPr>
        <w:tc>
          <w:tcPr>
            <w:tcW w:w="581" w:type="dxa"/>
            <w:vAlign w:val="bottom"/>
          </w:tcPr>
          <w:p w14:paraId="3961A951" w14:textId="77777777" w:rsidR="007E48B3" w:rsidRPr="000853B7" w:rsidRDefault="007E48B3" w:rsidP="00416373">
            <w:pPr>
              <w:bidi w:val="0"/>
              <w:rPr>
                <w:rFonts w:cs="Calibri"/>
                <w:color w:val="000000"/>
                <w:sz w:val="18"/>
                <w:szCs w:val="18"/>
              </w:rPr>
            </w:pPr>
            <w:r w:rsidRPr="000853B7">
              <w:rPr>
                <w:rFonts w:cs="Calibri"/>
                <w:color w:val="000000"/>
                <w:sz w:val="18"/>
                <w:szCs w:val="18"/>
              </w:rPr>
              <w:t>1997</w:t>
            </w:r>
          </w:p>
        </w:tc>
        <w:tc>
          <w:tcPr>
            <w:tcW w:w="1193" w:type="dxa"/>
            <w:shd w:val="clear" w:color="auto" w:fill="auto"/>
            <w:noWrap/>
            <w:vAlign w:val="bottom"/>
            <w:hideMark/>
          </w:tcPr>
          <w:p w14:paraId="72A94AE2" w14:textId="77777777" w:rsidR="007E48B3" w:rsidRPr="00533A00" w:rsidRDefault="007E48B3" w:rsidP="00416373">
            <w:pPr>
              <w:bidi w:val="0"/>
              <w:rPr>
                <w:rFonts w:cs="Calibri"/>
                <w:color w:val="000000"/>
                <w:sz w:val="18"/>
                <w:szCs w:val="18"/>
              </w:rPr>
            </w:pPr>
            <w:r w:rsidRPr="00533A00">
              <w:rPr>
                <w:rFonts w:cs="Calibri"/>
                <w:color w:val="000000"/>
                <w:sz w:val="18"/>
                <w:szCs w:val="18"/>
              </w:rPr>
              <w:t> </w:t>
            </w:r>
          </w:p>
        </w:tc>
        <w:tc>
          <w:tcPr>
            <w:tcW w:w="1193" w:type="dxa"/>
            <w:shd w:val="clear" w:color="auto" w:fill="auto"/>
            <w:noWrap/>
            <w:vAlign w:val="bottom"/>
            <w:hideMark/>
          </w:tcPr>
          <w:p w14:paraId="63AAC4B9"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31%</w:t>
            </w:r>
          </w:p>
        </w:tc>
        <w:tc>
          <w:tcPr>
            <w:tcW w:w="1157" w:type="dxa"/>
            <w:shd w:val="clear" w:color="auto" w:fill="auto"/>
            <w:noWrap/>
            <w:vAlign w:val="bottom"/>
            <w:hideMark/>
          </w:tcPr>
          <w:p w14:paraId="2949DA87"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11514769"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762D3CDD" w14:textId="77777777" w:rsidR="007E48B3" w:rsidRPr="00533A00" w:rsidRDefault="007E48B3" w:rsidP="00416373">
            <w:pPr>
              <w:bidi w:val="0"/>
              <w:rPr>
                <w:rFonts w:cs="Calibri"/>
                <w:color w:val="000000"/>
                <w:sz w:val="18"/>
                <w:szCs w:val="18"/>
              </w:rPr>
            </w:pPr>
            <w:r w:rsidRPr="00533A00">
              <w:rPr>
                <w:rFonts w:cs="Calibri"/>
                <w:color w:val="000000"/>
                <w:sz w:val="18"/>
                <w:szCs w:val="18"/>
              </w:rPr>
              <w:t> </w:t>
            </w:r>
          </w:p>
        </w:tc>
      </w:tr>
      <w:tr w:rsidR="007E48B3" w:rsidRPr="000853B7" w14:paraId="671CB85A" w14:textId="77777777" w:rsidTr="00416373">
        <w:trPr>
          <w:trHeight w:val="300"/>
        </w:trPr>
        <w:tc>
          <w:tcPr>
            <w:tcW w:w="581" w:type="dxa"/>
            <w:vAlign w:val="bottom"/>
          </w:tcPr>
          <w:p w14:paraId="47805F6F" w14:textId="77777777" w:rsidR="007E48B3" w:rsidRPr="000853B7" w:rsidRDefault="007E48B3" w:rsidP="00416373">
            <w:pPr>
              <w:bidi w:val="0"/>
              <w:rPr>
                <w:rFonts w:cs="Calibri"/>
                <w:color w:val="000000"/>
                <w:sz w:val="18"/>
                <w:szCs w:val="18"/>
              </w:rPr>
            </w:pPr>
            <w:r w:rsidRPr="000853B7">
              <w:rPr>
                <w:rFonts w:cs="Calibri"/>
                <w:color w:val="000000"/>
                <w:sz w:val="18"/>
                <w:szCs w:val="18"/>
              </w:rPr>
              <w:t>1998</w:t>
            </w:r>
          </w:p>
        </w:tc>
        <w:tc>
          <w:tcPr>
            <w:tcW w:w="1193" w:type="dxa"/>
            <w:shd w:val="clear" w:color="auto" w:fill="auto"/>
            <w:noWrap/>
            <w:vAlign w:val="bottom"/>
            <w:hideMark/>
          </w:tcPr>
          <w:p w14:paraId="22D9FECA" w14:textId="77777777" w:rsidR="007E48B3" w:rsidRPr="00533A00" w:rsidRDefault="007E48B3" w:rsidP="00416373">
            <w:pPr>
              <w:bidi w:val="0"/>
              <w:rPr>
                <w:rFonts w:cs="Calibri"/>
                <w:color w:val="000000"/>
                <w:sz w:val="18"/>
                <w:szCs w:val="18"/>
              </w:rPr>
            </w:pPr>
            <w:r w:rsidRPr="00533A00">
              <w:rPr>
                <w:rFonts w:cs="Calibri"/>
                <w:color w:val="000000"/>
                <w:sz w:val="18"/>
                <w:szCs w:val="18"/>
              </w:rPr>
              <w:t> </w:t>
            </w:r>
          </w:p>
        </w:tc>
        <w:tc>
          <w:tcPr>
            <w:tcW w:w="1193" w:type="dxa"/>
            <w:shd w:val="clear" w:color="auto" w:fill="auto"/>
            <w:noWrap/>
            <w:vAlign w:val="bottom"/>
            <w:hideMark/>
          </w:tcPr>
          <w:p w14:paraId="20106094"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25%</w:t>
            </w:r>
          </w:p>
        </w:tc>
        <w:tc>
          <w:tcPr>
            <w:tcW w:w="1157" w:type="dxa"/>
            <w:shd w:val="clear" w:color="auto" w:fill="auto"/>
            <w:noWrap/>
            <w:vAlign w:val="bottom"/>
            <w:hideMark/>
          </w:tcPr>
          <w:p w14:paraId="2F55D566"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0AE87669"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13135125"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57%</w:t>
            </w:r>
          </w:p>
        </w:tc>
      </w:tr>
      <w:tr w:rsidR="007E48B3" w:rsidRPr="000853B7" w14:paraId="6D01EDEA" w14:textId="77777777" w:rsidTr="00416373">
        <w:trPr>
          <w:trHeight w:val="300"/>
        </w:trPr>
        <w:tc>
          <w:tcPr>
            <w:tcW w:w="581" w:type="dxa"/>
            <w:vAlign w:val="bottom"/>
          </w:tcPr>
          <w:p w14:paraId="53D95293" w14:textId="77777777" w:rsidR="007E48B3" w:rsidRPr="000853B7" w:rsidRDefault="007E48B3" w:rsidP="00416373">
            <w:pPr>
              <w:bidi w:val="0"/>
              <w:rPr>
                <w:rFonts w:cs="Calibri"/>
                <w:color w:val="000000"/>
                <w:sz w:val="18"/>
                <w:szCs w:val="18"/>
              </w:rPr>
            </w:pPr>
            <w:r w:rsidRPr="000853B7">
              <w:rPr>
                <w:rFonts w:cs="Calibri"/>
                <w:color w:val="000000"/>
                <w:sz w:val="18"/>
                <w:szCs w:val="18"/>
              </w:rPr>
              <w:t>1999</w:t>
            </w:r>
          </w:p>
        </w:tc>
        <w:tc>
          <w:tcPr>
            <w:tcW w:w="1193" w:type="dxa"/>
            <w:shd w:val="clear" w:color="auto" w:fill="auto"/>
            <w:noWrap/>
            <w:vAlign w:val="bottom"/>
            <w:hideMark/>
          </w:tcPr>
          <w:p w14:paraId="5341B13C" w14:textId="77777777" w:rsidR="007E48B3" w:rsidRPr="00533A00" w:rsidRDefault="007E48B3" w:rsidP="00416373">
            <w:pPr>
              <w:bidi w:val="0"/>
              <w:rPr>
                <w:rFonts w:cs="Calibri"/>
                <w:color w:val="000000"/>
                <w:sz w:val="18"/>
                <w:szCs w:val="18"/>
              </w:rPr>
            </w:pPr>
            <w:r w:rsidRPr="00533A00">
              <w:rPr>
                <w:rFonts w:cs="Calibri"/>
                <w:color w:val="000000"/>
                <w:sz w:val="18"/>
                <w:szCs w:val="18"/>
              </w:rPr>
              <w:t> </w:t>
            </w:r>
          </w:p>
        </w:tc>
        <w:tc>
          <w:tcPr>
            <w:tcW w:w="1193" w:type="dxa"/>
            <w:shd w:val="clear" w:color="auto" w:fill="auto"/>
            <w:noWrap/>
            <w:vAlign w:val="bottom"/>
            <w:hideMark/>
          </w:tcPr>
          <w:p w14:paraId="1A3930DA"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21%</w:t>
            </w:r>
          </w:p>
        </w:tc>
        <w:tc>
          <w:tcPr>
            <w:tcW w:w="1157" w:type="dxa"/>
            <w:shd w:val="clear" w:color="auto" w:fill="auto"/>
            <w:noWrap/>
            <w:vAlign w:val="bottom"/>
            <w:hideMark/>
          </w:tcPr>
          <w:p w14:paraId="1F13DDCF"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58311408"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6DDA5BD5"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67%</w:t>
            </w:r>
          </w:p>
        </w:tc>
      </w:tr>
      <w:tr w:rsidR="007E48B3" w:rsidRPr="000853B7" w14:paraId="4A117969" w14:textId="77777777" w:rsidTr="00416373">
        <w:trPr>
          <w:trHeight w:val="300"/>
        </w:trPr>
        <w:tc>
          <w:tcPr>
            <w:tcW w:w="581" w:type="dxa"/>
            <w:vAlign w:val="bottom"/>
          </w:tcPr>
          <w:p w14:paraId="7E112DCE" w14:textId="77777777" w:rsidR="007E48B3" w:rsidRPr="000853B7" w:rsidRDefault="007E48B3" w:rsidP="00416373">
            <w:pPr>
              <w:bidi w:val="0"/>
              <w:rPr>
                <w:rFonts w:cs="Calibri"/>
                <w:color w:val="000000"/>
                <w:sz w:val="18"/>
                <w:szCs w:val="18"/>
              </w:rPr>
            </w:pPr>
            <w:r w:rsidRPr="000853B7">
              <w:rPr>
                <w:rFonts w:cs="Calibri"/>
                <w:color w:val="000000"/>
                <w:sz w:val="18"/>
                <w:szCs w:val="18"/>
              </w:rPr>
              <w:t>2000</w:t>
            </w:r>
          </w:p>
        </w:tc>
        <w:tc>
          <w:tcPr>
            <w:tcW w:w="1193" w:type="dxa"/>
            <w:shd w:val="clear" w:color="auto" w:fill="auto"/>
            <w:noWrap/>
            <w:vAlign w:val="bottom"/>
            <w:hideMark/>
          </w:tcPr>
          <w:p w14:paraId="74172527" w14:textId="77777777" w:rsidR="007E48B3" w:rsidRPr="00533A00" w:rsidRDefault="007E48B3" w:rsidP="00416373">
            <w:pPr>
              <w:bidi w:val="0"/>
              <w:rPr>
                <w:rFonts w:cs="Calibri"/>
                <w:color w:val="000000"/>
                <w:sz w:val="18"/>
                <w:szCs w:val="18"/>
              </w:rPr>
            </w:pPr>
            <w:r w:rsidRPr="00533A00">
              <w:rPr>
                <w:rFonts w:cs="Calibri"/>
                <w:color w:val="000000"/>
                <w:sz w:val="18"/>
                <w:szCs w:val="18"/>
              </w:rPr>
              <w:t> </w:t>
            </w:r>
          </w:p>
        </w:tc>
        <w:tc>
          <w:tcPr>
            <w:tcW w:w="1193" w:type="dxa"/>
            <w:shd w:val="clear" w:color="auto" w:fill="auto"/>
            <w:noWrap/>
            <w:vAlign w:val="bottom"/>
            <w:hideMark/>
          </w:tcPr>
          <w:p w14:paraId="36F949F8"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23%</w:t>
            </w:r>
          </w:p>
        </w:tc>
        <w:tc>
          <w:tcPr>
            <w:tcW w:w="1157" w:type="dxa"/>
            <w:shd w:val="clear" w:color="auto" w:fill="auto"/>
            <w:noWrap/>
            <w:vAlign w:val="bottom"/>
            <w:hideMark/>
          </w:tcPr>
          <w:p w14:paraId="1497923A"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15D17A76"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2053CDF8"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66%</w:t>
            </w:r>
          </w:p>
        </w:tc>
      </w:tr>
      <w:tr w:rsidR="007E48B3" w:rsidRPr="000853B7" w14:paraId="498C6EA0" w14:textId="77777777" w:rsidTr="00416373">
        <w:trPr>
          <w:trHeight w:val="300"/>
        </w:trPr>
        <w:tc>
          <w:tcPr>
            <w:tcW w:w="581" w:type="dxa"/>
            <w:vAlign w:val="bottom"/>
          </w:tcPr>
          <w:p w14:paraId="1B6B9494" w14:textId="77777777" w:rsidR="007E48B3" w:rsidRPr="000853B7" w:rsidRDefault="007E48B3" w:rsidP="00416373">
            <w:pPr>
              <w:bidi w:val="0"/>
              <w:rPr>
                <w:rFonts w:cs="Calibri"/>
                <w:color w:val="000000"/>
                <w:sz w:val="18"/>
                <w:szCs w:val="18"/>
              </w:rPr>
            </w:pPr>
            <w:r w:rsidRPr="000853B7">
              <w:rPr>
                <w:rFonts w:cs="Calibri"/>
                <w:color w:val="000000"/>
                <w:sz w:val="18"/>
                <w:szCs w:val="18"/>
              </w:rPr>
              <w:t>2001</w:t>
            </w:r>
          </w:p>
        </w:tc>
        <w:tc>
          <w:tcPr>
            <w:tcW w:w="1193" w:type="dxa"/>
            <w:shd w:val="clear" w:color="auto" w:fill="auto"/>
            <w:noWrap/>
            <w:vAlign w:val="bottom"/>
            <w:hideMark/>
          </w:tcPr>
          <w:p w14:paraId="092FA6AB" w14:textId="77777777" w:rsidR="007E48B3" w:rsidRPr="00533A00" w:rsidRDefault="007E48B3" w:rsidP="00416373">
            <w:pPr>
              <w:bidi w:val="0"/>
              <w:rPr>
                <w:rFonts w:cs="Calibri"/>
                <w:color w:val="000000"/>
                <w:sz w:val="18"/>
                <w:szCs w:val="18"/>
              </w:rPr>
            </w:pPr>
            <w:r w:rsidRPr="00533A00">
              <w:rPr>
                <w:rFonts w:cs="Calibri"/>
                <w:color w:val="000000"/>
                <w:sz w:val="18"/>
                <w:szCs w:val="18"/>
              </w:rPr>
              <w:t> </w:t>
            </w:r>
          </w:p>
        </w:tc>
        <w:tc>
          <w:tcPr>
            <w:tcW w:w="1193" w:type="dxa"/>
            <w:shd w:val="clear" w:color="auto" w:fill="auto"/>
            <w:noWrap/>
            <w:vAlign w:val="bottom"/>
            <w:hideMark/>
          </w:tcPr>
          <w:p w14:paraId="0419AABE"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19%</w:t>
            </w:r>
          </w:p>
        </w:tc>
        <w:tc>
          <w:tcPr>
            <w:tcW w:w="1157" w:type="dxa"/>
            <w:shd w:val="clear" w:color="auto" w:fill="auto"/>
            <w:noWrap/>
            <w:vAlign w:val="bottom"/>
            <w:hideMark/>
          </w:tcPr>
          <w:p w14:paraId="67B7EC79"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15F7D9AB"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60662453"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66%</w:t>
            </w:r>
          </w:p>
        </w:tc>
      </w:tr>
      <w:tr w:rsidR="007E48B3" w:rsidRPr="000853B7" w14:paraId="7EAB9A50" w14:textId="77777777" w:rsidTr="00416373">
        <w:trPr>
          <w:trHeight w:val="300"/>
        </w:trPr>
        <w:tc>
          <w:tcPr>
            <w:tcW w:w="581" w:type="dxa"/>
            <w:vAlign w:val="bottom"/>
          </w:tcPr>
          <w:p w14:paraId="2B7CCE3D" w14:textId="77777777" w:rsidR="007E48B3" w:rsidRPr="000853B7" w:rsidRDefault="007E48B3" w:rsidP="00416373">
            <w:pPr>
              <w:bidi w:val="0"/>
              <w:rPr>
                <w:rFonts w:cs="Calibri"/>
                <w:color w:val="000000"/>
                <w:sz w:val="18"/>
                <w:szCs w:val="18"/>
              </w:rPr>
            </w:pPr>
            <w:r w:rsidRPr="000853B7">
              <w:rPr>
                <w:rFonts w:cs="Calibri"/>
                <w:color w:val="000000"/>
                <w:sz w:val="18"/>
                <w:szCs w:val="18"/>
              </w:rPr>
              <w:t>2002</w:t>
            </w:r>
          </w:p>
        </w:tc>
        <w:tc>
          <w:tcPr>
            <w:tcW w:w="1193" w:type="dxa"/>
            <w:shd w:val="clear" w:color="auto" w:fill="auto"/>
            <w:noWrap/>
            <w:vAlign w:val="bottom"/>
            <w:hideMark/>
          </w:tcPr>
          <w:p w14:paraId="6E00B307" w14:textId="77777777" w:rsidR="007E48B3" w:rsidRPr="00533A00" w:rsidRDefault="007E48B3" w:rsidP="00416373">
            <w:pPr>
              <w:bidi w:val="0"/>
              <w:rPr>
                <w:rFonts w:cs="Calibri"/>
                <w:color w:val="000000"/>
                <w:sz w:val="18"/>
                <w:szCs w:val="18"/>
              </w:rPr>
            </w:pPr>
            <w:r w:rsidRPr="00533A00">
              <w:rPr>
                <w:rFonts w:cs="Calibri"/>
                <w:color w:val="000000"/>
                <w:sz w:val="18"/>
                <w:szCs w:val="18"/>
              </w:rPr>
              <w:t> </w:t>
            </w:r>
          </w:p>
        </w:tc>
        <w:tc>
          <w:tcPr>
            <w:tcW w:w="1193" w:type="dxa"/>
            <w:shd w:val="clear" w:color="auto" w:fill="auto"/>
            <w:noWrap/>
            <w:vAlign w:val="bottom"/>
            <w:hideMark/>
          </w:tcPr>
          <w:p w14:paraId="2BE10E94"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18%</w:t>
            </w:r>
          </w:p>
        </w:tc>
        <w:tc>
          <w:tcPr>
            <w:tcW w:w="1157" w:type="dxa"/>
            <w:shd w:val="clear" w:color="auto" w:fill="auto"/>
            <w:noWrap/>
            <w:vAlign w:val="bottom"/>
            <w:hideMark/>
          </w:tcPr>
          <w:p w14:paraId="73F90121"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32AD4620"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3C680C45"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63%</w:t>
            </w:r>
          </w:p>
        </w:tc>
      </w:tr>
      <w:tr w:rsidR="007E48B3" w:rsidRPr="000853B7" w14:paraId="0EE04066" w14:textId="77777777" w:rsidTr="00416373">
        <w:trPr>
          <w:trHeight w:val="300"/>
        </w:trPr>
        <w:tc>
          <w:tcPr>
            <w:tcW w:w="581" w:type="dxa"/>
            <w:vAlign w:val="bottom"/>
          </w:tcPr>
          <w:p w14:paraId="184BFACE" w14:textId="77777777" w:rsidR="007E48B3" w:rsidRPr="000853B7" w:rsidRDefault="007E48B3" w:rsidP="00416373">
            <w:pPr>
              <w:bidi w:val="0"/>
              <w:rPr>
                <w:rFonts w:cs="Calibri"/>
                <w:color w:val="000000"/>
                <w:sz w:val="18"/>
                <w:szCs w:val="18"/>
              </w:rPr>
            </w:pPr>
            <w:r w:rsidRPr="000853B7">
              <w:rPr>
                <w:rFonts w:cs="Calibri"/>
                <w:color w:val="000000"/>
                <w:sz w:val="18"/>
                <w:szCs w:val="18"/>
              </w:rPr>
              <w:t>2003</w:t>
            </w:r>
          </w:p>
        </w:tc>
        <w:tc>
          <w:tcPr>
            <w:tcW w:w="1193" w:type="dxa"/>
            <w:shd w:val="clear" w:color="auto" w:fill="auto"/>
            <w:noWrap/>
            <w:vAlign w:val="bottom"/>
            <w:hideMark/>
          </w:tcPr>
          <w:p w14:paraId="35E18189" w14:textId="77777777" w:rsidR="007E48B3" w:rsidRPr="00533A00" w:rsidRDefault="007E48B3" w:rsidP="00416373">
            <w:pPr>
              <w:bidi w:val="0"/>
              <w:rPr>
                <w:rFonts w:cs="Calibri"/>
                <w:color w:val="000000"/>
                <w:sz w:val="18"/>
                <w:szCs w:val="18"/>
              </w:rPr>
            </w:pPr>
            <w:r w:rsidRPr="00533A00">
              <w:rPr>
                <w:rFonts w:cs="Calibri"/>
                <w:color w:val="000000"/>
                <w:sz w:val="18"/>
                <w:szCs w:val="18"/>
              </w:rPr>
              <w:t> </w:t>
            </w:r>
          </w:p>
        </w:tc>
        <w:tc>
          <w:tcPr>
            <w:tcW w:w="1193" w:type="dxa"/>
            <w:shd w:val="clear" w:color="auto" w:fill="auto"/>
            <w:noWrap/>
            <w:vAlign w:val="bottom"/>
            <w:hideMark/>
          </w:tcPr>
          <w:p w14:paraId="2733304D"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23%</w:t>
            </w:r>
          </w:p>
        </w:tc>
        <w:tc>
          <w:tcPr>
            <w:tcW w:w="1157" w:type="dxa"/>
            <w:shd w:val="clear" w:color="auto" w:fill="auto"/>
            <w:noWrap/>
            <w:vAlign w:val="bottom"/>
            <w:hideMark/>
          </w:tcPr>
          <w:p w14:paraId="71D0B10B"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6E24E03D"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17BB7E12"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62%</w:t>
            </w:r>
          </w:p>
        </w:tc>
      </w:tr>
      <w:tr w:rsidR="007E48B3" w:rsidRPr="000853B7" w14:paraId="2690C0D2" w14:textId="77777777" w:rsidTr="00416373">
        <w:trPr>
          <w:trHeight w:val="300"/>
        </w:trPr>
        <w:tc>
          <w:tcPr>
            <w:tcW w:w="581" w:type="dxa"/>
            <w:vAlign w:val="bottom"/>
          </w:tcPr>
          <w:p w14:paraId="4C1343F3" w14:textId="77777777" w:rsidR="007E48B3" w:rsidRPr="000853B7" w:rsidRDefault="007E48B3" w:rsidP="00416373">
            <w:pPr>
              <w:bidi w:val="0"/>
              <w:rPr>
                <w:rFonts w:cs="Calibri"/>
                <w:color w:val="000000"/>
                <w:sz w:val="18"/>
                <w:szCs w:val="18"/>
              </w:rPr>
            </w:pPr>
            <w:r w:rsidRPr="000853B7">
              <w:rPr>
                <w:rFonts w:cs="Calibri"/>
                <w:color w:val="000000"/>
                <w:sz w:val="18"/>
                <w:szCs w:val="18"/>
              </w:rPr>
              <w:t>2004</w:t>
            </w:r>
          </w:p>
        </w:tc>
        <w:tc>
          <w:tcPr>
            <w:tcW w:w="1193" w:type="dxa"/>
            <w:shd w:val="clear" w:color="auto" w:fill="auto"/>
            <w:noWrap/>
            <w:vAlign w:val="bottom"/>
            <w:hideMark/>
          </w:tcPr>
          <w:p w14:paraId="1A229247" w14:textId="77777777" w:rsidR="007E48B3" w:rsidRPr="00533A00" w:rsidRDefault="007E48B3" w:rsidP="00416373">
            <w:pPr>
              <w:bidi w:val="0"/>
              <w:rPr>
                <w:rFonts w:cs="Calibri"/>
                <w:color w:val="000000"/>
                <w:sz w:val="18"/>
                <w:szCs w:val="18"/>
              </w:rPr>
            </w:pPr>
            <w:r w:rsidRPr="00533A00">
              <w:rPr>
                <w:rFonts w:cs="Calibri"/>
                <w:color w:val="000000"/>
                <w:sz w:val="18"/>
                <w:szCs w:val="18"/>
              </w:rPr>
              <w:t> </w:t>
            </w:r>
          </w:p>
        </w:tc>
        <w:tc>
          <w:tcPr>
            <w:tcW w:w="1193" w:type="dxa"/>
            <w:shd w:val="clear" w:color="auto" w:fill="auto"/>
            <w:noWrap/>
            <w:vAlign w:val="bottom"/>
            <w:hideMark/>
          </w:tcPr>
          <w:p w14:paraId="3B526ED5"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28%</w:t>
            </w:r>
          </w:p>
        </w:tc>
        <w:tc>
          <w:tcPr>
            <w:tcW w:w="1157" w:type="dxa"/>
            <w:shd w:val="clear" w:color="auto" w:fill="auto"/>
            <w:noWrap/>
            <w:vAlign w:val="bottom"/>
            <w:hideMark/>
          </w:tcPr>
          <w:p w14:paraId="6472AE54"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1E96BB43"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179ABEA7"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65%</w:t>
            </w:r>
          </w:p>
        </w:tc>
      </w:tr>
      <w:tr w:rsidR="007E48B3" w:rsidRPr="000853B7" w14:paraId="5574BFF3" w14:textId="77777777" w:rsidTr="00416373">
        <w:trPr>
          <w:trHeight w:val="300"/>
        </w:trPr>
        <w:tc>
          <w:tcPr>
            <w:tcW w:w="581" w:type="dxa"/>
            <w:vAlign w:val="bottom"/>
          </w:tcPr>
          <w:p w14:paraId="1A41FBF4" w14:textId="77777777" w:rsidR="007E48B3" w:rsidRPr="000853B7" w:rsidRDefault="007E48B3" w:rsidP="00416373">
            <w:pPr>
              <w:bidi w:val="0"/>
              <w:rPr>
                <w:rFonts w:cs="Calibri"/>
                <w:color w:val="000000"/>
                <w:sz w:val="18"/>
                <w:szCs w:val="18"/>
              </w:rPr>
            </w:pPr>
            <w:r w:rsidRPr="000853B7">
              <w:rPr>
                <w:rFonts w:cs="Calibri"/>
                <w:color w:val="000000"/>
                <w:sz w:val="18"/>
                <w:szCs w:val="18"/>
              </w:rPr>
              <w:t>2005</w:t>
            </w:r>
          </w:p>
        </w:tc>
        <w:tc>
          <w:tcPr>
            <w:tcW w:w="1193" w:type="dxa"/>
            <w:shd w:val="clear" w:color="auto" w:fill="auto"/>
            <w:noWrap/>
            <w:vAlign w:val="bottom"/>
            <w:hideMark/>
          </w:tcPr>
          <w:p w14:paraId="706B73F0" w14:textId="77777777" w:rsidR="007E48B3" w:rsidRPr="00533A00" w:rsidRDefault="007E48B3" w:rsidP="00416373">
            <w:pPr>
              <w:bidi w:val="0"/>
              <w:rPr>
                <w:rFonts w:cs="Calibri"/>
                <w:color w:val="000000"/>
                <w:sz w:val="18"/>
                <w:szCs w:val="18"/>
              </w:rPr>
            </w:pPr>
            <w:r w:rsidRPr="00533A00">
              <w:rPr>
                <w:rFonts w:cs="Calibri"/>
                <w:color w:val="000000"/>
                <w:sz w:val="18"/>
                <w:szCs w:val="18"/>
              </w:rPr>
              <w:t> </w:t>
            </w:r>
          </w:p>
        </w:tc>
        <w:tc>
          <w:tcPr>
            <w:tcW w:w="1193" w:type="dxa"/>
            <w:shd w:val="clear" w:color="auto" w:fill="auto"/>
            <w:noWrap/>
            <w:vAlign w:val="bottom"/>
            <w:hideMark/>
          </w:tcPr>
          <w:p w14:paraId="654BB625"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17%</w:t>
            </w:r>
          </w:p>
        </w:tc>
        <w:tc>
          <w:tcPr>
            <w:tcW w:w="1157" w:type="dxa"/>
            <w:shd w:val="clear" w:color="auto" w:fill="auto"/>
            <w:noWrap/>
            <w:vAlign w:val="bottom"/>
            <w:hideMark/>
          </w:tcPr>
          <w:p w14:paraId="2497A24E"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683A3D49"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1D4E0724"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61%</w:t>
            </w:r>
          </w:p>
        </w:tc>
      </w:tr>
      <w:tr w:rsidR="007E48B3" w:rsidRPr="000853B7" w14:paraId="5CBC3FB1" w14:textId="77777777" w:rsidTr="00416373">
        <w:trPr>
          <w:trHeight w:val="300"/>
        </w:trPr>
        <w:tc>
          <w:tcPr>
            <w:tcW w:w="581" w:type="dxa"/>
            <w:vAlign w:val="bottom"/>
          </w:tcPr>
          <w:p w14:paraId="7AF4BF3D"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2006</w:t>
            </w:r>
          </w:p>
        </w:tc>
        <w:tc>
          <w:tcPr>
            <w:tcW w:w="1193" w:type="dxa"/>
            <w:shd w:val="clear" w:color="auto" w:fill="auto"/>
            <w:noWrap/>
            <w:vAlign w:val="bottom"/>
            <w:hideMark/>
          </w:tcPr>
          <w:p w14:paraId="1A5991EE"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14%</w:t>
            </w:r>
          </w:p>
        </w:tc>
        <w:tc>
          <w:tcPr>
            <w:tcW w:w="1193" w:type="dxa"/>
            <w:shd w:val="clear" w:color="auto" w:fill="auto"/>
            <w:noWrap/>
            <w:vAlign w:val="bottom"/>
            <w:hideMark/>
          </w:tcPr>
          <w:p w14:paraId="79401A38"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17%</w:t>
            </w:r>
          </w:p>
        </w:tc>
        <w:tc>
          <w:tcPr>
            <w:tcW w:w="1157" w:type="dxa"/>
            <w:shd w:val="clear" w:color="auto" w:fill="auto"/>
            <w:noWrap/>
            <w:vAlign w:val="bottom"/>
            <w:hideMark/>
          </w:tcPr>
          <w:p w14:paraId="2B3AD07A"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0A5CB529"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219E9B65"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65%</w:t>
            </w:r>
          </w:p>
        </w:tc>
      </w:tr>
      <w:tr w:rsidR="007E48B3" w:rsidRPr="000853B7" w14:paraId="49049DB6" w14:textId="77777777" w:rsidTr="00416373">
        <w:trPr>
          <w:trHeight w:val="300"/>
        </w:trPr>
        <w:tc>
          <w:tcPr>
            <w:tcW w:w="581" w:type="dxa"/>
            <w:vAlign w:val="bottom"/>
          </w:tcPr>
          <w:p w14:paraId="3CE44683"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2007</w:t>
            </w:r>
          </w:p>
        </w:tc>
        <w:tc>
          <w:tcPr>
            <w:tcW w:w="1193" w:type="dxa"/>
            <w:shd w:val="clear" w:color="auto" w:fill="auto"/>
            <w:noWrap/>
            <w:vAlign w:val="bottom"/>
            <w:hideMark/>
          </w:tcPr>
          <w:p w14:paraId="1C71E7EF"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18%</w:t>
            </w:r>
          </w:p>
        </w:tc>
        <w:tc>
          <w:tcPr>
            <w:tcW w:w="1193" w:type="dxa"/>
            <w:shd w:val="clear" w:color="auto" w:fill="auto"/>
            <w:noWrap/>
            <w:vAlign w:val="bottom"/>
            <w:hideMark/>
          </w:tcPr>
          <w:p w14:paraId="58DB7538"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20%</w:t>
            </w:r>
          </w:p>
        </w:tc>
        <w:tc>
          <w:tcPr>
            <w:tcW w:w="1157" w:type="dxa"/>
            <w:shd w:val="clear" w:color="auto" w:fill="auto"/>
            <w:noWrap/>
            <w:vAlign w:val="bottom"/>
            <w:hideMark/>
          </w:tcPr>
          <w:p w14:paraId="762CC46D"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2E7876B2"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5E6E501F"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66%</w:t>
            </w:r>
          </w:p>
        </w:tc>
      </w:tr>
      <w:tr w:rsidR="007E48B3" w:rsidRPr="000853B7" w14:paraId="25273480" w14:textId="77777777" w:rsidTr="00416373">
        <w:trPr>
          <w:trHeight w:val="300"/>
        </w:trPr>
        <w:tc>
          <w:tcPr>
            <w:tcW w:w="581" w:type="dxa"/>
            <w:vAlign w:val="bottom"/>
          </w:tcPr>
          <w:p w14:paraId="512330E6"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2008</w:t>
            </w:r>
          </w:p>
        </w:tc>
        <w:tc>
          <w:tcPr>
            <w:tcW w:w="1193" w:type="dxa"/>
            <w:shd w:val="clear" w:color="auto" w:fill="auto"/>
            <w:noWrap/>
            <w:vAlign w:val="bottom"/>
            <w:hideMark/>
          </w:tcPr>
          <w:p w14:paraId="4E17C2F7"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22%</w:t>
            </w:r>
          </w:p>
        </w:tc>
        <w:tc>
          <w:tcPr>
            <w:tcW w:w="1193" w:type="dxa"/>
            <w:shd w:val="clear" w:color="auto" w:fill="auto"/>
            <w:noWrap/>
            <w:vAlign w:val="bottom"/>
            <w:hideMark/>
          </w:tcPr>
          <w:p w14:paraId="009F6EA7"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26%</w:t>
            </w:r>
          </w:p>
        </w:tc>
        <w:tc>
          <w:tcPr>
            <w:tcW w:w="1157" w:type="dxa"/>
            <w:shd w:val="clear" w:color="auto" w:fill="auto"/>
            <w:noWrap/>
            <w:vAlign w:val="bottom"/>
            <w:hideMark/>
          </w:tcPr>
          <w:p w14:paraId="7F64A5E0"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533C7ED5"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52DA8B84"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70%</w:t>
            </w:r>
          </w:p>
        </w:tc>
      </w:tr>
      <w:tr w:rsidR="007E48B3" w:rsidRPr="000853B7" w14:paraId="7EDF29D5" w14:textId="77777777" w:rsidTr="00416373">
        <w:trPr>
          <w:trHeight w:val="300"/>
        </w:trPr>
        <w:tc>
          <w:tcPr>
            <w:tcW w:w="581" w:type="dxa"/>
            <w:vAlign w:val="bottom"/>
          </w:tcPr>
          <w:p w14:paraId="6C15DB67"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2009</w:t>
            </w:r>
          </w:p>
        </w:tc>
        <w:tc>
          <w:tcPr>
            <w:tcW w:w="1193" w:type="dxa"/>
            <w:shd w:val="clear" w:color="auto" w:fill="auto"/>
            <w:noWrap/>
            <w:vAlign w:val="bottom"/>
            <w:hideMark/>
          </w:tcPr>
          <w:p w14:paraId="1D8EF482"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23%</w:t>
            </w:r>
          </w:p>
        </w:tc>
        <w:tc>
          <w:tcPr>
            <w:tcW w:w="1193" w:type="dxa"/>
            <w:shd w:val="clear" w:color="auto" w:fill="auto"/>
            <w:noWrap/>
            <w:vAlign w:val="bottom"/>
            <w:hideMark/>
          </w:tcPr>
          <w:p w14:paraId="1046DCE5"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26%</w:t>
            </w:r>
          </w:p>
        </w:tc>
        <w:tc>
          <w:tcPr>
            <w:tcW w:w="1157" w:type="dxa"/>
            <w:shd w:val="clear" w:color="auto" w:fill="auto"/>
            <w:noWrap/>
            <w:vAlign w:val="bottom"/>
            <w:hideMark/>
          </w:tcPr>
          <w:p w14:paraId="0995037A" w14:textId="77777777" w:rsidR="007E48B3" w:rsidRPr="00533A00" w:rsidRDefault="007E48B3" w:rsidP="00416373">
            <w:pPr>
              <w:bidi w:val="0"/>
              <w:jc w:val="right"/>
              <w:rPr>
                <w:rFonts w:cs="Calibri"/>
                <w:color w:val="000000"/>
                <w:sz w:val="18"/>
                <w:szCs w:val="18"/>
              </w:rPr>
            </w:pPr>
          </w:p>
        </w:tc>
        <w:tc>
          <w:tcPr>
            <w:tcW w:w="1116" w:type="dxa"/>
            <w:shd w:val="clear" w:color="auto" w:fill="auto"/>
            <w:noWrap/>
            <w:vAlign w:val="bottom"/>
            <w:hideMark/>
          </w:tcPr>
          <w:p w14:paraId="34B32155" w14:textId="77777777" w:rsidR="007E48B3" w:rsidRPr="00533A00" w:rsidRDefault="007E48B3" w:rsidP="00416373">
            <w:pPr>
              <w:bidi w:val="0"/>
              <w:rPr>
                <w:rFonts w:ascii="Times New Roman" w:hAnsi="Times New Roman" w:cs="Times New Roman"/>
                <w:sz w:val="18"/>
                <w:szCs w:val="18"/>
              </w:rPr>
            </w:pPr>
          </w:p>
        </w:tc>
        <w:tc>
          <w:tcPr>
            <w:tcW w:w="1418" w:type="dxa"/>
            <w:shd w:val="clear" w:color="auto" w:fill="auto"/>
            <w:noWrap/>
            <w:vAlign w:val="bottom"/>
            <w:hideMark/>
          </w:tcPr>
          <w:p w14:paraId="571294B1"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69%</w:t>
            </w:r>
          </w:p>
        </w:tc>
      </w:tr>
      <w:tr w:rsidR="007E48B3" w:rsidRPr="000853B7" w14:paraId="4DD91C54" w14:textId="77777777" w:rsidTr="00416373">
        <w:trPr>
          <w:trHeight w:val="315"/>
        </w:trPr>
        <w:tc>
          <w:tcPr>
            <w:tcW w:w="581" w:type="dxa"/>
            <w:vAlign w:val="bottom"/>
          </w:tcPr>
          <w:p w14:paraId="5254C0EC"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2010</w:t>
            </w:r>
          </w:p>
        </w:tc>
        <w:tc>
          <w:tcPr>
            <w:tcW w:w="1193" w:type="dxa"/>
            <w:shd w:val="clear" w:color="auto" w:fill="auto"/>
            <w:noWrap/>
            <w:vAlign w:val="bottom"/>
            <w:hideMark/>
          </w:tcPr>
          <w:p w14:paraId="1879F0FC"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25%</w:t>
            </w:r>
          </w:p>
        </w:tc>
        <w:tc>
          <w:tcPr>
            <w:tcW w:w="1193" w:type="dxa"/>
            <w:shd w:val="clear" w:color="auto" w:fill="auto"/>
            <w:noWrap/>
            <w:vAlign w:val="bottom"/>
            <w:hideMark/>
          </w:tcPr>
          <w:p w14:paraId="191E9F75"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30%</w:t>
            </w:r>
          </w:p>
        </w:tc>
        <w:tc>
          <w:tcPr>
            <w:tcW w:w="1157" w:type="dxa"/>
            <w:shd w:val="clear" w:color="auto" w:fill="auto"/>
            <w:noWrap/>
            <w:vAlign w:val="bottom"/>
            <w:hideMark/>
          </w:tcPr>
          <w:p w14:paraId="46D80FEA"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10%</w:t>
            </w:r>
          </w:p>
        </w:tc>
        <w:tc>
          <w:tcPr>
            <w:tcW w:w="1116" w:type="dxa"/>
            <w:shd w:val="clear" w:color="auto" w:fill="auto"/>
            <w:noWrap/>
            <w:vAlign w:val="bottom"/>
            <w:hideMark/>
          </w:tcPr>
          <w:p w14:paraId="69E757A0"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87%</w:t>
            </w:r>
          </w:p>
        </w:tc>
        <w:tc>
          <w:tcPr>
            <w:tcW w:w="1418" w:type="dxa"/>
            <w:shd w:val="clear" w:color="auto" w:fill="auto"/>
            <w:noWrap/>
            <w:vAlign w:val="bottom"/>
            <w:hideMark/>
          </w:tcPr>
          <w:p w14:paraId="6B198A3C"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70%</w:t>
            </w:r>
          </w:p>
        </w:tc>
      </w:tr>
      <w:tr w:rsidR="007E48B3" w:rsidRPr="000853B7" w14:paraId="55C9347B" w14:textId="77777777" w:rsidTr="00416373">
        <w:trPr>
          <w:trHeight w:val="300"/>
        </w:trPr>
        <w:tc>
          <w:tcPr>
            <w:tcW w:w="581" w:type="dxa"/>
            <w:vAlign w:val="bottom"/>
          </w:tcPr>
          <w:p w14:paraId="1D209829"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2011</w:t>
            </w:r>
          </w:p>
        </w:tc>
        <w:tc>
          <w:tcPr>
            <w:tcW w:w="1193" w:type="dxa"/>
            <w:shd w:val="clear" w:color="auto" w:fill="auto"/>
            <w:noWrap/>
            <w:vAlign w:val="bottom"/>
            <w:hideMark/>
          </w:tcPr>
          <w:p w14:paraId="067A27FA"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30%</w:t>
            </w:r>
          </w:p>
        </w:tc>
        <w:tc>
          <w:tcPr>
            <w:tcW w:w="1193" w:type="dxa"/>
            <w:shd w:val="clear" w:color="auto" w:fill="auto"/>
            <w:noWrap/>
            <w:vAlign w:val="bottom"/>
            <w:hideMark/>
          </w:tcPr>
          <w:p w14:paraId="175C5573"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24%</w:t>
            </w:r>
          </w:p>
        </w:tc>
        <w:tc>
          <w:tcPr>
            <w:tcW w:w="1157" w:type="dxa"/>
            <w:shd w:val="clear" w:color="auto" w:fill="auto"/>
            <w:noWrap/>
            <w:vAlign w:val="bottom"/>
            <w:hideMark/>
          </w:tcPr>
          <w:p w14:paraId="4C46D606"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11%</w:t>
            </w:r>
          </w:p>
        </w:tc>
        <w:tc>
          <w:tcPr>
            <w:tcW w:w="1116" w:type="dxa"/>
            <w:shd w:val="clear" w:color="auto" w:fill="auto"/>
            <w:noWrap/>
            <w:vAlign w:val="bottom"/>
            <w:hideMark/>
          </w:tcPr>
          <w:p w14:paraId="548D7553"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61%</w:t>
            </w:r>
          </w:p>
        </w:tc>
        <w:tc>
          <w:tcPr>
            <w:tcW w:w="1418" w:type="dxa"/>
            <w:shd w:val="clear" w:color="auto" w:fill="auto"/>
            <w:noWrap/>
            <w:vAlign w:val="bottom"/>
            <w:hideMark/>
          </w:tcPr>
          <w:p w14:paraId="51DAE67D"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67%</w:t>
            </w:r>
          </w:p>
        </w:tc>
      </w:tr>
      <w:tr w:rsidR="007E48B3" w:rsidRPr="000853B7" w14:paraId="45662DF8" w14:textId="77777777" w:rsidTr="00416373">
        <w:trPr>
          <w:trHeight w:val="300"/>
        </w:trPr>
        <w:tc>
          <w:tcPr>
            <w:tcW w:w="581" w:type="dxa"/>
            <w:vAlign w:val="bottom"/>
          </w:tcPr>
          <w:p w14:paraId="22EF422E"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2012</w:t>
            </w:r>
          </w:p>
        </w:tc>
        <w:tc>
          <w:tcPr>
            <w:tcW w:w="1193" w:type="dxa"/>
            <w:shd w:val="clear" w:color="auto" w:fill="auto"/>
            <w:noWrap/>
            <w:vAlign w:val="bottom"/>
            <w:hideMark/>
          </w:tcPr>
          <w:p w14:paraId="4FCA9CFA"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31%</w:t>
            </w:r>
          </w:p>
        </w:tc>
        <w:tc>
          <w:tcPr>
            <w:tcW w:w="1193" w:type="dxa"/>
            <w:shd w:val="clear" w:color="auto" w:fill="auto"/>
            <w:noWrap/>
            <w:vAlign w:val="bottom"/>
            <w:hideMark/>
          </w:tcPr>
          <w:p w14:paraId="2AF4FA7D"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33%</w:t>
            </w:r>
          </w:p>
        </w:tc>
        <w:tc>
          <w:tcPr>
            <w:tcW w:w="1157" w:type="dxa"/>
            <w:shd w:val="clear" w:color="auto" w:fill="auto"/>
            <w:noWrap/>
            <w:vAlign w:val="bottom"/>
            <w:hideMark/>
          </w:tcPr>
          <w:p w14:paraId="133A54D2"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11%</w:t>
            </w:r>
          </w:p>
        </w:tc>
        <w:tc>
          <w:tcPr>
            <w:tcW w:w="1116" w:type="dxa"/>
            <w:shd w:val="clear" w:color="auto" w:fill="auto"/>
            <w:noWrap/>
            <w:vAlign w:val="bottom"/>
            <w:hideMark/>
          </w:tcPr>
          <w:p w14:paraId="3FD4B3BD"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65%</w:t>
            </w:r>
          </w:p>
        </w:tc>
        <w:tc>
          <w:tcPr>
            <w:tcW w:w="1418" w:type="dxa"/>
            <w:shd w:val="clear" w:color="auto" w:fill="auto"/>
            <w:noWrap/>
            <w:vAlign w:val="bottom"/>
            <w:hideMark/>
          </w:tcPr>
          <w:p w14:paraId="5E001D05"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73%</w:t>
            </w:r>
          </w:p>
        </w:tc>
      </w:tr>
      <w:tr w:rsidR="007E48B3" w:rsidRPr="000853B7" w14:paraId="1241DC94" w14:textId="77777777" w:rsidTr="00416373">
        <w:trPr>
          <w:trHeight w:val="300"/>
        </w:trPr>
        <w:tc>
          <w:tcPr>
            <w:tcW w:w="581" w:type="dxa"/>
            <w:vAlign w:val="bottom"/>
          </w:tcPr>
          <w:p w14:paraId="7BFE652C"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2013</w:t>
            </w:r>
          </w:p>
        </w:tc>
        <w:tc>
          <w:tcPr>
            <w:tcW w:w="1193" w:type="dxa"/>
            <w:shd w:val="clear" w:color="auto" w:fill="auto"/>
            <w:noWrap/>
            <w:vAlign w:val="bottom"/>
            <w:hideMark/>
          </w:tcPr>
          <w:p w14:paraId="697C4045"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29%</w:t>
            </w:r>
          </w:p>
        </w:tc>
        <w:tc>
          <w:tcPr>
            <w:tcW w:w="1193" w:type="dxa"/>
            <w:shd w:val="clear" w:color="auto" w:fill="auto"/>
            <w:noWrap/>
            <w:vAlign w:val="bottom"/>
            <w:hideMark/>
          </w:tcPr>
          <w:p w14:paraId="5EBA777F"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34%</w:t>
            </w:r>
          </w:p>
        </w:tc>
        <w:tc>
          <w:tcPr>
            <w:tcW w:w="1157" w:type="dxa"/>
            <w:shd w:val="clear" w:color="auto" w:fill="auto"/>
            <w:noWrap/>
            <w:vAlign w:val="bottom"/>
            <w:hideMark/>
          </w:tcPr>
          <w:p w14:paraId="32873A93"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17%</w:t>
            </w:r>
          </w:p>
        </w:tc>
        <w:tc>
          <w:tcPr>
            <w:tcW w:w="1116" w:type="dxa"/>
            <w:shd w:val="clear" w:color="auto" w:fill="auto"/>
            <w:noWrap/>
            <w:vAlign w:val="bottom"/>
            <w:hideMark/>
          </w:tcPr>
          <w:p w14:paraId="08DEE16A"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66%</w:t>
            </w:r>
          </w:p>
        </w:tc>
        <w:tc>
          <w:tcPr>
            <w:tcW w:w="1418" w:type="dxa"/>
            <w:shd w:val="clear" w:color="auto" w:fill="auto"/>
            <w:noWrap/>
            <w:vAlign w:val="bottom"/>
            <w:hideMark/>
          </w:tcPr>
          <w:p w14:paraId="697A41F9"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73%</w:t>
            </w:r>
          </w:p>
        </w:tc>
      </w:tr>
      <w:tr w:rsidR="007E48B3" w:rsidRPr="000853B7" w14:paraId="3D39D0CD" w14:textId="77777777" w:rsidTr="00416373">
        <w:trPr>
          <w:trHeight w:val="300"/>
        </w:trPr>
        <w:tc>
          <w:tcPr>
            <w:tcW w:w="581" w:type="dxa"/>
            <w:vAlign w:val="bottom"/>
          </w:tcPr>
          <w:p w14:paraId="03B7DB8F"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2014</w:t>
            </w:r>
          </w:p>
        </w:tc>
        <w:tc>
          <w:tcPr>
            <w:tcW w:w="1193" w:type="dxa"/>
            <w:shd w:val="clear" w:color="auto" w:fill="auto"/>
            <w:noWrap/>
            <w:vAlign w:val="bottom"/>
            <w:hideMark/>
          </w:tcPr>
          <w:p w14:paraId="3F6E9C7F"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31%</w:t>
            </w:r>
          </w:p>
        </w:tc>
        <w:tc>
          <w:tcPr>
            <w:tcW w:w="1193" w:type="dxa"/>
            <w:shd w:val="clear" w:color="auto" w:fill="auto"/>
            <w:noWrap/>
            <w:vAlign w:val="bottom"/>
            <w:hideMark/>
          </w:tcPr>
          <w:p w14:paraId="117679AC"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29%</w:t>
            </w:r>
          </w:p>
        </w:tc>
        <w:tc>
          <w:tcPr>
            <w:tcW w:w="1157" w:type="dxa"/>
            <w:shd w:val="clear" w:color="auto" w:fill="auto"/>
            <w:noWrap/>
            <w:vAlign w:val="bottom"/>
            <w:hideMark/>
          </w:tcPr>
          <w:p w14:paraId="0926848B"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14%</w:t>
            </w:r>
          </w:p>
        </w:tc>
        <w:tc>
          <w:tcPr>
            <w:tcW w:w="1116" w:type="dxa"/>
            <w:shd w:val="clear" w:color="auto" w:fill="auto"/>
            <w:noWrap/>
            <w:vAlign w:val="bottom"/>
            <w:hideMark/>
          </w:tcPr>
          <w:p w14:paraId="25B77FCC"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64%</w:t>
            </w:r>
          </w:p>
        </w:tc>
        <w:tc>
          <w:tcPr>
            <w:tcW w:w="1418" w:type="dxa"/>
            <w:shd w:val="clear" w:color="auto" w:fill="auto"/>
            <w:noWrap/>
            <w:vAlign w:val="bottom"/>
            <w:hideMark/>
          </w:tcPr>
          <w:p w14:paraId="0BAE6A89"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74%</w:t>
            </w:r>
          </w:p>
        </w:tc>
      </w:tr>
      <w:tr w:rsidR="007E48B3" w:rsidRPr="000853B7" w14:paraId="585CF406" w14:textId="77777777" w:rsidTr="00416373">
        <w:trPr>
          <w:trHeight w:val="300"/>
        </w:trPr>
        <w:tc>
          <w:tcPr>
            <w:tcW w:w="581" w:type="dxa"/>
            <w:vAlign w:val="bottom"/>
          </w:tcPr>
          <w:p w14:paraId="6E0C29CD"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2015</w:t>
            </w:r>
          </w:p>
        </w:tc>
        <w:tc>
          <w:tcPr>
            <w:tcW w:w="1193" w:type="dxa"/>
            <w:shd w:val="clear" w:color="auto" w:fill="auto"/>
            <w:noWrap/>
            <w:vAlign w:val="bottom"/>
            <w:hideMark/>
          </w:tcPr>
          <w:p w14:paraId="63AC9BCD"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33%</w:t>
            </w:r>
          </w:p>
        </w:tc>
        <w:tc>
          <w:tcPr>
            <w:tcW w:w="1193" w:type="dxa"/>
            <w:shd w:val="clear" w:color="auto" w:fill="auto"/>
            <w:noWrap/>
            <w:vAlign w:val="bottom"/>
            <w:hideMark/>
          </w:tcPr>
          <w:p w14:paraId="6FE1EAE6"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34%</w:t>
            </w:r>
          </w:p>
        </w:tc>
        <w:tc>
          <w:tcPr>
            <w:tcW w:w="1157" w:type="dxa"/>
            <w:shd w:val="clear" w:color="auto" w:fill="auto"/>
            <w:noWrap/>
            <w:vAlign w:val="bottom"/>
            <w:hideMark/>
          </w:tcPr>
          <w:p w14:paraId="48FD7B2E"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12%</w:t>
            </w:r>
          </w:p>
        </w:tc>
        <w:tc>
          <w:tcPr>
            <w:tcW w:w="1116" w:type="dxa"/>
            <w:shd w:val="clear" w:color="auto" w:fill="auto"/>
            <w:noWrap/>
            <w:vAlign w:val="bottom"/>
            <w:hideMark/>
          </w:tcPr>
          <w:p w14:paraId="3F6B76D7"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60%</w:t>
            </w:r>
          </w:p>
        </w:tc>
        <w:tc>
          <w:tcPr>
            <w:tcW w:w="1418" w:type="dxa"/>
            <w:shd w:val="clear" w:color="auto" w:fill="auto"/>
            <w:noWrap/>
            <w:vAlign w:val="bottom"/>
            <w:hideMark/>
          </w:tcPr>
          <w:p w14:paraId="18BAFBDC"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74%</w:t>
            </w:r>
          </w:p>
        </w:tc>
      </w:tr>
      <w:tr w:rsidR="007E48B3" w:rsidRPr="000853B7" w14:paraId="0567E8C2" w14:textId="77777777" w:rsidTr="00416373">
        <w:trPr>
          <w:trHeight w:val="300"/>
        </w:trPr>
        <w:tc>
          <w:tcPr>
            <w:tcW w:w="581" w:type="dxa"/>
            <w:vAlign w:val="bottom"/>
          </w:tcPr>
          <w:p w14:paraId="010A6080"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2016</w:t>
            </w:r>
          </w:p>
        </w:tc>
        <w:tc>
          <w:tcPr>
            <w:tcW w:w="1193" w:type="dxa"/>
            <w:shd w:val="clear" w:color="auto" w:fill="auto"/>
            <w:noWrap/>
            <w:vAlign w:val="bottom"/>
            <w:hideMark/>
          </w:tcPr>
          <w:p w14:paraId="0624CB92"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33%</w:t>
            </w:r>
          </w:p>
        </w:tc>
        <w:tc>
          <w:tcPr>
            <w:tcW w:w="1193" w:type="dxa"/>
            <w:shd w:val="clear" w:color="auto" w:fill="auto"/>
            <w:noWrap/>
            <w:vAlign w:val="bottom"/>
            <w:hideMark/>
          </w:tcPr>
          <w:p w14:paraId="4CA254F0"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36%</w:t>
            </w:r>
          </w:p>
        </w:tc>
        <w:tc>
          <w:tcPr>
            <w:tcW w:w="1157" w:type="dxa"/>
            <w:shd w:val="clear" w:color="auto" w:fill="auto"/>
            <w:noWrap/>
            <w:vAlign w:val="bottom"/>
            <w:hideMark/>
          </w:tcPr>
          <w:p w14:paraId="0AA169AB"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16%</w:t>
            </w:r>
          </w:p>
        </w:tc>
        <w:tc>
          <w:tcPr>
            <w:tcW w:w="1116" w:type="dxa"/>
            <w:shd w:val="clear" w:color="auto" w:fill="auto"/>
            <w:noWrap/>
            <w:vAlign w:val="bottom"/>
            <w:hideMark/>
          </w:tcPr>
          <w:p w14:paraId="6D5F7D9D"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67%</w:t>
            </w:r>
          </w:p>
        </w:tc>
        <w:tc>
          <w:tcPr>
            <w:tcW w:w="1418" w:type="dxa"/>
            <w:shd w:val="clear" w:color="auto" w:fill="auto"/>
            <w:noWrap/>
            <w:vAlign w:val="bottom"/>
            <w:hideMark/>
          </w:tcPr>
          <w:p w14:paraId="0362EE98"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73%</w:t>
            </w:r>
          </w:p>
        </w:tc>
      </w:tr>
      <w:tr w:rsidR="007E48B3" w:rsidRPr="000853B7" w14:paraId="2F538FE7" w14:textId="77777777" w:rsidTr="00416373">
        <w:trPr>
          <w:trHeight w:val="300"/>
        </w:trPr>
        <w:tc>
          <w:tcPr>
            <w:tcW w:w="581" w:type="dxa"/>
            <w:vAlign w:val="bottom"/>
          </w:tcPr>
          <w:p w14:paraId="7E58FC0A"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2017</w:t>
            </w:r>
          </w:p>
        </w:tc>
        <w:tc>
          <w:tcPr>
            <w:tcW w:w="1193" w:type="dxa"/>
            <w:shd w:val="clear" w:color="auto" w:fill="auto"/>
            <w:noWrap/>
            <w:vAlign w:val="bottom"/>
            <w:hideMark/>
          </w:tcPr>
          <w:p w14:paraId="36CA1A39"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34%</w:t>
            </w:r>
          </w:p>
        </w:tc>
        <w:tc>
          <w:tcPr>
            <w:tcW w:w="1193" w:type="dxa"/>
            <w:shd w:val="clear" w:color="auto" w:fill="auto"/>
            <w:noWrap/>
            <w:vAlign w:val="bottom"/>
            <w:hideMark/>
          </w:tcPr>
          <w:p w14:paraId="025CC9AA"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40%</w:t>
            </w:r>
          </w:p>
        </w:tc>
        <w:tc>
          <w:tcPr>
            <w:tcW w:w="1157" w:type="dxa"/>
            <w:shd w:val="clear" w:color="auto" w:fill="auto"/>
            <w:noWrap/>
            <w:vAlign w:val="bottom"/>
            <w:hideMark/>
          </w:tcPr>
          <w:p w14:paraId="3CB120C7"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15%</w:t>
            </w:r>
          </w:p>
        </w:tc>
        <w:tc>
          <w:tcPr>
            <w:tcW w:w="1116" w:type="dxa"/>
            <w:shd w:val="clear" w:color="auto" w:fill="auto"/>
            <w:noWrap/>
            <w:vAlign w:val="bottom"/>
            <w:hideMark/>
          </w:tcPr>
          <w:p w14:paraId="7243379A"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68%</w:t>
            </w:r>
          </w:p>
        </w:tc>
        <w:tc>
          <w:tcPr>
            <w:tcW w:w="1418" w:type="dxa"/>
            <w:shd w:val="clear" w:color="auto" w:fill="auto"/>
            <w:noWrap/>
            <w:vAlign w:val="bottom"/>
            <w:hideMark/>
          </w:tcPr>
          <w:p w14:paraId="17B90077"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75%</w:t>
            </w:r>
          </w:p>
        </w:tc>
      </w:tr>
      <w:tr w:rsidR="007E48B3" w:rsidRPr="000853B7" w14:paraId="6EA181C2" w14:textId="77777777" w:rsidTr="00416373">
        <w:trPr>
          <w:trHeight w:val="300"/>
        </w:trPr>
        <w:tc>
          <w:tcPr>
            <w:tcW w:w="581" w:type="dxa"/>
            <w:vAlign w:val="bottom"/>
          </w:tcPr>
          <w:p w14:paraId="33C44D03"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2018</w:t>
            </w:r>
          </w:p>
        </w:tc>
        <w:tc>
          <w:tcPr>
            <w:tcW w:w="1193" w:type="dxa"/>
            <w:shd w:val="clear" w:color="auto" w:fill="auto"/>
            <w:noWrap/>
            <w:vAlign w:val="bottom"/>
            <w:hideMark/>
          </w:tcPr>
          <w:p w14:paraId="0CCB397F"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36%</w:t>
            </w:r>
          </w:p>
        </w:tc>
        <w:tc>
          <w:tcPr>
            <w:tcW w:w="1193" w:type="dxa"/>
            <w:shd w:val="clear" w:color="auto" w:fill="auto"/>
            <w:noWrap/>
            <w:vAlign w:val="bottom"/>
            <w:hideMark/>
          </w:tcPr>
          <w:p w14:paraId="6B696299"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37%</w:t>
            </w:r>
          </w:p>
        </w:tc>
        <w:tc>
          <w:tcPr>
            <w:tcW w:w="1157" w:type="dxa"/>
            <w:shd w:val="clear" w:color="auto" w:fill="auto"/>
            <w:noWrap/>
            <w:vAlign w:val="bottom"/>
            <w:hideMark/>
          </w:tcPr>
          <w:p w14:paraId="44F880E4"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17%</w:t>
            </w:r>
          </w:p>
        </w:tc>
        <w:tc>
          <w:tcPr>
            <w:tcW w:w="1116" w:type="dxa"/>
            <w:shd w:val="clear" w:color="auto" w:fill="auto"/>
            <w:noWrap/>
            <w:vAlign w:val="bottom"/>
            <w:hideMark/>
          </w:tcPr>
          <w:p w14:paraId="0C7587AB"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54%</w:t>
            </w:r>
          </w:p>
        </w:tc>
        <w:tc>
          <w:tcPr>
            <w:tcW w:w="1418" w:type="dxa"/>
            <w:shd w:val="clear" w:color="auto" w:fill="auto"/>
            <w:noWrap/>
            <w:vAlign w:val="bottom"/>
            <w:hideMark/>
          </w:tcPr>
          <w:p w14:paraId="13E2609F"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78%</w:t>
            </w:r>
          </w:p>
        </w:tc>
      </w:tr>
      <w:tr w:rsidR="007E48B3" w:rsidRPr="000853B7" w14:paraId="6B369730" w14:textId="77777777" w:rsidTr="00416373">
        <w:trPr>
          <w:trHeight w:val="315"/>
        </w:trPr>
        <w:tc>
          <w:tcPr>
            <w:tcW w:w="581" w:type="dxa"/>
            <w:vAlign w:val="bottom"/>
          </w:tcPr>
          <w:p w14:paraId="44FBF30D" w14:textId="77777777" w:rsidR="007E48B3" w:rsidRPr="000853B7" w:rsidRDefault="007E48B3" w:rsidP="00416373">
            <w:pPr>
              <w:bidi w:val="0"/>
              <w:jc w:val="right"/>
              <w:rPr>
                <w:rFonts w:cs="Calibri"/>
                <w:color w:val="000000"/>
                <w:sz w:val="18"/>
                <w:szCs w:val="18"/>
              </w:rPr>
            </w:pPr>
            <w:r w:rsidRPr="000853B7">
              <w:rPr>
                <w:rFonts w:cs="Calibri"/>
                <w:color w:val="000000"/>
                <w:sz w:val="18"/>
                <w:szCs w:val="18"/>
              </w:rPr>
              <w:t>2019</w:t>
            </w:r>
          </w:p>
        </w:tc>
        <w:tc>
          <w:tcPr>
            <w:tcW w:w="1193" w:type="dxa"/>
            <w:shd w:val="clear" w:color="auto" w:fill="auto"/>
            <w:noWrap/>
            <w:vAlign w:val="bottom"/>
            <w:hideMark/>
          </w:tcPr>
          <w:p w14:paraId="10A81211"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36%</w:t>
            </w:r>
          </w:p>
        </w:tc>
        <w:tc>
          <w:tcPr>
            <w:tcW w:w="1193" w:type="dxa"/>
            <w:shd w:val="clear" w:color="auto" w:fill="auto"/>
            <w:noWrap/>
            <w:vAlign w:val="bottom"/>
            <w:hideMark/>
          </w:tcPr>
          <w:p w14:paraId="1AC9CF93"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40%</w:t>
            </w:r>
          </w:p>
        </w:tc>
        <w:tc>
          <w:tcPr>
            <w:tcW w:w="1157" w:type="dxa"/>
            <w:shd w:val="clear" w:color="auto" w:fill="auto"/>
            <w:noWrap/>
            <w:vAlign w:val="bottom"/>
            <w:hideMark/>
          </w:tcPr>
          <w:p w14:paraId="4B2CF31F"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20%</w:t>
            </w:r>
          </w:p>
        </w:tc>
        <w:tc>
          <w:tcPr>
            <w:tcW w:w="1116" w:type="dxa"/>
            <w:shd w:val="clear" w:color="auto" w:fill="auto"/>
            <w:noWrap/>
            <w:vAlign w:val="bottom"/>
            <w:hideMark/>
          </w:tcPr>
          <w:p w14:paraId="1677D95C"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58%</w:t>
            </w:r>
          </w:p>
        </w:tc>
        <w:tc>
          <w:tcPr>
            <w:tcW w:w="1418" w:type="dxa"/>
            <w:shd w:val="clear" w:color="auto" w:fill="auto"/>
            <w:noWrap/>
            <w:vAlign w:val="bottom"/>
            <w:hideMark/>
          </w:tcPr>
          <w:p w14:paraId="0EDA63E2" w14:textId="77777777" w:rsidR="007E48B3" w:rsidRPr="00533A00" w:rsidRDefault="007E48B3" w:rsidP="00416373">
            <w:pPr>
              <w:bidi w:val="0"/>
              <w:jc w:val="right"/>
              <w:rPr>
                <w:rFonts w:cs="Calibri"/>
                <w:color w:val="000000"/>
                <w:sz w:val="18"/>
                <w:szCs w:val="18"/>
              </w:rPr>
            </w:pPr>
            <w:r w:rsidRPr="00533A00">
              <w:rPr>
                <w:rFonts w:cs="Calibri"/>
                <w:color w:val="000000"/>
                <w:sz w:val="18"/>
                <w:szCs w:val="18"/>
              </w:rPr>
              <w:t>80%</w:t>
            </w:r>
          </w:p>
        </w:tc>
      </w:tr>
    </w:tbl>
    <w:p w14:paraId="2852EE38" w14:textId="77777777" w:rsidR="007E48B3" w:rsidRDefault="007E48B3" w:rsidP="007E48B3">
      <w:pPr>
        <w:pStyle w:val="ListParagraph"/>
        <w:autoSpaceDE w:val="0"/>
        <w:autoSpaceDN w:val="0"/>
        <w:bidi w:val="0"/>
        <w:adjustRightInd w:val="0"/>
        <w:spacing w:line="360" w:lineRule="auto"/>
        <w:ind w:left="1211"/>
        <w:rPr>
          <w:rFonts w:asciiTheme="majorBidi" w:hAnsiTheme="majorBidi" w:cstheme="majorBidi"/>
          <w:sz w:val="24"/>
          <w:szCs w:val="24"/>
        </w:rPr>
      </w:pPr>
    </w:p>
    <w:p w14:paraId="1089B5D6" w14:textId="77777777" w:rsidR="007E48B3" w:rsidRDefault="007E48B3" w:rsidP="007E48B3">
      <w:pPr>
        <w:pStyle w:val="ListParagraph"/>
        <w:autoSpaceDE w:val="0"/>
        <w:autoSpaceDN w:val="0"/>
        <w:bidi w:val="0"/>
        <w:adjustRightInd w:val="0"/>
        <w:spacing w:line="360" w:lineRule="auto"/>
        <w:ind w:left="1211"/>
        <w:rPr>
          <w:rFonts w:asciiTheme="majorBidi" w:hAnsiTheme="majorBidi" w:cstheme="majorBidi"/>
          <w:sz w:val="24"/>
          <w:szCs w:val="24"/>
        </w:rPr>
      </w:pPr>
    </w:p>
    <w:p w14:paraId="0E117DE7" w14:textId="77777777" w:rsidR="007E48B3" w:rsidRPr="001664CF" w:rsidRDefault="007E48B3" w:rsidP="007E48B3">
      <w:pPr>
        <w:pStyle w:val="ListParagraph"/>
        <w:numPr>
          <w:ilvl w:val="0"/>
          <w:numId w:val="26"/>
        </w:numPr>
        <w:autoSpaceDE w:val="0"/>
        <w:autoSpaceDN w:val="0"/>
        <w:bidi w:val="0"/>
        <w:adjustRightInd w:val="0"/>
        <w:spacing w:line="360" w:lineRule="auto"/>
        <w:rPr>
          <w:rFonts w:asciiTheme="majorBidi" w:hAnsiTheme="majorBidi" w:cstheme="majorBidi"/>
          <w:b/>
          <w:bCs/>
          <w:sz w:val="24"/>
          <w:szCs w:val="24"/>
        </w:rPr>
      </w:pPr>
      <w:r w:rsidRPr="001664CF">
        <w:rPr>
          <w:rFonts w:asciiTheme="majorBidi" w:hAnsiTheme="majorBidi" w:cstheme="majorBidi"/>
          <w:b/>
          <w:bCs/>
          <w:sz w:val="24"/>
          <w:szCs w:val="24"/>
        </w:rPr>
        <w:t>Wealth and Standard of living</w:t>
      </w:r>
    </w:p>
    <w:p w14:paraId="5017D25F"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99720C">
        <w:rPr>
          <w:b/>
          <w:bCs/>
        </w:rPr>
        <w:t xml:space="preserve">GDP per Capita Ratio </w:t>
      </w:r>
      <w:r>
        <w:rPr>
          <w:b/>
          <w:bCs/>
        </w:rPr>
        <w:t xml:space="preserve">– </w:t>
      </w:r>
    </w:p>
    <w:p w14:paraId="3CEE5CFB" w14:textId="77777777" w:rsidR="007E48B3" w:rsidRPr="00884CD2" w:rsidRDefault="007E48B3" w:rsidP="007E48B3">
      <w:pPr>
        <w:pStyle w:val="ListParagraph"/>
        <w:autoSpaceDE w:val="0"/>
        <w:autoSpaceDN w:val="0"/>
        <w:bidi w:val="0"/>
        <w:adjustRightInd w:val="0"/>
        <w:spacing w:after="240" w:line="480" w:lineRule="auto"/>
        <w:rPr>
          <w:rtl/>
        </w:rPr>
      </w:pPr>
      <w:r w:rsidRPr="00884CD2">
        <w:t>Measures the ratio of GDP per capita of the WBG to Israel</w:t>
      </w:r>
      <w:r>
        <w:t xml:space="preserve">. </w:t>
      </w:r>
      <w:r w:rsidRPr="00BE04A1">
        <w:t>GDP per capita is gross domestic product divided by midyear population. GDP is the sum of gross value added by all resident producers in the economy plus any product taxes and minus any subsidies not included in the value of the products.</w:t>
      </w:r>
      <w:r>
        <w:t xml:space="preserve">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735"/>
      </w:tblGrid>
      <w:tr w:rsidR="007E48B3" w:rsidRPr="007B3551" w14:paraId="6CE60875" w14:textId="77777777" w:rsidTr="00416373">
        <w:trPr>
          <w:trHeight w:val="300"/>
        </w:trPr>
        <w:tc>
          <w:tcPr>
            <w:tcW w:w="9315" w:type="dxa"/>
            <w:gridSpan w:val="2"/>
            <w:shd w:val="clear" w:color="auto" w:fill="auto"/>
            <w:noWrap/>
            <w:vAlign w:val="bottom"/>
          </w:tcPr>
          <w:p w14:paraId="1F71D430" w14:textId="77777777" w:rsidR="007E48B3" w:rsidRDefault="007E48B3" w:rsidP="00416373">
            <w:pPr>
              <w:bidi w:val="0"/>
              <w:rPr>
                <w:rFonts w:cs="Calibri"/>
                <w:color w:val="000000"/>
              </w:rPr>
            </w:pPr>
            <w:r>
              <w:rPr>
                <w:rFonts w:cs="Calibri"/>
                <w:color w:val="000000"/>
              </w:rPr>
              <w:t>Data source</w:t>
            </w:r>
          </w:p>
        </w:tc>
      </w:tr>
      <w:tr w:rsidR="007E48B3" w:rsidRPr="007B3551" w14:paraId="72025D67" w14:textId="77777777" w:rsidTr="00416373">
        <w:trPr>
          <w:trHeight w:val="300"/>
        </w:trPr>
        <w:tc>
          <w:tcPr>
            <w:tcW w:w="1580" w:type="dxa"/>
            <w:shd w:val="clear" w:color="auto" w:fill="auto"/>
            <w:noWrap/>
            <w:vAlign w:val="center"/>
            <w:hideMark/>
          </w:tcPr>
          <w:p w14:paraId="4FDF543C" w14:textId="77777777" w:rsidR="007E48B3" w:rsidRPr="007B3551" w:rsidRDefault="007E48B3" w:rsidP="00416373">
            <w:pPr>
              <w:bidi w:val="0"/>
              <w:rPr>
                <w:rFonts w:cs="Calibri"/>
                <w:color w:val="000000"/>
              </w:rPr>
            </w:pPr>
            <w:r>
              <w:rPr>
                <w:rFonts w:cs="Calibri"/>
                <w:color w:val="000000"/>
              </w:rPr>
              <w:t>1968-1993</w:t>
            </w:r>
          </w:p>
        </w:tc>
        <w:tc>
          <w:tcPr>
            <w:tcW w:w="7735" w:type="dxa"/>
            <w:shd w:val="clear" w:color="auto" w:fill="auto"/>
            <w:noWrap/>
            <w:vAlign w:val="center"/>
            <w:hideMark/>
          </w:tcPr>
          <w:p w14:paraId="45AF52A5" w14:textId="77777777" w:rsidR="007E48B3" w:rsidRPr="007B3551" w:rsidRDefault="007E48B3" w:rsidP="00416373">
            <w:pPr>
              <w:bidi w:val="0"/>
              <w:rPr>
                <w:rFonts w:cs="Calibri"/>
                <w:color w:val="000000"/>
              </w:rPr>
            </w:pPr>
            <w:r>
              <w:rPr>
                <w:rFonts w:cs="Calibri"/>
                <w:color w:val="000000"/>
              </w:rPr>
              <w:t>SCHEIN, A. (2013). Growth in Per Capita GDP in the West Bank and Gaza 1950–2005, Per capita GDP in WBG in 1990 international dollars, Middle Eastern Studies, 49(6), 973-989. Retrieved April 25, 2021, from http://www.jstor.org/stable/24585955</w:t>
            </w:r>
          </w:p>
        </w:tc>
      </w:tr>
      <w:tr w:rsidR="007E48B3" w:rsidRPr="007B3551" w14:paraId="04DA9F5E" w14:textId="77777777" w:rsidTr="00416373">
        <w:trPr>
          <w:trHeight w:val="300"/>
        </w:trPr>
        <w:tc>
          <w:tcPr>
            <w:tcW w:w="1580" w:type="dxa"/>
            <w:shd w:val="clear" w:color="auto" w:fill="auto"/>
            <w:noWrap/>
            <w:vAlign w:val="center"/>
            <w:hideMark/>
          </w:tcPr>
          <w:p w14:paraId="5FC633F9" w14:textId="77777777" w:rsidR="007E48B3" w:rsidRPr="007B3551" w:rsidRDefault="007E48B3" w:rsidP="00416373">
            <w:pPr>
              <w:bidi w:val="0"/>
              <w:rPr>
                <w:rFonts w:cs="Calibri"/>
                <w:color w:val="000000"/>
              </w:rPr>
            </w:pPr>
            <w:r>
              <w:rPr>
                <w:rFonts w:cs="Calibri"/>
                <w:color w:val="000000"/>
              </w:rPr>
              <w:t>1994-2019</w:t>
            </w:r>
          </w:p>
        </w:tc>
        <w:tc>
          <w:tcPr>
            <w:tcW w:w="7735" w:type="dxa"/>
            <w:shd w:val="clear" w:color="auto" w:fill="auto"/>
            <w:noWrap/>
            <w:vAlign w:val="center"/>
            <w:hideMark/>
          </w:tcPr>
          <w:p w14:paraId="51C4C587" w14:textId="77777777" w:rsidR="007E48B3" w:rsidRPr="007B3551" w:rsidRDefault="007E48B3" w:rsidP="00416373">
            <w:pPr>
              <w:bidi w:val="0"/>
              <w:rPr>
                <w:rFonts w:cs="Calibri"/>
                <w:color w:val="000000"/>
              </w:rPr>
            </w:pPr>
            <w:r>
              <w:rPr>
                <w:rFonts w:cs="Calibri"/>
                <w:color w:val="000000"/>
              </w:rPr>
              <w:t>World bank, World Development Indicators, GDP per capita (constant 2010 US$)</w:t>
            </w:r>
          </w:p>
        </w:tc>
      </w:tr>
    </w:tbl>
    <w:p w14:paraId="52208C06" w14:textId="77777777" w:rsidR="007E48B3" w:rsidRPr="0099720C" w:rsidRDefault="007E48B3" w:rsidP="007E48B3">
      <w:pPr>
        <w:pStyle w:val="ListParagraph"/>
        <w:autoSpaceDE w:val="0"/>
        <w:autoSpaceDN w:val="0"/>
        <w:bidi w:val="0"/>
        <w:adjustRightInd w:val="0"/>
        <w:spacing w:after="240" w:line="480" w:lineRule="auto"/>
        <w:rPr>
          <w:b/>
          <w:bCs/>
        </w:rPr>
      </w:pPr>
    </w:p>
    <w:p w14:paraId="45A8A8D5"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99720C">
        <w:rPr>
          <w:b/>
          <w:bCs/>
        </w:rPr>
        <w:t xml:space="preserve">Price level ratio </w:t>
      </w:r>
      <w:r>
        <w:rPr>
          <w:b/>
          <w:bCs/>
        </w:rPr>
        <w:t xml:space="preserve">– </w:t>
      </w:r>
    </w:p>
    <w:p w14:paraId="7261C75F" w14:textId="77777777" w:rsidR="007E48B3" w:rsidRDefault="007E48B3" w:rsidP="007E48B3">
      <w:pPr>
        <w:pStyle w:val="ListParagraph"/>
        <w:autoSpaceDE w:val="0"/>
        <w:autoSpaceDN w:val="0"/>
        <w:bidi w:val="0"/>
        <w:adjustRightInd w:val="0"/>
        <w:spacing w:line="480" w:lineRule="auto"/>
        <w:jc w:val="both"/>
      </w:pPr>
      <w:r>
        <w:t>M</w:t>
      </w:r>
      <w:r w:rsidRPr="00775E85">
        <w:t xml:space="preserve">easure the differences in price levels between </w:t>
      </w:r>
      <w:r>
        <w:t>the WBG and Israel.</w:t>
      </w:r>
    </w:p>
    <w:p w14:paraId="2C2A791B" w14:textId="77777777" w:rsidR="007E48B3" w:rsidRPr="00775E85" w:rsidRDefault="007E48B3" w:rsidP="007E48B3">
      <w:pPr>
        <w:pStyle w:val="ListParagraph"/>
        <w:autoSpaceDE w:val="0"/>
        <w:autoSpaceDN w:val="0"/>
        <w:bidi w:val="0"/>
        <w:adjustRightInd w:val="0"/>
        <w:spacing w:line="480" w:lineRule="auto"/>
        <w:jc w:val="both"/>
      </w:pPr>
      <w:r w:rsidRPr="00775E85">
        <w:t>Price level ratio is the ratio of a purchasing power parity (PPP) conversion factor to an exchange rate. It provides a measure of the differences in price levels between countries by indicating the number of units of the common currency needed to buy the same volume of the aggregation level in each country. At the level of GDP, they provide a measure of the differences in the general price levels of countries.</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3E518DE1" w14:textId="77777777" w:rsidTr="00416373">
        <w:trPr>
          <w:trHeight w:val="385"/>
        </w:trPr>
        <w:tc>
          <w:tcPr>
            <w:tcW w:w="8409" w:type="dxa"/>
            <w:gridSpan w:val="2"/>
            <w:shd w:val="clear" w:color="auto" w:fill="auto"/>
            <w:noWrap/>
            <w:vAlign w:val="center"/>
          </w:tcPr>
          <w:p w14:paraId="7474C25E"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241FBF27" w14:textId="77777777" w:rsidTr="00416373">
        <w:trPr>
          <w:trHeight w:val="1200"/>
        </w:trPr>
        <w:tc>
          <w:tcPr>
            <w:tcW w:w="1580" w:type="dxa"/>
            <w:shd w:val="clear" w:color="auto" w:fill="auto"/>
            <w:noWrap/>
            <w:vAlign w:val="center"/>
            <w:hideMark/>
          </w:tcPr>
          <w:p w14:paraId="59BCC2C9" w14:textId="77777777" w:rsidR="007E48B3" w:rsidRPr="003C3F18" w:rsidRDefault="007E48B3" w:rsidP="00416373">
            <w:pPr>
              <w:bidi w:val="0"/>
              <w:rPr>
                <w:rFonts w:cs="Calibri"/>
                <w:color w:val="000000"/>
              </w:rPr>
            </w:pPr>
            <w:r>
              <w:rPr>
                <w:rFonts w:cs="Calibri"/>
                <w:color w:val="000000"/>
              </w:rPr>
              <w:t>1994-2019</w:t>
            </w:r>
          </w:p>
        </w:tc>
        <w:tc>
          <w:tcPr>
            <w:tcW w:w="6829" w:type="dxa"/>
            <w:shd w:val="clear" w:color="auto" w:fill="auto"/>
            <w:noWrap/>
            <w:vAlign w:val="center"/>
            <w:hideMark/>
          </w:tcPr>
          <w:p w14:paraId="39896EE3" w14:textId="77777777" w:rsidR="007E48B3" w:rsidRDefault="007E48B3" w:rsidP="00416373">
            <w:pPr>
              <w:bidi w:val="0"/>
              <w:rPr>
                <w:rFonts w:cs="Calibri"/>
                <w:color w:val="000000"/>
              </w:rPr>
            </w:pPr>
            <w:r>
              <w:rPr>
                <w:rFonts w:cs="Calibri"/>
                <w:color w:val="000000"/>
              </w:rPr>
              <w:t>World bank, World Development Indicators,</w:t>
            </w:r>
            <w:r>
              <w:t xml:space="preserve"> </w:t>
            </w:r>
            <w:r w:rsidRPr="00B2679E">
              <w:rPr>
                <w:rFonts w:cs="Calibri"/>
                <w:color w:val="000000"/>
              </w:rPr>
              <w:t>Price level ratio of PPP conversion factor (GDP) to market exchange rate</w:t>
            </w:r>
            <w:r>
              <w:rPr>
                <w:rFonts w:cs="Calibri"/>
                <w:color w:val="000000"/>
              </w:rPr>
              <w:t>,</w:t>
            </w:r>
          </w:p>
          <w:p w14:paraId="686FDA72" w14:textId="77777777" w:rsidR="007E48B3" w:rsidRDefault="007E48B3" w:rsidP="00416373">
            <w:pPr>
              <w:bidi w:val="0"/>
              <w:rPr>
                <w:rFonts w:cs="Calibri"/>
                <w:color w:val="000000"/>
              </w:rPr>
            </w:pPr>
            <w:r w:rsidRPr="001D7171">
              <w:rPr>
                <w:rFonts w:cs="Calibri"/>
                <w:color w:val="000000"/>
              </w:rPr>
              <w:t>PA.NUS.PPPC.RF</w:t>
            </w:r>
          </w:p>
          <w:p w14:paraId="261C3B68" w14:textId="77777777" w:rsidR="007E48B3" w:rsidRPr="003C3F18" w:rsidRDefault="007E48B3" w:rsidP="00416373">
            <w:pPr>
              <w:bidi w:val="0"/>
              <w:rPr>
                <w:rFonts w:cs="Calibri"/>
                <w:color w:val="000000"/>
              </w:rPr>
            </w:pPr>
          </w:p>
        </w:tc>
      </w:tr>
    </w:tbl>
    <w:p w14:paraId="70F501BF" w14:textId="77777777" w:rsidR="007E48B3" w:rsidRPr="0099720C" w:rsidRDefault="007E48B3" w:rsidP="007E48B3">
      <w:pPr>
        <w:pStyle w:val="ListParagraph"/>
        <w:autoSpaceDE w:val="0"/>
        <w:autoSpaceDN w:val="0"/>
        <w:bidi w:val="0"/>
        <w:adjustRightInd w:val="0"/>
        <w:spacing w:after="240" w:line="480" w:lineRule="auto"/>
        <w:ind w:left="491" w:firstLine="45"/>
        <w:rPr>
          <w:b/>
          <w:bCs/>
        </w:rPr>
      </w:pPr>
    </w:p>
    <w:p w14:paraId="025100A4"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99720C">
        <w:rPr>
          <w:b/>
          <w:bCs/>
        </w:rPr>
        <w:t xml:space="preserve">Market capitalization Ratio </w:t>
      </w:r>
      <w:r>
        <w:rPr>
          <w:b/>
          <w:bCs/>
        </w:rPr>
        <w:t>–</w:t>
      </w:r>
      <w:r w:rsidRPr="0099720C">
        <w:rPr>
          <w:b/>
          <w:bCs/>
        </w:rPr>
        <w:t xml:space="preserve"> </w:t>
      </w:r>
    </w:p>
    <w:p w14:paraId="7892379E" w14:textId="77777777" w:rsidR="007E48B3" w:rsidRPr="00441157" w:rsidRDefault="007E48B3" w:rsidP="007E48B3">
      <w:pPr>
        <w:pStyle w:val="ListParagraph"/>
        <w:autoSpaceDE w:val="0"/>
        <w:autoSpaceDN w:val="0"/>
        <w:bidi w:val="0"/>
        <w:adjustRightInd w:val="0"/>
        <w:spacing w:after="240" w:line="480" w:lineRule="auto"/>
        <w:jc w:val="both"/>
      </w:pPr>
      <w:r w:rsidRPr="00884CD2">
        <w:t>Measures the ratio of</w:t>
      </w:r>
      <w:r w:rsidRPr="00C2349E">
        <w:t xml:space="preserve"> market value for listed domestic companies</w:t>
      </w:r>
      <w:r>
        <w:t xml:space="preserve"> on </w:t>
      </w:r>
      <w:r w:rsidRPr="00441157">
        <w:t>Palestine Exchange (</w:t>
      </w:r>
      <w:r>
        <w:t>PEX</w:t>
      </w:r>
      <w:r w:rsidRPr="00441157">
        <w:t>) and the Tel Aviv Stock Exchange (TASE)</w:t>
      </w:r>
      <w:r>
        <w:t>.</w:t>
      </w:r>
    </w:p>
    <w:p w14:paraId="1C6C9067" w14:textId="77777777" w:rsidR="007E48B3" w:rsidRPr="00C2349E" w:rsidRDefault="007E48B3" w:rsidP="007E48B3">
      <w:pPr>
        <w:pStyle w:val="ListParagraph"/>
        <w:autoSpaceDE w:val="0"/>
        <w:autoSpaceDN w:val="0"/>
        <w:bidi w:val="0"/>
        <w:adjustRightInd w:val="0"/>
        <w:spacing w:after="240" w:line="480" w:lineRule="auto"/>
        <w:jc w:val="both"/>
      </w:pPr>
      <w:r w:rsidRPr="00C2349E">
        <w:t xml:space="preserve">Market capitalization (also known as market value) is the share price times the number of shares outstanding (including their several classes) for listed domestic companies. Investment funds, unit trusts, and companies whose only business goal is to hold shares of other listed companies are excluded. </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0D225D46" w14:textId="77777777" w:rsidTr="00416373">
        <w:trPr>
          <w:trHeight w:val="385"/>
        </w:trPr>
        <w:tc>
          <w:tcPr>
            <w:tcW w:w="8409" w:type="dxa"/>
            <w:gridSpan w:val="2"/>
            <w:shd w:val="clear" w:color="auto" w:fill="auto"/>
            <w:noWrap/>
            <w:vAlign w:val="center"/>
          </w:tcPr>
          <w:p w14:paraId="0BEC8E79"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4CEDD672" w14:textId="77777777" w:rsidTr="00416373">
        <w:trPr>
          <w:trHeight w:val="1200"/>
        </w:trPr>
        <w:tc>
          <w:tcPr>
            <w:tcW w:w="1580" w:type="dxa"/>
            <w:shd w:val="clear" w:color="auto" w:fill="auto"/>
            <w:noWrap/>
            <w:vAlign w:val="center"/>
            <w:hideMark/>
          </w:tcPr>
          <w:p w14:paraId="7A610B6F" w14:textId="77777777" w:rsidR="007E48B3" w:rsidRPr="003C3F18" w:rsidRDefault="007E48B3" w:rsidP="00416373">
            <w:pPr>
              <w:bidi w:val="0"/>
              <w:rPr>
                <w:rFonts w:cs="Calibri"/>
                <w:color w:val="000000"/>
              </w:rPr>
            </w:pPr>
            <w:r>
              <w:rPr>
                <w:rFonts w:cs="Calibri"/>
                <w:color w:val="000000"/>
              </w:rPr>
              <w:t>2000-2019</w:t>
            </w:r>
          </w:p>
        </w:tc>
        <w:tc>
          <w:tcPr>
            <w:tcW w:w="6829" w:type="dxa"/>
            <w:shd w:val="clear" w:color="auto" w:fill="auto"/>
            <w:noWrap/>
            <w:vAlign w:val="center"/>
            <w:hideMark/>
          </w:tcPr>
          <w:p w14:paraId="7800ACB0" w14:textId="483E1584" w:rsidR="007E48B3" w:rsidRPr="003C3F18" w:rsidRDefault="007E48B3" w:rsidP="00416373">
            <w:pPr>
              <w:bidi w:val="0"/>
              <w:spacing w:line="420" w:lineRule="atLeast"/>
              <w:outlineLvl w:val="1"/>
              <w:rPr>
                <w:rFonts w:cs="Calibri"/>
                <w:color w:val="000000"/>
              </w:rPr>
            </w:pPr>
            <w:r>
              <w:rPr>
                <w:rFonts w:cs="Calibri"/>
                <w:color w:val="000000"/>
              </w:rPr>
              <w:t>World bank, World Development Indicators,</w:t>
            </w:r>
            <w:r w:rsidRPr="00CE3999">
              <w:rPr>
                <w:rFonts w:cs="Calibri"/>
                <w:color w:val="000000"/>
              </w:rPr>
              <w:t xml:space="preserve"> </w:t>
            </w:r>
            <w:r w:rsidRPr="008F146F">
              <w:rPr>
                <w:rFonts w:cs="Calibri"/>
                <w:color w:val="000000"/>
              </w:rPr>
              <w:t>Market capitalization of listed domestic companies (current US$) - Israel, West Bank and Gaza</w:t>
            </w:r>
            <w:r w:rsidRPr="00CE3999">
              <w:rPr>
                <w:rFonts w:cs="Calibri"/>
                <w:color w:val="000000"/>
              </w:rPr>
              <w:t>,  </w:t>
            </w:r>
            <w:hyperlink r:id="rId91" w:history="1">
              <w:r w:rsidRPr="00CE3999">
                <w:rPr>
                  <w:rFonts w:cs="Calibri"/>
                  <w:color w:val="000000"/>
                </w:rPr>
                <w:t>CM.MKT.LCAP.CD</w:t>
              </w:r>
            </w:hyperlink>
          </w:p>
        </w:tc>
      </w:tr>
    </w:tbl>
    <w:p w14:paraId="5B48ACA7" w14:textId="77777777" w:rsidR="007E48B3" w:rsidRDefault="007E48B3" w:rsidP="007E48B3">
      <w:pPr>
        <w:pStyle w:val="ListParagraph"/>
        <w:autoSpaceDE w:val="0"/>
        <w:autoSpaceDN w:val="0"/>
        <w:bidi w:val="0"/>
        <w:adjustRightInd w:val="0"/>
        <w:spacing w:after="240" w:line="480" w:lineRule="auto"/>
        <w:ind w:left="491"/>
        <w:rPr>
          <w:b/>
          <w:bCs/>
        </w:rPr>
      </w:pPr>
    </w:p>
    <w:p w14:paraId="0E146953" w14:textId="77777777" w:rsidR="007E48B3" w:rsidRDefault="007E48B3" w:rsidP="007E48B3">
      <w:pPr>
        <w:pStyle w:val="ListParagraph"/>
        <w:numPr>
          <w:ilvl w:val="0"/>
          <w:numId w:val="20"/>
        </w:numPr>
        <w:autoSpaceDE w:val="0"/>
        <w:autoSpaceDN w:val="0"/>
        <w:bidi w:val="0"/>
        <w:adjustRightInd w:val="0"/>
        <w:spacing w:after="240" w:line="480" w:lineRule="auto"/>
        <w:ind w:left="720"/>
        <w:rPr>
          <w:b/>
          <w:bCs/>
        </w:rPr>
      </w:pPr>
      <w:r w:rsidRPr="0099720C">
        <w:rPr>
          <w:b/>
          <w:bCs/>
        </w:rPr>
        <w:t xml:space="preserve">Daily Wage Ratio </w:t>
      </w:r>
      <w:r>
        <w:rPr>
          <w:b/>
          <w:bCs/>
        </w:rPr>
        <w:t>–</w:t>
      </w:r>
      <w:r w:rsidRPr="0099720C">
        <w:rPr>
          <w:b/>
          <w:bCs/>
        </w:rPr>
        <w:t xml:space="preserve"> </w:t>
      </w:r>
    </w:p>
    <w:p w14:paraId="401942C9" w14:textId="77777777" w:rsidR="007E48B3" w:rsidRPr="00810D6B" w:rsidRDefault="007E48B3" w:rsidP="007E48B3">
      <w:pPr>
        <w:pStyle w:val="ListParagraph"/>
        <w:autoSpaceDE w:val="0"/>
        <w:autoSpaceDN w:val="0"/>
        <w:bidi w:val="0"/>
        <w:adjustRightInd w:val="0"/>
        <w:spacing w:after="240" w:line="480" w:lineRule="auto"/>
      </w:pPr>
      <w:r>
        <w:t>Measures the a</w:t>
      </w:r>
      <w:r w:rsidRPr="00810D6B">
        <w:t>verage wage of Palestinian employees working in Palestine to average wage of Palestinian employees working in Israel</w:t>
      </w:r>
      <w:r>
        <w:t>.</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829"/>
      </w:tblGrid>
      <w:tr w:rsidR="007E48B3" w:rsidRPr="003C3F18" w14:paraId="0FF82CD1" w14:textId="77777777" w:rsidTr="00416373">
        <w:trPr>
          <w:trHeight w:val="385"/>
        </w:trPr>
        <w:tc>
          <w:tcPr>
            <w:tcW w:w="8409" w:type="dxa"/>
            <w:gridSpan w:val="2"/>
            <w:shd w:val="clear" w:color="auto" w:fill="auto"/>
            <w:noWrap/>
            <w:vAlign w:val="center"/>
          </w:tcPr>
          <w:p w14:paraId="2423E440" w14:textId="77777777" w:rsidR="007E48B3" w:rsidRPr="003C3F18" w:rsidRDefault="007E48B3" w:rsidP="00416373">
            <w:pPr>
              <w:bidi w:val="0"/>
              <w:rPr>
                <w:rFonts w:cs="Calibri"/>
                <w:color w:val="000000"/>
              </w:rPr>
            </w:pPr>
            <w:r>
              <w:rPr>
                <w:rFonts w:cs="Calibri"/>
                <w:color w:val="000000"/>
              </w:rPr>
              <w:t>Data source</w:t>
            </w:r>
          </w:p>
        </w:tc>
      </w:tr>
      <w:tr w:rsidR="007E48B3" w:rsidRPr="003C3F18" w14:paraId="75600B5A" w14:textId="77777777" w:rsidTr="00416373">
        <w:trPr>
          <w:trHeight w:val="634"/>
        </w:trPr>
        <w:tc>
          <w:tcPr>
            <w:tcW w:w="1580" w:type="dxa"/>
            <w:shd w:val="clear" w:color="auto" w:fill="auto"/>
            <w:noWrap/>
            <w:vAlign w:val="center"/>
            <w:hideMark/>
          </w:tcPr>
          <w:p w14:paraId="3EDBFEEE" w14:textId="77777777" w:rsidR="007E48B3" w:rsidRPr="003C3F18" w:rsidRDefault="007E48B3" w:rsidP="00416373">
            <w:pPr>
              <w:bidi w:val="0"/>
              <w:rPr>
                <w:rFonts w:cs="Calibri"/>
                <w:color w:val="000000"/>
              </w:rPr>
            </w:pPr>
            <w:r>
              <w:rPr>
                <w:rFonts w:cs="Calibri"/>
                <w:color w:val="000000"/>
              </w:rPr>
              <w:t xml:space="preserve">1968, 1969 ,1991 - 1994 </w:t>
            </w:r>
          </w:p>
        </w:tc>
        <w:tc>
          <w:tcPr>
            <w:tcW w:w="6829" w:type="dxa"/>
            <w:shd w:val="clear" w:color="auto" w:fill="auto"/>
            <w:noWrap/>
            <w:vAlign w:val="center"/>
            <w:hideMark/>
          </w:tcPr>
          <w:p w14:paraId="18CFC25C" w14:textId="77777777" w:rsidR="007E48B3" w:rsidRPr="003C3F18" w:rsidRDefault="007E48B3" w:rsidP="00416373">
            <w:pPr>
              <w:bidi w:val="0"/>
              <w:rPr>
                <w:rFonts w:cs="Calibri"/>
                <w:color w:val="000000"/>
              </w:rPr>
            </w:pPr>
            <w:r>
              <w:rPr>
                <w:rFonts w:cs="Calibri"/>
                <w:color w:val="000000"/>
              </w:rPr>
              <w:t>Missing information - supplemented by the average of the years before and after</w:t>
            </w:r>
          </w:p>
        </w:tc>
      </w:tr>
      <w:tr w:rsidR="007E48B3" w:rsidRPr="003C3F18" w14:paraId="65E72551" w14:textId="77777777" w:rsidTr="00416373">
        <w:trPr>
          <w:trHeight w:val="558"/>
        </w:trPr>
        <w:tc>
          <w:tcPr>
            <w:tcW w:w="1580" w:type="dxa"/>
            <w:shd w:val="clear" w:color="auto" w:fill="auto"/>
            <w:noWrap/>
            <w:vAlign w:val="center"/>
          </w:tcPr>
          <w:p w14:paraId="00A063ED" w14:textId="77777777" w:rsidR="007E48B3" w:rsidRDefault="007E48B3" w:rsidP="00416373">
            <w:pPr>
              <w:bidi w:val="0"/>
              <w:rPr>
                <w:rFonts w:cs="Calibri"/>
                <w:color w:val="000000"/>
              </w:rPr>
            </w:pPr>
            <w:r>
              <w:rPr>
                <w:rFonts w:cs="Calibri"/>
                <w:color w:val="000000"/>
              </w:rPr>
              <w:t>1970 - 1990</w:t>
            </w:r>
          </w:p>
        </w:tc>
        <w:tc>
          <w:tcPr>
            <w:tcW w:w="6829" w:type="dxa"/>
            <w:shd w:val="clear" w:color="auto" w:fill="auto"/>
            <w:noWrap/>
            <w:vAlign w:val="center"/>
          </w:tcPr>
          <w:p w14:paraId="242621B0" w14:textId="77777777" w:rsidR="007E48B3" w:rsidRDefault="007E48B3" w:rsidP="00416373">
            <w:pPr>
              <w:bidi w:val="0"/>
              <w:rPr>
                <w:rFonts w:cs="Calibri"/>
                <w:color w:val="000000"/>
              </w:rPr>
            </w:pPr>
            <w:r>
              <w:rPr>
                <w:rFonts w:cs="Calibri"/>
                <w:color w:val="000000"/>
              </w:rPr>
              <w:t xml:space="preserve">National Accounts of Judea, Samaria and the Gaza area, 1968-1993, </w:t>
            </w:r>
            <w:proofErr w:type="spellStart"/>
            <w:r>
              <w:rPr>
                <w:rFonts w:cs="Calibri"/>
                <w:color w:val="000000"/>
              </w:rPr>
              <w:t>Pubilication</w:t>
            </w:r>
            <w:proofErr w:type="spellEnd"/>
            <w:r>
              <w:rPr>
                <w:rFonts w:cs="Calibri"/>
                <w:color w:val="000000"/>
              </w:rPr>
              <w:t xml:space="preserve"> No. 1012, Israeli Central Bureau of Statistics </w:t>
            </w:r>
          </w:p>
        </w:tc>
      </w:tr>
      <w:tr w:rsidR="007E48B3" w:rsidRPr="003C3F18" w14:paraId="0F46B466" w14:textId="77777777" w:rsidTr="00416373">
        <w:trPr>
          <w:trHeight w:val="411"/>
        </w:trPr>
        <w:tc>
          <w:tcPr>
            <w:tcW w:w="1580" w:type="dxa"/>
            <w:shd w:val="clear" w:color="auto" w:fill="auto"/>
            <w:noWrap/>
            <w:vAlign w:val="center"/>
          </w:tcPr>
          <w:p w14:paraId="6F8F8B99" w14:textId="77777777" w:rsidR="007E48B3" w:rsidRDefault="007E48B3" w:rsidP="00416373">
            <w:pPr>
              <w:bidi w:val="0"/>
              <w:rPr>
                <w:rFonts w:cs="Calibri"/>
                <w:color w:val="000000"/>
              </w:rPr>
            </w:pPr>
            <w:r>
              <w:rPr>
                <w:rFonts w:cs="Calibri"/>
                <w:color w:val="000000"/>
              </w:rPr>
              <w:t>1995 - 2019</w:t>
            </w:r>
          </w:p>
        </w:tc>
        <w:tc>
          <w:tcPr>
            <w:tcW w:w="6829" w:type="dxa"/>
            <w:shd w:val="clear" w:color="auto" w:fill="auto"/>
            <w:noWrap/>
            <w:vAlign w:val="center"/>
          </w:tcPr>
          <w:p w14:paraId="70EB55C7" w14:textId="77777777" w:rsidR="007E48B3" w:rsidRDefault="007E48B3" w:rsidP="00416373">
            <w:pPr>
              <w:bidi w:val="0"/>
              <w:rPr>
                <w:rFonts w:cs="Calibri"/>
                <w:color w:val="000000"/>
              </w:rPr>
            </w:pPr>
            <w:r>
              <w:rPr>
                <w:rFonts w:cs="Calibri"/>
                <w:color w:val="000000"/>
              </w:rPr>
              <w:t>Palestinian Central Bureau of Statistics, </w:t>
            </w:r>
            <w:proofErr w:type="spellStart"/>
            <w:r>
              <w:rPr>
                <w:i/>
                <w:iCs/>
                <w:color w:val="000000"/>
                <w:sz w:val="20"/>
                <w:szCs w:val="20"/>
              </w:rPr>
              <w:t>Labour</w:t>
            </w:r>
            <w:proofErr w:type="spellEnd"/>
            <w:r>
              <w:rPr>
                <w:i/>
                <w:iCs/>
                <w:color w:val="000000"/>
                <w:sz w:val="20"/>
                <w:szCs w:val="20"/>
              </w:rPr>
              <w:t xml:space="preserve"> Force Survey</w:t>
            </w:r>
          </w:p>
        </w:tc>
      </w:tr>
    </w:tbl>
    <w:p w14:paraId="18ED1526" w14:textId="77777777" w:rsidR="007E48B3" w:rsidRDefault="007E48B3" w:rsidP="007E48B3">
      <w:pPr>
        <w:pStyle w:val="ListParagraph"/>
        <w:autoSpaceDE w:val="0"/>
        <w:autoSpaceDN w:val="0"/>
        <w:bidi w:val="0"/>
        <w:adjustRightInd w:val="0"/>
        <w:spacing w:after="240" w:line="480" w:lineRule="auto"/>
        <w:ind w:left="851"/>
        <w:rPr>
          <w:b/>
          <w:bCs/>
        </w:rPr>
      </w:pPr>
    </w:p>
    <w:p w14:paraId="10C0603B" w14:textId="77777777" w:rsidR="00986C40" w:rsidRPr="001664CF" w:rsidRDefault="00986C40" w:rsidP="00986C40">
      <w:pPr>
        <w:pStyle w:val="ListParagraph"/>
        <w:autoSpaceDE w:val="0"/>
        <w:autoSpaceDN w:val="0"/>
        <w:bidi w:val="0"/>
        <w:adjustRightInd w:val="0"/>
        <w:spacing w:line="360" w:lineRule="auto"/>
        <w:ind w:left="360"/>
        <w:jc w:val="center"/>
        <w:rPr>
          <w:rFonts w:asciiTheme="majorBidi" w:hAnsiTheme="majorBidi" w:cstheme="majorBidi"/>
          <w:b/>
          <w:bCs/>
          <w:sz w:val="24"/>
          <w:szCs w:val="24"/>
        </w:rPr>
      </w:pPr>
      <w:r>
        <w:rPr>
          <w:rFonts w:asciiTheme="majorBidi" w:hAnsiTheme="majorBidi" w:cstheme="majorBidi"/>
          <w:b/>
          <w:bCs/>
          <w:sz w:val="24"/>
          <w:szCs w:val="24"/>
        </w:rPr>
        <w:t xml:space="preserve">Figure </w:t>
      </w:r>
      <w:r w:rsidRPr="00986C40">
        <w:rPr>
          <w:rFonts w:asciiTheme="majorBidi" w:hAnsiTheme="majorBidi" w:cstheme="majorBidi"/>
          <w:b/>
          <w:bCs/>
          <w:sz w:val="24"/>
          <w:szCs w:val="24"/>
          <w:shd w:val="clear" w:color="auto" w:fill="FFFF00"/>
        </w:rPr>
        <w:t>XX</w:t>
      </w:r>
      <w:r>
        <w:rPr>
          <w:rFonts w:asciiTheme="majorBidi" w:hAnsiTheme="majorBidi" w:cstheme="majorBidi"/>
          <w:b/>
          <w:bCs/>
          <w:sz w:val="24"/>
          <w:szCs w:val="24"/>
        </w:rPr>
        <w:t xml:space="preserve"> - </w:t>
      </w:r>
      <w:r w:rsidRPr="001664CF">
        <w:rPr>
          <w:rFonts w:asciiTheme="majorBidi" w:hAnsiTheme="majorBidi" w:cstheme="majorBidi"/>
          <w:b/>
          <w:bCs/>
          <w:sz w:val="24"/>
          <w:szCs w:val="24"/>
        </w:rPr>
        <w:t>Wealth and Standard of living</w:t>
      </w:r>
    </w:p>
    <w:p w14:paraId="5A512167" w14:textId="77777777" w:rsidR="007E48B3" w:rsidRDefault="007E48B3" w:rsidP="007E48B3">
      <w:pPr>
        <w:pStyle w:val="ListParagraph"/>
        <w:autoSpaceDE w:val="0"/>
        <w:autoSpaceDN w:val="0"/>
        <w:bidi w:val="0"/>
        <w:adjustRightInd w:val="0"/>
        <w:spacing w:after="240" w:line="480" w:lineRule="auto"/>
        <w:ind w:left="0"/>
        <w:rPr>
          <w:rFonts w:asciiTheme="majorBidi" w:hAnsiTheme="majorBidi" w:cstheme="majorBidi"/>
          <w:b/>
          <w:bCs/>
          <w:sz w:val="24"/>
          <w:szCs w:val="24"/>
        </w:rPr>
      </w:pPr>
      <w:r>
        <w:rPr>
          <w:noProof/>
        </w:rPr>
        <w:drawing>
          <wp:inline distT="0" distB="0" distL="0" distR="0" wp14:anchorId="0052B3FA" wp14:editId="7FCF399C">
            <wp:extent cx="5292000" cy="3060000"/>
            <wp:effectExtent l="0" t="0" r="4445" b="7620"/>
            <wp:docPr id="56" name="תרשים 56">
              <a:extLst xmlns:a="http://schemas.openxmlformats.org/drawingml/2006/main">
                <a:ext uri="{FF2B5EF4-FFF2-40B4-BE49-F238E27FC236}">
                  <a16:creationId xmlns:a16="http://schemas.microsoft.com/office/drawing/2014/main" id="{64DD37A7-2B07-4392-913C-8588F7931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A2F680F" w14:textId="77777777" w:rsidR="00986C40" w:rsidRPr="001664CF" w:rsidRDefault="00986C40" w:rsidP="00986C40">
      <w:pPr>
        <w:pStyle w:val="ListParagraph"/>
        <w:autoSpaceDE w:val="0"/>
        <w:autoSpaceDN w:val="0"/>
        <w:bidi w:val="0"/>
        <w:adjustRightInd w:val="0"/>
        <w:spacing w:line="360" w:lineRule="auto"/>
        <w:ind w:left="360"/>
        <w:jc w:val="center"/>
        <w:rPr>
          <w:rFonts w:asciiTheme="majorBidi" w:hAnsiTheme="majorBidi" w:cstheme="majorBidi"/>
          <w:b/>
          <w:bCs/>
          <w:sz w:val="24"/>
          <w:szCs w:val="24"/>
        </w:rPr>
      </w:pPr>
      <w:r>
        <w:rPr>
          <w:rFonts w:asciiTheme="majorBidi" w:hAnsiTheme="majorBidi" w:cstheme="majorBidi"/>
          <w:b/>
          <w:bCs/>
          <w:sz w:val="24"/>
          <w:szCs w:val="24"/>
        </w:rPr>
        <w:t xml:space="preserve">Table </w:t>
      </w:r>
      <w:r w:rsidRPr="00986C40">
        <w:rPr>
          <w:rFonts w:asciiTheme="majorBidi" w:hAnsiTheme="majorBidi" w:cstheme="majorBidi"/>
          <w:b/>
          <w:bCs/>
          <w:sz w:val="24"/>
          <w:szCs w:val="24"/>
          <w:shd w:val="clear" w:color="auto" w:fill="FFFF00"/>
        </w:rPr>
        <w:t>XX</w:t>
      </w:r>
      <w:r>
        <w:rPr>
          <w:rFonts w:asciiTheme="majorBidi" w:hAnsiTheme="majorBidi" w:cstheme="majorBidi"/>
          <w:b/>
          <w:bCs/>
          <w:sz w:val="24"/>
          <w:szCs w:val="24"/>
        </w:rPr>
        <w:t xml:space="preserve"> - </w:t>
      </w:r>
      <w:r w:rsidR="007E48B3" w:rsidRPr="00ED6472">
        <w:rPr>
          <w:rFonts w:asciiTheme="majorBidi" w:hAnsiTheme="majorBidi" w:cstheme="majorBidi"/>
          <w:b/>
          <w:bCs/>
          <w:sz w:val="24"/>
          <w:szCs w:val="24"/>
        </w:rPr>
        <w:t>Raw data</w:t>
      </w:r>
      <w:r>
        <w:rPr>
          <w:rFonts w:asciiTheme="majorBidi" w:hAnsiTheme="majorBidi" w:cstheme="majorBidi"/>
          <w:b/>
          <w:bCs/>
          <w:sz w:val="24"/>
          <w:szCs w:val="24"/>
        </w:rPr>
        <w:t xml:space="preserve"> - </w:t>
      </w:r>
      <w:r w:rsidRPr="001664CF">
        <w:rPr>
          <w:rFonts w:asciiTheme="majorBidi" w:hAnsiTheme="majorBidi" w:cstheme="majorBidi"/>
          <w:b/>
          <w:bCs/>
          <w:sz w:val="24"/>
          <w:szCs w:val="24"/>
        </w:rPr>
        <w:t>Wealth and Standard of living</w:t>
      </w:r>
    </w:p>
    <w:tbl>
      <w:tblPr>
        <w:tblW w:w="7521"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784"/>
        <w:gridCol w:w="1379"/>
        <w:gridCol w:w="2246"/>
        <w:gridCol w:w="1495"/>
      </w:tblGrid>
      <w:tr w:rsidR="007E48B3" w:rsidRPr="00436045" w14:paraId="1A515DDA" w14:textId="77777777" w:rsidTr="00416373">
        <w:trPr>
          <w:trHeight w:val="1550"/>
        </w:trPr>
        <w:tc>
          <w:tcPr>
            <w:tcW w:w="0" w:type="auto"/>
          </w:tcPr>
          <w:p w14:paraId="185F5FD4" w14:textId="77777777" w:rsidR="007E48B3" w:rsidRPr="00436045" w:rsidRDefault="007E48B3" w:rsidP="00416373">
            <w:pPr>
              <w:bidi w:val="0"/>
              <w:rPr>
                <w:rFonts w:cs="Calibri"/>
                <w:b/>
                <w:bCs/>
                <w:color w:val="000000"/>
                <w:sz w:val="18"/>
                <w:szCs w:val="18"/>
              </w:rPr>
            </w:pPr>
            <w:r w:rsidRPr="00436045">
              <w:rPr>
                <w:rFonts w:cs="Calibri"/>
                <w:b/>
                <w:bCs/>
                <w:color w:val="000000"/>
                <w:sz w:val="18"/>
                <w:szCs w:val="18"/>
              </w:rPr>
              <w:t>Year</w:t>
            </w:r>
          </w:p>
        </w:tc>
        <w:tc>
          <w:tcPr>
            <w:tcW w:w="0" w:type="auto"/>
            <w:shd w:val="clear" w:color="auto" w:fill="auto"/>
            <w:hideMark/>
          </w:tcPr>
          <w:p w14:paraId="1DEC047C" w14:textId="77777777" w:rsidR="007E48B3" w:rsidRPr="00090F2A" w:rsidRDefault="007E48B3" w:rsidP="00416373">
            <w:pPr>
              <w:bidi w:val="0"/>
              <w:rPr>
                <w:rFonts w:cs="Calibri"/>
                <w:b/>
                <w:bCs/>
                <w:color w:val="000000"/>
                <w:sz w:val="18"/>
                <w:szCs w:val="18"/>
              </w:rPr>
            </w:pPr>
            <w:r w:rsidRPr="00436045">
              <w:rPr>
                <w:rFonts w:cs="Calibri"/>
                <w:b/>
                <w:bCs/>
                <w:color w:val="000000"/>
                <w:sz w:val="18"/>
                <w:szCs w:val="18"/>
              </w:rPr>
              <w:t xml:space="preserve">GDP per Capita Ratio </w:t>
            </w:r>
          </w:p>
        </w:tc>
        <w:tc>
          <w:tcPr>
            <w:tcW w:w="0" w:type="auto"/>
            <w:shd w:val="clear" w:color="auto" w:fill="auto"/>
            <w:hideMark/>
          </w:tcPr>
          <w:p w14:paraId="0274D2EE" w14:textId="77777777" w:rsidR="007E48B3" w:rsidRPr="00090F2A" w:rsidRDefault="007E48B3" w:rsidP="00416373">
            <w:pPr>
              <w:bidi w:val="0"/>
              <w:rPr>
                <w:rFonts w:cs="Calibri"/>
                <w:b/>
                <w:bCs/>
                <w:color w:val="000000"/>
                <w:sz w:val="18"/>
                <w:szCs w:val="18"/>
              </w:rPr>
            </w:pPr>
            <w:r w:rsidRPr="00436045">
              <w:rPr>
                <w:rFonts w:cs="Calibri"/>
                <w:b/>
                <w:bCs/>
                <w:color w:val="000000"/>
                <w:sz w:val="18"/>
                <w:szCs w:val="18"/>
              </w:rPr>
              <w:t xml:space="preserve">Price level ratio </w:t>
            </w:r>
          </w:p>
        </w:tc>
        <w:tc>
          <w:tcPr>
            <w:tcW w:w="0" w:type="auto"/>
            <w:shd w:val="clear" w:color="auto" w:fill="auto"/>
            <w:hideMark/>
          </w:tcPr>
          <w:p w14:paraId="56CCABAF" w14:textId="77777777" w:rsidR="007E48B3" w:rsidRPr="00090F2A" w:rsidRDefault="007E48B3" w:rsidP="00416373">
            <w:pPr>
              <w:bidi w:val="0"/>
              <w:rPr>
                <w:rFonts w:cs="Calibri"/>
                <w:b/>
                <w:bCs/>
                <w:color w:val="000000"/>
                <w:sz w:val="18"/>
                <w:szCs w:val="18"/>
              </w:rPr>
            </w:pPr>
            <w:r w:rsidRPr="00436045">
              <w:rPr>
                <w:rFonts w:cs="Calibri"/>
                <w:b/>
                <w:bCs/>
                <w:color w:val="000000"/>
                <w:sz w:val="18"/>
                <w:szCs w:val="18"/>
              </w:rPr>
              <w:t xml:space="preserve">Market </w:t>
            </w:r>
            <w:proofErr w:type="spellStart"/>
            <w:r w:rsidRPr="00436045">
              <w:rPr>
                <w:rFonts w:cs="Calibri"/>
                <w:b/>
                <w:bCs/>
                <w:color w:val="000000"/>
                <w:sz w:val="18"/>
                <w:szCs w:val="18"/>
              </w:rPr>
              <w:t>capitilazation</w:t>
            </w:r>
            <w:proofErr w:type="spellEnd"/>
            <w:r w:rsidRPr="00436045">
              <w:rPr>
                <w:rFonts w:cs="Calibri"/>
                <w:b/>
                <w:bCs/>
                <w:color w:val="000000"/>
                <w:sz w:val="18"/>
                <w:szCs w:val="18"/>
              </w:rPr>
              <w:t xml:space="preserve"> Ratio </w:t>
            </w:r>
          </w:p>
        </w:tc>
        <w:tc>
          <w:tcPr>
            <w:tcW w:w="0" w:type="auto"/>
            <w:shd w:val="clear" w:color="auto" w:fill="auto"/>
            <w:hideMark/>
          </w:tcPr>
          <w:p w14:paraId="04E32D66" w14:textId="77777777" w:rsidR="007E48B3" w:rsidRPr="00090F2A" w:rsidRDefault="007E48B3" w:rsidP="00416373">
            <w:pPr>
              <w:bidi w:val="0"/>
              <w:rPr>
                <w:rFonts w:cs="Calibri"/>
                <w:b/>
                <w:bCs/>
                <w:color w:val="000000"/>
                <w:sz w:val="18"/>
                <w:szCs w:val="18"/>
              </w:rPr>
            </w:pPr>
            <w:r w:rsidRPr="00436045">
              <w:rPr>
                <w:rFonts w:cs="Calibri"/>
                <w:b/>
                <w:bCs/>
                <w:color w:val="000000"/>
                <w:sz w:val="18"/>
                <w:szCs w:val="18"/>
              </w:rPr>
              <w:t>Daily Wage Ratio</w:t>
            </w:r>
          </w:p>
        </w:tc>
      </w:tr>
      <w:tr w:rsidR="007E48B3" w:rsidRPr="00436045" w14:paraId="00EA33C0" w14:textId="77777777" w:rsidTr="00416373">
        <w:trPr>
          <w:trHeight w:val="285"/>
        </w:trPr>
        <w:tc>
          <w:tcPr>
            <w:tcW w:w="0" w:type="auto"/>
            <w:vAlign w:val="bottom"/>
          </w:tcPr>
          <w:p w14:paraId="3E8A25B9"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1968</w:t>
            </w:r>
          </w:p>
        </w:tc>
        <w:tc>
          <w:tcPr>
            <w:tcW w:w="0" w:type="auto"/>
            <w:shd w:val="clear" w:color="auto" w:fill="auto"/>
            <w:noWrap/>
            <w:vAlign w:val="bottom"/>
            <w:hideMark/>
          </w:tcPr>
          <w:p w14:paraId="54D60685"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5.06%</w:t>
            </w:r>
          </w:p>
        </w:tc>
        <w:tc>
          <w:tcPr>
            <w:tcW w:w="0" w:type="auto"/>
            <w:shd w:val="clear" w:color="auto" w:fill="auto"/>
            <w:noWrap/>
            <w:vAlign w:val="bottom"/>
            <w:hideMark/>
          </w:tcPr>
          <w:p w14:paraId="31C4EDC4" w14:textId="77777777" w:rsidR="007E48B3" w:rsidRPr="00090F2A" w:rsidRDefault="007E48B3" w:rsidP="00416373">
            <w:pPr>
              <w:bidi w:val="0"/>
              <w:rPr>
                <w:rFonts w:ascii="Arial" w:hAnsi="Arial"/>
                <w:color w:val="000000"/>
                <w:sz w:val="18"/>
                <w:szCs w:val="18"/>
              </w:rPr>
            </w:pPr>
            <w:r w:rsidRPr="00090F2A">
              <w:rPr>
                <w:rFonts w:ascii="Arial" w:hAnsi="Arial"/>
                <w:color w:val="000000"/>
                <w:sz w:val="18"/>
                <w:szCs w:val="18"/>
              </w:rPr>
              <w:t> </w:t>
            </w:r>
          </w:p>
        </w:tc>
        <w:tc>
          <w:tcPr>
            <w:tcW w:w="0" w:type="auto"/>
            <w:shd w:val="clear" w:color="auto" w:fill="auto"/>
            <w:noWrap/>
            <w:vAlign w:val="bottom"/>
            <w:hideMark/>
          </w:tcPr>
          <w:p w14:paraId="6AE23CAF" w14:textId="77777777" w:rsidR="007E48B3" w:rsidRPr="00090F2A" w:rsidRDefault="007E48B3" w:rsidP="00416373">
            <w:pPr>
              <w:bidi w:val="0"/>
              <w:rPr>
                <w:rFonts w:ascii="Arial" w:hAnsi="Arial"/>
                <w:color w:val="000000"/>
                <w:sz w:val="18"/>
                <w:szCs w:val="18"/>
              </w:rPr>
            </w:pPr>
            <w:r w:rsidRPr="00090F2A">
              <w:rPr>
                <w:rFonts w:ascii="Arial" w:hAnsi="Arial"/>
                <w:color w:val="000000"/>
                <w:sz w:val="18"/>
                <w:szCs w:val="18"/>
              </w:rPr>
              <w:t> </w:t>
            </w:r>
          </w:p>
        </w:tc>
        <w:tc>
          <w:tcPr>
            <w:tcW w:w="0" w:type="auto"/>
            <w:shd w:val="clear" w:color="auto" w:fill="DEEAF6" w:themeFill="accent5" w:themeFillTint="33"/>
            <w:noWrap/>
            <w:vAlign w:val="bottom"/>
            <w:hideMark/>
          </w:tcPr>
          <w:p w14:paraId="043F068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55%</w:t>
            </w:r>
          </w:p>
        </w:tc>
      </w:tr>
      <w:tr w:rsidR="007E48B3" w:rsidRPr="00436045" w14:paraId="5534734B" w14:textId="77777777" w:rsidTr="00416373">
        <w:trPr>
          <w:trHeight w:val="285"/>
        </w:trPr>
        <w:tc>
          <w:tcPr>
            <w:tcW w:w="0" w:type="auto"/>
            <w:vAlign w:val="bottom"/>
          </w:tcPr>
          <w:p w14:paraId="33D003E6"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1969</w:t>
            </w:r>
          </w:p>
        </w:tc>
        <w:tc>
          <w:tcPr>
            <w:tcW w:w="0" w:type="auto"/>
            <w:shd w:val="clear" w:color="auto" w:fill="auto"/>
            <w:noWrap/>
            <w:vAlign w:val="bottom"/>
            <w:hideMark/>
          </w:tcPr>
          <w:p w14:paraId="4E325C6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5.10%</w:t>
            </w:r>
          </w:p>
        </w:tc>
        <w:tc>
          <w:tcPr>
            <w:tcW w:w="0" w:type="auto"/>
            <w:shd w:val="clear" w:color="auto" w:fill="auto"/>
            <w:noWrap/>
            <w:vAlign w:val="bottom"/>
            <w:hideMark/>
          </w:tcPr>
          <w:p w14:paraId="7D0FDC8E"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648D22C7"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DEEAF6" w:themeFill="accent5" w:themeFillTint="33"/>
            <w:noWrap/>
            <w:vAlign w:val="bottom"/>
            <w:hideMark/>
          </w:tcPr>
          <w:p w14:paraId="157C1B6A"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55%</w:t>
            </w:r>
          </w:p>
        </w:tc>
      </w:tr>
      <w:tr w:rsidR="007E48B3" w:rsidRPr="00436045" w14:paraId="19AE4C32" w14:textId="77777777" w:rsidTr="00416373">
        <w:trPr>
          <w:trHeight w:val="285"/>
        </w:trPr>
        <w:tc>
          <w:tcPr>
            <w:tcW w:w="0" w:type="auto"/>
            <w:vAlign w:val="bottom"/>
          </w:tcPr>
          <w:p w14:paraId="5837F084"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1970</w:t>
            </w:r>
          </w:p>
        </w:tc>
        <w:tc>
          <w:tcPr>
            <w:tcW w:w="0" w:type="auto"/>
            <w:shd w:val="clear" w:color="auto" w:fill="auto"/>
            <w:noWrap/>
            <w:vAlign w:val="bottom"/>
            <w:hideMark/>
          </w:tcPr>
          <w:p w14:paraId="7512E3D9"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5.73%</w:t>
            </w:r>
          </w:p>
        </w:tc>
        <w:tc>
          <w:tcPr>
            <w:tcW w:w="0" w:type="auto"/>
            <w:shd w:val="clear" w:color="auto" w:fill="auto"/>
            <w:noWrap/>
            <w:vAlign w:val="bottom"/>
            <w:hideMark/>
          </w:tcPr>
          <w:p w14:paraId="70BBEB3F"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743CD3FC"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5C9D4D60"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55%</w:t>
            </w:r>
          </w:p>
        </w:tc>
      </w:tr>
      <w:tr w:rsidR="007E48B3" w:rsidRPr="00436045" w14:paraId="31DF2574" w14:textId="77777777" w:rsidTr="00416373">
        <w:trPr>
          <w:trHeight w:val="285"/>
        </w:trPr>
        <w:tc>
          <w:tcPr>
            <w:tcW w:w="0" w:type="auto"/>
            <w:vAlign w:val="bottom"/>
          </w:tcPr>
          <w:p w14:paraId="4EADD85B"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1971</w:t>
            </w:r>
          </w:p>
        </w:tc>
        <w:tc>
          <w:tcPr>
            <w:tcW w:w="0" w:type="auto"/>
            <w:shd w:val="clear" w:color="auto" w:fill="auto"/>
            <w:noWrap/>
            <w:vAlign w:val="bottom"/>
            <w:hideMark/>
          </w:tcPr>
          <w:p w14:paraId="7E51EBC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5.92%</w:t>
            </w:r>
          </w:p>
        </w:tc>
        <w:tc>
          <w:tcPr>
            <w:tcW w:w="0" w:type="auto"/>
            <w:shd w:val="clear" w:color="auto" w:fill="auto"/>
            <w:noWrap/>
            <w:vAlign w:val="bottom"/>
            <w:hideMark/>
          </w:tcPr>
          <w:p w14:paraId="27CE3D02"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2E072CCD"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644E7B5A"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61%</w:t>
            </w:r>
          </w:p>
        </w:tc>
      </w:tr>
      <w:tr w:rsidR="007E48B3" w:rsidRPr="00436045" w14:paraId="785B7834" w14:textId="77777777" w:rsidTr="00416373">
        <w:trPr>
          <w:trHeight w:val="285"/>
        </w:trPr>
        <w:tc>
          <w:tcPr>
            <w:tcW w:w="0" w:type="auto"/>
            <w:vAlign w:val="bottom"/>
          </w:tcPr>
          <w:p w14:paraId="58ACB359"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1972</w:t>
            </w:r>
          </w:p>
        </w:tc>
        <w:tc>
          <w:tcPr>
            <w:tcW w:w="0" w:type="auto"/>
            <w:shd w:val="clear" w:color="auto" w:fill="auto"/>
            <w:noWrap/>
            <w:vAlign w:val="bottom"/>
            <w:hideMark/>
          </w:tcPr>
          <w:p w14:paraId="74693FDC"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6.20%</w:t>
            </w:r>
          </w:p>
        </w:tc>
        <w:tc>
          <w:tcPr>
            <w:tcW w:w="0" w:type="auto"/>
            <w:shd w:val="clear" w:color="auto" w:fill="auto"/>
            <w:noWrap/>
            <w:vAlign w:val="bottom"/>
            <w:hideMark/>
          </w:tcPr>
          <w:p w14:paraId="04C3D5A9"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67E855E3"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5733C6B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64%</w:t>
            </w:r>
          </w:p>
        </w:tc>
      </w:tr>
      <w:tr w:rsidR="007E48B3" w:rsidRPr="00436045" w14:paraId="2547D032" w14:textId="77777777" w:rsidTr="00416373">
        <w:trPr>
          <w:trHeight w:val="285"/>
        </w:trPr>
        <w:tc>
          <w:tcPr>
            <w:tcW w:w="0" w:type="auto"/>
            <w:vAlign w:val="bottom"/>
          </w:tcPr>
          <w:p w14:paraId="681F4A4A"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1973</w:t>
            </w:r>
          </w:p>
        </w:tc>
        <w:tc>
          <w:tcPr>
            <w:tcW w:w="0" w:type="auto"/>
            <w:shd w:val="clear" w:color="auto" w:fill="auto"/>
            <w:noWrap/>
            <w:vAlign w:val="bottom"/>
            <w:hideMark/>
          </w:tcPr>
          <w:p w14:paraId="1371EC33"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5.61%</w:t>
            </w:r>
          </w:p>
        </w:tc>
        <w:tc>
          <w:tcPr>
            <w:tcW w:w="0" w:type="auto"/>
            <w:shd w:val="clear" w:color="auto" w:fill="auto"/>
            <w:noWrap/>
            <w:vAlign w:val="bottom"/>
            <w:hideMark/>
          </w:tcPr>
          <w:p w14:paraId="147F28E9"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6D5137F3"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5FDC6627"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67%</w:t>
            </w:r>
          </w:p>
        </w:tc>
      </w:tr>
      <w:tr w:rsidR="007E48B3" w:rsidRPr="00436045" w14:paraId="4E6289CE" w14:textId="77777777" w:rsidTr="00416373">
        <w:trPr>
          <w:trHeight w:val="285"/>
        </w:trPr>
        <w:tc>
          <w:tcPr>
            <w:tcW w:w="0" w:type="auto"/>
            <w:vAlign w:val="bottom"/>
          </w:tcPr>
          <w:p w14:paraId="4F0AC277"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1974</w:t>
            </w:r>
          </w:p>
        </w:tc>
        <w:tc>
          <w:tcPr>
            <w:tcW w:w="0" w:type="auto"/>
            <w:shd w:val="clear" w:color="auto" w:fill="auto"/>
            <w:noWrap/>
            <w:vAlign w:val="bottom"/>
            <w:hideMark/>
          </w:tcPr>
          <w:p w14:paraId="6AD320D3"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6.53%</w:t>
            </w:r>
          </w:p>
        </w:tc>
        <w:tc>
          <w:tcPr>
            <w:tcW w:w="0" w:type="auto"/>
            <w:shd w:val="clear" w:color="auto" w:fill="auto"/>
            <w:noWrap/>
            <w:vAlign w:val="bottom"/>
            <w:hideMark/>
          </w:tcPr>
          <w:p w14:paraId="409F3770"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371E9609"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2B6EA2A6"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72%</w:t>
            </w:r>
          </w:p>
        </w:tc>
      </w:tr>
      <w:tr w:rsidR="007E48B3" w:rsidRPr="00436045" w14:paraId="626AAE32" w14:textId="77777777" w:rsidTr="00416373">
        <w:trPr>
          <w:trHeight w:val="285"/>
        </w:trPr>
        <w:tc>
          <w:tcPr>
            <w:tcW w:w="0" w:type="auto"/>
            <w:vAlign w:val="bottom"/>
          </w:tcPr>
          <w:p w14:paraId="354D72F6"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1975</w:t>
            </w:r>
          </w:p>
        </w:tc>
        <w:tc>
          <w:tcPr>
            <w:tcW w:w="0" w:type="auto"/>
            <w:shd w:val="clear" w:color="auto" w:fill="auto"/>
            <w:noWrap/>
            <w:vAlign w:val="bottom"/>
            <w:hideMark/>
          </w:tcPr>
          <w:p w14:paraId="77401A03"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6.33%</w:t>
            </w:r>
          </w:p>
        </w:tc>
        <w:tc>
          <w:tcPr>
            <w:tcW w:w="0" w:type="auto"/>
            <w:shd w:val="clear" w:color="auto" w:fill="auto"/>
            <w:noWrap/>
            <w:vAlign w:val="bottom"/>
            <w:hideMark/>
          </w:tcPr>
          <w:p w14:paraId="7132CC57"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44D60B22"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6275F5FC"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81%</w:t>
            </w:r>
          </w:p>
        </w:tc>
      </w:tr>
      <w:tr w:rsidR="007E48B3" w:rsidRPr="00436045" w14:paraId="087C1040" w14:textId="77777777" w:rsidTr="00416373">
        <w:trPr>
          <w:trHeight w:val="285"/>
        </w:trPr>
        <w:tc>
          <w:tcPr>
            <w:tcW w:w="0" w:type="auto"/>
            <w:vAlign w:val="bottom"/>
          </w:tcPr>
          <w:p w14:paraId="31A9925A"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1976</w:t>
            </w:r>
          </w:p>
        </w:tc>
        <w:tc>
          <w:tcPr>
            <w:tcW w:w="0" w:type="auto"/>
            <w:shd w:val="clear" w:color="auto" w:fill="auto"/>
            <w:noWrap/>
            <w:vAlign w:val="bottom"/>
            <w:hideMark/>
          </w:tcPr>
          <w:p w14:paraId="51604689"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7.37%</w:t>
            </w:r>
          </w:p>
        </w:tc>
        <w:tc>
          <w:tcPr>
            <w:tcW w:w="0" w:type="auto"/>
            <w:shd w:val="clear" w:color="auto" w:fill="auto"/>
            <w:noWrap/>
            <w:vAlign w:val="bottom"/>
            <w:hideMark/>
          </w:tcPr>
          <w:p w14:paraId="757EC651"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1B8AF562"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3CF4701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87%</w:t>
            </w:r>
          </w:p>
        </w:tc>
      </w:tr>
      <w:tr w:rsidR="007E48B3" w:rsidRPr="00436045" w14:paraId="5AF10CA2" w14:textId="77777777" w:rsidTr="00416373">
        <w:trPr>
          <w:trHeight w:val="285"/>
        </w:trPr>
        <w:tc>
          <w:tcPr>
            <w:tcW w:w="0" w:type="auto"/>
            <w:vAlign w:val="bottom"/>
          </w:tcPr>
          <w:p w14:paraId="1A881316"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1977</w:t>
            </w:r>
          </w:p>
        </w:tc>
        <w:tc>
          <w:tcPr>
            <w:tcW w:w="0" w:type="auto"/>
            <w:shd w:val="clear" w:color="auto" w:fill="auto"/>
            <w:noWrap/>
            <w:vAlign w:val="bottom"/>
            <w:hideMark/>
          </w:tcPr>
          <w:p w14:paraId="7150F06E"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7.24%</w:t>
            </w:r>
          </w:p>
        </w:tc>
        <w:tc>
          <w:tcPr>
            <w:tcW w:w="0" w:type="auto"/>
            <w:shd w:val="clear" w:color="auto" w:fill="auto"/>
            <w:noWrap/>
            <w:vAlign w:val="bottom"/>
            <w:hideMark/>
          </w:tcPr>
          <w:p w14:paraId="4924AA11"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1E9D1CA1"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0C6006C9"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90%</w:t>
            </w:r>
          </w:p>
        </w:tc>
      </w:tr>
      <w:tr w:rsidR="007E48B3" w:rsidRPr="00436045" w14:paraId="3A2C2DE0" w14:textId="77777777" w:rsidTr="00416373">
        <w:trPr>
          <w:trHeight w:val="285"/>
        </w:trPr>
        <w:tc>
          <w:tcPr>
            <w:tcW w:w="0" w:type="auto"/>
            <w:vAlign w:val="bottom"/>
          </w:tcPr>
          <w:p w14:paraId="6C7E84DB"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1978</w:t>
            </w:r>
          </w:p>
        </w:tc>
        <w:tc>
          <w:tcPr>
            <w:tcW w:w="0" w:type="auto"/>
            <w:shd w:val="clear" w:color="auto" w:fill="auto"/>
            <w:noWrap/>
            <w:vAlign w:val="bottom"/>
            <w:hideMark/>
          </w:tcPr>
          <w:p w14:paraId="4CBBB5E0"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7.76%</w:t>
            </w:r>
          </w:p>
        </w:tc>
        <w:tc>
          <w:tcPr>
            <w:tcW w:w="0" w:type="auto"/>
            <w:shd w:val="clear" w:color="auto" w:fill="auto"/>
            <w:noWrap/>
            <w:vAlign w:val="bottom"/>
            <w:hideMark/>
          </w:tcPr>
          <w:p w14:paraId="583D3701"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3F73F908"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5F256F50"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88%</w:t>
            </w:r>
          </w:p>
        </w:tc>
      </w:tr>
      <w:tr w:rsidR="007E48B3" w:rsidRPr="00436045" w14:paraId="107D97FE" w14:textId="77777777" w:rsidTr="00416373">
        <w:trPr>
          <w:trHeight w:val="285"/>
        </w:trPr>
        <w:tc>
          <w:tcPr>
            <w:tcW w:w="0" w:type="auto"/>
            <w:vAlign w:val="bottom"/>
          </w:tcPr>
          <w:p w14:paraId="4BE8ADBC"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1979</w:t>
            </w:r>
          </w:p>
        </w:tc>
        <w:tc>
          <w:tcPr>
            <w:tcW w:w="0" w:type="auto"/>
            <w:shd w:val="clear" w:color="auto" w:fill="auto"/>
            <w:noWrap/>
            <w:vAlign w:val="bottom"/>
            <w:hideMark/>
          </w:tcPr>
          <w:p w14:paraId="385DEA73"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7.45%</w:t>
            </w:r>
          </w:p>
        </w:tc>
        <w:tc>
          <w:tcPr>
            <w:tcW w:w="0" w:type="auto"/>
            <w:shd w:val="clear" w:color="auto" w:fill="auto"/>
            <w:noWrap/>
            <w:vAlign w:val="bottom"/>
            <w:hideMark/>
          </w:tcPr>
          <w:p w14:paraId="05F81FDD"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1AEB0BD9"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46323DE7"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79%</w:t>
            </w:r>
          </w:p>
        </w:tc>
      </w:tr>
      <w:tr w:rsidR="007E48B3" w:rsidRPr="00436045" w14:paraId="3703891F" w14:textId="77777777" w:rsidTr="00416373">
        <w:trPr>
          <w:trHeight w:val="285"/>
        </w:trPr>
        <w:tc>
          <w:tcPr>
            <w:tcW w:w="0" w:type="auto"/>
            <w:vAlign w:val="bottom"/>
          </w:tcPr>
          <w:p w14:paraId="3D3CB348"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1980</w:t>
            </w:r>
          </w:p>
        </w:tc>
        <w:tc>
          <w:tcPr>
            <w:tcW w:w="0" w:type="auto"/>
            <w:shd w:val="clear" w:color="auto" w:fill="auto"/>
            <w:noWrap/>
            <w:vAlign w:val="bottom"/>
            <w:hideMark/>
          </w:tcPr>
          <w:p w14:paraId="5CB699FC"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8.55%</w:t>
            </w:r>
          </w:p>
        </w:tc>
        <w:tc>
          <w:tcPr>
            <w:tcW w:w="0" w:type="auto"/>
            <w:shd w:val="clear" w:color="auto" w:fill="auto"/>
            <w:noWrap/>
            <w:vAlign w:val="bottom"/>
            <w:hideMark/>
          </w:tcPr>
          <w:p w14:paraId="643E47AA"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44502CE8"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52D7AC8D"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90%</w:t>
            </w:r>
          </w:p>
        </w:tc>
      </w:tr>
      <w:tr w:rsidR="007E48B3" w:rsidRPr="00436045" w14:paraId="55BF8E08" w14:textId="77777777" w:rsidTr="00416373">
        <w:trPr>
          <w:trHeight w:val="285"/>
        </w:trPr>
        <w:tc>
          <w:tcPr>
            <w:tcW w:w="0" w:type="auto"/>
            <w:vAlign w:val="bottom"/>
          </w:tcPr>
          <w:p w14:paraId="1DB03352"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1981</w:t>
            </w:r>
          </w:p>
        </w:tc>
        <w:tc>
          <w:tcPr>
            <w:tcW w:w="0" w:type="auto"/>
            <w:shd w:val="clear" w:color="auto" w:fill="auto"/>
            <w:noWrap/>
            <w:vAlign w:val="bottom"/>
            <w:hideMark/>
          </w:tcPr>
          <w:p w14:paraId="0BAD8817"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7.62%</w:t>
            </w:r>
          </w:p>
        </w:tc>
        <w:tc>
          <w:tcPr>
            <w:tcW w:w="0" w:type="auto"/>
            <w:shd w:val="clear" w:color="auto" w:fill="auto"/>
            <w:noWrap/>
            <w:vAlign w:val="bottom"/>
            <w:hideMark/>
          </w:tcPr>
          <w:p w14:paraId="1B4A8FC8"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167AB2B1"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7C25EB44"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91%</w:t>
            </w:r>
          </w:p>
        </w:tc>
      </w:tr>
      <w:tr w:rsidR="007E48B3" w:rsidRPr="00436045" w14:paraId="5FC257DA" w14:textId="77777777" w:rsidTr="00416373">
        <w:trPr>
          <w:trHeight w:val="285"/>
        </w:trPr>
        <w:tc>
          <w:tcPr>
            <w:tcW w:w="0" w:type="auto"/>
            <w:vAlign w:val="bottom"/>
          </w:tcPr>
          <w:p w14:paraId="30B8AC56"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1982</w:t>
            </w:r>
          </w:p>
        </w:tc>
        <w:tc>
          <w:tcPr>
            <w:tcW w:w="0" w:type="auto"/>
            <w:shd w:val="clear" w:color="auto" w:fill="auto"/>
            <w:noWrap/>
            <w:vAlign w:val="bottom"/>
            <w:hideMark/>
          </w:tcPr>
          <w:p w14:paraId="37B83A8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7.99%</w:t>
            </w:r>
          </w:p>
        </w:tc>
        <w:tc>
          <w:tcPr>
            <w:tcW w:w="0" w:type="auto"/>
            <w:shd w:val="clear" w:color="auto" w:fill="auto"/>
            <w:noWrap/>
            <w:vAlign w:val="bottom"/>
            <w:hideMark/>
          </w:tcPr>
          <w:p w14:paraId="31A949D8"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4682BB49"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2057B4DD"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91%</w:t>
            </w:r>
          </w:p>
        </w:tc>
      </w:tr>
      <w:tr w:rsidR="007E48B3" w:rsidRPr="00436045" w14:paraId="65A93E91" w14:textId="77777777" w:rsidTr="00416373">
        <w:trPr>
          <w:trHeight w:val="285"/>
        </w:trPr>
        <w:tc>
          <w:tcPr>
            <w:tcW w:w="0" w:type="auto"/>
            <w:vAlign w:val="bottom"/>
          </w:tcPr>
          <w:p w14:paraId="3DB130AB"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1983</w:t>
            </w:r>
          </w:p>
        </w:tc>
        <w:tc>
          <w:tcPr>
            <w:tcW w:w="0" w:type="auto"/>
            <w:shd w:val="clear" w:color="auto" w:fill="auto"/>
            <w:noWrap/>
            <w:vAlign w:val="bottom"/>
            <w:hideMark/>
          </w:tcPr>
          <w:p w14:paraId="51A4EE3B"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7.34%</w:t>
            </w:r>
          </w:p>
        </w:tc>
        <w:tc>
          <w:tcPr>
            <w:tcW w:w="0" w:type="auto"/>
            <w:shd w:val="clear" w:color="auto" w:fill="auto"/>
            <w:noWrap/>
            <w:vAlign w:val="bottom"/>
            <w:hideMark/>
          </w:tcPr>
          <w:p w14:paraId="3F542CAB"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1B4270CB"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5EEDD8F6"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91%</w:t>
            </w:r>
          </w:p>
        </w:tc>
      </w:tr>
      <w:tr w:rsidR="007E48B3" w:rsidRPr="00436045" w14:paraId="61DA9429" w14:textId="77777777" w:rsidTr="00416373">
        <w:trPr>
          <w:trHeight w:val="285"/>
        </w:trPr>
        <w:tc>
          <w:tcPr>
            <w:tcW w:w="0" w:type="auto"/>
            <w:vAlign w:val="bottom"/>
          </w:tcPr>
          <w:p w14:paraId="28D21B6A"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1984</w:t>
            </w:r>
          </w:p>
        </w:tc>
        <w:tc>
          <w:tcPr>
            <w:tcW w:w="0" w:type="auto"/>
            <w:shd w:val="clear" w:color="auto" w:fill="auto"/>
            <w:noWrap/>
            <w:vAlign w:val="bottom"/>
            <w:hideMark/>
          </w:tcPr>
          <w:p w14:paraId="1F728A13"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7.52%</w:t>
            </w:r>
          </w:p>
        </w:tc>
        <w:tc>
          <w:tcPr>
            <w:tcW w:w="0" w:type="auto"/>
            <w:shd w:val="clear" w:color="auto" w:fill="auto"/>
            <w:noWrap/>
            <w:vAlign w:val="bottom"/>
            <w:hideMark/>
          </w:tcPr>
          <w:p w14:paraId="0827C935"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795EA29C"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3E9128E4"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111%</w:t>
            </w:r>
          </w:p>
        </w:tc>
      </w:tr>
      <w:tr w:rsidR="007E48B3" w:rsidRPr="00436045" w14:paraId="3967C48B" w14:textId="77777777" w:rsidTr="00416373">
        <w:trPr>
          <w:trHeight w:val="285"/>
        </w:trPr>
        <w:tc>
          <w:tcPr>
            <w:tcW w:w="0" w:type="auto"/>
            <w:vAlign w:val="bottom"/>
          </w:tcPr>
          <w:p w14:paraId="1972C0DD"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1985</w:t>
            </w:r>
          </w:p>
        </w:tc>
        <w:tc>
          <w:tcPr>
            <w:tcW w:w="0" w:type="auto"/>
            <w:shd w:val="clear" w:color="auto" w:fill="auto"/>
            <w:noWrap/>
            <w:vAlign w:val="bottom"/>
            <w:hideMark/>
          </w:tcPr>
          <w:p w14:paraId="625D9B33"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7.07%</w:t>
            </w:r>
          </w:p>
        </w:tc>
        <w:tc>
          <w:tcPr>
            <w:tcW w:w="0" w:type="auto"/>
            <w:shd w:val="clear" w:color="auto" w:fill="auto"/>
            <w:noWrap/>
            <w:vAlign w:val="bottom"/>
            <w:hideMark/>
          </w:tcPr>
          <w:p w14:paraId="3C17E738"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7C0E1433"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4329E5F5"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109%</w:t>
            </w:r>
          </w:p>
        </w:tc>
      </w:tr>
      <w:tr w:rsidR="007E48B3" w:rsidRPr="00436045" w14:paraId="38977BE7" w14:textId="77777777" w:rsidTr="00416373">
        <w:trPr>
          <w:trHeight w:val="285"/>
        </w:trPr>
        <w:tc>
          <w:tcPr>
            <w:tcW w:w="0" w:type="auto"/>
            <w:vAlign w:val="bottom"/>
          </w:tcPr>
          <w:p w14:paraId="5CEBC87C"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1986</w:t>
            </w:r>
          </w:p>
        </w:tc>
        <w:tc>
          <w:tcPr>
            <w:tcW w:w="0" w:type="auto"/>
            <w:shd w:val="clear" w:color="auto" w:fill="auto"/>
            <w:noWrap/>
            <w:vAlign w:val="bottom"/>
            <w:hideMark/>
          </w:tcPr>
          <w:p w14:paraId="5C771B8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7.97%</w:t>
            </w:r>
          </w:p>
        </w:tc>
        <w:tc>
          <w:tcPr>
            <w:tcW w:w="0" w:type="auto"/>
            <w:shd w:val="clear" w:color="auto" w:fill="auto"/>
            <w:noWrap/>
            <w:vAlign w:val="bottom"/>
            <w:hideMark/>
          </w:tcPr>
          <w:p w14:paraId="60680C1E"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12A5C154"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7BF6729A"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92%</w:t>
            </w:r>
          </w:p>
        </w:tc>
      </w:tr>
      <w:tr w:rsidR="007E48B3" w:rsidRPr="00436045" w14:paraId="76D2F84D" w14:textId="77777777" w:rsidTr="00416373">
        <w:trPr>
          <w:trHeight w:val="285"/>
        </w:trPr>
        <w:tc>
          <w:tcPr>
            <w:tcW w:w="0" w:type="auto"/>
            <w:vAlign w:val="bottom"/>
          </w:tcPr>
          <w:p w14:paraId="26790D6F"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1987</w:t>
            </w:r>
          </w:p>
        </w:tc>
        <w:tc>
          <w:tcPr>
            <w:tcW w:w="0" w:type="auto"/>
            <w:shd w:val="clear" w:color="auto" w:fill="auto"/>
            <w:noWrap/>
            <w:vAlign w:val="bottom"/>
            <w:hideMark/>
          </w:tcPr>
          <w:p w14:paraId="0D051DDD"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7.13%</w:t>
            </w:r>
          </w:p>
        </w:tc>
        <w:tc>
          <w:tcPr>
            <w:tcW w:w="0" w:type="auto"/>
            <w:shd w:val="clear" w:color="auto" w:fill="auto"/>
            <w:noWrap/>
            <w:vAlign w:val="bottom"/>
            <w:hideMark/>
          </w:tcPr>
          <w:p w14:paraId="18576627"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6BF6A8DA"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70B8A65C"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84%</w:t>
            </w:r>
          </w:p>
        </w:tc>
      </w:tr>
      <w:tr w:rsidR="007E48B3" w:rsidRPr="00436045" w14:paraId="66E7B0BB" w14:textId="77777777" w:rsidTr="00416373">
        <w:trPr>
          <w:trHeight w:val="285"/>
        </w:trPr>
        <w:tc>
          <w:tcPr>
            <w:tcW w:w="0" w:type="auto"/>
            <w:vAlign w:val="bottom"/>
          </w:tcPr>
          <w:p w14:paraId="168C9CEF"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1988</w:t>
            </w:r>
          </w:p>
        </w:tc>
        <w:tc>
          <w:tcPr>
            <w:tcW w:w="0" w:type="auto"/>
            <w:shd w:val="clear" w:color="auto" w:fill="auto"/>
            <w:noWrap/>
            <w:vAlign w:val="bottom"/>
            <w:hideMark/>
          </w:tcPr>
          <w:p w14:paraId="2B6D3326"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6.82%</w:t>
            </w:r>
          </w:p>
        </w:tc>
        <w:tc>
          <w:tcPr>
            <w:tcW w:w="0" w:type="auto"/>
            <w:shd w:val="clear" w:color="auto" w:fill="auto"/>
            <w:noWrap/>
            <w:vAlign w:val="bottom"/>
            <w:hideMark/>
          </w:tcPr>
          <w:p w14:paraId="175006BC"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741F0A2C"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65D63CCF"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77%</w:t>
            </w:r>
          </w:p>
        </w:tc>
      </w:tr>
      <w:tr w:rsidR="007E48B3" w:rsidRPr="00436045" w14:paraId="51C5E7F6" w14:textId="77777777" w:rsidTr="00416373">
        <w:trPr>
          <w:trHeight w:val="285"/>
        </w:trPr>
        <w:tc>
          <w:tcPr>
            <w:tcW w:w="0" w:type="auto"/>
            <w:vAlign w:val="bottom"/>
          </w:tcPr>
          <w:p w14:paraId="6173E679"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1989</w:t>
            </w:r>
          </w:p>
        </w:tc>
        <w:tc>
          <w:tcPr>
            <w:tcW w:w="0" w:type="auto"/>
            <w:shd w:val="clear" w:color="auto" w:fill="auto"/>
            <w:noWrap/>
            <w:vAlign w:val="bottom"/>
            <w:hideMark/>
          </w:tcPr>
          <w:p w14:paraId="365DA96B"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6.75%</w:t>
            </w:r>
          </w:p>
        </w:tc>
        <w:tc>
          <w:tcPr>
            <w:tcW w:w="0" w:type="auto"/>
            <w:shd w:val="clear" w:color="auto" w:fill="auto"/>
            <w:noWrap/>
            <w:vAlign w:val="bottom"/>
            <w:hideMark/>
          </w:tcPr>
          <w:p w14:paraId="42393235"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2747E7E8"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0C98822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68%</w:t>
            </w:r>
          </w:p>
        </w:tc>
      </w:tr>
      <w:tr w:rsidR="007E48B3" w:rsidRPr="00436045" w14:paraId="36950BF9" w14:textId="77777777" w:rsidTr="00416373">
        <w:trPr>
          <w:trHeight w:val="285"/>
        </w:trPr>
        <w:tc>
          <w:tcPr>
            <w:tcW w:w="0" w:type="auto"/>
            <w:vAlign w:val="bottom"/>
          </w:tcPr>
          <w:p w14:paraId="3060A162"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1990</w:t>
            </w:r>
          </w:p>
        </w:tc>
        <w:tc>
          <w:tcPr>
            <w:tcW w:w="0" w:type="auto"/>
            <w:shd w:val="clear" w:color="auto" w:fill="auto"/>
            <w:noWrap/>
            <w:vAlign w:val="bottom"/>
            <w:hideMark/>
          </w:tcPr>
          <w:p w14:paraId="061BFE5A"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7.49%</w:t>
            </w:r>
          </w:p>
        </w:tc>
        <w:tc>
          <w:tcPr>
            <w:tcW w:w="0" w:type="auto"/>
            <w:shd w:val="clear" w:color="auto" w:fill="auto"/>
            <w:noWrap/>
            <w:vAlign w:val="bottom"/>
            <w:hideMark/>
          </w:tcPr>
          <w:p w14:paraId="7AF97CB0"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50315C67"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auto"/>
            <w:noWrap/>
            <w:vAlign w:val="bottom"/>
            <w:hideMark/>
          </w:tcPr>
          <w:p w14:paraId="10B2CDFD"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71%</w:t>
            </w:r>
          </w:p>
        </w:tc>
      </w:tr>
      <w:tr w:rsidR="007E48B3" w:rsidRPr="00436045" w14:paraId="53BD5271" w14:textId="77777777" w:rsidTr="00416373">
        <w:trPr>
          <w:trHeight w:val="285"/>
        </w:trPr>
        <w:tc>
          <w:tcPr>
            <w:tcW w:w="0" w:type="auto"/>
            <w:vAlign w:val="bottom"/>
          </w:tcPr>
          <w:p w14:paraId="0EF9179E"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1991</w:t>
            </w:r>
          </w:p>
        </w:tc>
        <w:tc>
          <w:tcPr>
            <w:tcW w:w="0" w:type="auto"/>
            <w:shd w:val="clear" w:color="auto" w:fill="auto"/>
            <w:noWrap/>
            <w:vAlign w:val="bottom"/>
            <w:hideMark/>
          </w:tcPr>
          <w:p w14:paraId="050BB8CE"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6.61%</w:t>
            </w:r>
          </w:p>
        </w:tc>
        <w:tc>
          <w:tcPr>
            <w:tcW w:w="0" w:type="auto"/>
            <w:shd w:val="clear" w:color="auto" w:fill="auto"/>
            <w:noWrap/>
            <w:vAlign w:val="bottom"/>
            <w:hideMark/>
          </w:tcPr>
          <w:p w14:paraId="2DBD775A"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58987A3B"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DEEAF6" w:themeFill="accent5" w:themeFillTint="33"/>
            <w:noWrap/>
            <w:vAlign w:val="bottom"/>
            <w:hideMark/>
          </w:tcPr>
          <w:p w14:paraId="6C960EA9"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75%</w:t>
            </w:r>
          </w:p>
        </w:tc>
      </w:tr>
      <w:tr w:rsidR="007E48B3" w:rsidRPr="00436045" w14:paraId="085C3E47" w14:textId="77777777" w:rsidTr="00416373">
        <w:trPr>
          <w:trHeight w:val="285"/>
        </w:trPr>
        <w:tc>
          <w:tcPr>
            <w:tcW w:w="0" w:type="auto"/>
            <w:vAlign w:val="bottom"/>
          </w:tcPr>
          <w:p w14:paraId="2110AC5E"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1992</w:t>
            </w:r>
          </w:p>
        </w:tc>
        <w:tc>
          <w:tcPr>
            <w:tcW w:w="0" w:type="auto"/>
            <w:shd w:val="clear" w:color="auto" w:fill="auto"/>
            <w:noWrap/>
            <w:vAlign w:val="bottom"/>
            <w:hideMark/>
          </w:tcPr>
          <w:p w14:paraId="17B15A8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7.47%</w:t>
            </w:r>
          </w:p>
        </w:tc>
        <w:tc>
          <w:tcPr>
            <w:tcW w:w="0" w:type="auto"/>
            <w:shd w:val="clear" w:color="auto" w:fill="auto"/>
            <w:noWrap/>
            <w:vAlign w:val="bottom"/>
            <w:hideMark/>
          </w:tcPr>
          <w:p w14:paraId="09EAD8B8"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1188BEFF"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DEEAF6" w:themeFill="accent5" w:themeFillTint="33"/>
            <w:noWrap/>
            <w:vAlign w:val="bottom"/>
            <w:hideMark/>
          </w:tcPr>
          <w:p w14:paraId="4614004C"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73%</w:t>
            </w:r>
          </w:p>
        </w:tc>
      </w:tr>
      <w:tr w:rsidR="007E48B3" w:rsidRPr="00436045" w14:paraId="4965BA2D" w14:textId="77777777" w:rsidTr="00416373">
        <w:trPr>
          <w:trHeight w:val="285"/>
        </w:trPr>
        <w:tc>
          <w:tcPr>
            <w:tcW w:w="0" w:type="auto"/>
            <w:vAlign w:val="bottom"/>
          </w:tcPr>
          <w:p w14:paraId="55CDD507"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1993</w:t>
            </w:r>
          </w:p>
        </w:tc>
        <w:tc>
          <w:tcPr>
            <w:tcW w:w="0" w:type="auto"/>
            <w:shd w:val="clear" w:color="auto" w:fill="auto"/>
            <w:noWrap/>
            <w:vAlign w:val="bottom"/>
            <w:hideMark/>
          </w:tcPr>
          <w:p w14:paraId="54723FF7"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7.79%</w:t>
            </w:r>
          </w:p>
        </w:tc>
        <w:tc>
          <w:tcPr>
            <w:tcW w:w="0" w:type="auto"/>
            <w:shd w:val="clear" w:color="auto" w:fill="auto"/>
            <w:noWrap/>
            <w:vAlign w:val="bottom"/>
            <w:hideMark/>
          </w:tcPr>
          <w:p w14:paraId="3E0CB914"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0924FFA6" w14:textId="77777777" w:rsidR="007E48B3" w:rsidRPr="00090F2A" w:rsidRDefault="007E48B3" w:rsidP="00416373">
            <w:pPr>
              <w:bidi w:val="0"/>
              <w:rPr>
                <w:rFonts w:ascii="Times New Roman" w:hAnsi="Times New Roman" w:cs="Times New Roman"/>
                <w:sz w:val="18"/>
                <w:szCs w:val="18"/>
              </w:rPr>
            </w:pPr>
          </w:p>
        </w:tc>
        <w:tc>
          <w:tcPr>
            <w:tcW w:w="0" w:type="auto"/>
            <w:shd w:val="clear" w:color="auto" w:fill="DEEAF6" w:themeFill="accent5" w:themeFillTint="33"/>
            <w:noWrap/>
            <w:vAlign w:val="bottom"/>
            <w:hideMark/>
          </w:tcPr>
          <w:p w14:paraId="6B702C70"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75%</w:t>
            </w:r>
          </w:p>
        </w:tc>
      </w:tr>
      <w:tr w:rsidR="007E48B3" w:rsidRPr="00436045" w14:paraId="40992C6D" w14:textId="77777777" w:rsidTr="00416373">
        <w:trPr>
          <w:trHeight w:val="285"/>
        </w:trPr>
        <w:tc>
          <w:tcPr>
            <w:tcW w:w="0" w:type="auto"/>
            <w:vAlign w:val="bottom"/>
          </w:tcPr>
          <w:p w14:paraId="5EA422FE"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1994</w:t>
            </w:r>
          </w:p>
        </w:tc>
        <w:tc>
          <w:tcPr>
            <w:tcW w:w="0" w:type="auto"/>
            <w:shd w:val="clear" w:color="auto" w:fill="auto"/>
            <w:noWrap/>
            <w:vAlign w:val="bottom"/>
            <w:hideMark/>
          </w:tcPr>
          <w:p w14:paraId="59DF5186"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8.04%</w:t>
            </w:r>
          </w:p>
        </w:tc>
        <w:tc>
          <w:tcPr>
            <w:tcW w:w="0" w:type="auto"/>
            <w:shd w:val="clear" w:color="auto" w:fill="auto"/>
            <w:noWrap/>
            <w:vAlign w:val="bottom"/>
            <w:hideMark/>
          </w:tcPr>
          <w:p w14:paraId="6747670E"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67.14%</w:t>
            </w:r>
          </w:p>
        </w:tc>
        <w:tc>
          <w:tcPr>
            <w:tcW w:w="0" w:type="auto"/>
            <w:shd w:val="clear" w:color="auto" w:fill="auto"/>
            <w:noWrap/>
            <w:vAlign w:val="bottom"/>
            <w:hideMark/>
          </w:tcPr>
          <w:p w14:paraId="39497B13" w14:textId="77777777" w:rsidR="007E48B3" w:rsidRPr="00090F2A" w:rsidRDefault="007E48B3" w:rsidP="00416373">
            <w:pPr>
              <w:bidi w:val="0"/>
              <w:jc w:val="right"/>
              <w:rPr>
                <w:rFonts w:ascii="Arial" w:hAnsi="Arial"/>
                <w:color w:val="000000"/>
                <w:sz w:val="18"/>
                <w:szCs w:val="18"/>
              </w:rPr>
            </w:pPr>
          </w:p>
        </w:tc>
        <w:tc>
          <w:tcPr>
            <w:tcW w:w="0" w:type="auto"/>
            <w:shd w:val="clear" w:color="auto" w:fill="DEEAF6" w:themeFill="accent5" w:themeFillTint="33"/>
            <w:noWrap/>
            <w:vAlign w:val="bottom"/>
            <w:hideMark/>
          </w:tcPr>
          <w:p w14:paraId="53034C76"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69%</w:t>
            </w:r>
          </w:p>
        </w:tc>
      </w:tr>
      <w:tr w:rsidR="007E48B3" w:rsidRPr="00436045" w14:paraId="3BFCFDD5" w14:textId="77777777" w:rsidTr="00416373">
        <w:trPr>
          <w:trHeight w:val="285"/>
        </w:trPr>
        <w:tc>
          <w:tcPr>
            <w:tcW w:w="0" w:type="auto"/>
            <w:vAlign w:val="bottom"/>
          </w:tcPr>
          <w:p w14:paraId="4F4A181B"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1995</w:t>
            </w:r>
          </w:p>
        </w:tc>
        <w:tc>
          <w:tcPr>
            <w:tcW w:w="0" w:type="auto"/>
            <w:shd w:val="clear" w:color="auto" w:fill="auto"/>
            <w:noWrap/>
            <w:vAlign w:val="bottom"/>
            <w:hideMark/>
          </w:tcPr>
          <w:p w14:paraId="688B9AB9"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7.64%</w:t>
            </w:r>
          </w:p>
        </w:tc>
        <w:tc>
          <w:tcPr>
            <w:tcW w:w="0" w:type="auto"/>
            <w:shd w:val="clear" w:color="auto" w:fill="auto"/>
            <w:noWrap/>
            <w:vAlign w:val="bottom"/>
            <w:hideMark/>
          </w:tcPr>
          <w:p w14:paraId="4EBBA005"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66.35%</w:t>
            </w:r>
          </w:p>
        </w:tc>
        <w:tc>
          <w:tcPr>
            <w:tcW w:w="0" w:type="auto"/>
            <w:shd w:val="clear" w:color="auto" w:fill="auto"/>
            <w:noWrap/>
            <w:vAlign w:val="bottom"/>
            <w:hideMark/>
          </w:tcPr>
          <w:p w14:paraId="0EF6C07A"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2B42C7F0"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62.09%</w:t>
            </w:r>
          </w:p>
        </w:tc>
      </w:tr>
      <w:tr w:rsidR="007E48B3" w:rsidRPr="00436045" w14:paraId="16E756D5" w14:textId="77777777" w:rsidTr="00416373">
        <w:trPr>
          <w:trHeight w:val="285"/>
        </w:trPr>
        <w:tc>
          <w:tcPr>
            <w:tcW w:w="0" w:type="auto"/>
            <w:vAlign w:val="bottom"/>
          </w:tcPr>
          <w:p w14:paraId="73A29E55"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1996</w:t>
            </w:r>
          </w:p>
        </w:tc>
        <w:tc>
          <w:tcPr>
            <w:tcW w:w="0" w:type="auto"/>
            <w:shd w:val="clear" w:color="auto" w:fill="auto"/>
            <w:noWrap/>
            <w:vAlign w:val="bottom"/>
            <w:hideMark/>
          </w:tcPr>
          <w:p w14:paraId="40A1076F"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7.23%</w:t>
            </w:r>
          </w:p>
        </w:tc>
        <w:tc>
          <w:tcPr>
            <w:tcW w:w="0" w:type="auto"/>
            <w:shd w:val="clear" w:color="auto" w:fill="auto"/>
            <w:noWrap/>
            <w:vAlign w:val="bottom"/>
            <w:hideMark/>
          </w:tcPr>
          <w:p w14:paraId="7CA6FE2B"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65.27%</w:t>
            </w:r>
          </w:p>
        </w:tc>
        <w:tc>
          <w:tcPr>
            <w:tcW w:w="0" w:type="auto"/>
            <w:shd w:val="clear" w:color="auto" w:fill="auto"/>
            <w:noWrap/>
            <w:vAlign w:val="bottom"/>
            <w:hideMark/>
          </w:tcPr>
          <w:p w14:paraId="2D71B773"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7E978C1E"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54.42%</w:t>
            </w:r>
          </w:p>
        </w:tc>
      </w:tr>
      <w:tr w:rsidR="007E48B3" w:rsidRPr="00436045" w14:paraId="181FCACC" w14:textId="77777777" w:rsidTr="00416373">
        <w:trPr>
          <w:trHeight w:val="285"/>
        </w:trPr>
        <w:tc>
          <w:tcPr>
            <w:tcW w:w="0" w:type="auto"/>
            <w:vAlign w:val="bottom"/>
          </w:tcPr>
          <w:p w14:paraId="43FAEDA3"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1997</w:t>
            </w:r>
          </w:p>
        </w:tc>
        <w:tc>
          <w:tcPr>
            <w:tcW w:w="0" w:type="auto"/>
            <w:shd w:val="clear" w:color="auto" w:fill="auto"/>
            <w:noWrap/>
            <w:vAlign w:val="bottom"/>
            <w:hideMark/>
          </w:tcPr>
          <w:p w14:paraId="0C7B7244"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7.82%</w:t>
            </w:r>
          </w:p>
        </w:tc>
        <w:tc>
          <w:tcPr>
            <w:tcW w:w="0" w:type="auto"/>
            <w:shd w:val="clear" w:color="auto" w:fill="auto"/>
            <w:noWrap/>
            <w:vAlign w:val="bottom"/>
            <w:hideMark/>
          </w:tcPr>
          <w:p w14:paraId="76DB4B54"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62.64%</w:t>
            </w:r>
          </w:p>
        </w:tc>
        <w:tc>
          <w:tcPr>
            <w:tcW w:w="0" w:type="auto"/>
            <w:shd w:val="clear" w:color="auto" w:fill="auto"/>
            <w:noWrap/>
            <w:vAlign w:val="bottom"/>
            <w:hideMark/>
          </w:tcPr>
          <w:p w14:paraId="55E5D14C"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6C9B2D25"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53.88%</w:t>
            </w:r>
          </w:p>
        </w:tc>
      </w:tr>
      <w:tr w:rsidR="007E48B3" w:rsidRPr="00436045" w14:paraId="6844FCE2" w14:textId="77777777" w:rsidTr="00416373">
        <w:trPr>
          <w:trHeight w:val="285"/>
        </w:trPr>
        <w:tc>
          <w:tcPr>
            <w:tcW w:w="0" w:type="auto"/>
            <w:vAlign w:val="bottom"/>
          </w:tcPr>
          <w:p w14:paraId="16B3AC62"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1998</w:t>
            </w:r>
          </w:p>
        </w:tc>
        <w:tc>
          <w:tcPr>
            <w:tcW w:w="0" w:type="auto"/>
            <w:shd w:val="clear" w:color="auto" w:fill="auto"/>
            <w:noWrap/>
            <w:vAlign w:val="bottom"/>
            <w:hideMark/>
          </w:tcPr>
          <w:p w14:paraId="05E8EEE4"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8.58%</w:t>
            </w:r>
          </w:p>
        </w:tc>
        <w:tc>
          <w:tcPr>
            <w:tcW w:w="0" w:type="auto"/>
            <w:shd w:val="clear" w:color="auto" w:fill="auto"/>
            <w:noWrap/>
            <w:vAlign w:val="bottom"/>
            <w:hideMark/>
          </w:tcPr>
          <w:p w14:paraId="542158A6"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61.10%</w:t>
            </w:r>
          </w:p>
        </w:tc>
        <w:tc>
          <w:tcPr>
            <w:tcW w:w="0" w:type="auto"/>
            <w:shd w:val="clear" w:color="auto" w:fill="auto"/>
            <w:noWrap/>
            <w:vAlign w:val="bottom"/>
            <w:hideMark/>
          </w:tcPr>
          <w:p w14:paraId="1E52BE82" w14:textId="77777777" w:rsidR="007E48B3" w:rsidRPr="00090F2A" w:rsidRDefault="007E48B3" w:rsidP="00416373">
            <w:pPr>
              <w:bidi w:val="0"/>
              <w:jc w:val="right"/>
              <w:rPr>
                <w:rFonts w:ascii="Arial" w:hAnsi="Arial"/>
                <w:color w:val="000000"/>
                <w:sz w:val="18"/>
                <w:szCs w:val="18"/>
              </w:rPr>
            </w:pPr>
          </w:p>
        </w:tc>
        <w:tc>
          <w:tcPr>
            <w:tcW w:w="0" w:type="auto"/>
            <w:shd w:val="clear" w:color="auto" w:fill="auto"/>
            <w:noWrap/>
            <w:vAlign w:val="bottom"/>
            <w:hideMark/>
          </w:tcPr>
          <w:p w14:paraId="676351C6"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53.40%</w:t>
            </w:r>
          </w:p>
        </w:tc>
      </w:tr>
      <w:tr w:rsidR="007E48B3" w:rsidRPr="00436045" w14:paraId="64192255" w14:textId="77777777" w:rsidTr="00416373">
        <w:trPr>
          <w:trHeight w:val="285"/>
        </w:trPr>
        <w:tc>
          <w:tcPr>
            <w:tcW w:w="0" w:type="auto"/>
            <w:vAlign w:val="bottom"/>
          </w:tcPr>
          <w:p w14:paraId="39A64FC8"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1999</w:t>
            </w:r>
          </w:p>
        </w:tc>
        <w:tc>
          <w:tcPr>
            <w:tcW w:w="0" w:type="auto"/>
            <w:shd w:val="clear" w:color="auto" w:fill="auto"/>
            <w:noWrap/>
            <w:vAlign w:val="bottom"/>
            <w:hideMark/>
          </w:tcPr>
          <w:p w14:paraId="3C4F71CA"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9.01%</w:t>
            </w:r>
          </w:p>
        </w:tc>
        <w:tc>
          <w:tcPr>
            <w:tcW w:w="0" w:type="auto"/>
            <w:shd w:val="clear" w:color="auto" w:fill="auto"/>
            <w:noWrap/>
            <w:vAlign w:val="bottom"/>
            <w:hideMark/>
          </w:tcPr>
          <w:p w14:paraId="4ECD2CD2"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60.76%</w:t>
            </w:r>
          </w:p>
        </w:tc>
        <w:tc>
          <w:tcPr>
            <w:tcW w:w="0" w:type="auto"/>
            <w:shd w:val="clear" w:color="auto" w:fill="auto"/>
            <w:noWrap/>
            <w:vAlign w:val="bottom"/>
            <w:hideMark/>
          </w:tcPr>
          <w:p w14:paraId="303D575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0.92%</w:t>
            </w:r>
          </w:p>
        </w:tc>
        <w:tc>
          <w:tcPr>
            <w:tcW w:w="0" w:type="auto"/>
            <w:shd w:val="clear" w:color="auto" w:fill="auto"/>
            <w:noWrap/>
            <w:vAlign w:val="bottom"/>
            <w:hideMark/>
          </w:tcPr>
          <w:p w14:paraId="3C4CA9C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57.28%</w:t>
            </w:r>
          </w:p>
        </w:tc>
      </w:tr>
      <w:tr w:rsidR="007E48B3" w:rsidRPr="00436045" w14:paraId="5BA0284F" w14:textId="77777777" w:rsidTr="00416373">
        <w:trPr>
          <w:trHeight w:val="285"/>
        </w:trPr>
        <w:tc>
          <w:tcPr>
            <w:tcW w:w="0" w:type="auto"/>
            <w:vAlign w:val="bottom"/>
          </w:tcPr>
          <w:p w14:paraId="33471330"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2000</w:t>
            </w:r>
          </w:p>
        </w:tc>
        <w:tc>
          <w:tcPr>
            <w:tcW w:w="0" w:type="auto"/>
            <w:shd w:val="clear" w:color="auto" w:fill="auto"/>
            <w:noWrap/>
            <w:vAlign w:val="bottom"/>
            <w:hideMark/>
          </w:tcPr>
          <w:p w14:paraId="48B7D907"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7.67%</w:t>
            </w:r>
          </w:p>
        </w:tc>
        <w:tc>
          <w:tcPr>
            <w:tcW w:w="0" w:type="auto"/>
            <w:shd w:val="clear" w:color="auto" w:fill="auto"/>
            <w:noWrap/>
            <w:vAlign w:val="bottom"/>
            <w:hideMark/>
          </w:tcPr>
          <w:p w14:paraId="500DAB0C"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65.83%</w:t>
            </w:r>
          </w:p>
        </w:tc>
        <w:tc>
          <w:tcPr>
            <w:tcW w:w="0" w:type="auto"/>
            <w:shd w:val="clear" w:color="auto" w:fill="auto"/>
            <w:noWrap/>
            <w:vAlign w:val="bottom"/>
            <w:hideMark/>
          </w:tcPr>
          <w:p w14:paraId="3767CC7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0.68%</w:t>
            </w:r>
          </w:p>
        </w:tc>
        <w:tc>
          <w:tcPr>
            <w:tcW w:w="0" w:type="auto"/>
            <w:shd w:val="clear" w:color="auto" w:fill="auto"/>
            <w:noWrap/>
            <w:vAlign w:val="bottom"/>
            <w:hideMark/>
          </w:tcPr>
          <w:p w14:paraId="241BDAA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57.56%</w:t>
            </w:r>
          </w:p>
        </w:tc>
      </w:tr>
      <w:tr w:rsidR="007E48B3" w:rsidRPr="00436045" w14:paraId="4B9EE3E3" w14:textId="77777777" w:rsidTr="00416373">
        <w:trPr>
          <w:trHeight w:val="285"/>
        </w:trPr>
        <w:tc>
          <w:tcPr>
            <w:tcW w:w="0" w:type="auto"/>
            <w:vAlign w:val="bottom"/>
          </w:tcPr>
          <w:p w14:paraId="2A375144"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2001</w:t>
            </w:r>
          </w:p>
        </w:tc>
        <w:tc>
          <w:tcPr>
            <w:tcW w:w="0" w:type="auto"/>
            <w:shd w:val="clear" w:color="auto" w:fill="auto"/>
            <w:noWrap/>
            <w:vAlign w:val="bottom"/>
            <w:hideMark/>
          </w:tcPr>
          <w:p w14:paraId="27356D2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6.93%</w:t>
            </w:r>
          </w:p>
        </w:tc>
        <w:tc>
          <w:tcPr>
            <w:tcW w:w="0" w:type="auto"/>
            <w:shd w:val="clear" w:color="auto" w:fill="auto"/>
            <w:noWrap/>
            <w:vAlign w:val="bottom"/>
            <w:hideMark/>
          </w:tcPr>
          <w:p w14:paraId="47A85325"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68.29%</w:t>
            </w:r>
          </w:p>
        </w:tc>
        <w:tc>
          <w:tcPr>
            <w:tcW w:w="0" w:type="auto"/>
            <w:shd w:val="clear" w:color="auto" w:fill="auto"/>
            <w:noWrap/>
            <w:vAlign w:val="bottom"/>
            <w:hideMark/>
          </w:tcPr>
          <w:p w14:paraId="1F8A8936"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0.89%</w:t>
            </w:r>
          </w:p>
        </w:tc>
        <w:tc>
          <w:tcPr>
            <w:tcW w:w="0" w:type="auto"/>
            <w:shd w:val="clear" w:color="auto" w:fill="auto"/>
            <w:noWrap/>
            <w:vAlign w:val="bottom"/>
            <w:hideMark/>
          </w:tcPr>
          <w:p w14:paraId="20BE9D22"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60.09%</w:t>
            </w:r>
          </w:p>
        </w:tc>
      </w:tr>
      <w:tr w:rsidR="007E48B3" w:rsidRPr="00436045" w14:paraId="2EF759E3" w14:textId="77777777" w:rsidTr="00416373">
        <w:trPr>
          <w:trHeight w:val="285"/>
        </w:trPr>
        <w:tc>
          <w:tcPr>
            <w:tcW w:w="0" w:type="auto"/>
            <w:vAlign w:val="bottom"/>
          </w:tcPr>
          <w:p w14:paraId="299960B2"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2002</w:t>
            </w:r>
          </w:p>
        </w:tc>
        <w:tc>
          <w:tcPr>
            <w:tcW w:w="0" w:type="auto"/>
            <w:shd w:val="clear" w:color="auto" w:fill="auto"/>
            <w:noWrap/>
            <w:vAlign w:val="bottom"/>
            <w:hideMark/>
          </w:tcPr>
          <w:p w14:paraId="7C1F4F59"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6.04%</w:t>
            </w:r>
          </w:p>
        </w:tc>
        <w:tc>
          <w:tcPr>
            <w:tcW w:w="0" w:type="auto"/>
            <w:shd w:val="clear" w:color="auto" w:fill="auto"/>
            <w:noWrap/>
            <w:vAlign w:val="bottom"/>
            <w:hideMark/>
          </w:tcPr>
          <w:p w14:paraId="5833FC7F"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76.07%</w:t>
            </w:r>
          </w:p>
        </w:tc>
        <w:tc>
          <w:tcPr>
            <w:tcW w:w="0" w:type="auto"/>
            <w:shd w:val="clear" w:color="auto" w:fill="auto"/>
            <w:noWrap/>
            <w:vAlign w:val="bottom"/>
            <w:hideMark/>
          </w:tcPr>
          <w:p w14:paraId="5D6A7504"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0.99%</w:t>
            </w:r>
          </w:p>
        </w:tc>
        <w:tc>
          <w:tcPr>
            <w:tcW w:w="0" w:type="auto"/>
            <w:shd w:val="clear" w:color="auto" w:fill="auto"/>
            <w:noWrap/>
            <w:vAlign w:val="bottom"/>
            <w:hideMark/>
          </w:tcPr>
          <w:p w14:paraId="58181556"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55.95%</w:t>
            </w:r>
          </w:p>
        </w:tc>
      </w:tr>
      <w:tr w:rsidR="007E48B3" w:rsidRPr="00436045" w14:paraId="6ECB3FA5" w14:textId="77777777" w:rsidTr="00416373">
        <w:trPr>
          <w:trHeight w:val="285"/>
        </w:trPr>
        <w:tc>
          <w:tcPr>
            <w:tcW w:w="0" w:type="auto"/>
            <w:vAlign w:val="bottom"/>
          </w:tcPr>
          <w:p w14:paraId="6240248B"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2003</w:t>
            </w:r>
          </w:p>
        </w:tc>
        <w:tc>
          <w:tcPr>
            <w:tcW w:w="0" w:type="auto"/>
            <w:shd w:val="clear" w:color="auto" w:fill="auto"/>
            <w:noWrap/>
            <w:vAlign w:val="bottom"/>
            <w:hideMark/>
          </w:tcPr>
          <w:p w14:paraId="51C6C27C"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6.77%</w:t>
            </w:r>
          </w:p>
        </w:tc>
        <w:tc>
          <w:tcPr>
            <w:tcW w:w="0" w:type="auto"/>
            <w:shd w:val="clear" w:color="auto" w:fill="auto"/>
            <w:noWrap/>
            <w:vAlign w:val="bottom"/>
            <w:hideMark/>
          </w:tcPr>
          <w:p w14:paraId="511FEEA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67.05%</w:t>
            </w:r>
          </w:p>
        </w:tc>
        <w:tc>
          <w:tcPr>
            <w:tcW w:w="0" w:type="auto"/>
            <w:shd w:val="clear" w:color="auto" w:fill="auto"/>
            <w:noWrap/>
            <w:vAlign w:val="bottom"/>
            <w:hideMark/>
          </w:tcPr>
          <w:p w14:paraId="5113742E"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0.66%</w:t>
            </w:r>
          </w:p>
        </w:tc>
        <w:tc>
          <w:tcPr>
            <w:tcW w:w="0" w:type="auto"/>
            <w:shd w:val="clear" w:color="auto" w:fill="auto"/>
            <w:noWrap/>
            <w:vAlign w:val="bottom"/>
            <w:hideMark/>
          </w:tcPr>
          <w:p w14:paraId="725CD7AF"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52.52%</w:t>
            </w:r>
          </w:p>
        </w:tc>
      </w:tr>
      <w:tr w:rsidR="007E48B3" w:rsidRPr="00436045" w14:paraId="0C1E6E67" w14:textId="77777777" w:rsidTr="00416373">
        <w:trPr>
          <w:trHeight w:val="285"/>
        </w:trPr>
        <w:tc>
          <w:tcPr>
            <w:tcW w:w="0" w:type="auto"/>
            <w:vAlign w:val="bottom"/>
          </w:tcPr>
          <w:p w14:paraId="06558C83"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2004</w:t>
            </w:r>
          </w:p>
        </w:tc>
        <w:tc>
          <w:tcPr>
            <w:tcW w:w="0" w:type="auto"/>
            <w:shd w:val="clear" w:color="auto" w:fill="auto"/>
            <w:noWrap/>
            <w:vAlign w:val="bottom"/>
            <w:hideMark/>
          </w:tcPr>
          <w:p w14:paraId="1AFC42E7"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7.86%</w:t>
            </w:r>
          </w:p>
        </w:tc>
        <w:tc>
          <w:tcPr>
            <w:tcW w:w="0" w:type="auto"/>
            <w:shd w:val="clear" w:color="auto" w:fill="auto"/>
            <w:noWrap/>
            <w:vAlign w:val="bottom"/>
            <w:hideMark/>
          </w:tcPr>
          <w:p w14:paraId="5A9F4C1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62.71%</w:t>
            </w:r>
          </w:p>
        </w:tc>
        <w:tc>
          <w:tcPr>
            <w:tcW w:w="0" w:type="auto"/>
            <w:shd w:val="clear" w:color="auto" w:fill="auto"/>
            <w:noWrap/>
            <w:vAlign w:val="bottom"/>
            <w:hideMark/>
          </w:tcPr>
          <w:p w14:paraId="2C361233"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0.85%</w:t>
            </w:r>
          </w:p>
        </w:tc>
        <w:tc>
          <w:tcPr>
            <w:tcW w:w="0" w:type="auto"/>
            <w:shd w:val="clear" w:color="auto" w:fill="auto"/>
            <w:noWrap/>
            <w:vAlign w:val="bottom"/>
            <w:hideMark/>
          </w:tcPr>
          <w:p w14:paraId="3165093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53.31%</w:t>
            </w:r>
          </w:p>
        </w:tc>
      </w:tr>
      <w:tr w:rsidR="007E48B3" w:rsidRPr="00436045" w14:paraId="0B7E2D38" w14:textId="77777777" w:rsidTr="00416373">
        <w:trPr>
          <w:trHeight w:val="285"/>
        </w:trPr>
        <w:tc>
          <w:tcPr>
            <w:tcW w:w="0" w:type="auto"/>
            <w:vAlign w:val="bottom"/>
          </w:tcPr>
          <w:p w14:paraId="067E117B"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2005</w:t>
            </w:r>
          </w:p>
        </w:tc>
        <w:tc>
          <w:tcPr>
            <w:tcW w:w="0" w:type="auto"/>
            <w:shd w:val="clear" w:color="auto" w:fill="auto"/>
            <w:noWrap/>
            <w:vAlign w:val="bottom"/>
            <w:hideMark/>
          </w:tcPr>
          <w:p w14:paraId="2D7147AB"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8.35%</w:t>
            </w:r>
          </w:p>
        </w:tc>
        <w:tc>
          <w:tcPr>
            <w:tcW w:w="0" w:type="auto"/>
            <w:shd w:val="clear" w:color="auto" w:fill="auto"/>
            <w:noWrap/>
            <w:vAlign w:val="bottom"/>
            <w:hideMark/>
          </w:tcPr>
          <w:p w14:paraId="6DD7367F"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57.99%</w:t>
            </w:r>
          </w:p>
        </w:tc>
        <w:tc>
          <w:tcPr>
            <w:tcW w:w="0" w:type="auto"/>
            <w:shd w:val="clear" w:color="auto" w:fill="auto"/>
            <w:noWrap/>
            <w:vAlign w:val="bottom"/>
            <w:hideMark/>
          </w:tcPr>
          <w:p w14:paraId="74529BFF"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2.58%</w:t>
            </w:r>
          </w:p>
        </w:tc>
        <w:tc>
          <w:tcPr>
            <w:tcW w:w="0" w:type="auto"/>
            <w:shd w:val="clear" w:color="auto" w:fill="auto"/>
            <w:noWrap/>
            <w:vAlign w:val="bottom"/>
            <w:hideMark/>
          </w:tcPr>
          <w:p w14:paraId="20377B34"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54.78%</w:t>
            </w:r>
          </w:p>
        </w:tc>
      </w:tr>
      <w:tr w:rsidR="007E48B3" w:rsidRPr="00436045" w14:paraId="121F528E" w14:textId="77777777" w:rsidTr="00416373">
        <w:trPr>
          <w:trHeight w:val="285"/>
        </w:trPr>
        <w:tc>
          <w:tcPr>
            <w:tcW w:w="0" w:type="auto"/>
            <w:vAlign w:val="bottom"/>
          </w:tcPr>
          <w:p w14:paraId="02998115"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2006</w:t>
            </w:r>
          </w:p>
        </w:tc>
        <w:tc>
          <w:tcPr>
            <w:tcW w:w="0" w:type="auto"/>
            <w:shd w:val="clear" w:color="auto" w:fill="auto"/>
            <w:noWrap/>
            <w:vAlign w:val="bottom"/>
            <w:hideMark/>
          </w:tcPr>
          <w:p w14:paraId="55F9BDE5"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7.77%</w:t>
            </w:r>
          </w:p>
        </w:tc>
        <w:tc>
          <w:tcPr>
            <w:tcW w:w="0" w:type="auto"/>
            <w:shd w:val="clear" w:color="auto" w:fill="auto"/>
            <w:noWrap/>
            <w:vAlign w:val="bottom"/>
            <w:hideMark/>
          </w:tcPr>
          <w:p w14:paraId="68F6EE0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57.79%</w:t>
            </w:r>
          </w:p>
        </w:tc>
        <w:tc>
          <w:tcPr>
            <w:tcW w:w="0" w:type="auto"/>
            <w:shd w:val="clear" w:color="auto" w:fill="auto"/>
            <w:noWrap/>
            <w:vAlign w:val="bottom"/>
            <w:hideMark/>
          </w:tcPr>
          <w:p w14:paraId="641692B4"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1.20%</w:t>
            </w:r>
          </w:p>
        </w:tc>
        <w:tc>
          <w:tcPr>
            <w:tcW w:w="0" w:type="auto"/>
            <w:shd w:val="clear" w:color="auto" w:fill="auto"/>
            <w:noWrap/>
            <w:vAlign w:val="bottom"/>
            <w:hideMark/>
          </w:tcPr>
          <w:p w14:paraId="5106EF83"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56.78%</w:t>
            </w:r>
          </w:p>
        </w:tc>
      </w:tr>
      <w:tr w:rsidR="007E48B3" w:rsidRPr="00436045" w14:paraId="3936597C" w14:textId="77777777" w:rsidTr="00416373">
        <w:trPr>
          <w:trHeight w:val="285"/>
        </w:trPr>
        <w:tc>
          <w:tcPr>
            <w:tcW w:w="0" w:type="auto"/>
            <w:vAlign w:val="bottom"/>
          </w:tcPr>
          <w:p w14:paraId="56AEBC85"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2007</w:t>
            </w:r>
          </w:p>
        </w:tc>
        <w:tc>
          <w:tcPr>
            <w:tcW w:w="0" w:type="auto"/>
            <w:shd w:val="clear" w:color="auto" w:fill="auto"/>
            <w:noWrap/>
            <w:vAlign w:val="bottom"/>
            <w:hideMark/>
          </w:tcPr>
          <w:p w14:paraId="0883173B"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7.56%</w:t>
            </w:r>
          </w:p>
        </w:tc>
        <w:tc>
          <w:tcPr>
            <w:tcW w:w="0" w:type="auto"/>
            <w:shd w:val="clear" w:color="auto" w:fill="auto"/>
            <w:noWrap/>
            <w:vAlign w:val="bottom"/>
            <w:hideMark/>
          </w:tcPr>
          <w:p w14:paraId="281EEEE7"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55.28%</w:t>
            </w:r>
          </w:p>
        </w:tc>
        <w:tc>
          <w:tcPr>
            <w:tcW w:w="0" w:type="auto"/>
            <w:shd w:val="clear" w:color="auto" w:fill="auto"/>
            <w:noWrap/>
            <w:vAlign w:val="bottom"/>
            <w:hideMark/>
          </w:tcPr>
          <w:p w14:paraId="45BFDDCC"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0.75%</w:t>
            </w:r>
          </w:p>
        </w:tc>
        <w:tc>
          <w:tcPr>
            <w:tcW w:w="0" w:type="auto"/>
            <w:shd w:val="clear" w:color="auto" w:fill="auto"/>
            <w:noWrap/>
            <w:vAlign w:val="bottom"/>
            <w:hideMark/>
          </w:tcPr>
          <w:p w14:paraId="6CACB8B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56.31%</w:t>
            </w:r>
          </w:p>
        </w:tc>
      </w:tr>
      <w:tr w:rsidR="007E48B3" w:rsidRPr="00436045" w14:paraId="241A7467" w14:textId="77777777" w:rsidTr="00416373">
        <w:trPr>
          <w:trHeight w:val="285"/>
        </w:trPr>
        <w:tc>
          <w:tcPr>
            <w:tcW w:w="0" w:type="auto"/>
            <w:vAlign w:val="bottom"/>
          </w:tcPr>
          <w:p w14:paraId="7513B532"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2008</w:t>
            </w:r>
          </w:p>
        </w:tc>
        <w:tc>
          <w:tcPr>
            <w:tcW w:w="0" w:type="auto"/>
            <w:shd w:val="clear" w:color="auto" w:fill="auto"/>
            <w:noWrap/>
            <w:vAlign w:val="bottom"/>
            <w:hideMark/>
          </w:tcPr>
          <w:p w14:paraId="101B467D"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7.81%</w:t>
            </w:r>
          </w:p>
        </w:tc>
        <w:tc>
          <w:tcPr>
            <w:tcW w:w="0" w:type="auto"/>
            <w:shd w:val="clear" w:color="auto" w:fill="auto"/>
            <w:noWrap/>
            <w:vAlign w:val="bottom"/>
            <w:hideMark/>
          </w:tcPr>
          <w:p w14:paraId="016BDEB0"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53.38%</w:t>
            </w:r>
          </w:p>
        </w:tc>
        <w:tc>
          <w:tcPr>
            <w:tcW w:w="0" w:type="auto"/>
            <w:shd w:val="clear" w:color="auto" w:fill="auto"/>
            <w:noWrap/>
            <w:vAlign w:val="bottom"/>
            <w:hideMark/>
          </w:tcPr>
          <w:p w14:paraId="224ABF09"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1.69%</w:t>
            </w:r>
          </w:p>
        </w:tc>
        <w:tc>
          <w:tcPr>
            <w:tcW w:w="0" w:type="auto"/>
            <w:shd w:val="clear" w:color="auto" w:fill="auto"/>
            <w:noWrap/>
            <w:vAlign w:val="bottom"/>
            <w:hideMark/>
          </w:tcPr>
          <w:p w14:paraId="288F7F7C"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55.24%</w:t>
            </w:r>
          </w:p>
        </w:tc>
      </w:tr>
      <w:tr w:rsidR="007E48B3" w:rsidRPr="00436045" w14:paraId="477BEAB3" w14:textId="77777777" w:rsidTr="00416373">
        <w:trPr>
          <w:trHeight w:val="285"/>
        </w:trPr>
        <w:tc>
          <w:tcPr>
            <w:tcW w:w="0" w:type="auto"/>
            <w:vAlign w:val="bottom"/>
          </w:tcPr>
          <w:p w14:paraId="25F06607"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2009</w:t>
            </w:r>
          </w:p>
        </w:tc>
        <w:tc>
          <w:tcPr>
            <w:tcW w:w="0" w:type="auto"/>
            <w:shd w:val="clear" w:color="auto" w:fill="auto"/>
            <w:noWrap/>
            <w:vAlign w:val="bottom"/>
            <w:hideMark/>
          </w:tcPr>
          <w:p w14:paraId="1286EB22"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8.38%</w:t>
            </w:r>
          </w:p>
        </w:tc>
        <w:tc>
          <w:tcPr>
            <w:tcW w:w="0" w:type="auto"/>
            <w:shd w:val="clear" w:color="auto" w:fill="auto"/>
            <w:noWrap/>
            <w:vAlign w:val="bottom"/>
            <w:hideMark/>
          </w:tcPr>
          <w:p w14:paraId="5CF7253E"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57.68%</w:t>
            </w:r>
          </w:p>
        </w:tc>
        <w:tc>
          <w:tcPr>
            <w:tcW w:w="0" w:type="auto"/>
            <w:shd w:val="clear" w:color="auto" w:fill="auto"/>
            <w:noWrap/>
            <w:vAlign w:val="bottom"/>
            <w:hideMark/>
          </w:tcPr>
          <w:p w14:paraId="105CB253"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1.26%</w:t>
            </w:r>
          </w:p>
        </w:tc>
        <w:tc>
          <w:tcPr>
            <w:tcW w:w="0" w:type="auto"/>
            <w:shd w:val="clear" w:color="auto" w:fill="auto"/>
            <w:noWrap/>
            <w:vAlign w:val="bottom"/>
            <w:hideMark/>
          </w:tcPr>
          <w:p w14:paraId="4F31E06F"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53.81%</w:t>
            </w:r>
          </w:p>
        </w:tc>
      </w:tr>
      <w:tr w:rsidR="007E48B3" w:rsidRPr="00436045" w14:paraId="6CAB5641" w14:textId="77777777" w:rsidTr="00416373">
        <w:trPr>
          <w:trHeight w:val="300"/>
        </w:trPr>
        <w:tc>
          <w:tcPr>
            <w:tcW w:w="0" w:type="auto"/>
            <w:vAlign w:val="bottom"/>
          </w:tcPr>
          <w:p w14:paraId="77E7AFD6"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2010</w:t>
            </w:r>
          </w:p>
        </w:tc>
        <w:tc>
          <w:tcPr>
            <w:tcW w:w="0" w:type="auto"/>
            <w:shd w:val="clear" w:color="auto" w:fill="auto"/>
            <w:noWrap/>
            <w:vAlign w:val="bottom"/>
            <w:hideMark/>
          </w:tcPr>
          <w:p w14:paraId="0E51AAA4"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8.33%</w:t>
            </w:r>
          </w:p>
        </w:tc>
        <w:tc>
          <w:tcPr>
            <w:tcW w:w="0" w:type="auto"/>
            <w:shd w:val="clear" w:color="auto" w:fill="auto"/>
            <w:noWrap/>
            <w:vAlign w:val="bottom"/>
            <w:hideMark/>
          </w:tcPr>
          <w:p w14:paraId="6E0C1FD4"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61.12%</w:t>
            </w:r>
          </w:p>
        </w:tc>
        <w:tc>
          <w:tcPr>
            <w:tcW w:w="0" w:type="auto"/>
            <w:shd w:val="clear" w:color="auto" w:fill="auto"/>
            <w:noWrap/>
            <w:vAlign w:val="bottom"/>
            <w:hideMark/>
          </w:tcPr>
          <w:p w14:paraId="622E087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1.08%</w:t>
            </w:r>
          </w:p>
        </w:tc>
        <w:tc>
          <w:tcPr>
            <w:tcW w:w="0" w:type="auto"/>
            <w:shd w:val="clear" w:color="auto" w:fill="auto"/>
            <w:noWrap/>
            <w:vAlign w:val="bottom"/>
            <w:hideMark/>
          </w:tcPr>
          <w:p w14:paraId="1B06BDC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49.30%</w:t>
            </w:r>
          </w:p>
        </w:tc>
      </w:tr>
      <w:tr w:rsidR="007E48B3" w:rsidRPr="00436045" w14:paraId="0D3C1268" w14:textId="77777777" w:rsidTr="00416373">
        <w:trPr>
          <w:trHeight w:val="285"/>
        </w:trPr>
        <w:tc>
          <w:tcPr>
            <w:tcW w:w="0" w:type="auto"/>
            <w:vAlign w:val="bottom"/>
          </w:tcPr>
          <w:p w14:paraId="0418E916"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2011</w:t>
            </w:r>
          </w:p>
        </w:tc>
        <w:tc>
          <w:tcPr>
            <w:tcW w:w="0" w:type="auto"/>
            <w:shd w:val="clear" w:color="auto" w:fill="auto"/>
            <w:noWrap/>
            <w:vAlign w:val="bottom"/>
            <w:hideMark/>
          </w:tcPr>
          <w:p w14:paraId="4AB2B30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8.66%</w:t>
            </w:r>
          </w:p>
        </w:tc>
        <w:tc>
          <w:tcPr>
            <w:tcW w:w="0" w:type="auto"/>
            <w:shd w:val="clear" w:color="auto" w:fill="auto"/>
            <w:noWrap/>
            <w:vAlign w:val="bottom"/>
            <w:hideMark/>
          </w:tcPr>
          <w:p w14:paraId="448A082D"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60.96%</w:t>
            </w:r>
          </w:p>
        </w:tc>
        <w:tc>
          <w:tcPr>
            <w:tcW w:w="0" w:type="auto"/>
            <w:shd w:val="clear" w:color="auto" w:fill="auto"/>
            <w:noWrap/>
            <w:vAlign w:val="bottom"/>
            <w:hideMark/>
          </w:tcPr>
          <w:p w14:paraId="7E6885E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1.77%</w:t>
            </w:r>
          </w:p>
        </w:tc>
        <w:tc>
          <w:tcPr>
            <w:tcW w:w="0" w:type="auto"/>
            <w:shd w:val="clear" w:color="auto" w:fill="auto"/>
            <w:noWrap/>
            <w:vAlign w:val="bottom"/>
            <w:hideMark/>
          </w:tcPr>
          <w:p w14:paraId="0AE4F949"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47.97%</w:t>
            </w:r>
          </w:p>
        </w:tc>
      </w:tr>
      <w:tr w:rsidR="007E48B3" w:rsidRPr="00436045" w14:paraId="2C5C7B6E" w14:textId="77777777" w:rsidTr="00416373">
        <w:trPr>
          <w:trHeight w:val="285"/>
        </w:trPr>
        <w:tc>
          <w:tcPr>
            <w:tcW w:w="0" w:type="auto"/>
            <w:vAlign w:val="bottom"/>
          </w:tcPr>
          <w:p w14:paraId="549ACBB0"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2012</w:t>
            </w:r>
          </w:p>
        </w:tc>
        <w:tc>
          <w:tcPr>
            <w:tcW w:w="0" w:type="auto"/>
            <w:shd w:val="clear" w:color="auto" w:fill="auto"/>
            <w:noWrap/>
            <w:vAlign w:val="bottom"/>
            <w:hideMark/>
          </w:tcPr>
          <w:p w14:paraId="518509B6"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8.92%</w:t>
            </w:r>
          </w:p>
        </w:tc>
        <w:tc>
          <w:tcPr>
            <w:tcW w:w="0" w:type="auto"/>
            <w:shd w:val="clear" w:color="auto" w:fill="auto"/>
            <w:noWrap/>
            <w:vAlign w:val="bottom"/>
            <w:hideMark/>
          </w:tcPr>
          <w:p w14:paraId="77D25EBC"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59.66%</w:t>
            </w:r>
          </w:p>
        </w:tc>
        <w:tc>
          <w:tcPr>
            <w:tcW w:w="0" w:type="auto"/>
            <w:shd w:val="clear" w:color="auto" w:fill="auto"/>
            <w:noWrap/>
            <w:vAlign w:val="bottom"/>
            <w:hideMark/>
          </w:tcPr>
          <w:p w14:paraId="5C894769"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1.77%</w:t>
            </w:r>
          </w:p>
        </w:tc>
        <w:tc>
          <w:tcPr>
            <w:tcW w:w="0" w:type="auto"/>
            <w:shd w:val="clear" w:color="auto" w:fill="auto"/>
            <w:noWrap/>
            <w:vAlign w:val="bottom"/>
            <w:hideMark/>
          </w:tcPr>
          <w:p w14:paraId="19855D64"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48.63%</w:t>
            </w:r>
          </w:p>
        </w:tc>
      </w:tr>
      <w:tr w:rsidR="007E48B3" w:rsidRPr="00436045" w14:paraId="61DE79C4" w14:textId="77777777" w:rsidTr="00416373">
        <w:trPr>
          <w:trHeight w:val="285"/>
        </w:trPr>
        <w:tc>
          <w:tcPr>
            <w:tcW w:w="0" w:type="auto"/>
            <w:vAlign w:val="bottom"/>
          </w:tcPr>
          <w:p w14:paraId="72F7E3FB"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2013</w:t>
            </w:r>
          </w:p>
        </w:tc>
        <w:tc>
          <w:tcPr>
            <w:tcW w:w="0" w:type="auto"/>
            <w:shd w:val="clear" w:color="auto" w:fill="auto"/>
            <w:noWrap/>
            <w:vAlign w:val="bottom"/>
            <w:hideMark/>
          </w:tcPr>
          <w:p w14:paraId="2AF1F6CA"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8.92%</w:t>
            </w:r>
          </w:p>
        </w:tc>
        <w:tc>
          <w:tcPr>
            <w:tcW w:w="0" w:type="auto"/>
            <w:shd w:val="clear" w:color="auto" w:fill="auto"/>
            <w:noWrap/>
            <w:vAlign w:val="bottom"/>
            <w:hideMark/>
          </w:tcPr>
          <w:p w14:paraId="1F957EB9"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60.86%</w:t>
            </w:r>
          </w:p>
        </w:tc>
        <w:tc>
          <w:tcPr>
            <w:tcW w:w="0" w:type="auto"/>
            <w:shd w:val="clear" w:color="auto" w:fill="auto"/>
            <w:noWrap/>
            <w:vAlign w:val="bottom"/>
            <w:hideMark/>
          </w:tcPr>
          <w:p w14:paraId="452B42CB"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1.60%</w:t>
            </w:r>
          </w:p>
        </w:tc>
        <w:tc>
          <w:tcPr>
            <w:tcW w:w="0" w:type="auto"/>
            <w:shd w:val="clear" w:color="auto" w:fill="auto"/>
            <w:noWrap/>
            <w:vAlign w:val="bottom"/>
            <w:hideMark/>
          </w:tcPr>
          <w:p w14:paraId="27AE397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45.92%</w:t>
            </w:r>
          </w:p>
        </w:tc>
      </w:tr>
      <w:tr w:rsidR="007E48B3" w:rsidRPr="00436045" w14:paraId="26D54B05" w14:textId="77777777" w:rsidTr="00416373">
        <w:trPr>
          <w:trHeight w:val="285"/>
        </w:trPr>
        <w:tc>
          <w:tcPr>
            <w:tcW w:w="0" w:type="auto"/>
            <w:vAlign w:val="bottom"/>
          </w:tcPr>
          <w:p w14:paraId="2EF24C9D"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2014</w:t>
            </w:r>
          </w:p>
        </w:tc>
        <w:tc>
          <w:tcPr>
            <w:tcW w:w="0" w:type="auto"/>
            <w:shd w:val="clear" w:color="auto" w:fill="auto"/>
            <w:noWrap/>
            <w:vAlign w:val="bottom"/>
            <w:hideMark/>
          </w:tcPr>
          <w:p w14:paraId="2071F8E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8.55%</w:t>
            </w:r>
          </w:p>
        </w:tc>
        <w:tc>
          <w:tcPr>
            <w:tcW w:w="0" w:type="auto"/>
            <w:shd w:val="clear" w:color="auto" w:fill="auto"/>
            <w:noWrap/>
            <w:vAlign w:val="bottom"/>
            <w:hideMark/>
          </w:tcPr>
          <w:p w14:paraId="4F6695E7"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55.24%</w:t>
            </w:r>
          </w:p>
        </w:tc>
        <w:tc>
          <w:tcPr>
            <w:tcW w:w="0" w:type="auto"/>
            <w:shd w:val="clear" w:color="auto" w:fill="auto"/>
            <w:noWrap/>
            <w:vAlign w:val="bottom"/>
            <w:hideMark/>
          </w:tcPr>
          <w:p w14:paraId="2D918C8C"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1.59%</w:t>
            </w:r>
          </w:p>
        </w:tc>
        <w:tc>
          <w:tcPr>
            <w:tcW w:w="0" w:type="auto"/>
            <w:shd w:val="clear" w:color="auto" w:fill="auto"/>
            <w:noWrap/>
            <w:vAlign w:val="bottom"/>
            <w:hideMark/>
          </w:tcPr>
          <w:p w14:paraId="43C9913B"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44.52%</w:t>
            </w:r>
          </w:p>
        </w:tc>
      </w:tr>
      <w:tr w:rsidR="007E48B3" w:rsidRPr="00436045" w14:paraId="05D0F522" w14:textId="77777777" w:rsidTr="00416373">
        <w:trPr>
          <w:trHeight w:val="285"/>
        </w:trPr>
        <w:tc>
          <w:tcPr>
            <w:tcW w:w="0" w:type="auto"/>
            <w:vAlign w:val="bottom"/>
          </w:tcPr>
          <w:p w14:paraId="5FABB656"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2015</w:t>
            </w:r>
          </w:p>
        </w:tc>
        <w:tc>
          <w:tcPr>
            <w:tcW w:w="0" w:type="auto"/>
            <w:shd w:val="clear" w:color="auto" w:fill="auto"/>
            <w:noWrap/>
            <w:vAlign w:val="bottom"/>
            <w:hideMark/>
          </w:tcPr>
          <w:p w14:paraId="597EF1EF"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8.64%</w:t>
            </w:r>
          </w:p>
        </w:tc>
        <w:tc>
          <w:tcPr>
            <w:tcW w:w="0" w:type="auto"/>
            <w:shd w:val="clear" w:color="auto" w:fill="auto"/>
            <w:noWrap/>
            <w:vAlign w:val="bottom"/>
            <w:hideMark/>
          </w:tcPr>
          <w:p w14:paraId="76143EDA"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54.43%</w:t>
            </w:r>
          </w:p>
        </w:tc>
        <w:tc>
          <w:tcPr>
            <w:tcW w:w="0" w:type="auto"/>
            <w:shd w:val="clear" w:color="auto" w:fill="auto"/>
            <w:noWrap/>
            <w:vAlign w:val="bottom"/>
            <w:hideMark/>
          </w:tcPr>
          <w:p w14:paraId="01BC3A05"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1.37%</w:t>
            </w:r>
          </w:p>
        </w:tc>
        <w:tc>
          <w:tcPr>
            <w:tcW w:w="0" w:type="auto"/>
            <w:shd w:val="clear" w:color="auto" w:fill="auto"/>
            <w:noWrap/>
            <w:vAlign w:val="bottom"/>
            <w:hideMark/>
          </w:tcPr>
          <w:p w14:paraId="2D0A790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41.82%</w:t>
            </w:r>
          </w:p>
        </w:tc>
      </w:tr>
      <w:tr w:rsidR="007E48B3" w:rsidRPr="00436045" w14:paraId="30099652" w14:textId="77777777" w:rsidTr="00416373">
        <w:trPr>
          <w:trHeight w:val="285"/>
        </w:trPr>
        <w:tc>
          <w:tcPr>
            <w:tcW w:w="0" w:type="auto"/>
            <w:vAlign w:val="bottom"/>
          </w:tcPr>
          <w:p w14:paraId="3C58D4B2"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2016</w:t>
            </w:r>
          </w:p>
        </w:tc>
        <w:tc>
          <w:tcPr>
            <w:tcW w:w="0" w:type="auto"/>
            <w:shd w:val="clear" w:color="auto" w:fill="auto"/>
            <w:noWrap/>
            <w:vAlign w:val="bottom"/>
            <w:hideMark/>
          </w:tcPr>
          <w:p w14:paraId="36E4851C"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9.02%</w:t>
            </w:r>
          </w:p>
        </w:tc>
        <w:tc>
          <w:tcPr>
            <w:tcW w:w="0" w:type="auto"/>
            <w:shd w:val="clear" w:color="auto" w:fill="auto"/>
            <w:noWrap/>
            <w:vAlign w:val="bottom"/>
            <w:hideMark/>
          </w:tcPr>
          <w:p w14:paraId="77D351D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56.71%</w:t>
            </w:r>
          </w:p>
        </w:tc>
        <w:tc>
          <w:tcPr>
            <w:tcW w:w="0" w:type="auto"/>
            <w:shd w:val="clear" w:color="auto" w:fill="auto"/>
            <w:noWrap/>
            <w:vAlign w:val="bottom"/>
            <w:hideMark/>
          </w:tcPr>
          <w:p w14:paraId="00F7C109"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1.58%</w:t>
            </w:r>
          </w:p>
        </w:tc>
        <w:tc>
          <w:tcPr>
            <w:tcW w:w="0" w:type="auto"/>
            <w:shd w:val="clear" w:color="auto" w:fill="auto"/>
            <w:noWrap/>
            <w:vAlign w:val="bottom"/>
            <w:hideMark/>
          </w:tcPr>
          <w:p w14:paraId="3BB52999"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39.21%</w:t>
            </w:r>
          </w:p>
        </w:tc>
      </w:tr>
      <w:tr w:rsidR="007E48B3" w:rsidRPr="00436045" w14:paraId="50797E31" w14:textId="77777777" w:rsidTr="00416373">
        <w:trPr>
          <w:trHeight w:val="285"/>
        </w:trPr>
        <w:tc>
          <w:tcPr>
            <w:tcW w:w="0" w:type="auto"/>
            <w:vAlign w:val="bottom"/>
          </w:tcPr>
          <w:p w14:paraId="7AD88E85"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2017</w:t>
            </w:r>
          </w:p>
        </w:tc>
        <w:tc>
          <w:tcPr>
            <w:tcW w:w="0" w:type="auto"/>
            <w:shd w:val="clear" w:color="auto" w:fill="auto"/>
            <w:noWrap/>
            <w:vAlign w:val="bottom"/>
            <w:hideMark/>
          </w:tcPr>
          <w:p w14:paraId="60E07023"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8.83%</w:t>
            </w:r>
          </w:p>
        </w:tc>
        <w:tc>
          <w:tcPr>
            <w:tcW w:w="0" w:type="auto"/>
            <w:shd w:val="clear" w:color="auto" w:fill="auto"/>
            <w:noWrap/>
            <w:vAlign w:val="bottom"/>
            <w:hideMark/>
          </w:tcPr>
          <w:p w14:paraId="1D3AD73E"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54.26%</w:t>
            </w:r>
          </w:p>
        </w:tc>
        <w:tc>
          <w:tcPr>
            <w:tcW w:w="0" w:type="auto"/>
            <w:shd w:val="clear" w:color="auto" w:fill="auto"/>
            <w:noWrap/>
            <w:vAlign w:val="bottom"/>
            <w:hideMark/>
          </w:tcPr>
          <w:p w14:paraId="756027E8"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1.68%</w:t>
            </w:r>
          </w:p>
        </w:tc>
        <w:tc>
          <w:tcPr>
            <w:tcW w:w="0" w:type="auto"/>
            <w:shd w:val="clear" w:color="auto" w:fill="auto"/>
            <w:noWrap/>
            <w:vAlign w:val="bottom"/>
            <w:hideMark/>
          </w:tcPr>
          <w:p w14:paraId="04E7ECF1"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38.44%</w:t>
            </w:r>
          </w:p>
        </w:tc>
      </w:tr>
      <w:tr w:rsidR="007E48B3" w:rsidRPr="00436045" w14:paraId="70DDDF58" w14:textId="77777777" w:rsidTr="00416373">
        <w:trPr>
          <w:trHeight w:val="285"/>
        </w:trPr>
        <w:tc>
          <w:tcPr>
            <w:tcW w:w="0" w:type="auto"/>
            <w:vAlign w:val="bottom"/>
          </w:tcPr>
          <w:p w14:paraId="5FEAF0D2"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2018</w:t>
            </w:r>
          </w:p>
        </w:tc>
        <w:tc>
          <w:tcPr>
            <w:tcW w:w="0" w:type="auto"/>
            <w:shd w:val="clear" w:color="auto" w:fill="auto"/>
            <w:noWrap/>
            <w:vAlign w:val="bottom"/>
            <w:hideMark/>
          </w:tcPr>
          <w:p w14:paraId="53258C05"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8.59%</w:t>
            </w:r>
          </w:p>
        </w:tc>
        <w:tc>
          <w:tcPr>
            <w:tcW w:w="0" w:type="auto"/>
            <w:shd w:val="clear" w:color="auto" w:fill="auto"/>
            <w:noWrap/>
            <w:vAlign w:val="bottom"/>
            <w:hideMark/>
          </w:tcPr>
          <w:p w14:paraId="62796C96"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53.26%</w:t>
            </w:r>
          </w:p>
        </w:tc>
        <w:tc>
          <w:tcPr>
            <w:tcW w:w="0" w:type="auto"/>
            <w:shd w:val="clear" w:color="auto" w:fill="auto"/>
            <w:noWrap/>
            <w:vAlign w:val="bottom"/>
            <w:hideMark/>
          </w:tcPr>
          <w:p w14:paraId="6747AF59"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1.99%</w:t>
            </w:r>
          </w:p>
        </w:tc>
        <w:tc>
          <w:tcPr>
            <w:tcW w:w="0" w:type="auto"/>
            <w:shd w:val="clear" w:color="auto" w:fill="auto"/>
            <w:noWrap/>
            <w:vAlign w:val="bottom"/>
            <w:hideMark/>
          </w:tcPr>
          <w:p w14:paraId="441EE903"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38.99%</w:t>
            </w:r>
          </w:p>
        </w:tc>
      </w:tr>
      <w:tr w:rsidR="007E48B3" w:rsidRPr="00436045" w14:paraId="2FDE90EC" w14:textId="77777777" w:rsidTr="00416373">
        <w:trPr>
          <w:trHeight w:val="300"/>
        </w:trPr>
        <w:tc>
          <w:tcPr>
            <w:tcW w:w="0" w:type="auto"/>
            <w:vAlign w:val="bottom"/>
          </w:tcPr>
          <w:p w14:paraId="0ACE2936" w14:textId="77777777" w:rsidR="007E48B3" w:rsidRPr="00090F2A" w:rsidRDefault="007E48B3" w:rsidP="00416373">
            <w:pPr>
              <w:bidi w:val="0"/>
              <w:jc w:val="right"/>
              <w:rPr>
                <w:rFonts w:ascii="Arial" w:hAnsi="Arial"/>
                <w:color w:val="000000"/>
                <w:sz w:val="18"/>
                <w:szCs w:val="18"/>
              </w:rPr>
            </w:pPr>
            <w:r w:rsidRPr="00436045">
              <w:rPr>
                <w:rFonts w:ascii="Arial" w:hAnsi="Arial"/>
                <w:color w:val="000000"/>
                <w:sz w:val="18"/>
                <w:szCs w:val="18"/>
              </w:rPr>
              <w:t>2019</w:t>
            </w:r>
          </w:p>
        </w:tc>
        <w:tc>
          <w:tcPr>
            <w:tcW w:w="0" w:type="auto"/>
            <w:shd w:val="clear" w:color="auto" w:fill="auto"/>
            <w:noWrap/>
            <w:vAlign w:val="bottom"/>
            <w:hideMark/>
          </w:tcPr>
          <w:p w14:paraId="220FA202"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8.33%</w:t>
            </w:r>
          </w:p>
        </w:tc>
        <w:tc>
          <w:tcPr>
            <w:tcW w:w="0" w:type="auto"/>
            <w:shd w:val="clear" w:color="auto" w:fill="auto"/>
            <w:noWrap/>
            <w:vAlign w:val="bottom"/>
            <w:hideMark/>
          </w:tcPr>
          <w:p w14:paraId="4CC6F2B4"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54.06%</w:t>
            </w:r>
          </w:p>
        </w:tc>
        <w:tc>
          <w:tcPr>
            <w:tcW w:w="0" w:type="auto"/>
            <w:shd w:val="clear" w:color="auto" w:fill="auto"/>
            <w:noWrap/>
            <w:vAlign w:val="bottom"/>
            <w:hideMark/>
          </w:tcPr>
          <w:p w14:paraId="0759C447"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1.58%</w:t>
            </w:r>
          </w:p>
        </w:tc>
        <w:tc>
          <w:tcPr>
            <w:tcW w:w="0" w:type="auto"/>
            <w:shd w:val="clear" w:color="auto" w:fill="auto"/>
            <w:noWrap/>
            <w:vAlign w:val="bottom"/>
            <w:hideMark/>
          </w:tcPr>
          <w:p w14:paraId="19CB85F4" w14:textId="77777777" w:rsidR="007E48B3" w:rsidRPr="00090F2A" w:rsidRDefault="007E48B3" w:rsidP="00416373">
            <w:pPr>
              <w:bidi w:val="0"/>
              <w:jc w:val="right"/>
              <w:rPr>
                <w:rFonts w:ascii="Arial" w:hAnsi="Arial"/>
                <w:color w:val="000000"/>
                <w:sz w:val="18"/>
                <w:szCs w:val="18"/>
              </w:rPr>
            </w:pPr>
            <w:r w:rsidRPr="00090F2A">
              <w:rPr>
                <w:rFonts w:ascii="Arial" w:hAnsi="Arial"/>
                <w:color w:val="000000"/>
                <w:sz w:val="18"/>
                <w:szCs w:val="18"/>
              </w:rPr>
              <w:t>39.70%</w:t>
            </w:r>
          </w:p>
        </w:tc>
      </w:tr>
    </w:tbl>
    <w:p w14:paraId="086A78D1" w14:textId="77777777" w:rsidR="007E48B3" w:rsidRDefault="007E48B3" w:rsidP="007E48B3">
      <w:pPr>
        <w:pStyle w:val="ListParagraph"/>
        <w:autoSpaceDE w:val="0"/>
        <w:autoSpaceDN w:val="0"/>
        <w:bidi w:val="0"/>
        <w:adjustRightInd w:val="0"/>
        <w:spacing w:after="240" w:line="480" w:lineRule="auto"/>
        <w:ind w:left="851"/>
        <w:rPr>
          <w:rFonts w:asciiTheme="majorBidi" w:hAnsiTheme="majorBidi" w:cstheme="majorBidi"/>
          <w:b/>
          <w:bCs/>
          <w:sz w:val="24"/>
          <w:szCs w:val="24"/>
        </w:rPr>
      </w:pPr>
    </w:p>
    <w:p w14:paraId="77A99D8C" w14:textId="77777777" w:rsidR="007E48B3" w:rsidRDefault="007E48B3" w:rsidP="007E48B3">
      <w:pPr>
        <w:pStyle w:val="ListParagraph"/>
        <w:autoSpaceDE w:val="0"/>
        <w:autoSpaceDN w:val="0"/>
        <w:bidi w:val="0"/>
        <w:adjustRightInd w:val="0"/>
        <w:spacing w:after="240" w:line="480" w:lineRule="auto"/>
        <w:ind w:left="851"/>
        <w:rPr>
          <w:rFonts w:asciiTheme="majorBidi" w:hAnsiTheme="majorBidi" w:cstheme="majorBidi"/>
          <w:b/>
          <w:bCs/>
          <w:sz w:val="24"/>
          <w:szCs w:val="24"/>
        </w:rPr>
      </w:pPr>
    </w:p>
    <w:p w14:paraId="410E09D5" w14:textId="77777777" w:rsidR="007E48B3" w:rsidRDefault="007E48B3" w:rsidP="007E48B3">
      <w:pPr>
        <w:pStyle w:val="ListParagraph"/>
        <w:autoSpaceDE w:val="0"/>
        <w:autoSpaceDN w:val="0"/>
        <w:bidi w:val="0"/>
        <w:adjustRightInd w:val="0"/>
        <w:spacing w:after="240" w:line="480" w:lineRule="auto"/>
        <w:ind w:left="851"/>
        <w:rPr>
          <w:rFonts w:asciiTheme="majorBidi" w:hAnsiTheme="majorBidi" w:cstheme="majorBidi"/>
          <w:b/>
          <w:bCs/>
          <w:sz w:val="24"/>
          <w:szCs w:val="24"/>
        </w:rPr>
        <w:sectPr w:rsidR="007E48B3" w:rsidSect="00EC513F">
          <w:pgSz w:w="11906" w:h="16838"/>
          <w:pgMar w:top="1440" w:right="1800" w:bottom="1440" w:left="1800" w:header="708" w:footer="708" w:gutter="0"/>
          <w:cols w:space="708"/>
          <w:bidi/>
          <w:rtlGutter/>
          <w:docGrid w:linePitch="360"/>
        </w:sectPr>
      </w:pPr>
    </w:p>
    <w:p w14:paraId="529C0187" w14:textId="77777777" w:rsidR="007E48B3" w:rsidRDefault="007E48B3" w:rsidP="007E48B3">
      <w:pPr>
        <w:pStyle w:val="ListParagraph"/>
        <w:bidi w:val="0"/>
        <w:spacing w:line="480" w:lineRule="auto"/>
        <w:jc w:val="center"/>
        <w:rPr>
          <w:b/>
          <w:bCs/>
        </w:rPr>
      </w:pPr>
      <w:r>
        <w:rPr>
          <w:b/>
          <w:bCs/>
        </w:rPr>
        <w:t xml:space="preserve">Appendix II - </w:t>
      </w:r>
      <w:r w:rsidRPr="00D34779">
        <w:rPr>
          <w:b/>
          <w:bCs/>
        </w:rPr>
        <w:t>Empirical results: PCA and weightings</w:t>
      </w:r>
      <w:r>
        <w:rPr>
          <w:b/>
          <w:bCs/>
        </w:rPr>
        <w:t xml:space="preserve"> </w:t>
      </w:r>
      <w:r w:rsidRPr="002A5748">
        <w:rPr>
          <w:b/>
          <w:bCs/>
        </w:rPr>
        <w:t>IS</w:t>
      </w:r>
      <w:r>
        <w:rPr>
          <w:b/>
          <w:bCs/>
        </w:rPr>
        <w:t>R-</w:t>
      </w:r>
      <w:r w:rsidRPr="002A5748">
        <w:rPr>
          <w:b/>
          <w:bCs/>
        </w:rPr>
        <w:t>WBG</w:t>
      </w:r>
      <w:r>
        <w:rPr>
          <w:b/>
          <w:bCs/>
        </w:rPr>
        <w:t>-</w:t>
      </w:r>
      <w:r w:rsidRPr="002A5748">
        <w:rPr>
          <w:b/>
          <w:bCs/>
        </w:rPr>
        <w:t>II</w:t>
      </w:r>
      <w:r>
        <w:rPr>
          <w:b/>
          <w:bCs/>
        </w:rPr>
        <w:t xml:space="preserve"> 2010-2019 </w:t>
      </w:r>
    </w:p>
    <w:tbl>
      <w:tblPr>
        <w:tblW w:w="13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668"/>
        <w:gridCol w:w="932"/>
        <w:gridCol w:w="971"/>
        <w:gridCol w:w="3069"/>
        <w:gridCol w:w="994"/>
        <w:gridCol w:w="994"/>
        <w:gridCol w:w="994"/>
        <w:gridCol w:w="994"/>
        <w:gridCol w:w="823"/>
        <w:gridCol w:w="753"/>
        <w:gridCol w:w="761"/>
        <w:gridCol w:w="570"/>
      </w:tblGrid>
      <w:tr w:rsidR="007E48B3" w:rsidRPr="006E6D96" w14:paraId="4B0C39B3" w14:textId="77777777" w:rsidTr="00416373">
        <w:trPr>
          <w:trHeight w:val="300"/>
        </w:trPr>
        <w:tc>
          <w:tcPr>
            <w:tcW w:w="8622" w:type="dxa"/>
            <w:gridSpan w:val="7"/>
            <w:shd w:val="clear" w:color="auto" w:fill="auto"/>
            <w:noWrap/>
            <w:vAlign w:val="bottom"/>
            <w:hideMark/>
          </w:tcPr>
          <w:p w14:paraId="45F36704"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Eigenvalues and eigenvectors</w:t>
            </w:r>
          </w:p>
        </w:tc>
        <w:tc>
          <w:tcPr>
            <w:tcW w:w="3564" w:type="dxa"/>
            <w:gridSpan w:val="4"/>
            <w:shd w:val="clear" w:color="auto" w:fill="auto"/>
            <w:noWrap/>
            <w:vAlign w:val="bottom"/>
            <w:hideMark/>
          </w:tcPr>
          <w:p w14:paraId="25C3EF87"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Loadings</w:t>
            </w:r>
          </w:p>
        </w:tc>
        <w:tc>
          <w:tcPr>
            <w:tcW w:w="761" w:type="dxa"/>
            <w:vMerge w:val="restart"/>
            <w:shd w:val="clear" w:color="auto" w:fill="auto"/>
            <w:noWrap/>
            <w:vAlign w:val="center"/>
            <w:hideMark/>
          </w:tcPr>
          <w:p w14:paraId="68C8D72C"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Weights</w:t>
            </w:r>
          </w:p>
        </w:tc>
        <w:tc>
          <w:tcPr>
            <w:tcW w:w="570" w:type="dxa"/>
            <w:vMerge w:val="restart"/>
            <w:shd w:val="clear" w:color="auto" w:fill="auto"/>
            <w:noWrap/>
            <w:vAlign w:val="center"/>
            <w:hideMark/>
          </w:tcPr>
          <w:p w14:paraId="7BF3979C"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KMO</w:t>
            </w:r>
          </w:p>
        </w:tc>
      </w:tr>
      <w:tr w:rsidR="007E48B3" w:rsidRPr="006E6D96" w14:paraId="3B93A762" w14:textId="77777777" w:rsidTr="00416373">
        <w:trPr>
          <w:trHeight w:val="300"/>
        </w:trPr>
        <w:tc>
          <w:tcPr>
            <w:tcW w:w="994" w:type="dxa"/>
            <w:shd w:val="clear" w:color="auto" w:fill="auto"/>
            <w:noWrap/>
            <w:vAlign w:val="bottom"/>
            <w:hideMark/>
          </w:tcPr>
          <w:p w14:paraId="2F0E75F3"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w:t>
            </w:r>
          </w:p>
        </w:tc>
        <w:tc>
          <w:tcPr>
            <w:tcW w:w="668" w:type="dxa"/>
            <w:shd w:val="clear" w:color="auto" w:fill="auto"/>
            <w:noWrap/>
            <w:vAlign w:val="bottom"/>
            <w:hideMark/>
          </w:tcPr>
          <w:p w14:paraId="58CFB0A9" w14:textId="77777777" w:rsidR="007E48B3" w:rsidRPr="006E6D96" w:rsidRDefault="007E48B3" w:rsidP="00416373">
            <w:pPr>
              <w:bidi w:val="0"/>
              <w:rPr>
                <w:rFonts w:ascii="Arial" w:hAnsi="Arial"/>
                <w:b/>
                <w:bCs/>
                <w:color w:val="000000"/>
                <w:sz w:val="14"/>
                <w:szCs w:val="14"/>
              </w:rPr>
            </w:pPr>
            <w:proofErr w:type="spellStart"/>
            <w:r w:rsidRPr="006E6D96">
              <w:rPr>
                <w:rFonts w:ascii="Arial" w:hAnsi="Arial"/>
                <w:b/>
                <w:bCs/>
                <w:color w:val="000000"/>
                <w:sz w:val="14"/>
                <w:szCs w:val="14"/>
              </w:rPr>
              <w:t>eValue</w:t>
            </w:r>
            <w:proofErr w:type="spellEnd"/>
          </w:p>
        </w:tc>
        <w:tc>
          <w:tcPr>
            <w:tcW w:w="932" w:type="dxa"/>
            <w:shd w:val="clear" w:color="auto" w:fill="auto"/>
            <w:noWrap/>
            <w:vAlign w:val="bottom"/>
            <w:hideMark/>
          </w:tcPr>
          <w:p w14:paraId="32B924E1"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Proportion</w:t>
            </w:r>
          </w:p>
        </w:tc>
        <w:tc>
          <w:tcPr>
            <w:tcW w:w="971" w:type="dxa"/>
            <w:shd w:val="clear" w:color="auto" w:fill="auto"/>
            <w:noWrap/>
            <w:vAlign w:val="bottom"/>
            <w:hideMark/>
          </w:tcPr>
          <w:p w14:paraId="03C88B48"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Cumulative</w:t>
            </w:r>
          </w:p>
        </w:tc>
        <w:tc>
          <w:tcPr>
            <w:tcW w:w="3069" w:type="dxa"/>
            <w:shd w:val="clear" w:color="auto" w:fill="auto"/>
            <w:noWrap/>
            <w:vAlign w:val="bottom"/>
            <w:hideMark/>
          </w:tcPr>
          <w:p w14:paraId="3F93FDD5"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Indicator</w:t>
            </w:r>
          </w:p>
        </w:tc>
        <w:tc>
          <w:tcPr>
            <w:tcW w:w="994" w:type="dxa"/>
            <w:shd w:val="clear" w:color="auto" w:fill="auto"/>
            <w:noWrap/>
            <w:vAlign w:val="bottom"/>
            <w:hideMark/>
          </w:tcPr>
          <w:p w14:paraId="2B7DA275"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1</w:t>
            </w:r>
          </w:p>
        </w:tc>
        <w:tc>
          <w:tcPr>
            <w:tcW w:w="994" w:type="dxa"/>
            <w:shd w:val="clear" w:color="auto" w:fill="auto"/>
            <w:noWrap/>
            <w:vAlign w:val="bottom"/>
            <w:hideMark/>
          </w:tcPr>
          <w:p w14:paraId="0DCE2053"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2</w:t>
            </w:r>
          </w:p>
        </w:tc>
        <w:tc>
          <w:tcPr>
            <w:tcW w:w="994" w:type="dxa"/>
            <w:shd w:val="clear" w:color="auto" w:fill="auto"/>
            <w:noWrap/>
            <w:vAlign w:val="bottom"/>
            <w:hideMark/>
          </w:tcPr>
          <w:p w14:paraId="37BABE0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1</w:t>
            </w:r>
          </w:p>
        </w:tc>
        <w:tc>
          <w:tcPr>
            <w:tcW w:w="994" w:type="dxa"/>
            <w:shd w:val="clear" w:color="auto" w:fill="auto"/>
            <w:noWrap/>
            <w:vAlign w:val="bottom"/>
            <w:hideMark/>
          </w:tcPr>
          <w:p w14:paraId="121832D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2</w:t>
            </w:r>
          </w:p>
        </w:tc>
        <w:tc>
          <w:tcPr>
            <w:tcW w:w="823" w:type="dxa"/>
            <w:shd w:val="clear" w:color="auto" w:fill="auto"/>
            <w:noWrap/>
            <w:vAlign w:val="bottom"/>
            <w:hideMark/>
          </w:tcPr>
          <w:p w14:paraId="4563FD7C" w14:textId="77777777" w:rsidR="007E48B3" w:rsidRPr="006E6D96" w:rsidRDefault="007E48B3" w:rsidP="00416373">
            <w:pPr>
              <w:bidi w:val="0"/>
              <w:rPr>
                <w:rFonts w:ascii="Arial" w:hAnsi="Arial"/>
                <w:color w:val="000000"/>
                <w:sz w:val="14"/>
                <w:szCs w:val="14"/>
              </w:rPr>
            </w:pPr>
            <w:proofErr w:type="spellStart"/>
            <w:r w:rsidRPr="006E6D96">
              <w:rPr>
                <w:rFonts w:ascii="Arial" w:hAnsi="Arial"/>
                <w:color w:val="000000"/>
                <w:sz w:val="14"/>
                <w:szCs w:val="14"/>
              </w:rPr>
              <w:t>Commun</w:t>
            </w:r>
            <w:proofErr w:type="spellEnd"/>
          </w:p>
        </w:tc>
        <w:tc>
          <w:tcPr>
            <w:tcW w:w="753" w:type="dxa"/>
            <w:shd w:val="clear" w:color="auto" w:fill="auto"/>
            <w:noWrap/>
            <w:vAlign w:val="bottom"/>
            <w:hideMark/>
          </w:tcPr>
          <w:p w14:paraId="2800568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Specific</w:t>
            </w:r>
          </w:p>
        </w:tc>
        <w:tc>
          <w:tcPr>
            <w:tcW w:w="761" w:type="dxa"/>
            <w:vMerge/>
            <w:vAlign w:val="center"/>
            <w:hideMark/>
          </w:tcPr>
          <w:p w14:paraId="3004B377" w14:textId="77777777" w:rsidR="007E48B3" w:rsidRPr="006E6D96" w:rsidRDefault="007E48B3" w:rsidP="00416373">
            <w:pPr>
              <w:bidi w:val="0"/>
              <w:rPr>
                <w:rFonts w:ascii="Arial" w:hAnsi="Arial"/>
                <w:b/>
                <w:bCs/>
                <w:color w:val="000000"/>
                <w:sz w:val="14"/>
                <w:szCs w:val="14"/>
              </w:rPr>
            </w:pPr>
          </w:p>
        </w:tc>
        <w:tc>
          <w:tcPr>
            <w:tcW w:w="570" w:type="dxa"/>
            <w:vMerge/>
            <w:vAlign w:val="center"/>
            <w:hideMark/>
          </w:tcPr>
          <w:p w14:paraId="3F65B313" w14:textId="77777777" w:rsidR="007E48B3" w:rsidRPr="006E6D96" w:rsidRDefault="007E48B3" w:rsidP="00416373">
            <w:pPr>
              <w:bidi w:val="0"/>
              <w:rPr>
                <w:rFonts w:ascii="Arial" w:hAnsi="Arial"/>
                <w:b/>
                <w:bCs/>
                <w:color w:val="000000"/>
                <w:sz w:val="14"/>
                <w:szCs w:val="14"/>
              </w:rPr>
            </w:pPr>
          </w:p>
        </w:tc>
      </w:tr>
      <w:tr w:rsidR="007E48B3" w:rsidRPr="006E6D96" w14:paraId="01D6E8D5" w14:textId="77777777" w:rsidTr="00416373">
        <w:trPr>
          <w:trHeight w:val="285"/>
        </w:trPr>
        <w:tc>
          <w:tcPr>
            <w:tcW w:w="994" w:type="dxa"/>
            <w:shd w:val="clear" w:color="auto" w:fill="auto"/>
            <w:noWrap/>
            <w:vAlign w:val="bottom"/>
            <w:hideMark/>
          </w:tcPr>
          <w:p w14:paraId="2A893F6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1</w:t>
            </w:r>
          </w:p>
        </w:tc>
        <w:tc>
          <w:tcPr>
            <w:tcW w:w="668" w:type="dxa"/>
            <w:shd w:val="clear" w:color="auto" w:fill="auto"/>
            <w:noWrap/>
            <w:vAlign w:val="bottom"/>
            <w:hideMark/>
          </w:tcPr>
          <w:p w14:paraId="6E5151D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3.66 </w:t>
            </w:r>
          </w:p>
        </w:tc>
        <w:tc>
          <w:tcPr>
            <w:tcW w:w="932" w:type="dxa"/>
            <w:shd w:val="clear" w:color="auto" w:fill="auto"/>
            <w:noWrap/>
            <w:vAlign w:val="bottom"/>
            <w:hideMark/>
          </w:tcPr>
          <w:p w14:paraId="40BD8AA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73%</w:t>
            </w:r>
          </w:p>
        </w:tc>
        <w:tc>
          <w:tcPr>
            <w:tcW w:w="971" w:type="dxa"/>
            <w:shd w:val="clear" w:color="auto" w:fill="auto"/>
            <w:noWrap/>
            <w:vAlign w:val="bottom"/>
            <w:hideMark/>
          </w:tcPr>
          <w:p w14:paraId="427C477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73%</w:t>
            </w:r>
          </w:p>
        </w:tc>
        <w:tc>
          <w:tcPr>
            <w:tcW w:w="3069" w:type="dxa"/>
            <w:shd w:val="clear" w:color="auto" w:fill="auto"/>
            <w:noWrap/>
            <w:vAlign w:val="bottom"/>
            <w:hideMark/>
          </w:tcPr>
          <w:p w14:paraId="34CF49B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PT Exports of goods and services to Israel out of total Exports</w:t>
            </w:r>
          </w:p>
        </w:tc>
        <w:tc>
          <w:tcPr>
            <w:tcW w:w="994" w:type="dxa"/>
            <w:shd w:val="clear" w:color="auto" w:fill="auto"/>
            <w:noWrap/>
            <w:vAlign w:val="bottom"/>
            <w:hideMark/>
          </w:tcPr>
          <w:p w14:paraId="0F4B0FD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0.04 </w:t>
            </w:r>
          </w:p>
        </w:tc>
        <w:tc>
          <w:tcPr>
            <w:tcW w:w="994" w:type="dxa"/>
            <w:shd w:val="clear" w:color="auto" w:fill="auto"/>
            <w:noWrap/>
            <w:vAlign w:val="bottom"/>
            <w:hideMark/>
          </w:tcPr>
          <w:p w14:paraId="4DABDE0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-0.98 </w:t>
            </w:r>
          </w:p>
        </w:tc>
        <w:tc>
          <w:tcPr>
            <w:tcW w:w="994" w:type="dxa"/>
            <w:shd w:val="clear" w:color="auto" w:fill="auto"/>
            <w:noWrap/>
            <w:vAlign w:val="bottom"/>
            <w:hideMark/>
          </w:tcPr>
          <w:p w14:paraId="5571CFD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0.08 </w:t>
            </w:r>
          </w:p>
        </w:tc>
        <w:tc>
          <w:tcPr>
            <w:tcW w:w="994" w:type="dxa"/>
            <w:shd w:val="clear" w:color="auto" w:fill="auto"/>
            <w:noWrap/>
            <w:vAlign w:val="bottom"/>
            <w:hideMark/>
          </w:tcPr>
          <w:p w14:paraId="0A3E68E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-0.99 </w:t>
            </w:r>
          </w:p>
        </w:tc>
        <w:tc>
          <w:tcPr>
            <w:tcW w:w="823" w:type="dxa"/>
            <w:shd w:val="clear" w:color="auto" w:fill="auto"/>
            <w:noWrap/>
            <w:vAlign w:val="bottom"/>
            <w:hideMark/>
          </w:tcPr>
          <w:p w14:paraId="174A656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99%</w:t>
            </w:r>
          </w:p>
        </w:tc>
        <w:tc>
          <w:tcPr>
            <w:tcW w:w="753" w:type="dxa"/>
            <w:shd w:val="clear" w:color="auto" w:fill="auto"/>
            <w:noWrap/>
            <w:vAlign w:val="bottom"/>
            <w:hideMark/>
          </w:tcPr>
          <w:p w14:paraId="1C21800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w:t>
            </w:r>
          </w:p>
        </w:tc>
        <w:tc>
          <w:tcPr>
            <w:tcW w:w="761" w:type="dxa"/>
            <w:shd w:val="clear" w:color="auto" w:fill="auto"/>
            <w:noWrap/>
            <w:vAlign w:val="bottom"/>
            <w:hideMark/>
          </w:tcPr>
          <w:p w14:paraId="4C3880C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21%</w:t>
            </w:r>
          </w:p>
        </w:tc>
        <w:tc>
          <w:tcPr>
            <w:tcW w:w="570" w:type="dxa"/>
            <w:shd w:val="clear" w:color="auto" w:fill="auto"/>
            <w:noWrap/>
            <w:vAlign w:val="bottom"/>
            <w:hideMark/>
          </w:tcPr>
          <w:p w14:paraId="2EB21B87" w14:textId="77777777" w:rsidR="007E48B3" w:rsidRPr="007E1B70" w:rsidRDefault="007E48B3" w:rsidP="00416373">
            <w:pPr>
              <w:bidi w:val="0"/>
              <w:rPr>
                <w:rFonts w:ascii="Arial" w:hAnsi="Arial"/>
                <w:color w:val="000000"/>
                <w:sz w:val="14"/>
                <w:szCs w:val="14"/>
                <w:u w:val="single"/>
              </w:rPr>
            </w:pPr>
            <w:r w:rsidRPr="007E1B70">
              <w:rPr>
                <w:rFonts w:ascii="Arial" w:hAnsi="Arial"/>
                <w:color w:val="000000"/>
                <w:sz w:val="14"/>
                <w:szCs w:val="14"/>
                <w:u w:val="single"/>
              </w:rPr>
              <w:t>15%</w:t>
            </w:r>
          </w:p>
        </w:tc>
      </w:tr>
      <w:tr w:rsidR="007E48B3" w:rsidRPr="006E6D96" w14:paraId="4385749F" w14:textId="77777777" w:rsidTr="00416373">
        <w:trPr>
          <w:trHeight w:val="285"/>
        </w:trPr>
        <w:tc>
          <w:tcPr>
            <w:tcW w:w="994" w:type="dxa"/>
            <w:shd w:val="clear" w:color="auto" w:fill="auto"/>
            <w:noWrap/>
            <w:vAlign w:val="bottom"/>
            <w:hideMark/>
          </w:tcPr>
          <w:p w14:paraId="2CAEDE3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2</w:t>
            </w:r>
          </w:p>
        </w:tc>
        <w:tc>
          <w:tcPr>
            <w:tcW w:w="668" w:type="dxa"/>
            <w:shd w:val="clear" w:color="auto" w:fill="auto"/>
            <w:noWrap/>
            <w:vAlign w:val="bottom"/>
            <w:hideMark/>
          </w:tcPr>
          <w:p w14:paraId="4B90A01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1.02 </w:t>
            </w:r>
          </w:p>
        </w:tc>
        <w:tc>
          <w:tcPr>
            <w:tcW w:w="932" w:type="dxa"/>
            <w:shd w:val="clear" w:color="auto" w:fill="auto"/>
            <w:noWrap/>
            <w:vAlign w:val="bottom"/>
            <w:hideMark/>
          </w:tcPr>
          <w:p w14:paraId="065B036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20%</w:t>
            </w:r>
          </w:p>
        </w:tc>
        <w:tc>
          <w:tcPr>
            <w:tcW w:w="971" w:type="dxa"/>
            <w:shd w:val="clear" w:color="auto" w:fill="auto"/>
            <w:noWrap/>
            <w:vAlign w:val="bottom"/>
            <w:hideMark/>
          </w:tcPr>
          <w:p w14:paraId="6C9E46D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94%</w:t>
            </w:r>
          </w:p>
        </w:tc>
        <w:tc>
          <w:tcPr>
            <w:tcW w:w="3069" w:type="dxa"/>
            <w:shd w:val="clear" w:color="auto" w:fill="auto"/>
            <w:noWrap/>
            <w:vAlign w:val="bottom"/>
            <w:hideMark/>
          </w:tcPr>
          <w:p w14:paraId="0F11217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PT Imports of goods and services from Israel out of total imports</w:t>
            </w:r>
          </w:p>
        </w:tc>
        <w:tc>
          <w:tcPr>
            <w:tcW w:w="994" w:type="dxa"/>
            <w:shd w:val="clear" w:color="auto" w:fill="auto"/>
            <w:noWrap/>
            <w:vAlign w:val="bottom"/>
            <w:hideMark/>
          </w:tcPr>
          <w:p w14:paraId="1F3EA1D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0.51 </w:t>
            </w:r>
          </w:p>
        </w:tc>
        <w:tc>
          <w:tcPr>
            <w:tcW w:w="994" w:type="dxa"/>
            <w:shd w:val="clear" w:color="auto" w:fill="auto"/>
            <w:noWrap/>
            <w:vAlign w:val="bottom"/>
            <w:hideMark/>
          </w:tcPr>
          <w:p w14:paraId="40D3580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0.03 </w:t>
            </w:r>
          </w:p>
        </w:tc>
        <w:tc>
          <w:tcPr>
            <w:tcW w:w="994" w:type="dxa"/>
            <w:shd w:val="clear" w:color="auto" w:fill="auto"/>
            <w:noWrap/>
            <w:vAlign w:val="bottom"/>
            <w:hideMark/>
          </w:tcPr>
          <w:p w14:paraId="06E4AA6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0.97 </w:t>
            </w:r>
          </w:p>
        </w:tc>
        <w:tc>
          <w:tcPr>
            <w:tcW w:w="994" w:type="dxa"/>
            <w:shd w:val="clear" w:color="auto" w:fill="auto"/>
            <w:noWrap/>
            <w:vAlign w:val="bottom"/>
            <w:hideMark/>
          </w:tcPr>
          <w:p w14:paraId="0D69410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0.03 </w:t>
            </w:r>
          </w:p>
        </w:tc>
        <w:tc>
          <w:tcPr>
            <w:tcW w:w="823" w:type="dxa"/>
            <w:shd w:val="clear" w:color="auto" w:fill="auto"/>
            <w:noWrap/>
            <w:vAlign w:val="bottom"/>
            <w:hideMark/>
          </w:tcPr>
          <w:p w14:paraId="19F071B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95%</w:t>
            </w:r>
          </w:p>
        </w:tc>
        <w:tc>
          <w:tcPr>
            <w:tcW w:w="753" w:type="dxa"/>
            <w:shd w:val="clear" w:color="auto" w:fill="auto"/>
            <w:noWrap/>
            <w:vAlign w:val="bottom"/>
            <w:hideMark/>
          </w:tcPr>
          <w:p w14:paraId="3846B6C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5%</w:t>
            </w:r>
          </w:p>
        </w:tc>
        <w:tc>
          <w:tcPr>
            <w:tcW w:w="761" w:type="dxa"/>
            <w:shd w:val="clear" w:color="auto" w:fill="auto"/>
            <w:noWrap/>
            <w:vAlign w:val="bottom"/>
            <w:hideMark/>
          </w:tcPr>
          <w:p w14:paraId="0BDF70A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20%</w:t>
            </w:r>
          </w:p>
        </w:tc>
        <w:tc>
          <w:tcPr>
            <w:tcW w:w="570" w:type="dxa"/>
            <w:shd w:val="clear" w:color="auto" w:fill="auto"/>
            <w:noWrap/>
            <w:vAlign w:val="bottom"/>
            <w:hideMark/>
          </w:tcPr>
          <w:p w14:paraId="15F06CA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91%</w:t>
            </w:r>
          </w:p>
        </w:tc>
      </w:tr>
      <w:tr w:rsidR="007E48B3" w:rsidRPr="006E6D96" w14:paraId="2E174140" w14:textId="77777777" w:rsidTr="00416373">
        <w:trPr>
          <w:trHeight w:val="285"/>
        </w:trPr>
        <w:tc>
          <w:tcPr>
            <w:tcW w:w="994" w:type="dxa"/>
            <w:shd w:val="clear" w:color="auto" w:fill="auto"/>
            <w:noWrap/>
            <w:vAlign w:val="bottom"/>
            <w:hideMark/>
          </w:tcPr>
          <w:p w14:paraId="71D7E0C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3</w:t>
            </w:r>
          </w:p>
        </w:tc>
        <w:tc>
          <w:tcPr>
            <w:tcW w:w="668" w:type="dxa"/>
            <w:shd w:val="clear" w:color="auto" w:fill="auto"/>
            <w:noWrap/>
            <w:vAlign w:val="bottom"/>
            <w:hideMark/>
          </w:tcPr>
          <w:p w14:paraId="01D8585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0.23 </w:t>
            </w:r>
          </w:p>
        </w:tc>
        <w:tc>
          <w:tcPr>
            <w:tcW w:w="932" w:type="dxa"/>
            <w:shd w:val="clear" w:color="auto" w:fill="auto"/>
            <w:noWrap/>
            <w:vAlign w:val="bottom"/>
            <w:hideMark/>
          </w:tcPr>
          <w:p w14:paraId="63C2C8A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5%</w:t>
            </w:r>
          </w:p>
        </w:tc>
        <w:tc>
          <w:tcPr>
            <w:tcW w:w="971" w:type="dxa"/>
            <w:shd w:val="clear" w:color="auto" w:fill="auto"/>
            <w:noWrap/>
            <w:vAlign w:val="bottom"/>
            <w:hideMark/>
          </w:tcPr>
          <w:p w14:paraId="42991CA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98%</w:t>
            </w:r>
          </w:p>
        </w:tc>
        <w:tc>
          <w:tcPr>
            <w:tcW w:w="3069" w:type="dxa"/>
            <w:shd w:val="clear" w:color="auto" w:fill="auto"/>
            <w:noWrap/>
            <w:vAlign w:val="bottom"/>
            <w:hideMark/>
          </w:tcPr>
          <w:p w14:paraId="06ECAC3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Share of Gross clearance revenues of Total PA net revenues and grants </w:t>
            </w:r>
          </w:p>
        </w:tc>
        <w:tc>
          <w:tcPr>
            <w:tcW w:w="994" w:type="dxa"/>
            <w:shd w:val="clear" w:color="auto" w:fill="auto"/>
            <w:noWrap/>
            <w:vAlign w:val="bottom"/>
            <w:hideMark/>
          </w:tcPr>
          <w:p w14:paraId="4097EF1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-0.48 </w:t>
            </w:r>
          </w:p>
        </w:tc>
        <w:tc>
          <w:tcPr>
            <w:tcW w:w="994" w:type="dxa"/>
            <w:shd w:val="clear" w:color="auto" w:fill="auto"/>
            <w:noWrap/>
            <w:vAlign w:val="bottom"/>
            <w:hideMark/>
          </w:tcPr>
          <w:p w14:paraId="1FBBD37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0.10 </w:t>
            </w:r>
          </w:p>
        </w:tc>
        <w:tc>
          <w:tcPr>
            <w:tcW w:w="994" w:type="dxa"/>
            <w:shd w:val="clear" w:color="auto" w:fill="auto"/>
            <w:noWrap/>
            <w:vAlign w:val="bottom"/>
            <w:hideMark/>
          </w:tcPr>
          <w:p w14:paraId="03AB759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-0.92 </w:t>
            </w:r>
          </w:p>
        </w:tc>
        <w:tc>
          <w:tcPr>
            <w:tcW w:w="994" w:type="dxa"/>
            <w:shd w:val="clear" w:color="auto" w:fill="auto"/>
            <w:noWrap/>
            <w:vAlign w:val="bottom"/>
            <w:hideMark/>
          </w:tcPr>
          <w:p w14:paraId="63CAC5A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0.11 </w:t>
            </w:r>
          </w:p>
        </w:tc>
        <w:tc>
          <w:tcPr>
            <w:tcW w:w="823" w:type="dxa"/>
            <w:shd w:val="clear" w:color="auto" w:fill="auto"/>
            <w:noWrap/>
            <w:vAlign w:val="bottom"/>
            <w:hideMark/>
          </w:tcPr>
          <w:p w14:paraId="750E2A9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86%</w:t>
            </w:r>
          </w:p>
        </w:tc>
        <w:tc>
          <w:tcPr>
            <w:tcW w:w="753" w:type="dxa"/>
            <w:shd w:val="clear" w:color="auto" w:fill="auto"/>
            <w:noWrap/>
            <w:vAlign w:val="bottom"/>
            <w:hideMark/>
          </w:tcPr>
          <w:p w14:paraId="3B845A7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14%</w:t>
            </w:r>
          </w:p>
        </w:tc>
        <w:tc>
          <w:tcPr>
            <w:tcW w:w="761" w:type="dxa"/>
            <w:shd w:val="clear" w:color="auto" w:fill="auto"/>
            <w:noWrap/>
            <w:vAlign w:val="bottom"/>
            <w:hideMark/>
          </w:tcPr>
          <w:p w14:paraId="5F8F53E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18%</w:t>
            </w:r>
          </w:p>
        </w:tc>
        <w:tc>
          <w:tcPr>
            <w:tcW w:w="570" w:type="dxa"/>
            <w:shd w:val="clear" w:color="auto" w:fill="auto"/>
            <w:noWrap/>
            <w:vAlign w:val="bottom"/>
            <w:hideMark/>
          </w:tcPr>
          <w:p w14:paraId="1891D7F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76%</w:t>
            </w:r>
          </w:p>
        </w:tc>
      </w:tr>
      <w:tr w:rsidR="007E48B3" w:rsidRPr="006E6D96" w14:paraId="7241BAC9" w14:textId="77777777" w:rsidTr="00416373">
        <w:trPr>
          <w:trHeight w:val="285"/>
        </w:trPr>
        <w:tc>
          <w:tcPr>
            <w:tcW w:w="994" w:type="dxa"/>
            <w:shd w:val="clear" w:color="auto" w:fill="auto"/>
            <w:noWrap/>
            <w:vAlign w:val="bottom"/>
            <w:hideMark/>
          </w:tcPr>
          <w:p w14:paraId="4D2F0D4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4</w:t>
            </w:r>
          </w:p>
        </w:tc>
        <w:tc>
          <w:tcPr>
            <w:tcW w:w="668" w:type="dxa"/>
            <w:shd w:val="clear" w:color="auto" w:fill="auto"/>
            <w:noWrap/>
            <w:vAlign w:val="bottom"/>
            <w:hideMark/>
          </w:tcPr>
          <w:p w14:paraId="211CBB7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0.07 </w:t>
            </w:r>
          </w:p>
        </w:tc>
        <w:tc>
          <w:tcPr>
            <w:tcW w:w="932" w:type="dxa"/>
            <w:shd w:val="clear" w:color="auto" w:fill="auto"/>
            <w:noWrap/>
            <w:vAlign w:val="bottom"/>
            <w:hideMark/>
          </w:tcPr>
          <w:p w14:paraId="66500B2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w:t>
            </w:r>
          </w:p>
        </w:tc>
        <w:tc>
          <w:tcPr>
            <w:tcW w:w="971" w:type="dxa"/>
            <w:shd w:val="clear" w:color="auto" w:fill="auto"/>
            <w:noWrap/>
            <w:vAlign w:val="bottom"/>
            <w:hideMark/>
          </w:tcPr>
          <w:p w14:paraId="27C807D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100%</w:t>
            </w:r>
          </w:p>
        </w:tc>
        <w:tc>
          <w:tcPr>
            <w:tcW w:w="3069" w:type="dxa"/>
            <w:shd w:val="clear" w:color="auto" w:fill="auto"/>
            <w:noWrap/>
            <w:vAlign w:val="bottom"/>
            <w:hideMark/>
          </w:tcPr>
          <w:p w14:paraId="3FE0CF6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Palestinians employed in Israel out of total PT of employed Individuals</w:t>
            </w:r>
          </w:p>
        </w:tc>
        <w:tc>
          <w:tcPr>
            <w:tcW w:w="994" w:type="dxa"/>
            <w:shd w:val="clear" w:color="auto" w:fill="auto"/>
            <w:noWrap/>
            <w:vAlign w:val="bottom"/>
            <w:hideMark/>
          </w:tcPr>
          <w:p w14:paraId="2E82045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-0.49 </w:t>
            </w:r>
          </w:p>
        </w:tc>
        <w:tc>
          <w:tcPr>
            <w:tcW w:w="994" w:type="dxa"/>
            <w:shd w:val="clear" w:color="auto" w:fill="auto"/>
            <w:noWrap/>
            <w:vAlign w:val="bottom"/>
            <w:hideMark/>
          </w:tcPr>
          <w:p w14:paraId="4CECD6C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-0.14 </w:t>
            </w:r>
          </w:p>
        </w:tc>
        <w:tc>
          <w:tcPr>
            <w:tcW w:w="994" w:type="dxa"/>
            <w:shd w:val="clear" w:color="auto" w:fill="auto"/>
            <w:noWrap/>
            <w:vAlign w:val="bottom"/>
            <w:hideMark/>
          </w:tcPr>
          <w:p w14:paraId="34F9002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-0.94 </w:t>
            </w:r>
          </w:p>
        </w:tc>
        <w:tc>
          <w:tcPr>
            <w:tcW w:w="994" w:type="dxa"/>
            <w:shd w:val="clear" w:color="auto" w:fill="auto"/>
            <w:noWrap/>
            <w:vAlign w:val="bottom"/>
            <w:hideMark/>
          </w:tcPr>
          <w:p w14:paraId="4F87291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-0.14 </w:t>
            </w:r>
          </w:p>
        </w:tc>
        <w:tc>
          <w:tcPr>
            <w:tcW w:w="823" w:type="dxa"/>
            <w:shd w:val="clear" w:color="auto" w:fill="auto"/>
            <w:noWrap/>
            <w:vAlign w:val="bottom"/>
            <w:hideMark/>
          </w:tcPr>
          <w:p w14:paraId="0F4114A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90%</w:t>
            </w:r>
          </w:p>
        </w:tc>
        <w:tc>
          <w:tcPr>
            <w:tcW w:w="753" w:type="dxa"/>
            <w:shd w:val="clear" w:color="auto" w:fill="auto"/>
            <w:noWrap/>
            <w:vAlign w:val="bottom"/>
            <w:hideMark/>
          </w:tcPr>
          <w:p w14:paraId="4EC3143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10%</w:t>
            </w:r>
          </w:p>
        </w:tc>
        <w:tc>
          <w:tcPr>
            <w:tcW w:w="761" w:type="dxa"/>
            <w:shd w:val="clear" w:color="auto" w:fill="auto"/>
            <w:noWrap/>
            <w:vAlign w:val="bottom"/>
            <w:hideMark/>
          </w:tcPr>
          <w:p w14:paraId="2CEAE33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19%</w:t>
            </w:r>
          </w:p>
        </w:tc>
        <w:tc>
          <w:tcPr>
            <w:tcW w:w="570" w:type="dxa"/>
            <w:shd w:val="clear" w:color="auto" w:fill="auto"/>
            <w:noWrap/>
            <w:vAlign w:val="bottom"/>
            <w:hideMark/>
          </w:tcPr>
          <w:p w14:paraId="4A1A692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69%</w:t>
            </w:r>
          </w:p>
        </w:tc>
      </w:tr>
      <w:tr w:rsidR="007E48B3" w:rsidRPr="006E6D96" w14:paraId="63082670" w14:textId="77777777" w:rsidTr="00416373">
        <w:trPr>
          <w:trHeight w:val="285"/>
        </w:trPr>
        <w:tc>
          <w:tcPr>
            <w:tcW w:w="994" w:type="dxa"/>
            <w:shd w:val="clear" w:color="auto" w:fill="auto"/>
            <w:noWrap/>
            <w:vAlign w:val="bottom"/>
            <w:hideMark/>
          </w:tcPr>
          <w:p w14:paraId="5EA7B03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5</w:t>
            </w:r>
          </w:p>
        </w:tc>
        <w:tc>
          <w:tcPr>
            <w:tcW w:w="668" w:type="dxa"/>
            <w:shd w:val="clear" w:color="auto" w:fill="auto"/>
            <w:noWrap/>
            <w:vAlign w:val="bottom"/>
            <w:hideMark/>
          </w:tcPr>
          <w:p w14:paraId="62214B3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0.02 </w:t>
            </w:r>
          </w:p>
        </w:tc>
        <w:tc>
          <w:tcPr>
            <w:tcW w:w="932" w:type="dxa"/>
            <w:shd w:val="clear" w:color="auto" w:fill="auto"/>
            <w:noWrap/>
            <w:vAlign w:val="bottom"/>
            <w:hideMark/>
          </w:tcPr>
          <w:p w14:paraId="324F26C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0%</w:t>
            </w:r>
          </w:p>
        </w:tc>
        <w:tc>
          <w:tcPr>
            <w:tcW w:w="971" w:type="dxa"/>
            <w:shd w:val="clear" w:color="auto" w:fill="auto"/>
            <w:noWrap/>
            <w:vAlign w:val="bottom"/>
            <w:hideMark/>
          </w:tcPr>
          <w:p w14:paraId="218FFAD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100%</w:t>
            </w:r>
          </w:p>
        </w:tc>
        <w:tc>
          <w:tcPr>
            <w:tcW w:w="3069" w:type="dxa"/>
            <w:shd w:val="clear" w:color="auto" w:fill="auto"/>
            <w:noWrap/>
            <w:vAlign w:val="bottom"/>
            <w:hideMark/>
          </w:tcPr>
          <w:p w14:paraId="2B979DD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Remittances of Palestinians workers in Israel out of GNI</w:t>
            </w:r>
          </w:p>
        </w:tc>
        <w:tc>
          <w:tcPr>
            <w:tcW w:w="994" w:type="dxa"/>
            <w:shd w:val="clear" w:color="auto" w:fill="auto"/>
            <w:noWrap/>
            <w:vAlign w:val="bottom"/>
            <w:hideMark/>
          </w:tcPr>
          <w:p w14:paraId="728F2BB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-0.52 </w:t>
            </w:r>
          </w:p>
        </w:tc>
        <w:tc>
          <w:tcPr>
            <w:tcW w:w="994" w:type="dxa"/>
            <w:shd w:val="clear" w:color="auto" w:fill="auto"/>
            <w:noWrap/>
            <w:vAlign w:val="bottom"/>
            <w:hideMark/>
          </w:tcPr>
          <w:p w14:paraId="798D6A9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-0.01 </w:t>
            </w:r>
          </w:p>
        </w:tc>
        <w:tc>
          <w:tcPr>
            <w:tcW w:w="994" w:type="dxa"/>
            <w:shd w:val="clear" w:color="auto" w:fill="auto"/>
            <w:noWrap/>
            <w:vAlign w:val="bottom"/>
            <w:hideMark/>
          </w:tcPr>
          <w:p w14:paraId="4140068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-0.99 </w:t>
            </w:r>
          </w:p>
        </w:tc>
        <w:tc>
          <w:tcPr>
            <w:tcW w:w="994" w:type="dxa"/>
            <w:shd w:val="clear" w:color="auto" w:fill="auto"/>
            <w:noWrap/>
            <w:vAlign w:val="bottom"/>
            <w:hideMark/>
          </w:tcPr>
          <w:p w14:paraId="5047BF9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-0.01 </w:t>
            </w:r>
          </w:p>
        </w:tc>
        <w:tc>
          <w:tcPr>
            <w:tcW w:w="823" w:type="dxa"/>
            <w:shd w:val="clear" w:color="auto" w:fill="auto"/>
            <w:noWrap/>
            <w:vAlign w:val="bottom"/>
            <w:hideMark/>
          </w:tcPr>
          <w:p w14:paraId="6B8CD29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98%</w:t>
            </w:r>
          </w:p>
        </w:tc>
        <w:tc>
          <w:tcPr>
            <w:tcW w:w="753" w:type="dxa"/>
            <w:shd w:val="clear" w:color="auto" w:fill="auto"/>
            <w:noWrap/>
            <w:vAlign w:val="bottom"/>
            <w:hideMark/>
          </w:tcPr>
          <w:p w14:paraId="1477346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w:t>
            </w:r>
          </w:p>
        </w:tc>
        <w:tc>
          <w:tcPr>
            <w:tcW w:w="761" w:type="dxa"/>
            <w:shd w:val="clear" w:color="auto" w:fill="auto"/>
            <w:noWrap/>
            <w:vAlign w:val="bottom"/>
            <w:hideMark/>
          </w:tcPr>
          <w:p w14:paraId="3C216B7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21%</w:t>
            </w:r>
          </w:p>
        </w:tc>
        <w:tc>
          <w:tcPr>
            <w:tcW w:w="570" w:type="dxa"/>
            <w:shd w:val="clear" w:color="auto" w:fill="auto"/>
            <w:noWrap/>
            <w:vAlign w:val="bottom"/>
            <w:hideMark/>
          </w:tcPr>
          <w:p w14:paraId="69259D1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69%</w:t>
            </w:r>
          </w:p>
        </w:tc>
      </w:tr>
      <w:tr w:rsidR="007E48B3" w:rsidRPr="006E6D96" w14:paraId="7B7CC8A0" w14:textId="77777777" w:rsidTr="00416373">
        <w:trPr>
          <w:trHeight w:val="285"/>
        </w:trPr>
        <w:tc>
          <w:tcPr>
            <w:tcW w:w="994" w:type="dxa"/>
            <w:shd w:val="clear" w:color="auto" w:fill="auto"/>
            <w:noWrap/>
            <w:vAlign w:val="bottom"/>
            <w:hideMark/>
          </w:tcPr>
          <w:p w14:paraId="4AB78189" w14:textId="77777777" w:rsidR="007E48B3" w:rsidRPr="006E6D96" w:rsidRDefault="007E48B3" w:rsidP="00416373">
            <w:pPr>
              <w:bidi w:val="0"/>
              <w:rPr>
                <w:rFonts w:ascii="Arial" w:hAnsi="Arial"/>
                <w:color w:val="000000"/>
                <w:sz w:val="14"/>
                <w:szCs w:val="14"/>
              </w:rPr>
            </w:pPr>
          </w:p>
        </w:tc>
        <w:tc>
          <w:tcPr>
            <w:tcW w:w="668" w:type="dxa"/>
            <w:shd w:val="clear" w:color="auto" w:fill="auto"/>
            <w:noWrap/>
            <w:vAlign w:val="bottom"/>
            <w:hideMark/>
          </w:tcPr>
          <w:p w14:paraId="7CF13F5B" w14:textId="77777777" w:rsidR="007E48B3" w:rsidRPr="006E6D96" w:rsidRDefault="007E48B3" w:rsidP="00416373">
            <w:pPr>
              <w:bidi w:val="0"/>
              <w:rPr>
                <w:rFonts w:ascii="Times New Roman" w:hAnsi="Times New Roman" w:cs="Times New Roman"/>
                <w:sz w:val="14"/>
                <w:szCs w:val="14"/>
              </w:rPr>
            </w:pPr>
          </w:p>
        </w:tc>
        <w:tc>
          <w:tcPr>
            <w:tcW w:w="932" w:type="dxa"/>
            <w:shd w:val="clear" w:color="auto" w:fill="auto"/>
            <w:noWrap/>
            <w:vAlign w:val="bottom"/>
            <w:hideMark/>
          </w:tcPr>
          <w:p w14:paraId="4E18770D" w14:textId="77777777" w:rsidR="007E48B3" w:rsidRPr="006E6D96" w:rsidRDefault="007E48B3" w:rsidP="00416373">
            <w:pPr>
              <w:bidi w:val="0"/>
              <w:rPr>
                <w:rFonts w:ascii="Times New Roman" w:hAnsi="Times New Roman" w:cs="Times New Roman"/>
                <w:sz w:val="14"/>
                <w:szCs w:val="14"/>
              </w:rPr>
            </w:pPr>
          </w:p>
        </w:tc>
        <w:tc>
          <w:tcPr>
            <w:tcW w:w="971" w:type="dxa"/>
            <w:shd w:val="clear" w:color="auto" w:fill="auto"/>
            <w:noWrap/>
            <w:vAlign w:val="bottom"/>
            <w:hideMark/>
          </w:tcPr>
          <w:p w14:paraId="1B9C0444" w14:textId="77777777" w:rsidR="007E48B3" w:rsidRPr="006E6D96" w:rsidRDefault="007E48B3" w:rsidP="00416373">
            <w:pPr>
              <w:bidi w:val="0"/>
              <w:rPr>
                <w:rFonts w:ascii="Times New Roman" w:hAnsi="Times New Roman" w:cs="Times New Roman"/>
                <w:sz w:val="14"/>
                <w:szCs w:val="14"/>
              </w:rPr>
            </w:pPr>
          </w:p>
        </w:tc>
        <w:tc>
          <w:tcPr>
            <w:tcW w:w="3069" w:type="dxa"/>
            <w:shd w:val="clear" w:color="auto" w:fill="auto"/>
            <w:noWrap/>
            <w:vAlign w:val="bottom"/>
            <w:hideMark/>
          </w:tcPr>
          <w:p w14:paraId="4B5C76AD"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354199C0"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30B4187E"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081C6707"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44A9356F" w14:textId="77777777" w:rsidR="007E48B3" w:rsidRPr="006E6D96" w:rsidRDefault="007E48B3" w:rsidP="00416373">
            <w:pPr>
              <w:bidi w:val="0"/>
              <w:rPr>
                <w:rFonts w:ascii="Times New Roman" w:hAnsi="Times New Roman" w:cs="Times New Roman"/>
                <w:sz w:val="14"/>
                <w:szCs w:val="14"/>
              </w:rPr>
            </w:pPr>
          </w:p>
        </w:tc>
        <w:tc>
          <w:tcPr>
            <w:tcW w:w="823" w:type="dxa"/>
            <w:shd w:val="clear" w:color="auto" w:fill="auto"/>
            <w:noWrap/>
            <w:vAlign w:val="bottom"/>
            <w:hideMark/>
          </w:tcPr>
          <w:p w14:paraId="2A73BE83" w14:textId="77777777" w:rsidR="007E48B3" w:rsidRPr="006E6D96" w:rsidRDefault="007E48B3" w:rsidP="00416373">
            <w:pPr>
              <w:bidi w:val="0"/>
              <w:rPr>
                <w:rFonts w:ascii="Times New Roman" w:hAnsi="Times New Roman" w:cs="Times New Roman"/>
                <w:sz w:val="14"/>
                <w:szCs w:val="14"/>
              </w:rPr>
            </w:pPr>
          </w:p>
        </w:tc>
        <w:tc>
          <w:tcPr>
            <w:tcW w:w="753" w:type="dxa"/>
            <w:shd w:val="clear" w:color="auto" w:fill="auto"/>
            <w:noWrap/>
            <w:vAlign w:val="bottom"/>
            <w:hideMark/>
          </w:tcPr>
          <w:p w14:paraId="3560839A" w14:textId="77777777" w:rsidR="007E48B3" w:rsidRPr="006E6D96" w:rsidRDefault="007E48B3" w:rsidP="00416373">
            <w:pPr>
              <w:bidi w:val="0"/>
              <w:rPr>
                <w:rFonts w:ascii="Times New Roman" w:hAnsi="Times New Roman" w:cs="Times New Roman"/>
                <w:sz w:val="14"/>
                <w:szCs w:val="14"/>
              </w:rPr>
            </w:pPr>
          </w:p>
        </w:tc>
        <w:tc>
          <w:tcPr>
            <w:tcW w:w="761" w:type="dxa"/>
            <w:shd w:val="clear" w:color="auto" w:fill="auto"/>
            <w:noWrap/>
            <w:vAlign w:val="bottom"/>
            <w:hideMark/>
          </w:tcPr>
          <w:p w14:paraId="52A586E2" w14:textId="77777777" w:rsidR="007E48B3" w:rsidRPr="006E6D96" w:rsidRDefault="007E48B3" w:rsidP="00416373">
            <w:pPr>
              <w:bidi w:val="0"/>
              <w:rPr>
                <w:rFonts w:ascii="Times New Roman" w:hAnsi="Times New Roman" w:cs="Times New Roman"/>
                <w:sz w:val="14"/>
                <w:szCs w:val="14"/>
              </w:rPr>
            </w:pPr>
          </w:p>
        </w:tc>
        <w:tc>
          <w:tcPr>
            <w:tcW w:w="570" w:type="dxa"/>
            <w:shd w:val="clear" w:color="auto" w:fill="auto"/>
            <w:noWrap/>
            <w:vAlign w:val="bottom"/>
            <w:hideMark/>
          </w:tcPr>
          <w:p w14:paraId="33346112" w14:textId="77777777" w:rsidR="007E48B3" w:rsidRPr="006E6D96" w:rsidRDefault="007E48B3" w:rsidP="00416373">
            <w:pPr>
              <w:bidi w:val="0"/>
              <w:rPr>
                <w:rFonts w:ascii="Times New Roman" w:hAnsi="Times New Roman" w:cs="Times New Roman"/>
                <w:sz w:val="14"/>
                <w:szCs w:val="14"/>
              </w:rPr>
            </w:pPr>
          </w:p>
        </w:tc>
      </w:tr>
      <w:tr w:rsidR="007E48B3" w:rsidRPr="006E6D96" w14:paraId="688803D7" w14:textId="77777777" w:rsidTr="00416373">
        <w:trPr>
          <w:trHeight w:val="300"/>
        </w:trPr>
        <w:tc>
          <w:tcPr>
            <w:tcW w:w="994" w:type="dxa"/>
            <w:shd w:val="clear" w:color="auto" w:fill="auto"/>
            <w:noWrap/>
            <w:vAlign w:val="bottom"/>
            <w:hideMark/>
          </w:tcPr>
          <w:p w14:paraId="7D29A133"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w:t>
            </w:r>
          </w:p>
        </w:tc>
        <w:tc>
          <w:tcPr>
            <w:tcW w:w="668" w:type="dxa"/>
            <w:shd w:val="clear" w:color="auto" w:fill="auto"/>
            <w:noWrap/>
            <w:vAlign w:val="bottom"/>
            <w:hideMark/>
          </w:tcPr>
          <w:p w14:paraId="411A2421"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 xml:space="preserve"> </w:t>
            </w:r>
            <w:proofErr w:type="spellStart"/>
            <w:r w:rsidRPr="006E6D96">
              <w:rPr>
                <w:rFonts w:ascii="Arial" w:hAnsi="Arial"/>
                <w:b/>
                <w:bCs/>
                <w:color w:val="000000"/>
                <w:sz w:val="14"/>
                <w:szCs w:val="14"/>
              </w:rPr>
              <w:t>eValue</w:t>
            </w:r>
            <w:proofErr w:type="spellEnd"/>
            <w:r w:rsidRPr="006E6D96">
              <w:rPr>
                <w:rFonts w:ascii="Arial" w:hAnsi="Arial"/>
                <w:b/>
                <w:bCs/>
                <w:color w:val="000000"/>
                <w:sz w:val="14"/>
                <w:szCs w:val="14"/>
              </w:rPr>
              <w:t xml:space="preserve"> </w:t>
            </w:r>
          </w:p>
        </w:tc>
        <w:tc>
          <w:tcPr>
            <w:tcW w:w="932" w:type="dxa"/>
            <w:shd w:val="clear" w:color="auto" w:fill="auto"/>
            <w:noWrap/>
            <w:vAlign w:val="bottom"/>
            <w:hideMark/>
          </w:tcPr>
          <w:p w14:paraId="22E8D08B"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Proportion</w:t>
            </w:r>
          </w:p>
        </w:tc>
        <w:tc>
          <w:tcPr>
            <w:tcW w:w="971" w:type="dxa"/>
            <w:shd w:val="clear" w:color="auto" w:fill="auto"/>
            <w:noWrap/>
            <w:vAlign w:val="bottom"/>
            <w:hideMark/>
          </w:tcPr>
          <w:p w14:paraId="58953412"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Cumulative</w:t>
            </w:r>
          </w:p>
        </w:tc>
        <w:tc>
          <w:tcPr>
            <w:tcW w:w="3069" w:type="dxa"/>
            <w:shd w:val="clear" w:color="auto" w:fill="auto"/>
            <w:noWrap/>
            <w:vAlign w:val="bottom"/>
            <w:hideMark/>
          </w:tcPr>
          <w:p w14:paraId="6EFB6CA1"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Indicator</w:t>
            </w:r>
          </w:p>
        </w:tc>
        <w:tc>
          <w:tcPr>
            <w:tcW w:w="994" w:type="dxa"/>
            <w:shd w:val="clear" w:color="auto" w:fill="auto"/>
            <w:noWrap/>
            <w:vAlign w:val="bottom"/>
            <w:hideMark/>
          </w:tcPr>
          <w:p w14:paraId="3E835160"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1</w:t>
            </w:r>
          </w:p>
        </w:tc>
        <w:tc>
          <w:tcPr>
            <w:tcW w:w="994" w:type="dxa"/>
            <w:shd w:val="clear" w:color="auto" w:fill="auto"/>
            <w:noWrap/>
            <w:vAlign w:val="bottom"/>
            <w:hideMark/>
          </w:tcPr>
          <w:p w14:paraId="4ED5B780"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2</w:t>
            </w:r>
          </w:p>
        </w:tc>
        <w:tc>
          <w:tcPr>
            <w:tcW w:w="994" w:type="dxa"/>
            <w:shd w:val="clear" w:color="auto" w:fill="auto"/>
            <w:noWrap/>
            <w:vAlign w:val="bottom"/>
            <w:hideMark/>
          </w:tcPr>
          <w:p w14:paraId="77ED8B5A"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1</w:t>
            </w:r>
          </w:p>
        </w:tc>
        <w:tc>
          <w:tcPr>
            <w:tcW w:w="994" w:type="dxa"/>
            <w:shd w:val="clear" w:color="auto" w:fill="auto"/>
            <w:noWrap/>
            <w:vAlign w:val="bottom"/>
            <w:hideMark/>
          </w:tcPr>
          <w:p w14:paraId="6F080470"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2</w:t>
            </w:r>
          </w:p>
        </w:tc>
        <w:tc>
          <w:tcPr>
            <w:tcW w:w="823" w:type="dxa"/>
            <w:shd w:val="clear" w:color="auto" w:fill="auto"/>
            <w:noWrap/>
            <w:vAlign w:val="bottom"/>
            <w:hideMark/>
          </w:tcPr>
          <w:p w14:paraId="219F298F" w14:textId="77777777" w:rsidR="007E48B3" w:rsidRPr="006E6D96" w:rsidRDefault="007E48B3" w:rsidP="00416373">
            <w:pPr>
              <w:bidi w:val="0"/>
              <w:rPr>
                <w:rFonts w:ascii="Arial" w:hAnsi="Arial"/>
                <w:b/>
                <w:bCs/>
                <w:color w:val="000000"/>
                <w:sz w:val="14"/>
                <w:szCs w:val="14"/>
              </w:rPr>
            </w:pPr>
            <w:proofErr w:type="spellStart"/>
            <w:r w:rsidRPr="006E6D96">
              <w:rPr>
                <w:rFonts w:ascii="Arial" w:hAnsi="Arial"/>
                <w:b/>
                <w:bCs/>
                <w:color w:val="000000"/>
                <w:sz w:val="14"/>
                <w:szCs w:val="14"/>
              </w:rPr>
              <w:t>Commun</w:t>
            </w:r>
            <w:proofErr w:type="spellEnd"/>
          </w:p>
        </w:tc>
        <w:tc>
          <w:tcPr>
            <w:tcW w:w="753" w:type="dxa"/>
            <w:shd w:val="clear" w:color="auto" w:fill="auto"/>
            <w:noWrap/>
            <w:vAlign w:val="bottom"/>
            <w:hideMark/>
          </w:tcPr>
          <w:p w14:paraId="720A29F0"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Specific</w:t>
            </w:r>
          </w:p>
        </w:tc>
        <w:tc>
          <w:tcPr>
            <w:tcW w:w="761" w:type="dxa"/>
            <w:shd w:val="clear" w:color="auto" w:fill="auto"/>
            <w:noWrap/>
            <w:vAlign w:val="bottom"/>
            <w:hideMark/>
          </w:tcPr>
          <w:p w14:paraId="0AF7D7F9"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Weights</w:t>
            </w:r>
          </w:p>
        </w:tc>
        <w:tc>
          <w:tcPr>
            <w:tcW w:w="570" w:type="dxa"/>
            <w:shd w:val="clear" w:color="auto" w:fill="auto"/>
            <w:noWrap/>
            <w:vAlign w:val="bottom"/>
            <w:hideMark/>
          </w:tcPr>
          <w:p w14:paraId="612521A1"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KMO</w:t>
            </w:r>
          </w:p>
        </w:tc>
      </w:tr>
      <w:tr w:rsidR="007E48B3" w:rsidRPr="006E6D96" w14:paraId="720B6182" w14:textId="77777777" w:rsidTr="00416373">
        <w:trPr>
          <w:trHeight w:val="285"/>
        </w:trPr>
        <w:tc>
          <w:tcPr>
            <w:tcW w:w="994" w:type="dxa"/>
            <w:shd w:val="clear" w:color="auto" w:fill="auto"/>
            <w:noWrap/>
            <w:vAlign w:val="bottom"/>
            <w:hideMark/>
          </w:tcPr>
          <w:p w14:paraId="45082D9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1</w:t>
            </w:r>
          </w:p>
        </w:tc>
        <w:tc>
          <w:tcPr>
            <w:tcW w:w="668" w:type="dxa"/>
            <w:shd w:val="clear" w:color="auto" w:fill="auto"/>
            <w:noWrap/>
            <w:vAlign w:val="bottom"/>
            <w:hideMark/>
          </w:tcPr>
          <w:p w14:paraId="65C9D59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2.81 </w:t>
            </w:r>
          </w:p>
        </w:tc>
        <w:tc>
          <w:tcPr>
            <w:tcW w:w="932" w:type="dxa"/>
            <w:shd w:val="clear" w:color="auto" w:fill="auto"/>
            <w:noWrap/>
            <w:vAlign w:val="bottom"/>
            <w:hideMark/>
          </w:tcPr>
          <w:p w14:paraId="0B13021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56%</w:t>
            </w:r>
          </w:p>
        </w:tc>
        <w:tc>
          <w:tcPr>
            <w:tcW w:w="971" w:type="dxa"/>
            <w:shd w:val="clear" w:color="auto" w:fill="auto"/>
            <w:noWrap/>
            <w:vAlign w:val="bottom"/>
            <w:hideMark/>
          </w:tcPr>
          <w:p w14:paraId="734484E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56%</w:t>
            </w:r>
          </w:p>
        </w:tc>
        <w:tc>
          <w:tcPr>
            <w:tcW w:w="3069" w:type="dxa"/>
            <w:shd w:val="clear" w:color="auto" w:fill="auto"/>
            <w:noWrap/>
            <w:vAlign w:val="bottom"/>
            <w:hideMark/>
          </w:tcPr>
          <w:p w14:paraId="26AB432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Number of Israeli cars entered the WB out of Israeli </w:t>
            </w:r>
            <w:proofErr w:type="spellStart"/>
            <w:r w:rsidRPr="006E6D96">
              <w:rPr>
                <w:rFonts w:ascii="Arial" w:hAnsi="Arial"/>
                <w:color w:val="000000"/>
                <w:sz w:val="14"/>
                <w:szCs w:val="14"/>
              </w:rPr>
              <w:t>arab</w:t>
            </w:r>
            <w:proofErr w:type="spellEnd"/>
            <w:r w:rsidRPr="006E6D96">
              <w:rPr>
                <w:rFonts w:ascii="Arial" w:hAnsi="Arial"/>
                <w:color w:val="000000"/>
                <w:sz w:val="14"/>
                <w:szCs w:val="14"/>
              </w:rPr>
              <w:t xml:space="preserve"> population </w:t>
            </w:r>
          </w:p>
        </w:tc>
        <w:tc>
          <w:tcPr>
            <w:tcW w:w="994" w:type="dxa"/>
            <w:shd w:val="clear" w:color="auto" w:fill="auto"/>
            <w:noWrap/>
            <w:vAlign w:val="bottom"/>
            <w:hideMark/>
          </w:tcPr>
          <w:p w14:paraId="133BC95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0.56 </w:t>
            </w:r>
          </w:p>
        </w:tc>
        <w:tc>
          <w:tcPr>
            <w:tcW w:w="994" w:type="dxa"/>
            <w:shd w:val="clear" w:color="auto" w:fill="auto"/>
            <w:noWrap/>
            <w:vAlign w:val="bottom"/>
            <w:hideMark/>
          </w:tcPr>
          <w:p w14:paraId="77A7115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-0.21 </w:t>
            </w:r>
          </w:p>
        </w:tc>
        <w:tc>
          <w:tcPr>
            <w:tcW w:w="994" w:type="dxa"/>
            <w:shd w:val="clear" w:color="auto" w:fill="auto"/>
            <w:noWrap/>
            <w:vAlign w:val="bottom"/>
            <w:hideMark/>
          </w:tcPr>
          <w:p w14:paraId="5F50826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0.94 </w:t>
            </w:r>
          </w:p>
        </w:tc>
        <w:tc>
          <w:tcPr>
            <w:tcW w:w="994" w:type="dxa"/>
            <w:shd w:val="clear" w:color="auto" w:fill="auto"/>
            <w:noWrap/>
            <w:vAlign w:val="bottom"/>
            <w:hideMark/>
          </w:tcPr>
          <w:p w14:paraId="2EA6AC5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-0.24 </w:t>
            </w:r>
          </w:p>
        </w:tc>
        <w:tc>
          <w:tcPr>
            <w:tcW w:w="823" w:type="dxa"/>
            <w:shd w:val="clear" w:color="auto" w:fill="auto"/>
            <w:noWrap/>
            <w:vAlign w:val="bottom"/>
            <w:hideMark/>
          </w:tcPr>
          <w:p w14:paraId="4B2F3F8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94%</w:t>
            </w:r>
          </w:p>
        </w:tc>
        <w:tc>
          <w:tcPr>
            <w:tcW w:w="753" w:type="dxa"/>
            <w:shd w:val="clear" w:color="auto" w:fill="auto"/>
            <w:noWrap/>
            <w:vAlign w:val="bottom"/>
            <w:hideMark/>
          </w:tcPr>
          <w:p w14:paraId="6EA6074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w:t>
            </w:r>
          </w:p>
        </w:tc>
        <w:tc>
          <w:tcPr>
            <w:tcW w:w="761" w:type="dxa"/>
            <w:shd w:val="clear" w:color="auto" w:fill="auto"/>
            <w:noWrap/>
            <w:vAlign w:val="bottom"/>
            <w:hideMark/>
          </w:tcPr>
          <w:p w14:paraId="7271D65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23%</w:t>
            </w:r>
          </w:p>
        </w:tc>
        <w:tc>
          <w:tcPr>
            <w:tcW w:w="570" w:type="dxa"/>
            <w:shd w:val="clear" w:color="auto" w:fill="auto"/>
            <w:noWrap/>
            <w:vAlign w:val="bottom"/>
            <w:hideMark/>
          </w:tcPr>
          <w:p w14:paraId="1439374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61%</w:t>
            </w:r>
          </w:p>
        </w:tc>
      </w:tr>
      <w:tr w:rsidR="007E48B3" w:rsidRPr="006E6D96" w14:paraId="1A7BA565" w14:textId="77777777" w:rsidTr="00416373">
        <w:trPr>
          <w:trHeight w:val="285"/>
        </w:trPr>
        <w:tc>
          <w:tcPr>
            <w:tcW w:w="994" w:type="dxa"/>
            <w:shd w:val="clear" w:color="auto" w:fill="auto"/>
            <w:noWrap/>
            <w:vAlign w:val="bottom"/>
            <w:hideMark/>
          </w:tcPr>
          <w:p w14:paraId="39A89E9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2</w:t>
            </w:r>
          </w:p>
        </w:tc>
        <w:tc>
          <w:tcPr>
            <w:tcW w:w="668" w:type="dxa"/>
            <w:shd w:val="clear" w:color="auto" w:fill="auto"/>
            <w:noWrap/>
            <w:vAlign w:val="bottom"/>
            <w:hideMark/>
          </w:tcPr>
          <w:p w14:paraId="14D8726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1.31 </w:t>
            </w:r>
          </w:p>
        </w:tc>
        <w:tc>
          <w:tcPr>
            <w:tcW w:w="932" w:type="dxa"/>
            <w:shd w:val="clear" w:color="auto" w:fill="auto"/>
            <w:noWrap/>
            <w:vAlign w:val="bottom"/>
            <w:hideMark/>
          </w:tcPr>
          <w:p w14:paraId="4EA99CB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26%</w:t>
            </w:r>
          </w:p>
        </w:tc>
        <w:tc>
          <w:tcPr>
            <w:tcW w:w="971" w:type="dxa"/>
            <w:shd w:val="clear" w:color="auto" w:fill="auto"/>
            <w:noWrap/>
            <w:vAlign w:val="bottom"/>
            <w:hideMark/>
          </w:tcPr>
          <w:p w14:paraId="5BED839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82%</w:t>
            </w:r>
          </w:p>
        </w:tc>
        <w:tc>
          <w:tcPr>
            <w:tcW w:w="3069" w:type="dxa"/>
            <w:shd w:val="clear" w:color="auto" w:fill="auto"/>
            <w:noWrap/>
            <w:vAlign w:val="bottom"/>
            <w:hideMark/>
          </w:tcPr>
          <w:p w14:paraId="41DD849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Movement of people of WBG population to Israel out of total PT population</w:t>
            </w:r>
          </w:p>
        </w:tc>
        <w:tc>
          <w:tcPr>
            <w:tcW w:w="994" w:type="dxa"/>
            <w:shd w:val="clear" w:color="auto" w:fill="auto"/>
            <w:noWrap/>
            <w:vAlign w:val="bottom"/>
            <w:hideMark/>
          </w:tcPr>
          <w:p w14:paraId="6A34FED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0.56 </w:t>
            </w:r>
          </w:p>
        </w:tc>
        <w:tc>
          <w:tcPr>
            <w:tcW w:w="994" w:type="dxa"/>
            <w:shd w:val="clear" w:color="auto" w:fill="auto"/>
            <w:noWrap/>
            <w:vAlign w:val="bottom"/>
            <w:hideMark/>
          </w:tcPr>
          <w:p w14:paraId="0E21FB8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-0.07 </w:t>
            </w:r>
          </w:p>
        </w:tc>
        <w:tc>
          <w:tcPr>
            <w:tcW w:w="994" w:type="dxa"/>
            <w:shd w:val="clear" w:color="auto" w:fill="auto"/>
            <w:noWrap/>
            <w:vAlign w:val="bottom"/>
            <w:hideMark/>
          </w:tcPr>
          <w:p w14:paraId="48BAB64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0.93 </w:t>
            </w:r>
          </w:p>
        </w:tc>
        <w:tc>
          <w:tcPr>
            <w:tcW w:w="994" w:type="dxa"/>
            <w:shd w:val="clear" w:color="auto" w:fill="auto"/>
            <w:noWrap/>
            <w:vAlign w:val="bottom"/>
            <w:hideMark/>
          </w:tcPr>
          <w:p w14:paraId="3DEF3B3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-0.08 </w:t>
            </w:r>
          </w:p>
        </w:tc>
        <w:tc>
          <w:tcPr>
            <w:tcW w:w="823" w:type="dxa"/>
            <w:shd w:val="clear" w:color="auto" w:fill="auto"/>
            <w:noWrap/>
            <w:vAlign w:val="bottom"/>
            <w:hideMark/>
          </w:tcPr>
          <w:p w14:paraId="1DBEEDF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88%</w:t>
            </w:r>
          </w:p>
        </w:tc>
        <w:tc>
          <w:tcPr>
            <w:tcW w:w="753" w:type="dxa"/>
            <w:shd w:val="clear" w:color="auto" w:fill="auto"/>
            <w:noWrap/>
            <w:vAlign w:val="bottom"/>
            <w:hideMark/>
          </w:tcPr>
          <w:p w14:paraId="40BBFFC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12%</w:t>
            </w:r>
          </w:p>
        </w:tc>
        <w:tc>
          <w:tcPr>
            <w:tcW w:w="761" w:type="dxa"/>
            <w:shd w:val="clear" w:color="auto" w:fill="auto"/>
            <w:noWrap/>
            <w:vAlign w:val="bottom"/>
            <w:hideMark/>
          </w:tcPr>
          <w:p w14:paraId="0750A0C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21%</w:t>
            </w:r>
          </w:p>
        </w:tc>
        <w:tc>
          <w:tcPr>
            <w:tcW w:w="570" w:type="dxa"/>
            <w:shd w:val="clear" w:color="auto" w:fill="auto"/>
            <w:noWrap/>
            <w:vAlign w:val="bottom"/>
            <w:hideMark/>
          </w:tcPr>
          <w:p w14:paraId="3B35D00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66%</w:t>
            </w:r>
          </w:p>
        </w:tc>
      </w:tr>
      <w:tr w:rsidR="007E48B3" w:rsidRPr="006E6D96" w14:paraId="08D2AB1D" w14:textId="77777777" w:rsidTr="00416373">
        <w:trPr>
          <w:trHeight w:val="285"/>
        </w:trPr>
        <w:tc>
          <w:tcPr>
            <w:tcW w:w="994" w:type="dxa"/>
            <w:shd w:val="clear" w:color="auto" w:fill="auto"/>
            <w:noWrap/>
            <w:vAlign w:val="bottom"/>
            <w:hideMark/>
          </w:tcPr>
          <w:p w14:paraId="1484D44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3</w:t>
            </w:r>
          </w:p>
        </w:tc>
        <w:tc>
          <w:tcPr>
            <w:tcW w:w="668" w:type="dxa"/>
            <w:shd w:val="clear" w:color="auto" w:fill="auto"/>
            <w:noWrap/>
            <w:vAlign w:val="bottom"/>
            <w:hideMark/>
          </w:tcPr>
          <w:p w14:paraId="46D097A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0.74 </w:t>
            </w:r>
          </w:p>
        </w:tc>
        <w:tc>
          <w:tcPr>
            <w:tcW w:w="932" w:type="dxa"/>
            <w:shd w:val="clear" w:color="auto" w:fill="auto"/>
            <w:noWrap/>
            <w:vAlign w:val="bottom"/>
            <w:hideMark/>
          </w:tcPr>
          <w:p w14:paraId="4B570F8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15%</w:t>
            </w:r>
          </w:p>
        </w:tc>
        <w:tc>
          <w:tcPr>
            <w:tcW w:w="971" w:type="dxa"/>
            <w:shd w:val="clear" w:color="auto" w:fill="auto"/>
            <w:noWrap/>
            <w:vAlign w:val="bottom"/>
            <w:hideMark/>
          </w:tcPr>
          <w:p w14:paraId="65FA8AE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97%</w:t>
            </w:r>
          </w:p>
        </w:tc>
        <w:tc>
          <w:tcPr>
            <w:tcW w:w="3069" w:type="dxa"/>
            <w:shd w:val="clear" w:color="auto" w:fill="auto"/>
            <w:noWrap/>
            <w:vAlign w:val="bottom"/>
            <w:hideMark/>
          </w:tcPr>
          <w:p w14:paraId="57B06F6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Number of permits  to </w:t>
            </w:r>
            <w:proofErr w:type="spellStart"/>
            <w:r w:rsidRPr="006E6D96">
              <w:rPr>
                <w:rFonts w:ascii="Arial" w:hAnsi="Arial"/>
                <w:color w:val="000000"/>
                <w:sz w:val="14"/>
                <w:szCs w:val="14"/>
              </w:rPr>
              <w:t>palestinian</w:t>
            </w:r>
            <w:proofErr w:type="spellEnd"/>
            <w:r w:rsidRPr="006E6D96">
              <w:rPr>
                <w:rFonts w:ascii="Arial" w:hAnsi="Arial"/>
                <w:color w:val="000000"/>
                <w:sz w:val="14"/>
                <w:szCs w:val="14"/>
              </w:rPr>
              <w:t xml:space="preserve"> for medical treatment out of total PT population</w:t>
            </w:r>
          </w:p>
        </w:tc>
        <w:tc>
          <w:tcPr>
            <w:tcW w:w="994" w:type="dxa"/>
            <w:shd w:val="clear" w:color="auto" w:fill="auto"/>
            <w:noWrap/>
            <w:vAlign w:val="bottom"/>
            <w:hideMark/>
          </w:tcPr>
          <w:p w14:paraId="26ADA87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-0.20 </w:t>
            </w:r>
          </w:p>
        </w:tc>
        <w:tc>
          <w:tcPr>
            <w:tcW w:w="994" w:type="dxa"/>
            <w:shd w:val="clear" w:color="auto" w:fill="auto"/>
            <w:noWrap/>
            <w:vAlign w:val="bottom"/>
            <w:hideMark/>
          </w:tcPr>
          <w:p w14:paraId="6F23C67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-0.70 </w:t>
            </w:r>
          </w:p>
        </w:tc>
        <w:tc>
          <w:tcPr>
            <w:tcW w:w="994" w:type="dxa"/>
            <w:shd w:val="clear" w:color="auto" w:fill="auto"/>
            <w:noWrap/>
            <w:vAlign w:val="bottom"/>
            <w:hideMark/>
          </w:tcPr>
          <w:p w14:paraId="4A81FE7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-0.34 </w:t>
            </w:r>
          </w:p>
        </w:tc>
        <w:tc>
          <w:tcPr>
            <w:tcW w:w="994" w:type="dxa"/>
            <w:shd w:val="clear" w:color="auto" w:fill="auto"/>
            <w:noWrap/>
            <w:vAlign w:val="bottom"/>
            <w:hideMark/>
          </w:tcPr>
          <w:p w14:paraId="780C652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-0.80 </w:t>
            </w:r>
          </w:p>
        </w:tc>
        <w:tc>
          <w:tcPr>
            <w:tcW w:w="823" w:type="dxa"/>
            <w:shd w:val="clear" w:color="auto" w:fill="auto"/>
            <w:noWrap/>
            <w:vAlign w:val="bottom"/>
            <w:hideMark/>
          </w:tcPr>
          <w:p w14:paraId="0E91C3B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76%</w:t>
            </w:r>
          </w:p>
        </w:tc>
        <w:tc>
          <w:tcPr>
            <w:tcW w:w="753" w:type="dxa"/>
            <w:shd w:val="clear" w:color="auto" w:fill="auto"/>
            <w:noWrap/>
            <w:vAlign w:val="bottom"/>
            <w:hideMark/>
          </w:tcPr>
          <w:p w14:paraId="090F0E9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24%</w:t>
            </w:r>
          </w:p>
        </w:tc>
        <w:tc>
          <w:tcPr>
            <w:tcW w:w="761" w:type="dxa"/>
            <w:shd w:val="clear" w:color="auto" w:fill="auto"/>
            <w:noWrap/>
            <w:vAlign w:val="bottom"/>
            <w:hideMark/>
          </w:tcPr>
          <w:p w14:paraId="21AF840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18%</w:t>
            </w:r>
          </w:p>
        </w:tc>
        <w:tc>
          <w:tcPr>
            <w:tcW w:w="570" w:type="dxa"/>
            <w:shd w:val="clear" w:color="auto" w:fill="auto"/>
            <w:noWrap/>
            <w:vAlign w:val="bottom"/>
            <w:hideMark/>
          </w:tcPr>
          <w:p w14:paraId="65690431" w14:textId="77777777" w:rsidR="007E48B3" w:rsidRPr="007E1B70" w:rsidRDefault="007E48B3" w:rsidP="00416373">
            <w:pPr>
              <w:bidi w:val="0"/>
              <w:rPr>
                <w:rFonts w:ascii="Arial" w:hAnsi="Arial"/>
                <w:color w:val="000000"/>
                <w:sz w:val="14"/>
                <w:szCs w:val="14"/>
                <w:u w:val="single"/>
              </w:rPr>
            </w:pPr>
            <w:r w:rsidRPr="007E1B70">
              <w:rPr>
                <w:rFonts w:ascii="Arial" w:hAnsi="Arial"/>
                <w:color w:val="000000"/>
                <w:sz w:val="14"/>
                <w:szCs w:val="14"/>
                <w:u w:val="single"/>
              </w:rPr>
              <w:t>30%</w:t>
            </w:r>
          </w:p>
        </w:tc>
      </w:tr>
      <w:tr w:rsidR="007E48B3" w:rsidRPr="006E6D96" w14:paraId="6C68B928" w14:textId="77777777" w:rsidTr="00416373">
        <w:trPr>
          <w:trHeight w:val="285"/>
        </w:trPr>
        <w:tc>
          <w:tcPr>
            <w:tcW w:w="994" w:type="dxa"/>
            <w:shd w:val="clear" w:color="auto" w:fill="auto"/>
            <w:noWrap/>
            <w:vAlign w:val="bottom"/>
            <w:hideMark/>
          </w:tcPr>
          <w:p w14:paraId="14FB2CD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4</w:t>
            </w:r>
          </w:p>
        </w:tc>
        <w:tc>
          <w:tcPr>
            <w:tcW w:w="668" w:type="dxa"/>
            <w:shd w:val="clear" w:color="auto" w:fill="auto"/>
            <w:noWrap/>
            <w:vAlign w:val="bottom"/>
            <w:hideMark/>
          </w:tcPr>
          <w:p w14:paraId="02F2E0A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0.09 </w:t>
            </w:r>
          </w:p>
        </w:tc>
        <w:tc>
          <w:tcPr>
            <w:tcW w:w="932" w:type="dxa"/>
            <w:shd w:val="clear" w:color="auto" w:fill="auto"/>
            <w:noWrap/>
            <w:vAlign w:val="bottom"/>
            <w:hideMark/>
          </w:tcPr>
          <w:p w14:paraId="3AA1769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w:t>
            </w:r>
          </w:p>
        </w:tc>
        <w:tc>
          <w:tcPr>
            <w:tcW w:w="971" w:type="dxa"/>
            <w:shd w:val="clear" w:color="auto" w:fill="auto"/>
            <w:noWrap/>
            <w:vAlign w:val="bottom"/>
            <w:hideMark/>
          </w:tcPr>
          <w:p w14:paraId="5F4FEF8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99%</w:t>
            </w:r>
          </w:p>
        </w:tc>
        <w:tc>
          <w:tcPr>
            <w:tcW w:w="3069" w:type="dxa"/>
            <w:shd w:val="clear" w:color="auto" w:fill="auto"/>
            <w:noWrap/>
            <w:vAlign w:val="bottom"/>
            <w:hideMark/>
          </w:tcPr>
          <w:p w14:paraId="18A4E90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Percentage of </w:t>
            </w:r>
            <w:proofErr w:type="spellStart"/>
            <w:r w:rsidRPr="006E6D96">
              <w:rPr>
                <w:rFonts w:ascii="Arial" w:hAnsi="Arial"/>
                <w:color w:val="000000"/>
                <w:sz w:val="14"/>
                <w:szCs w:val="14"/>
              </w:rPr>
              <w:t>palestinians</w:t>
            </w:r>
            <w:proofErr w:type="spellEnd"/>
            <w:r w:rsidRPr="006E6D96">
              <w:rPr>
                <w:rFonts w:ascii="Arial" w:hAnsi="Arial"/>
                <w:color w:val="000000"/>
                <w:sz w:val="14"/>
                <w:szCs w:val="14"/>
              </w:rPr>
              <w:t xml:space="preserve"> Households traveled on Outbound Trips to Israel </w:t>
            </w:r>
          </w:p>
        </w:tc>
        <w:tc>
          <w:tcPr>
            <w:tcW w:w="994" w:type="dxa"/>
            <w:shd w:val="clear" w:color="auto" w:fill="auto"/>
            <w:noWrap/>
            <w:vAlign w:val="bottom"/>
            <w:hideMark/>
          </w:tcPr>
          <w:p w14:paraId="098BB8D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0.56 </w:t>
            </w:r>
          </w:p>
        </w:tc>
        <w:tc>
          <w:tcPr>
            <w:tcW w:w="994" w:type="dxa"/>
            <w:shd w:val="clear" w:color="auto" w:fill="auto"/>
            <w:noWrap/>
            <w:vAlign w:val="bottom"/>
            <w:hideMark/>
          </w:tcPr>
          <w:p w14:paraId="503EABA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0.17 </w:t>
            </w:r>
          </w:p>
        </w:tc>
        <w:tc>
          <w:tcPr>
            <w:tcW w:w="994" w:type="dxa"/>
            <w:shd w:val="clear" w:color="auto" w:fill="auto"/>
            <w:noWrap/>
            <w:vAlign w:val="bottom"/>
            <w:hideMark/>
          </w:tcPr>
          <w:p w14:paraId="0F4D060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0.94 </w:t>
            </w:r>
          </w:p>
        </w:tc>
        <w:tc>
          <w:tcPr>
            <w:tcW w:w="994" w:type="dxa"/>
            <w:shd w:val="clear" w:color="auto" w:fill="auto"/>
            <w:noWrap/>
            <w:vAlign w:val="bottom"/>
            <w:hideMark/>
          </w:tcPr>
          <w:p w14:paraId="18EE2AB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0.20 </w:t>
            </w:r>
          </w:p>
        </w:tc>
        <w:tc>
          <w:tcPr>
            <w:tcW w:w="823" w:type="dxa"/>
            <w:shd w:val="clear" w:color="auto" w:fill="auto"/>
            <w:noWrap/>
            <w:vAlign w:val="bottom"/>
            <w:hideMark/>
          </w:tcPr>
          <w:p w14:paraId="03EA84D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93%</w:t>
            </w:r>
          </w:p>
        </w:tc>
        <w:tc>
          <w:tcPr>
            <w:tcW w:w="753" w:type="dxa"/>
            <w:shd w:val="clear" w:color="auto" w:fill="auto"/>
            <w:noWrap/>
            <w:vAlign w:val="bottom"/>
            <w:hideMark/>
          </w:tcPr>
          <w:p w14:paraId="56F68FA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w:t>
            </w:r>
          </w:p>
        </w:tc>
        <w:tc>
          <w:tcPr>
            <w:tcW w:w="761" w:type="dxa"/>
            <w:shd w:val="clear" w:color="auto" w:fill="auto"/>
            <w:noWrap/>
            <w:vAlign w:val="bottom"/>
            <w:hideMark/>
          </w:tcPr>
          <w:p w14:paraId="4BF112C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23%</w:t>
            </w:r>
          </w:p>
        </w:tc>
        <w:tc>
          <w:tcPr>
            <w:tcW w:w="570" w:type="dxa"/>
            <w:shd w:val="clear" w:color="auto" w:fill="auto"/>
            <w:noWrap/>
            <w:vAlign w:val="bottom"/>
            <w:hideMark/>
          </w:tcPr>
          <w:p w14:paraId="7A6AC08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64%</w:t>
            </w:r>
          </w:p>
        </w:tc>
      </w:tr>
      <w:tr w:rsidR="007E48B3" w:rsidRPr="006E6D96" w14:paraId="73360DD3" w14:textId="77777777" w:rsidTr="00416373">
        <w:trPr>
          <w:trHeight w:val="285"/>
        </w:trPr>
        <w:tc>
          <w:tcPr>
            <w:tcW w:w="994" w:type="dxa"/>
            <w:shd w:val="clear" w:color="auto" w:fill="auto"/>
            <w:noWrap/>
            <w:vAlign w:val="bottom"/>
            <w:hideMark/>
          </w:tcPr>
          <w:p w14:paraId="089423B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5</w:t>
            </w:r>
          </w:p>
        </w:tc>
        <w:tc>
          <w:tcPr>
            <w:tcW w:w="668" w:type="dxa"/>
            <w:shd w:val="clear" w:color="auto" w:fill="auto"/>
            <w:noWrap/>
            <w:vAlign w:val="bottom"/>
            <w:hideMark/>
          </w:tcPr>
          <w:p w14:paraId="362A60B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0.05 </w:t>
            </w:r>
          </w:p>
        </w:tc>
        <w:tc>
          <w:tcPr>
            <w:tcW w:w="932" w:type="dxa"/>
            <w:shd w:val="clear" w:color="auto" w:fill="auto"/>
            <w:noWrap/>
            <w:vAlign w:val="bottom"/>
            <w:hideMark/>
          </w:tcPr>
          <w:p w14:paraId="12CD52C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w:t>
            </w:r>
          </w:p>
        </w:tc>
        <w:tc>
          <w:tcPr>
            <w:tcW w:w="971" w:type="dxa"/>
            <w:shd w:val="clear" w:color="auto" w:fill="auto"/>
            <w:noWrap/>
            <w:vAlign w:val="bottom"/>
            <w:hideMark/>
          </w:tcPr>
          <w:p w14:paraId="69EC7CC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100%</w:t>
            </w:r>
          </w:p>
        </w:tc>
        <w:tc>
          <w:tcPr>
            <w:tcW w:w="3069" w:type="dxa"/>
            <w:shd w:val="clear" w:color="auto" w:fill="auto"/>
            <w:noWrap/>
            <w:vAlign w:val="bottom"/>
            <w:hideMark/>
          </w:tcPr>
          <w:p w14:paraId="307B766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Percentage of </w:t>
            </w:r>
            <w:proofErr w:type="spellStart"/>
            <w:r w:rsidRPr="006E6D96">
              <w:rPr>
                <w:rFonts w:ascii="Arial" w:hAnsi="Arial"/>
                <w:color w:val="000000"/>
                <w:sz w:val="14"/>
                <w:szCs w:val="14"/>
              </w:rPr>
              <w:t>israeli</w:t>
            </w:r>
            <w:proofErr w:type="spellEnd"/>
            <w:r w:rsidRPr="006E6D96">
              <w:rPr>
                <w:rFonts w:ascii="Arial" w:hAnsi="Arial"/>
                <w:color w:val="000000"/>
                <w:sz w:val="14"/>
                <w:szCs w:val="14"/>
              </w:rPr>
              <w:t xml:space="preserve"> Guests  in PT Hotels (left) </w:t>
            </w:r>
          </w:p>
        </w:tc>
        <w:tc>
          <w:tcPr>
            <w:tcW w:w="994" w:type="dxa"/>
            <w:shd w:val="clear" w:color="auto" w:fill="auto"/>
            <w:noWrap/>
            <w:vAlign w:val="bottom"/>
            <w:hideMark/>
          </w:tcPr>
          <w:p w14:paraId="0B7AD37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0.12 </w:t>
            </w:r>
          </w:p>
        </w:tc>
        <w:tc>
          <w:tcPr>
            <w:tcW w:w="994" w:type="dxa"/>
            <w:shd w:val="clear" w:color="auto" w:fill="auto"/>
            <w:noWrap/>
            <w:vAlign w:val="bottom"/>
            <w:hideMark/>
          </w:tcPr>
          <w:p w14:paraId="020E777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-0.66 </w:t>
            </w:r>
          </w:p>
        </w:tc>
        <w:tc>
          <w:tcPr>
            <w:tcW w:w="994" w:type="dxa"/>
            <w:shd w:val="clear" w:color="auto" w:fill="auto"/>
            <w:noWrap/>
            <w:vAlign w:val="bottom"/>
            <w:hideMark/>
          </w:tcPr>
          <w:p w14:paraId="0009A27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0.21 </w:t>
            </w:r>
          </w:p>
        </w:tc>
        <w:tc>
          <w:tcPr>
            <w:tcW w:w="994" w:type="dxa"/>
            <w:shd w:val="clear" w:color="auto" w:fill="auto"/>
            <w:noWrap/>
            <w:vAlign w:val="bottom"/>
            <w:hideMark/>
          </w:tcPr>
          <w:p w14:paraId="0CA981D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-0.75 </w:t>
            </w:r>
          </w:p>
        </w:tc>
        <w:tc>
          <w:tcPr>
            <w:tcW w:w="823" w:type="dxa"/>
            <w:shd w:val="clear" w:color="auto" w:fill="auto"/>
            <w:noWrap/>
            <w:vAlign w:val="bottom"/>
            <w:hideMark/>
          </w:tcPr>
          <w:p w14:paraId="5DE7468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61%</w:t>
            </w:r>
          </w:p>
        </w:tc>
        <w:tc>
          <w:tcPr>
            <w:tcW w:w="753" w:type="dxa"/>
            <w:shd w:val="clear" w:color="auto" w:fill="auto"/>
            <w:noWrap/>
            <w:vAlign w:val="bottom"/>
            <w:hideMark/>
          </w:tcPr>
          <w:p w14:paraId="0C899D1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39%</w:t>
            </w:r>
          </w:p>
        </w:tc>
        <w:tc>
          <w:tcPr>
            <w:tcW w:w="761" w:type="dxa"/>
            <w:shd w:val="clear" w:color="auto" w:fill="auto"/>
            <w:noWrap/>
            <w:vAlign w:val="bottom"/>
            <w:hideMark/>
          </w:tcPr>
          <w:p w14:paraId="165B8C9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15%</w:t>
            </w:r>
          </w:p>
        </w:tc>
        <w:tc>
          <w:tcPr>
            <w:tcW w:w="570" w:type="dxa"/>
            <w:shd w:val="clear" w:color="auto" w:fill="auto"/>
            <w:noWrap/>
            <w:vAlign w:val="bottom"/>
            <w:hideMark/>
          </w:tcPr>
          <w:p w14:paraId="512E2B0A" w14:textId="77777777" w:rsidR="007E48B3" w:rsidRPr="007E1B70" w:rsidRDefault="007E48B3" w:rsidP="00416373">
            <w:pPr>
              <w:bidi w:val="0"/>
              <w:rPr>
                <w:rFonts w:ascii="Arial" w:hAnsi="Arial"/>
                <w:color w:val="000000"/>
                <w:sz w:val="14"/>
                <w:szCs w:val="14"/>
                <w:u w:val="single"/>
              </w:rPr>
            </w:pPr>
            <w:r w:rsidRPr="007E1B70">
              <w:rPr>
                <w:rFonts w:ascii="Arial" w:hAnsi="Arial"/>
                <w:color w:val="000000"/>
                <w:sz w:val="14"/>
                <w:szCs w:val="14"/>
                <w:u w:val="single"/>
              </w:rPr>
              <w:t>27%</w:t>
            </w:r>
          </w:p>
        </w:tc>
      </w:tr>
      <w:tr w:rsidR="007E48B3" w:rsidRPr="006E6D96" w14:paraId="5C0E3246" w14:textId="77777777" w:rsidTr="00416373">
        <w:trPr>
          <w:trHeight w:val="285"/>
        </w:trPr>
        <w:tc>
          <w:tcPr>
            <w:tcW w:w="994" w:type="dxa"/>
            <w:shd w:val="clear" w:color="auto" w:fill="auto"/>
            <w:noWrap/>
            <w:vAlign w:val="bottom"/>
            <w:hideMark/>
          </w:tcPr>
          <w:p w14:paraId="7BBD46C5" w14:textId="77777777" w:rsidR="007E48B3" w:rsidRPr="006E6D96" w:rsidRDefault="007E48B3" w:rsidP="00416373">
            <w:pPr>
              <w:bidi w:val="0"/>
              <w:rPr>
                <w:rFonts w:ascii="Arial" w:hAnsi="Arial"/>
                <w:color w:val="000000"/>
                <w:sz w:val="14"/>
                <w:szCs w:val="14"/>
              </w:rPr>
            </w:pPr>
          </w:p>
        </w:tc>
        <w:tc>
          <w:tcPr>
            <w:tcW w:w="668" w:type="dxa"/>
            <w:shd w:val="clear" w:color="auto" w:fill="auto"/>
            <w:noWrap/>
            <w:vAlign w:val="bottom"/>
            <w:hideMark/>
          </w:tcPr>
          <w:p w14:paraId="2750DBCB" w14:textId="77777777" w:rsidR="007E48B3" w:rsidRPr="006E6D96" w:rsidRDefault="007E48B3" w:rsidP="00416373">
            <w:pPr>
              <w:bidi w:val="0"/>
              <w:rPr>
                <w:rFonts w:ascii="Times New Roman" w:hAnsi="Times New Roman" w:cs="Times New Roman"/>
                <w:sz w:val="14"/>
                <w:szCs w:val="14"/>
              </w:rPr>
            </w:pPr>
          </w:p>
        </w:tc>
        <w:tc>
          <w:tcPr>
            <w:tcW w:w="932" w:type="dxa"/>
            <w:shd w:val="clear" w:color="auto" w:fill="auto"/>
            <w:noWrap/>
            <w:vAlign w:val="bottom"/>
            <w:hideMark/>
          </w:tcPr>
          <w:p w14:paraId="640CC7B2" w14:textId="77777777" w:rsidR="007E48B3" w:rsidRPr="006E6D96" w:rsidRDefault="007E48B3" w:rsidP="00416373">
            <w:pPr>
              <w:bidi w:val="0"/>
              <w:rPr>
                <w:rFonts w:ascii="Times New Roman" w:hAnsi="Times New Roman" w:cs="Times New Roman"/>
                <w:sz w:val="14"/>
                <w:szCs w:val="14"/>
              </w:rPr>
            </w:pPr>
          </w:p>
        </w:tc>
        <w:tc>
          <w:tcPr>
            <w:tcW w:w="971" w:type="dxa"/>
            <w:shd w:val="clear" w:color="auto" w:fill="auto"/>
            <w:noWrap/>
            <w:vAlign w:val="bottom"/>
            <w:hideMark/>
          </w:tcPr>
          <w:p w14:paraId="5955E668" w14:textId="77777777" w:rsidR="007E48B3" w:rsidRPr="006E6D96" w:rsidRDefault="007E48B3" w:rsidP="00416373">
            <w:pPr>
              <w:bidi w:val="0"/>
              <w:rPr>
                <w:rFonts w:ascii="Times New Roman" w:hAnsi="Times New Roman" w:cs="Times New Roman"/>
                <w:sz w:val="14"/>
                <w:szCs w:val="14"/>
              </w:rPr>
            </w:pPr>
          </w:p>
        </w:tc>
        <w:tc>
          <w:tcPr>
            <w:tcW w:w="3069" w:type="dxa"/>
            <w:shd w:val="clear" w:color="auto" w:fill="auto"/>
            <w:noWrap/>
            <w:vAlign w:val="bottom"/>
            <w:hideMark/>
          </w:tcPr>
          <w:p w14:paraId="4F750F74"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58DEAFA7"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720583B0"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5899F7F6"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25CA907B" w14:textId="77777777" w:rsidR="007E48B3" w:rsidRPr="006E6D96" w:rsidRDefault="007E48B3" w:rsidP="00416373">
            <w:pPr>
              <w:bidi w:val="0"/>
              <w:rPr>
                <w:rFonts w:ascii="Times New Roman" w:hAnsi="Times New Roman" w:cs="Times New Roman"/>
                <w:sz w:val="14"/>
                <w:szCs w:val="14"/>
              </w:rPr>
            </w:pPr>
          </w:p>
        </w:tc>
        <w:tc>
          <w:tcPr>
            <w:tcW w:w="823" w:type="dxa"/>
            <w:shd w:val="clear" w:color="auto" w:fill="auto"/>
            <w:noWrap/>
            <w:vAlign w:val="bottom"/>
            <w:hideMark/>
          </w:tcPr>
          <w:p w14:paraId="671578AD" w14:textId="77777777" w:rsidR="007E48B3" w:rsidRPr="006E6D96" w:rsidRDefault="007E48B3" w:rsidP="00416373">
            <w:pPr>
              <w:bidi w:val="0"/>
              <w:rPr>
                <w:rFonts w:ascii="Times New Roman" w:hAnsi="Times New Roman" w:cs="Times New Roman"/>
                <w:sz w:val="14"/>
                <w:szCs w:val="14"/>
              </w:rPr>
            </w:pPr>
          </w:p>
        </w:tc>
        <w:tc>
          <w:tcPr>
            <w:tcW w:w="753" w:type="dxa"/>
            <w:shd w:val="clear" w:color="auto" w:fill="auto"/>
            <w:noWrap/>
            <w:vAlign w:val="bottom"/>
            <w:hideMark/>
          </w:tcPr>
          <w:p w14:paraId="3DC37551" w14:textId="77777777" w:rsidR="007E48B3" w:rsidRPr="006E6D96" w:rsidRDefault="007E48B3" w:rsidP="00416373">
            <w:pPr>
              <w:bidi w:val="0"/>
              <w:rPr>
                <w:rFonts w:ascii="Times New Roman" w:hAnsi="Times New Roman" w:cs="Times New Roman"/>
                <w:sz w:val="14"/>
                <w:szCs w:val="14"/>
              </w:rPr>
            </w:pPr>
          </w:p>
        </w:tc>
        <w:tc>
          <w:tcPr>
            <w:tcW w:w="761" w:type="dxa"/>
            <w:shd w:val="clear" w:color="auto" w:fill="auto"/>
            <w:noWrap/>
            <w:vAlign w:val="bottom"/>
            <w:hideMark/>
          </w:tcPr>
          <w:p w14:paraId="0E78708E" w14:textId="77777777" w:rsidR="007E48B3" w:rsidRPr="006E6D96" w:rsidRDefault="007E48B3" w:rsidP="00416373">
            <w:pPr>
              <w:bidi w:val="0"/>
              <w:rPr>
                <w:rFonts w:ascii="Times New Roman" w:hAnsi="Times New Roman" w:cs="Times New Roman"/>
                <w:sz w:val="14"/>
                <w:szCs w:val="14"/>
              </w:rPr>
            </w:pPr>
          </w:p>
        </w:tc>
        <w:tc>
          <w:tcPr>
            <w:tcW w:w="570" w:type="dxa"/>
            <w:shd w:val="clear" w:color="auto" w:fill="auto"/>
            <w:noWrap/>
            <w:vAlign w:val="bottom"/>
            <w:hideMark/>
          </w:tcPr>
          <w:p w14:paraId="3D82C00B" w14:textId="77777777" w:rsidR="007E48B3" w:rsidRPr="006E6D96" w:rsidRDefault="007E48B3" w:rsidP="00416373">
            <w:pPr>
              <w:bidi w:val="0"/>
              <w:rPr>
                <w:rFonts w:ascii="Times New Roman" w:hAnsi="Times New Roman" w:cs="Times New Roman"/>
                <w:sz w:val="14"/>
                <w:szCs w:val="14"/>
              </w:rPr>
            </w:pPr>
          </w:p>
        </w:tc>
      </w:tr>
      <w:tr w:rsidR="007E48B3" w:rsidRPr="006E6D96" w14:paraId="6718499A" w14:textId="77777777" w:rsidTr="00416373">
        <w:trPr>
          <w:trHeight w:val="300"/>
        </w:trPr>
        <w:tc>
          <w:tcPr>
            <w:tcW w:w="994" w:type="dxa"/>
            <w:shd w:val="clear" w:color="auto" w:fill="auto"/>
            <w:noWrap/>
            <w:vAlign w:val="bottom"/>
            <w:hideMark/>
          </w:tcPr>
          <w:p w14:paraId="27AB7DD3"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w:t>
            </w:r>
          </w:p>
        </w:tc>
        <w:tc>
          <w:tcPr>
            <w:tcW w:w="668" w:type="dxa"/>
            <w:shd w:val="clear" w:color="auto" w:fill="auto"/>
            <w:noWrap/>
            <w:vAlign w:val="bottom"/>
            <w:hideMark/>
          </w:tcPr>
          <w:p w14:paraId="7906CBAF"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 xml:space="preserve"> </w:t>
            </w:r>
            <w:proofErr w:type="spellStart"/>
            <w:r w:rsidRPr="006E6D96">
              <w:rPr>
                <w:rFonts w:ascii="Arial" w:hAnsi="Arial"/>
                <w:b/>
                <w:bCs/>
                <w:color w:val="000000"/>
                <w:sz w:val="14"/>
                <w:szCs w:val="14"/>
              </w:rPr>
              <w:t>eValue</w:t>
            </w:r>
            <w:proofErr w:type="spellEnd"/>
            <w:r w:rsidRPr="006E6D96">
              <w:rPr>
                <w:rFonts w:ascii="Arial" w:hAnsi="Arial"/>
                <w:b/>
                <w:bCs/>
                <w:color w:val="000000"/>
                <w:sz w:val="14"/>
                <w:szCs w:val="14"/>
              </w:rPr>
              <w:t xml:space="preserve"> </w:t>
            </w:r>
          </w:p>
        </w:tc>
        <w:tc>
          <w:tcPr>
            <w:tcW w:w="932" w:type="dxa"/>
            <w:shd w:val="clear" w:color="auto" w:fill="auto"/>
            <w:noWrap/>
            <w:vAlign w:val="bottom"/>
            <w:hideMark/>
          </w:tcPr>
          <w:p w14:paraId="14C0F615"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Proportion</w:t>
            </w:r>
          </w:p>
        </w:tc>
        <w:tc>
          <w:tcPr>
            <w:tcW w:w="971" w:type="dxa"/>
            <w:shd w:val="clear" w:color="auto" w:fill="auto"/>
            <w:noWrap/>
            <w:vAlign w:val="bottom"/>
            <w:hideMark/>
          </w:tcPr>
          <w:p w14:paraId="49AD40B2"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Cumulative</w:t>
            </w:r>
          </w:p>
        </w:tc>
        <w:tc>
          <w:tcPr>
            <w:tcW w:w="3069" w:type="dxa"/>
            <w:shd w:val="clear" w:color="auto" w:fill="auto"/>
            <w:noWrap/>
            <w:vAlign w:val="bottom"/>
            <w:hideMark/>
          </w:tcPr>
          <w:p w14:paraId="1697C7EE"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Indicator</w:t>
            </w:r>
          </w:p>
        </w:tc>
        <w:tc>
          <w:tcPr>
            <w:tcW w:w="994" w:type="dxa"/>
            <w:shd w:val="clear" w:color="auto" w:fill="auto"/>
            <w:noWrap/>
            <w:vAlign w:val="bottom"/>
            <w:hideMark/>
          </w:tcPr>
          <w:p w14:paraId="57DDB214"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1</w:t>
            </w:r>
          </w:p>
        </w:tc>
        <w:tc>
          <w:tcPr>
            <w:tcW w:w="994" w:type="dxa"/>
            <w:shd w:val="clear" w:color="auto" w:fill="auto"/>
            <w:noWrap/>
            <w:vAlign w:val="bottom"/>
            <w:hideMark/>
          </w:tcPr>
          <w:p w14:paraId="6F058114" w14:textId="77777777" w:rsidR="007E48B3" w:rsidRPr="006E6D96" w:rsidRDefault="007E48B3" w:rsidP="00416373">
            <w:pPr>
              <w:bidi w:val="0"/>
              <w:rPr>
                <w:rFonts w:ascii="Arial" w:hAnsi="Arial"/>
                <w:b/>
                <w:bCs/>
                <w:color w:val="000000"/>
                <w:sz w:val="14"/>
                <w:szCs w:val="14"/>
              </w:rPr>
            </w:pPr>
          </w:p>
        </w:tc>
        <w:tc>
          <w:tcPr>
            <w:tcW w:w="994" w:type="dxa"/>
            <w:shd w:val="clear" w:color="auto" w:fill="auto"/>
            <w:noWrap/>
            <w:vAlign w:val="bottom"/>
            <w:hideMark/>
          </w:tcPr>
          <w:p w14:paraId="4135D7F9"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1</w:t>
            </w:r>
          </w:p>
        </w:tc>
        <w:tc>
          <w:tcPr>
            <w:tcW w:w="994" w:type="dxa"/>
            <w:shd w:val="clear" w:color="auto" w:fill="auto"/>
            <w:noWrap/>
            <w:vAlign w:val="bottom"/>
            <w:hideMark/>
          </w:tcPr>
          <w:p w14:paraId="49AB411A" w14:textId="77777777" w:rsidR="007E48B3" w:rsidRPr="006E6D96" w:rsidRDefault="007E48B3" w:rsidP="00416373">
            <w:pPr>
              <w:bidi w:val="0"/>
              <w:rPr>
                <w:rFonts w:ascii="Arial" w:hAnsi="Arial"/>
                <w:b/>
                <w:bCs/>
                <w:color w:val="000000"/>
                <w:sz w:val="14"/>
                <w:szCs w:val="14"/>
              </w:rPr>
            </w:pPr>
          </w:p>
        </w:tc>
        <w:tc>
          <w:tcPr>
            <w:tcW w:w="823" w:type="dxa"/>
            <w:shd w:val="clear" w:color="auto" w:fill="auto"/>
            <w:noWrap/>
            <w:vAlign w:val="bottom"/>
            <w:hideMark/>
          </w:tcPr>
          <w:p w14:paraId="49ED4D86" w14:textId="77777777" w:rsidR="007E48B3" w:rsidRPr="006E6D96" w:rsidRDefault="007E48B3" w:rsidP="00416373">
            <w:pPr>
              <w:bidi w:val="0"/>
              <w:rPr>
                <w:rFonts w:ascii="Arial" w:hAnsi="Arial"/>
                <w:b/>
                <w:bCs/>
                <w:color w:val="000000"/>
                <w:sz w:val="14"/>
                <w:szCs w:val="14"/>
              </w:rPr>
            </w:pPr>
            <w:proofErr w:type="spellStart"/>
            <w:r w:rsidRPr="006E6D96">
              <w:rPr>
                <w:rFonts w:ascii="Arial" w:hAnsi="Arial"/>
                <w:b/>
                <w:bCs/>
                <w:color w:val="000000"/>
                <w:sz w:val="14"/>
                <w:szCs w:val="14"/>
              </w:rPr>
              <w:t>Commun</w:t>
            </w:r>
            <w:proofErr w:type="spellEnd"/>
          </w:p>
        </w:tc>
        <w:tc>
          <w:tcPr>
            <w:tcW w:w="753" w:type="dxa"/>
            <w:shd w:val="clear" w:color="auto" w:fill="auto"/>
            <w:noWrap/>
            <w:vAlign w:val="bottom"/>
            <w:hideMark/>
          </w:tcPr>
          <w:p w14:paraId="2FC3E7AB"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Specific</w:t>
            </w:r>
          </w:p>
        </w:tc>
        <w:tc>
          <w:tcPr>
            <w:tcW w:w="761" w:type="dxa"/>
            <w:shd w:val="clear" w:color="auto" w:fill="auto"/>
            <w:noWrap/>
            <w:vAlign w:val="bottom"/>
            <w:hideMark/>
          </w:tcPr>
          <w:p w14:paraId="099B6ABC"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Weights</w:t>
            </w:r>
          </w:p>
        </w:tc>
        <w:tc>
          <w:tcPr>
            <w:tcW w:w="570" w:type="dxa"/>
            <w:shd w:val="clear" w:color="auto" w:fill="auto"/>
            <w:noWrap/>
            <w:vAlign w:val="bottom"/>
            <w:hideMark/>
          </w:tcPr>
          <w:p w14:paraId="2A5A5915"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KMO</w:t>
            </w:r>
          </w:p>
        </w:tc>
      </w:tr>
      <w:tr w:rsidR="007E48B3" w:rsidRPr="006E6D96" w14:paraId="4A1746D2" w14:textId="77777777" w:rsidTr="00416373">
        <w:trPr>
          <w:trHeight w:val="285"/>
        </w:trPr>
        <w:tc>
          <w:tcPr>
            <w:tcW w:w="994" w:type="dxa"/>
            <w:shd w:val="clear" w:color="auto" w:fill="auto"/>
            <w:noWrap/>
            <w:vAlign w:val="bottom"/>
            <w:hideMark/>
          </w:tcPr>
          <w:p w14:paraId="29CC840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1</w:t>
            </w:r>
          </w:p>
        </w:tc>
        <w:tc>
          <w:tcPr>
            <w:tcW w:w="668" w:type="dxa"/>
            <w:shd w:val="clear" w:color="auto" w:fill="auto"/>
            <w:noWrap/>
            <w:vAlign w:val="bottom"/>
            <w:hideMark/>
          </w:tcPr>
          <w:p w14:paraId="25F17CF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4.12 </w:t>
            </w:r>
          </w:p>
        </w:tc>
        <w:tc>
          <w:tcPr>
            <w:tcW w:w="932" w:type="dxa"/>
            <w:shd w:val="clear" w:color="auto" w:fill="auto"/>
            <w:noWrap/>
            <w:vAlign w:val="bottom"/>
            <w:hideMark/>
          </w:tcPr>
          <w:p w14:paraId="3C53348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82%</w:t>
            </w:r>
          </w:p>
        </w:tc>
        <w:tc>
          <w:tcPr>
            <w:tcW w:w="971" w:type="dxa"/>
            <w:shd w:val="clear" w:color="auto" w:fill="auto"/>
            <w:noWrap/>
            <w:vAlign w:val="bottom"/>
            <w:hideMark/>
          </w:tcPr>
          <w:p w14:paraId="5F13902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82%</w:t>
            </w:r>
          </w:p>
        </w:tc>
        <w:tc>
          <w:tcPr>
            <w:tcW w:w="3069" w:type="dxa"/>
            <w:shd w:val="clear" w:color="auto" w:fill="auto"/>
            <w:noWrap/>
            <w:vAlign w:val="bottom"/>
            <w:hideMark/>
          </w:tcPr>
          <w:p w14:paraId="0C8E62A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Mobile cellular subscriptions (per 100 people) ratio</w:t>
            </w:r>
          </w:p>
        </w:tc>
        <w:tc>
          <w:tcPr>
            <w:tcW w:w="994" w:type="dxa"/>
            <w:shd w:val="clear" w:color="auto" w:fill="auto"/>
            <w:noWrap/>
            <w:vAlign w:val="bottom"/>
            <w:hideMark/>
          </w:tcPr>
          <w:p w14:paraId="4D6BF19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0.44 </w:t>
            </w:r>
          </w:p>
        </w:tc>
        <w:tc>
          <w:tcPr>
            <w:tcW w:w="994" w:type="dxa"/>
            <w:shd w:val="clear" w:color="auto" w:fill="auto"/>
            <w:noWrap/>
            <w:vAlign w:val="bottom"/>
            <w:hideMark/>
          </w:tcPr>
          <w:p w14:paraId="411F3166" w14:textId="77777777" w:rsidR="007E48B3" w:rsidRPr="006E6D96" w:rsidRDefault="007E48B3" w:rsidP="00416373">
            <w:pPr>
              <w:bidi w:val="0"/>
              <w:rPr>
                <w:rFonts w:ascii="Arial" w:hAnsi="Arial"/>
                <w:color w:val="000000"/>
                <w:sz w:val="14"/>
                <w:szCs w:val="14"/>
              </w:rPr>
            </w:pPr>
          </w:p>
        </w:tc>
        <w:tc>
          <w:tcPr>
            <w:tcW w:w="994" w:type="dxa"/>
            <w:shd w:val="clear" w:color="auto" w:fill="auto"/>
            <w:noWrap/>
            <w:vAlign w:val="bottom"/>
            <w:hideMark/>
          </w:tcPr>
          <w:p w14:paraId="64B6FB3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89%</w:t>
            </w:r>
          </w:p>
        </w:tc>
        <w:tc>
          <w:tcPr>
            <w:tcW w:w="994" w:type="dxa"/>
            <w:shd w:val="clear" w:color="auto" w:fill="auto"/>
            <w:noWrap/>
            <w:vAlign w:val="bottom"/>
            <w:hideMark/>
          </w:tcPr>
          <w:p w14:paraId="5AD00255" w14:textId="77777777" w:rsidR="007E48B3" w:rsidRPr="006E6D96" w:rsidRDefault="007E48B3" w:rsidP="00416373">
            <w:pPr>
              <w:bidi w:val="0"/>
              <w:rPr>
                <w:rFonts w:ascii="Arial" w:hAnsi="Arial"/>
                <w:color w:val="000000"/>
                <w:sz w:val="14"/>
                <w:szCs w:val="14"/>
              </w:rPr>
            </w:pPr>
          </w:p>
        </w:tc>
        <w:tc>
          <w:tcPr>
            <w:tcW w:w="823" w:type="dxa"/>
            <w:shd w:val="clear" w:color="auto" w:fill="auto"/>
            <w:noWrap/>
            <w:vAlign w:val="bottom"/>
            <w:hideMark/>
          </w:tcPr>
          <w:p w14:paraId="78F66E2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79%</w:t>
            </w:r>
          </w:p>
        </w:tc>
        <w:tc>
          <w:tcPr>
            <w:tcW w:w="753" w:type="dxa"/>
            <w:shd w:val="clear" w:color="auto" w:fill="auto"/>
            <w:noWrap/>
            <w:vAlign w:val="bottom"/>
            <w:hideMark/>
          </w:tcPr>
          <w:p w14:paraId="20ED21B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21%</w:t>
            </w:r>
          </w:p>
        </w:tc>
        <w:tc>
          <w:tcPr>
            <w:tcW w:w="761" w:type="dxa"/>
            <w:shd w:val="clear" w:color="auto" w:fill="auto"/>
            <w:noWrap/>
            <w:vAlign w:val="bottom"/>
            <w:hideMark/>
          </w:tcPr>
          <w:p w14:paraId="4432547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19%</w:t>
            </w:r>
          </w:p>
        </w:tc>
        <w:tc>
          <w:tcPr>
            <w:tcW w:w="570" w:type="dxa"/>
            <w:shd w:val="clear" w:color="auto" w:fill="auto"/>
            <w:noWrap/>
            <w:vAlign w:val="bottom"/>
            <w:hideMark/>
          </w:tcPr>
          <w:p w14:paraId="59DE8EC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67%</w:t>
            </w:r>
          </w:p>
        </w:tc>
      </w:tr>
      <w:tr w:rsidR="007E48B3" w:rsidRPr="006E6D96" w14:paraId="1F4D5F82" w14:textId="77777777" w:rsidTr="00416373">
        <w:trPr>
          <w:trHeight w:val="285"/>
        </w:trPr>
        <w:tc>
          <w:tcPr>
            <w:tcW w:w="994" w:type="dxa"/>
            <w:shd w:val="clear" w:color="auto" w:fill="auto"/>
            <w:noWrap/>
            <w:vAlign w:val="bottom"/>
            <w:hideMark/>
          </w:tcPr>
          <w:p w14:paraId="7A04D5C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2</w:t>
            </w:r>
          </w:p>
        </w:tc>
        <w:tc>
          <w:tcPr>
            <w:tcW w:w="668" w:type="dxa"/>
            <w:shd w:val="clear" w:color="auto" w:fill="auto"/>
            <w:noWrap/>
            <w:vAlign w:val="bottom"/>
            <w:hideMark/>
          </w:tcPr>
          <w:p w14:paraId="268A3E4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0.47 </w:t>
            </w:r>
          </w:p>
        </w:tc>
        <w:tc>
          <w:tcPr>
            <w:tcW w:w="932" w:type="dxa"/>
            <w:shd w:val="clear" w:color="auto" w:fill="auto"/>
            <w:noWrap/>
            <w:vAlign w:val="bottom"/>
            <w:hideMark/>
          </w:tcPr>
          <w:p w14:paraId="20844E4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w:t>
            </w:r>
          </w:p>
        </w:tc>
        <w:tc>
          <w:tcPr>
            <w:tcW w:w="971" w:type="dxa"/>
            <w:shd w:val="clear" w:color="auto" w:fill="auto"/>
            <w:noWrap/>
            <w:vAlign w:val="bottom"/>
            <w:hideMark/>
          </w:tcPr>
          <w:p w14:paraId="0EBB2EB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92%</w:t>
            </w:r>
          </w:p>
        </w:tc>
        <w:tc>
          <w:tcPr>
            <w:tcW w:w="3069" w:type="dxa"/>
            <w:shd w:val="clear" w:color="auto" w:fill="auto"/>
            <w:noWrap/>
            <w:vAlign w:val="bottom"/>
            <w:hideMark/>
          </w:tcPr>
          <w:p w14:paraId="3DFBFC2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Individuals using the Internet (% of population) ratio</w:t>
            </w:r>
          </w:p>
        </w:tc>
        <w:tc>
          <w:tcPr>
            <w:tcW w:w="994" w:type="dxa"/>
            <w:shd w:val="clear" w:color="auto" w:fill="auto"/>
            <w:noWrap/>
            <w:vAlign w:val="bottom"/>
            <w:hideMark/>
          </w:tcPr>
          <w:p w14:paraId="0705E7B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0.46 </w:t>
            </w:r>
          </w:p>
        </w:tc>
        <w:tc>
          <w:tcPr>
            <w:tcW w:w="994" w:type="dxa"/>
            <w:shd w:val="clear" w:color="auto" w:fill="auto"/>
            <w:noWrap/>
            <w:vAlign w:val="bottom"/>
            <w:hideMark/>
          </w:tcPr>
          <w:p w14:paraId="08975F7B" w14:textId="77777777" w:rsidR="007E48B3" w:rsidRPr="006E6D96" w:rsidRDefault="007E48B3" w:rsidP="00416373">
            <w:pPr>
              <w:bidi w:val="0"/>
              <w:rPr>
                <w:rFonts w:ascii="Arial" w:hAnsi="Arial"/>
                <w:color w:val="000000"/>
                <w:sz w:val="14"/>
                <w:szCs w:val="14"/>
              </w:rPr>
            </w:pPr>
          </w:p>
        </w:tc>
        <w:tc>
          <w:tcPr>
            <w:tcW w:w="994" w:type="dxa"/>
            <w:shd w:val="clear" w:color="auto" w:fill="auto"/>
            <w:noWrap/>
            <w:vAlign w:val="bottom"/>
            <w:hideMark/>
          </w:tcPr>
          <w:p w14:paraId="323698C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92%</w:t>
            </w:r>
          </w:p>
        </w:tc>
        <w:tc>
          <w:tcPr>
            <w:tcW w:w="994" w:type="dxa"/>
            <w:shd w:val="clear" w:color="auto" w:fill="auto"/>
            <w:noWrap/>
            <w:vAlign w:val="bottom"/>
            <w:hideMark/>
          </w:tcPr>
          <w:p w14:paraId="73909CE7" w14:textId="77777777" w:rsidR="007E48B3" w:rsidRPr="006E6D96" w:rsidRDefault="007E48B3" w:rsidP="00416373">
            <w:pPr>
              <w:bidi w:val="0"/>
              <w:rPr>
                <w:rFonts w:ascii="Arial" w:hAnsi="Arial"/>
                <w:color w:val="000000"/>
                <w:sz w:val="14"/>
                <w:szCs w:val="14"/>
              </w:rPr>
            </w:pPr>
          </w:p>
        </w:tc>
        <w:tc>
          <w:tcPr>
            <w:tcW w:w="823" w:type="dxa"/>
            <w:shd w:val="clear" w:color="auto" w:fill="auto"/>
            <w:noWrap/>
            <w:vAlign w:val="bottom"/>
            <w:hideMark/>
          </w:tcPr>
          <w:p w14:paraId="0DE03F1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85%</w:t>
            </w:r>
          </w:p>
        </w:tc>
        <w:tc>
          <w:tcPr>
            <w:tcW w:w="753" w:type="dxa"/>
            <w:shd w:val="clear" w:color="auto" w:fill="auto"/>
            <w:noWrap/>
            <w:vAlign w:val="bottom"/>
            <w:hideMark/>
          </w:tcPr>
          <w:p w14:paraId="6EE1CBF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15%</w:t>
            </w:r>
          </w:p>
        </w:tc>
        <w:tc>
          <w:tcPr>
            <w:tcW w:w="761" w:type="dxa"/>
            <w:shd w:val="clear" w:color="auto" w:fill="auto"/>
            <w:noWrap/>
            <w:vAlign w:val="bottom"/>
            <w:hideMark/>
          </w:tcPr>
          <w:p w14:paraId="6759D44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21%</w:t>
            </w:r>
          </w:p>
        </w:tc>
        <w:tc>
          <w:tcPr>
            <w:tcW w:w="570" w:type="dxa"/>
            <w:shd w:val="clear" w:color="auto" w:fill="auto"/>
            <w:noWrap/>
            <w:vAlign w:val="bottom"/>
            <w:hideMark/>
          </w:tcPr>
          <w:p w14:paraId="7C31D88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69%</w:t>
            </w:r>
          </w:p>
        </w:tc>
      </w:tr>
      <w:tr w:rsidR="007E48B3" w:rsidRPr="006E6D96" w14:paraId="3207670D" w14:textId="77777777" w:rsidTr="00416373">
        <w:trPr>
          <w:trHeight w:val="285"/>
        </w:trPr>
        <w:tc>
          <w:tcPr>
            <w:tcW w:w="994" w:type="dxa"/>
            <w:shd w:val="clear" w:color="auto" w:fill="auto"/>
            <w:noWrap/>
            <w:vAlign w:val="bottom"/>
            <w:hideMark/>
          </w:tcPr>
          <w:p w14:paraId="7655C06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3</w:t>
            </w:r>
          </w:p>
        </w:tc>
        <w:tc>
          <w:tcPr>
            <w:tcW w:w="668" w:type="dxa"/>
            <w:shd w:val="clear" w:color="auto" w:fill="auto"/>
            <w:noWrap/>
            <w:vAlign w:val="bottom"/>
            <w:hideMark/>
          </w:tcPr>
          <w:p w14:paraId="52C27EB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0.28 </w:t>
            </w:r>
          </w:p>
        </w:tc>
        <w:tc>
          <w:tcPr>
            <w:tcW w:w="932" w:type="dxa"/>
            <w:shd w:val="clear" w:color="auto" w:fill="auto"/>
            <w:noWrap/>
            <w:vAlign w:val="bottom"/>
            <w:hideMark/>
          </w:tcPr>
          <w:p w14:paraId="0A8409E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w:t>
            </w:r>
          </w:p>
        </w:tc>
        <w:tc>
          <w:tcPr>
            <w:tcW w:w="971" w:type="dxa"/>
            <w:shd w:val="clear" w:color="auto" w:fill="auto"/>
            <w:noWrap/>
            <w:vAlign w:val="bottom"/>
            <w:hideMark/>
          </w:tcPr>
          <w:p w14:paraId="067D7B9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97%</w:t>
            </w:r>
          </w:p>
        </w:tc>
        <w:tc>
          <w:tcPr>
            <w:tcW w:w="3069" w:type="dxa"/>
            <w:shd w:val="clear" w:color="auto" w:fill="auto"/>
            <w:noWrap/>
            <w:vAlign w:val="bottom"/>
            <w:hideMark/>
          </w:tcPr>
          <w:p w14:paraId="16FB86C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Fixed broadband subscriptions (per 100 people) ratio</w:t>
            </w:r>
          </w:p>
        </w:tc>
        <w:tc>
          <w:tcPr>
            <w:tcW w:w="994" w:type="dxa"/>
            <w:shd w:val="clear" w:color="auto" w:fill="auto"/>
            <w:noWrap/>
            <w:vAlign w:val="bottom"/>
            <w:hideMark/>
          </w:tcPr>
          <w:p w14:paraId="4A6D82B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0.48 </w:t>
            </w:r>
          </w:p>
        </w:tc>
        <w:tc>
          <w:tcPr>
            <w:tcW w:w="994" w:type="dxa"/>
            <w:shd w:val="clear" w:color="auto" w:fill="auto"/>
            <w:noWrap/>
            <w:vAlign w:val="bottom"/>
            <w:hideMark/>
          </w:tcPr>
          <w:p w14:paraId="663C6FD5" w14:textId="77777777" w:rsidR="007E48B3" w:rsidRPr="006E6D96" w:rsidRDefault="007E48B3" w:rsidP="00416373">
            <w:pPr>
              <w:bidi w:val="0"/>
              <w:rPr>
                <w:rFonts w:ascii="Arial" w:hAnsi="Arial"/>
                <w:color w:val="000000"/>
                <w:sz w:val="14"/>
                <w:szCs w:val="14"/>
              </w:rPr>
            </w:pPr>
          </w:p>
        </w:tc>
        <w:tc>
          <w:tcPr>
            <w:tcW w:w="994" w:type="dxa"/>
            <w:shd w:val="clear" w:color="auto" w:fill="auto"/>
            <w:noWrap/>
            <w:vAlign w:val="bottom"/>
            <w:hideMark/>
          </w:tcPr>
          <w:p w14:paraId="379B37E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97%</w:t>
            </w:r>
          </w:p>
        </w:tc>
        <w:tc>
          <w:tcPr>
            <w:tcW w:w="994" w:type="dxa"/>
            <w:shd w:val="clear" w:color="auto" w:fill="auto"/>
            <w:noWrap/>
            <w:vAlign w:val="bottom"/>
            <w:hideMark/>
          </w:tcPr>
          <w:p w14:paraId="58BCD74F" w14:textId="77777777" w:rsidR="007E48B3" w:rsidRPr="006E6D96" w:rsidRDefault="007E48B3" w:rsidP="00416373">
            <w:pPr>
              <w:bidi w:val="0"/>
              <w:rPr>
                <w:rFonts w:ascii="Arial" w:hAnsi="Arial"/>
                <w:color w:val="000000"/>
                <w:sz w:val="14"/>
                <w:szCs w:val="14"/>
              </w:rPr>
            </w:pPr>
          </w:p>
        </w:tc>
        <w:tc>
          <w:tcPr>
            <w:tcW w:w="823" w:type="dxa"/>
            <w:shd w:val="clear" w:color="auto" w:fill="auto"/>
            <w:noWrap/>
            <w:vAlign w:val="bottom"/>
            <w:hideMark/>
          </w:tcPr>
          <w:p w14:paraId="5F9CE09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94%</w:t>
            </w:r>
          </w:p>
        </w:tc>
        <w:tc>
          <w:tcPr>
            <w:tcW w:w="753" w:type="dxa"/>
            <w:shd w:val="clear" w:color="auto" w:fill="auto"/>
            <w:noWrap/>
            <w:vAlign w:val="bottom"/>
            <w:hideMark/>
          </w:tcPr>
          <w:p w14:paraId="2060FA7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w:t>
            </w:r>
          </w:p>
        </w:tc>
        <w:tc>
          <w:tcPr>
            <w:tcW w:w="761" w:type="dxa"/>
            <w:shd w:val="clear" w:color="auto" w:fill="auto"/>
            <w:noWrap/>
            <w:vAlign w:val="bottom"/>
            <w:hideMark/>
          </w:tcPr>
          <w:p w14:paraId="4375798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23%</w:t>
            </w:r>
          </w:p>
        </w:tc>
        <w:tc>
          <w:tcPr>
            <w:tcW w:w="570" w:type="dxa"/>
            <w:shd w:val="clear" w:color="auto" w:fill="auto"/>
            <w:noWrap/>
            <w:vAlign w:val="bottom"/>
            <w:hideMark/>
          </w:tcPr>
          <w:p w14:paraId="0CC30E4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63%</w:t>
            </w:r>
          </w:p>
        </w:tc>
      </w:tr>
      <w:tr w:rsidR="007E48B3" w:rsidRPr="006E6D96" w14:paraId="2A560427" w14:textId="77777777" w:rsidTr="00416373">
        <w:trPr>
          <w:trHeight w:val="285"/>
        </w:trPr>
        <w:tc>
          <w:tcPr>
            <w:tcW w:w="994" w:type="dxa"/>
            <w:shd w:val="clear" w:color="auto" w:fill="auto"/>
            <w:noWrap/>
            <w:vAlign w:val="bottom"/>
            <w:hideMark/>
          </w:tcPr>
          <w:p w14:paraId="61092C7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4</w:t>
            </w:r>
          </w:p>
        </w:tc>
        <w:tc>
          <w:tcPr>
            <w:tcW w:w="668" w:type="dxa"/>
            <w:shd w:val="clear" w:color="auto" w:fill="auto"/>
            <w:noWrap/>
            <w:vAlign w:val="bottom"/>
            <w:hideMark/>
          </w:tcPr>
          <w:p w14:paraId="37FBF42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0.11 </w:t>
            </w:r>
          </w:p>
        </w:tc>
        <w:tc>
          <w:tcPr>
            <w:tcW w:w="932" w:type="dxa"/>
            <w:shd w:val="clear" w:color="auto" w:fill="auto"/>
            <w:noWrap/>
            <w:vAlign w:val="bottom"/>
            <w:hideMark/>
          </w:tcPr>
          <w:p w14:paraId="57D1451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w:t>
            </w:r>
          </w:p>
        </w:tc>
        <w:tc>
          <w:tcPr>
            <w:tcW w:w="971" w:type="dxa"/>
            <w:shd w:val="clear" w:color="auto" w:fill="auto"/>
            <w:noWrap/>
            <w:vAlign w:val="bottom"/>
            <w:hideMark/>
          </w:tcPr>
          <w:p w14:paraId="1255736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100%</w:t>
            </w:r>
          </w:p>
        </w:tc>
        <w:tc>
          <w:tcPr>
            <w:tcW w:w="3069" w:type="dxa"/>
            <w:shd w:val="clear" w:color="auto" w:fill="auto"/>
            <w:noWrap/>
            <w:vAlign w:val="bottom"/>
            <w:hideMark/>
          </w:tcPr>
          <w:p w14:paraId="733918A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Electricity Imported from </w:t>
            </w:r>
            <w:proofErr w:type="spellStart"/>
            <w:r w:rsidRPr="006E6D96">
              <w:rPr>
                <w:rFonts w:ascii="Arial" w:hAnsi="Arial"/>
                <w:color w:val="000000"/>
                <w:sz w:val="14"/>
                <w:szCs w:val="14"/>
              </w:rPr>
              <w:t>israel</w:t>
            </w:r>
            <w:proofErr w:type="spellEnd"/>
            <w:r w:rsidRPr="006E6D96">
              <w:rPr>
                <w:rFonts w:ascii="Arial" w:hAnsi="Arial"/>
                <w:color w:val="000000"/>
                <w:sz w:val="14"/>
                <w:szCs w:val="14"/>
              </w:rPr>
              <w:t xml:space="preserve"> out of total Available Electricity in the PT</w:t>
            </w:r>
          </w:p>
        </w:tc>
        <w:tc>
          <w:tcPr>
            <w:tcW w:w="994" w:type="dxa"/>
            <w:shd w:val="clear" w:color="auto" w:fill="auto"/>
            <w:noWrap/>
            <w:vAlign w:val="bottom"/>
            <w:hideMark/>
          </w:tcPr>
          <w:p w14:paraId="7073772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0.42 </w:t>
            </w:r>
          </w:p>
        </w:tc>
        <w:tc>
          <w:tcPr>
            <w:tcW w:w="994" w:type="dxa"/>
            <w:shd w:val="clear" w:color="auto" w:fill="auto"/>
            <w:noWrap/>
            <w:vAlign w:val="bottom"/>
            <w:hideMark/>
          </w:tcPr>
          <w:p w14:paraId="18AF5E9A" w14:textId="77777777" w:rsidR="007E48B3" w:rsidRPr="006E6D96" w:rsidRDefault="007E48B3" w:rsidP="00416373">
            <w:pPr>
              <w:bidi w:val="0"/>
              <w:rPr>
                <w:rFonts w:ascii="Arial" w:hAnsi="Arial"/>
                <w:color w:val="000000"/>
                <w:sz w:val="14"/>
                <w:szCs w:val="14"/>
              </w:rPr>
            </w:pPr>
          </w:p>
        </w:tc>
        <w:tc>
          <w:tcPr>
            <w:tcW w:w="994" w:type="dxa"/>
            <w:shd w:val="clear" w:color="auto" w:fill="auto"/>
            <w:noWrap/>
            <w:vAlign w:val="bottom"/>
            <w:hideMark/>
          </w:tcPr>
          <w:p w14:paraId="1ACCF36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86%</w:t>
            </w:r>
          </w:p>
        </w:tc>
        <w:tc>
          <w:tcPr>
            <w:tcW w:w="994" w:type="dxa"/>
            <w:shd w:val="clear" w:color="auto" w:fill="auto"/>
            <w:noWrap/>
            <w:vAlign w:val="bottom"/>
            <w:hideMark/>
          </w:tcPr>
          <w:p w14:paraId="43A30F8F" w14:textId="77777777" w:rsidR="007E48B3" w:rsidRPr="006E6D96" w:rsidRDefault="007E48B3" w:rsidP="00416373">
            <w:pPr>
              <w:bidi w:val="0"/>
              <w:rPr>
                <w:rFonts w:ascii="Arial" w:hAnsi="Arial"/>
                <w:color w:val="000000"/>
                <w:sz w:val="14"/>
                <w:szCs w:val="14"/>
              </w:rPr>
            </w:pPr>
          </w:p>
        </w:tc>
        <w:tc>
          <w:tcPr>
            <w:tcW w:w="823" w:type="dxa"/>
            <w:shd w:val="clear" w:color="auto" w:fill="auto"/>
            <w:noWrap/>
            <w:vAlign w:val="bottom"/>
            <w:hideMark/>
          </w:tcPr>
          <w:p w14:paraId="6198C9E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74%</w:t>
            </w:r>
          </w:p>
        </w:tc>
        <w:tc>
          <w:tcPr>
            <w:tcW w:w="753" w:type="dxa"/>
            <w:shd w:val="clear" w:color="auto" w:fill="auto"/>
            <w:noWrap/>
            <w:vAlign w:val="bottom"/>
            <w:hideMark/>
          </w:tcPr>
          <w:p w14:paraId="3D874EE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26%</w:t>
            </w:r>
          </w:p>
        </w:tc>
        <w:tc>
          <w:tcPr>
            <w:tcW w:w="761" w:type="dxa"/>
            <w:shd w:val="clear" w:color="auto" w:fill="auto"/>
            <w:noWrap/>
            <w:vAlign w:val="bottom"/>
            <w:hideMark/>
          </w:tcPr>
          <w:p w14:paraId="0AEBE56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18%</w:t>
            </w:r>
          </w:p>
        </w:tc>
        <w:tc>
          <w:tcPr>
            <w:tcW w:w="570" w:type="dxa"/>
            <w:shd w:val="clear" w:color="auto" w:fill="auto"/>
            <w:noWrap/>
            <w:vAlign w:val="bottom"/>
            <w:hideMark/>
          </w:tcPr>
          <w:p w14:paraId="16CBFA8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76%</w:t>
            </w:r>
          </w:p>
        </w:tc>
      </w:tr>
      <w:tr w:rsidR="007E48B3" w:rsidRPr="006E6D96" w14:paraId="014C0932" w14:textId="77777777" w:rsidTr="00416373">
        <w:trPr>
          <w:trHeight w:val="285"/>
        </w:trPr>
        <w:tc>
          <w:tcPr>
            <w:tcW w:w="994" w:type="dxa"/>
            <w:shd w:val="clear" w:color="auto" w:fill="auto"/>
            <w:noWrap/>
            <w:vAlign w:val="bottom"/>
            <w:hideMark/>
          </w:tcPr>
          <w:p w14:paraId="40EA051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5</w:t>
            </w:r>
          </w:p>
        </w:tc>
        <w:tc>
          <w:tcPr>
            <w:tcW w:w="668" w:type="dxa"/>
            <w:shd w:val="clear" w:color="auto" w:fill="auto"/>
            <w:noWrap/>
            <w:vAlign w:val="bottom"/>
            <w:hideMark/>
          </w:tcPr>
          <w:p w14:paraId="6CD3052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0.02 </w:t>
            </w:r>
          </w:p>
        </w:tc>
        <w:tc>
          <w:tcPr>
            <w:tcW w:w="932" w:type="dxa"/>
            <w:shd w:val="clear" w:color="auto" w:fill="auto"/>
            <w:noWrap/>
            <w:vAlign w:val="bottom"/>
            <w:hideMark/>
          </w:tcPr>
          <w:p w14:paraId="767A487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0%</w:t>
            </w:r>
          </w:p>
        </w:tc>
        <w:tc>
          <w:tcPr>
            <w:tcW w:w="971" w:type="dxa"/>
            <w:shd w:val="clear" w:color="auto" w:fill="auto"/>
            <w:noWrap/>
            <w:vAlign w:val="bottom"/>
            <w:hideMark/>
          </w:tcPr>
          <w:p w14:paraId="4C3A00C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100%</w:t>
            </w:r>
          </w:p>
        </w:tc>
        <w:tc>
          <w:tcPr>
            <w:tcW w:w="3069" w:type="dxa"/>
            <w:shd w:val="clear" w:color="auto" w:fill="auto"/>
            <w:noWrap/>
            <w:vAlign w:val="bottom"/>
            <w:hideMark/>
          </w:tcPr>
          <w:p w14:paraId="683C912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Quantity of Water Purchased from Israeli Water Company (</w:t>
            </w:r>
            <w:proofErr w:type="spellStart"/>
            <w:r w:rsidRPr="006E6D96">
              <w:rPr>
                <w:rFonts w:ascii="Arial" w:hAnsi="Arial"/>
                <w:color w:val="000000"/>
                <w:sz w:val="14"/>
                <w:szCs w:val="14"/>
              </w:rPr>
              <w:t>Mekorot</w:t>
            </w:r>
            <w:proofErr w:type="spellEnd"/>
            <w:r w:rsidRPr="006E6D96">
              <w:rPr>
                <w:rFonts w:ascii="Arial" w:hAnsi="Arial"/>
                <w:color w:val="000000"/>
                <w:sz w:val="14"/>
                <w:szCs w:val="14"/>
              </w:rPr>
              <w:t>) out of Available Water Quantity in the PT</w:t>
            </w:r>
          </w:p>
        </w:tc>
        <w:tc>
          <w:tcPr>
            <w:tcW w:w="994" w:type="dxa"/>
            <w:shd w:val="clear" w:color="auto" w:fill="auto"/>
            <w:noWrap/>
            <w:vAlign w:val="bottom"/>
            <w:hideMark/>
          </w:tcPr>
          <w:p w14:paraId="7699949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0.44 </w:t>
            </w:r>
          </w:p>
        </w:tc>
        <w:tc>
          <w:tcPr>
            <w:tcW w:w="994" w:type="dxa"/>
            <w:shd w:val="clear" w:color="auto" w:fill="auto"/>
            <w:noWrap/>
            <w:vAlign w:val="bottom"/>
            <w:hideMark/>
          </w:tcPr>
          <w:p w14:paraId="7CE5E4ED" w14:textId="77777777" w:rsidR="007E48B3" w:rsidRPr="006E6D96" w:rsidRDefault="007E48B3" w:rsidP="00416373">
            <w:pPr>
              <w:bidi w:val="0"/>
              <w:rPr>
                <w:rFonts w:ascii="Arial" w:hAnsi="Arial"/>
                <w:color w:val="000000"/>
                <w:sz w:val="14"/>
                <w:szCs w:val="14"/>
              </w:rPr>
            </w:pPr>
          </w:p>
        </w:tc>
        <w:tc>
          <w:tcPr>
            <w:tcW w:w="994" w:type="dxa"/>
            <w:shd w:val="clear" w:color="auto" w:fill="auto"/>
            <w:noWrap/>
            <w:vAlign w:val="bottom"/>
            <w:hideMark/>
          </w:tcPr>
          <w:p w14:paraId="1A8C5F5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89%</w:t>
            </w:r>
          </w:p>
        </w:tc>
        <w:tc>
          <w:tcPr>
            <w:tcW w:w="994" w:type="dxa"/>
            <w:shd w:val="clear" w:color="auto" w:fill="auto"/>
            <w:noWrap/>
            <w:vAlign w:val="bottom"/>
            <w:hideMark/>
          </w:tcPr>
          <w:p w14:paraId="16328791" w14:textId="77777777" w:rsidR="007E48B3" w:rsidRPr="006E6D96" w:rsidRDefault="007E48B3" w:rsidP="00416373">
            <w:pPr>
              <w:bidi w:val="0"/>
              <w:rPr>
                <w:rFonts w:ascii="Arial" w:hAnsi="Arial"/>
                <w:color w:val="000000"/>
                <w:sz w:val="14"/>
                <w:szCs w:val="14"/>
              </w:rPr>
            </w:pPr>
          </w:p>
        </w:tc>
        <w:tc>
          <w:tcPr>
            <w:tcW w:w="823" w:type="dxa"/>
            <w:shd w:val="clear" w:color="auto" w:fill="auto"/>
            <w:noWrap/>
            <w:vAlign w:val="bottom"/>
            <w:hideMark/>
          </w:tcPr>
          <w:p w14:paraId="2B877BE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80%</w:t>
            </w:r>
          </w:p>
        </w:tc>
        <w:tc>
          <w:tcPr>
            <w:tcW w:w="753" w:type="dxa"/>
            <w:shd w:val="clear" w:color="auto" w:fill="auto"/>
            <w:noWrap/>
            <w:vAlign w:val="bottom"/>
            <w:hideMark/>
          </w:tcPr>
          <w:p w14:paraId="07A9FA0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20%</w:t>
            </w:r>
          </w:p>
        </w:tc>
        <w:tc>
          <w:tcPr>
            <w:tcW w:w="761" w:type="dxa"/>
            <w:shd w:val="clear" w:color="auto" w:fill="auto"/>
            <w:noWrap/>
            <w:vAlign w:val="bottom"/>
            <w:hideMark/>
          </w:tcPr>
          <w:p w14:paraId="1EEAC57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19%</w:t>
            </w:r>
          </w:p>
        </w:tc>
        <w:tc>
          <w:tcPr>
            <w:tcW w:w="570" w:type="dxa"/>
            <w:shd w:val="clear" w:color="auto" w:fill="auto"/>
            <w:noWrap/>
            <w:vAlign w:val="bottom"/>
            <w:hideMark/>
          </w:tcPr>
          <w:p w14:paraId="2FA5A8D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66%</w:t>
            </w:r>
          </w:p>
        </w:tc>
      </w:tr>
      <w:tr w:rsidR="007E48B3" w:rsidRPr="006E6D96" w14:paraId="67129F40" w14:textId="77777777" w:rsidTr="00416373">
        <w:trPr>
          <w:trHeight w:val="285"/>
        </w:trPr>
        <w:tc>
          <w:tcPr>
            <w:tcW w:w="994" w:type="dxa"/>
            <w:shd w:val="clear" w:color="auto" w:fill="auto"/>
            <w:noWrap/>
            <w:vAlign w:val="bottom"/>
            <w:hideMark/>
          </w:tcPr>
          <w:p w14:paraId="5D096DA6" w14:textId="77777777" w:rsidR="007E48B3" w:rsidRDefault="007E48B3" w:rsidP="00416373">
            <w:pPr>
              <w:bidi w:val="0"/>
              <w:rPr>
                <w:rFonts w:ascii="Arial" w:hAnsi="Arial"/>
                <w:color w:val="000000"/>
                <w:sz w:val="14"/>
                <w:szCs w:val="14"/>
              </w:rPr>
            </w:pPr>
          </w:p>
          <w:p w14:paraId="4DC052C5" w14:textId="77777777" w:rsidR="007E48B3" w:rsidRDefault="007E48B3" w:rsidP="00416373">
            <w:pPr>
              <w:bidi w:val="0"/>
              <w:rPr>
                <w:rFonts w:ascii="Arial" w:hAnsi="Arial"/>
                <w:color w:val="000000"/>
                <w:sz w:val="14"/>
                <w:szCs w:val="14"/>
              </w:rPr>
            </w:pPr>
          </w:p>
          <w:p w14:paraId="66343039" w14:textId="77777777" w:rsidR="007E48B3" w:rsidRPr="006E6D96" w:rsidRDefault="007E48B3" w:rsidP="00416373">
            <w:pPr>
              <w:bidi w:val="0"/>
              <w:rPr>
                <w:rFonts w:ascii="Arial" w:hAnsi="Arial"/>
                <w:color w:val="000000"/>
                <w:sz w:val="14"/>
                <w:szCs w:val="14"/>
              </w:rPr>
            </w:pPr>
          </w:p>
        </w:tc>
        <w:tc>
          <w:tcPr>
            <w:tcW w:w="668" w:type="dxa"/>
            <w:shd w:val="clear" w:color="auto" w:fill="auto"/>
            <w:noWrap/>
            <w:vAlign w:val="bottom"/>
            <w:hideMark/>
          </w:tcPr>
          <w:p w14:paraId="7B2AE0AE" w14:textId="77777777" w:rsidR="007E48B3" w:rsidRPr="006E6D96" w:rsidRDefault="007E48B3" w:rsidP="00416373">
            <w:pPr>
              <w:bidi w:val="0"/>
              <w:rPr>
                <w:rFonts w:ascii="Times New Roman" w:hAnsi="Times New Roman" w:cs="Times New Roman"/>
                <w:sz w:val="14"/>
                <w:szCs w:val="14"/>
              </w:rPr>
            </w:pPr>
          </w:p>
        </w:tc>
        <w:tc>
          <w:tcPr>
            <w:tcW w:w="932" w:type="dxa"/>
            <w:shd w:val="clear" w:color="auto" w:fill="auto"/>
            <w:noWrap/>
            <w:vAlign w:val="bottom"/>
            <w:hideMark/>
          </w:tcPr>
          <w:p w14:paraId="36FA7B95" w14:textId="77777777" w:rsidR="007E48B3" w:rsidRPr="006E6D96" w:rsidRDefault="007E48B3" w:rsidP="00416373">
            <w:pPr>
              <w:bidi w:val="0"/>
              <w:rPr>
                <w:rFonts w:ascii="Times New Roman" w:hAnsi="Times New Roman" w:cs="Times New Roman"/>
                <w:sz w:val="14"/>
                <w:szCs w:val="14"/>
              </w:rPr>
            </w:pPr>
          </w:p>
        </w:tc>
        <w:tc>
          <w:tcPr>
            <w:tcW w:w="971" w:type="dxa"/>
            <w:shd w:val="clear" w:color="auto" w:fill="auto"/>
            <w:noWrap/>
            <w:vAlign w:val="bottom"/>
            <w:hideMark/>
          </w:tcPr>
          <w:p w14:paraId="4263CD15" w14:textId="77777777" w:rsidR="007E48B3" w:rsidRPr="006E6D96" w:rsidRDefault="007E48B3" w:rsidP="00416373">
            <w:pPr>
              <w:bidi w:val="0"/>
              <w:rPr>
                <w:rFonts w:ascii="Times New Roman" w:hAnsi="Times New Roman" w:cs="Times New Roman"/>
                <w:sz w:val="14"/>
                <w:szCs w:val="14"/>
              </w:rPr>
            </w:pPr>
          </w:p>
        </w:tc>
        <w:tc>
          <w:tcPr>
            <w:tcW w:w="3069" w:type="dxa"/>
            <w:shd w:val="clear" w:color="auto" w:fill="auto"/>
            <w:noWrap/>
            <w:vAlign w:val="bottom"/>
            <w:hideMark/>
          </w:tcPr>
          <w:p w14:paraId="09BF8330"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131872C6"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2BF7E175"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5F9122F0"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5DF63E6E" w14:textId="77777777" w:rsidR="007E48B3" w:rsidRPr="006E6D96" w:rsidRDefault="007E48B3" w:rsidP="00416373">
            <w:pPr>
              <w:bidi w:val="0"/>
              <w:rPr>
                <w:rFonts w:ascii="Times New Roman" w:hAnsi="Times New Roman" w:cs="Times New Roman"/>
                <w:sz w:val="14"/>
                <w:szCs w:val="14"/>
              </w:rPr>
            </w:pPr>
          </w:p>
        </w:tc>
        <w:tc>
          <w:tcPr>
            <w:tcW w:w="823" w:type="dxa"/>
            <w:shd w:val="clear" w:color="auto" w:fill="auto"/>
            <w:noWrap/>
            <w:vAlign w:val="bottom"/>
            <w:hideMark/>
          </w:tcPr>
          <w:p w14:paraId="4AC5FBB8" w14:textId="77777777" w:rsidR="007E48B3" w:rsidRPr="006E6D96" w:rsidRDefault="007E48B3" w:rsidP="00416373">
            <w:pPr>
              <w:bidi w:val="0"/>
              <w:rPr>
                <w:rFonts w:ascii="Times New Roman" w:hAnsi="Times New Roman" w:cs="Times New Roman"/>
                <w:sz w:val="14"/>
                <w:szCs w:val="14"/>
              </w:rPr>
            </w:pPr>
          </w:p>
        </w:tc>
        <w:tc>
          <w:tcPr>
            <w:tcW w:w="753" w:type="dxa"/>
            <w:shd w:val="clear" w:color="auto" w:fill="auto"/>
            <w:noWrap/>
            <w:vAlign w:val="bottom"/>
            <w:hideMark/>
          </w:tcPr>
          <w:p w14:paraId="2856A20E" w14:textId="77777777" w:rsidR="007E48B3" w:rsidRPr="006E6D96" w:rsidRDefault="007E48B3" w:rsidP="00416373">
            <w:pPr>
              <w:bidi w:val="0"/>
              <w:rPr>
                <w:rFonts w:ascii="Times New Roman" w:hAnsi="Times New Roman" w:cs="Times New Roman"/>
                <w:sz w:val="14"/>
                <w:szCs w:val="14"/>
              </w:rPr>
            </w:pPr>
          </w:p>
        </w:tc>
        <w:tc>
          <w:tcPr>
            <w:tcW w:w="761" w:type="dxa"/>
            <w:shd w:val="clear" w:color="auto" w:fill="auto"/>
            <w:noWrap/>
            <w:vAlign w:val="bottom"/>
            <w:hideMark/>
          </w:tcPr>
          <w:p w14:paraId="1E93AF41" w14:textId="77777777" w:rsidR="007E48B3" w:rsidRPr="006E6D96" w:rsidRDefault="007E48B3" w:rsidP="00416373">
            <w:pPr>
              <w:bidi w:val="0"/>
              <w:rPr>
                <w:rFonts w:ascii="Times New Roman" w:hAnsi="Times New Roman" w:cs="Times New Roman"/>
                <w:sz w:val="14"/>
                <w:szCs w:val="14"/>
              </w:rPr>
            </w:pPr>
          </w:p>
        </w:tc>
        <w:tc>
          <w:tcPr>
            <w:tcW w:w="570" w:type="dxa"/>
            <w:shd w:val="clear" w:color="auto" w:fill="auto"/>
            <w:noWrap/>
            <w:vAlign w:val="bottom"/>
            <w:hideMark/>
          </w:tcPr>
          <w:p w14:paraId="22B724FC" w14:textId="77777777" w:rsidR="007E48B3" w:rsidRPr="006E6D96" w:rsidRDefault="007E48B3" w:rsidP="00416373">
            <w:pPr>
              <w:bidi w:val="0"/>
              <w:rPr>
                <w:rFonts w:ascii="Times New Roman" w:hAnsi="Times New Roman" w:cs="Times New Roman"/>
                <w:sz w:val="14"/>
                <w:szCs w:val="14"/>
              </w:rPr>
            </w:pPr>
          </w:p>
        </w:tc>
      </w:tr>
      <w:tr w:rsidR="007E48B3" w:rsidRPr="006E6D96" w14:paraId="753B2185" w14:textId="77777777" w:rsidTr="00416373">
        <w:trPr>
          <w:trHeight w:val="300"/>
        </w:trPr>
        <w:tc>
          <w:tcPr>
            <w:tcW w:w="994" w:type="dxa"/>
            <w:shd w:val="clear" w:color="auto" w:fill="auto"/>
            <w:noWrap/>
            <w:vAlign w:val="bottom"/>
            <w:hideMark/>
          </w:tcPr>
          <w:p w14:paraId="507453EF"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w:t>
            </w:r>
          </w:p>
        </w:tc>
        <w:tc>
          <w:tcPr>
            <w:tcW w:w="668" w:type="dxa"/>
            <w:shd w:val="clear" w:color="auto" w:fill="auto"/>
            <w:noWrap/>
            <w:vAlign w:val="bottom"/>
            <w:hideMark/>
          </w:tcPr>
          <w:p w14:paraId="19C4D111"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 xml:space="preserve"> </w:t>
            </w:r>
            <w:proofErr w:type="spellStart"/>
            <w:r w:rsidRPr="006E6D96">
              <w:rPr>
                <w:rFonts w:ascii="Arial" w:hAnsi="Arial"/>
                <w:b/>
                <w:bCs/>
                <w:color w:val="000000"/>
                <w:sz w:val="14"/>
                <w:szCs w:val="14"/>
              </w:rPr>
              <w:t>eValue</w:t>
            </w:r>
            <w:proofErr w:type="spellEnd"/>
            <w:r w:rsidRPr="006E6D96">
              <w:rPr>
                <w:rFonts w:ascii="Arial" w:hAnsi="Arial"/>
                <w:b/>
                <w:bCs/>
                <w:color w:val="000000"/>
                <w:sz w:val="14"/>
                <w:szCs w:val="14"/>
              </w:rPr>
              <w:t xml:space="preserve"> </w:t>
            </w:r>
          </w:p>
        </w:tc>
        <w:tc>
          <w:tcPr>
            <w:tcW w:w="932" w:type="dxa"/>
            <w:shd w:val="clear" w:color="auto" w:fill="auto"/>
            <w:noWrap/>
            <w:vAlign w:val="bottom"/>
            <w:hideMark/>
          </w:tcPr>
          <w:p w14:paraId="2E953977"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Proportion</w:t>
            </w:r>
          </w:p>
        </w:tc>
        <w:tc>
          <w:tcPr>
            <w:tcW w:w="971" w:type="dxa"/>
            <w:shd w:val="clear" w:color="auto" w:fill="auto"/>
            <w:noWrap/>
            <w:vAlign w:val="bottom"/>
            <w:hideMark/>
          </w:tcPr>
          <w:p w14:paraId="2DCA5E3A"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Cumulative</w:t>
            </w:r>
          </w:p>
        </w:tc>
        <w:tc>
          <w:tcPr>
            <w:tcW w:w="3069" w:type="dxa"/>
            <w:shd w:val="clear" w:color="auto" w:fill="auto"/>
            <w:noWrap/>
            <w:vAlign w:val="bottom"/>
            <w:hideMark/>
          </w:tcPr>
          <w:p w14:paraId="478DA24C"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Indicator</w:t>
            </w:r>
          </w:p>
        </w:tc>
        <w:tc>
          <w:tcPr>
            <w:tcW w:w="994" w:type="dxa"/>
            <w:shd w:val="clear" w:color="auto" w:fill="auto"/>
            <w:noWrap/>
            <w:vAlign w:val="bottom"/>
            <w:hideMark/>
          </w:tcPr>
          <w:p w14:paraId="1F98258A"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1</w:t>
            </w:r>
          </w:p>
        </w:tc>
        <w:tc>
          <w:tcPr>
            <w:tcW w:w="994" w:type="dxa"/>
            <w:shd w:val="clear" w:color="auto" w:fill="auto"/>
            <w:noWrap/>
            <w:vAlign w:val="bottom"/>
            <w:hideMark/>
          </w:tcPr>
          <w:p w14:paraId="2AE4D023"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2</w:t>
            </w:r>
          </w:p>
        </w:tc>
        <w:tc>
          <w:tcPr>
            <w:tcW w:w="994" w:type="dxa"/>
            <w:shd w:val="clear" w:color="auto" w:fill="auto"/>
            <w:noWrap/>
            <w:vAlign w:val="bottom"/>
            <w:hideMark/>
          </w:tcPr>
          <w:p w14:paraId="2711A09D"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1</w:t>
            </w:r>
          </w:p>
        </w:tc>
        <w:tc>
          <w:tcPr>
            <w:tcW w:w="994" w:type="dxa"/>
            <w:shd w:val="clear" w:color="auto" w:fill="auto"/>
            <w:noWrap/>
            <w:vAlign w:val="bottom"/>
            <w:hideMark/>
          </w:tcPr>
          <w:p w14:paraId="6A4B6EF7"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2</w:t>
            </w:r>
          </w:p>
        </w:tc>
        <w:tc>
          <w:tcPr>
            <w:tcW w:w="823" w:type="dxa"/>
            <w:shd w:val="clear" w:color="auto" w:fill="auto"/>
            <w:noWrap/>
            <w:vAlign w:val="bottom"/>
            <w:hideMark/>
          </w:tcPr>
          <w:p w14:paraId="6AECE1F4" w14:textId="77777777" w:rsidR="007E48B3" w:rsidRPr="006E6D96" w:rsidRDefault="007E48B3" w:rsidP="00416373">
            <w:pPr>
              <w:bidi w:val="0"/>
              <w:rPr>
                <w:rFonts w:ascii="Arial" w:hAnsi="Arial"/>
                <w:b/>
                <w:bCs/>
                <w:color w:val="000000"/>
                <w:sz w:val="14"/>
                <w:szCs w:val="14"/>
              </w:rPr>
            </w:pPr>
            <w:proofErr w:type="spellStart"/>
            <w:r w:rsidRPr="006E6D96">
              <w:rPr>
                <w:rFonts w:ascii="Arial" w:hAnsi="Arial"/>
                <w:b/>
                <w:bCs/>
                <w:color w:val="000000"/>
                <w:sz w:val="14"/>
                <w:szCs w:val="14"/>
              </w:rPr>
              <w:t>Commun</w:t>
            </w:r>
            <w:proofErr w:type="spellEnd"/>
          </w:p>
        </w:tc>
        <w:tc>
          <w:tcPr>
            <w:tcW w:w="753" w:type="dxa"/>
            <w:shd w:val="clear" w:color="auto" w:fill="auto"/>
            <w:noWrap/>
            <w:vAlign w:val="bottom"/>
            <w:hideMark/>
          </w:tcPr>
          <w:p w14:paraId="1CA540E2"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Specific</w:t>
            </w:r>
          </w:p>
        </w:tc>
        <w:tc>
          <w:tcPr>
            <w:tcW w:w="761" w:type="dxa"/>
            <w:shd w:val="clear" w:color="auto" w:fill="auto"/>
            <w:noWrap/>
            <w:vAlign w:val="bottom"/>
            <w:hideMark/>
          </w:tcPr>
          <w:p w14:paraId="0AB6DFAB"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Weights</w:t>
            </w:r>
          </w:p>
        </w:tc>
        <w:tc>
          <w:tcPr>
            <w:tcW w:w="570" w:type="dxa"/>
            <w:shd w:val="clear" w:color="auto" w:fill="auto"/>
            <w:noWrap/>
            <w:vAlign w:val="bottom"/>
            <w:hideMark/>
          </w:tcPr>
          <w:p w14:paraId="24AF5420"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KMO</w:t>
            </w:r>
          </w:p>
        </w:tc>
      </w:tr>
      <w:tr w:rsidR="007E48B3" w:rsidRPr="006E6D96" w14:paraId="68F21915" w14:textId="77777777" w:rsidTr="00416373">
        <w:trPr>
          <w:trHeight w:val="285"/>
        </w:trPr>
        <w:tc>
          <w:tcPr>
            <w:tcW w:w="994" w:type="dxa"/>
            <w:shd w:val="clear" w:color="auto" w:fill="auto"/>
            <w:noWrap/>
            <w:vAlign w:val="bottom"/>
            <w:hideMark/>
          </w:tcPr>
          <w:p w14:paraId="7881D99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1</w:t>
            </w:r>
          </w:p>
        </w:tc>
        <w:tc>
          <w:tcPr>
            <w:tcW w:w="668" w:type="dxa"/>
            <w:shd w:val="clear" w:color="auto" w:fill="auto"/>
            <w:noWrap/>
            <w:vAlign w:val="bottom"/>
            <w:hideMark/>
          </w:tcPr>
          <w:p w14:paraId="28861DE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3.64 </w:t>
            </w:r>
          </w:p>
        </w:tc>
        <w:tc>
          <w:tcPr>
            <w:tcW w:w="932" w:type="dxa"/>
            <w:shd w:val="clear" w:color="auto" w:fill="auto"/>
            <w:noWrap/>
            <w:vAlign w:val="bottom"/>
            <w:hideMark/>
          </w:tcPr>
          <w:p w14:paraId="3C35CD8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73%</w:t>
            </w:r>
          </w:p>
        </w:tc>
        <w:tc>
          <w:tcPr>
            <w:tcW w:w="971" w:type="dxa"/>
            <w:shd w:val="clear" w:color="auto" w:fill="auto"/>
            <w:noWrap/>
            <w:vAlign w:val="bottom"/>
            <w:hideMark/>
          </w:tcPr>
          <w:p w14:paraId="7719BC9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73%</w:t>
            </w:r>
          </w:p>
        </w:tc>
        <w:tc>
          <w:tcPr>
            <w:tcW w:w="3069" w:type="dxa"/>
            <w:shd w:val="clear" w:color="auto" w:fill="auto"/>
            <w:noWrap/>
            <w:vAlign w:val="bottom"/>
            <w:hideMark/>
          </w:tcPr>
          <w:p w14:paraId="316571F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Share of NIS deposits in the Palestinian banking system</w:t>
            </w:r>
          </w:p>
        </w:tc>
        <w:tc>
          <w:tcPr>
            <w:tcW w:w="994" w:type="dxa"/>
            <w:shd w:val="clear" w:color="auto" w:fill="auto"/>
            <w:noWrap/>
            <w:vAlign w:val="bottom"/>
            <w:hideMark/>
          </w:tcPr>
          <w:p w14:paraId="1BD284C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0.48 </w:t>
            </w:r>
          </w:p>
        </w:tc>
        <w:tc>
          <w:tcPr>
            <w:tcW w:w="994" w:type="dxa"/>
            <w:shd w:val="clear" w:color="auto" w:fill="auto"/>
            <w:noWrap/>
            <w:vAlign w:val="bottom"/>
            <w:hideMark/>
          </w:tcPr>
          <w:p w14:paraId="763C6A8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-0.32 </w:t>
            </w:r>
          </w:p>
        </w:tc>
        <w:tc>
          <w:tcPr>
            <w:tcW w:w="994" w:type="dxa"/>
            <w:shd w:val="clear" w:color="auto" w:fill="auto"/>
            <w:noWrap/>
            <w:vAlign w:val="bottom"/>
            <w:hideMark/>
          </w:tcPr>
          <w:p w14:paraId="06D0C67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0.91 </w:t>
            </w:r>
          </w:p>
        </w:tc>
        <w:tc>
          <w:tcPr>
            <w:tcW w:w="994" w:type="dxa"/>
            <w:shd w:val="clear" w:color="auto" w:fill="auto"/>
            <w:noWrap/>
            <w:vAlign w:val="bottom"/>
            <w:hideMark/>
          </w:tcPr>
          <w:p w14:paraId="125BA1D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-0.31 </w:t>
            </w:r>
          </w:p>
        </w:tc>
        <w:tc>
          <w:tcPr>
            <w:tcW w:w="823" w:type="dxa"/>
            <w:shd w:val="clear" w:color="auto" w:fill="auto"/>
            <w:noWrap/>
            <w:vAlign w:val="bottom"/>
            <w:hideMark/>
          </w:tcPr>
          <w:p w14:paraId="605BCB2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93%</w:t>
            </w:r>
          </w:p>
        </w:tc>
        <w:tc>
          <w:tcPr>
            <w:tcW w:w="753" w:type="dxa"/>
            <w:shd w:val="clear" w:color="auto" w:fill="auto"/>
            <w:noWrap/>
            <w:vAlign w:val="bottom"/>
            <w:hideMark/>
          </w:tcPr>
          <w:p w14:paraId="3C8D9D8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w:t>
            </w:r>
          </w:p>
        </w:tc>
        <w:tc>
          <w:tcPr>
            <w:tcW w:w="761" w:type="dxa"/>
            <w:shd w:val="clear" w:color="auto" w:fill="auto"/>
            <w:noWrap/>
            <w:vAlign w:val="bottom"/>
            <w:hideMark/>
          </w:tcPr>
          <w:p w14:paraId="1FE09E9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20%</w:t>
            </w:r>
          </w:p>
        </w:tc>
        <w:tc>
          <w:tcPr>
            <w:tcW w:w="570" w:type="dxa"/>
            <w:shd w:val="clear" w:color="auto" w:fill="auto"/>
            <w:noWrap/>
            <w:vAlign w:val="bottom"/>
            <w:hideMark/>
          </w:tcPr>
          <w:p w14:paraId="0730748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63%</w:t>
            </w:r>
          </w:p>
        </w:tc>
      </w:tr>
      <w:tr w:rsidR="007E48B3" w:rsidRPr="006E6D96" w14:paraId="05451F35" w14:textId="77777777" w:rsidTr="00416373">
        <w:trPr>
          <w:trHeight w:val="285"/>
        </w:trPr>
        <w:tc>
          <w:tcPr>
            <w:tcW w:w="994" w:type="dxa"/>
            <w:shd w:val="clear" w:color="auto" w:fill="auto"/>
            <w:noWrap/>
            <w:vAlign w:val="bottom"/>
            <w:hideMark/>
          </w:tcPr>
          <w:p w14:paraId="2AB9188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2</w:t>
            </w:r>
          </w:p>
        </w:tc>
        <w:tc>
          <w:tcPr>
            <w:tcW w:w="668" w:type="dxa"/>
            <w:shd w:val="clear" w:color="auto" w:fill="auto"/>
            <w:noWrap/>
            <w:vAlign w:val="bottom"/>
            <w:hideMark/>
          </w:tcPr>
          <w:p w14:paraId="19EE4A4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0.92 </w:t>
            </w:r>
          </w:p>
        </w:tc>
        <w:tc>
          <w:tcPr>
            <w:tcW w:w="932" w:type="dxa"/>
            <w:shd w:val="clear" w:color="auto" w:fill="auto"/>
            <w:noWrap/>
            <w:vAlign w:val="bottom"/>
            <w:hideMark/>
          </w:tcPr>
          <w:p w14:paraId="65A48D3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18%</w:t>
            </w:r>
          </w:p>
        </w:tc>
        <w:tc>
          <w:tcPr>
            <w:tcW w:w="971" w:type="dxa"/>
            <w:shd w:val="clear" w:color="auto" w:fill="auto"/>
            <w:noWrap/>
            <w:vAlign w:val="bottom"/>
            <w:hideMark/>
          </w:tcPr>
          <w:p w14:paraId="74C94CE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91%</w:t>
            </w:r>
          </w:p>
        </w:tc>
        <w:tc>
          <w:tcPr>
            <w:tcW w:w="3069" w:type="dxa"/>
            <w:shd w:val="clear" w:color="auto" w:fill="auto"/>
            <w:noWrap/>
            <w:vAlign w:val="bottom"/>
            <w:hideMark/>
          </w:tcPr>
          <w:p w14:paraId="6997BA9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Share of NIS gross credit in the Palestinian banking system</w:t>
            </w:r>
          </w:p>
        </w:tc>
        <w:tc>
          <w:tcPr>
            <w:tcW w:w="994" w:type="dxa"/>
            <w:shd w:val="clear" w:color="auto" w:fill="auto"/>
            <w:noWrap/>
            <w:vAlign w:val="bottom"/>
            <w:hideMark/>
          </w:tcPr>
          <w:p w14:paraId="7CDE251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0.45 </w:t>
            </w:r>
          </w:p>
        </w:tc>
        <w:tc>
          <w:tcPr>
            <w:tcW w:w="994" w:type="dxa"/>
            <w:shd w:val="clear" w:color="auto" w:fill="auto"/>
            <w:noWrap/>
            <w:vAlign w:val="bottom"/>
            <w:hideMark/>
          </w:tcPr>
          <w:p w14:paraId="7142F02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0.48 </w:t>
            </w:r>
          </w:p>
        </w:tc>
        <w:tc>
          <w:tcPr>
            <w:tcW w:w="994" w:type="dxa"/>
            <w:shd w:val="clear" w:color="auto" w:fill="auto"/>
            <w:noWrap/>
            <w:vAlign w:val="bottom"/>
            <w:hideMark/>
          </w:tcPr>
          <w:p w14:paraId="3004C6F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0.85 </w:t>
            </w:r>
          </w:p>
        </w:tc>
        <w:tc>
          <w:tcPr>
            <w:tcW w:w="994" w:type="dxa"/>
            <w:shd w:val="clear" w:color="auto" w:fill="auto"/>
            <w:noWrap/>
            <w:vAlign w:val="bottom"/>
            <w:hideMark/>
          </w:tcPr>
          <w:p w14:paraId="4252AD4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0.46 </w:t>
            </w:r>
          </w:p>
        </w:tc>
        <w:tc>
          <w:tcPr>
            <w:tcW w:w="823" w:type="dxa"/>
            <w:shd w:val="clear" w:color="auto" w:fill="auto"/>
            <w:noWrap/>
            <w:vAlign w:val="bottom"/>
            <w:hideMark/>
          </w:tcPr>
          <w:p w14:paraId="78CD6C2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93%</w:t>
            </w:r>
          </w:p>
        </w:tc>
        <w:tc>
          <w:tcPr>
            <w:tcW w:w="753" w:type="dxa"/>
            <w:shd w:val="clear" w:color="auto" w:fill="auto"/>
            <w:noWrap/>
            <w:vAlign w:val="bottom"/>
            <w:hideMark/>
          </w:tcPr>
          <w:p w14:paraId="7BBC0B2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w:t>
            </w:r>
          </w:p>
        </w:tc>
        <w:tc>
          <w:tcPr>
            <w:tcW w:w="761" w:type="dxa"/>
            <w:shd w:val="clear" w:color="auto" w:fill="auto"/>
            <w:noWrap/>
            <w:vAlign w:val="bottom"/>
            <w:hideMark/>
          </w:tcPr>
          <w:p w14:paraId="7805E84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20%</w:t>
            </w:r>
          </w:p>
        </w:tc>
        <w:tc>
          <w:tcPr>
            <w:tcW w:w="570" w:type="dxa"/>
            <w:shd w:val="clear" w:color="auto" w:fill="auto"/>
            <w:noWrap/>
            <w:vAlign w:val="bottom"/>
            <w:hideMark/>
          </w:tcPr>
          <w:p w14:paraId="15AC1242" w14:textId="77777777" w:rsidR="007E48B3" w:rsidRPr="006E6D96" w:rsidRDefault="007E48B3" w:rsidP="00416373">
            <w:pPr>
              <w:bidi w:val="0"/>
              <w:rPr>
                <w:rFonts w:ascii="Arial" w:hAnsi="Arial"/>
                <w:color w:val="000000"/>
                <w:sz w:val="14"/>
                <w:szCs w:val="14"/>
              </w:rPr>
            </w:pPr>
            <w:r>
              <w:rPr>
                <w:rFonts w:ascii="Arial" w:hAnsi="Arial"/>
                <w:color w:val="000000"/>
                <w:sz w:val="14"/>
                <w:szCs w:val="14"/>
              </w:rPr>
              <w:t>56</w:t>
            </w:r>
            <w:r w:rsidRPr="006E6D96">
              <w:rPr>
                <w:rFonts w:ascii="Arial" w:hAnsi="Arial"/>
                <w:color w:val="000000"/>
                <w:sz w:val="14"/>
                <w:szCs w:val="14"/>
              </w:rPr>
              <w:t>%</w:t>
            </w:r>
          </w:p>
        </w:tc>
      </w:tr>
      <w:tr w:rsidR="007E48B3" w:rsidRPr="006E6D96" w14:paraId="5AE96158" w14:textId="77777777" w:rsidTr="00416373">
        <w:trPr>
          <w:trHeight w:val="285"/>
        </w:trPr>
        <w:tc>
          <w:tcPr>
            <w:tcW w:w="994" w:type="dxa"/>
            <w:shd w:val="clear" w:color="auto" w:fill="auto"/>
            <w:noWrap/>
            <w:vAlign w:val="bottom"/>
            <w:hideMark/>
          </w:tcPr>
          <w:p w14:paraId="47CAF4B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3</w:t>
            </w:r>
          </w:p>
        </w:tc>
        <w:tc>
          <w:tcPr>
            <w:tcW w:w="668" w:type="dxa"/>
            <w:shd w:val="clear" w:color="auto" w:fill="auto"/>
            <w:noWrap/>
            <w:vAlign w:val="bottom"/>
            <w:hideMark/>
          </w:tcPr>
          <w:p w14:paraId="501A0C3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0.30 </w:t>
            </w:r>
          </w:p>
        </w:tc>
        <w:tc>
          <w:tcPr>
            <w:tcW w:w="932" w:type="dxa"/>
            <w:shd w:val="clear" w:color="auto" w:fill="auto"/>
            <w:noWrap/>
            <w:vAlign w:val="bottom"/>
            <w:hideMark/>
          </w:tcPr>
          <w:p w14:paraId="12541CC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6%</w:t>
            </w:r>
          </w:p>
        </w:tc>
        <w:tc>
          <w:tcPr>
            <w:tcW w:w="971" w:type="dxa"/>
            <w:shd w:val="clear" w:color="auto" w:fill="auto"/>
            <w:noWrap/>
            <w:vAlign w:val="bottom"/>
            <w:hideMark/>
          </w:tcPr>
          <w:p w14:paraId="3FE10D5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97%</w:t>
            </w:r>
          </w:p>
        </w:tc>
        <w:tc>
          <w:tcPr>
            <w:tcW w:w="3069" w:type="dxa"/>
            <w:shd w:val="clear" w:color="auto" w:fill="auto"/>
            <w:noWrap/>
            <w:vAlign w:val="bottom"/>
            <w:hideMark/>
          </w:tcPr>
          <w:p w14:paraId="37C9463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WBG excess NIS cash deposited in Israel banking system </w:t>
            </w:r>
            <w:proofErr w:type="spellStart"/>
            <w:r w:rsidRPr="006E6D96">
              <w:rPr>
                <w:rFonts w:ascii="Arial" w:hAnsi="Arial"/>
                <w:color w:val="000000"/>
                <w:sz w:val="14"/>
                <w:szCs w:val="14"/>
              </w:rPr>
              <w:t>ou</w:t>
            </w:r>
            <w:proofErr w:type="spellEnd"/>
            <w:r w:rsidRPr="006E6D96">
              <w:rPr>
                <w:rFonts w:ascii="Arial" w:hAnsi="Arial"/>
                <w:color w:val="000000"/>
                <w:sz w:val="14"/>
                <w:szCs w:val="14"/>
              </w:rPr>
              <w:t xml:space="preserve"> of total NIS circulation </w:t>
            </w:r>
          </w:p>
        </w:tc>
        <w:tc>
          <w:tcPr>
            <w:tcW w:w="994" w:type="dxa"/>
            <w:shd w:val="clear" w:color="auto" w:fill="auto"/>
            <w:noWrap/>
            <w:vAlign w:val="bottom"/>
            <w:hideMark/>
          </w:tcPr>
          <w:p w14:paraId="3F9707F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0.45 </w:t>
            </w:r>
          </w:p>
        </w:tc>
        <w:tc>
          <w:tcPr>
            <w:tcW w:w="994" w:type="dxa"/>
            <w:shd w:val="clear" w:color="auto" w:fill="auto"/>
            <w:noWrap/>
            <w:vAlign w:val="bottom"/>
            <w:hideMark/>
          </w:tcPr>
          <w:p w14:paraId="2018743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0.24 </w:t>
            </w:r>
          </w:p>
        </w:tc>
        <w:tc>
          <w:tcPr>
            <w:tcW w:w="994" w:type="dxa"/>
            <w:shd w:val="clear" w:color="auto" w:fill="auto"/>
            <w:noWrap/>
            <w:vAlign w:val="bottom"/>
            <w:hideMark/>
          </w:tcPr>
          <w:p w14:paraId="652FC07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0.86 </w:t>
            </w:r>
          </w:p>
        </w:tc>
        <w:tc>
          <w:tcPr>
            <w:tcW w:w="994" w:type="dxa"/>
            <w:shd w:val="clear" w:color="auto" w:fill="auto"/>
            <w:noWrap/>
            <w:vAlign w:val="bottom"/>
            <w:hideMark/>
          </w:tcPr>
          <w:p w14:paraId="73F6940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0.23 </w:t>
            </w:r>
          </w:p>
        </w:tc>
        <w:tc>
          <w:tcPr>
            <w:tcW w:w="823" w:type="dxa"/>
            <w:shd w:val="clear" w:color="auto" w:fill="auto"/>
            <w:noWrap/>
            <w:vAlign w:val="bottom"/>
            <w:hideMark/>
          </w:tcPr>
          <w:p w14:paraId="559AB13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79%</w:t>
            </w:r>
          </w:p>
        </w:tc>
        <w:tc>
          <w:tcPr>
            <w:tcW w:w="753" w:type="dxa"/>
            <w:shd w:val="clear" w:color="auto" w:fill="auto"/>
            <w:noWrap/>
            <w:vAlign w:val="bottom"/>
            <w:hideMark/>
          </w:tcPr>
          <w:p w14:paraId="2A8DFDA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21%</w:t>
            </w:r>
          </w:p>
        </w:tc>
        <w:tc>
          <w:tcPr>
            <w:tcW w:w="761" w:type="dxa"/>
            <w:shd w:val="clear" w:color="auto" w:fill="auto"/>
            <w:noWrap/>
            <w:vAlign w:val="bottom"/>
            <w:hideMark/>
          </w:tcPr>
          <w:p w14:paraId="2449962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17%</w:t>
            </w:r>
          </w:p>
        </w:tc>
        <w:tc>
          <w:tcPr>
            <w:tcW w:w="570" w:type="dxa"/>
            <w:shd w:val="clear" w:color="auto" w:fill="auto"/>
            <w:noWrap/>
            <w:vAlign w:val="bottom"/>
            <w:hideMark/>
          </w:tcPr>
          <w:p w14:paraId="361190B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85%</w:t>
            </w:r>
          </w:p>
        </w:tc>
      </w:tr>
      <w:tr w:rsidR="007E48B3" w:rsidRPr="006E6D96" w14:paraId="4A03BBCE" w14:textId="77777777" w:rsidTr="00416373">
        <w:trPr>
          <w:trHeight w:val="285"/>
        </w:trPr>
        <w:tc>
          <w:tcPr>
            <w:tcW w:w="994" w:type="dxa"/>
            <w:shd w:val="clear" w:color="auto" w:fill="auto"/>
            <w:noWrap/>
            <w:vAlign w:val="bottom"/>
            <w:hideMark/>
          </w:tcPr>
          <w:p w14:paraId="464854E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4</w:t>
            </w:r>
          </w:p>
        </w:tc>
        <w:tc>
          <w:tcPr>
            <w:tcW w:w="668" w:type="dxa"/>
            <w:shd w:val="clear" w:color="auto" w:fill="auto"/>
            <w:noWrap/>
            <w:vAlign w:val="bottom"/>
            <w:hideMark/>
          </w:tcPr>
          <w:p w14:paraId="5FEDAC8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0.10 </w:t>
            </w:r>
          </w:p>
        </w:tc>
        <w:tc>
          <w:tcPr>
            <w:tcW w:w="932" w:type="dxa"/>
            <w:shd w:val="clear" w:color="auto" w:fill="auto"/>
            <w:noWrap/>
            <w:vAlign w:val="bottom"/>
            <w:hideMark/>
          </w:tcPr>
          <w:p w14:paraId="3C01BBD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w:t>
            </w:r>
          </w:p>
        </w:tc>
        <w:tc>
          <w:tcPr>
            <w:tcW w:w="971" w:type="dxa"/>
            <w:shd w:val="clear" w:color="auto" w:fill="auto"/>
            <w:noWrap/>
            <w:vAlign w:val="bottom"/>
            <w:hideMark/>
          </w:tcPr>
          <w:p w14:paraId="29903BC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99%</w:t>
            </w:r>
          </w:p>
        </w:tc>
        <w:tc>
          <w:tcPr>
            <w:tcW w:w="3069" w:type="dxa"/>
            <w:shd w:val="clear" w:color="auto" w:fill="auto"/>
            <w:noWrap/>
            <w:vAlign w:val="bottom"/>
            <w:hideMark/>
          </w:tcPr>
          <w:p w14:paraId="1D51901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Checks &amp; Money transfer Volume between WBG &amp; Israel  out of WBG GNI</w:t>
            </w:r>
          </w:p>
        </w:tc>
        <w:tc>
          <w:tcPr>
            <w:tcW w:w="994" w:type="dxa"/>
            <w:shd w:val="clear" w:color="auto" w:fill="auto"/>
            <w:noWrap/>
            <w:vAlign w:val="bottom"/>
            <w:hideMark/>
          </w:tcPr>
          <w:p w14:paraId="5D10A90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-0.36 </w:t>
            </w:r>
          </w:p>
        </w:tc>
        <w:tc>
          <w:tcPr>
            <w:tcW w:w="994" w:type="dxa"/>
            <w:shd w:val="clear" w:color="auto" w:fill="auto"/>
            <w:noWrap/>
            <w:vAlign w:val="bottom"/>
            <w:hideMark/>
          </w:tcPr>
          <w:p w14:paraId="63323F7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0.75 </w:t>
            </w:r>
          </w:p>
        </w:tc>
        <w:tc>
          <w:tcPr>
            <w:tcW w:w="994" w:type="dxa"/>
            <w:shd w:val="clear" w:color="auto" w:fill="auto"/>
            <w:noWrap/>
            <w:vAlign w:val="bottom"/>
            <w:hideMark/>
          </w:tcPr>
          <w:p w14:paraId="19BADAE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-0.68 </w:t>
            </w:r>
          </w:p>
        </w:tc>
        <w:tc>
          <w:tcPr>
            <w:tcW w:w="994" w:type="dxa"/>
            <w:shd w:val="clear" w:color="auto" w:fill="auto"/>
            <w:noWrap/>
            <w:vAlign w:val="bottom"/>
            <w:hideMark/>
          </w:tcPr>
          <w:p w14:paraId="306DB69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0.72 </w:t>
            </w:r>
          </w:p>
        </w:tc>
        <w:tc>
          <w:tcPr>
            <w:tcW w:w="823" w:type="dxa"/>
            <w:shd w:val="clear" w:color="auto" w:fill="auto"/>
            <w:noWrap/>
            <w:vAlign w:val="bottom"/>
            <w:hideMark/>
          </w:tcPr>
          <w:p w14:paraId="7C02F92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98%</w:t>
            </w:r>
          </w:p>
        </w:tc>
        <w:tc>
          <w:tcPr>
            <w:tcW w:w="753" w:type="dxa"/>
            <w:shd w:val="clear" w:color="auto" w:fill="auto"/>
            <w:noWrap/>
            <w:vAlign w:val="bottom"/>
            <w:hideMark/>
          </w:tcPr>
          <w:p w14:paraId="191C2FE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w:t>
            </w:r>
          </w:p>
        </w:tc>
        <w:tc>
          <w:tcPr>
            <w:tcW w:w="761" w:type="dxa"/>
            <w:shd w:val="clear" w:color="auto" w:fill="auto"/>
            <w:noWrap/>
            <w:vAlign w:val="bottom"/>
            <w:hideMark/>
          </w:tcPr>
          <w:p w14:paraId="696633F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22%</w:t>
            </w:r>
          </w:p>
        </w:tc>
        <w:tc>
          <w:tcPr>
            <w:tcW w:w="570" w:type="dxa"/>
            <w:shd w:val="clear" w:color="auto" w:fill="auto"/>
            <w:noWrap/>
            <w:vAlign w:val="bottom"/>
            <w:hideMark/>
          </w:tcPr>
          <w:p w14:paraId="10E55BE9" w14:textId="77777777" w:rsidR="007E48B3" w:rsidRPr="00AA0218" w:rsidRDefault="007E48B3" w:rsidP="00416373">
            <w:pPr>
              <w:bidi w:val="0"/>
              <w:rPr>
                <w:rFonts w:ascii="Arial" w:hAnsi="Arial"/>
                <w:color w:val="000000"/>
                <w:sz w:val="14"/>
                <w:szCs w:val="14"/>
                <w:u w:val="single"/>
              </w:rPr>
            </w:pPr>
            <w:r w:rsidRPr="00AA0218">
              <w:rPr>
                <w:rFonts w:ascii="Arial" w:hAnsi="Arial"/>
                <w:color w:val="000000"/>
                <w:sz w:val="14"/>
                <w:szCs w:val="14"/>
                <w:u w:val="single"/>
              </w:rPr>
              <w:t>44%</w:t>
            </w:r>
          </w:p>
        </w:tc>
      </w:tr>
      <w:tr w:rsidR="007E48B3" w:rsidRPr="006E6D96" w14:paraId="10C76804" w14:textId="77777777" w:rsidTr="00416373">
        <w:trPr>
          <w:trHeight w:val="285"/>
        </w:trPr>
        <w:tc>
          <w:tcPr>
            <w:tcW w:w="994" w:type="dxa"/>
            <w:shd w:val="clear" w:color="auto" w:fill="auto"/>
            <w:noWrap/>
            <w:vAlign w:val="bottom"/>
            <w:hideMark/>
          </w:tcPr>
          <w:p w14:paraId="0C48B69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5</w:t>
            </w:r>
          </w:p>
        </w:tc>
        <w:tc>
          <w:tcPr>
            <w:tcW w:w="668" w:type="dxa"/>
            <w:shd w:val="clear" w:color="auto" w:fill="auto"/>
            <w:noWrap/>
            <w:vAlign w:val="bottom"/>
            <w:hideMark/>
          </w:tcPr>
          <w:p w14:paraId="5C916FC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0.04 </w:t>
            </w:r>
          </w:p>
        </w:tc>
        <w:tc>
          <w:tcPr>
            <w:tcW w:w="932" w:type="dxa"/>
            <w:shd w:val="clear" w:color="auto" w:fill="auto"/>
            <w:noWrap/>
            <w:vAlign w:val="bottom"/>
            <w:hideMark/>
          </w:tcPr>
          <w:p w14:paraId="527A3CF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w:t>
            </w:r>
          </w:p>
        </w:tc>
        <w:tc>
          <w:tcPr>
            <w:tcW w:w="971" w:type="dxa"/>
            <w:shd w:val="clear" w:color="auto" w:fill="auto"/>
            <w:noWrap/>
            <w:vAlign w:val="bottom"/>
            <w:hideMark/>
          </w:tcPr>
          <w:p w14:paraId="3681025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100%</w:t>
            </w:r>
          </w:p>
        </w:tc>
        <w:tc>
          <w:tcPr>
            <w:tcW w:w="3069" w:type="dxa"/>
            <w:shd w:val="clear" w:color="auto" w:fill="auto"/>
            <w:noWrap/>
            <w:vAlign w:val="bottom"/>
            <w:hideMark/>
          </w:tcPr>
          <w:p w14:paraId="0E43385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Share of NIS checks (Value) presented for clearing in the Palestinian banking system</w:t>
            </w:r>
          </w:p>
        </w:tc>
        <w:tc>
          <w:tcPr>
            <w:tcW w:w="994" w:type="dxa"/>
            <w:shd w:val="clear" w:color="auto" w:fill="auto"/>
            <w:noWrap/>
            <w:vAlign w:val="bottom"/>
            <w:hideMark/>
          </w:tcPr>
          <w:p w14:paraId="43D63E8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0.49 </w:t>
            </w:r>
          </w:p>
        </w:tc>
        <w:tc>
          <w:tcPr>
            <w:tcW w:w="994" w:type="dxa"/>
            <w:shd w:val="clear" w:color="auto" w:fill="auto"/>
            <w:noWrap/>
            <w:vAlign w:val="bottom"/>
            <w:hideMark/>
          </w:tcPr>
          <w:p w14:paraId="0D2A56E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0.21 </w:t>
            </w:r>
          </w:p>
        </w:tc>
        <w:tc>
          <w:tcPr>
            <w:tcW w:w="994" w:type="dxa"/>
            <w:shd w:val="clear" w:color="auto" w:fill="auto"/>
            <w:noWrap/>
            <w:vAlign w:val="bottom"/>
            <w:hideMark/>
          </w:tcPr>
          <w:p w14:paraId="2C53BD4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0.94 </w:t>
            </w:r>
          </w:p>
        </w:tc>
        <w:tc>
          <w:tcPr>
            <w:tcW w:w="994" w:type="dxa"/>
            <w:shd w:val="clear" w:color="auto" w:fill="auto"/>
            <w:noWrap/>
            <w:vAlign w:val="bottom"/>
            <w:hideMark/>
          </w:tcPr>
          <w:p w14:paraId="2391D1F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0.20 </w:t>
            </w:r>
          </w:p>
        </w:tc>
        <w:tc>
          <w:tcPr>
            <w:tcW w:w="823" w:type="dxa"/>
            <w:shd w:val="clear" w:color="auto" w:fill="auto"/>
            <w:noWrap/>
            <w:vAlign w:val="bottom"/>
            <w:hideMark/>
          </w:tcPr>
          <w:p w14:paraId="2C31DEC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93%</w:t>
            </w:r>
          </w:p>
        </w:tc>
        <w:tc>
          <w:tcPr>
            <w:tcW w:w="753" w:type="dxa"/>
            <w:shd w:val="clear" w:color="auto" w:fill="auto"/>
            <w:noWrap/>
            <w:vAlign w:val="bottom"/>
            <w:hideMark/>
          </w:tcPr>
          <w:p w14:paraId="103B780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w:t>
            </w:r>
          </w:p>
        </w:tc>
        <w:tc>
          <w:tcPr>
            <w:tcW w:w="761" w:type="dxa"/>
            <w:shd w:val="clear" w:color="auto" w:fill="auto"/>
            <w:noWrap/>
            <w:vAlign w:val="bottom"/>
            <w:hideMark/>
          </w:tcPr>
          <w:p w14:paraId="54780C7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20%</w:t>
            </w:r>
          </w:p>
        </w:tc>
        <w:tc>
          <w:tcPr>
            <w:tcW w:w="570" w:type="dxa"/>
            <w:shd w:val="clear" w:color="auto" w:fill="auto"/>
            <w:noWrap/>
            <w:vAlign w:val="bottom"/>
            <w:hideMark/>
          </w:tcPr>
          <w:p w14:paraId="1C840BD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82%</w:t>
            </w:r>
          </w:p>
        </w:tc>
      </w:tr>
      <w:tr w:rsidR="007E48B3" w:rsidRPr="006E6D96" w14:paraId="443239FA" w14:textId="77777777" w:rsidTr="00416373">
        <w:trPr>
          <w:trHeight w:val="285"/>
        </w:trPr>
        <w:tc>
          <w:tcPr>
            <w:tcW w:w="994" w:type="dxa"/>
            <w:shd w:val="clear" w:color="auto" w:fill="auto"/>
            <w:noWrap/>
            <w:vAlign w:val="bottom"/>
            <w:hideMark/>
          </w:tcPr>
          <w:p w14:paraId="4CEE0F4F" w14:textId="77777777" w:rsidR="007E48B3" w:rsidRPr="006E6D96" w:rsidRDefault="007E48B3" w:rsidP="00416373">
            <w:pPr>
              <w:bidi w:val="0"/>
              <w:rPr>
                <w:rFonts w:ascii="Arial" w:hAnsi="Arial"/>
                <w:color w:val="000000"/>
                <w:sz w:val="14"/>
                <w:szCs w:val="14"/>
              </w:rPr>
            </w:pPr>
          </w:p>
        </w:tc>
        <w:tc>
          <w:tcPr>
            <w:tcW w:w="668" w:type="dxa"/>
            <w:shd w:val="clear" w:color="auto" w:fill="auto"/>
            <w:noWrap/>
            <w:vAlign w:val="bottom"/>
            <w:hideMark/>
          </w:tcPr>
          <w:p w14:paraId="63CE29D5" w14:textId="77777777" w:rsidR="007E48B3" w:rsidRPr="006E6D96" w:rsidRDefault="007E48B3" w:rsidP="00416373">
            <w:pPr>
              <w:bidi w:val="0"/>
              <w:rPr>
                <w:rFonts w:ascii="Times New Roman" w:hAnsi="Times New Roman" w:cs="Times New Roman"/>
                <w:sz w:val="14"/>
                <w:szCs w:val="14"/>
              </w:rPr>
            </w:pPr>
          </w:p>
        </w:tc>
        <w:tc>
          <w:tcPr>
            <w:tcW w:w="932" w:type="dxa"/>
            <w:shd w:val="clear" w:color="auto" w:fill="auto"/>
            <w:noWrap/>
            <w:vAlign w:val="bottom"/>
            <w:hideMark/>
          </w:tcPr>
          <w:p w14:paraId="7727ABF0" w14:textId="77777777" w:rsidR="007E48B3" w:rsidRPr="006E6D96" w:rsidRDefault="007E48B3" w:rsidP="00416373">
            <w:pPr>
              <w:bidi w:val="0"/>
              <w:rPr>
                <w:rFonts w:ascii="Times New Roman" w:hAnsi="Times New Roman" w:cs="Times New Roman"/>
                <w:sz w:val="14"/>
                <w:szCs w:val="14"/>
              </w:rPr>
            </w:pPr>
          </w:p>
        </w:tc>
        <w:tc>
          <w:tcPr>
            <w:tcW w:w="971" w:type="dxa"/>
            <w:shd w:val="clear" w:color="auto" w:fill="auto"/>
            <w:noWrap/>
            <w:vAlign w:val="bottom"/>
            <w:hideMark/>
          </w:tcPr>
          <w:p w14:paraId="47FC150A" w14:textId="77777777" w:rsidR="007E48B3" w:rsidRPr="006E6D96" w:rsidRDefault="007E48B3" w:rsidP="00416373">
            <w:pPr>
              <w:bidi w:val="0"/>
              <w:rPr>
                <w:rFonts w:ascii="Times New Roman" w:hAnsi="Times New Roman" w:cs="Times New Roman"/>
                <w:sz w:val="14"/>
                <w:szCs w:val="14"/>
              </w:rPr>
            </w:pPr>
          </w:p>
        </w:tc>
        <w:tc>
          <w:tcPr>
            <w:tcW w:w="3069" w:type="dxa"/>
            <w:shd w:val="clear" w:color="auto" w:fill="auto"/>
            <w:noWrap/>
            <w:vAlign w:val="bottom"/>
            <w:hideMark/>
          </w:tcPr>
          <w:p w14:paraId="2CC00E67"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5EF5633A"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06EC91CC"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3CA1FDE6"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2D9642A3" w14:textId="77777777" w:rsidR="007E48B3" w:rsidRPr="006E6D96" w:rsidRDefault="007E48B3" w:rsidP="00416373">
            <w:pPr>
              <w:bidi w:val="0"/>
              <w:rPr>
                <w:rFonts w:ascii="Times New Roman" w:hAnsi="Times New Roman" w:cs="Times New Roman"/>
                <w:sz w:val="14"/>
                <w:szCs w:val="14"/>
              </w:rPr>
            </w:pPr>
          </w:p>
        </w:tc>
        <w:tc>
          <w:tcPr>
            <w:tcW w:w="823" w:type="dxa"/>
            <w:shd w:val="clear" w:color="auto" w:fill="auto"/>
            <w:noWrap/>
            <w:vAlign w:val="bottom"/>
            <w:hideMark/>
          </w:tcPr>
          <w:p w14:paraId="78873822" w14:textId="77777777" w:rsidR="007E48B3" w:rsidRPr="006E6D96" w:rsidRDefault="007E48B3" w:rsidP="00416373">
            <w:pPr>
              <w:bidi w:val="0"/>
              <w:rPr>
                <w:rFonts w:ascii="Times New Roman" w:hAnsi="Times New Roman" w:cs="Times New Roman"/>
                <w:sz w:val="14"/>
                <w:szCs w:val="14"/>
              </w:rPr>
            </w:pPr>
          </w:p>
        </w:tc>
        <w:tc>
          <w:tcPr>
            <w:tcW w:w="753" w:type="dxa"/>
            <w:shd w:val="clear" w:color="auto" w:fill="auto"/>
            <w:noWrap/>
            <w:vAlign w:val="bottom"/>
            <w:hideMark/>
          </w:tcPr>
          <w:p w14:paraId="76817725" w14:textId="77777777" w:rsidR="007E48B3" w:rsidRPr="006E6D96" w:rsidRDefault="007E48B3" w:rsidP="00416373">
            <w:pPr>
              <w:bidi w:val="0"/>
              <w:rPr>
                <w:rFonts w:ascii="Times New Roman" w:hAnsi="Times New Roman" w:cs="Times New Roman"/>
                <w:sz w:val="14"/>
                <w:szCs w:val="14"/>
              </w:rPr>
            </w:pPr>
          </w:p>
        </w:tc>
        <w:tc>
          <w:tcPr>
            <w:tcW w:w="761" w:type="dxa"/>
            <w:shd w:val="clear" w:color="auto" w:fill="auto"/>
            <w:noWrap/>
            <w:vAlign w:val="bottom"/>
            <w:hideMark/>
          </w:tcPr>
          <w:p w14:paraId="5FC4BDF3" w14:textId="77777777" w:rsidR="007E48B3" w:rsidRPr="006E6D96" w:rsidRDefault="007E48B3" w:rsidP="00416373">
            <w:pPr>
              <w:bidi w:val="0"/>
              <w:rPr>
                <w:rFonts w:ascii="Times New Roman" w:hAnsi="Times New Roman" w:cs="Times New Roman"/>
                <w:sz w:val="14"/>
                <w:szCs w:val="14"/>
              </w:rPr>
            </w:pPr>
          </w:p>
        </w:tc>
        <w:tc>
          <w:tcPr>
            <w:tcW w:w="570" w:type="dxa"/>
            <w:shd w:val="clear" w:color="auto" w:fill="auto"/>
            <w:noWrap/>
            <w:vAlign w:val="bottom"/>
            <w:hideMark/>
          </w:tcPr>
          <w:p w14:paraId="19B808B1" w14:textId="77777777" w:rsidR="007E48B3" w:rsidRPr="006E6D96" w:rsidRDefault="007E48B3" w:rsidP="00416373">
            <w:pPr>
              <w:bidi w:val="0"/>
              <w:rPr>
                <w:rFonts w:ascii="Times New Roman" w:hAnsi="Times New Roman" w:cs="Times New Roman"/>
                <w:sz w:val="14"/>
                <w:szCs w:val="14"/>
              </w:rPr>
            </w:pPr>
          </w:p>
        </w:tc>
      </w:tr>
      <w:tr w:rsidR="007E48B3" w:rsidRPr="006E6D96" w14:paraId="1E3FCE66" w14:textId="77777777" w:rsidTr="00416373">
        <w:trPr>
          <w:trHeight w:val="300"/>
        </w:trPr>
        <w:tc>
          <w:tcPr>
            <w:tcW w:w="994" w:type="dxa"/>
            <w:shd w:val="clear" w:color="auto" w:fill="auto"/>
            <w:noWrap/>
            <w:vAlign w:val="bottom"/>
            <w:hideMark/>
          </w:tcPr>
          <w:p w14:paraId="55E71731"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w:t>
            </w:r>
          </w:p>
        </w:tc>
        <w:tc>
          <w:tcPr>
            <w:tcW w:w="668" w:type="dxa"/>
            <w:shd w:val="clear" w:color="auto" w:fill="auto"/>
            <w:noWrap/>
            <w:vAlign w:val="bottom"/>
            <w:hideMark/>
          </w:tcPr>
          <w:p w14:paraId="1D7197CE"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 xml:space="preserve"> </w:t>
            </w:r>
            <w:proofErr w:type="spellStart"/>
            <w:r w:rsidRPr="006E6D96">
              <w:rPr>
                <w:rFonts w:ascii="Arial" w:hAnsi="Arial"/>
                <w:b/>
                <w:bCs/>
                <w:color w:val="000000"/>
                <w:sz w:val="14"/>
                <w:szCs w:val="14"/>
              </w:rPr>
              <w:t>eValue</w:t>
            </w:r>
            <w:proofErr w:type="spellEnd"/>
            <w:r w:rsidRPr="006E6D96">
              <w:rPr>
                <w:rFonts w:ascii="Arial" w:hAnsi="Arial"/>
                <w:b/>
                <w:bCs/>
                <w:color w:val="000000"/>
                <w:sz w:val="14"/>
                <w:szCs w:val="14"/>
              </w:rPr>
              <w:t xml:space="preserve"> </w:t>
            </w:r>
          </w:p>
        </w:tc>
        <w:tc>
          <w:tcPr>
            <w:tcW w:w="932" w:type="dxa"/>
            <w:shd w:val="clear" w:color="auto" w:fill="auto"/>
            <w:noWrap/>
            <w:vAlign w:val="bottom"/>
            <w:hideMark/>
          </w:tcPr>
          <w:p w14:paraId="29D98DFB"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Proportion</w:t>
            </w:r>
          </w:p>
        </w:tc>
        <w:tc>
          <w:tcPr>
            <w:tcW w:w="971" w:type="dxa"/>
            <w:shd w:val="clear" w:color="auto" w:fill="auto"/>
            <w:noWrap/>
            <w:vAlign w:val="bottom"/>
            <w:hideMark/>
          </w:tcPr>
          <w:p w14:paraId="1A28AF5A"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Cumulative</w:t>
            </w:r>
          </w:p>
        </w:tc>
        <w:tc>
          <w:tcPr>
            <w:tcW w:w="3069" w:type="dxa"/>
            <w:shd w:val="clear" w:color="auto" w:fill="auto"/>
            <w:noWrap/>
            <w:vAlign w:val="bottom"/>
            <w:hideMark/>
          </w:tcPr>
          <w:p w14:paraId="25DBC904"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Indicator</w:t>
            </w:r>
          </w:p>
        </w:tc>
        <w:tc>
          <w:tcPr>
            <w:tcW w:w="994" w:type="dxa"/>
            <w:shd w:val="clear" w:color="auto" w:fill="auto"/>
            <w:noWrap/>
            <w:vAlign w:val="bottom"/>
            <w:hideMark/>
          </w:tcPr>
          <w:p w14:paraId="7BBB7691"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1</w:t>
            </w:r>
          </w:p>
        </w:tc>
        <w:tc>
          <w:tcPr>
            <w:tcW w:w="994" w:type="dxa"/>
            <w:shd w:val="clear" w:color="auto" w:fill="auto"/>
            <w:noWrap/>
            <w:vAlign w:val="bottom"/>
            <w:hideMark/>
          </w:tcPr>
          <w:p w14:paraId="61C089E4"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2</w:t>
            </w:r>
          </w:p>
        </w:tc>
        <w:tc>
          <w:tcPr>
            <w:tcW w:w="994" w:type="dxa"/>
            <w:shd w:val="clear" w:color="auto" w:fill="auto"/>
            <w:noWrap/>
            <w:vAlign w:val="bottom"/>
            <w:hideMark/>
          </w:tcPr>
          <w:p w14:paraId="3276DB5A"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1</w:t>
            </w:r>
          </w:p>
        </w:tc>
        <w:tc>
          <w:tcPr>
            <w:tcW w:w="994" w:type="dxa"/>
            <w:shd w:val="clear" w:color="auto" w:fill="auto"/>
            <w:noWrap/>
            <w:vAlign w:val="bottom"/>
            <w:hideMark/>
          </w:tcPr>
          <w:p w14:paraId="14C9D846"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2</w:t>
            </w:r>
          </w:p>
        </w:tc>
        <w:tc>
          <w:tcPr>
            <w:tcW w:w="823" w:type="dxa"/>
            <w:shd w:val="clear" w:color="auto" w:fill="auto"/>
            <w:noWrap/>
            <w:vAlign w:val="bottom"/>
            <w:hideMark/>
          </w:tcPr>
          <w:p w14:paraId="1E7AC156" w14:textId="77777777" w:rsidR="007E48B3" w:rsidRPr="006E6D96" w:rsidRDefault="007E48B3" w:rsidP="00416373">
            <w:pPr>
              <w:bidi w:val="0"/>
              <w:rPr>
                <w:rFonts w:ascii="Arial" w:hAnsi="Arial"/>
                <w:b/>
                <w:bCs/>
                <w:color w:val="000000"/>
                <w:sz w:val="14"/>
                <w:szCs w:val="14"/>
              </w:rPr>
            </w:pPr>
            <w:proofErr w:type="spellStart"/>
            <w:r w:rsidRPr="006E6D96">
              <w:rPr>
                <w:rFonts w:ascii="Arial" w:hAnsi="Arial"/>
                <w:b/>
                <w:bCs/>
                <w:color w:val="000000"/>
                <w:sz w:val="14"/>
                <w:szCs w:val="14"/>
              </w:rPr>
              <w:t>Commun</w:t>
            </w:r>
            <w:proofErr w:type="spellEnd"/>
          </w:p>
        </w:tc>
        <w:tc>
          <w:tcPr>
            <w:tcW w:w="753" w:type="dxa"/>
            <w:shd w:val="clear" w:color="auto" w:fill="auto"/>
            <w:noWrap/>
            <w:vAlign w:val="bottom"/>
            <w:hideMark/>
          </w:tcPr>
          <w:p w14:paraId="6657B3CA"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Specific</w:t>
            </w:r>
          </w:p>
        </w:tc>
        <w:tc>
          <w:tcPr>
            <w:tcW w:w="761" w:type="dxa"/>
            <w:shd w:val="clear" w:color="auto" w:fill="auto"/>
            <w:noWrap/>
            <w:vAlign w:val="bottom"/>
            <w:hideMark/>
          </w:tcPr>
          <w:p w14:paraId="4D994B63"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Weights</w:t>
            </w:r>
          </w:p>
        </w:tc>
        <w:tc>
          <w:tcPr>
            <w:tcW w:w="570" w:type="dxa"/>
            <w:shd w:val="clear" w:color="auto" w:fill="auto"/>
            <w:noWrap/>
            <w:vAlign w:val="bottom"/>
            <w:hideMark/>
          </w:tcPr>
          <w:p w14:paraId="0CEDEA3D"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KMO</w:t>
            </w:r>
          </w:p>
        </w:tc>
      </w:tr>
      <w:tr w:rsidR="007E48B3" w:rsidRPr="006E6D96" w14:paraId="5CB46325" w14:textId="77777777" w:rsidTr="00416373">
        <w:trPr>
          <w:trHeight w:val="285"/>
        </w:trPr>
        <w:tc>
          <w:tcPr>
            <w:tcW w:w="994" w:type="dxa"/>
            <w:shd w:val="clear" w:color="auto" w:fill="auto"/>
            <w:noWrap/>
            <w:vAlign w:val="bottom"/>
            <w:hideMark/>
          </w:tcPr>
          <w:p w14:paraId="10DDE74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1</w:t>
            </w:r>
          </w:p>
        </w:tc>
        <w:tc>
          <w:tcPr>
            <w:tcW w:w="668" w:type="dxa"/>
            <w:shd w:val="clear" w:color="auto" w:fill="auto"/>
            <w:noWrap/>
            <w:vAlign w:val="bottom"/>
            <w:hideMark/>
          </w:tcPr>
          <w:p w14:paraId="2BFEB94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2.06 </w:t>
            </w:r>
          </w:p>
        </w:tc>
        <w:tc>
          <w:tcPr>
            <w:tcW w:w="932" w:type="dxa"/>
            <w:shd w:val="clear" w:color="auto" w:fill="auto"/>
            <w:noWrap/>
            <w:vAlign w:val="bottom"/>
            <w:hideMark/>
          </w:tcPr>
          <w:p w14:paraId="6615D55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52%</w:t>
            </w:r>
          </w:p>
        </w:tc>
        <w:tc>
          <w:tcPr>
            <w:tcW w:w="971" w:type="dxa"/>
            <w:shd w:val="clear" w:color="auto" w:fill="auto"/>
            <w:noWrap/>
            <w:vAlign w:val="bottom"/>
            <w:hideMark/>
          </w:tcPr>
          <w:p w14:paraId="6EA7606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52%</w:t>
            </w:r>
          </w:p>
        </w:tc>
        <w:tc>
          <w:tcPr>
            <w:tcW w:w="3069" w:type="dxa"/>
            <w:shd w:val="clear" w:color="auto" w:fill="auto"/>
            <w:noWrap/>
            <w:vAlign w:val="bottom"/>
            <w:hideMark/>
          </w:tcPr>
          <w:p w14:paraId="262AF0F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GDP per Capita Ratio (2015 prices)</w:t>
            </w:r>
          </w:p>
        </w:tc>
        <w:tc>
          <w:tcPr>
            <w:tcW w:w="994" w:type="dxa"/>
            <w:shd w:val="clear" w:color="auto" w:fill="auto"/>
            <w:noWrap/>
            <w:vAlign w:val="bottom"/>
            <w:hideMark/>
          </w:tcPr>
          <w:p w14:paraId="586A21F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0.11 </w:t>
            </w:r>
          </w:p>
        </w:tc>
        <w:tc>
          <w:tcPr>
            <w:tcW w:w="994" w:type="dxa"/>
            <w:shd w:val="clear" w:color="auto" w:fill="auto"/>
            <w:noWrap/>
            <w:vAlign w:val="bottom"/>
            <w:hideMark/>
          </w:tcPr>
          <w:p w14:paraId="7AA7024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0.78 </w:t>
            </w:r>
          </w:p>
        </w:tc>
        <w:tc>
          <w:tcPr>
            <w:tcW w:w="994" w:type="dxa"/>
            <w:shd w:val="clear" w:color="auto" w:fill="auto"/>
            <w:noWrap/>
            <w:vAlign w:val="bottom"/>
            <w:hideMark/>
          </w:tcPr>
          <w:p w14:paraId="7410864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0.15 </w:t>
            </w:r>
          </w:p>
        </w:tc>
        <w:tc>
          <w:tcPr>
            <w:tcW w:w="994" w:type="dxa"/>
            <w:shd w:val="clear" w:color="auto" w:fill="auto"/>
            <w:noWrap/>
            <w:vAlign w:val="bottom"/>
            <w:hideMark/>
          </w:tcPr>
          <w:p w14:paraId="38FB920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0.89 </w:t>
            </w:r>
          </w:p>
        </w:tc>
        <w:tc>
          <w:tcPr>
            <w:tcW w:w="823" w:type="dxa"/>
            <w:shd w:val="clear" w:color="auto" w:fill="auto"/>
            <w:noWrap/>
            <w:vAlign w:val="bottom"/>
            <w:hideMark/>
          </w:tcPr>
          <w:p w14:paraId="261E00B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82%</w:t>
            </w:r>
          </w:p>
        </w:tc>
        <w:tc>
          <w:tcPr>
            <w:tcW w:w="753" w:type="dxa"/>
            <w:shd w:val="clear" w:color="auto" w:fill="auto"/>
            <w:noWrap/>
            <w:vAlign w:val="bottom"/>
            <w:hideMark/>
          </w:tcPr>
          <w:p w14:paraId="680E551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18%</w:t>
            </w:r>
          </w:p>
        </w:tc>
        <w:tc>
          <w:tcPr>
            <w:tcW w:w="761" w:type="dxa"/>
            <w:shd w:val="clear" w:color="auto" w:fill="auto"/>
            <w:noWrap/>
            <w:vAlign w:val="bottom"/>
            <w:hideMark/>
          </w:tcPr>
          <w:p w14:paraId="08E2CFF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24%</w:t>
            </w:r>
          </w:p>
        </w:tc>
        <w:tc>
          <w:tcPr>
            <w:tcW w:w="570" w:type="dxa"/>
            <w:shd w:val="clear" w:color="auto" w:fill="auto"/>
            <w:noWrap/>
            <w:vAlign w:val="bottom"/>
            <w:hideMark/>
          </w:tcPr>
          <w:p w14:paraId="0051C9B9" w14:textId="77777777" w:rsidR="007E48B3" w:rsidRPr="00E31A58" w:rsidRDefault="007E48B3" w:rsidP="00416373">
            <w:pPr>
              <w:bidi w:val="0"/>
              <w:rPr>
                <w:rFonts w:ascii="Arial" w:hAnsi="Arial"/>
                <w:color w:val="000000"/>
                <w:sz w:val="14"/>
                <w:szCs w:val="14"/>
                <w:u w:val="single"/>
              </w:rPr>
            </w:pPr>
            <w:r w:rsidRPr="00E31A58">
              <w:rPr>
                <w:rFonts w:ascii="Arial" w:hAnsi="Arial"/>
                <w:color w:val="000000"/>
                <w:sz w:val="14"/>
                <w:szCs w:val="14"/>
                <w:u w:val="single"/>
              </w:rPr>
              <w:t>19%</w:t>
            </w:r>
          </w:p>
        </w:tc>
      </w:tr>
      <w:tr w:rsidR="007E48B3" w:rsidRPr="006E6D96" w14:paraId="78B97C74" w14:textId="77777777" w:rsidTr="00416373">
        <w:trPr>
          <w:trHeight w:val="285"/>
        </w:trPr>
        <w:tc>
          <w:tcPr>
            <w:tcW w:w="994" w:type="dxa"/>
            <w:shd w:val="clear" w:color="auto" w:fill="auto"/>
            <w:noWrap/>
            <w:vAlign w:val="bottom"/>
            <w:hideMark/>
          </w:tcPr>
          <w:p w14:paraId="0F4C715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2</w:t>
            </w:r>
          </w:p>
        </w:tc>
        <w:tc>
          <w:tcPr>
            <w:tcW w:w="668" w:type="dxa"/>
            <w:shd w:val="clear" w:color="auto" w:fill="auto"/>
            <w:noWrap/>
            <w:vAlign w:val="bottom"/>
            <w:hideMark/>
          </w:tcPr>
          <w:p w14:paraId="02A4D1E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1.31 </w:t>
            </w:r>
          </w:p>
        </w:tc>
        <w:tc>
          <w:tcPr>
            <w:tcW w:w="932" w:type="dxa"/>
            <w:shd w:val="clear" w:color="auto" w:fill="auto"/>
            <w:noWrap/>
            <w:vAlign w:val="bottom"/>
            <w:hideMark/>
          </w:tcPr>
          <w:p w14:paraId="08144BD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33%</w:t>
            </w:r>
          </w:p>
        </w:tc>
        <w:tc>
          <w:tcPr>
            <w:tcW w:w="971" w:type="dxa"/>
            <w:shd w:val="clear" w:color="auto" w:fill="auto"/>
            <w:noWrap/>
            <w:vAlign w:val="bottom"/>
            <w:hideMark/>
          </w:tcPr>
          <w:p w14:paraId="0DAEBCF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84%</w:t>
            </w:r>
          </w:p>
        </w:tc>
        <w:tc>
          <w:tcPr>
            <w:tcW w:w="3069" w:type="dxa"/>
            <w:shd w:val="clear" w:color="auto" w:fill="auto"/>
            <w:noWrap/>
            <w:vAlign w:val="bottom"/>
            <w:hideMark/>
          </w:tcPr>
          <w:p w14:paraId="0395421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Price level ratio of PPP conversion factor (GDP) to market exchange rate ratio </w:t>
            </w:r>
          </w:p>
        </w:tc>
        <w:tc>
          <w:tcPr>
            <w:tcW w:w="994" w:type="dxa"/>
            <w:shd w:val="clear" w:color="auto" w:fill="auto"/>
            <w:noWrap/>
            <w:vAlign w:val="bottom"/>
            <w:hideMark/>
          </w:tcPr>
          <w:p w14:paraId="1015578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-0.63 </w:t>
            </w:r>
          </w:p>
        </w:tc>
        <w:tc>
          <w:tcPr>
            <w:tcW w:w="994" w:type="dxa"/>
            <w:shd w:val="clear" w:color="auto" w:fill="auto"/>
            <w:noWrap/>
            <w:vAlign w:val="bottom"/>
            <w:hideMark/>
          </w:tcPr>
          <w:p w14:paraId="1DCC2FE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0.33 </w:t>
            </w:r>
          </w:p>
        </w:tc>
        <w:tc>
          <w:tcPr>
            <w:tcW w:w="994" w:type="dxa"/>
            <w:shd w:val="clear" w:color="auto" w:fill="auto"/>
            <w:noWrap/>
            <w:vAlign w:val="bottom"/>
            <w:hideMark/>
          </w:tcPr>
          <w:p w14:paraId="3D5655D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-0.91 </w:t>
            </w:r>
          </w:p>
        </w:tc>
        <w:tc>
          <w:tcPr>
            <w:tcW w:w="994" w:type="dxa"/>
            <w:shd w:val="clear" w:color="auto" w:fill="auto"/>
            <w:noWrap/>
            <w:vAlign w:val="bottom"/>
            <w:hideMark/>
          </w:tcPr>
          <w:p w14:paraId="3427318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0.37 </w:t>
            </w:r>
          </w:p>
        </w:tc>
        <w:tc>
          <w:tcPr>
            <w:tcW w:w="823" w:type="dxa"/>
            <w:shd w:val="clear" w:color="auto" w:fill="auto"/>
            <w:noWrap/>
            <w:vAlign w:val="bottom"/>
            <w:hideMark/>
          </w:tcPr>
          <w:p w14:paraId="5EA37D6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96%</w:t>
            </w:r>
          </w:p>
        </w:tc>
        <w:tc>
          <w:tcPr>
            <w:tcW w:w="753" w:type="dxa"/>
            <w:shd w:val="clear" w:color="auto" w:fill="auto"/>
            <w:noWrap/>
            <w:vAlign w:val="bottom"/>
            <w:hideMark/>
          </w:tcPr>
          <w:p w14:paraId="410EBA3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4%</w:t>
            </w:r>
          </w:p>
        </w:tc>
        <w:tc>
          <w:tcPr>
            <w:tcW w:w="761" w:type="dxa"/>
            <w:shd w:val="clear" w:color="auto" w:fill="auto"/>
            <w:noWrap/>
            <w:vAlign w:val="bottom"/>
            <w:hideMark/>
          </w:tcPr>
          <w:p w14:paraId="6D0A11F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28%</w:t>
            </w:r>
          </w:p>
        </w:tc>
        <w:tc>
          <w:tcPr>
            <w:tcW w:w="570" w:type="dxa"/>
            <w:shd w:val="clear" w:color="auto" w:fill="auto"/>
            <w:noWrap/>
            <w:vAlign w:val="bottom"/>
            <w:hideMark/>
          </w:tcPr>
          <w:p w14:paraId="365F151B" w14:textId="77777777" w:rsidR="007E48B3" w:rsidRPr="00E31A58" w:rsidRDefault="007E48B3" w:rsidP="00416373">
            <w:pPr>
              <w:bidi w:val="0"/>
              <w:rPr>
                <w:rFonts w:ascii="Arial" w:hAnsi="Arial"/>
                <w:color w:val="000000"/>
                <w:sz w:val="14"/>
                <w:szCs w:val="14"/>
                <w:u w:val="single"/>
              </w:rPr>
            </w:pPr>
            <w:r w:rsidRPr="00E31A58">
              <w:rPr>
                <w:rFonts w:ascii="Arial" w:hAnsi="Arial"/>
                <w:color w:val="000000"/>
                <w:sz w:val="14"/>
                <w:szCs w:val="14"/>
                <w:u w:val="single"/>
              </w:rPr>
              <w:t>42%</w:t>
            </w:r>
          </w:p>
        </w:tc>
      </w:tr>
      <w:tr w:rsidR="007E48B3" w:rsidRPr="006E6D96" w14:paraId="0B9B4310" w14:textId="77777777" w:rsidTr="00416373">
        <w:trPr>
          <w:trHeight w:val="285"/>
        </w:trPr>
        <w:tc>
          <w:tcPr>
            <w:tcW w:w="994" w:type="dxa"/>
            <w:shd w:val="clear" w:color="auto" w:fill="auto"/>
            <w:noWrap/>
            <w:vAlign w:val="bottom"/>
            <w:hideMark/>
          </w:tcPr>
          <w:p w14:paraId="7EE8719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3</w:t>
            </w:r>
          </w:p>
        </w:tc>
        <w:tc>
          <w:tcPr>
            <w:tcW w:w="668" w:type="dxa"/>
            <w:shd w:val="clear" w:color="auto" w:fill="auto"/>
            <w:noWrap/>
            <w:vAlign w:val="bottom"/>
            <w:hideMark/>
          </w:tcPr>
          <w:p w14:paraId="3659923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0.54 </w:t>
            </w:r>
          </w:p>
        </w:tc>
        <w:tc>
          <w:tcPr>
            <w:tcW w:w="932" w:type="dxa"/>
            <w:shd w:val="clear" w:color="auto" w:fill="auto"/>
            <w:noWrap/>
            <w:vAlign w:val="bottom"/>
            <w:hideMark/>
          </w:tcPr>
          <w:p w14:paraId="254BB11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14%</w:t>
            </w:r>
          </w:p>
        </w:tc>
        <w:tc>
          <w:tcPr>
            <w:tcW w:w="971" w:type="dxa"/>
            <w:shd w:val="clear" w:color="auto" w:fill="auto"/>
            <w:noWrap/>
            <w:vAlign w:val="bottom"/>
            <w:hideMark/>
          </w:tcPr>
          <w:p w14:paraId="63D54FB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98%</w:t>
            </w:r>
          </w:p>
        </w:tc>
        <w:tc>
          <w:tcPr>
            <w:tcW w:w="3069" w:type="dxa"/>
            <w:shd w:val="clear" w:color="auto" w:fill="auto"/>
            <w:noWrap/>
            <w:vAlign w:val="bottom"/>
            <w:hideMark/>
          </w:tcPr>
          <w:p w14:paraId="095F03B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Market </w:t>
            </w:r>
            <w:proofErr w:type="spellStart"/>
            <w:r w:rsidRPr="006E6D96">
              <w:rPr>
                <w:rFonts w:ascii="Arial" w:hAnsi="Arial"/>
                <w:color w:val="000000"/>
                <w:sz w:val="14"/>
                <w:szCs w:val="14"/>
              </w:rPr>
              <w:t>capitilazation</w:t>
            </w:r>
            <w:proofErr w:type="spellEnd"/>
            <w:r w:rsidRPr="006E6D96">
              <w:rPr>
                <w:rFonts w:ascii="Arial" w:hAnsi="Arial"/>
                <w:color w:val="000000"/>
                <w:sz w:val="14"/>
                <w:szCs w:val="14"/>
              </w:rPr>
              <w:t xml:space="preserve"> Ratio (right)</w:t>
            </w:r>
          </w:p>
        </w:tc>
        <w:tc>
          <w:tcPr>
            <w:tcW w:w="994" w:type="dxa"/>
            <w:shd w:val="clear" w:color="auto" w:fill="auto"/>
            <w:noWrap/>
            <w:vAlign w:val="bottom"/>
            <w:hideMark/>
          </w:tcPr>
          <w:p w14:paraId="1D1DF86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0.41 </w:t>
            </w:r>
          </w:p>
        </w:tc>
        <w:tc>
          <w:tcPr>
            <w:tcW w:w="994" w:type="dxa"/>
            <w:shd w:val="clear" w:color="auto" w:fill="auto"/>
            <w:noWrap/>
            <w:vAlign w:val="bottom"/>
            <w:hideMark/>
          </w:tcPr>
          <w:p w14:paraId="21CEF2A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0.52 </w:t>
            </w:r>
          </w:p>
        </w:tc>
        <w:tc>
          <w:tcPr>
            <w:tcW w:w="994" w:type="dxa"/>
            <w:shd w:val="clear" w:color="auto" w:fill="auto"/>
            <w:noWrap/>
            <w:vAlign w:val="bottom"/>
            <w:hideMark/>
          </w:tcPr>
          <w:p w14:paraId="1B40318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0.59 </w:t>
            </w:r>
          </w:p>
        </w:tc>
        <w:tc>
          <w:tcPr>
            <w:tcW w:w="994" w:type="dxa"/>
            <w:shd w:val="clear" w:color="auto" w:fill="auto"/>
            <w:noWrap/>
            <w:vAlign w:val="bottom"/>
            <w:hideMark/>
          </w:tcPr>
          <w:p w14:paraId="08B91D1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0.60 </w:t>
            </w:r>
          </w:p>
        </w:tc>
        <w:tc>
          <w:tcPr>
            <w:tcW w:w="823" w:type="dxa"/>
            <w:shd w:val="clear" w:color="auto" w:fill="auto"/>
            <w:noWrap/>
            <w:vAlign w:val="bottom"/>
            <w:hideMark/>
          </w:tcPr>
          <w:p w14:paraId="409D469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70%</w:t>
            </w:r>
          </w:p>
        </w:tc>
        <w:tc>
          <w:tcPr>
            <w:tcW w:w="753" w:type="dxa"/>
            <w:shd w:val="clear" w:color="auto" w:fill="auto"/>
            <w:noWrap/>
            <w:vAlign w:val="bottom"/>
            <w:hideMark/>
          </w:tcPr>
          <w:p w14:paraId="6CAA86F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30%</w:t>
            </w:r>
          </w:p>
        </w:tc>
        <w:tc>
          <w:tcPr>
            <w:tcW w:w="761" w:type="dxa"/>
            <w:shd w:val="clear" w:color="auto" w:fill="auto"/>
            <w:noWrap/>
            <w:vAlign w:val="bottom"/>
            <w:hideMark/>
          </w:tcPr>
          <w:p w14:paraId="6507B53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21%</w:t>
            </w:r>
          </w:p>
        </w:tc>
        <w:tc>
          <w:tcPr>
            <w:tcW w:w="570" w:type="dxa"/>
            <w:shd w:val="clear" w:color="auto" w:fill="auto"/>
            <w:noWrap/>
            <w:vAlign w:val="bottom"/>
            <w:hideMark/>
          </w:tcPr>
          <w:p w14:paraId="73BF43D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54%</w:t>
            </w:r>
          </w:p>
        </w:tc>
      </w:tr>
      <w:tr w:rsidR="007E48B3" w:rsidRPr="006E6D96" w14:paraId="0F3793FB" w14:textId="77777777" w:rsidTr="00416373">
        <w:trPr>
          <w:trHeight w:val="285"/>
        </w:trPr>
        <w:tc>
          <w:tcPr>
            <w:tcW w:w="994" w:type="dxa"/>
            <w:shd w:val="clear" w:color="auto" w:fill="auto"/>
            <w:noWrap/>
            <w:vAlign w:val="bottom"/>
            <w:hideMark/>
          </w:tcPr>
          <w:p w14:paraId="5E68854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4</w:t>
            </w:r>
          </w:p>
        </w:tc>
        <w:tc>
          <w:tcPr>
            <w:tcW w:w="668" w:type="dxa"/>
            <w:shd w:val="clear" w:color="auto" w:fill="auto"/>
            <w:noWrap/>
            <w:vAlign w:val="bottom"/>
            <w:hideMark/>
          </w:tcPr>
          <w:p w14:paraId="6ACD745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0.08 </w:t>
            </w:r>
          </w:p>
        </w:tc>
        <w:tc>
          <w:tcPr>
            <w:tcW w:w="932" w:type="dxa"/>
            <w:shd w:val="clear" w:color="auto" w:fill="auto"/>
            <w:noWrap/>
            <w:vAlign w:val="bottom"/>
            <w:hideMark/>
          </w:tcPr>
          <w:p w14:paraId="66F52A5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w:t>
            </w:r>
          </w:p>
        </w:tc>
        <w:tc>
          <w:tcPr>
            <w:tcW w:w="971" w:type="dxa"/>
            <w:shd w:val="clear" w:color="auto" w:fill="auto"/>
            <w:noWrap/>
            <w:vAlign w:val="bottom"/>
            <w:hideMark/>
          </w:tcPr>
          <w:p w14:paraId="6666F5E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100%</w:t>
            </w:r>
          </w:p>
        </w:tc>
        <w:tc>
          <w:tcPr>
            <w:tcW w:w="3069" w:type="dxa"/>
            <w:shd w:val="clear" w:color="auto" w:fill="auto"/>
            <w:noWrap/>
            <w:vAlign w:val="bottom"/>
            <w:hideMark/>
          </w:tcPr>
          <w:p w14:paraId="16F4304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Daily Wage Ratio- average wage of Palestinian employees </w:t>
            </w:r>
            <w:proofErr w:type="spellStart"/>
            <w:r w:rsidRPr="006E6D96">
              <w:rPr>
                <w:rFonts w:ascii="Arial" w:hAnsi="Arial"/>
                <w:color w:val="000000"/>
                <w:sz w:val="14"/>
                <w:szCs w:val="14"/>
              </w:rPr>
              <w:t>workingin</w:t>
            </w:r>
            <w:proofErr w:type="spellEnd"/>
            <w:r w:rsidRPr="006E6D96">
              <w:rPr>
                <w:rFonts w:ascii="Arial" w:hAnsi="Arial"/>
                <w:color w:val="000000"/>
                <w:sz w:val="14"/>
                <w:szCs w:val="14"/>
              </w:rPr>
              <w:t xml:space="preserve"> in Palestine to average wage of Palestinian employees working in Israel</w:t>
            </w:r>
          </w:p>
        </w:tc>
        <w:tc>
          <w:tcPr>
            <w:tcW w:w="994" w:type="dxa"/>
            <w:shd w:val="clear" w:color="auto" w:fill="auto"/>
            <w:noWrap/>
            <w:vAlign w:val="bottom"/>
            <w:hideMark/>
          </w:tcPr>
          <w:p w14:paraId="30EDD93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-0.65 </w:t>
            </w:r>
          </w:p>
        </w:tc>
        <w:tc>
          <w:tcPr>
            <w:tcW w:w="994" w:type="dxa"/>
            <w:shd w:val="clear" w:color="auto" w:fill="auto"/>
            <w:noWrap/>
            <w:vAlign w:val="bottom"/>
            <w:hideMark/>
          </w:tcPr>
          <w:p w14:paraId="2FB29AE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0.14 </w:t>
            </w:r>
          </w:p>
        </w:tc>
        <w:tc>
          <w:tcPr>
            <w:tcW w:w="994" w:type="dxa"/>
            <w:shd w:val="clear" w:color="auto" w:fill="auto"/>
            <w:noWrap/>
            <w:vAlign w:val="bottom"/>
            <w:hideMark/>
          </w:tcPr>
          <w:p w14:paraId="71EE335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-0.94 </w:t>
            </w:r>
          </w:p>
        </w:tc>
        <w:tc>
          <w:tcPr>
            <w:tcW w:w="994" w:type="dxa"/>
            <w:shd w:val="clear" w:color="auto" w:fill="auto"/>
            <w:noWrap/>
            <w:vAlign w:val="bottom"/>
            <w:hideMark/>
          </w:tcPr>
          <w:p w14:paraId="5A336D43"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0.16 </w:t>
            </w:r>
          </w:p>
        </w:tc>
        <w:tc>
          <w:tcPr>
            <w:tcW w:w="823" w:type="dxa"/>
            <w:shd w:val="clear" w:color="auto" w:fill="auto"/>
            <w:noWrap/>
            <w:vAlign w:val="bottom"/>
            <w:hideMark/>
          </w:tcPr>
          <w:p w14:paraId="01F37E1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90%</w:t>
            </w:r>
          </w:p>
        </w:tc>
        <w:tc>
          <w:tcPr>
            <w:tcW w:w="753" w:type="dxa"/>
            <w:shd w:val="clear" w:color="auto" w:fill="auto"/>
            <w:noWrap/>
            <w:vAlign w:val="bottom"/>
            <w:hideMark/>
          </w:tcPr>
          <w:p w14:paraId="75389DD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10%</w:t>
            </w:r>
          </w:p>
        </w:tc>
        <w:tc>
          <w:tcPr>
            <w:tcW w:w="761" w:type="dxa"/>
            <w:shd w:val="clear" w:color="auto" w:fill="auto"/>
            <w:noWrap/>
            <w:vAlign w:val="bottom"/>
            <w:hideMark/>
          </w:tcPr>
          <w:p w14:paraId="180BC2A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27%</w:t>
            </w:r>
          </w:p>
        </w:tc>
        <w:tc>
          <w:tcPr>
            <w:tcW w:w="570" w:type="dxa"/>
            <w:shd w:val="clear" w:color="auto" w:fill="auto"/>
            <w:noWrap/>
            <w:vAlign w:val="bottom"/>
            <w:hideMark/>
          </w:tcPr>
          <w:p w14:paraId="163876F0" w14:textId="77777777" w:rsidR="007E48B3" w:rsidRPr="00E31A58" w:rsidRDefault="007E48B3" w:rsidP="00416373">
            <w:pPr>
              <w:bidi w:val="0"/>
              <w:rPr>
                <w:rFonts w:ascii="Arial" w:hAnsi="Arial"/>
                <w:color w:val="000000"/>
                <w:sz w:val="14"/>
                <w:szCs w:val="14"/>
                <w:u w:val="single"/>
              </w:rPr>
            </w:pPr>
            <w:r w:rsidRPr="00E31A58">
              <w:rPr>
                <w:rFonts w:ascii="Arial" w:hAnsi="Arial"/>
                <w:color w:val="000000"/>
                <w:sz w:val="14"/>
                <w:szCs w:val="14"/>
                <w:u w:val="single"/>
              </w:rPr>
              <w:t>45%</w:t>
            </w:r>
          </w:p>
        </w:tc>
      </w:tr>
      <w:tr w:rsidR="007E48B3" w:rsidRPr="006E6D96" w14:paraId="5BD2763F" w14:textId="77777777" w:rsidTr="00416373">
        <w:trPr>
          <w:trHeight w:val="285"/>
        </w:trPr>
        <w:tc>
          <w:tcPr>
            <w:tcW w:w="994" w:type="dxa"/>
            <w:shd w:val="clear" w:color="auto" w:fill="auto"/>
            <w:noWrap/>
            <w:vAlign w:val="bottom"/>
            <w:hideMark/>
          </w:tcPr>
          <w:p w14:paraId="6234BFE6" w14:textId="77777777" w:rsidR="007E48B3" w:rsidRPr="006E6D96" w:rsidRDefault="007E48B3" w:rsidP="00416373">
            <w:pPr>
              <w:bidi w:val="0"/>
              <w:rPr>
                <w:rFonts w:ascii="Arial" w:hAnsi="Arial"/>
                <w:color w:val="000000"/>
                <w:sz w:val="14"/>
                <w:szCs w:val="14"/>
              </w:rPr>
            </w:pPr>
          </w:p>
        </w:tc>
        <w:tc>
          <w:tcPr>
            <w:tcW w:w="668" w:type="dxa"/>
            <w:shd w:val="clear" w:color="auto" w:fill="auto"/>
            <w:noWrap/>
            <w:vAlign w:val="bottom"/>
            <w:hideMark/>
          </w:tcPr>
          <w:p w14:paraId="1CB2D1D8" w14:textId="77777777" w:rsidR="007E48B3" w:rsidRPr="006E6D96" w:rsidRDefault="007E48B3" w:rsidP="00416373">
            <w:pPr>
              <w:bidi w:val="0"/>
              <w:rPr>
                <w:rFonts w:ascii="Times New Roman" w:hAnsi="Times New Roman" w:cs="Times New Roman"/>
                <w:sz w:val="14"/>
                <w:szCs w:val="14"/>
              </w:rPr>
            </w:pPr>
          </w:p>
        </w:tc>
        <w:tc>
          <w:tcPr>
            <w:tcW w:w="932" w:type="dxa"/>
            <w:shd w:val="clear" w:color="auto" w:fill="auto"/>
            <w:noWrap/>
            <w:vAlign w:val="bottom"/>
            <w:hideMark/>
          </w:tcPr>
          <w:p w14:paraId="1329058B" w14:textId="77777777" w:rsidR="007E48B3" w:rsidRPr="006E6D96" w:rsidRDefault="007E48B3" w:rsidP="00416373">
            <w:pPr>
              <w:bidi w:val="0"/>
              <w:rPr>
                <w:rFonts w:ascii="Times New Roman" w:hAnsi="Times New Roman" w:cs="Times New Roman"/>
                <w:sz w:val="14"/>
                <w:szCs w:val="14"/>
              </w:rPr>
            </w:pPr>
          </w:p>
        </w:tc>
        <w:tc>
          <w:tcPr>
            <w:tcW w:w="971" w:type="dxa"/>
            <w:shd w:val="clear" w:color="auto" w:fill="auto"/>
            <w:noWrap/>
            <w:vAlign w:val="bottom"/>
            <w:hideMark/>
          </w:tcPr>
          <w:p w14:paraId="27C65035" w14:textId="77777777" w:rsidR="007E48B3" w:rsidRPr="006E6D96" w:rsidRDefault="007E48B3" w:rsidP="00416373">
            <w:pPr>
              <w:bidi w:val="0"/>
              <w:rPr>
                <w:rFonts w:ascii="Times New Roman" w:hAnsi="Times New Roman" w:cs="Times New Roman"/>
                <w:sz w:val="14"/>
                <w:szCs w:val="14"/>
              </w:rPr>
            </w:pPr>
          </w:p>
        </w:tc>
        <w:tc>
          <w:tcPr>
            <w:tcW w:w="3069" w:type="dxa"/>
            <w:shd w:val="clear" w:color="auto" w:fill="auto"/>
            <w:noWrap/>
            <w:vAlign w:val="bottom"/>
            <w:hideMark/>
          </w:tcPr>
          <w:p w14:paraId="7DFFC942"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58D8D82B"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11E9D8BE"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532CB2CF" w14:textId="77777777" w:rsidR="007E48B3" w:rsidRPr="006E6D96" w:rsidRDefault="007E48B3" w:rsidP="00416373">
            <w:pPr>
              <w:bidi w:val="0"/>
              <w:rPr>
                <w:rFonts w:ascii="Times New Roman" w:hAnsi="Times New Roman" w:cs="Times New Roman"/>
                <w:sz w:val="14"/>
                <w:szCs w:val="14"/>
              </w:rPr>
            </w:pPr>
          </w:p>
        </w:tc>
        <w:tc>
          <w:tcPr>
            <w:tcW w:w="994" w:type="dxa"/>
            <w:shd w:val="clear" w:color="auto" w:fill="auto"/>
            <w:noWrap/>
            <w:vAlign w:val="bottom"/>
            <w:hideMark/>
          </w:tcPr>
          <w:p w14:paraId="74D49B78" w14:textId="77777777" w:rsidR="007E48B3" w:rsidRPr="006E6D96" w:rsidRDefault="007E48B3" w:rsidP="00416373">
            <w:pPr>
              <w:bidi w:val="0"/>
              <w:rPr>
                <w:rFonts w:ascii="Times New Roman" w:hAnsi="Times New Roman" w:cs="Times New Roman"/>
                <w:sz w:val="14"/>
                <w:szCs w:val="14"/>
              </w:rPr>
            </w:pPr>
          </w:p>
        </w:tc>
        <w:tc>
          <w:tcPr>
            <w:tcW w:w="823" w:type="dxa"/>
            <w:shd w:val="clear" w:color="auto" w:fill="auto"/>
            <w:noWrap/>
            <w:vAlign w:val="bottom"/>
            <w:hideMark/>
          </w:tcPr>
          <w:p w14:paraId="1B5D367E" w14:textId="77777777" w:rsidR="007E48B3" w:rsidRPr="006E6D96" w:rsidRDefault="007E48B3" w:rsidP="00416373">
            <w:pPr>
              <w:bidi w:val="0"/>
              <w:rPr>
                <w:rFonts w:ascii="Times New Roman" w:hAnsi="Times New Roman" w:cs="Times New Roman"/>
                <w:sz w:val="14"/>
                <w:szCs w:val="14"/>
              </w:rPr>
            </w:pPr>
          </w:p>
        </w:tc>
        <w:tc>
          <w:tcPr>
            <w:tcW w:w="753" w:type="dxa"/>
            <w:shd w:val="clear" w:color="auto" w:fill="auto"/>
            <w:noWrap/>
            <w:vAlign w:val="bottom"/>
            <w:hideMark/>
          </w:tcPr>
          <w:p w14:paraId="620048D4" w14:textId="77777777" w:rsidR="007E48B3" w:rsidRPr="006E6D96" w:rsidRDefault="007E48B3" w:rsidP="00416373">
            <w:pPr>
              <w:bidi w:val="0"/>
              <w:rPr>
                <w:rFonts w:ascii="Times New Roman" w:hAnsi="Times New Roman" w:cs="Times New Roman"/>
                <w:sz w:val="14"/>
                <w:szCs w:val="14"/>
              </w:rPr>
            </w:pPr>
          </w:p>
        </w:tc>
        <w:tc>
          <w:tcPr>
            <w:tcW w:w="761" w:type="dxa"/>
            <w:shd w:val="clear" w:color="auto" w:fill="auto"/>
            <w:noWrap/>
            <w:vAlign w:val="bottom"/>
            <w:hideMark/>
          </w:tcPr>
          <w:p w14:paraId="3FF6CAAD" w14:textId="77777777" w:rsidR="007E48B3" w:rsidRPr="006E6D96" w:rsidRDefault="007E48B3" w:rsidP="00416373">
            <w:pPr>
              <w:bidi w:val="0"/>
              <w:rPr>
                <w:rFonts w:ascii="Times New Roman" w:hAnsi="Times New Roman" w:cs="Times New Roman"/>
                <w:sz w:val="14"/>
                <w:szCs w:val="14"/>
              </w:rPr>
            </w:pPr>
          </w:p>
        </w:tc>
        <w:tc>
          <w:tcPr>
            <w:tcW w:w="570" w:type="dxa"/>
            <w:shd w:val="clear" w:color="auto" w:fill="auto"/>
            <w:noWrap/>
            <w:vAlign w:val="bottom"/>
            <w:hideMark/>
          </w:tcPr>
          <w:p w14:paraId="79CA2AA2" w14:textId="77777777" w:rsidR="007E48B3" w:rsidRPr="006E6D96" w:rsidRDefault="007E48B3" w:rsidP="00416373">
            <w:pPr>
              <w:bidi w:val="0"/>
              <w:rPr>
                <w:rFonts w:ascii="Times New Roman" w:hAnsi="Times New Roman" w:cs="Times New Roman"/>
                <w:sz w:val="14"/>
                <w:szCs w:val="14"/>
              </w:rPr>
            </w:pPr>
          </w:p>
        </w:tc>
      </w:tr>
      <w:tr w:rsidR="007E48B3" w:rsidRPr="006E6D96" w14:paraId="42EC6746" w14:textId="77777777" w:rsidTr="00416373">
        <w:trPr>
          <w:trHeight w:val="300"/>
        </w:trPr>
        <w:tc>
          <w:tcPr>
            <w:tcW w:w="994" w:type="dxa"/>
            <w:shd w:val="clear" w:color="auto" w:fill="auto"/>
            <w:noWrap/>
            <w:vAlign w:val="bottom"/>
            <w:hideMark/>
          </w:tcPr>
          <w:p w14:paraId="340F3038"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w:t>
            </w:r>
          </w:p>
        </w:tc>
        <w:tc>
          <w:tcPr>
            <w:tcW w:w="668" w:type="dxa"/>
            <w:shd w:val="clear" w:color="auto" w:fill="auto"/>
            <w:noWrap/>
            <w:vAlign w:val="bottom"/>
            <w:hideMark/>
          </w:tcPr>
          <w:p w14:paraId="45B9AC4F"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 xml:space="preserve"> </w:t>
            </w:r>
            <w:proofErr w:type="spellStart"/>
            <w:r w:rsidRPr="006E6D96">
              <w:rPr>
                <w:rFonts w:ascii="Arial" w:hAnsi="Arial"/>
                <w:b/>
                <w:bCs/>
                <w:color w:val="000000"/>
                <w:sz w:val="14"/>
                <w:szCs w:val="14"/>
              </w:rPr>
              <w:t>eValue</w:t>
            </w:r>
            <w:proofErr w:type="spellEnd"/>
            <w:r w:rsidRPr="006E6D96">
              <w:rPr>
                <w:rFonts w:ascii="Arial" w:hAnsi="Arial"/>
                <w:b/>
                <w:bCs/>
                <w:color w:val="000000"/>
                <w:sz w:val="14"/>
                <w:szCs w:val="14"/>
              </w:rPr>
              <w:t xml:space="preserve"> </w:t>
            </w:r>
          </w:p>
        </w:tc>
        <w:tc>
          <w:tcPr>
            <w:tcW w:w="932" w:type="dxa"/>
            <w:shd w:val="clear" w:color="auto" w:fill="auto"/>
            <w:noWrap/>
            <w:vAlign w:val="bottom"/>
            <w:hideMark/>
          </w:tcPr>
          <w:p w14:paraId="7F1435FA"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Proportion</w:t>
            </w:r>
          </w:p>
        </w:tc>
        <w:tc>
          <w:tcPr>
            <w:tcW w:w="971" w:type="dxa"/>
            <w:shd w:val="clear" w:color="auto" w:fill="auto"/>
            <w:noWrap/>
            <w:vAlign w:val="bottom"/>
            <w:hideMark/>
          </w:tcPr>
          <w:p w14:paraId="4567AB82"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Cumulative</w:t>
            </w:r>
          </w:p>
        </w:tc>
        <w:tc>
          <w:tcPr>
            <w:tcW w:w="3069" w:type="dxa"/>
            <w:shd w:val="clear" w:color="auto" w:fill="auto"/>
            <w:noWrap/>
            <w:vAlign w:val="bottom"/>
            <w:hideMark/>
          </w:tcPr>
          <w:p w14:paraId="352B8573"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Indicator</w:t>
            </w:r>
          </w:p>
        </w:tc>
        <w:tc>
          <w:tcPr>
            <w:tcW w:w="994" w:type="dxa"/>
            <w:shd w:val="clear" w:color="auto" w:fill="auto"/>
            <w:noWrap/>
            <w:vAlign w:val="bottom"/>
            <w:hideMark/>
          </w:tcPr>
          <w:p w14:paraId="61AB63D8"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1</w:t>
            </w:r>
          </w:p>
        </w:tc>
        <w:tc>
          <w:tcPr>
            <w:tcW w:w="994" w:type="dxa"/>
            <w:shd w:val="clear" w:color="auto" w:fill="auto"/>
            <w:noWrap/>
            <w:vAlign w:val="bottom"/>
            <w:hideMark/>
          </w:tcPr>
          <w:p w14:paraId="072231DC" w14:textId="77777777" w:rsidR="007E48B3" w:rsidRPr="006E6D96" w:rsidRDefault="007E48B3" w:rsidP="00416373">
            <w:pPr>
              <w:bidi w:val="0"/>
              <w:rPr>
                <w:rFonts w:ascii="Arial" w:hAnsi="Arial"/>
                <w:b/>
                <w:bCs/>
                <w:color w:val="000000"/>
                <w:sz w:val="14"/>
                <w:szCs w:val="14"/>
              </w:rPr>
            </w:pPr>
          </w:p>
        </w:tc>
        <w:tc>
          <w:tcPr>
            <w:tcW w:w="994" w:type="dxa"/>
            <w:shd w:val="clear" w:color="auto" w:fill="auto"/>
            <w:noWrap/>
            <w:vAlign w:val="bottom"/>
            <w:hideMark/>
          </w:tcPr>
          <w:p w14:paraId="45DF76F9"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Component 1</w:t>
            </w:r>
          </w:p>
        </w:tc>
        <w:tc>
          <w:tcPr>
            <w:tcW w:w="994" w:type="dxa"/>
            <w:shd w:val="clear" w:color="auto" w:fill="auto"/>
            <w:noWrap/>
            <w:vAlign w:val="bottom"/>
            <w:hideMark/>
          </w:tcPr>
          <w:p w14:paraId="28E4152F" w14:textId="77777777" w:rsidR="007E48B3" w:rsidRPr="006E6D96" w:rsidRDefault="007E48B3" w:rsidP="00416373">
            <w:pPr>
              <w:bidi w:val="0"/>
              <w:rPr>
                <w:rFonts w:ascii="Arial" w:hAnsi="Arial"/>
                <w:b/>
                <w:bCs/>
                <w:color w:val="000000"/>
                <w:sz w:val="14"/>
                <w:szCs w:val="14"/>
              </w:rPr>
            </w:pPr>
          </w:p>
        </w:tc>
        <w:tc>
          <w:tcPr>
            <w:tcW w:w="823" w:type="dxa"/>
            <w:shd w:val="clear" w:color="auto" w:fill="auto"/>
            <w:noWrap/>
            <w:vAlign w:val="bottom"/>
            <w:hideMark/>
          </w:tcPr>
          <w:p w14:paraId="510D8709" w14:textId="77777777" w:rsidR="007E48B3" w:rsidRPr="006E6D96" w:rsidRDefault="007E48B3" w:rsidP="00416373">
            <w:pPr>
              <w:bidi w:val="0"/>
              <w:rPr>
                <w:rFonts w:ascii="Arial" w:hAnsi="Arial"/>
                <w:b/>
                <w:bCs/>
                <w:color w:val="000000"/>
                <w:sz w:val="14"/>
                <w:szCs w:val="14"/>
              </w:rPr>
            </w:pPr>
            <w:proofErr w:type="spellStart"/>
            <w:r w:rsidRPr="006E6D96">
              <w:rPr>
                <w:rFonts w:ascii="Arial" w:hAnsi="Arial"/>
                <w:b/>
                <w:bCs/>
                <w:color w:val="000000"/>
                <w:sz w:val="14"/>
                <w:szCs w:val="14"/>
              </w:rPr>
              <w:t>Commun</w:t>
            </w:r>
            <w:proofErr w:type="spellEnd"/>
          </w:p>
        </w:tc>
        <w:tc>
          <w:tcPr>
            <w:tcW w:w="753" w:type="dxa"/>
            <w:shd w:val="clear" w:color="auto" w:fill="auto"/>
            <w:noWrap/>
            <w:vAlign w:val="bottom"/>
            <w:hideMark/>
          </w:tcPr>
          <w:p w14:paraId="0F0251BE"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Specific</w:t>
            </w:r>
          </w:p>
        </w:tc>
        <w:tc>
          <w:tcPr>
            <w:tcW w:w="761" w:type="dxa"/>
            <w:shd w:val="clear" w:color="auto" w:fill="auto"/>
            <w:noWrap/>
            <w:vAlign w:val="bottom"/>
            <w:hideMark/>
          </w:tcPr>
          <w:p w14:paraId="6706A7F5"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Weights</w:t>
            </w:r>
          </w:p>
        </w:tc>
        <w:tc>
          <w:tcPr>
            <w:tcW w:w="570" w:type="dxa"/>
            <w:shd w:val="clear" w:color="auto" w:fill="auto"/>
            <w:noWrap/>
            <w:vAlign w:val="bottom"/>
            <w:hideMark/>
          </w:tcPr>
          <w:p w14:paraId="05665C37" w14:textId="77777777" w:rsidR="007E48B3" w:rsidRPr="006E6D96" w:rsidRDefault="007E48B3" w:rsidP="00416373">
            <w:pPr>
              <w:bidi w:val="0"/>
              <w:rPr>
                <w:rFonts w:ascii="Arial" w:hAnsi="Arial"/>
                <w:b/>
                <w:bCs/>
                <w:color w:val="000000"/>
                <w:sz w:val="14"/>
                <w:szCs w:val="14"/>
              </w:rPr>
            </w:pPr>
            <w:r w:rsidRPr="006E6D96">
              <w:rPr>
                <w:rFonts w:ascii="Arial" w:hAnsi="Arial"/>
                <w:b/>
                <w:bCs/>
                <w:color w:val="000000"/>
                <w:sz w:val="14"/>
                <w:szCs w:val="14"/>
              </w:rPr>
              <w:t>KMO</w:t>
            </w:r>
          </w:p>
        </w:tc>
      </w:tr>
      <w:tr w:rsidR="007E48B3" w:rsidRPr="006E6D96" w14:paraId="2D030C2F" w14:textId="77777777" w:rsidTr="00416373">
        <w:trPr>
          <w:trHeight w:val="285"/>
        </w:trPr>
        <w:tc>
          <w:tcPr>
            <w:tcW w:w="994" w:type="dxa"/>
            <w:shd w:val="clear" w:color="auto" w:fill="auto"/>
            <w:noWrap/>
            <w:vAlign w:val="bottom"/>
            <w:hideMark/>
          </w:tcPr>
          <w:p w14:paraId="0242B23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1</w:t>
            </w:r>
          </w:p>
        </w:tc>
        <w:tc>
          <w:tcPr>
            <w:tcW w:w="668" w:type="dxa"/>
            <w:shd w:val="clear" w:color="auto" w:fill="auto"/>
            <w:noWrap/>
            <w:vAlign w:val="bottom"/>
            <w:hideMark/>
          </w:tcPr>
          <w:p w14:paraId="53BC7E6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4.14 </w:t>
            </w:r>
          </w:p>
        </w:tc>
        <w:tc>
          <w:tcPr>
            <w:tcW w:w="932" w:type="dxa"/>
            <w:shd w:val="clear" w:color="auto" w:fill="auto"/>
            <w:noWrap/>
            <w:vAlign w:val="bottom"/>
            <w:hideMark/>
          </w:tcPr>
          <w:p w14:paraId="014A817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83%</w:t>
            </w:r>
          </w:p>
        </w:tc>
        <w:tc>
          <w:tcPr>
            <w:tcW w:w="971" w:type="dxa"/>
            <w:shd w:val="clear" w:color="auto" w:fill="auto"/>
            <w:noWrap/>
            <w:vAlign w:val="bottom"/>
            <w:hideMark/>
          </w:tcPr>
          <w:p w14:paraId="2254FA9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83%</w:t>
            </w:r>
          </w:p>
        </w:tc>
        <w:tc>
          <w:tcPr>
            <w:tcW w:w="3069" w:type="dxa"/>
            <w:shd w:val="clear" w:color="auto" w:fill="auto"/>
            <w:noWrap/>
            <w:vAlign w:val="bottom"/>
            <w:hideMark/>
          </w:tcPr>
          <w:p w14:paraId="311D1B5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Trade, Employment and taxes</w:t>
            </w:r>
          </w:p>
        </w:tc>
        <w:tc>
          <w:tcPr>
            <w:tcW w:w="994" w:type="dxa"/>
            <w:shd w:val="clear" w:color="auto" w:fill="auto"/>
            <w:noWrap/>
            <w:vAlign w:val="bottom"/>
            <w:hideMark/>
          </w:tcPr>
          <w:p w14:paraId="44AF94D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0.43 </w:t>
            </w:r>
          </w:p>
        </w:tc>
        <w:tc>
          <w:tcPr>
            <w:tcW w:w="994" w:type="dxa"/>
            <w:shd w:val="clear" w:color="auto" w:fill="auto"/>
            <w:noWrap/>
            <w:vAlign w:val="bottom"/>
            <w:hideMark/>
          </w:tcPr>
          <w:p w14:paraId="1EEDDA55" w14:textId="77777777" w:rsidR="007E48B3" w:rsidRPr="006E6D96" w:rsidRDefault="007E48B3" w:rsidP="00416373">
            <w:pPr>
              <w:bidi w:val="0"/>
              <w:rPr>
                <w:rFonts w:ascii="Arial" w:hAnsi="Arial"/>
                <w:color w:val="000000"/>
                <w:sz w:val="14"/>
                <w:szCs w:val="14"/>
              </w:rPr>
            </w:pPr>
          </w:p>
        </w:tc>
        <w:tc>
          <w:tcPr>
            <w:tcW w:w="994" w:type="dxa"/>
            <w:shd w:val="clear" w:color="auto" w:fill="auto"/>
            <w:noWrap/>
            <w:vAlign w:val="bottom"/>
            <w:hideMark/>
          </w:tcPr>
          <w:p w14:paraId="25DD9EF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0.87 </w:t>
            </w:r>
          </w:p>
        </w:tc>
        <w:tc>
          <w:tcPr>
            <w:tcW w:w="994" w:type="dxa"/>
            <w:shd w:val="clear" w:color="auto" w:fill="auto"/>
            <w:noWrap/>
            <w:vAlign w:val="bottom"/>
            <w:hideMark/>
          </w:tcPr>
          <w:p w14:paraId="4228F48D" w14:textId="77777777" w:rsidR="007E48B3" w:rsidRPr="006E6D96" w:rsidRDefault="007E48B3" w:rsidP="00416373">
            <w:pPr>
              <w:bidi w:val="0"/>
              <w:rPr>
                <w:rFonts w:ascii="Arial" w:hAnsi="Arial"/>
                <w:color w:val="000000"/>
                <w:sz w:val="14"/>
                <w:szCs w:val="14"/>
              </w:rPr>
            </w:pPr>
          </w:p>
        </w:tc>
        <w:tc>
          <w:tcPr>
            <w:tcW w:w="823" w:type="dxa"/>
            <w:shd w:val="clear" w:color="auto" w:fill="auto"/>
            <w:noWrap/>
            <w:vAlign w:val="bottom"/>
            <w:hideMark/>
          </w:tcPr>
          <w:p w14:paraId="383A983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75%</w:t>
            </w:r>
          </w:p>
        </w:tc>
        <w:tc>
          <w:tcPr>
            <w:tcW w:w="753" w:type="dxa"/>
            <w:shd w:val="clear" w:color="auto" w:fill="auto"/>
            <w:noWrap/>
            <w:vAlign w:val="bottom"/>
            <w:hideMark/>
          </w:tcPr>
          <w:p w14:paraId="3AEF664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25%</w:t>
            </w:r>
          </w:p>
        </w:tc>
        <w:tc>
          <w:tcPr>
            <w:tcW w:w="761" w:type="dxa"/>
            <w:shd w:val="clear" w:color="auto" w:fill="auto"/>
            <w:noWrap/>
            <w:vAlign w:val="bottom"/>
            <w:hideMark/>
          </w:tcPr>
          <w:p w14:paraId="0D329C6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18%</w:t>
            </w:r>
          </w:p>
        </w:tc>
        <w:tc>
          <w:tcPr>
            <w:tcW w:w="570" w:type="dxa"/>
            <w:shd w:val="clear" w:color="auto" w:fill="auto"/>
            <w:noWrap/>
            <w:vAlign w:val="bottom"/>
            <w:hideMark/>
          </w:tcPr>
          <w:p w14:paraId="69A6547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89%</w:t>
            </w:r>
          </w:p>
        </w:tc>
      </w:tr>
      <w:tr w:rsidR="007E48B3" w:rsidRPr="006E6D96" w14:paraId="0DBA78FA" w14:textId="77777777" w:rsidTr="00416373">
        <w:trPr>
          <w:trHeight w:val="285"/>
        </w:trPr>
        <w:tc>
          <w:tcPr>
            <w:tcW w:w="994" w:type="dxa"/>
            <w:shd w:val="clear" w:color="auto" w:fill="auto"/>
            <w:noWrap/>
            <w:vAlign w:val="bottom"/>
            <w:hideMark/>
          </w:tcPr>
          <w:p w14:paraId="68F72E5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2</w:t>
            </w:r>
          </w:p>
        </w:tc>
        <w:tc>
          <w:tcPr>
            <w:tcW w:w="668" w:type="dxa"/>
            <w:shd w:val="clear" w:color="auto" w:fill="auto"/>
            <w:noWrap/>
            <w:vAlign w:val="bottom"/>
            <w:hideMark/>
          </w:tcPr>
          <w:p w14:paraId="6DB942C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0.35 </w:t>
            </w:r>
          </w:p>
        </w:tc>
        <w:tc>
          <w:tcPr>
            <w:tcW w:w="932" w:type="dxa"/>
            <w:shd w:val="clear" w:color="auto" w:fill="auto"/>
            <w:noWrap/>
            <w:vAlign w:val="bottom"/>
            <w:hideMark/>
          </w:tcPr>
          <w:p w14:paraId="7742B1B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w:t>
            </w:r>
          </w:p>
        </w:tc>
        <w:tc>
          <w:tcPr>
            <w:tcW w:w="971" w:type="dxa"/>
            <w:shd w:val="clear" w:color="auto" w:fill="auto"/>
            <w:noWrap/>
            <w:vAlign w:val="bottom"/>
            <w:hideMark/>
          </w:tcPr>
          <w:p w14:paraId="54A89DF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90%</w:t>
            </w:r>
          </w:p>
        </w:tc>
        <w:tc>
          <w:tcPr>
            <w:tcW w:w="3069" w:type="dxa"/>
            <w:shd w:val="clear" w:color="auto" w:fill="auto"/>
            <w:noWrap/>
            <w:vAlign w:val="bottom"/>
            <w:hideMark/>
          </w:tcPr>
          <w:p w14:paraId="63C0B02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Movement of people and Services</w:t>
            </w:r>
          </w:p>
        </w:tc>
        <w:tc>
          <w:tcPr>
            <w:tcW w:w="994" w:type="dxa"/>
            <w:shd w:val="clear" w:color="auto" w:fill="auto"/>
            <w:noWrap/>
            <w:vAlign w:val="bottom"/>
            <w:hideMark/>
          </w:tcPr>
          <w:p w14:paraId="72335E9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0.47 </w:t>
            </w:r>
          </w:p>
        </w:tc>
        <w:tc>
          <w:tcPr>
            <w:tcW w:w="994" w:type="dxa"/>
            <w:shd w:val="clear" w:color="auto" w:fill="auto"/>
            <w:noWrap/>
            <w:vAlign w:val="bottom"/>
            <w:hideMark/>
          </w:tcPr>
          <w:p w14:paraId="37C112E3" w14:textId="77777777" w:rsidR="007E48B3" w:rsidRPr="006E6D96" w:rsidRDefault="007E48B3" w:rsidP="00416373">
            <w:pPr>
              <w:bidi w:val="0"/>
              <w:rPr>
                <w:rFonts w:ascii="Arial" w:hAnsi="Arial"/>
                <w:color w:val="000000"/>
                <w:sz w:val="14"/>
                <w:szCs w:val="14"/>
              </w:rPr>
            </w:pPr>
          </w:p>
        </w:tc>
        <w:tc>
          <w:tcPr>
            <w:tcW w:w="994" w:type="dxa"/>
            <w:shd w:val="clear" w:color="auto" w:fill="auto"/>
            <w:noWrap/>
            <w:vAlign w:val="bottom"/>
            <w:hideMark/>
          </w:tcPr>
          <w:p w14:paraId="04FE595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0.96 </w:t>
            </w:r>
          </w:p>
        </w:tc>
        <w:tc>
          <w:tcPr>
            <w:tcW w:w="994" w:type="dxa"/>
            <w:shd w:val="clear" w:color="auto" w:fill="auto"/>
            <w:noWrap/>
            <w:vAlign w:val="bottom"/>
            <w:hideMark/>
          </w:tcPr>
          <w:p w14:paraId="2CB563E0" w14:textId="77777777" w:rsidR="007E48B3" w:rsidRPr="006E6D96" w:rsidRDefault="007E48B3" w:rsidP="00416373">
            <w:pPr>
              <w:bidi w:val="0"/>
              <w:rPr>
                <w:rFonts w:ascii="Arial" w:hAnsi="Arial"/>
                <w:color w:val="000000"/>
                <w:sz w:val="14"/>
                <w:szCs w:val="14"/>
              </w:rPr>
            </w:pPr>
          </w:p>
        </w:tc>
        <w:tc>
          <w:tcPr>
            <w:tcW w:w="823" w:type="dxa"/>
            <w:shd w:val="clear" w:color="auto" w:fill="auto"/>
            <w:noWrap/>
            <w:vAlign w:val="bottom"/>
            <w:hideMark/>
          </w:tcPr>
          <w:p w14:paraId="45C54DF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93%</w:t>
            </w:r>
          </w:p>
        </w:tc>
        <w:tc>
          <w:tcPr>
            <w:tcW w:w="753" w:type="dxa"/>
            <w:shd w:val="clear" w:color="auto" w:fill="auto"/>
            <w:noWrap/>
            <w:vAlign w:val="bottom"/>
            <w:hideMark/>
          </w:tcPr>
          <w:p w14:paraId="3D4D8C9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w:t>
            </w:r>
          </w:p>
        </w:tc>
        <w:tc>
          <w:tcPr>
            <w:tcW w:w="761" w:type="dxa"/>
            <w:shd w:val="clear" w:color="auto" w:fill="auto"/>
            <w:noWrap/>
            <w:vAlign w:val="bottom"/>
            <w:hideMark/>
          </w:tcPr>
          <w:p w14:paraId="6316969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22%</w:t>
            </w:r>
          </w:p>
        </w:tc>
        <w:tc>
          <w:tcPr>
            <w:tcW w:w="570" w:type="dxa"/>
            <w:shd w:val="clear" w:color="auto" w:fill="auto"/>
            <w:noWrap/>
            <w:vAlign w:val="bottom"/>
            <w:hideMark/>
          </w:tcPr>
          <w:p w14:paraId="749B87E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76%</w:t>
            </w:r>
          </w:p>
        </w:tc>
      </w:tr>
      <w:tr w:rsidR="007E48B3" w:rsidRPr="006E6D96" w14:paraId="602E90A6" w14:textId="77777777" w:rsidTr="00416373">
        <w:trPr>
          <w:trHeight w:val="285"/>
        </w:trPr>
        <w:tc>
          <w:tcPr>
            <w:tcW w:w="994" w:type="dxa"/>
            <w:shd w:val="clear" w:color="auto" w:fill="auto"/>
            <w:noWrap/>
            <w:vAlign w:val="bottom"/>
            <w:hideMark/>
          </w:tcPr>
          <w:p w14:paraId="45BFB54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3</w:t>
            </w:r>
          </w:p>
        </w:tc>
        <w:tc>
          <w:tcPr>
            <w:tcW w:w="668" w:type="dxa"/>
            <w:shd w:val="clear" w:color="auto" w:fill="auto"/>
            <w:noWrap/>
            <w:vAlign w:val="bottom"/>
            <w:hideMark/>
          </w:tcPr>
          <w:p w14:paraId="669985C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0.35 </w:t>
            </w:r>
          </w:p>
        </w:tc>
        <w:tc>
          <w:tcPr>
            <w:tcW w:w="932" w:type="dxa"/>
            <w:shd w:val="clear" w:color="auto" w:fill="auto"/>
            <w:noWrap/>
            <w:vAlign w:val="bottom"/>
            <w:hideMark/>
          </w:tcPr>
          <w:p w14:paraId="2AAE3D92"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w:t>
            </w:r>
          </w:p>
        </w:tc>
        <w:tc>
          <w:tcPr>
            <w:tcW w:w="971" w:type="dxa"/>
            <w:shd w:val="clear" w:color="auto" w:fill="auto"/>
            <w:noWrap/>
            <w:vAlign w:val="bottom"/>
            <w:hideMark/>
          </w:tcPr>
          <w:p w14:paraId="797CE3C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97%</w:t>
            </w:r>
          </w:p>
        </w:tc>
        <w:tc>
          <w:tcPr>
            <w:tcW w:w="3069" w:type="dxa"/>
            <w:shd w:val="clear" w:color="auto" w:fill="auto"/>
            <w:noWrap/>
            <w:vAlign w:val="bottom"/>
            <w:hideMark/>
          </w:tcPr>
          <w:p w14:paraId="473C208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Resources and </w:t>
            </w:r>
            <w:r w:rsidRPr="00007AE5">
              <w:rPr>
                <w:rFonts w:ascii="Arial" w:hAnsi="Arial"/>
                <w:color w:val="000000"/>
                <w:sz w:val="14"/>
                <w:szCs w:val="14"/>
              </w:rPr>
              <w:t>infrastructure</w:t>
            </w:r>
          </w:p>
        </w:tc>
        <w:tc>
          <w:tcPr>
            <w:tcW w:w="994" w:type="dxa"/>
            <w:shd w:val="clear" w:color="auto" w:fill="auto"/>
            <w:noWrap/>
            <w:vAlign w:val="bottom"/>
            <w:hideMark/>
          </w:tcPr>
          <w:p w14:paraId="68B92BB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0.47 </w:t>
            </w:r>
          </w:p>
        </w:tc>
        <w:tc>
          <w:tcPr>
            <w:tcW w:w="994" w:type="dxa"/>
            <w:shd w:val="clear" w:color="auto" w:fill="auto"/>
            <w:noWrap/>
            <w:vAlign w:val="bottom"/>
            <w:hideMark/>
          </w:tcPr>
          <w:p w14:paraId="22CF06AA" w14:textId="77777777" w:rsidR="007E48B3" w:rsidRPr="006E6D96" w:rsidRDefault="007E48B3" w:rsidP="00416373">
            <w:pPr>
              <w:bidi w:val="0"/>
              <w:rPr>
                <w:rFonts w:ascii="Arial" w:hAnsi="Arial"/>
                <w:color w:val="000000"/>
                <w:sz w:val="14"/>
                <w:szCs w:val="14"/>
              </w:rPr>
            </w:pPr>
          </w:p>
        </w:tc>
        <w:tc>
          <w:tcPr>
            <w:tcW w:w="994" w:type="dxa"/>
            <w:shd w:val="clear" w:color="auto" w:fill="auto"/>
            <w:noWrap/>
            <w:vAlign w:val="bottom"/>
            <w:hideMark/>
          </w:tcPr>
          <w:p w14:paraId="7B3F72E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0.96 </w:t>
            </w:r>
          </w:p>
        </w:tc>
        <w:tc>
          <w:tcPr>
            <w:tcW w:w="994" w:type="dxa"/>
            <w:shd w:val="clear" w:color="auto" w:fill="auto"/>
            <w:noWrap/>
            <w:vAlign w:val="bottom"/>
            <w:hideMark/>
          </w:tcPr>
          <w:p w14:paraId="4C28359A" w14:textId="77777777" w:rsidR="007E48B3" w:rsidRPr="006E6D96" w:rsidRDefault="007E48B3" w:rsidP="00416373">
            <w:pPr>
              <w:bidi w:val="0"/>
              <w:rPr>
                <w:rFonts w:ascii="Arial" w:hAnsi="Arial"/>
                <w:color w:val="000000"/>
                <w:sz w:val="14"/>
                <w:szCs w:val="14"/>
              </w:rPr>
            </w:pPr>
          </w:p>
        </w:tc>
        <w:tc>
          <w:tcPr>
            <w:tcW w:w="823" w:type="dxa"/>
            <w:shd w:val="clear" w:color="auto" w:fill="auto"/>
            <w:noWrap/>
            <w:vAlign w:val="bottom"/>
            <w:hideMark/>
          </w:tcPr>
          <w:p w14:paraId="3D9D309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92%</w:t>
            </w:r>
          </w:p>
        </w:tc>
        <w:tc>
          <w:tcPr>
            <w:tcW w:w="753" w:type="dxa"/>
            <w:shd w:val="clear" w:color="auto" w:fill="auto"/>
            <w:noWrap/>
            <w:vAlign w:val="bottom"/>
            <w:hideMark/>
          </w:tcPr>
          <w:p w14:paraId="525DA396"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w:t>
            </w:r>
          </w:p>
        </w:tc>
        <w:tc>
          <w:tcPr>
            <w:tcW w:w="761" w:type="dxa"/>
            <w:shd w:val="clear" w:color="auto" w:fill="auto"/>
            <w:noWrap/>
            <w:vAlign w:val="bottom"/>
            <w:hideMark/>
          </w:tcPr>
          <w:p w14:paraId="6D599B1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22%</w:t>
            </w:r>
          </w:p>
        </w:tc>
        <w:tc>
          <w:tcPr>
            <w:tcW w:w="570" w:type="dxa"/>
            <w:shd w:val="clear" w:color="auto" w:fill="auto"/>
            <w:noWrap/>
            <w:vAlign w:val="bottom"/>
            <w:hideMark/>
          </w:tcPr>
          <w:p w14:paraId="219EB265"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82%</w:t>
            </w:r>
          </w:p>
        </w:tc>
      </w:tr>
      <w:tr w:rsidR="007E48B3" w:rsidRPr="006E6D96" w14:paraId="402D769A" w14:textId="77777777" w:rsidTr="00416373">
        <w:trPr>
          <w:trHeight w:val="285"/>
        </w:trPr>
        <w:tc>
          <w:tcPr>
            <w:tcW w:w="994" w:type="dxa"/>
            <w:shd w:val="clear" w:color="auto" w:fill="auto"/>
            <w:noWrap/>
            <w:vAlign w:val="bottom"/>
            <w:hideMark/>
          </w:tcPr>
          <w:p w14:paraId="757026D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4</w:t>
            </w:r>
          </w:p>
        </w:tc>
        <w:tc>
          <w:tcPr>
            <w:tcW w:w="668" w:type="dxa"/>
            <w:shd w:val="clear" w:color="auto" w:fill="auto"/>
            <w:noWrap/>
            <w:vAlign w:val="bottom"/>
            <w:hideMark/>
          </w:tcPr>
          <w:p w14:paraId="6A8EED9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0.12 </w:t>
            </w:r>
          </w:p>
        </w:tc>
        <w:tc>
          <w:tcPr>
            <w:tcW w:w="932" w:type="dxa"/>
            <w:shd w:val="clear" w:color="auto" w:fill="auto"/>
            <w:noWrap/>
            <w:vAlign w:val="bottom"/>
            <w:hideMark/>
          </w:tcPr>
          <w:p w14:paraId="083D4121"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w:t>
            </w:r>
          </w:p>
        </w:tc>
        <w:tc>
          <w:tcPr>
            <w:tcW w:w="971" w:type="dxa"/>
            <w:shd w:val="clear" w:color="auto" w:fill="auto"/>
            <w:noWrap/>
            <w:vAlign w:val="bottom"/>
            <w:hideMark/>
          </w:tcPr>
          <w:p w14:paraId="30F833D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99%</w:t>
            </w:r>
          </w:p>
        </w:tc>
        <w:tc>
          <w:tcPr>
            <w:tcW w:w="3069" w:type="dxa"/>
            <w:shd w:val="clear" w:color="auto" w:fill="auto"/>
            <w:noWrap/>
            <w:vAlign w:val="bottom"/>
            <w:hideMark/>
          </w:tcPr>
          <w:p w14:paraId="3CEA1A1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Banking and money</w:t>
            </w:r>
          </w:p>
        </w:tc>
        <w:tc>
          <w:tcPr>
            <w:tcW w:w="994" w:type="dxa"/>
            <w:shd w:val="clear" w:color="auto" w:fill="auto"/>
            <w:noWrap/>
            <w:vAlign w:val="bottom"/>
            <w:hideMark/>
          </w:tcPr>
          <w:p w14:paraId="7BF8EEA0"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0.45 </w:t>
            </w:r>
          </w:p>
        </w:tc>
        <w:tc>
          <w:tcPr>
            <w:tcW w:w="994" w:type="dxa"/>
            <w:shd w:val="clear" w:color="auto" w:fill="auto"/>
            <w:noWrap/>
            <w:vAlign w:val="bottom"/>
            <w:hideMark/>
          </w:tcPr>
          <w:p w14:paraId="17E76863" w14:textId="77777777" w:rsidR="007E48B3" w:rsidRPr="006E6D96" w:rsidRDefault="007E48B3" w:rsidP="00416373">
            <w:pPr>
              <w:bidi w:val="0"/>
              <w:rPr>
                <w:rFonts w:ascii="Arial" w:hAnsi="Arial"/>
                <w:color w:val="000000"/>
                <w:sz w:val="14"/>
                <w:szCs w:val="14"/>
              </w:rPr>
            </w:pPr>
          </w:p>
        </w:tc>
        <w:tc>
          <w:tcPr>
            <w:tcW w:w="994" w:type="dxa"/>
            <w:shd w:val="clear" w:color="auto" w:fill="auto"/>
            <w:noWrap/>
            <w:vAlign w:val="bottom"/>
            <w:hideMark/>
          </w:tcPr>
          <w:p w14:paraId="239C65F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0.91 </w:t>
            </w:r>
          </w:p>
        </w:tc>
        <w:tc>
          <w:tcPr>
            <w:tcW w:w="994" w:type="dxa"/>
            <w:shd w:val="clear" w:color="auto" w:fill="auto"/>
            <w:noWrap/>
            <w:vAlign w:val="bottom"/>
            <w:hideMark/>
          </w:tcPr>
          <w:p w14:paraId="4200CA4A" w14:textId="77777777" w:rsidR="007E48B3" w:rsidRPr="006E6D96" w:rsidRDefault="007E48B3" w:rsidP="00416373">
            <w:pPr>
              <w:bidi w:val="0"/>
              <w:rPr>
                <w:rFonts w:ascii="Arial" w:hAnsi="Arial"/>
                <w:color w:val="000000"/>
                <w:sz w:val="14"/>
                <w:szCs w:val="14"/>
              </w:rPr>
            </w:pPr>
          </w:p>
        </w:tc>
        <w:tc>
          <w:tcPr>
            <w:tcW w:w="823" w:type="dxa"/>
            <w:shd w:val="clear" w:color="auto" w:fill="auto"/>
            <w:noWrap/>
            <w:vAlign w:val="bottom"/>
            <w:hideMark/>
          </w:tcPr>
          <w:p w14:paraId="335D41A4"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82%</w:t>
            </w:r>
          </w:p>
        </w:tc>
        <w:tc>
          <w:tcPr>
            <w:tcW w:w="753" w:type="dxa"/>
            <w:shd w:val="clear" w:color="auto" w:fill="auto"/>
            <w:noWrap/>
            <w:vAlign w:val="bottom"/>
            <w:hideMark/>
          </w:tcPr>
          <w:p w14:paraId="1BABF25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18%</w:t>
            </w:r>
          </w:p>
        </w:tc>
        <w:tc>
          <w:tcPr>
            <w:tcW w:w="761" w:type="dxa"/>
            <w:shd w:val="clear" w:color="auto" w:fill="auto"/>
            <w:noWrap/>
            <w:vAlign w:val="bottom"/>
            <w:hideMark/>
          </w:tcPr>
          <w:p w14:paraId="2E7DC60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20%</w:t>
            </w:r>
          </w:p>
        </w:tc>
        <w:tc>
          <w:tcPr>
            <w:tcW w:w="570" w:type="dxa"/>
            <w:shd w:val="clear" w:color="auto" w:fill="auto"/>
            <w:noWrap/>
            <w:vAlign w:val="bottom"/>
            <w:hideMark/>
          </w:tcPr>
          <w:p w14:paraId="2A23F2F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84%</w:t>
            </w:r>
          </w:p>
        </w:tc>
      </w:tr>
      <w:tr w:rsidR="007E48B3" w:rsidRPr="006E6D96" w14:paraId="7A2C2CFF" w14:textId="77777777" w:rsidTr="00416373">
        <w:trPr>
          <w:trHeight w:val="285"/>
        </w:trPr>
        <w:tc>
          <w:tcPr>
            <w:tcW w:w="994" w:type="dxa"/>
            <w:shd w:val="clear" w:color="auto" w:fill="auto"/>
            <w:noWrap/>
            <w:vAlign w:val="bottom"/>
            <w:hideMark/>
          </w:tcPr>
          <w:p w14:paraId="2B2BCF9B"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Component 5</w:t>
            </w:r>
          </w:p>
        </w:tc>
        <w:tc>
          <w:tcPr>
            <w:tcW w:w="668" w:type="dxa"/>
            <w:shd w:val="clear" w:color="auto" w:fill="auto"/>
            <w:noWrap/>
            <w:vAlign w:val="bottom"/>
            <w:hideMark/>
          </w:tcPr>
          <w:p w14:paraId="4AC84918"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0.04 </w:t>
            </w:r>
          </w:p>
        </w:tc>
        <w:tc>
          <w:tcPr>
            <w:tcW w:w="932" w:type="dxa"/>
            <w:shd w:val="clear" w:color="auto" w:fill="auto"/>
            <w:noWrap/>
            <w:vAlign w:val="bottom"/>
            <w:hideMark/>
          </w:tcPr>
          <w:p w14:paraId="00A90B1E"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w:t>
            </w:r>
          </w:p>
        </w:tc>
        <w:tc>
          <w:tcPr>
            <w:tcW w:w="971" w:type="dxa"/>
            <w:shd w:val="clear" w:color="auto" w:fill="auto"/>
            <w:noWrap/>
            <w:vAlign w:val="bottom"/>
            <w:hideMark/>
          </w:tcPr>
          <w:p w14:paraId="701C38D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100%</w:t>
            </w:r>
          </w:p>
        </w:tc>
        <w:tc>
          <w:tcPr>
            <w:tcW w:w="3069" w:type="dxa"/>
            <w:shd w:val="clear" w:color="auto" w:fill="auto"/>
            <w:noWrap/>
            <w:vAlign w:val="bottom"/>
            <w:hideMark/>
          </w:tcPr>
          <w:p w14:paraId="05BE749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Wealth and Standard of living</w:t>
            </w:r>
          </w:p>
        </w:tc>
        <w:tc>
          <w:tcPr>
            <w:tcW w:w="994" w:type="dxa"/>
            <w:shd w:val="clear" w:color="auto" w:fill="auto"/>
            <w:noWrap/>
            <w:vAlign w:val="bottom"/>
            <w:hideMark/>
          </w:tcPr>
          <w:p w14:paraId="768C99DA"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-0.42 </w:t>
            </w:r>
          </w:p>
        </w:tc>
        <w:tc>
          <w:tcPr>
            <w:tcW w:w="994" w:type="dxa"/>
            <w:shd w:val="clear" w:color="auto" w:fill="auto"/>
            <w:noWrap/>
            <w:vAlign w:val="bottom"/>
            <w:hideMark/>
          </w:tcPr>
          <w:p w14:paraId="0AF732D7" w14:textId="77777777" w:rsidR="007E48B3" w:rsidRPr="006E6D96" w:rsidRDefault="007E48B3" w:rsidP="00416373">
            <w:pPr>
              <w:bidi w:val="0"/>
              <w:rPr>
                <w:rFonts w:ascii="Arial" w:hAnsi="Arial"/>
                <w:color w:val="000000"/>
                <w:sz w:val="14"/>
                <w:szCs w:val="14"/>
              </w:rPr>
            </w:pPr>
          </w:p>
        </w:tc>
        <w:tc>
          <w:tcPr>
            <w:tcW w:w="994" w:type="dxa"/>
            <w:shd w:val="clear" w:color="auto" w:fill="auto"/>
            <w:noWrap/>
            <w:vAlign w:val="bottom"/>
            <w:hideMark/>
          </w:tcPr>
          <w:p w14:paraId="48661249"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 xml:space="preserve">                                  -0.84 </w:t>
            </w:r>
          </w:p>
        </w:tc>
        <w:tc>
          <w:tcPr>
            <w:tcW w:w="994" w:type="dxa"/>
            <w:shd w:val="clear" w:color="auto" w:fill="auto"/>
            <w:noWrap/>
            <w:vAlign w:val="bottom"/>
            <w:hideMark/>
          </w:tcPr>
          <w:p w14:paraId="0ED84C7F" w14:textId="77777777" w:rsidR="007E48B3" w:rsidRPr="006E6D96" w:rsidRDefault="007E48B3" w:rsidP="00416373">
            <w:pPr>
              <w:bidi w:val="0"/>
              <w:rPr>
                <w:rFonts w:ascii="Arial" w:hAnsi="Arial"/>
                <w:color w:val="000000"/>
                <w:sz w:val="14"/>
                <w:szCs w:val="14"/>
              </w:rPr>
            </w:pPr>
          </w:p>
        </w:tc>
        <w:tc>
          <w:tcPr>
            <w:tcW w:w="823" w:type="dxa"/>
            <w:shd w:val="clear" w:color="auto" w:fill="auto"/>
            <w:noWrap/>
            <w:vAlign w:val="bottom"/>
            <w:hideMark/>
          </w:tcPr>
          <w:p w14:paraId="1AFB4CAD"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71%</w:t>
            </w:r>
          </w:p>
        </w:tc>
        <w:tc>
          <w:tcPr>
            <w:tcW w:w="753" w:type="dxa"/>
            <w:shd w:val="clear" w:color="auto" w:fill="auto"/>
            <w:noWrap/>
            <w:vAlign w:val="bottom"/>
            <w:hideMark/>
          </w:tcPr>
          <w:p w14:paraId="35B94697"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29%</w:t>
            </w:r>
          </w:p>
        </w:tc>
        <w:tc>
          <w:tcPr>
            <w:tcW w:w="761" w:type="dxa"/>
            <w:shd w:val="clear" w:color="auto" w:fill="auto"/>
            <w:noWrap/>
            <w:vAlign w:val="bottom"/>
            <w:hideMark/>
          </w:tcPr>
          <w:p w14:paraId="1FD5DC1C"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17%</w:t>
            </w:r>
          </w:p>
        </w:tc>
        <w:tc>
          <w:tcPr>
            <w:tcW w:w="570" w:type="dxa"/>
            <w:shd w:val="clear" w:color="auto" w:fill="auto"/>
            <w:noWrap/>
            <w:vAlign w:val="bottom"/>
            <w:hideMark/>
          </w:tcPr>
          <w:p w14:paraId="6A69DC0F" w14:textId="77777777" w:rsidR="007E48B3" w:rsidRPr="006E6D96" w:rsidRDefault="007E48B3" w:rsidP="00416373">
            <w:pPr>
              <w:bidi w:val="0"/>
              <w:rPr>
                <w:rFonts w:ascii="Arial" w:hAnsi="Arial"/>
                <w:color w:val="000000"/>
                <w:sz w:val="14"/>
                <w:szCs w:val="14"/>
              </w:rPr>
            </w:pPr>
            <w:r w:rsidRPr="006E6D96">
              <w:rPr>
                <w:rFonts w:ascii="Arial" w:hAnsi="Arial"/>
                <w:color w:val="000000"/>
                <w:sz w:val="14"/>
                <w:szCs w:val="14"/>
              </w:rPr>
              <w:t>89%</w:t>
            </w:r>
          </w:p>
        </w:tc>
      </w:tr>
    </w:tbl>
    <w:p w14:paraId="0BC73504" w14:textId="77777777" w:rsidR="007E48B3" w:rsidRDefault="007E48B3" w:rsidP="007E48B3">
      <w:pPr>
        <w:pStyle w:val="ListParagraph"/>
        <w:bidi w:val="0"/>
        <w:spacing w:line="480" w:lineRule="auto"/>
        <w:jc w:val="center"/>
        <w:rPr>
          <w:rFonts w:ascii="Times New Roman" w:hAnsi="Times New Roman" w:cs="David"/>
          <w:sz w:val="24"/>
          <w:szCs w:val="24"/>
        </w:rPr>
      </w:pPr>
    </w:p>
    <w:p w14:paraId="74499006" w14:textId="77777777" w:rsidR="007E48B3" w:rsidRDefault="007E48B3" w:rsidP="007E48B3">
      <w:pPr>
        <w:rPr>
          <w:rFonts w:ascii="Times New Roman" w:hAnsi="Times New Roman" w:cs="David"/>
          <w:sz w:val="24"/>
          <w:szCs w:val="24"/>
        </w:rPr>
      </w:pPr>
    </w:p>
    <w:p w14:paraId="45273183" w14:textId="77777777" w:rsidR="007E48B3" w:rsidRPr="00D15AD9" w:rsidRDefault="007E48B3" w:rsidP="007E48B3">
      <w:pPr>
        <w:tabs>
          <w:tab w:val="left" w:pos="6167"/>
        </w:tabs>
        <w:sectPr w:rsidR="007E48B3" w:rsidRPr="00D15AD9" w:rsidSect="00773F59">
          <w:pgSz w:w="16838" w:h="11906" w:orient="landscape"/>
          <w:pgMar w:top="1800" w:right="1440" w:bottom="1800" w:left="1440" w:header="708" w:footer="708" w:gutter="0"/>
          <w:cols w:space="708"/>
          <w:bidi/>
          <w:rtlGutter/>
          <w:docGrid w:linePitch="360"/>
        </w:sectPr>
      </w:pPr>
    </w:p>
    <w:p w14:paraId="0BA347D5" w14:textId="77777777" w:rsidR="007E48B3" w:rsidRDefault="007E48B3" w:rsidP="007E48B3">
      <w:pPr>
        <w:pStyle w:val="ListParagraph"/>
        <w:bidi w:val="0"/>
        <w:spacing w:line="480" w:lineRule="auto"/>
        <w:jc w:val="center"/>
        <w:rPr>
          <w:rFonts w:ascii="Times New Roman" w:hAnsi="Times New Roman" w:cs="David"/>
          <w:b/>
          <w:bCs/>
          <w:sz w:val="24"/>
          <w:szCs w:val="24"/>
        </w:rPr>
      </w:pPr>
      <w:r>
        <w:rPr>
          <w:rFonts w:ascii="Times New Roman" w:hAnsi="Times New Roman" w:cs="David"/>
          <w:b/>
          <w:bCs/>
          <w:sz w:val="24"/>
          <w:szCs w:val="24"/>
        </w:rPr>
        <w:t>Appendix</w:t>
      </w:r>
      <w:r w:rsidRPr="00D57CAD">
        <w:rPr>
          <w:rFonts w:ascii="Times New Roman" w:hAnsi="Times New Roman" w:cs="David"/>
          <w:b/>
          <w:bCs/>
          <w:sz w:val="24"/>
          <w:szCs w:val="24"/>
        </w:rPr>
        <w:t xml:space="preserve"> </w:t>
      </w:r>
      <w:r>
        <w:rPr>
          <w:rFonts w:ascii="Times New Roman" w:hAnsi="Times New Roman" w:cs="David"/>
          <w:b/>
          <w:bCs/>
          <w:sz w:val="24"/>
          <w:szCs w:val="24"/>
        </w:rPr>
        <w:t>III</w:t>
      </w:r>
      <w:r w:rsidRPr="00D57CAD">
        <w:rPr>
          <w:rFonts w:ascii="Times New Roman" w:hAnsi="Times New Roman" w:cs="David"/>
          <w:b/>
          <w:bCs/>
          <w:sz w:val="24"/>
          <w:szCs w:val="24"/>
        </w:rPr>
        <w:t xml:space="preserve"> – Contribution of </w:t>
      </w:r>
      <w:r>
        <w:rPr>
          <w:rFonts w:ascii="Times New Roman" w:hAnsi="Times New Roman" w:cs="David"/>
          <w:b/>
          <w:bCs/>
          <w:sz w:val="24"/>
          <w:szCs w:val="24"/>
        </w:rPr>
        <w:t>indicators</w:t>
      </w:r>
    </w:p>
    <w:p w14:paraId="120776AC" w14:textId="77777777" w:rsidR="007E48B3" w:rsidRPr="00696A7D" w:rsidRDefault="007E48B3" w:rsidP="007E48B3">
      <w:pPr>
        <w:pStyle w:val="ListParagraph"/>
        <w:bidi w:val="0"/>
        <w:spacing w:line="480" w:lineRule="auto"/>
        <w:jc w:val="center"/>
        <w:rPr>
          <w:rFonts w:ascii="Times New Roman" w:hAnsi="Times New Roman" w:cs="David"/>
          <w:b/>
          <w:bCs/>
          <w:sz w:val="24"/>
          <w:szCs w:val="24"/>
        </w:rPr>
      </w:pPr>
      <w:r w:rsidRPr="00696A7D">
        <w:rPr>
          <w:rFonts w:ascii="Times New Roman" w:hAnsi="Times New Roman" w:cs="David"/>
          <w:b/>
          <w:bCs/>
          <w:sz w:val="24"/>
          <w:szCs w:val="24"/>
        </w:rPr>
        <w:t xml:space="preserve">Contribution of each indicator to its dimension </w:t>
      </w:r>
      <w:r w:rsidRPr="00696A7D">
        <w:rPr>
          <w:b/>
          <w:bCs/>
        </w:rPr>
        <w:t>ISR-WBG-II 2010-2019</w:t>
      </w:r>
    </w:p>
    <w:p w14:paraId="4360521E" w14:textId="77777777" w:rsidR="007E48B3" w:rsidRDefault="007E48B3" w:rsidP="007E48B3">
      <w:pPr>
        <w:pStyle w:val="ListParagraph"/>
        <w:bidi w:val="0"/>
        <w:spacing w:line="480" w:lineRule="auto"/>
        <w:jc w:val="center"/>
      </w:pPr>
      <w:r w:rsidRPr="00BC37F2">
        <w:rPr>
          <w:noProof/>
        </w:rPr>
        <w:t xml:space="preserve"> </w:t>
      </w:r>
      <w:r w:rsidRPr="00C5595B">
        <w:rPr>
          <w:noProof/>
        </w:rPr>
        <w:t xml:space="preserve"> </w:t>
      </w:r>
      <w:r w:rsidRPr="00F208B1">
        <w:rPr>
          <w:noProof/>
        </w:rPr>
        <w:t xml:space="preserve"> </w:t>
      </w:r>
      <w:r>
        <w:rPr>
          <w:noProof/>
        </w:rPr>
        <w:drawing>
          <wp:inline distT="0" distB="0" distL="0" distR="0" wp14:anchorId="4BE213ED" wp14:editId="3B2355DF">
            <wp:extent cx="4560794" cy="2750405"/>
            <wp:effectExtent l="0" t="0" r="11430" b="12065"/>
            <wp:docPr id="63" name="תרשים 63">
              <a:extLst xmlns:a="http://schemas.openxmlformats.org/drawingml/2006/main">
                <a:ext uri="{FF2B5EF4-FFF2-40B4-BE49-F238E27FC236}">
                  <a16:creationId xmlns:a16="http://schemas.microsoft.com/office/drawing/2014/main" id="{8295AB8D-3CE3-4937-9ED5-CEA24515E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13B1420" w14:textId="77777777" w:rsidR="007E48B3" w:rsidRDefault="007E48B3" w:rsidP="007E48B3">
      <w:pPr>
        <w:pStyle w:val="ListParagraph"/>
        <w:bidi w:val="0"/>
        <w:spacing w:line="480" w:lineRule="auto"/>
        <w:jc w:val="center"/>
        <w:rPr>
          <w:noProof/>
        </w:rPr>
      </w:pPr>
      <w:r>
        <w:rPr>
          <w:noProof/>
        </w:rPr>
        <w:drawing>
          <wp:inline distT="0" distB="0" distL="0" distR="0" wp14:anchorId="55A21FA1" wp14:editId="47A4589A">
            <wp:extent cx="4554391" cy="2750405"/>
            <wp:effectExtent l="0" t="0" r="17780" b="12065"/>
            <wp:docPr id="64" name="תרשים 64">
              <a:extLst xmlns:a="http://schemas.openxmlformats.org/drawingml/2006/main">
                <a:ext uri="{FF2B5EF4-FFF2-40B4-BE49-F238E27FC236}">
                  <a16:creationId xmlns:a16="http://schemas.microsoft.com/office/drawing/2014/main" id="{13B338CB-162F-4651-8326-D7AA2C2F8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27FF78D" w14:textId="77777777" w:rsidR="007E48B3" w:rsidRDefault="007E48B3" w:rsidP="007E48B3">
      <w:pPr>
        <w:pStyle w:val="ListParagraph"/>
        <w:bidi w:val="0"/>
        <w:spacing w:line="480" w:lineRule="auto"/>
        <w:jc w:val="center"/>
        <w:rPr>
          <w:noProof/>
        </w:rPr>
      </w:pPr>
      <w:r>
        <w:rPr>
          <w:noProof/>
        </w:rPr>
        <w:drawing>
          <wp:inline distT="0" distB="0" distL="0" distR="0" wp14:anchorId="06E7E21E" wp14:editId="08DA4808">
            <wp:extent cx="4547987" cy="2750405"/>
            <wp:effectExtent l="0" t="0" r="5080" b="12065"/>
            <wp:docPr id="65" name="תרשים 65">
              <a:extLst xmlns:a="http://schemas.openxmlformats.org/drawingml/2006/main">
                <a:ext uri="{FF2B5EF4-FFF2-40B4-BE49-F238E27FC236}">
                  <a16:creationId xmlns:a16="http://schemas.microsoft.com/office/drawing/2014/main" id="{32CB7BEC-1981-4D15-A030-53B195550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248B396" w14:textId="77777777" w:rsidR="007E48B3" w:rsidRDefault="007E48B3" w:rsidP="007E48B3">
      <w:pPr>
        <w:pStyle w:val="ListParagraph"/>
        <w:bidi w:val="0"/>
        <w:spacing w:line="480" w:lineRule="auto"/>
        <w:jc w:val="center"/>
        <w:rPr>
          <w:noProof/>
        </w:rPr>
      </w:pPr>
      <w:r>
        <w:rPr>
          <w:noProof/>
        </w:rPr>
        <w:drawing>
          <wp:inline distT="0" distB="0" distL="0" distR="0" wp14:anchorId="390A180C" wp14:editId="53496697">
            <wp:extent cx="4580005" cy="2750405"/>
            <wp:effectExtent l="0" t="0" r="11430" b="12065"/>
            <wp:docPr id="66" name="תרשים 66">
              <a:extLst xmlns:a="http://schemas.openxmlformats.org/drawingml/2006/main">
                <a:ext uri="{FF2B5EF4-FFF2-40B4-BE49-F238E27FC236}">
                  <a16:creationId xmlns:a16="http://schemas.microsoft.com/office/drawing/2014/main" id="{C77900D8-D93F-4EE1-9E56-E5B8AEE04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A1E79C0" w14:textId="77777777" w:rsidR="007E48B3" w:rsidRDefault="007E48B3" w:rsidP="007E48B3">
      <w:pPr>
        <w:pStyle w:val="ListParagraph"/>
        <w:bidi w:val="0"/>
        <w:spacing w:line="480" w:lineRule="auto"/>
        <w:jc w:val="center"/>
        <w:rPr>
          <w:noProof/>
        </w:rPr>
        <w:sectPr w:rsidR="007E48B3" w:rsidSect="00EC513F">
          <w:headerReference w:type="default" r:id="rId97"/>
          <w:pgSz w:w="11906" w:h="16838"/>
          <w:pgMar w:top="1440" w:right="1800" w:bottom="1440" w:left="1800" w:header="708" w:footer="708" w:gutter="0"/>
          <w:cols w:space="708"/>
          <w:bidi/>
          <w:rtlGutter/>
          <w:docGrid w:linePitch="360"/>
        </w:sectPr>
      </w:pPr>
      <w:r>
        <w:rPr>
          <w:noProof/>
        </w:rPr>
        <w:drawing>
          <wp:inline distT="0" distB="0" distL="0" distR="0" wp14:anchorId="41F18DB7" wp14:editId="6AD67DAB">
            <wp:extent cx="4552790" cy="2752806"/>
            <wp:effectExtent l="0" t="0" r="635" b="9525"/>
            <wp:docPr id="67" name="תרשים 67">
              <a:extLst xmlns:a="http://schemas.openxmlformats.org/drawingml/2006/main">
                <a:ext uri="{FF2B5EF4-FFF2-40B4-BE49-F238E27FC236}">
                  <a16:creationId xmlns:a16="http://schemas.microsoft.com/office/drawing/2014/main" id="{68F306F5-6998-47EB-AF09-CC05A5D6C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1"/>
        <w:gridCol w:w="500"/>
        <w:gridCol w:w="501"/>
        <w:gridCol w:w="501"/>
        <w:gridCol w:w="501"/>
        <w:gridCol w:w="501"/>
        <w:gridCol w:w="501"/>
        <w:gridCol w:w="501"/>
        <w:gridCol w:w="501"/>
        <w:gridCol w:w="501"/>
        <w:gridCol w:w="501"/>
      </w:tblGrid>
      <w:tr w:rsidR="007E48B3" w:rsidRPr="000207B5" w14:paraId="43F949A1" w14:textId="77777777" w:rsidTr="00416373">
        <w:trPr>
          <w:trHeight w:val="405"/>
        </w:trPr>
        <w:tc>
          <w:tcPr>
            <w:tcW w:w="2088" w:type="pct"/>
            <w:shd w:val="clear" w:color="auto" w:fill="auto"/>
            <w:noWrap/>
            <w:vAlign w:val="bottom"/>
            <w:hideMark/>
          </w:tcPr>
          <w:p w14:paraId="2E31A91F" w14:textId="77777777" w:rsidR="007E48B3" w:rsidRDefault="007E48B3" w:rsidP="00416373">
            <w:pPr>
              <w:bidi w:val="0"/>
              <w:rPr>
                <w:rFonts w:ascii="Times New Roman" w:hAnsi="Times New Roman" w:cs="Times New Roman"/>
                <w:b/>
                <w:bCs/>
                <w:sz w:val="16"/>
                <w:szCs w:val="16"/>
              </w:rPr>
            </w:pPr>
          </w:p>
          <w:p w14:paraId="4231D318" w14:textId="77777777" w:rsidR="007E48B3" w:rsidRPr="000207B5" w:rsidRDefault="007E48B3" w:rsidP="00416373">
            <w:pPr>
              <w:bidi w:val="0"/>
              <w:rPr>
                <w:rFonts w:ascii="Times New Roman" w:hAnsi="Times New Roman" w:cs="Times New Roman"/>
                <w:b/>
                <w:bCs/>
                <w:sz w:val="16"/>
                <w:szCs w:val="16"/>
              </w:rPr>
            </w:pPr>
            <w:r w:rsidRPr="00BF4955">
              <w:rPr>
                <w:rFonts w:ascii="Times New Roman" w:hAnsi="Times New Roman" w:cs="Times New Roman"/>
                <w:b/>
                <w:bCs/>
                <w:sz w:val="16"/>
                <w:szCs w:val="16"/>
              </w:rPr>
              <w:t>Indicator</w:t>
            </w:r>
          </w:p>
        </w:tc>
        <w:tc>
          <w:tcPr>
            <w:tcW w:w="291" w:type="pct"/>
            <w:shd w:val="clear" w:color="auto" w:fill="auto"/>
            <w:noWrap/>
            <w:vAlign w:val="bottom"/>
            <w:hideMark/>
          </w:tcPr>
          <w:p w14:paraId="0C7C087A" w14:textId="77777777" w:rsidR="007E48B3" w:rsidRPr="000207B5" w:rsidRDefault="007E48B3" w:rsidP="00416373">
            <w:pPr>
              <w:bidi w:val="0"/>
              <w:jc w:val="right"/>
              <w:rPr>
                <w:rFonts w:ascii="Arial" w:hAnsi="Arial"/>
                <w:b/>
                <w:bCs/>
                <w:color w:val="000000"/>
                <w:sz w:val="16"/>
                <w:szCs w:val="16"/>
              </w:rPr>
            </w:pPr>
            <w:r w:rsidRPr="000207B5">
              <w:rPr>
                <w:rFonts w:ascii="Arial" w:hAnsi="Arial"/>
                <w:b/>
                <w:bCs/>
                <w:color w:val="000000"/>
                <w:sz w:val="16"/>
                <w:szCs w:val="16"/>
              </w:rPr>
              <w:t>2010</w:t>
            </w:r>
          </w:p>
        </w:tc>
        <w:tc>
          <w:tcPr>
            <w:tcW w:w="291" w:type="pct"/>
            <w:shd w:val="clear" w:color="auto" w:fill="auto"/>
            <w:noWrap/>
            <w:vAlign w:val="bottom"/>
            <w:hideMark/>
          </w:tcPr>
          <w:p w14:paraId="0D5DF21C" w14:textId="77777777" w:rsidR="007E48B3" w:rsidRPr="000207B5" w:rsidRDefault="007E48B3" w:rsidP="00416373">
            <w:pPr>
              <w:bidi w:val="0"/>
              <w:jc w:val="right"/>
              <w:rPr>
                <w:rFonts w:ascii="Arial" w:hAnsi="Arial"/>
                <w:b/>
                <w:bCs/>
                <w:color w:val="000000"/>
                <w:sz w:val="16"/>
                <w:szCs w:val="16"/>
              </w:rPr>
            </w:pPr>
            <w:r w:rsidRPr="000207B5">
              <w:rPr>
                <w:rFonts w:ascii="Arial" w:hAnsi="Arial"/>
                <w:b/>
                <w:bCs/>
                <w:color w:val="000000"/>
                <w:sz w:val="16"/>
                <w:szCs w:val="16"/>
              </w:rPr>
              <w:t>2011</w:t>
            </w:r>
          </w:p>
        </w:tc>
        <w:tc>
          <w:tcPr>
            <w:tcW w:w="291" w:type="pct"/>
            <w:shd w:val="clear" w:color="auto" w:fill="auto"/>
            <w:noWrap/>
            <w:vAlign w:val="bottom"/>
            <w:hideMark/>
          </w:tcPr>
          <w:p w14:paraId="681DE214" w14:textId="77777777" w:rsidR="007E48B3" w:rsidRPr="000207B5" w:rsidRDefault="007E48B3" w:rsidP="00416373">
            <w:pPr>
              <w:bidi w:val="0"/>
              <w:jc w:val="right"/>
              <w:rPr>
                <w:rFonts w:ascii="Arial" w:hAnsi="Arial"/>
                <w:b/>
                <w:bCs/>
                <w:color w:val="000000"/>
                <w:sz w:val="16"/>
                <w:szCs w:val="16"/>
              </w:rPr>
            </w:pPr>
            <w:r w:rsidRPr="000207B5">
              <w:rPr>
                <w:rFonts w:ascii="Arial" w:hAnsi="Arial"/>
                <w:b/>
                <w:bCs/>
                <w:color w:val="000000"/>
                <w:sz w:val="16"/>
                <w:szCs w:val="16"/>
              </w:rPr>
              <w:t>2012</w:t>
            </w:r>
          </w:p>
        </w:tc>
        <w:tc>
          <w:tcPr>
            <w:tcW w:w="291" w:type="pct"/>
            <w:shd w:val="clear" w:color="auto" w:fill="auto"/>
            <w:noWrap/>
            <w:vAlign w:val="bottom"/>
            <w:hideMark/>
          </w:tcPr>
          <w:p w14:paraId="5D770529" w14:textId="77777777" w:rsidR="007E48B3" w:rsidRPr="000207B5" w:rsidRDefault="007E48B3" w:rsidP="00416373">
            <w:pPr>
              <w:bidi w:val="0"/>
              <w:jc w:val="right"/>
              <w:rPr>
                <w:rFonts w:ascii="Arial" w:hAnsi="Arial"/>
                <w:b/>
                <w:bCs/>
                <w:color w:val="000000"/>
                <w:sz w:val="16"/>
                <w:szCs w:val="16"/>
              </w:rPr>
            </w:pPr>
            <w:r w:rsidRPr="000207B5">
              <w:rPr>
                <w:rFonts w:ascii="Arial" w:hAnsi="Arial"/>
                <w:b/>
                <w:bCs/>
                <w:color w:val="000000"/>
                <w:sz w:val="16"/>
                <w:szCs w:val="16"/>
              </w:rPr>
              <w:t>2013</w:t>
            </w:r>
          </w:p>
        </w:tc>
        <w:tc>
          <w:tcPr>
            <w:tcW w:w="291" w:type="pct"/>
            <w:shd w:val="clear" w:color="auto" w:fill="auto"/>
            <w:noWrap/>
            <w:vAlign w:val="bottom"/>
            <w:hideMark/>
          </w:tcPr>
          <w:p w14:paraId="3A0DE550" w14:textId="77777777" w:rsidR="007E48B3" w:rsidRPr="000207B5" w:rsidRDefault="007E48B3" w:rsidP="00416373">
            <w:pPr>
              <w:bidi w:val="0"/>
              <w:jc w:val="right"/>
              <w:rPr>
                <w:rFonts w:ascii="Arial" w:hAnsi="Arial"/>
                <w:b/>
                <w:bCs/>
                <w:color w:val="000000"/>
                <w:sz w:val="16"/>
                <w:szCs w:val="16"/>
              </w:rPr>
            </w:pPr>
            <w:r w:rsidRPr="000207B5">
              <w:rPr>
                <w:rFonts w:ascii="Arial" w:hAnsi="Arial"/>
                <w:b/>
                <w:bCs/>
                <w:color w:val="000000"/>
                <w:sz w:val="16"/>
                <w:szCs w:val="16"/>
              </w:rPr>
              <w:t>2014</w:t>
            </w:r>
          </w:p>
        </w:tc>
        <w:tc>
          <w:tcPr>
            <w:tcW w:w="291" w:type="pct"/>
            <w:shd w:val="clear" w:color="auto" w:fill="auto"/>
            <w:noWrap/>
            <w:vAlign w:val="bottom"/>
            <w:hideMark/>
          </w:tcPr>
          <w:p w14:paraId="42230BB9" w14:textId="77777777" w:rsidR="007E48B3" w:rsidRPr="000207B5" w:rsidRDefault="007E48B3" w:rsidP="00416373">
            <w:pPr>
              <w:bidi w:val="0"/>
              <w:jc w:val="right"/>
              <w:rPr>
                <w:rFonts w:ascii="Arial" w:hAnsi="Arial"/>
                <w:b/>
                <w:bCs/>
                <w:color w:val="000000"/>
                <w:sz w:val="16"/>
                <w:szCs w:val="16"/>
              </w:rPr>
            </w:pPr>
            <w:r w:rsidRPr="000207B5">
              <w:rPr>
                <w:rFonts w:ascii="Arial" w:hAnsi="Arial"/>
                <w:b/>
                <w:bCs/>
                <w:color w:val="000000"/>
                <w:sz w:val="16"/>
                <w:szCs w:val="16"/>
              </w:rPr>
              <w:t>2015</w:t>
            </w:r>
          </w:p>
        </w:tc>
        <w:tc>
          <w:tcPr>
            <w:tcW w:w="291" w:type="pct"/>
            <w:shd w:val="clear" w:color="auto" w:fill="auto"/>
            <w:noWrap/>
            <w:vAlign w:val="bottom"/>
            <w:hideMark/>
          </w:tcPr>
          <w:p w14:paraId="558593FE" w14:textId="77777777" w:rsidR="007E48B3" w:rsidRPr="000207B5" w:rsidRDefault="007E48B3" w:rsidP="00416373">
            <w:pPr>
              <w:bidi w:val="0"/>
              <w:jc w:val="right"/>
              <w:rPr>
                <w:rFonts w:ascii="Arial" w:hAnsi="Arial"/>
                <w:b/>
                <w:bCs/>
                <w:color w:val="000000"/>
                <w:sz w:val="16"/>
                <w:szCs w:val="16"/>
              </w:rPr>
            </w:pPr>
            <w:r w:rsidRPr="000207B5">
              <w:rPr>
                <w:rFonts w:ascii="Arial" w:hAnsi="Arial"/>
                <w:b/>
                <w:bCs/>
                <w:color w:val="000000"/>
                <w:sz w:val="16"/>
                <w:szCs w:val="16"/>
              </w:rPr>
              <w:t>2016</w:t>
            </w:r>
          </w:p>
        </w:tc>
        <w:tc>
          <w:tcPr>
            <w:tcW w:w="291" w:type="pct"/>
            <w:shd w:val="clear" w:color="auto" w:fill="auto"/>
            <w:noWrap/>
            <w:vAlign w:val="bottom"/>
            <w:hideMark/>
          </w:tcPr>
          <w:p w14:paraId="008B64AC" w14:textId="77777777" w:rsidR="007E48B3" w:rsidRPr="000207B5" w:rsidRDefault="007E48B3" w:rsidP="00416373">
            <w:pPr>
              <w:bidi w:val="0"/>
              <w:jc w:val="right"/>
              <w:rPr>
                <w:rFonts w:ascii="Arial" w:hAnsi="Arial"/>
                <w:b/>
                <w:bCs/>
                <w:color w:val="000000"/>
                <w:sz w:val="16"/>
                <w:szCs w:val="16"/>
              </w:rPr>
            </w:pPr>
            <w:r w:rsidRPr="000207B5">
              <w:rPr>
                <w:rFonts w:ascii="Arial" w:hAnsi="Arial"/>
                <w:b/>
                <w:bCs/>
                <w:color w:val="000000"/>
                <w:sz w:val="16"/>
                <w:szCs w:val="16"/>
              </w:rPr>
              <w:t>2017</w:t>
            </w:r>
          </w:p>
        </w:tc>
        <w:tc>
          <w:tcPr>
            <w:tcW w:w="291" w:type="pct"/>
            <w:shd w:val="clear" w:color="auto" w:fill="auto"/>
            <w:noWrap/>
            <w:vAlign w:val="bottom"/>
            <w:hideMark/>
          </w:tcPr>
          <w:p w14:paraId="7EA1D573" w14:textId="77777777" w:rsidR="007E48B3" w:rsidRPr="000207B5" w:rsidRDefault="007E48B3" w:rsidP="00416373">
            <w:pPr>
              <w:bidi w:val="0"/>
              <w:jc w:val="right"/>
              <w:rPr>
                <w:rFonts w:ascii="Arial" w:hAnsi="Arial"/>
                <w:b/>
                <w:bCs/>
                <w:color w:val="000000"/>
                <w:sz w:val="16"/>
                <w:szCs w:val="16"/>
              </w:rPr>
            </w:pPr>
            <w:r w:rsidRPr="000207B5">
              <w:rPr>
                <w:rFonts w:ascii="Arial" w:hAnsi="Arial"/>
                <w:b/>
                <w:bCs/>
                <w:color w:val="000000"/>
                <w:sz w:val="16"/>
                <w:szCs w:val="16"/>
              </w:rPr>
              <w:t>2018</w:t>
            </w:r>
          </w:p>
        </w:tc>
        <w:tc>
          <w:tcPr>
            <w:tcW w:w="291" w:type="pct"/>
            <w:shd w:val="clear" w:color="auto" w:fill="auto"/>
            <w:noWrap/>
            <w:vAlign w:val="bottom"/>
            <w:hideMark/>
          </w:tcPr>
          <w:p w14:paraId="21869B1C" w14:textId="77777777" w:rsidR="007E48B3" w:rsidRPr="000207B5" w:rsidRDefault="007E48B3" w:rsidP="00416373">
            <w:pPr>
              <w:bidi w:val="0"/>
              <w:jc w:val="right"/>
              <w:rPr>
                <w:rFonts w:ascii="Arial" w:hAnsi="Arial"/>
                <w:b/>
                <w:bCs/>
                <w:color w:val="000000"/>
                <w:sz w:val="16"/>
                <w:szCs w:val="16"/>
              </w:rPr>
            </w:pPr>
            <w:r w:rsidRPr="000207B5">
              <w:rPr>
                <w:rFonts w:ascii="Arial" w:hAnsi="Arial"/>
                <w:b/>
                <w:bCs/>
                <w:color w:val="000000"/>
                <w:sz w:val="16"/>
                <w:szCs w:val="16"/>
              </w:rPr>
              <w:t>2019</w:t>
            </w:r>
          </w:p>
        </w:tc>
      </w:tr>
      <w:tr w:rsidR="007E48B3" w:rsidRPr="000207B5" w14:paraId="626A24DC" w14:textId="77777777" w:rsidTr="00416373">
        <w:trPr>
          <w:trHeight w:val="285"/>
        </w:trPr>
        <w:tc>
          <w:tcPr>
            <w:tcW w:w="2088" w:type="pct"/>
            <w:shd w:val="clear" w:color="auto" w:fill="auto"/>
            <w:noWrap/>
            <w:vAlign w:val="bottom"/>
            <w:hideMark/>
          </w:tcPr>
          <w:p w14:paraId="4D8A71C4"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Palestinian exports of goods and services to Israel out of total Palestinian exports</w:t>
            </w:r>
          </w:p>
        </w:tc>
        <w:tc>
          <w:tcPr>
            <w:tcW w:w="291" w:type="pct"/>
            <w:shd w:val="clear" w:color="auto" w:fill="auto"/>
            <w:noWrap/>
            <w:vAlign w:val="bottom"/>
            <w:hideMark/>
          </w:tcPr>
          <w:p w14:paraId="533B429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8%</w:t>
            </w:r>
          </w:p>
        </w:tc>
        <w:tc>
          <w:tcPr>
            <w:tcW w:w="291" w:type="pct"/>
            <w:shd w:val="clear" w:color="auto" w:fill="auto"/>
            <w:noWrap/>
            <w:vAlign w:val="bottom"/>
            <w:hideMark/>
          </w:tcPr>
          <w:p w14:paraId="2376AB9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11%</w:t>
            </w:r>
          </w:p>
        </w:tc>
        <w:tc>
          <w:tcPr>
            <w:tcW w:w="291" w:type="pct"/>
            <w:shd w:val="clear" w:color="auto" w:fill="auto"/>
            <w:noWrap/>
            <w:vAlign w:val="bottom"/>
            <w:hideMark/>
          </w:tcPr>
          <w:p w14:paraId="1AA2A38B"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6C68C87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8%</w:t>
            </w:r>
          </w:p>
        </w:tc>
        <w:tc>
          <w:tcPr>
            <w:tcW w:w="291" w:type="pct"/>
            <w:shd w:val="clear" w:color="auto" w:fill="auto"/>
            <w:noWrap/>
            <w:vAlign w:val="bottom"/>
            <w:hideMark/>
          </w:tcPr>
          <w:p w14:paraId="0AE037B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56C5DB9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8%</w:t>
            </w:r>
          </w:p>
        </w:tc>
        <w:tc>
          <w:tcPr>
            <w:tcW w:w="291" w:type="pct"/>
            <w:shd w:val="clear" w:color="auto" w:fill="auto"/>
            <w:noWrap/>
            <w:vAlign w:val="bottom"/>
            <w:hideMark/>
          </w:tcPr>
          <w:p w14:paraId="7F85281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325FA8BD"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1AD91EE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1684096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r>
      <w:tr w:rsidR="007E48B3" w:rsidRPr="000207B5" w14:paraId="0EDC0A7F" w14:textId="77777777" w:rsidTr="00416373">
        <w:trPr>
          <w:trHeight w:val="285"/>
        </w:trPr>
        <w:tc>
          <w:tcPr>
            <w:tcW w:w="2088" w:type="pct"/>
            <w:shd w:val="clear" w:color="auto" w:fill="auto"/>
            <w:noWrap/>
            <w:vAlign w:val="bottom"/>
            <w:hideMark/>
          </w:tcPr>
          <w:p w14:paraId="1D1507B5"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Palestinian imports of goods and services from Israel out of total Palestinian imports</w:t>
            </w:r>
          </w:p>
        </w:tc>
        <w:tc>
          <w:tcPr>
            <w:tcW w:w="291" w:type="pct"/>
            <w:shd w:val="clear" w:color="auto" w:fill="auto"/>
            <w:noWrap/>
            <w:vAlign w:val="bottom"/>
            <w:hideMark/>
          </w:tcPr>
          <w:p w14:paraId="4AD560ED"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12%</w:t>
            </w:r>
          </w:p>
        </w:tc>
        <w:tc>
          <w:tcPr>
            <w:tcW w:w="291" w:type="pct"/>
            <w:shd w:val="clear" w:color="auto" w:fill="auto"/>
            <w:noWrap/>
            <w:vAlign w:val="bottom"/>
            <w:hideMark/>
          </w:tcPr>
          <w:p w14:paraId="76F44A7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10%</w:t>
            </w:r>
          </w:p>
        </w:tc>
        <w:tc>
          <w:tcPr>
            <w:tcW w:w="291" w:type="pct"/>
            <w:shd w:val="clear" w:color="auto" w:fill="auto"/>
            <w:noWrap/>
            <w:vAlign w:val="bottom"/>
            <w:hideMark/>
          </w:tcPr>
          <w:p w14:paraId="14D8FC44"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8%</w:t>
            </w:r>
          </w:p>
        </w:tc>
        <w:tc>
          <w:tcPr>
            <w:tcW w:w="291" w:type="pct"/>
            <w:shd w:val="clear" w:color="auto" w:fill="auto"/>
            <w:noWrap/>
            <w:vAlign w:val="bottom"/>
            <w:hideMark/>
          </w:tcPr>
          <w:p w14:paraId="6352722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8%</w:t>
            </w:r>
          </w:p>
        </w:tc>
        <w:tc>
          <w:tcPr>
            <w:tcW w:w="291" w:type="pct"/>
            <w:shd w:val="clear" w:color="auto" w:fill="auto"/>
            <w:noWrap/>
            <w:vAlign w:val="bottom"/>
            <w:hideMark/>
          </w:tcPr>
          <w:p w14:paraId="6CF1230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79D9582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221781D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c>
          <w:tcPr>
            <w:tcW w:w="291" w:type="pct"/>
            <w:shd w:val="clear" w:color="auto" w:fill="auto"/>
            <w:noWrap/>
            <w:vAlign w:val="bottom"/>
            <w:hideMark/>
          </w:tcPr>
          <w:p w14:paraId="7ADD25CA"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c>
          <w:tcPr>
            <w:tcW w:w="291" w:type="pct"/>
            <w:shd w:val="clear" w:color="auto" w:fill="auto"/>
            <w:noWrap/>
            <w:vAlign w:val="bottom"/>
            <w:hideMark/>
          </w:tcPr>
          <w:p w14:paraId="10FFACE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3B999AFF"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r>
      <w:tr w:rsidR="007E48B3" w:rsidRPr="000207B5" w14:paraId="478CE836" w14:textId="77777777" w:rsidTr="00416373">
        <w:trPr>
          <w:trHeight w:val="285"/>
        </w:trPr>
        <w:tc>
          <w:tcPr>
            <w:tcW w:w="2088" w:type="pct"/>
            <w:shd w:val="clear" w:color="auto" w:fill="auto"/>
            <w:noWrap/>
            <w:vAlign w:val="bottom"/>
            <w:hideMark/>
          </w:tcPr>
          <w:p w14:paraId="2A8B6628"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Share of Gross clearance revenues out of Total PA net revenues and grants</w:t>
            </w:r>
          </w:p>
        </w:tc>
        <w:tc>
          <w:tcPr>
            <w:tcW w:w="291" w:type="pct"/>
            <w:shd w:val="clear" w:color="auto" w:fill="auto"/>
            <w:noWrap/>
            <w:vAlign w:val="bottom"/>
            <w:hideMark/>
          </w:tcPr>
          <w:p w14:paraId="40DAD2F7"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25DC1DA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086B6EC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1C85CEF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c>
          <w:tcPr>
            <w:tcW w:w="291" w:type="pct"/>
            <w:shd w:val="clear" w:color="auto" w:fill="auto"/>
            <w:noWrap/>
            <w:vAlign w:val="bottom"/>
            <w:hideMark/>
          </w:tcPr>
          <w:p w14:paraId="5460B6B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1D4D4E3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39BD4F8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2EA0711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5C20508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5EBE59E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r>
      <w:tr w:rsidR="007E48B3" w:rsidRPr="000207B5" w14:paraId="6445338C" w14:textId="77777777" w:rsidTr="00416373">
        <w:trPr>
          <w:trHeight w:val="285"/>
        </w:trPr>
        <w:tc>
          <w:tcPr>
            <w:tcW w:w="2088" w:type="pct"/>
            <w:shd w:val="clear" w:color="auto" w:fill="auto"/>
            <w:noWrap/>
            <w:vAlign w:val="bottom"/>
            <w:hideMark/>
          </w:tcPr>
          <w:p w14:paraId="03B536EA"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Palestinians employed in Israel out of total Palestinian employed Individuals</w:t>
            </w:r>
          </w:p>
        </w:tc>
        <w:tc>
          <w:tcPr>
            <w:tcW w:w="291" w:type="pct"/>
            <w:shd w:val="clear" w:color="auto" w:fill="auto"/>
            <w:noWrap/>
            <w:vAlign w:val="bottom"/>
            <w:hideMark/>
          </w:tcPr>
          <w:p w14:paraId="5A08539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0C7AFA7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c>
          <w:tcPr>
            <w:tcW w:w="291" w:type="pct"/>
            <w:shd w:val="clear" w:color="auto" w:fill="auto"/>
            <w:noWrap/>
            <w:vAlign w:val="bottom"/>
            <w:hideMark/>
          </w:tcPr>
          <w:p w14:paraId="64E71BFD"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1129AFAD"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07452F8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043C2F6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13F4079F"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13D519E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714EB2A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7328189D"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r>
      <w:tr w:rsidR="007E48B3" w:rsidRPr="000207B5" w14:paraId="1A5D3C03" w14:textId="77777777" w:rsidTr="00416373">
        <w:trPr>
          <w:trHeight w:val="285"/>
        </w:trPr>
        <w:tc>
          <w:tcPr>
            <w:tcW w:w="2088" w:type="pct"/>
            <w:shd w:val="clear" w:color="auto" w:fill="auto"/>
            <w:noWrap/>
            <w:vAlign w:val="bottom"/>
            <w:hideMark/>
          </w:tcPr>
          <w:p w14:paraId="4DD76D15"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Remittances of Palestinians workers in Israel out of WBG GNI</w:t>
            </w:r>
          </w:p>
        </w:tc>
        <w:tc>
          <w:tcPr>
            <w:tcW w:w="291" w:type="pct"/>
            <w:shd w:val="clear" w:color="auto" w:fill="auto"/>
            <w:noWrap/>
            <w:vAlign w:val="bottom"/>
            <w:hideMark/>
          </w:tcPr>
          <w:p w14:paraId="5C8095B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4BFBAA0D"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c>
          <w:tcPr>
            <w:tcW w:w="291" w:type="pct"/>
            <w:shd w:val="clear" w:color="auto" w:fill="auto"/>
            <w:noWrap/>
            <w:vAlign w:val="bottom"/>
            <w:hideMark/>
          </w:tcPr>
          <w:p w14:paraId="10B78D24"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c>
          <w:tcPr>
            <w:tcW w:w="291" w:type="pct"/>
            <w:shd w:val="clear" w:color="auto" w:fill="auto"/>
            <w:noWrap/>
            <w:vAlign w:val="bottom"/>
            <w:hideMark/>
          </w:tcPr>
          <w:p w14:paraId="6CAE5E7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c>
          <w:tcPr>
            <w:tcW w:w="291" w:type="pct"/>
            <w:shd w:val="clear" w:color="auto" w:fill="auto"/>
            <w:noWrap/>
            <w:vAlign w:val="bottom"/>
            <w:hideMark/>
          </w:tcPr>
          <w:p w14:paraId="7869F00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132990B7"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3CA1661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16D56CC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14B9BBA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3461789F"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r>
      <w:tr w:rsidR="007E48B3" w:rsidRPr="000207B5" w14:paraId="4C2FF276" w14:textId="77777777" w:rsidTr="00416373">
        <w:trPr>
          <w:trHeight w:val="285"/>
        </w:trPr>
        <w:tc>
          <w:tcPr>
            <w:tcW w:w="2088" w:type="pct"/>
            <w:shd w:val="clear" w:color="auto" w:fill="auto"/>
            <w:noWrap/>
            <w:vAlign w:val="bottom"/>
            <w:hideMark/>
          </w:tcPr>
          <w:p w14:paraId="05D4072D" w14:textId="42C8AE39"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 xml:space="preserve">Number of Israeli cars </w:t>
            </w:r>
            <w:r w:rsidR="00B35B3E">
              <w:rPr>
                <w:rFonts w:ascii="Arial" w:hAnsi="Arial"/>
                <w:color w:val="000000"/>
                <w:sz w:val="16"/>
                <w:szCs w:val="16"/>
              </w:rPr>
              <w:t>entering</w:t>
            </w:r>
            <w:r w:rsidRPr="000207B5">
              <w:rPr>
                <w:rFonts w:ascii="Arial" w:hAnsi="Arial"/>
                <w:color w:val="000000"/>
                <w:sz w:val="16"/>
                <w:szCs w:val="16"/>
              </w:rPr>
              <w:t xml:space="preserve"> the WB </w:t>
            </w:r>
          </w:p>
        </w:tc>
        <w:tc>
          <w:tcPr>
            <w:tcW w:w="291" w:type="pct"/>
            <w:shd w:val="clear" w:color="auto" w:fill="auto"/>
            <w:noWrap/>
            <w:vAlign w:val="bottom"/>
            <w:hideMark/>
          </w:tcPr>
          <w:p w14:paraId="3223F2C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2825CDA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4D4F683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7A5D088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5E1DE08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3B3AF2F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5F877406"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6A7AEDE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0905D46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3FB2DF5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r>
      <w:tr w:rsidR="007E48B3" w:rsidRPr="000207B5" w14:paraId="53246245" w14:textId="77777777" w:rsidTr="00416373">
        <w:trPr>
          <w:trHeight w:val="300"/>
        </w:trPr>
        <w:tc>
          <w:tcPr>
            <w:tcW w:w="2088" w:type="pct"/>
            <w:shd w:val="clear" w:color="auto" w:fill="auto"/>
            <w:noWrap/>
            <w:vAlign w:val="bottom"/>
            <w:hideMark/>
          </w:tcPr>
          <w:p w14:paraId="6675867C"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 xml:space="preserve">Movement of people between Israel and the WB </w:t>
            </w:r>
          </w:p>
        </w:tc>
        <w:tc>
          <w:tcPr>
            <w:tcW w:w="291" w:type="pct"/>
            <w:shd w:val="clear" w:color="auto" w:fill="auto"/>
            <w:noWrap/>
            <w:vAlign w:val="bottom"/>
            <w:hideMark/>
          </w:tcPr>
          <w:p w14:paraId="45B5394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5463711F"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05F796AB"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c>
          <w:tcPr>
            <w:tcW w:w="291" w:type="pct"/>
            <w:shd w:val="clear" w:color="auto" w:fill="auto"/>
            <w:noWrap/>
            <w:vAlign w:val="bottom"/>
            <w:hideMark/>
          </w:tcPr>
          <w:p w14:paraId="065BE0E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c>
          <w:tcPr>
            <w:tcW w:w="291" w:type="pct"/>
            <w:shd w:val="clear" w:color="auto" w:fill="auto"/>
            <w:noWrap/>
            <w:vAlign w:val="bottom"/>
            <w:hideMark/>
          </w:tcPr>
          <w:p w14:paraId="0DCF11E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5BED74B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3FA2C4F4"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626A9AE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2EC4AC9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4A1CEFB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r>
      <w:tr w:rsidR="007E48B3" w:rsidRPr="000207B5" w14:paraId="1F1FF8F9" w14:textId="77777777" w:rsidTr="00416373">
        <w:trPr>
          <w:trHeight w:val="300"/>
        </w:trPr>
        <w:tc>
          <w:tcPr>
            <w:tcW w:w="2088" w:type="pct"/>
            <w:shd w:val="clear" w:color="auto" w:fill="auto"/>
            <w:noWrap/>
            <w:vAlign w:val="bottom"/>
            <w:hideMark/>
          </w:tcPr>
          <w:p w14:paraId="35DACC68" w14:textId="76B8D6A8"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 xml:space="preserve">Percentage of Palestinians </w:t>
            </w:r>
            <w:r w:rsidR="00B35B3E">
              <w:rPr>
                <w:rFonts w:ascii="Arial" w:hAnsi="Arial"/>
                <w:color w:val="000000"/>
                <w:sz w:val="16"/>
                <w:szCs w:val="16"/>
              </w:rPr>
              <w:t>entering</w:t>
            </w:r>
            <w:r w:rsidRPr="000207B5">
              <w:rPr>
                <w:rFonts w:ascii="Arial" w:hAnsi="Arial"/>
                <w:color w:val="000000"/>
                <w:sz w:val="16"/>
                <w:szCs w:val="16"/>
              </w:rPr>
              <w:t xml:space="preserve"> Israel for medical treatment</w:t>
            </w:r>
          </w:p>
        </w:tc>
        <w:tc>
          <w:tcPr>
            <w:tcW w:w="291" w:type="pct"/>
            <w:shd w:val="clear" w:color="auto" w:fill="auto"/>
            <w:noWrap/>
            <w:vAlign w:val="bottom"/>
            <w:hideMark/>
          </w:tcPr>
          <w:p w14:paraId="25E0755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8%</w:t>
            </w:r>
          </w:p>
        </w:tc>
        <w:tc>
          <w:tcPr>
            <w:tcW w:w="291" w:type="pct"/>
            <w:shd w:val="clear" w:color="auto" w:fill="auto"/>
            <w:noWrap/>
            <w:vAlign w:val="bottom"/>
            <w:hideMark/>
          </w:tcPr>
          <w:p w14:paraId="2F036AD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3126B63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9%</w:t>
            </w:r>
          </w:p>
        </w:tc>
        <w:tc>
          <w:tcPr>
            <w:tcW w:w="291" w:type="pct"/>
            <w:shd w:val="clear" w:color="auto" w:fill="auto"/>
            <w:noWrap/>
            <w:vAlign w:val="bottom"/>
            <w:hideMark/>
          </w:tcPr>
          <w:p w14:paraId="3528217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5F9967EA"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8%</w:t>
            </w:r>
          </w:p>
        </w:tc>
        <w:tc>
          <w:tcPr>
            <w:tcW w:w="291" w:type="pct"/>
            <w:shd w:val="clear" w:color="auto" w:fill="auto"/>
            <w:noWrap/>
            <w:vAlign w:val="bottom"/>
            <w:hideMark/>
          </w:tcPr>
          <w:p w14:paraId="1B345BF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c>
          <w:tcPr>
            <w:tcW w:w="291" w:type="pct"/>
            <w:shd w:val="clear" w:color="auto" w:fill="auto"/>
            <w:noWrap/>
            <w:vAlign w:val="bottom"/>
            <w:hideMark/>
          </w:tcPr>
          <w:p w14:paraId="42B9ECE6"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71C2144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3D912177"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c>
          <w:tcPr>
            <w:tcW w:w="291" w:type="pct"/>
            <w:shd w:val="clear" w:color="auto" w:fill="auto"/>
            <w:noWrap/>
            <w:vAlign w:val="bottom"/>
            <w:hideMark/>
          </w:tcPr>
          <w:p w14:paraId="03BDB04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r>
      <w:tr w:rsidR="007E48B3" w:rsidRPr="000207B5" w14:paraId="69A5CC4B" w14:textId="77777777" w:rsidTr="00416373">
        <w:trPr>
          <w:trHeight w:val="300"/>
        </w:trPr>
        <w:tc>
          <w:tcPr>
            <w:tcW w:w="2088" w:type="pct"/>
            <w:shd w:val="clear" w:color="auto" w:fill="auto"/>
            <w:noWrap/>
            <w:vAlign w:val="bottom"/>
            <w:hideMark/>
          </w:tcPr>
          <w:p w14:paraId="289F1AE3"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Percentage of Palestinian households that conducted Outbound Trips to Israel</w:t>
            </w:r>
          </w:p>
        </w:tc>
        <w:tc>
          <w:tcPr>
            <w:tcW w:w="291" w:type="pct"/>
            <w:shd w:val="clear" w:color="auto" w:fill="auto"/>
            <w:noWrap/>
            <w:vAlign w:val="bottom"/>
            <w:hideMark/>
          </w:tcPr>
          <w:p w14:paraId="7AD7334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2CD8240F"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c>
          <w:tcPr>
            <w:tcW w:w="291" w:type="pct"/>
            <w:shd w:val="clear" w:color="auto" w:fill="auto"/>
            <w:noWrap/>
            <w:vAlign w:val="bottom"/>
            <w:hideMark/>
          </w:tcPr>
          <w:p w14:paraId="7AEC1C8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4F0E5E86"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c>
          <w:tcPr>
            <w:tcW w:w="291" w:type="pct"/>
            <w:shd w:val="clear" w:color="auto" w:fill="auto"/>
            <w:noWrap/>
            <w:vAlign w:val="bottom"/>
            <w:hideMark/>
          </w:tcPr>
          <w:p w14:paraId="754D169D"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c>
          <w:tcPr>
            <w:tcW w:w="291" w:type="pct"/>
            <w:shd w:val="clear" w:color="auto" w:fill="auto"/>
            <w:noWrap/>
            <w:vAlign w:val="bottom"/>
            <w:hideMark/>
          </w:tcPr>
          <w:p w14:paraId="2969805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4F6E6F6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5AB40F9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48C7F46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39F791E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r>
      <w:tr w:rsidR="007E48B3" w:rsidRPr="000207B5" w14:paraId="6B615E80" w14:textId="77777777" w:rsidTr="00416373">
        <w:trPr>
          <w:trHeight w:val="300"/>
        </w:trPr>
        <w:tc>
          <w:tcPr>
            <w:tcW w:w="2088" w:type="pct"/>
            <w:shd w:val="clear" w:color="auto" w:fill="auto"/>
            <w:noWrap/>
            <w:vAlign w:val="bottom"/>
            <w:hideMark/>
          </w:tcPr>
          <w:p w14:paraId="189B56FA"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 xml:space="preserve">Percentage of Israeli guests’ nights in WB Hotels </w:t>
            </w:r>
          </w:p>
        </w:tc>
        <w:tc>
          <w:tcPr>
            <w:tcW w:w="291" w:type="pct"/>
            <w:shd w:val="clear" w:color="auto" w:fill="auto"/>
            <w:noWrap/>
            <w:vAlign w:val="bottom"/>
            <w:hideMark/>
          </w:tcPr>
          <w:p w14:paraId="1A6486B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1D9108C7"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600A7C27"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0D49D76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64D9988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0ABE6F6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46C3B66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5D386E6B"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58F0EE2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2DECAAC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r>
      <w:tr w:rsidR="007E48B3" w:rsidRPr="000207B5" w14:paraId="69F12C91" w14:textId="77777777" w:rsidTr="00416373">
        <w:trPr>
          <w:trHeight w:val="300"/>
        </w:trPr>
        <w:tc>
          <w:tcPr>
            <w:tcW w:w="2088" w:type="pct"/>
            <w:shd w:val="clear" w:color="auto" w:fill="auto"/>
            <w:noWrap/>
            <w:vAlign w:val="bottom"/>
            <w:hideMark/>
          </w:tcPr>
          <w:p w14:paraId="11734126" w14:textId="75A13DEE"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 xml:space="preserve">Mobile cellular subscriptions </w:t>
            </w:r>
            <w:r w:rsidR="00B35B3E">
              <w:rPr>
                <w:rFonts w:ascii="Arial" w:hAnsi="Arial"/>
                <w:color w:val="000000"/>
                <w:sz w:val="16"/>
                <w:szCs w:val="16"/>
              </w:rPr>
              <w:t>(</w:t>
            </w:r>
            <w:r w:rsidRPr="000207B5">
              <w:rPr>
                <w:rFonts w:ascii="Arial" w:hAnsi="Arial"/>
                <w:color w:val="000000"/>
                <w:sz w:val="16"/>
                <w:szCs w:val="16"/>
              </w:rPr>
              <w:t>ratio</w:t>
            </w:r>
            <w:r w:rsidR="00B35B3E">
              <w:rPr>
                <w:rFonts w:ascii="Arial" w:hAnsi="Arial"/>
                <w:color w:val="000000"/>
                <w:sz w:val="16"/>
                <w:szCs w:val="16"/>
              </w:rPr>
              <w:t>)</w:t>
            </w:r>
            <w:r w:rsidRPr="000207B5">
              <w:rPr>
                <w:rFonts w:ascii="Arial" w:hAnsi="Arial"/>
                <w:color w:val="000000"/>
                <w:sz w:val="16"/>
                <w:szCs w:val="16"/>
              </w:rPr>
              <w:t xml:space="preserve"> </w:t>
            </w:r>
          </w:p>
        </w:tc>
        <w:tc>
          <w:tcPr>
            <w:tcW w:w="291" w:type="pct"/>
            <w:shd w:val="clear" w:color="auto" w:fill="auto"/>
            <w:noWrap/>
            <w:vAlign w:val="bottom"/>
            <w:hideMark/>
          </w:tcPr>
          <w:p w14:paraId="0D9710F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7772BC7A"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07B591FB"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5BADEED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3AAFE7A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0957953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00042FC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3BA8D19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567E26FD"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40AA8D07"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r>
      <w:tr w:rsidR="007E48B3" w:rsidRPr="000207B5" w14:paraId="6043FED0" w14:textId="77777777" w:rsidTr="00416373">
        <w:trPr>
          <w:trHeight w:val="300"/>
        </w:trPr>
        <w:tc>
          <w:tcPr>
            <w:tcW w:w="2088" w:type="pct"/>
            <w:shd w:val="clear" w:color="auto" w:fill="auto"/>
            <w:noWrap/>
            <w:vAlign w:val="bottom"/>
            <w:hideMark/>
          </w:tcPr>
          <w:p w14:paraId="6447AD83" w14:textId="42036B2C"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 xml:space="preserve">Individuals using the Internet </w:t>
            </w:r>
            <w:r w:rsidR="00B35B3E">
              <w:rPr>
                <w:rFonts w:ascii="Arial" w:hAnsi="Arial"/>
                <w:color w:val="000000"/>
                <w:sz w:val="16"/>
                <w:szCs w:val="16"/>
              </w:rPr>
              <w:t>(</w:t>
            </w:r>
            <w:r w:rsidRPr="000207B5">
              <w:rPr>
                <w:rFonts w:ascii="Arial" w:hAnsi="Arial"/>
                <w:color w:val="000000"/>
                <w:sz w:val="16"/>
                <w:szCs w:val="16"/>
              </w:rPr>
              <w:t>ratio</w:t>
            </w:r>
            <w:r w:rsidR="00B35B3E">
              <w:rPr>
                <w:rFonts w:ascii="Arial" w:hAnsi="Arial"/>
                <w:color w:val="000000"/>
                <w:sz w:val="16"/>
                <w:szCs w:val="16"/>
              </w:rPr>
              <w:t>)</w:t>
            </w:r>
            <w:r w:rsidRPr="000207B5">
              <w:rPr>
                <w:rFonts w:ascii="Arial" w:hAnsi="Arial"/>
                <w:color w:val="000000"/>
                <w:sz w:val="16"/>
                <w:szCs w:val="16"/>
              </w:rPr>
              <w:t xml:space="preserve"> </w:t>
            </w:r>
          </w:p>
        </w:tc>
        <w:tc>
          <w:tcPr>
            <w:tcW w:w="291" w:type="pct"/>
            <w:shd w:val="clear" w:color="auto" w:fill="auto"/>
            <w:noWrap/>
            <w:vAlign w:val="bottom"/>
            <w:hideMark/>
          </w:tcPr>
          <w:p w14:paraId="2CD85794"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02A48C3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c>
          <w:tcPr>
            <w:tcW w:w="291" w:type="pct"/>
            <w:shd w:val="clear" w:color="auto" w:fill="auto"/>
            <w:noWrap/>
            <w:vAlign w:val="bottom"/>
            <w:hideMark/>
          </w:tcPr>
          <w:p w14:paraId="7DA36CA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018BFA4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720CEB1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74A33914"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8%</w:t>
            </w:r>
          </w:p>
        </w:tc>
        <w:tc>
          <w:tcPr>
            <w:tcW w:w="291" w:type="pct"/>
            <w:shd w:val="clear" w:color="auto" w:fill="auto"/>
            <w:noWrap/>
            <w:vAlign w:val="bottom"/>
            <w:hideMark/>
          </w:tcPr>
          <w:p w14:paraId="34D19F57"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68DA95CF"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24B211C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5E6192A7"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8%</w:t>
            </w:r>
          </w:p>
        </w:tc>
      </w:tr>
      <w:tr w:rsidR="007E48B3" w:rsidRPr="000207B5" w14:paraId="31172D83" w14:textId="77777777" w:rsidTr="00416373">
        <w:trPr>
          <w:trHeight w:val="300"/>
        </w:trPr>
        <w:tc>
          <w:tcPr>
            <w:tcW w:w="2088" w:type="pct"/>
            <w:shd w:val="clear" w:color="auto" w:fill="auto"/>
            <w:noWrap/>
            <w:vAlign w:val="bottom"/>
            <w:hideMark/>
          </w:tcPr>
          <w:p w14:paraId="2B934BDA" w14:textId="0C9EC54A"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 xml:space="preserve">Fixed broadband subscriptions </w:t>
            </w:r>
            <w:r w:rsidR="00B35B3E">
              <w:rPr>
                <w:rFonts w:ascii="Arial" w:hAnsi="Arial"/>
                <w:color w:val="000000"/>
                <w:sz w:val="16"/>
                <w:szCs w:val="16"/>
              </w:rPr>
              <w:t>(</w:t>
            </w:r>
            <w:r w:rsidRPr="000207B5">
              <w:rPr>
                <w:rFonts w:ascii="Arial" w:hAnsi="Arial"/>
                <w:color w:val="000000"/>
                <w:sz w:val="16"/>
                <w:szCs w:val="16"/>
              </w:rPr>
              <w:t>ratio</w:t>
            </w:r>
            <w:r w:rsidR="00B35B3E">
              <w:rPr>
                <w:rFonts w:ascii="Arial" w:hAnsi="Arial"/>
                <w:color w:val="000000"/>
                <w:sz w:val="16"/>
                <w:szCs w:val="16"/>
              </w:rPr>
              <w:t>)</w:t>
            </w:r>
          </w:p>
        </w:tc>
        <w:tc>
          <w:tcPr>
            <w:tcW w:w="291" w:type="pct"/>
            <w:shd w:val="clear" w:color="auto" w:fill="auto"/>
            <w:noWrap/>
            <w:vAlign w:val="bottom"/>
            <w:hideMark/>
          </w:tcPr>
          <w:p w14:paraId="4CD1BF5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25A54717"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50A50DD4"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c>
          <w:tcPr>
            <w:tcW w:w="291" w:type="pct"/>
            <w:shd w:val="clear" w:color="auto" w:fill="auto"/>
            <w:noWrap/>
            <w:vAlign w:val="bottom"/>
            <w:hideMark/>
          </w:tcPr>
          <w:p w14:paraId="67105B0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797FF8C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3D78963B"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5628337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5F4B5AD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8%</w:t>
            </w:r>
          </w:p>
        </w:tc>
        <w:tc>
          <w:tcPr>
            <w:tcW w:w="291" w:type="pct"/>
            <w:shd w:val="clear" w:color="auto" w:fill="auto"/>
            <w:noWrap/>
            <w:vAlign w:val="bottom"/>
            <w:hideMark/>
          </w:tcPr>
          <w:p w14:paraId="68E982B6"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6148635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8%</w:t>
            </w:r>
          </w:p>
        </w:tc>
      </w:tr>
      <w:tr w:rsidR="007E48B3" w:rsidRPr="000207B5" w14:paraId="3D4EED47" w14:textId="77777777" w:rsidTr="00416373">
        <w:trPr>
          <w:trHeight w:val="300"/>
        </w:trPr>
        <w:tc>
          <w:tcPr>
            <w:tcW w:w="2088" w:type="pct"/>
            <w:shd w:val="clear" w:color="auto" w:fill="auto"/>
            <w:noWrap/>
            <w:vAlign w:val="bottom"/>
            <w:hideMark/>
          </w:tcPr>
          <w:p w14:paraId="6139C391"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Electricity imported from Israel out of total available electricity in the WBG</w:t>
            </w:r>
          </w:p>
        </w:tc>
        <w:tc>
          <w:tcPr>
            <w:tcW w:w="291" w:type="pct"/>
            <w:shd w:val="clear" w:color="auto" w:fill="auto"/>
            <w:noWrap/>
            <w:vAlign w:val="bottom"/>
            <w:hideMark/>
          </w:tcPr>
          <w:p w14:paraId="00108EB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c>
          <w:tcPr>
            <w:tcW w:w="291" w:type="pct"/>
            <w:shd w:val="clear" w:color="auto" w:fill="auto"/>
            <w:noWrap/>
            <w:vAlign w:val="bottom"/>
            <w:hideMark/>
          </w:tcPr>
          <w:p w14:paraId="16407BD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42DBD42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0665C22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08D5794F"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009B6ED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65F80F36"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786C740A"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73AC9EBD"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4052A34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r>
      <w:tr w:rsidR="007E48B3" w:rsidRPr="000207B5" w14:paraId="3895A069" w14:textId="77777777" w:rsidTr="00416373">
        <w:trPr>
          <w:trHeight w:val="300"/>
        </w:trPr>
        <w:tc>
          <w:tcPr>
            <w:tcW w:w="2088" w:type="pct"/>
            <w:shd w:val="clear" w:color="auto" w:fill="auto"/>
            <w:noWrap/>
            <w:vAlign w:val="bottom"/>
            <w:hideMark/>
          </w:tcPr>
          <w:p w14:paraId="17F19AC1"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Water Purchased from Israel out of available water quantity in the WBG</w:t>
            </w:r>
          </w:p>
        </w:tc>
        <w:tc>
          <w:tcPr>
            <w:tcW w:w="291" w:type="pct"/>
            <w:shd w:val="clear" w:color="auto" w:fill="auto"/>
            <w:noWrap/>
            <w:vAlign w:val="bottom"/>
            <w:hideMark/>
          </w:tcPr>
          <w:p w14:paraId="2ACAAF6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3CB82C0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007EF7E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21F9BC4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c>
          <w:tcPr>
            <w:tcW w:w="291" w:type="pct"/>
            <w:shd w:val="clear" w:color="auto" w:fill="auto"/>
            <w:noWrap/>
            <w:vAlign w:val="bottom"/>
            <w:hideMark/>
          </w:tcPr>
          <w:p w14:paraId="04B7C0D7"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186DB21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4354E99D"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2B930D6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4376170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245DABD4"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r>
      <w:tr w:rsidR="007E48B3" w:rsidRPr="000207B5" w14:paraId="79260FFC" w14:textId="77777777" w:rsidTr="00416373">
        <w:trPr>
          <w:trHeight w:val="300"/>
        </w:trPr>
        <w:tc>
          <w:tcPr>
            <w:tcW w:w="2088" w:type="pct"/>
            <w:shd w:val="clear" w:color="auto" w:fill="auto"/>
            <w:noWrap/>
            <w:vAlign w:val="bottom"/>
            <w:hideMark/>
          </w:tcPr>
          <w:p w14:paraId="5F379F0E"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Share of NIS deposits in the Palestinian banking system</w:t>
            </w:r>
          </w:p>
        </w:tc>
        <w:tc>
          <w:tcPr>
            <w:tcW w:w="291" w:type="pct"/>
            <w:shd w:val="clear" w:color="auto" w:fill="auto"/>
            <w:noWrap/>
            <w:vAlign w:val="bottom"/>
            <w:hideMark/>
          </w:tcPr>
          <w:p w14:paraId="73DDBDCA"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1CC6E93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15ECCB8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3849B664"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7EE6EFD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7C8B2ECA"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028F03FB"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43986CC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49910746"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5BD0ED2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r>
      <w:tr w:rsidR="007E48B3" w:rsidRPr="000207B5" w14:paraId="0461458F" w14:textId="77777777" w:rsidTr="00416373">
        <w:trPr>
          <w:trHeight w:val="300"/>
        </w:trPr>
        <w:tc>
          <w:tcPr>
            <w:tcW w:w="2088" w:type="pct"/>
            <w:shd w:val="clear" w:color="auto" w:fill="auto"/>
            <w:noWrap/>
            <w:vAlign w:val="bottom"/>
            <w:hideMark/>
          </w:tcPr>
          <w:p w14:paraId="44402032"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Share of NIS credit in the Palestinian banking system</w:t>
            </w:r>
          </w:p>
        </w:tc>
        <w:tc>
          <w:tcPr>
            <w:tcW w:w="291" w:type="pct"/>
            <w:shd w:val="clear" w:color="auto" w:fill="auto"/>
            <w:noWrap/>
            <w:vAlign w:val="bottom"/>
            <w:hideMark/>
          </w:tcPr>
          <w:p w14:paraId="6B1FFC7F"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45268847"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7246D43F"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22496787"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75157C9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54595876"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02A39C4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59AF41D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337D73C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6ECE88C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r>
      <w:tr w:rsidR="007E48B3" w:rsidRPr="000207B5" w14:paraId="17A7A960" w14:textId="77777777" w:rsidTr="00416373">
        <w:trPr>
          <w:trHeight w:val="300"/>
        </w:trPr>
        <w:tc>
          <w:tcPr>
            <w:tcW w:w="2088" w:type="pct"/>
            <w:shd w:val="clear" w:color="auto" w:fill="auto"/>
            <w:noWrap/>
            <w:vAlign w:val="bottom"/>
            <w:hideMark/>
          </w:tcPr>
          <w:p w14:paraId="22B632BA"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Excess NIS cash deposited in Israel out of total NIS circulation</w:t>
            </w:r>
          </w:p>
        </w:tc>
        <w:tc>
          <w:tcPr>
            <w:tcW w:w="291" w:type="pct"/>
            <w:shd w:val="clear" w:color="auto" w:fill="auto"/>
            <w:noWrap/>
            <w:vAlign w:val="bottom"/>
            <w:hideMark/>
          </w:tcPr>
          <w:p w14:paraId="42C4D0C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13894506"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c>
          <w:tcPr>
            <w:tcW w:w="291" w:type="pct"/>
            <w:shd w:val="clear" w:color="auto" w:fill="auto"/>
            <w:noWrap/>
            <w:vAlign w:val="bottom"/>
            <w:hideMark/>
          </w:tcPr>
          <w:p w14:paraId="1429A08B"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1C00B22A"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61BFBB8A"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138A858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c>
          <w:tcPr>
            <w:tcW w:w="291" w:type="pct"/>
            <w:shd w:val="clear" w:color="auto" w:fill="auto"/>
            <w:noWrap/>
            <w:vAlign w:val="bottom"/>
            <w:hideMark/>
          </w:tcPr>
          <w:p w14:paraId="4430A70A"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19850A2B"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1FE3DDCD"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03C0D49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r>
      <w:tr w:rsidR="007E48B3" w:rsidRPr="000207B5" w14:paraId="195B55E9" w14:textId="77777777" w:rsidTr="00416373">
        <w:trPr>
          <w:trHeight w:val="300"/>
        </w:trPr>
        <w:tc>
          <w:tcPr>
            <w:tcW w:w="2088" w:type="pct"/>
            <w:shd w:val="clear" w:color="auto" w:fill="auto"/>
            <w:noWrap/>
            <w:vAlign w:val="bottom"/>
            <w:hideMark/>
          </w:tcPr>
          <w:p w14:paraId="16199488"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 xml:space="preserve">Checks and Money transfers volume out of WBG GNI </w:t>
            </w:r>
          </w:p>
        </w:tc>
        <w:tc>
          <w:tcPr>
            <w:tcW w:w="291" w:type="pct"/>
            <w:shd w:val="clear" w:color="auto" w:fill="auto"/>
            <w:noWrap/>
            <w:vAlign w:val="bottom"/>
            <w:hideMark/>
          </w:tcPr>
          <w:p w14:paraId="6E63D1E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14%</w:t>
            </w:r>
          </w:p>
        </w:tc>
        <w:tc>
          <w:tcPr>
            <w:tcW w:w="291" w:type="pct"/>
            <w:shd w:val="clear" w:color="auto" w:fill="auto"/>
            <w:noWrap/>
            <w:vAlign w:val="bottom"/>
            <w:hideMark/>
          </w:tcPr>
          <w:p w14:paraId="0678D3C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6462388F"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2720C50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2F3379C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64D3B82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c>
          <w:tcPr>
            <w:tcW w:w="291" w:type="pct"/>
            <w:shd w:val="clear" w:color="auto" w:fill="auto"/>
            <w:noWrap/>
            <w:vAlign w:val="bottom"/>
            <w:hideMark/>
          </w:tcPr>
          <w:p w14:paraId="294BDF5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5EC3270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7FBC1F8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6F11CFB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r>
      <w:tr w:rsidR="007E48B3" w:rsidRPr="000207B5" w14:paraId="28D4FB8E" w14:textId="77777777" w:rsidTr="00416373">
        <w:trPr>
          <w:trHeight w:val="300"/>
        </w:trPr>
        <w:tc>
          <w:tcPr>
            <w:tcW w:w="2088" w:type="pct"/>
            <w:shd w:val="clear" w:color="auto" w:fill="auto"/>
            <w:noWrap/>
            <w:vAlign w:val="bottom"/>
            <w:hideMark/>
          </w:tcPr>
          <w:p w14:paraId="5FFB93CD" w14:textId="77777777"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 xml:space="preserve">Share of NIS checks presented for clearing in the Palestinian banking system </w:t>
            </w:r>
          </w:p>
        </w:tc>
        <w:tc>
          <w:tcPr>
            <w:tcW w:w="291" w:type="pct"/>
            <w:shd w:val="clear" w:color="auto" w:fill="auto"/>
            <w:noWrap/>
            <w:vAlign w:val="bottom"/>
            <w:hideMark/>
          </w:tcPr>
          <w:p w14:paraId="5161F63D"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3630690A"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7A3A672A"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2D94C1DA"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3EDD8AF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5428ACC6"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3779049E"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38B2EF5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4394196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239F142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r>
      <w:tr w:rsidR="007E48B3" w:rsidRPr="000207B5" w14:paraId="04D5183B" w14:textId="77777777" w:rsidTr="00416373">
        <w:trPr>
          <w:trHeight w:val="300"/>
        </w:trPr>
        <w:tc>
          <w:tcPr>
            <w:tcW w:w="2088" w:type="pct"/>
            <w:shd w:val="clear" w:color="auto" w:fill="auto"/>
            <w:noWrap/>
            <w:vAlign w:val="bottom"/>
            <w:hideMark/>
          </w:tcPr>
          <w:p w14:paraId="0DC332D5" w14:textId="09A5A830"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 xml:space="preserve">GDP per Capita </w:t>
            </w:r>
            <w:r w:rsidR="00B35B3E">
              <w:rPr>
                <w:rFonts w:ascii="Arial" w:hAnsi="Arial"/>
                <w:color w:val="000000"/>
                <w:sz w:val="16"/>
                <w:szCs w:val="16"/>
              </w:rPr>
              <w:t>(r</w:t>
            </w:r>
            <w:r w:rsidRPr="000207B5">
              <w:rPr>
                <w:rFonts w:ascii="Arial" w:hAnsi="Arial"/>
                <w:color w:val="000000"/>
                <w:sz w:val="16"/>
                <w:szCs w:val="16"/>
              </w:rPr>
              <w:t>atio</w:t>
            </w:r>
            <w:r w:rsidR="00B35B3E">
              <w:rPr>
                <w:rFonts w:ascii="Arial" w:hAnsi="Arial"/>
                <w:color w:val="000000"/>
                <w:sz w:val="16"/>
                <w:szCs w:val="16"/>
              </w:rPr>
              <w:t>)</w:t>
            </w:r>
            <w:r w:rsidRPr="000207B5">
              <w:rPr>
                <w:rFonts w:ascii="Arial" w:hAnsi="Arial"/>
                <w:color w:val="000000"/>
                <w:sz w:val="16"/>
                <w:szCs w:val="16"/>
              </w:rPr>
              <w:t xml:space="preserve"> </w:t>
            </w:r>
          </w:p>
        </w:tc>
        <w:tc>
          <w:tcPr>
            <w:tcW w:w="291" w:type="pct"/>
            <w:shd w:val="clear" w:color="auto" w:fill="auto"/>
            <w:noWrap/>
            <w:vAlign w:val="bottom"/>
            <w:hideMark/>
          </w:tcPr>
          <w:p w14:paraId="1481CA5B"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523CC8A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00EA35A4"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8%</w:t>
            </w:r>
          </w:p>
        </w:tc>
        <w:tc>
          <w:tcPr>
            <w:tcW w:w="291" w:type="pct"/>
            <w:shd w:val="clear" w:color="auto" w:fill="auto"/>
            <w:noWrap/>
            <w:vAlign w:val="bottom"/>
            <w:hideMark/>
          </w:tcPr>
          <w:p w14:paraId="341883EF"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7%</w:t>
            </w:r>
          </w:p>
        </w:tc>
        <w:tc>
          <w:tcPr>
            <w:tcW w:w="291" w:type="pct"/>
            <w:shd w:val="clear" w:color="auto" w:fill="auto"/>
            <w:noWrap/>
            <w:vAlign w:val="bottom"/>
            <w:hideMark/>
          </w:tcPr>
          <w:p w14:paraId="2B8A39E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70DB016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1CD0D4DF"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12833D2A"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4FCE390B"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c>
          <w:tcPr>
            <w:tcW w:w="291" w:type="pct"/>
            <w:shd w:val="clear" w:color="auto" w:fill="auto"/>
            <w:noWrap/>
            <w:vAlign w:val="bottom"/>
            <w:hideMark/>
          </w:tcPr>
          <w:p w14:paraId="356F2B1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r>
      <w:tr w:rsidR="007E48B3" w:rsidRPr="000207B5" w14:paraId="4F80F384" w14:textId="77777777" w:rsidTr="00416373">
        <w:trPr>
          <w:trHeight w:val="300"/>
        </w:trPr>
        <w:tc>
          <w:tcPr>
            <w:tcW w:w="2088" w:type="pct"/>
            <w:shd w:val="clear" w:color="auto" w:fill="auto"/>
            <w:noWrap/>
            <w:vAlign w:val="bottom"/>
            <w:hideMark/>
          </w:tcPr>
          <w:p w14:paraId="7E0F411C" w14:textId="1BD3B045"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 xml:space="preserve">Price level </w:t>
            </w:r>
            <w:r w:rsidR="00B35B3E">
              <w:rPr>
                <w:rFonts w:ascii="Arial" w:hAnsi="Arial"/>
                <w:color w:val="000000"/>
                <w:sz w:val="16"/>
                <w:szCs w:val="16"/>
              </w:rPr>
              <w:t>(</w:t>
            </w:r>
            <w:r w:rsidRPr="000207B5">
              <w:rPr>
                <w:rFonts w:ascii="Arial" w:hAnsi="Arial"/>
                <w:color w:val="000000"/>
                <w:sz w:val="16"/>
                <w:szCs w:val="16"/>
              </w:rPr>
              <w:t>ratio</w:t>
            </w:r>
            <w:r w:rsidR="00B35B3E">
              <w:rPr>
                <w:rFonts w:ascii="Arial" w:hAnsi="Arial"/>
                <w:color w:val="000000"/>
                <w:sz w:val="16"/>
                <w:szCs w:val="16"/>
              </w:rPr>
              <w:t>)</w:t>
            </w:r>
            <w:r w:rsidRPr="000207B5">
              <w:rPr>
                <w:rFonts w:ascii="Arial" w:hAnsi="Arial"/>
                <w:color w:val="000000"/>
                <w:sz w:val="16"/>
                <w:szCs w:val="16"/>
              </w:rPr>
              <w:t xml:space="preserve"> </w:t>
            </w:r>
          </w:p>
        </w:tc>
        <w:tc>
          <w:tcPr>
            <w:tcW w:w="291" w:type="pct"/>
            <w:shd w:val="clear" w:color="auto" w:fill="auto"/>
            <w:noWrap/>
            <w:vAlign w:val="bottom"/>
            <w:hideMark/>
          </w:tcPr>
          <w:p w14:paraId="2A41B96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16%</w:t>
            </w:r>
          </w:p>
        </w:tc>
        <w:tc>
          <w:tcPr>
            <w:tcW w:w="291" w:type="pct"/>
            <w:shd w:val="clear" w:color="auto" w:fill="auto"/>
            <w:noWrap/>
            <w:vAlign w:val="bottom"/>
            <w:hideMark/>
          </w:tcPr>
          <w:p w14:paraId="36732D97"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14%</w:t>
            </w:r>
          </w:p>
        </w:tc>
        <w:tc>
          <w:tcPr>
            <w:tcW w:w="291" w:type="pct"/>
            <w:shd w:val="clear" w:color="auto" w:fill="auto"/>
            <w:noWrap/>
            <w:vAlign w:val="bottom"/>
            <w:hideMark/>
          </w:tcPr>
          <w:p w14:paraId="7BA8CD06"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9%</w:t>
            </w:r>
          </w:p>
        </w:tc>
        <w:tc>
          <w:tcPr>
            <w:tcW w:w="291" w:type="pct"/>
            <w:shd w:val="clear" w:color="auto" w:fill="auto"/>
            <w:noWrap/>
            <w:vAlign w:val="bottom"/>
            <w:hideMark/>
          </w:tcPr>
          <w:p w14:paraId="15CE50D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10%</w:t>
            </w:r>
          </w:p>
        </w:tc>
        <w:tc>
          <w:tcPr>
            <w:tcW w:w="291" w:type="pct"/>
            <w:shd w:val="clear" w:color="auto" w:fill="auto"/>
            <w:noWrap/>
            <w:vAlign w:val="bottom"/>
            <w:hideMark/>
          </w:tcPr>
          <w:p w14:paraId="27005D70"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540D6BE6"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c>
          <w:tcPr>
            <w:tcW w:w="291" w:type="pct"/>
            <w:shd w:val="clear" w:color="auto" w:fill="auto"/>
            <w:noWrap/>
            <w:vAlign w:val="bottom"/>
            <w:hideMark/>
          </w:tcPr>
          <w:p w14:paraId="21F14B1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40D9B65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c>
          <w:tcPr>
            <w:tcW w:w="291" w:type="pct"/>
            <w:shd w:val="clear" w:color="auto" w:fill="auto"/>
            <w:noWrap/>
            <w:vAlign w:val="bottom"/>
            <w:hideMark/>
          </w:tcPr>
          <w:p w14:paraId="7B345E3F"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23109DC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r>
      <w:tr w:rsidR="007E48B3" w:rsidRPr="000207B5" w14:paraId="177A2A2D" w14:textId="77777777" w:rsidTr="00416373">
        <w:trPr>
          <w:trHeight w:val="300"/>
        </w:trPr>
        <w:tc>
          <w:tcPr>
            <w:tcW w:w="2088" w:type="pct"/>
            <w:shd w:val="clear" w:color="auto" w:fill="auto"/>
            <w:noWrap/>
            <w:vAlign w:val="bottom"/>
            <w:hideMark/>
          </w:tcPr>
          <w:p w14:paraId="210AF934" w14:textId="03D6B4CE"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 xml:space="preserve">Market </w:t>
            </w:r>
            <w:proofErr w:type="spellStart"/>
            <w:r w:rsidRPr="000207B5">
              <w:rPr>
                <w:rFonts w:ascii="Arial" w:hAnsi="Arial"/>
                <w:color w:val="000000"/>
                <w:sz w:val="16"/>
                <w:szCs w:val="16"/>
              </w:rPr>
              <w:t>capitilazation</w:t>
            </w:r>
            <w:proofErr w:type="spellEnd"/>
            <w:r w:rsidRPr="000207B5">
              <w:rPr>
                <w:rFonts w:ascii="Arial" w:hAnsi="Arial"/>
                <w:color w:val="000000"/>
                <w:sz w:val="16"/>
                <w:szCs w:val="16"/>
              </w:rPr>
              <w:t xml:space="preserve"> </w:t>
            </w:r>
            <w:r w:rsidR="00B35B3E">
              <w:rPr>
                <w:rFonts w:ascii="Arial" w:hAnsi="Arial"/>
                <w:color w:val="000000"/>
                <w:sz w:val="16"/>
                <w:szCs w:val="16"/>
              </w:rPr>
              <w:t>(r</w:t>
            </w:r>
            <w:r w:rsidRPr="000207B5">
              <w:rPr>
                <w:rFonts w:ascii="Arial" w:hAnsi="Arial"/>
                <w:color w:val="000000"/>
                <w:sz w:val="16"/>
                <w:szCs w:val="16"/>
              </w:rPr>
              <w:t>atio</w:t>
            </w:r>
            <w:r w:rsidR="00B35B3E">
              <w:rPr>
                <w:rFonts w:ascii="Arial" w:hAnsi="Arial"/>
                <w:color w:val="000000"/>
                <w:sz w:val="16"/>
                <w:szCs w:val="16"/>
              </w:rPr>
              <w:t>)</w:t>
            </w:r>
            <w:r w:rsidRPr="000207B5">
              <w:rPr>
                <w:rFonts w:ascii="Arial" w:hAnsi="Arial"/>
                <w:color w:val="000000"/>
                <w:sz w:val="16"/>
                <w:szCs w:val="16"/>
              </w:rPr>
              <w:t xml:space="preserve"> </w:t>
            </w:r>
          </w:p>
        </w:tc>
        <w:tc>
          <w:tcPr>
            <w:tcW w:w="291" w:type="pct"/>
            <w:shd w:val="clear" w:color="auto" w:fill="auto"/>
            <w:noWrap/>
            <w:vAlign w:val="bottom"/>
            <w:hideMark/>
          </w:tcPr>
          <w:p w14:paraId="3D07091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51F4C95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8%</w:t>
            </w:r>
          </w:p>
        </w:tc>
        <w:tc>
          <w:tcPr>
            <w:tcW w:w="291" w:type="pct"/>
            <w:shd w:val="clear" w:color="auto" w:fill="auto"/>
            <w:noWrap/>
            <w:vAlign w:val="bottom"/>
            <w:hideMark/>
          </w:tcPr>
          <w:p w14:paraId="36DBFBF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305E473D"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2BDFC973"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434015E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2%</w:t>
            </w:r>
          </w:p>
        </w:tc>
        <w:tc>
          <w:tcPr>
            <w:tcW w:w="291" w:type="pct"/>
            <w:shd w:val="clear" w:color="auto" w:fill="auto"/>
            <w:noWrap/>
            <w:vAlign w:val="bottom"/>
            <w:hideMark/>
          </w:tcPr>
          <w:p w14:paraId="0C94D93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455E09D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4%</w:t>
            </w:r>
          </w:p>
        </w:tc>
        <w:tc>
          <w:tcPr>
            <w:tcW w:w="291" w:type="pct"/>
            <w:shd w:val="clear" w:color="auto" w:fill="auto"/>
            <w:noWrap/>
            <w:vAlign w:val="bottom"/>
            <w:hideMark/>
          </w:tcPr>
          <w:p w14:paraId="43AB73E9"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238A9B72"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r>
      <w:tr w:rsidR="007E48B3" w:rsidRPr="000207B5" w14:paraId="10BCD281" w14:textId="77777777" w:rsidTr="00416373">
        <w:trPr>
          <w:trHeight w:val="300"/>
        </w:trPr>
        <w:tc>
          <w:tcPr>
            <w:tcW w:w="2088" w:type="pct"/>
            <w:shd w:val="clear" w:color="auto" w:fill="auto"/>
            <w:noWrap/>
            <w:vAlign w:val="bottom"/>
            <w:hideMark/>
          </w:tcPr>
          <w:p w14:paraId="44B0B7F2" w14:textId="2D4421D6" w:rsidR="007E48B3" w:rsidRPr="000207B5" w:rsidRDefault="007E48B3" w:rsidP="00416373">
            <w:pPr>
              <w:bidi w:val="0"/>
              <w:rPr>
                <w:rFonts w:ascii="Arial" w:hAnsi="Arial"/>
                <w:color w:val="000000"/>
                <w:sz w:val="16"/>
                <w:szCs w:val="16"/>
              </w:rPr>
            </w:pPr>
            <w:r w:rsidRPr="000207B5">
              <w:rPr>
                <w:rFonts w:ascii="Arial" w:hAnsi="Arial"/>
                <w:color w:val="000000"/>
                <w:sz w:val="16"/>
                <w:szCs w:val="16"/>
              </w:rPr>
              <w:t xml:space="preserve">Daily Wage </w:t>
            </w:r>
            <w:r w:rsidR="00B35B3E">
              <w:rPr>
                <w:rFonts w:ascii="Arial" w:hAnsi="Arial"/>
                <w:color w:val="000000"/>
                <w:sz w:val="16"/>
                <w:szCs w:val="16"/>
              </w:rPr>
              <w:t>(r</w:t>
            </w:r>
            <w:r w:rsidRPr="000207B5">
              <w:rPr>
                <w:rFonts w:ascii="Arial" w:hAnsi="Arial"/>
                <w:color w:val="000000"/>
                <w:sz w:val="16"/>
                <w:szCs w:val="16"/>
              </w:rPr>
              <w:t>atio</w:t>
            </w:r>
            <w:r w:rsidR="00B35B3E">
              <w:rPr>
                <w:rFonts w:ascii="Arial" w:hAnsi="Arial"/>
                <w:color w:val="000000"/>
                <w:sz w:val="16"/>
                <w:szCs w:val="16"/>
              </w:rPr>
              <w:t>)</w:t>
            </w:r>
          </w:p>
        </w:tc>
        <w:tc>
          <w:tcPr>
            <w:tcW w:w="291" w:type="pct"/>
            <w:shd w:val="clear" w:color="auto" w:fill="auto"/>
            <w:noWrap/>
            <w:vAlign w:val="bottom"/>
            <w:hideMark/>
          </w:tcPr>
          <w:p w14:paraId="4A8D9036"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15%</w:t>
            </w:r>
          </w:p>
        </w:tc>
        <w:tc>
          <w:tcPr>
            <w:tcW w:w="291" w:type="pct"/>
            <w:shd w:val="clear" w:color="auto" w:fill="auto"/>
            <w:noWrap/>
            <w:vAlign w:val="bottom"/>
            <w:hideMark/>
          </w:tcPr>
          <w:p w14:paraId="33E2448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12%</w:t>
            </w:r>
          </w:p>
        </w:tc>
        <w:tc>
          <w:tcPr>
            <w:tcW w:w="291" w:type="pct"/>
            <w:shd w:val="clear" w:color="auto" w:fill="auto"/>
            <w:noWrap/>
            <w:vAlign w:val="bottom"/>
            <w:hideMark/>
          </w:tcPr>
          <w:p w14:paraId="0A6BD1E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10%</w:t>
            </w:r>
          </w:p>
        </w:tc>
        <w:tc>
          <w:tcPr>
            <w:tcW w:w="291" w:type="pct"/>
            <w:shd w:val="clear" w:color="auto" w:fill="auto"/>
            <w:noWrap/>
            <w:vAlign w:val="bottom"/>
            <w:hideMark/>
          </w:tcPr>
          <w:p w14:paraId="655F4841"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6%</w:t>
            </w:r>
          </w:p>
        </w:tc>
        <w:tc>
          <w:tcPr>
            <w:tcW w:w="291" w:type="pct"/>
            <w:shd w:val="clear" w:color="auto" w:fill="auto"/>
            <w:noWrap/>
            <w:vAlign w:val="bottom"/>
            <w:hideMark/>
          </w:tcPr>
          <w:p w14:paraId="1363C334"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5%</w:t>
            </w:r>
          </w:p>
        </w:tc>
        <w:tc>
          <w:tcPr>
            <w:tcW w:w="291" w:type="pct"/>
            <w:shd w:val="clear" w:color="auto" w:fill="auto"/>
            <w:noWrap/>
            <w:vAlign w:val="bottom"/>
            <w:hideMark/>
          </w:tcPr>
          <w:p w14:paraId="7544505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3%</w:t>
            </w:r>
          </w:p>
        </w:tc>
        <w:tc>
          <w:tcPr>
            <w:tcW w:w="291" w:type="pct"/>
            <w:shd w:val="clear" w:color="auto" w:fill="auto"/>
            <w:noWrap/>
            <w:vAlign w:val="bottom"/>
            <w:hideMark/>
          </w:tcPr>
          <w:p w14:paraId="58CB317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c>
          <w:tcPr>
            <w:tcW w:w="291" w:type="pct"/>
            <w:shd w:val="clear" w:color="auto" w:fill="auto"/>
            <w:noWrap/>
            <w:vAlign w:val="bottom"/>
            <w:hideMark/>
          </w:tcPr>
          <w:p w14:paraId="06364315"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6AB838B8"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0%</w:t>
            </w:r>
          </w:p>
        </w:tc>
        <w:tc>
          <w:tcPr>
            <w:tcW w:w="291" w:type="pct"/>
            <w:shd w:val="clear" w:color="auto" w:fill="auto"/>
            <w:noWrap/>
            <w:vAlign w:val="bottom"/>
            <w:hideMark/>
          </w:tcPr>
          <w:p w14:paraId="3864DE9C" w14:textId="77777777" w:rsidR="007E48B3" w:rsidRPr="000207B5" w:rsidRDefault="007E48B3" w:rsidP="00416373">
            <w:pPr>
              <w:bidi w:val="0"/>
              <w:jc w:val="right"/>
              <w:rPr>
                <w:rFonts w:ascii="Arial" w:hAnsi="Arial"/>
                <w:color w:val="000000"/>
                <w:sz w:val="16"/>
                <w:szCs w:val="16"/>
              </w:rPr>
            </w:pPr>
            <w:r w:rsidRPr="000207B5">
              <w:rPr>
                <w:rFonts w:ascii="Arial" w:hAnsi="Arial"/>
                <w:color w:val="000000"/>
                <w:sz w:val="16"/>
                <w:szCs w:val="16"/>
              </w:rPr>
              <w:t>1%</w:t>
            </w:r>
          </w:p>
        </w:tc>
      </w:tr>
      <w:tr w:rsidR="007E48B3" w:rsidRPr="000207B5" w14:paraId="229AF294" w14:textId="77777777" w:rsidTr="00416373">
        <w:trPr>
          <w:trHeight w:val="146"/>
        </w:trPr>
        <w:tc>
          <w:tcPr>
            <w:tcW w:w="2088" w:type="pct"/>
            <w:shd w:val="clear" w:color="auto" w:fill="auto"/>
            <w:noWrap/>
            <w:vAlign w:val="bottom"/>
            <w:hideMark/>
          </w:tcPr>
          <w:p w14:paraId="36E44B72" w14:textId="77777777" w:rsidR="007E48B3" w:rsidRPr="00BF4955" w:rsidRDefault="007E48B3" w:rsidP="00416373">
            <w:pPr>
              <w:bidi w:val="0"/>
              <w:rPr>
                <w:rFonts w:ascii="Arial" w:hAnsi="Arial"/>
                <w:b/>
                <w:bCs/>
                <w:color w:val="000000"/>
                <w:sz w:val="16"/>
                <w:szCs w:val="16"/>
              </w:rPr>
            </w:pPr>
            <w:r w:rsidRPr="00BF4955">
              <w:rPr>
                <w:rFonts w:ascii="Arial" w:hAnsi="Arial"/>
                <w:b/>
                <w:bCs/>
                <w:color w:val="000000"/>
                <w:sz w:val="16"/>
                <w:szCs w:val="16"/>
              </w:rPr>
              <w:t>Total</w:t>
            </w:r>
          </w:p>
          <w:p w14:paraId="6F2F312C" w14:textId="77777777" w:rsidR="007E48B3" w:rsidRPr="000207B5" w:rsidRDefault="007E48B3" w:rsidP="00416373">
            <w:pPr>
              <w:bidi w:val="0"/>
              <w:jc w:val="right"/>
              <w:rPr>
                <w:rFonts w:ascii="Arial" w:hAnsi="Arial"/>
                <w:b/>
                <w:bCs/>
                <w:color w:val="000000"/>
                <w:sz w:val="16"/>
                <w:szCs w:val="16"/>
              </w:rPr>
            </w:pPr>
          </w:p>
        </w:tc>
        <w:tc>
          <w:tcPr>
            <w:tcW w:w="291" w:type="pct"/>
            <w:shd w:val="clear" w:color="auto" w:fill="auto"/>
            <w:noWrap/>
            <w:vAlign w:val="bottom"/>
            <w:hideMark/>
          </w:tcPr>
          <w:p w14:paraId="007E603F" w14:textId="77777777" w:rsidR="007E48B3" w:rsidRPr="000207B5" w:rsidRDefault="007E48B3" w:rsidP="00416373">
            <w:pPr>
              <w:bidi w:val="0"/>
              <w:jc w:val="right"/>
              <w:rPr>
                <w:rFonts w:ascii="Arial" w:hAnsi="Arial"/>
                <w:b/>
                <w:bCs/>
                <w:color w:val="000000"/>
                <w:sz w:val="16"/>
                <w:szCs w:val="16"/>
              </w:rPr>
            </w:pPr>
            <w:r w:rsidRPr="00BF4955">
              <w:rPr>
                <w:rFonts w:ascii="Arial" w:hAnsi="Arial"/>
                <w:b/>
                <w:bCs/>
                <w:color w:val="000000"/>
                <w:sz w:val="16"/>
                <w:szCs w:val="16"/>
              </w:rPr>
              <w:t>100%</w:t>
            </w:r>
          </w:p>
        </w:tc>
        <w:tc>
          <w:tcPr>
            <w:tcW w:w="291" w:type="pct"/>
            <w:shd w:val="clear" w:color="auto" w:fill="auto"/>
            <w:noWrap/>
            <w:vAlign w:val="bottom"/>
            <w:hideMark/>
          </w:tcPr>
          <w:p w14:paraId="0B3EFCB9" w14:textId="77777777" w:rsidR="007E48B3" w:rsidRPr="000207B5" w:rsidRDefault="007E48B3" w:rsidP="00416373">
            <w:pPr>
              <w:bidi w:val="0"/>
              <w:jc w:val="right"/>
              <w:rPr>
                <w:rFonts w:ascii="Arial" w:hAnsi="Arial"/>
                <w:b/>
                <w:bCs/>
                <w:color w:val="000000"/>
                <w:sz w:val="16"/>
                <w:szCs w:val="16"/>
              </w:rPr>
            </w:pPr>
            <w:r w:rsidRPr="00BF4955">
              <w:rPr>
                <w:rFonts w:ascii="Arial" w:hAnsi="Arial"/>
                <w:b/>
                <w:bCs/>
                <w:color w:val="000000"/>
                <w:sz w:val="16"/>
                <w:szCs w:val="16"/>
              </w:rPr>
              <w:t>100%</w:t>
            </w:r>
          </w:p>
        </w:tc>
        <w:tc>
          <w:tcPr>
            <w:tcW w:w="291" w:type="pct"/>
            <w:shd w:val="clear" w:color="auto" w:fill="auto"/>
            <w:noWrap/>
            <w:vAlign w:val="bottom"/>
            <w:hideMark/>
          </w:tcPr>
          <w:p w14:paraId="0A7202A7" w14:textId="77777777" w:rsidR="007E48B3" w:rsidRPr="000207B5" w:rsidRDefault="007E48B3" w:rsidP="00416373">
            <w:pPr>
              <w:bidi w:val="0"/>
              <w:jc w:val="right"/>
              <w:rPr>
                <w:rFonts w:ascii="Arial" w:hAnsi="Arial"/>
                <w:b/>
                <w:bCs/>
                <w:color w:val="000000"/>
                <w:sz w:val="16"/>
                <w:szCs w:val="16"/>
              </w:rPr>
            </w:pPr>
            <w:r w:rsidRPr="00BF4955">
              <w:rPr>
                <w:rFonts w:ascii="Arial" w:hAnsi="Arial"/>
                <w:b/>
                <w:bCs/>
                <w:color w:val="000000"/>
                <w:sz w:val="16"/>
                <w:szCs w:val="16"/>
              </w:rPr>
              <w:t>100%</w:t>
            </w:r>
          </w:p>
        </w:tc>
        <w:tc>
          <w:tcPr>
            <w:tcW w:w="291" w:type="pct"/>
            <w:shd w:val="clear" w:color="auto" w:fill="auto"/>
            <w:noWrap/>
            <w:vAlign w:val="bottom"/>
            <w:hideMark/>
          </w:tcPr>
          <w:p w14:paraId="52DC7D8C" w14:textId="77777777" w:rsidR="007E48B3" w:rsidRPr="000207B5" w:rsidRDefault="007E48B3" w:rsidP="00416373">
            <w:pPr>
              <w:bidi w:val="0"/>
              <w:jc w:val="right"/>
              <w:rPr>
                <w:rFonts w:ascii="Arial" w:hAnsi="Arial"/>
                <w:b/>
                <w:bCs/>
                <w:color w:val="000000"/>
                <w:sz w:val="16"/>
                <w:szCs w:val="16"/>
              </w:rPr>
            </w:pPr>
            <w:r w:rsidRPr="00BF4955">
              <w:rPr>
                <w:rFonts w:ascii="Arial" w:hAnsi="Arial"/>
                <w:b/>
                <w:bCs/>
                <w:color w:val="000000"/>
                <w:sz w:val="16"/>
                <w:szCs w:val="16"/>
              </w:rPr>
              <w:t>100%</w:t>
            </w:r>
          </w:p>
        </w:tc>
        <w:tc>
          <w:tcPr>
            <w:tcW w:w="291" w:type="pct"/>
            <w:shd w:val="clear" w:color="auto" w:fill="auto"/>
            <w:noWrap/>
            <w:vAlign w:val="bottom"/>
            <w:hideMark/>
          </w:tcPr>
          <w:p w14:paraId="6FC940E1" w14:textId="77777777" w:rsidR="007E48B3" w:rsidRPr="000207B5" w:rsidRDefault="007E48B3" w:rsidP="00416373">
            <w:pPr>
              <w:bidi w:val="0"/>
              <w:jc w:val="right"/>
              <w:rPr>
                <w:rFonts w:ascii="Arial" w:hAnsi="Arial"/>
                <w:b/>
                <w:bCs/>
                <w:color w:val="000000"/>
                <w:sz w:val="16"/>
                <w:szCs w:val="16"/>
              </w:rPr>
            </w:pPr>
            <w:r w:rsidRPr="00BF4955">
              <w:rPr>
                <w:rFonts w:ascii="Arial" w:hAnsi="Arial"/>
                <w:b/>
                <w:bCs/>
                <w:color w:val="000000"/>
                <w:sz w:val="16"/>
                <w:szCs w:val="16"/>
              </w:rPr>
              <w:t>100%</w:t>
            </w:r>
          </w:p>
        </w:tc>
        <w:tc>
          <w:tcPr>
            <w:tcW w:w="291" w:type="pct"/>
            <w:shd w:val="clear" w:color="auto" w:fill="auto"/>
            <w:noWrap/>
            <w:vAlign w:val="bottom"/>
            <w:hideMark/>
          </w:tcPr>
          <w:p w14:paraId="16CAF82B" w14:textId="77777777" w:rsidR="007E48B3" w:rsidRPr="000207B5" w:rsidRDefault="007E48B3" w:rsidP="00416373">
            <w:pPr>
              <w:bidi w:val="0"/>
              <w:jc w:val="right"/>
              <w:rPr>
                <w:rFonts w:ascii="Arial" w:hAnsi="Arial"/>
                <w:b/>
                <w:bCs/>
                <w:color w:val="000000"/>
                <w:sz w:val="16"/>
                <w:szCs w:val="16"/>
              </w:rPr>
            </w:pPr>
            <w:r w:rsidRPr="00BF4955">
              <w:rPr>
                <w:rFonts w:ascii="Arial" w:hAnsi="Arial"/>
                <w:b/>
                <w:bCs/>
                <w:color w:val="000000"/>
                <w:sz w:val="16"/>
                <w:szCs w:val="16"/>
              </w:rPr>
              <w:t>100%</w:t>
            </w:r>
          </w:p>
        </w:tc>
        <w:tc>
          <w:tcPr>
            <w:tcW w:w="291" w:type="pct"/>
            <w:shd w:val="clear" w:color="auto" w:fill="auto"/>
            <w:noWrap/>
            <w:vAlign w:val="bottom"/>
            <w:hideMark/>
          </w:tcPr>
          <w:p w14:paraId="039F49FD" w14:textId="77777777" w:rsidR="007E48B3" w:rsidRPr="000207B5" w:rsidRDefault="007E48B3" w:rsidP="00416373">
            <w:pPr>
              <w:bidi w:val="0"/>
              <w:jc w:val="right"/>
              <w:rPr>
                <w:rFonts w:ascii="Arial" w:hAnsi="Arial"/>
                <w:b/>
                <w:bCs/>
                <w:color w:val="000000"/>
                <w:sz w:val="16"/>
                <w:szCs w:val="16"/>
              </w:rPr>
            </w:pPr>
            <w:r w:rsidRPr="00BF4955">
              <w:rPr>
                <w:rFonts w:ascii="Arial" w:hAnsi="Arial"/>
                <w:b/>
                <w:bCs/>
                <w:color w:val="000000"/>
                <w:sz w:val="16"/>
                <w:szCs w:val="16"/>
              </w:rPr>
              <w:t>100%</w:t>
            </w:r>
          </w:p>
        </w:tc>
        <w:tc>
          <w:tcPr>
            <w:tcW w:w="291" w:type="pct"/>
            <w:shd w:val="clear" w:color="auto" w:fill="auto"/>
            <w:noWrap/>
            <w:vAlign w:val="bottom"/>
            <w:hideMark/>
          </w:tcPr>
          <w:p w14:paraId="10E62383" w14:textId="77777777" w:rsidR="007E48B3" w:rsidRPr="000207B5" w:rsidRDefault="007E48B3" w:rsidP="00416373">
            <w:pPr>
              <w:bidi w:val="0"/>
              <w:jc w:val="right"/>
              <w:rPr>
                <w:rFonts w:ascii="Arial" w:hAnsi="Arial"/>
                <w:b/>
                <w:bCs/>
                <w:color w:val="000000"/>
                <w:sz w:val="16"/>
                <w:szCs w:val="16"/>
              </w:rPr>
            </w:pPr>
            <w:r w:rsidRPr="00BF4955">
              <w:rPr>
                <w:rFonts w:ascii="Arial" w:hAnsi="Arial"/>
                <w:b/>
                <w:bCs/>
                <w:color w:val="000000"/>
                <w:sz w:val="16"/>
                <w:szCs w:val="16"/>
              </w:rPr>
              <w:t>100%</w:t>
            </w:r>
          </w:p>
        </w:tc>
        <w:tc>
          <w:tcPr>
            <w:tcW w:w="291" w:type="pct"/>
            <w:shd w:val="clear" w:color="auto" w:fill="auto"/>
            <w:noWrap/>
            <w:vAlign w:val="bottom"/>
            <w:hideMark/>
          </w:tcPr>
          <w:p w14:paraId="67ED1FB2" w14:textId="77777777" w:rsidR="007E48B3" w:rsidRPr="000207B5" w:rsidRDefault="007E48B3" w:rsidP="00416373">
            <w:pPr>
              <w:bidi w:val="0"/>
              <w:jc w:val="right"/>
              <w:rPr>
                <w:rFonts w:ascii="Arial" w:hAnsi="Arial"/>
                <w:b/>
                <w:bCs/>
                <w:color w:val="000000"/>
                <w:sz w:val="16"/>
                <w:szCs w:val="16"/>
              </w:rPr>
            </w:pPr>
            <w:r w:rsidRPr="00BF4955">
              <w:rPr>
                <w:rFonts w:ascii="Arial" w:hAnsi="Arial"/>
                <w:b/>
                <w:bCs/>
                <w:color w:val="000000"/>
                <w:sz w:val="16"/>
                <w:szCs w:val="16"/>
              </w:rPr>
              <w:t>100%</w:t>
            </w:r>
          </w:p>
        </w:tc>
        <w:tc>
          <w:tcPr>
            <w:tcW w:w="291" w:type="pct"/>
            <w:shd w:val="clear" w:color="auto" w:fill="auto"/>
            <w:noWrap/>
            <w:vAlign w:val="bottom"/>
            <w:hideMark/>
          </w:tcPr>
          <w:p w14:paraId="0EE5D7F8" w14:textId="77777777" w:rsidR="007E48B3" w:rsidRPr="000207B5" w:rsidRDefault="007E48B3" w:rsidP="00416373">
            <w:pPr>
              <w:bidi w:val="0"/>
              <w:jc w:val="right"/>
              <w:rPr>
                <w:rFonts w:ascii="Arial" w:hAnsi="Arial"/>
                <w:b/>
                <w:bCs/>
                <w:color w:val="000000"/>
                <w:sz w:val="16"/>
                <w:szCs w:val="16"/>
              </w:rPr>
            </w:pPr>
            <w:r w:rsidRPr="00BF4955">
              <w:rPr>
                <w:rFonts w:ascii="Arial" w:hAnsi="Arial"/>
                <w:b/>
                <w:bCs/>
                <w:color w:val="000000"/>
                <w:sz w:val="16"/>
                <w:szCs w:val="16"/>
              </w:rPr>
              <w:t>100%</w:t>
            </w:r>
          </w:p>
        </w:tc>
      </w:tr>
    </w:tbl>
    <w:p w14:paraId="2D58D50F" w14:textId="77777777" w:rsidR="007E48B3" w:rsidRDefault="007E48B3" w:rsidP="007E48B3">
      <w:pPr>
        <w:bidi w:val="0"/>
        <w:spacing w:line="480" w:lineRule="auto"/>
        <w:rPr>
          <w:rFonts w:ascii="Times New Roman" w:hAnsi="Times New Roman" w:cs="David"/>
          <w:sz w:val="24"/>
          <w:szCs w:val="24"/>
        </w:rPr>
      </w:pPr>
    </w:p>
    <w:p w14:paraId="25754063" w14:textId="77777777" w:rsidR="009C111A" w:rsidRDefault="009C111A" w:rsidP="00934429">
      <w:pPr>
        <w:bidi w:val="0"/>
      </w:pPr>
    </w:p>
    <w:p w14:paraId="462AEA0C" w14:textId="77777777" w:rsidR="000B3923" w:rsidRPr="000B3923" w:rsidRDefault="000B3923" w:rsidP="000B3923">
      <w:pPr>
        <w:bidi w:val="0"/>
      </w:pPr>
    </w:p>
    <w:p w14:paraId="787E7E32" w14:textId="77777777" w:rsidR="000B3923" w:rsidRPr="000B3923" w:rsidRDefault="000B3923" w:rsidP="000B3923">
      <w:pPr>
        <w:bidi w:val="0"/>
      </w:pPr>
    </w:p>
    <w:p w14:paraId="7C8C1C69" w14:textId="77777777" w:rsidR="000B3923" w:rsidRPr="000B3923" w:rsidRDefault="000B3923" w:rsidP="000B3923">
      <w:pPr>
        <w:bidi w:val="0"/>
      </w:pPr>
    </w:p>
    <w:p w14:paraId="54D32AAA" w14:textId="77777777" w:rsidR="000B3923" w:rsidRPr="000B3923" w:rsidRDefault="000B3923" w:rsidP="000B3923">
      <w:pPr>
        <w:bidi w:val="0"/>
      </w:pPr>
    </w:p>
    <w:p w14:paraId="0054E78F" w14:textId="77777777" w:rsidR="000B3923" w:rsidRPr="000B3923" w:rsidRDefault="000B3923" w:rsidP="000B3923">
      <w:pPr>
        <w:bidi w:val="0"/>
      </w:pPr>
    </w:p>
    <w:p w14:paraId="4E928651" w14:textId="77777777" w:rsidR="000B3923" w:rsidRPr="000B3923" w:rsidRDefault="000B3923" w:rsidP="000B3923">
      <w:pPr>
        <w:bidi w:val="0"/>
      </w:pPr>
    </w:p>
    <w:p w14:paraId="036CA1F4" w14:textId="77777777" w:rsidR="000B3923" w:rsidRPr="000B3923" w:rsidRDefault="000B3923" w:rsidP="000B3923">
      <w:pPr>
        <w:bidi w:val="0"/>
      </w:pPr>
    </w:p>
    <w:p w14:paraId="4D8CD533" w14:textId="77777777" w:rsidR="000B3923" w:rsidRPr="000B3923" w:rsidRDefault="000B3923" w:rsidP="000B3923">
      <w:pPr>
        <w:bidi w:val="0"/>
      </w:pPr>
    </w:p>
    <w:p w14:paraId="45F7D518" w14:textId="77777777" w:rsidR="000B3923" w:rsidRDefault="000B3923" w:rsidP="000B3923">
      <w:pPr>
        <w:bidi w:val="0"/>
      </w:pPr>
    </w:p>
    <w:p w14:paraId="3388AA80" w14:textId="69F2AF4F" w:rsidR="000B3923" w:rsidRDefault="000B3923" w:rsidP="000B3923">
      <w:pPr>
        <w:tabs>
          <w:tab w:val="left" w:pos="2889"/>
        </w:tabs>
        <w:bidi w:val="0"/>
      </w:pPr>
      <w:r>
        <w:tab/>
      </w:r>
    </w:p>
    <w:p w14:paraId="0B30FD34" w14:textId="77777777" w:rsidR="000B3923" w:rsidRDefault="000B3923" w:rsidP="000B3923">
      <w:pPr>
        <w:tabs>
          <w:tab w:val="left" w:pos="2889"/>
        </w:tabs>
        <w:bidi w:val="0"/>
      </w:pPr>
    </w:p>
    <w:p w14:paraId="31E26572" w14:textId="603EE978" w:rsidR="000B3923" w:rsidRDefault="000B3923" w:rsidP="00C3614A">
      <w:pPr>
        <w:tabs>
          <w:tab w:val="left" w:pos="2889"/>
        </w:tabs>
        <w:bidi w:val="0"/>
        <w:jc w:val="center"/>
        <w:rPr>
          <w:b/>
          <w:bCs/>
        </w:rPr>
      </w:pPr>
      <w:r w:rsidRPr="00C3614A">
        <w:rPr>
          <w:b/>
          <w:bCs/>
        </w:rPr>
        <w:t xml:space="preserve">Appendix </w:t>
      </w:r>
      <w:r w:rsidR="00AD1697">
        <w:rPr>
          <w:b/>
          <w:bCs/>
        </w:rPr>
        <w:t>I</w:t>
      </w:r>
      <w:r w:rsidRPr="00C3614A">
        <w:rPr>
          <w:b/>
          <w:bCs/>
        </w:rPr>
        <w:t xml:space="preserve">V </w:t>
      </w:r>
      <w:r w:rsidR="00C3614A" w:rsidRPr="00C3614A">
        <w:rPr>
          <w:b/>
          <w:bCs/>
        </w:rPr>
        <w:t>–</w:t>
      </w:r>
      <w:r w:rsidRPr="00C3614A">
        <w:rPr>
          <w:b/>
          <w:bCs/>
        </w:rPr>
        <w:t xml:space="preserve"> </w:t>
      </w:r>
      <w:r w:rsidR="00C3614A" w:rsidRPr="00C3614A">
        <w:rPr>
          <w:b/>
          <w:bCs/>
        </w:rPr>
        <w:t>Indices results</w:t>
      </w:r>
    </w:p>
    <w:p w14:paraId="392289B6" w14:textId="77777777" w:rsidR="00B72B4F" w:rsidRDefault="00B72B4F" w:rsidP="00B72B4F">
      <w:pPr>
        <w:tabs>
          <w:tab w:val="left" w:pos="2889"/>
        </w:tabs>
        <w:bidi w:val="0"/>
        <w:jc w:val="center"/>
        <w:rPr>
          <w:b/>
          <w:bCs/>
        </w:rPr>
      </w:pPr>
    </w:p>
    <w:p w14:paraId="7BC48929" w14:textId="6FEE4905" w:rsidR="00B72B4F" w:rsidRPr="00C3614A" w:rsidRDefault="00B72B4F" w:rsidP="00B72B4F">
      <w:pPr>
        <w:tabs>
          <w:tab w:val="left" w:pos="2889"/>
        </w:tabs>
        <w:bidi w:val="0"/>
        <w:jc w:val="center"/>
        <w:rPr>
          <w:b/>
          <w:bCs/>
        </w:rPr>
      </w:pPr>
      <w:r>
        <w:rPr>
          <w:b/>
          <w:bCs/>
        </w:rPr>
        <w:t xml:space="preserve">Table </w:t>
      </w:r>
      <w:r w:rsidRPr="007644C9">
        <w:rPr>
          <w:b/>
          <w:bCs/>
          <w:highlight w:val="yellow"/>
        </w:rPr>
        <w:t>XX</w:t>
      </w:r>
      <w:r w:rsidR="007644C9">
        <w:rPr>
          <w:b/>
          <w:bCs/>
        </w:rPr>
        <w:t xml:space="preserve"> - </w:t>
      </w:r>
      <w:r w:rsidR="007644C9" w:rsidRPr="00C3614A">
        <w:rPr>
          <w:b/>
          <w:bCs/>
        </w:rPr>
        <w:t>Indices results</w:t>
      </w:r>
    </w:p>
    <w:p w14:paraId="2BF93C4B" w14:textId="47813D79" w:rsidR="00073D0C" w:rsidRDefault="000B3923" w:rsidP="00C3614A">
      <w:pPr>
        <w:tabs>
          <w:tab w:val="left" w:pos="2889"/>
        </w:tabs>
        <w:bidi w:val="0"/>
      </w:pP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38"/>
        <w:gridCol w:w="1778"/>
        <w:gridCol w:w="1778"/>
        <w:gridCol w:w="1778"/>
        <w:gridCol w:w="1778"/>
      </w:tblGrid>
      <w:tr w:rsidR="009C111A" w:rsidRPr="009C111A" w14:paraId="13CEC983" w14:textId="77777777" w:rsidTr="000B3923">
        <w:trPr>
          <w:trHeight w:val="285"/>
          <w:jc w:val="center"/>
        </w:trPr>
        <w:tc>
          <w:tcPr>
            <w:tcW w:w="0" w:type="auto"/>
            <w:noWrap/>
            <w:vAlign w:val="bottom"/>
            <w:hideMark/>
          </w:tcPr>
          <w:p w14:paraId="35C6637E" w14:textId="54662C19" w:rsidR="009C111A" w:rsidRPr="009C111A" w:rsidRDefault="00EA5102" w:rsidP="000B3923">
            <w:pPr>
              <w:bidi w:val="0"/>
              <w:jc w:val="center"/>
              <w:rPr>
                <w:rFonts w:asciiTheme="majorBidi" w:hAnsiTheme="majorBidi" w:cstheme="majorBidi"/>
                <w:b/>
                <w:bCs/>
                <w:color w:val="000000"/>
                <w:sz w:val="20"/>
                <w:szCs w:val="20"/>
              </w:rPr>
            </w:pPr>
            <w:r w:rsidRPr="00486F9F">
              <w:rPr>
                <w:rFonts w:asciiTheme="majorBidi" w:hAnsiTheme="majorBidi" w:cstheme="majorBidi"/>
                <w:b/>
                <w:bCs/>
                <w:color w:val="000000"/>
                <w:sz w:val="20"/>
                <w:szCs w:val="20"/>
              </w:rPr>
              <w:t>Year</w:t>
            </w:r>
          </w:p>
        </w:tc>
        <w:tc>
          <w:tcPr>
            <w:tcW w:w="0" w:type="auto"/>
            <w:noWrap/>
            <w:vAlign w:val="bottom"/>
            <w:hideMark/>
          </w:tcPr>
          <w:p w14:paraId="16E3AC3F" w14:textId="77777777" w:rsidR="009C111A" w:rsidRPr="009C111A" w:rsidRDefault="009C111A" w:rsidP="000B3923">
            <w:pPr>
              <w:bidi w:val="0"/>
              <w:jc w:val="center"/>
              <w:rPr>
                <w:rFonts w:asciiTheme="majorBidi" w:hAnsiTheme="majorBidi" w:cstheme="majorBidi"/>
                <w:b/>
                <w:bCs/>
                <w:color w:val="000000"/>
                <w:sz w:val="20"/>
                <w:szCs w:val="20"/>
              </w:rPr>
            </w:pPr>
            <w:r w:rsidRPr="009C111A">
              <w:rPr>
                <w:rFonts w:asciiTheme="majorBidi" w:hAnsiTheme="majorBidi" w:cstheme="majorBidi"/>
                <w:b/>
                <w:bCs/>
                <w:color w:val="000000"/>
                <w:sz w:val="20"/>
                <w:szCs w:val="20"/>
              </w:rPr>
              <w:t>ISR-WBG-II 1968</w:t>
            </w:r>
          </w:p>
        </w:tc>
        <w:tc>
          <w:tcPr>
            <w:tcW w:w="0" w:type="auto"/>
            <w:noWrap/>
            <w:vAlign w:val="bottom"/>
            <w:hideMark/>
          </w:tcPr>
          <w:p w14:paraId="3753ADB3" w14:textId="77777777" w:rsidR="009C111A" w:rsidRPr="009C111A" w:rsidRDefault="009C111A" w:rsidP="000B3923">
            <w:pPr>
              <w:bidi w:val="0"/>
              <w:jc w:val="center"/>
              <w:rPr>
                <w:rFonts w:asciiTheme="majorBidi" w:hAnsiTheme="majorBidi" w:cstheme="majorBidi"/>
                <w:b/>
                <w:bCs/>
                <w:color w:val="000000"/>
                <w:sz w:val="20"/>
                <w:szCs w:val="20"/>
              </w:rPr>
            </w:pPr>
            <w:r w:rsidRPr="009C111A">
              <w:rPr>
                <w:rFonts w:asciiTheme="majorBidi" w:hAnsiTheme="majorBidi" w:cstheme="majorBidi"/>
                <w:b/>
                <w:bCs/>
                <w:color w:val="000000"/>
                <w:sz w:val="20"/>
                <w:szCs w:val="20"/>
              </w:rPr>
              <w:t>ISR-WBG-II 1996</w:t>
            </w:r>
          </w:p>
        </w:tc>
        <w:tc>
          <w:tcPr>
            <w:tcW w:w="0" w:type="auto"/>
            <w:noWrap/>
            <w:vAlign w:val="bottom"/>
            <w:hideMark/>
          </w:tcPr>
          <w:p w14:paraId="203B8A70" w14:textId="77777777" w:rsidR="009C111A" w:rsidRPr="009C111A" w:rsidRDefault="009C111A" w:rsidP="000B3923">
            <w:pPr>
              <w:bidi w:val="0"/>
              <w:jc w:val="center"/>
              <w:rPr>
                <w:rFonts w:asciiTheme="majorBidi" w:hAnsiTheme="majorBidi" w:cstheme="majorBidi"/>
                <w:b/>
                <w:bCs/>
                <w:color w:val="000000"/>
                <w:sz w:val="20"/>
                <w:szCs w:val="20"/>
              </w:rPr>
            </w:pPr>
            <w:r w:rsidRPr="009C111A">
              <w:rPr>
                <w:rFonts w:asciiTheme="majorBidi" w:hAnsiTheme="majorBidi" w:cstheme="majorBidi"/>
                <w:b/>
                <w:bCs/>
                <w:color w:val="000000"/>
                <w:sz w:val="20"/>
                <w:szCs w:val="20"/>
              </w:rPr>
              <w:t>ISR-WBG-II 2000</w:t>
            </w:r>
          </w:p>
        </w:tc>
        <w:tc>
          <w:tcPr>
            <w:tcW w:w="0" w:type="auto"/>
            <w:noWrap/>
            <w:vAlign w:val="bottom"/>
            <w:hideMark/>
          </w:tcPr>
          <w:p w14:paraId="273ABF6F" w14:textId="77777777" w:rsidR="009C111A" w:rsidRPr="009C111A" w:rsidRDefault="009C111A" w:rsidP="000B3923">
            <w:pPr>
              <w:bidi w:val="0"/>
              <w:jc w:val="center"/>
              <w:rPr>
                <w:rFonts w:asciiTheme="majorBidi" w:hAnsiTheme="majorBidi" w:cstheme="majorBidi"/>
                <w:b/>
                <w:bCs/>
                <w:color w:val="000000"/>
                <w:sz w:val="20"/>
                <w:szCs w:val="20"/>
              </w:rPr>
            </w:pPr>
            <w:r w:rsidRPr="009C111A">
              <w:rPr>
                <w:rFonts w:asciiTheme="majorBidi" w:hAnsiTheme="majorBidi" w:cstheme="majorBidi"/>
                <w:b/>
                <w:bCs/>
                <w:color w:val="000000"/>
                <w:sz w:val="20"/>
                <w:szCs w:val="20"/>
              </w:rPr>
              <w:t>ISR-WBG-II 2010</w:t>
            </w:r>
          </w:p>
        </w:tc>
      </w:tr>
      <w:tr w:rsidR="009C111A" w:rsidRPr="009C111A" w14:paraId="150470C1" w14:textId="77777777" w:rsidTr="000B3923">
        <w:trPr>
          <w:trHeight w:val="285"/>
          <w:jc w:val="center"/>
        </w:trPr>
        <w:tc>
          <w:tcPr>
            <w:tcW w:w="0" w:type="auto"/>
            <w:noWrap/>
            <w:vAlign w:val="bottom"/>
            <w:hideMark/>
          </w:tcPr>
          <w:p w14:paraId="7F15654D"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1968</w:t>
            </w:r>
          </w:p>
        </w:tc>
        <w:tc>
          <w:tcPr>
            <w:tcW w:w="0" w:type="auto"/>
            <w:noWrap/>
            <w:vAlign w:val="bottom"/>
            <w:hideMark/>
          </w:tcPr>
          <w:p w14:paraId="72DC3C72"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17.60%</w:t>
            </w:r>
          </w:p>
        </w:tc>
        <w:tc>
          <w:tcPr>
            <w:tcW w:w="0" w:type="auto"/>
            <w:noWrap/>
            <w:vAlign w:val="bottom"/>
            <w:hideMark/>
          </w:tcPr>
          <w:p w14:paraId="0607DCD3"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76AF446B"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3CE0BECC" w14:textId="77777777" w:rsidR="009C111A" w:rsidRPr="009C111A" w:rsidRDefault="009C111A" w:rsidP="009C111A">
            <w:pPr>
              <w:bidi w:val="0"/>
              <w:rPr>
                <w:rFonts w:asciiTheme="majorBidi" w:hAnsiTheme="majorBidi" w:cstheme="majorBidi"/>
                <w:sz w:val="20"/>
                <w:szCs w:val="20"/>
              </w:rPr>
            </w:pPr>
          </w:p>
        </w:tc>
      </w:tr>
      <w:tr w:rsidR="009C111A" w:rsidRPr="009C111A" w14:paraId="7BCA9680" w14:textId="77777777" w:rsidTr="000B3923">
        <w:trPr>
          <w:trHeight w:val="285"/>
          <w:jc w:val="center"/>
        </w:trPr>
        <w:tc>
          <w:tcPr>
            <w:tcW w:w="0" w:type="auto"/>
            <w:noWrap/>
            <w:vAlign w:val="bottom"/>
            <w:hideMark/>
          </w:tcPr>
          <w:p w14:paraId="66664B04"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1969</w:t>
            </w:r>
          </w:p>
        </w:tc>
        <w:tc>
          <w:tcPr>
            <w:tcW w:w="0" w:type="auto"/>
            <w:noWrap/>
            <w:vAlign w:val="bottom"/>
            <w:hideMark/>
          </w:tcPr>
          <w:p w14:paraId="7D58CD6A"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20.50%</w:t>
            </w:r>
          </w:p>
        </w:tc>
        <w:tc>
          <w:tcPr>
            <w:tcW w:w="0" w:type="auto"/>
            <w:noWrap/>
            <w:vAlign w:val="bottom"/>
            <w:hideMark/>
          </w:tcPr>
          <w:p w14:paraId="52CD4A1A"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28A0A52F"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35EDB878" w14:textId="77777777" w:rsidR="009C111A" w:rsidRPr="009C111A" w:rsidRDefault="009C111A" w:rsidP="009C111A">
            <w:pPr>
              <w:bidi w:val="0"/>
              <w:rPr>
                <w:rFonts w:asciiTheme="majorBidi" w:hAnsiTheme="majorBidi" w:cstheme="majorBidi"/>
                <w:sz w:val="20"/>
                <w:szCs w:val="20"/>
              </w:rPr>
            </w:pPr>
          </w:p>
        </w:tc>
      </w:tr>
      <w:tr w:rsidR="009C111A" w:rsidRPr="009C111A" w14:paraId="5F6578D2" w14:textId="77777777" w:rsidTr="000B3923">
        <w:trPr>
          <w:trHeight w:val="285"/>
          <w:jc w:val="center"/>
        </w:trPr>
        <w:tc>
          <w:tcPr>
            <w:tcW w:w="0" w:type="auto"/>
            <w:noWrap/>
            <w:vAlign w:val="bottom"/>
            <w:hideMark/>
          </w:tcPr>
          <w:p w14:paraId="25FCB492"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1970</w:t>
            </w:r>
          </w:p>
        </w:tc>
        <w:tc>
          <w:tcPr>
            <w:tcW w:w="0" w:type="auto"/>
            <w:noWrap/>
            <w:vAlign w:val="bottom"/>
            <w:hideMark/>
          </w:tcPr>
          <w:p w14:paraId="6AA8197B"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30.24%</w:t>
            </w:r>
          </w:p>
        </w:tc>
        <w:tc>
          <w:tcPr>
            <w:tcW w:w="0" w:type="auto"/>
            <w:noWrap/>
            <w:vAlign w:val="bottom"/>
            <w:hideMark/>
          </w:tcPr>
          <w:p w14:paraId="4DE678B9"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1DB22069"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55920F65" w14:textId="77777777" w:rsidR="009C111A" w:rsidRPr="009C111A" w:rsidRDefault="009C111A" w:rsidP="009C111A">
            <w:pPr>
              <w:bidi w:val="0"/>
              <w:rPr>
                <w:rFonts w:asciiTheme="majorBidi" w:hAnsiTheme="majorBidi" w:cstheme="majorBidi"/>
                <w:sz w:val="20"/>
                <w:szCs w:val="20"/>
              </w:rPr>
            </w:pPr>
          </w:p>
        </w:tc>
      </w:tr>
      <w:tr w:rsidR="009C111A" w:rsidRPr="009C111A" w14:paraId="570E7FD4" w14:textId="77777777" w:rsidTr="000B3923">
        <w:trPr>
          <w:trHeight w:val="285"/>
          <w:jc w:val="center"/>
        </w:trPr>
        <w:tc>
          <w:tcPr>
            <w:tcW w:w="0" w:type="auto"/>
            <w:noWrap/>
            <w:vAlign w:val="bottom"/>
            <w:hideMark/>
          </w:tcPr>
          <w:p w14:paraId="52D8F60A"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1971</w:t>
            </w:r>
          </w:p>
        </w:tc>
        <w:tc>
          <w:tcPr>
            <w:tcW w:w="0" w:type="auto"/>
            <w:noWrap/>
            <w:vAlign w:val="bottom"/>
            <w:hideMark/>
          </w:tcPr>
          <w:p w14:paraId="6863D118"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38.08%</w:t>
            </w:r>
          </w:p>
        </w:tc>
        <w:tc>
          <w:tcPr>
            <w:tcW w:w="0" w:type="auto"/>
            <w:noWrap/>
            <w:vAlign w:val="bottom"/>
            <w:hideMark/>
          </w:tcPr>
          <w:p w14:paraId="58598266"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7CEC667B"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14247E50" w14:textId="77777777" w:rsidR="009C111A" w:rsidRPr="009C111A" w:rsidRDefault="009C111A" w:rsidP="009C111A">
            <w:pPr>
              <w:bidi w:val="0"/>
              <w:rPr>
                <w:rFonts w:asciiTheme="majorBidi" w:hAnsiTheme="majorBidi" w:cstheme="majorBidi"/>
                <w:sz w:val="20"/>
                <w:szCs w:val="20"/>
              </w:rPr>
            </w:pPr>
          </w:p>
        </w:tc>
      </w:tr>
      <w:tr w:rsidR="009C111A" w:rsidRPr="009C111A" w14:paraId="184BCEE1" w14:textId="77777777" w:rsidTr="000B3923">
        <w:trPr>
          <w:trHeight w:val="285"/>
          <w:jc w:val="center"/>
        </w:trPr>
        <w:tc>
          <w:tcPr>
            <w:tcW w:w="0" w:type="auto"/>
            <w:noWrap/>
            <w:vAlign w:val="bottom"/>
            <w:hideMark/>
          </w:tcPr>
          <w:p w14:paraId="624ACDC4"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1972</w:t>
            </w:r>
          </w:p>
        </w:tc>
        <w:tc>
          <w:tcPr>
            <w:tcW w:w="0" w:type="auto"/>
            <w:noWrap/>
            <w:vAlign w:val="bottom"/>
            <w:hideMark/>
          </w:tcPr>
          <w:p w14:paraId="6AC4CBAA"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50.82%</w:t>
            </w:r>
          </w:p>
        </w:tc>
        <w:tc>
          <w:tcPr>
            <w:tcW w:w="0" w:type="auto"/>
            <w:noWrap/>
            <w:vAlign w:val="bottom"/>
            <w:hideMark/>
          </w:tcPr>
          <w:p w14:paraId="1AC63571"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40FCED1E"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42217329" w14:textId="77777777" w:rsidR="009C111A" w:rsidRPr="009C111A" w:rsidRDefault="009C111A" w:rsidP="009C111A">
            <w:pPr>
              <w:bidi w:val="0"/>
              <w:rPr>
                <w:rFonts w:asciiTheme="majorBidi" w:hAnsiTheme="majorBidi" w:cstheme="majorBidi"/>
                <w:sz w:val="20"/>
                <w:szCs w:val="20"/>
              </w:rPr>
            </w:pPr>
          </w:p>
        </w:tc>
      </w:tr>
      <w:tr w:rsidR="009C111A" w:rsidRPr="009C111A" w14:paraId="4E71AA73" w14:textId="77777777" w:rsidTr="000B3923">
        <w:trPr>
          <w:trHeight w:val="285"/>
          <w:jc w:val="center"/>
        </w:trPr>
        <w:tc>
          <w:tcPr>
            <w:tcW w:w="0" w:type="auto"/>
            <w:noWrap/>
            <w:vAlign w:val="bottom"/>
            <w:hideMark/>
          </w:tcPr>
          <w:p w14:paraId="2F4C3F31"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1973</w:t>
            </w:r>
          </w:p>
        </w:tc>
        <w:tc>
          <w:tcPr>
            <w:tcW w:w="0" w:type="auto"/>
            <w:noWrap/>
            <w:vAlign w:val="bottom"/>
            <w:hideMark/>
          </w:tcPr>
          <w:p w14:paraId="1B211026"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59.15%</w:t>
            </w:r>
          </w:p>
        </w:tc>
        <w:tc>
          <w:tcPr>
            <w:tcW w:w="0" w:type="auto"/>
            <w:noWrap/>
            <w:vAlign w:val="bottom"/>
            <w:hideMark/>
          </w:tcPr>
          <w:p w14:paraId="5E753102"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50E60433"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233BF6A4" w14:textId="77777777" w:rsidR="009C111A" w:rsidRPr="009C111A" w:rsidRDefault="009C111A" w:rsidP="009C111A">
            <w:pPr>
              <w:bidi w:val="0"/>
              <w:rPr>
                <w:rFonts w:asciiTheme="majorBidi" w:hAnsiTheme="majorBidi" w:cstheme="majorBidi"/>
                <w:sz w:val="20"/>
                <w:szCs w:val="20"/>
              </w:rPr>
            </w:pPr>
          </w:p>
        </w:tc>
      </w:tr>
      <w:tr w:rsidR="009C111A" w:rsidRPr="009C111A" w14:paraId="346FE1F0" w14:textId="77777777" w:rsidTr="000B3923">
        <w:trPr>
          <w:trHeight w:val="285"/>
          <w:jc w:val="center"/>
        </w:trPr>
        <w:tc>
          <w:tcPr>
            <w:tcW w:w="0" w:type="auto"/>
            <w:noWrap/>
            <w:vAlign w:val="bottom"/>
            <w:hideMark/>
          </w:tcPr>
          <w:p w14:paraId="79A4D271"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1974</w:t>
            </w:r>
          </w:p>
        </w:tc>
        <w:tc>
          <w:tcPr>
            <w:tcW w:w="0" w:type="auto"/>
            <w:noWrap/>
            <w:vAlign w:val="bottom"/>
            <w:hideMark/>
          </w:tcPr>
          <w:p w14:paraId="432A42FE"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62.84%</w:t>
            </w:r>
          </w:p>
        </w:tc>
        <w:tc>
          <w:tcPr>
            <w:tcW w:w="0" w:type="auto"/>
            <w:noWrap/>
            <w:vAlign w:val="bottom"/>
            <w:hideMark/>
          </w:tcPr>
          <w:p w14:paraId="4758F38C"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3A842391"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7A55461E" w14:textId="77777777" w:rsidR="009C111A" w:rsidRPr="009C111A" w:rsidRDefault="009C111A" w:rsidP="009C111A">
            <w:pPr>
              <w:bidi w:val="0"/>
              <w:rPr>
                <w:rFonts w:asciiTheme="majorBidi" w:hAnsiTheme="majorBidi" w:cstheme="majorBidi"/>
                <w:sz w:val="20"/>
                <w:szCs w:val="20"/>
              </w:rPr>
            </w:pPr>
          </w:p>
        </w:tc>
      </w:tr>
      <w:tr w:rsidR="009C111A" w:rsidRPr="009C111A" w14:paraId="0FA0FE96" w14:textId="77777777" w:rsidTr="000B3923">
        <w:trPr>
          <w:trHeight w:val="285"/>
          <w:jc w:val="center"/>
        </w:trPr>
        <w:tc>
          <w:tcPr>
            <w:tcW w:w="0" w:type="auto"/>
            <w:noWrap/>
            <w:vAlign w:val="bottom"/>
            <w:hideMark/>
          </w:tcPr>
          <w:p w14:paraId="433B838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1975</w:t>
            </w:r>
          </w:p>
        </w:tc>
        <w:tc>
          <w:tcPr>
            <w:tcW w:w="0" w:type="auto"/>
            <w:noWrap/>
            <w:vAlign w:val="bottom"/>
            <w:hideMark/>
          </w:tcPr>
          <w:p w14:paraId="5D320652"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65.59%</w:t>
            </w:r>
          </w:p>
        </w:tc>
        <w:tc>
          <w:tcPr>
            <w:tcW w:w="0" w:type="auto"/>
            <w:noWrap/>
            <w:vAlign w:val="bottom"/>
            <w:hideMark/>
          </w:tcPr>
          <w:p w14:paraId="632952AD"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43559D5A"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46824BC1" w14:textId="77777777" w:rsidR="009C111A" w:rsidRPr="009C111A" w:rsidRDefault="009C111A" w:rsidP="009C111A">
            <w:pPr>
              <w:bidi w:val="0"/>
              <w:rPr>
                <w:rFonts w:asciiTheme="majorBidi" w:hAnsiTheme="majorBidi" w:cstheme="majorBidi"/>
                <w:sz w:val="20"/>
                <w:szCs w:val="20"/>
              </w:rPr>
            </w:pPr>
          </w:p>
        </w:tc>
      </w:tr>
      <w:tr w:rsidR="009C111A" w:rsidRPr="009C111A" w14:paraId="2B72F705" w14:textId="77777777" w:rsidTr="000B3923">
        <w:trPr>
          <w:trHeight w:val="285"/>
          <w:jc w:val="center"/>
        </w:trPr>
        <w:tc>
          <w:tcPr>
            <w:tcW w:w="0" w:type="auto"/>
            <w:noWrap/>
            <w:vAlign w:val="bottom"/>
            <w:hideMark/>
          </w:tcPr>
          <w:p w14:paraId="2E53814E"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1976</w:t>
            </w:r>
          </w:p>
        </w:tc>
        <w:tc>
          <w:tcPr>
            <w:tcW w:w="0" w:type="auto"/>
            <w:noWrap/>
            <w:vAlign w:val="bottom"/>
            <w:hideMark/>
          </w:tcPr>
          <w:p w14:paraId="54946BBF"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68.76%</w:t>
            </w:r>
          </w:p>
        </w:tc>
        <w:tc>
          <w:tcPr>
            <w:tcW w:w="0" w:type="auto"/>
            <w:noWrap/>
            <w:vAlign w:val="bottom"/>
            <w:hideMark/>
          </w:tcPr>
          <w:p w14:paraId="5CF65321"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70E00389"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5CF483D9" w14:textId="77777777" w:rsidR="009C111A" w:rsidRPr="009C111A" w:rsidRDefault="009C111A" w:rsidP="009C111A">
            <w:pPr>
              <w:bidi w:val="0"/>
              <w:rPr>
                <w:rFonts w:asciiTheme="majorBidi" w:hAnsiTheme="majorBidi" w:cstheme="majorBidi"/>
                <w:sz w:val="20"/>
                <w:szCs w:val="20"/>
              </w:rPr>
            </w:pPr>
          </w:p>
        </w:tc>
      </w:tr>
      <w:tr w:rsidR="009C111A" w:rsidRPr="009C111A" w14:paraId="2EC6991A" w14:textId="77777777" w:rsidTr="000B3923">
        <w:trPr>
          <w:trHeight w:val="285"/>
          <w:jc w:val="center"/>
        </w:trPr>
        <w:tc>
          <w:tcPr>
            <w:tcW w:w="0" w:type="auto"/>
            <w:noWrap/>
            <w:vAlign w:val="bottom"/>
            <w:hideMark/>
          </w:tcPr>
          <w:p w14:paraId="747B56D3"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1977</w:t>
            </w:r>
          </w:p>
        </w:tc>
        <w:tc>
          <w:tcPr>
            <w:tcW w:w="0" w:type="auto"/>
            <w:noWrap/>
            <w:vAlign w:val="bottom"/>
            <w:hideMark/>
          </w:tcPr>
          <w:p w14:paraId="3ABEDEF4"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68.39%</w:t>
            </w:r>
          </w:p>
        </w:tc>
        <w:tc>
          <w:tcPr>
            <w:tcW w:w="0" w:type="auto"/>
            <w:noWrap/>
            <w:vAlign w:val="bottom"/>
            <w:hideMark/>
          </w:tcPr>
          <w:p w14:paraId="477C0BAF"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7CD918A1"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2F92D372" w14:textId="77777777" w:rsidR="009C111A" w:rsidRPr="009C111A" w:rsidRDefault="009C111A" w:rsidP="009C111A">
            <w:pPr>
              <w:bidi w:val="0"/>
              <w:rPr>
                <w:rFonts w:asciiTheme="majorBidi" w:hAnsiTheme="majorBidi" w:cstheme="majorBidi"/>
                <w:sz w:val="20"/>
                <w:szCs w:val="20"/>
              </w:rPr>
            </w:pPr>
          </w:p>
        </w:tc>
      </w:tr>
      <w:tr w:rsidR="009C111A" w:rsidRPr="009C111A" w14:paraId="38260A77" w14:textId="77777777" w:rsidTr="000B3923">
        <w:trPr>
          <w:trHeight w:val="285"/>
          <w:jc w:val="center"/>
        </w:trPr>
        <w:tc>
          <w:tcPr>
            <w:tcW w:w="0" w:type="auto"/>
            <w:noWrap/>
            <w:vAlign w:val="bottom"/>
            <w:hideMark/>
          </w:tcPr>
          <w:p w14:paraId="13EC4860"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1978</w:t>
            </w:r>
          </w:p>
        </w:tc>
        <w:tc>
          <w:tcPr>
            <w:tcW w:w="0" w:type="auto"/>
            <w:noWrap/>
            <w:vAlign w:val="bottom"/>
            <w:hideMark/>
          </w:tcPr>
          <w:p w14:paraId="6AA13AC0"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69.64%</w:t>
            </w:r>
          </w:p>
        </w:tc>
        <w:tc>
          <w:tcPr>
            <w:tcW w:w="0" w:type="auto"/>
            <w:noWrap/>
            <w:vAlign w:val="bottom"/>
            <w:hideMark/>
          </w:tcPr>
          <w:p w14:paraId="4657DA93"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336918CA"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61E8B9A0" w14:textId="77777777" w:rsidR="009C111A" w:rsidRPr="009C111A" w:rsidRDefault="009C111A" w:rsidP="009C111A">
            <w:pPr>
              <w:bidi w:val="0"/>
              <w:rPr>
                <w:rFonts w:asciiTheme="majorBidi" w:hAnsiTheme="majorBidi" w:cstheme="majorBidi"/>
                <w:sz w:val="20"/>
                <w:szCs w:val="20"/>
              </w:rPr>
            </w:pPr>
          </w:p>
        </w:tc>
      </w:tr>
      <w:tr w:rsidR="009C111A" w:rsidRPr="009C111A" w14:paraId="28C49B75" w14:textId="77777777" w:rsidTr="000B3923">
        <w:trPr>
          <w:trHeight w:val="285"/>
          <w:jc w:val="center"/>
        </w:trPr>
        <w:tc>
          <w:tcPr>
            <w:tcW w:w="0" w:type="auto"/>
            <w:noWrap/>
            <w:vAlign w:val="bottom"/>
            <w:hideMark/>
          </w:tcPr>
          <w:p w14:paraId="266C3AD1"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1979</w:t>
            </w:r>
          </w:p>
        </w:tc>
        <w:tc>
          <w:tcPr>
            <w:tcW w:w="0" w:type="auto"/>
            <w:noWrap/>
            <w:vAlign w:val="bottom"/>
            <w:hideMark/>
          </w:tcPr>
          <w:p w14:paraId="2119379F"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69.17%</w:t>
            </w:r>
          </w:p>
        </w:tc>
        <w:tc>
          <w:tcPr>
            <w:tcW w:w="0" w:type="auto"/>
            <w:noWrap/>
            <w:vAlign w:val="bottom"/>
            <w:hideMark/>
          </w:tcPr>
          <w:p w14:paraId="5F77A47A"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0BEDD4BC"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3E06DFCD" w14:textId="77777777" w:rsidR="009C111A" w:rsidRPr="009C111A" w:rsidRDefault="009C111A" w:rsidP="009C111A">
            <w:pPr>
              <w:bidi w:val="0"/>
              <w:rPr>
                <w:rFonts w:asciiTheme="majorBidi" w:hAnsiTheme="majorBidi" w:cstheme="majorBidi"/>
                <w:sz w:val="20"/>
                <w:szCs w:val="20"/>
              </w:rPr>
            </w:pPr>
          </w:p>
        </w:tc>
      </w:tr>
      <w:tr w:rsidR="009C111A" w:rsidRPr="009C111A" w14:paraId="1F8C29BA" w14:textId="77777777" w:rsidTr="000B3923">
        <w:trPr>
          <w:trHeight w:val="285"/>
          <w:jc w:val="center"/>
        </w:trPr>
        <w:tc>
          <w:tcPr>
            <w:tcW w:w="0" w:type="auto"/>
            <w:noWrap/>
            <w:vAlign w:val="bottom"/>
            <w:hideMark/>
          </w:tcPr>
          <w:p w14:paraId="198CA522"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1980</w:t>
            </w:r>
          </w:p>
        </w:tc>
        <w:tc>
          <w:tcPr>
            <w:tcW w:w="0" w:type="auto"/>
            <w:noWrap/>
            <w:vAlign w:val="bottom"/>
            <w:hideMark/>
          </w:tcPr>
          <w:p w14:paraId="43A7C3B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75.35%</w:t>
            </w:r>
          </w:p>
        </w:tc>
        <w:tc>
          <w:tcPr>
            <w:tcW w:w="0" w:type="auto"/>
            <w:noWrap/>
            <w:vAlign w:val="bottom"/>
            <w:hideMark/>
          </w:tcPr>
          <w:p w14:paraId="160C56CB"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726A6144"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76225E64" w14:textId="77777777" w:rsidR="009C111A" w:rsidRPr="009C111A" w:rsidRDefault="009C111A" w:rsidP="009C111A">
            <w:pPr>
              <w:bidi w:val="0"/>
              <w:rPr>
                <w:rFonts w:asciiTheme="majorBidi" w:hAnsiTheme="majorBidi" w:cstheme="majorBidi"/>
                <w:sz w:val="20"/>
                <w:szCs w:val="20"/>
              </w:rPr>
            </w:pPr>
          </w:p>
        </w:tc>
      </w:tr>
      <w:tr w:rsidR="009C111A" w:rsidRPr="009C111A" w14:paraId="5D673942" w14:textId="77777777" w:rsidTr="000B3923">
        <w:trPr>
          <w:trHeight w:val="285"/>
          <w:jc w:val="center"/>
        </w:trPr>
        <w:tc>
          <w:tcPr>
            <w:tcW w:w="0" w:type="auto"/>
            <w:noWrap/>
            <w:vAlign w:val="bottom"/>
            <w:hideMark/>
          </w:tcPr>
          <w:p w14:paraId="5F2980BC"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1981</w:t>
            </w:r>
          </w:p>
        </w:tc>
        <w:tc>
          <w:tcPr>
            <w:tcW w:w="0" w:type="auto"/>
            <w:noWrap/>
            <w:vAlign w:val="bottom"/>
            <w:hideMark/>
          </w:tcPr>
          <w:p w14:paraId="563CA707"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76.28%</w:t>
            </w:r>
          </w:p>
        </w:tc>
        <w:tc>
          <w:tcPr>
            <w:tcW w:w="0" w:type="auto"/>
            <w:noWrap/>
            <w:vAlign w:val="bottom"/>
            <w:hideMark/>
          </w:tcPr>
          <w:p w14:paraId="6FE0A59C"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183E4B5C"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28DDBB4D" w14:textId="77777777" w:rsidR="009C111A" w:rsidRPr="009C111A" w:rsidRDefault="009C111A" w:rsidP="009C111A">
            <w:pPr>
              <w:bidi w:val="0"/>
              <w:rPr>
                <w:rFonts w:asciiTheme="majorBidi" w:hAnsiTheme="majorBidi" w:cstheme="majorBidi"/>
                <w:sz w:val="20"/>
                <w:szCs w:val="20"/>
              </w:rPr>
            </w:pPr>
          </w:p>
        </w:tc>
      </w:tr>
      <w:tr w:rsidR="009C111A" w:rsidRPr="009C111A" w14:paraId="11A4E9A2" w14:textId="77777777" w:rsidTr="000B3923">
        <w:trPr>
          <w:trHeight w:val="285"/>
          <w:jc w:val="center"/>
        </w:trPr>
        <w:tc>
          <w:tcPr>
            <w:tcW w:w="0" w:type="auto"/>
            <w:noWrap/>
            <w:vAlign w:val="bottom"/>
            <w:hideMark/>
          </w:tcPr>
          <w:p w14:paraId="5C0C9355"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1982</w:t>
            </w:r>
          </w:p>
        </w:tc>
        <w:tc>
          <w:tcPr>
            <w:tcW w:w="0" w:type="auto"/>
            <w:noWrap/>
            <w:vAlign w:val="bottom"/>
            <w:hideMark/>
          </w:tcPr>
          <w:p w14:paraId="697D1578"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77.56%</w:t>
            </w:r>
          </w:p>
        </w:tc>
        <w:tc>
          <w:tcPr>
            <w:tcW w:w="0" w:type="auto"/>
            <w:noWrap/>
            <w:vAlign w:val="bottom"/>
            <w:hideMark/>
          </w:tcPr>
          <w:p w14:paraId="7EAD8484"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61C1B9AE"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5FFD409E" w14:textId="77777777" w:rsidR="009C111A" w:rsidRPr="009C111A" w:rsidRDefault="009C111A" w:rsidP="009C111A">
            <w:pPr>
              <w:bidi w:val="0"/>
              <w:rPr>
                <w:rFonts w:asciiTheme="majorBidi" w:hAnsiTheme="majorBidi" w:cstheme="majorBidi"/>
                <w:sz w:val="20"/>
                <w:szCs w:val="20"/>
              </w:rPr>
            </w:pPr>
          </w:p>
        </w:tc>
      </w:tr>
      <w:tr w:rsidR="009C111A" w:rsidRPr="009C111A" w14:paraId="13B1942D" w14:textId="77777777" w:rsidTr="000B3923">
        <w:trPr>
          <w:trHeight w:val="285"/>
          <w:jc w:val="center"/>
        </w:trPr>
        <w:tc>
          <w:tcPr>
            <w:tcW w:w="0" w:type="auto"/>
            <w:noWrap/>
            <w:vAlign w:val="bottom"/>
            <w:hideMark/>
          </w:tcPr>
          <w:p w14:paraId="7EA3A578"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1983</w:t>
            </w:r>
          </w:p>
        </w:tc>
        <w:tc>
          <w:tcPr>
            <w:tcW w:w="0" w:type="auto"/>
            <w:noWrap/>
            <w:vAlign w:val="bottom"/>
            <w:hideMark/>
          </w:tcPr>
          <w:p w14:paraId="670FE095"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80.23%</w:t>
            </w:r>
          </w:p>
        </w:tc>
        <w:tc>
          <w:tcPr>
            <w:tcW w:w="0" w:type="auto"/>
            <w:noWrap/>
            <w:vAlign w:val="bottom"/>
            <w:hideMark/>
          </w:tcPr>
          <w:p w14:paraId="672794DC"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7486A8DD"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6D092A88" w14:textId="77777777" w:rsidR="009C111A" w:rsidRPr="009C111A" w:rsidRDefault="009C111A" w:rsidP="009C111A">
            <w:pPr>
              <w:bidi w:val="0"/>
              <w:rPr>
                <w:rFonts w:asciiTheme="majorBidi" w:hAnsiTheme="majorBidi" w:cstheme="majorBidi"/>
                <w:sz w:val="20"/>
                <w:szCs w:val="20"/>
              </w:rPr>
            </w:pPr>
          </w:p>
        </w:tc>
      </w:tr>
      <w:tr w:rsidR="009C111A" w:rsidRPr="009C111A" w14:paraId="7AE0254E" w14:textId="77777777" w:rsidTr="000B3923">
        <w:trPr>
          <w:trHeight w:val="285"/>
          <w:jc w:val="center"/>
        </w:trPr>
        <w:tc>
          <w:tcPr>
            <w:tcW w:w="0" w:type="auto"/>
            <w:noWrap/>
            <w:vAlign w:val="bottom"/>
            <w:hideMark/>
          </w:tcPr>
          <w:p w14:paraId="1E8E4410"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1984</w:t>
            </w:r>
          </w:p>
        </w:tc>
        <w:tc>
          <w:tcPr>
            <w:tcW w:w="0" w:type="auto"/>
            <w:noWrap/>
            <w:vAlign w:val="bottom"/>
            <w:hideMark/>
          </w:tcPr>
          <w:p w14:paraId="52D5D8C0"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80.59%</w:t>
            </w:r>
          </w:p>
        </w:tc>
        <w:tc>
          <w:tcPr>
            <w:tcW w:w="0" w:type="auto"/>
            <w:noWrap/>
            <w:vAlign w:val="bottom"/>
            <w:hideMark/>
          </w:tcPr>
          <w:p w14:paraId="70E92DC4"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3C8DA73F"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2155FD39" w14:textId="77777777" w:rsidR="009C111A" w:rsidRPr="009C111A" w:rsidRDefault="009C111A" w:rsidP="009C111A">
            <w:pPr>
              <w:bidi w:val="0"/>
              <w:rPr>
                <w:rFonts w:asciiTheme="majorBidi" w:hAnsiTheme="majorBidi" w:cstheme="majorBidi"/>
                <w:sz w:val="20"/>
                <w:szCs w:val="20"/>
              </w:rPr>
            </w:pPr>
          </w:p>
        </w:tc>
      </w:tr>
      <w:tr w:rsidR="009C111A" w:rsidRPr="009C111A" w14:paraId="1C921F58" w14:textId="77777777" w:rsidTr="000B3923">
        <w:trPr>
          <w:trHeight w:val="285"/>
          <w:jc w:val="center"/>
        </w:trPr>
        <w:tc>
          <w:tcPr>
            <w:tcW w:w="0" w:type="auto"/>
            <w:noWrap/>
            <w:vAlign w:val="bottom"/>
            <w:hideMark/>
          </w:tcPr>
          <w:p w14:paraId="04042AFC"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1985</w:t>
            </w:r>
          </w:p>
        </w:tc>
        <w:tc>
          <w:tcPr>
            <w:tcW w:w="0" w:type="auto"/>
            <w:noWrap/>
            <w:vAlign w:val="bottom"/>
            <w:hideMark/>
          </w:tcPr>
          <w:p w14:paraId="2EF1AC96"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77.17%</w:t>
            </w:r>
          </w:p>
        </w:tc>
        <w:tc>
          <w:tcPr>
            <w:tcW w:w="0" w:type="auto"/>
            <w:noWrap/>
            <w:vAlign w:val="bottom"/>
            <w:hideMark/>
          </w:tcPr>
          <w:p w14:paraId="0876C253"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4F0996BC"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3DE8870F" w14:textId="77777777" w:rsidR="009C111A" w:rsidRPr="009C111A" w:rsidRDefault="009C111A" w:rsidP="009C111A">
            <w:pPr>
              <w:bidi w:val="0"/>
              <w:rPr>
                <w:rFonts w:asciiTheme="majorBidi" w:hAnsiTheme="majorBidi" w:cstheme="majorBidi"/>
                <w:sz w:val="20"/>
                <w:szCs w:val="20"/>
              </w:rPr>
            </w:pPr>
          </w:p>
        </w:tc>
      </w:tr>
      <w:tr w:rsidR="009C111A" w:rsidRPr="009C111A" w14:paraId="4AAD2947" w14:textId="77777777" w:rsidTr="000B3923">
        <w:trPr>
          <w:trHeight w:val="285"/>
          <w:jc w:val="center"/>
        </w:trPr>
        <w:tc>
          <w:tcPr>
            <w:tcW w:w="0" w:type="auto"/>
            <w:noWrap/>
            <w:vAlign w:val="bottom"/>
            <w:hideMark/>
          </w:tcPr>
          <w:p w14:paraId="2CC94517"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1986</w:t>
            </w:r>
          </w:p>
        </w:tc>
        <w:tc>
          <w:tcPr>
            <w:tcW w:w="0" w:type="auto"/>
            <w:noWrap/>
            <w:vAlign w:val="bottom"/>
            <w:hideMark/>
          </w:tcPr>
          <w:p w14:paraId="406C6031"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79.02%</w:t>
            </w:r>
          </w:p>
        </w:tc>
        <w:tc>
          <w:tcPr>
            <w:tcW w:w="0" w:type="auto"/>
            <w:noWrap/>
            <w:vAlign w:val="bottom"/>
            <w:hideMark/>
          </w:tcPr>
          <w:p w14:paraId="18B313AA"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29062EC3"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6D3CA5AF" w14:textId="77777777" w:rsidR="009C111A" w:rsidRPr="009C111A" w:rsidRDefault="009C111A" w:rsidP="009C111A">
            <w:pPr>
              <w:bidi w:val="0"/>
              <w:rPr>
                <w:rFonts w:asciiTheme="majorBidi" w:hAnsiTheme="majorBidi" w:cstheme="majorBidi"/>
                <w:sz w:val="20"/>
                <w:szCs w:val="20"/>
              </w:rPr>
            </w:pPr>
          </w:p>
        </w:tc>
      </w:tr>
      <w:tr w:rsidR="009C111A" w:rsidRPr="009C111A" w14:paraId="2A68AD13" w14:textId="77777777" w:rsidTr="000B3923">
        <w:trPr>
          <w:trHeight w:val="285"/>
          <w:jc w:val="center"/>
        </w:trPr>
        <w:tc>
          <w:tcPr>
            <w:tcW w:w="0" w:type="auto"/>
            <w:noWrap/>
            <w:vAlign w:val="bottom"/>
            <w:hideMark/>
          </w:tcPr>
          <w:p w14:paraId="701568A0"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1987</w:t>
            </w:r>
          </w:p>
        </w:tc>
        <w:tc>
          <w:tcPr>
            <w:tcW w:w="0" w:type="auto"/>
            <w:noWrap/>
            <w:vAlign w:val="bottom"/>
            <w:hideMark/>
          </w:tcPr>
          <w:p w14:paraId="005BA82E"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80.93%</w:t>
            </w:r>
          </w:p>
        </w:tc>
        <w:tc>
          <w:tcPr>
            <w:tcW w:w="0" w:type="auto"/>
            <w:noWrap/>
            <w:vAlign w:val="bottom"/>
            <w:hideMark/>
          </w:tcPr>
          <w:p w14:paraId="574FAF79"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270B88BB"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008932A6" w14:textId="77777777" w:rsidR="009C111A" w:rsidRPr="009C111A" w:rsidRDefault="009C111A" w:rsidP="009C111A">
            <w:pPr>
              <w:bidi w:val="0"/>
              <w:rPr>
                <w:rFonts w:asciiTheme="majorBidi" w:hAnsiTheme="majorBidi" w:cstheme="majorBidi"/>
                <w:sz w:val="20"/>
                <w:szCs w:val="20"/>
              </w:rPr>
            </w:pPr>
          </w:p>
        </w:tc>
      </w:tr>
      <w:tr w:rsidR="009C111A" w:rsidRPr="009C111A" w14:paraId="5CAEC629" w14:textId="77777777" w:rsidTr="000B3923">
        <w:trPr>
          <w:trHeight w:val="285"/>
          <w:jc w:val="center"/>
        </w:trPr>
        <w:tc>
          <w:tcPr>
            <w:tcW w:w="0" w:type="auto"/>
            <w:noWrap/>
            <w:vAlign w:val="bottom"/>
            <w:hideMark/>
          </w:tcPr>
          <w:p w14:paraId="0CC4702C"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1988</w:t>
            </w:r>
          </w:p>
        </w:tc>
        <w:tc>
          <w:tcPr>
            <w:tcW w:w="0" w:type="auto"/>
            <w:noWrap/>
            <w:vAlign w:val="bottom"/>
            <w:hideMark/>
          </w:tcPr>
          <w:p w14:paraId="671004C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72.32%</w:t>
            </w:r>
          </w:p>
        </w:tc>
        <w:tc>
          <w:tcPr>
            <w:tcW w:w="0" w:type="auto"/>
            <w:noWrap/>
            <w:vAlign w:val="bottom"/>
            <w:hideMark/>
          </w:tcPr>
          <w:p w14:paraId="6C948F70"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1A4F99F3"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7AD1C63B" w14:textId="77777777" w:rsidR="009C111A" w:rsidRPr="009C111A" w:rsidRDefault="009C111A" w:rsidP="009C111A">
            <w:pPr>
              <w:bidi w:val="0"/>
              <w:rPr>
                <w:rFonts w:asciiTheme="majorBidi" w:hAnsiTheme="majorBidi" w:cstheme="majorBidi"/>
                <w:sz w:val="20"/>
                <w:szCs w:val="20"/>
              </w:rPr>
            </w:pPr>
          </w:p>
        </w:tc>
      </w:tr>
      <w:tr w:rsidR="009C111A" w:rsidRPr="009C111A" w14:paraId="39858C0F" w14:textId="77777777" w:rsidTr="000B3923">
        <w:trPr>
          <w:trHeight w:val="285"/>
          <w:jc w:val="center"/>
        </w:trPr>
        <w:tc>
          <w:tcPr>
            <w:tcW w:w="0" w:type="auto"/>
            <w:noWrap/>
            <w:vAlign w:val="bottom"/>
            <w:hideMark/>
          </w:tcPr>
          <w:p w14:paraId="37F4EF22"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1989</w:t>
            </w:r>
          </w:p>
        </w:tc>
        <w:tc>
          <w:tcPr>
            <w:tcW w:w="0" w:type="auto"/>
            <w:noWrap/>
            <w:vAlign w:val="bottom"/>
            <w:hideMark/>
          </w:tcPr>
          <w:p w14:paraId="4A86B5D4"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65.86%</w:t>
            </w:r>
          </w:p>
        </w:tc>
        <w:tc>
          <w:tcPr>
            <w:tcW w:w="0" w:type="auto"/>
            <w:noWrap/>
            <w:vAlign w:val="bottom"/>
            <w:hideMark/>
          </w:tcPr>
          <w:p w14:paraId="2CFA74FC"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1F66C1C3"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442423FD" w14:textId="77777777" w:rsidR="009C111A" w:rsidRPr="009C111A" w:rsidRDefault="009C111A" w:rsidP="009C111A">
            <w:pPr>
              <w:bidi w:val="0"/>
              <w:rPr>
                <w:rFonts w:asciiTheme="majorBidi" w:hAnsiTheme="majorBidi" w:cstheme="majorBidi"/>
                <w:sz w:val="20"/>
                <w:szCs w:val="20"/>
              </w:rPr>
            </w:pPr>
          </w:p>
        </w:tc>
      </w:tr>
      <w:tr w:rsidR="009C111A" w:rsidRPr="009C111A" w14:paraId="131168C1" w14:textId="77777777" w:rsidTr="000B3923">
        <w:trPr>
          <w:trHeight w:val="285"/>
          <w:jc w:val="center"/>
        </w:trPr>
        <w:tc>
          <w:tcPr>
            <w:tcW w:w="0" w:type="auto"/>
            <w:noWrap/>
            <w:vAlign w:val="bottom"/>
            <w:hideMark/>
          </w:tcPr>
          <w:p w14:paraId="535AEB8C"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1990</w:t>
            </w:r>
          </w:p>
        </w:tc>
        <w:tc>
          <w:tcPr>
            <w:tcW w:w="0" w:type="auto"/>
            <w:noWrap/>
            <w:vAlign w:val="bottom"/>
            <w:hideMark/>
          </w:tcPr>
          <w:p w14:paraId="620B3A5E"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72.66%</w:t>
            </w:r>
          </w:p>
        </w:tc>
        <w:tc>
          <w:tcPr>
            <w:tcW w:w="0" w:type="auto"/>
            <w:noWrap/>
            <w:vAlign w:val="bottom"/>
            <w:hideMark/>
          </w:tcPr>
          <w:p w14:paraId="63CB0030"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7DD31BAF"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26D9F825" w14:textId="77777777" w:rsidR="009C111A" w:rsidRPr="009C111A" w:rsidRDefault="009C111A" w:rsidP="009C111A">
            <w:pPr>
              <w:bidi w:val="0"/>
              <w:rPr>
                <w:rFonts w:asciiTheme="majorBidi" w:hAnsiTheme="majorBidi" w:cstheme="majorBidi"/>
                <w:sz w:val="20"/>
                <w:szCs w:val="20"/>
              </w:rPr>
            </w:pPr>
          </w:p>
        </w:tc>
      </w:tr>
      <w:tr w:rsidR="009C111A" w:rsidRPr="009C111A" w14:paraId="7887F9D3" w14:textId="77777777" w:rsidTr="000B3923">
        <w:trPr>
          <w:trHeight w:val="285"/>
          <w:jc w:val="center"/>
        </w:trPr>
        <w:tc>
          <w:tcPr>
            <w:tcW w:w="0" w:type="auto"/>
            <w:noWrap/>
            <w:vAlign w:val="bottom"/>
            <w:hideMark/>
          </w:tcPr>
          <w:p w14:paraId="1DEC6844"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1991</w:t>
            </w:r>
          </w:p>
        </w:tc>
        <w:tc>
          <w:tcPr>
            <w:tcW w:w="0" w:type="auto"/>
            <w:noWrap/>
            <w:vAlign w:val="bottom"/>
            <w:hideMark/>
          </w:tcPr>
          <w:p w14:paraId="1168BC5E"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67.60%</w:t>
            </w:r>
          </w:p>
        </w:tc>
        <w:tc>
          <w:tcPr>
            <w:tcW w:w="0" w:type="auto"/>
            <w:noWrap/>
            <w:vAlign w:val="bottom"/>
            <w:hideMark/>
          </w:tcPr>
          <w:p w14:paraId="7A0F1672"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2FDD0B60"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4E0A345F" w14:textId="77777777" w:rsidR="009C111A" w:rsidRPr="009C111A" w:rsidRDefault="009C111A" w:rsidP="009C111A">
            <w:pPr>
              <w:bidi w:val="0"/>
              <w:rPr>
                <w:rFonts w:asciiTheme="majorBidi" w:hAnsiTheme="majorBidi" w:cstheme="majorBidi"/>
                <w:sz w:val="20"/>
                <w:szCs w:val="20"/>
              </w:rPr>
            </w:pPr>
          </w:p>
        </w:tc>
      </w:tr>
      <w:tr w:rsidR="009C111A" w:rsidRPr="009C111A" w14:paraId="5E553152" w14:textId="77777777" w:rsidTr="000B3923">
        <w:trPr>
          <w:trHeight w:val="285"/>
          <w:jc w:val="center"/>
        </w:trPr>
        <w:tc>
          <w:tcPr>
            <w:tcW w:w="0" w:type="auto"/>
            <w:noWrap/>
            <w:vAlign w:val="bottom"/>
            <w:hideMark/>
          </w:tcPr>
          <w:p w14:paraId="13880147"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1992</w:t>
            </w:r>
          </w:p>
        </w:tc>
        <w:tc>
          <w:tcPr>
            <w:tcW w:w="0" w:type="auto"/>
            <w:noWrap/>
            <w:vAlign w:val="bottom"/>
            <w:hideMark/>
          </w:tcPr>
          <w:p w14:paraId="63A5AA60"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74.36%</w:t>
            </w:r>
          </w:p>
        </w:tc>
        <w:tc>
          <w:tcPr>
            <w:tcW w:w="0" w:type="auto"/>
            <w:noWrap/>
            <w:vAlign w:val="bottom"/>
            <w:hideMark/>
          </w:tcPr>
          <w:p w14:paraId="65861DCF"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65326E7B"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5AC54E2E" w14:textId="77777777" w:rsidR="009C111A" w:rsidRPr="009C111A" w:rsidRDefault="009C111A" w:rsidP="009C111A">
            <w:pPr>
              <w:bidi w:val="0"/>
              <w:rPr>
                <w:rFonts w:asciiTheme="majorBidi" w:hAnsiTheme="majorBidi" w:cstheme="majorBidi"/>
                <w:sz w:val="20"/>
                <w:szCs w:val="20"/>
              </w:rPr>
            </w:pPr>
          </w:p>
        </w:tc>
      </w:tr>
      <w:tr w:rsidR="009C111A" w:rsidRPr="009C111A" w14:paraId="2B35D554" w14:textId="77777777" w:rsidTr="000B3923">
        <w:trPr>
          <w:trHeight w:val="285"/>
          <w:jc w:val="center"/>
        </w:trPr>
        <w:tc>
          <w:tcPr>
            <w:tcW w:w="0" w:type="auto"/>
            <w:noWrap/>
            <w:vAlign w:val="bottom"/>
            <w:hideMark/>
          </w:tcPr>
          <w:p w14:paraId="0552053D"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1993</w:t>
            </w:r>
          </w:p>
        </w:tc>
        <w:tc>
          <w:tcPr>
            <w:tcW w:w="0" w:type="auto"/>
            <w:noWrap/>
            <w:vAlign w:val="bottom"/>
            <w:hideMark/>
          </w:tcPr>
          <w:p w14:paraId="369F9E9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66.15%</w:t>
            </w:r>
          </w:p>
        </w:tc>
        <w:tc>
          <w:tcPr>
            <w:tcW w:w="0" w:type="auto"/>
            <w:noWrap/>
            <w:vAlign w:val="bottom"/>
            <w:hideMark/>
          </w:tcPr>
          <w:p w14:paraId="24941838"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6071DE81"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0B71E39E" w14:textId="77777777" w:rsidR="009C111A" w:rsidRPr="009C111A" w:rsidRDefault="009C111A" w:rsidP="009C111A">
            <w:pPr>
              <w:bidi w:val="0"/>
              <w:rPr>
                <w:rFonts w:asciiTheme="majorBidi" w:hAnsiTheme="majorBidi" w:cstheme="majorBidi"/>
                <w:sz w:val="20"/>
                <w:szCs w:val="20"/>
              </w:rPr>
            </w:pPr>
          </w:p>
        </w:tc>
      </w:tr>
      <w:tr w:rsidR="009C111A" w:rsidRPr="009C111A" w14:paraId="721997DE" w14:textId="77777777" w:rsidTr="000B3923">
        <w:trPr>
          <w:trHeight w:val="285"/>
          <w:jc w:val="center"/>
        </w:trPr>
        <w:tc>
          <w:tcPr>
            <w:tcW w:w="0" w:type="auto"/>
            <w:noWrap/>
            <w:vAlign w:val="bottom"/>
            <w:hideMark/>
          </w:tcPr>
          <w:p w14:paraId="4B45C272"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1994</w:t>
            </w:r>
          </w:p>
        </w:tc>
        <w:tc>
          <w:tcPr>
            <w:tcW w:w="0" w:type="auto"/>
            <w:noWrap/>
            <w:vAlign w:val="bottom"/>
            <w:hideMark/>
          </w:tcPr>
          <w:p w14:paraId="4E415B77"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60.10%</w:t>
            </w:r>
          </w:p>
        </w:tc>
        <w:tc>
          <w:tcPr>
            <w:tcW w:w="0" w:type="auto"/>
            <w:noWrap/>
            <w:vAlign w:val="bottom"/>
            <w:hideMark/>
          </w:tcPr>
          <w:p w14:paraId="3C5ECC15"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1BC81208"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65686C8F" w14:textId="77777777" w:rsidR="009C111A" w:rsidRPr="009C111A" w:rsidRDefault="009C111A" w:rsidP="009C111A">
            <w:pPr>
              <w:bidi w:val="0"/>
              <w:rPr>
                <w:rFonts w:asciiTheme="majorBidi" w:hAnsiTheme="majorBidi" w:cstheme="majorBidi"/>
                <w:sz w:val="20"/>
                <w:szCs w:val="20"/>
              </w:rPr>
            </w:pPr>
          </w:p>
        </w:tc>
      </w:tr>
      <w:tr w:rsidR="009C111A" w:rsidRPr="009C111A" w14:paraId="3EDEB2E3" w14:textId="77777777" w:rsidTr="000B3923">
        <w:trPr>
          <w:trHeight w:val="285"/>
          <w:jc w:val="center"/>
        </w:trPr>
        <w:tc>
          <w:tcPr>
            <w:tcW w:w="0" w:type="auto"/>
            <w:noWrap/>
            <w:vAlign w:val="bottom"/>
            <w:hideMark/>
          </w:tcPr>
          <w:p w14:paraId="5AE40B65"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1995</w:t>
            </w:r>
          </w:p>
        </w:tc>
        <w:tc>
          <w:tcPr>
            <w:tcW w:w="0" w:type="auto"/>
            <w:noWrap/>
            <w:vAlign w:val="bottom"/>
            <w:hideMark/>
          </w:tcPr>
          <w:p w14:paraId="79960352"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58.24%</w:t>
            </w:r>
          </w:p>
        </w:tc>
        <w:tc>
          <w:tcPr>
            <w:tcW w:w="0" w:type="auto"/>
            <w:noWrap/>
            <w:vAlign w:val="bottom"/>
            <w:hideMark/>
          </w:tcPr>
          <w:p w14:paraId="0B0A54A2"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265D7770" w14:textId="77777777" w:rsidR="009C111A" w:rsidRPr="009C111A" w:rsidRDefault="009C111A" w:rsidP="009C111A">
            <w:pPr>
              <w:bidi w:val="0"/>
              <w:rPr>
                <w:rFonts w:asciiTheme="majorBidi" w:hAnsiTheme="majorBidi" w:cstheme="majorBidi"/>
                <w:sz w:val="20"/>
                <w:szCs w:val="20"/>
              </w:rPr>
            </w:pPr>
          </w:p>
        </w:tc>
        <w:tc>
          <w:tcPr>
            <w:tcW w:w="0" w:type="auto"/>
            <w:noWrap/>
            <w:vAlign w:val="bottom"/>
            <w:hideMark/>
          </w:tcPr>
          <w:p w14:paraId="6ABBBA15" w14:textId="77777777" w:rsidR="009C111A" w:rsidRPr="009C111A" w:rsidRDefault="009C111A" w:rsidP="009C111A">
            <w:pPr>
              <w:bidi w:val="0"/>
              <w:rPr>
                <w:rFonts w:asciiTheme="majorBidi" w:hAnsiTheme="majorBidi" w:cstheme="majorBidi"/>
                <w:sz w:val="20"/>
                <w:szCs w:val="20"/>
              </w:rPr>
            </w:pPr>
          </w:p>
        </w:tc>
      </w:tr>
      <w:tr w:rsidR="009C111A" w:rsidRPr="009C111A" w14:paraId="6306F7B5" w14:textId="77777777" w:rsidTr="000B3923">
        <w:trPr>
          <w:trHeight w:val="285"/>
          <w:jc w:val="center"/>
        </w:trPr>
        <w:tc>
          <w:tcPr>
            <w:tcW w:w="0" w:type="auto"/>
            <w:noWrap/>
            <w:vAlign w:val="bottom"/>
            <w:hideMark/>
          </w:tcPr>
          <w:p w14:paraId="00818097"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1996</w:t>
            </w:r>
          </w:p>
        </w:tc>
        <w:tc>
          <w:tcPr>
            <w:tcW w:w="0" w:type="auto"/>
            <w:noWrap/>
            <w:vAlign w:val="bottom"/>
            <w:hideMark/>
          </w:tcPr>
          <w:p w14:paraId="032ED755"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52.56%</w:t>
            </w:r>
          </w:p>
        </w:tc>
        <w:tc>
          <w:tcPr>
            <w:tcW w:w="0" w:type="auto"/>
            <w:noWrap/>
            <w:vAlign w:val="bottom"/>
            <w:hideMark/>
          </w:tcPr>
          <w:p w14:paraId="37078D61"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57%</w:t>
            </w:r>
          </w:p>
        </w:tc>
        <w:tc>
          <w:tcPr>
            <w:tcW w:w="0" w:type="auto"/>
            <w:noWrap/>
            <w:vAlign w:val="bottom"/>
            <w:hideMark/>
          </w:tcPr>
          <w:p w14:paraId="37C79BBD"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7FAE768D" w14:textId="77777777" w:rsidR="009C111A" w:rsidRPr="009C111A" w:rsidRDefault="009C111A" w:rsidP="009C111A">
            <w:pPr>
              <w:bidi w:val="0"/>
              <w:rPr>
                <w:rFonts w:asciiTheme="majorBidi" w:hAnsiTheme="majorBidi" w:cstheme="majorBidi"/>
                <w:sz w:val="20"/>
                <w:szCs w:val="20"/>
              </w:rPr>
            </w:pPr>
          </w:p>
        </w:tc>
      </w:tr>
      <w:tr w:rsidR="009C111A" w:rsidRPr="009C111A" w14:paraId="11523A0F" w14:textId="77777777" w:rsidTr="000B3923">
        <w:trPr>
          <w:trHeight w:val="285"/>
          <w:jc w:val="center"/>
        </w:trPr>
        <w:tc>
          <w:tcPr>
            <w:tcW w:w="0" w:type="auto"/>
            <w:noWrap/>
            <w:vAlign w:val="bottom"/>
            <w:hideMark/>
          </w:tcPr>
          <w:p w14:paraId="1D59B798"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1997</w:t>
            </w:r>
          </w:p>
        </w:tc>
        <w:tc>
          <w:tcPr>
            <w:tcW w:w="0" w:type="auto"/>
            <w:noWrap/>
            <w:vAlign w:val="bottom"/>
            <w:hideMark/>
          </w:tcPr>
          <w:p w14:paraId="15E4F7B8"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55.06%</w:t>
            </w:r>
          </w:p>
        </w:tc>
        <w:tc>
          <w:tcPr>
            <w:tcW w:w="0" w:type="auto"/>
            <w:noWrap/>
            <w:vAlign w:val="bottom"/>
            <w:hideMark/>
          </w:tcPr>
          <w:p w14:paraId="0C001BD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61%</w:t>
            </w:r>
          </w:p>
        </w:tc>
        <w:tc>
          <w:tcPr>
            <w:tcW w:w="0" w:type="auto"/>
            <w:noWrap/>
            <w:vAlign w:val="bottom"/>
            <w:hideMark/>
          </w:tcPr>
          <w:p w14:paraId="7B390AAD"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565B8D8D" w14:textId="77777777" w:rsidR="009C111A" w:rsidRPr="009C111A" w:rsidRDefault="009C111A" w:rsidP="009C111A">
            <w:pPr>
              <w:bidi w:val="0"/>
              <w:rPr>
                <w:rFonts w:asciiTheme="majorBidi" w:hAnsiTheme="majorBidi" w:cstheme="majorBidi"/>
                <w:sz w:val="20"/>
                <w:szCs w:val="20"/>
              </w:rPr>
            </w:pPr>
          </w:p>
        </w:tc>
      </w:tr>
      <w:tr w:rsidR="009C111A" w:rsidRPr="009C111A" w14:paraId="69F32A50" w14:textId="77777777" w:rsidTr="000B3923">
        <w:trPr>
          <w:trHeight w:val="285"/>
          <w:jc w:val="center"/>
        </w:trPr>
        <w:tc>
          <w:tcPr>
            <w:tcW w:w="0" w:type="auto"/>
            <w:noWrap/>
            <w:vAlign w:val="bottom"/>
            <w:hideMark/>
          </w:tcPr>
          <w:p w14:paraId="1A8A1124"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1998</w:t>
            </w:r>
          </w:p>
        </w:tc>
        <w:tc>
          <w:tcPr>
            <w:tcW w:w="0" w:type="auto"/>
            <w:noWrap/>
            <w:vAlign w:val="bottom"/>
            <w:hideMark/>
          </w:tcPr>
          <w:p w14:paraId="3DC054B1"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61.65%</w:t>
            </w:r>
          </w:p>
        </w:tc>
        <w:tc>
          <w:tcPr>
            <w:tcW w:w="0" w:type="auto"/>
            <w:noWrap/>
            <w:vAlign w:val="bottom"/>
            <w:hideMark/>
          </w:tcPr>
          <w:p w14:paraId="167DD023"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69%</w:t>
            </w:r>
          </w:p>
        </w:tc>
        <w:tc>
          <w:tcPr>
            <w:tcW w:w="0" w:type="auto"/>
            <w:noWrap/>
            <w:vAlign w:val="bottom"/>
            <w:hideMark/>
          </w:tcPr>
          <w:p w14:paraId="73A68D47"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5786D055" w14:textId="77777777" w:rsidR="009C111A" w:rsidRPr="009C111A" w:rsidRDefault="009C111A" w:rsidP="009C111A">
            <w:pPr>
              <w:bidi w:val="0"/>
              <w:rPr>
                <w:rFonts w:asciiTheme="majorBidi" w:hAnsiTheme="majorBidi" w:cstheme="majorBidi"/>
                <w:sz w:val="20"/>
                <w:szCs w:val="20"/>
              </w:rPr>
            </w:pPr>
          </w:p>
        </w:tc>
      </w:tr>
      <w:tr w:rsidR="009C111A" w:rsidRPr="009C111A" w14:paraId="658357A0" w14:textId="77777777" w:rsidTr="000B3923">
        <w:trPr>
          <w:trHeight w:val="285"/>
          <w:jc w:val="center"/>
        </w:trPr>
        <w:tc>
          <w:tcPr>
            <w:tcW w:w="0" w:type="auto"/>
            <w:noWrap/>
            <w:vAlign w:val="bottom"/>
            <w:hideMark/>
          </w:tcPr>
          <w:p w14:paraId="30AB2C4F"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1999</w:t>
            </w:r>
          </w:p>
        </w:tc>
        <w:tc>
          <w:tcPr>
            <w:tcW w:w="0" w:type="auto"/>
            <w:noWrap/>
            <w:vAlign w:val="bottom"/>
            <w:hideMark/>
          </w:tcPr>
          <w:p w14:paraId="31CFA618"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57.80%</w:t>
            </w:r>
          </w:p>
        </w:tc>
        <w:tc>
          <w:tcPr>
            <w:tcW w:w="0" w:type="auto"/>
            <w:noWrap/>
            <w:vAlign w:val="bottom"/>
            <w:hideMark/>
          </w:tcPr>
          <w:p w14:paraId="0623C6EE"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72%</w:t>
            </w:r>
          </w:p>
        </w:tc>
        <w:tc>
          <w:tcPr>
            <w:tcW w:w="0" w:type="auto"/>
            <w:noWrap/>
            <w:vAlign w:val="bottom"/>
            <w:hideMark/>
          </w:tcPr>
          <w:p w14:paraId="259354A1" w14:textId="77777777" w:rsidR="009C111A" w:rsidRPr="009C111A" w:rsidRDefault="009C111A" w:rsidP="009C111A">
            <w:pPr>
              <w:bidi w:val="0"/>
              <w:jc w:val="right"/>
              <w:rPr>
                <w:rFonts w:asciiTheme="majorBidi" w:hAnsiTheme="majorBidi" w:cstheme="majorBidi"/>
                <w:color w:val="000000"/>
                <w:sz w:val="20"/>
                <w:szCs w:val="20"/>
              </w:rPr>
            </w:pPr>
          </w:p>
        </w:tc>
        <w:tc>
          <w:tcPr>
            <w:tcW w:w="0" w:type="auto"/>
            <w:noWrap/>
            <w:vAlign w:val="bottom"/>
            <w:hideMark/>
          </w:tcPr>
          <w:p w14:paraId="202278DC" w14:textId="77777777" w:rsidR="009C111A" w:rsidRPr="009C111A" w:rsidRDefault="009C111A" w:rsidP="009C111A">
            <w:pPr>
              <w:bidi w:val="0"/>
              <w:rPr>
                <w:rFonts w:asciiTheme="majorBidi" w:hAnsiTheme="majorBidi" w:cstheme="majorBidi"/>
                <w:sz w:val="20"/>
                <w:szCs w:val="20"/>
              </w:rPr>
            </w:pPr>
          </w:p>
        </w:tc>
      </w:tr>
      <w:tr w:rsidR="009C111A" w:rsidRPr="009C111A" w14:paraId="5B947730" w14:textId="77777777" w:rsidTr="000B3923">
        <w:trPr>
          <w:trHeight w:val="285"/>
          <w:jc w:val="center"/>
        </w:trPr>
        <w:tc>
          <w:tcPr>
            <w:tcW w:w="0" w:type="auto"/>
            <w:noWrap/>
            <w:vAlign w:val="bottom"/>
            <w:hideMark/>
          </w:tcPr>
          <w:p w14:paraId="7AC58ECE"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2000</w:t>
            </w:r>
          </w:p>
        </w:tc>
        <w:tc>
          <w:tcPr>
            <w:tcW w:w="0" w:type="auto"/>
            <w:noWrap/>
            <w:vAlign w:val="bottom"/>
            <w:hideMark/>
          </w:tcPr>
          <w:p w14:paraId="08047471"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49.42%</w:t>
            </w:r>
          </w:p>
        </w:tc>
        <w:tc>
          <w:tcPr>
            <w:tcW w:w="0" w:type="auto"/>
            <w:noWrap/>
            <w:vAlign w:val="bottom"/>
            <w:hideMark/>
          </w:tcPr>
          <w:p w14:paraId="2DF3D36A"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61%</w:t>
            </w:r>
          </w:p>
        </w:tc>
        <w:tc>
          <w:tcPr>
            <w:tcW w:w="0" w:type="auto"/>
            <w:noWrap/>
            <w:vAlign w:val="bottom"/>
            <w:hideMark/>
          </w:tcPr>
          <w:p w14:paraId="7E026478"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47.49%</w:t>
            </w:r>
          </w:p>
        </w:tc>
        <w:tc>
          <w:tcPr>
            <w:tcW w:w="0" w:type="auto"/>
            <w:noWrap/>
            <w:vAlign w:val="bottom"/>
            <w:hideMark/>
          </w:tcPr>
          <w:p w14:paraId="3CD53D11" w14:textId="77777777" w:rsidR="009C111A" w:rsidRPr="009C111A" w:rsidRDefault="009C111A" w:rsidP="009C111A">
            <w:pPr>
              <w:bidi w:val="0"/>
              <w:jc w:val="right"/>
              <w:rPr>
                <w:rFonts w:asciiTheme="majorBidi" w:hAnsiTheme="majorBidi" w:cstheme="majorBidi"/>
                <w:color w:val="000000"/>
                <w:sz w:val="20"/>
                <w:szCs w:val="20"/>
              </w:rPr>
            </w:pPr>
          </w:p>
        </w:tc>
      </w:tr>
      <w:tr w:rsidR="009C111A" w:rsidRPr="009C111A" w14:paraId="6AD58E84" w14:textId="77777777" w:rsidTr="000B3923">
        <w:trPr>
          <w:trHeight w:val="285"/>
          <w:jc w:val="center"/>
        </w:trPr>
        <w:tc>
          <w:tcPr>
            <w:tcW w:w="0" w:type="auto"/>
            <w:noWrap/>
            <w:vAlign w:val="bottom"/>
            <w:hideMark/>
          </w:tcPr>
          <w:p w14:paraId="69AD4740"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2001</w:t>
            </w:r>
          </w:p>
        </w:tc>
        <w:tc>
          <w:tcPr>
            <w:tcW w:w="0" w:type="auto"/>
            <w:noWrap/>
            <w:vAlign w:val="bottom"/>
            <w:hideMark/>
          </w:tcPr>
          <w:p w14:paraId="379341C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38.12%</w:t>
            </w:r>
          </w:p>
        </w:tc>
        <w:tc>
          <w:tcPr>
            <w:tcW w:w="0" w:type="auto"/>
            <w:noWrap/>
            <w:vAlign w:val="bottom"/>
            <w:hideMark/>
          </w:tcPr>
          <w:p w14:paraId="274F8633"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39%</w:t>
            </w:r>
          </w:p>
        </w:tc>
        <w:tc>
          <w:tcPr>
            <w:tcW w:w="0" w:type="auto"/>
            <w:noWrap/>
            <w:vAlign w:val="bottom"/>
            <w:hideMark/>
          </w:tcPr>
          <w:p w14:paraId="30DC25A0"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33.73%</w:t>
            </w:r>
          </w:p>
        </w:tc>
        <w:tc>
          <w:tcPr>
            <w:tcW w:w="0" w:type="auto"/>
            <w:noWrap/>
            <w:vAlign w:val="bottom"/>
            <w:hideMark/>
          </w:tcPr>
          <w:p w14:paraId="089C2F77" w14:textId="77777777" w:rsidR="009C111A" w:rsidRPr="009C111A" w:rsidRDefault="009C111A" w:rsidP="009C111A">
            <w:pPr>
              <w:bidi w:val="0"/>
              <w:jc w:val="right"/>
              <w:rPr>
                <w:rFonts w:asciiTheme="majorBidi" w:hAnsiTheme="majorBidi" w:cstheme="majorBidi"/>
                <w:color w:val="000000"/>
                <w:sz w:val="20"/>
                <w:szCs w:val="20"/>
              </w:rPr>
            </w:pPr>
          </w:p>
        </w:tc>
      </w:tr>
      <w:tr w:rsidR="009C111A" w:rsidRPr="009C111A" w14:paraId="3938E07A" w14:textId="77777777" w:rsidTr="000B3923">
        <w:trPr>
          <w:trHeight w:val="285"/>
          <w:jc w:val="center"/>
        </w:trPr>
        <w:tc>
          <w:tcPr>
            <w:tcW w:w="0" w:type="auto"/>
            <w:noWrap/>
            <w:vAlign w:val="bottom"/>
            <w:hideMark/>
          </w:tcPr>
          <w:p w14:paraId="1DC95731"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2002</w:t>
            </w:r>
          </w:p>
        </w:tc>
        <w:tc>
          <w:tcPr>
            <w:tcW w:w="0" w:type="auto"/>
            <w:noWrap/>
            <w:vAlign w:val="bottom"/>
            <w:hideMark/>
          </w:tcPr>
          <w:p w14:paraId="5022A261"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33.09%</w:t>
            </w:r>
          </w:p>
        </w:tc>
        <w:tc>
          <w:tcPr>
            <w:tcW w:w="0" w:type="auto"/>
            <w:noWrap/>
            <w:vAlign w:val="bottom"/>
            <w:hideMark/>
          </w:tcPr>
          <w:p w14:paraId="5BBC4A30"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34%</w:t>
            </w:r>
          </w:p>
        </w:tc>
        <w:tc>
          <w:tcPr>
            <w:tcW w:w="0" w:type="auto"/>
            <w:noWrap/>
            <w:vAlign w:val="bottom"/>
            <w:hideMark/>
          </w:tcPr>
          <w:p w14:paraId="6177034E"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28.10%</w:t>
            </w:r>
          </w:p>
        </w:tc>
        <w:tc>
          <w:tcPr>
            <w:tcW w:w="0" w:type="auto"/>
            <w:noWrap/>
            <w:vAlign w:val="bottom"/>
            <w:hideMark/>
          </w:tcPr>
          <w:p w14:paraId="2DC6A872" w14:textId="77777777" w:rsidR="009C111A" w:rsidRPr="009C111A" w:rsidRDefault="009C111A" w:rsidP="009C111A">
            <w:pPr>
              <w:bidi w:val="0"/>
              <w:jc w:val="right"/>
              <w:rPr>
                <w:rFonts w:asciiTheme="majorBidi" w:hAnsiTheme="majorBidi" w:cstheme="majorBidi"/>
                <w:color w:val="000000"/>
                <w:sz w:val="20"/>
                <w:szCs w:val="20"/>
              </w:rPr>
            </w:pPr>
          </w:p>
        </w:tc>
      </w:tr>
      <w:tr w:rsidR="009C111A" w:rsidRPr="009C111A" w14:paraId="2368CEA4" w14:textId="77777777" w:rsidTr="000B3923">
        <w:trPr>
          <w:trHeight w:val="285"/>
          <w:jc w:val="center"/>
        </w:trPr>
        <w:tc>
          <w:tcPr>
            <w:tcW w:w="0" w:type="auto"/>
            <w:noWrap/>
            <w:vAlign w:val="bottom"/>
            <w:hideMark/>
          </w:tcPr>
          <w:p w14:paraId="5608719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2003</w:t>
            </w:r>
          </w:p>
        </w:tc>
        <w:tc>
          <w:tcPr>
            <w:tcW w:w="0" w:type="auto"/>
            <w:noWrap/>
            <w:vAlign w:val="bottom"/>
            <w:hideMark/>
          </w:tcPr>
          <w:p w14:paraId="1CFAED26"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35.72%</w:t>
            </w:r>
          </w:p>
        </w:tc>
        <w:tc>
          <w:tcPr>
            <w:tcW w:w="0" w:type="auto"/>
            <w:noWrap/>
            <w:vAlign w:val="bottom"/>
            <w:hideMark/>
          </w:tcPr>
          <w:p w14:paraId="61689A3A"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43%</w:t>
            </w:r>
          </w:p>
        </w:tc>
        <w:tc>
          <w:tcPr>
            <w:tcW w:w="0" w:type="auto"/>
            <w:noWrap/>
            <w:vAlign w:val="bottom"/>
            <w:hideMark/>
          </w:tcPr>
          <w:p w14:paraId="04F19198"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33.86%</w:t>
            </w:r>
          </w:p>
        </w:tc>
        <w:tc>
          <w:tcPr>
            <w:tcW w:w="0" w:type="auto"/>
            <w:noWrap/>
            <w:vAlign w:val="bottom"/>
            <w:hideMark/>
          </w:tcPr>
          <w:p w14:paraId="426B249F" w14:textId="77777777" w:rsidR="009C111A" w:rsidRPr="009C111A" w:rsidRDefault="009C111A" w:rsidP="009C111A">
            <w:pPr>
              <w:bidi w:val="0"/>
              <w:jc w:val="right"/>
              <w:rPr>
                <w:rFonts w:asciiTheme="majorBidi" w:hAnsiTheme="majorBidi" w:cstheme="majorBidi"/>
                <w:color w:val="000000"/>
                <w:sz w:val="20"/>
                <w:szCs w:val="20"/>
              </w:rPr>
            </w:pPr>
          </w:p>
        </w:tc>
      </w:tr>
      <w:tr w:rsidR="009C111A" w:rsidRPr="009C111A" w14:paraId="3377AB29" w14:textId="77777777" w:rsidTr="000B3923">
        <w:trPr>
          <w:trHeight w:val="285"/>
          <w:jc w:val="center"/>
        </w:trPr>
        <w:tc>
          <w:tcPr>
            <w:tcW w:w="0" w:type="auto"/>
            <w:noWrap/>
            <w:vAlign w:val="bottom"/>
            <w:hideMark/>
          </w:tcPr>
          <w:p w14:paraId="06CC2C1E"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2004</w:t>
            </w:r>
          </w:p>
        </w:tc>
        <w:tc>
          <w:tcPr>
            <w:tcW w:w="0" w:type="auto"/>
            <w:noWrap/>
            <w:vAlign w:val="bottom"/>
            <w:hideMark/>
          </w:tcPr>
          <w:p w14:paraId="61C539C3"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39.81%</w:t>
            </w:r>
          </w:p>
        </w:tc>
        <w:tc>
          <w:tcPr>
            <w:tcW w:w="0" w:type="auto"/>
            <w:noWrap/>
            <w:vAlign w:val="bottom"/>
            <w:hideMark/>
          </w:tcPr>
          <w:p w14:paraId="6645D6E3"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49%</w:t>
            </w:r>
          </w:p>
        </w:tc>
        <w:tc>
          <w:tcPr>
            <w:tcW w:w="0" w:type="auto"/>
            <w:noWrap/>
            <w:vAlign w:val="bottom"/>
            <w:hideMark/>
          </w:tcPr>
          <w:p w14:paraId="2051B5A2"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39.66%</w:t>
            </w:r>
          </w:p>
        </w:tc>
        <w:tc>
          <w:tcPr>
            <w:tcW w:w="0" w:type="auto"/>
            <w:noWrap/>
            <w:vAlign w:val="bottom"/>
            <w:hideMark/>
          </w:tcPr>
          <w:p w14:paraId="79B1C24B" w14:textId="77777777" w:rsidR="009C111A" w:rsidRPr="009C111A" w:rsidRDefault="009C111A" w:rsidP="009C111A">
            <w:pPr>
              <w:bidi w:val="0"/>
              <w:jc w:val="right"/>
              <w:rPr>
                <w:rFonts w:asciiTheme="majorBidi" w:hAnsiTheme="majorBidi" w:cstheme="majorBidi"/>
                <w:color w:val="000000"/>
                <w:sz w:val="20"/>
                <w:szCs w:val="20"/>
              </w:rPr>
            </w:pPr>
          </w:p>
        </w:tc>
      </w:tr>
      <w:tr w:rsidR="009C111A" w:rsidRPr="009C111A" w14:paraId="596B8C0D" w14:textId="77777777" w:rsidTr="000B3923">
        <w:trPr>
          <w:trHeight w:val="285"/>
          <w:jc w:val="center"/>
        </w:trPr>
        <w:tc>
          <w:tcPr>
            <w:tcW w:w="0" w:type="auto"/>
            <w:noWrap/>
            <w:vAlign w:val="bottom"/>
            <w:hideMark/>
          </w:tcPr>
          <w:p w14:paraId="10EE1DBD"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2005</w:t>
            </w:r>
          </w:p>
        </w:tc>
        <w:tc>
          <w:tcPr>
            <w:tcW w:w="0" w:type="auto"/>
            <w:noWrap/>
            <w:vAlign w:val="bottom"/>
            <w:hideMark/>
          </w:tcPr>
          <w:p w14:paraId="19F786F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40.77%</w:t>
            </w:r>
          </w:p>
        </w:tc>
        <w:tc>
          <w:tcPr>
            <w:tcW w:w="0" w:type="auto"/>
            <w:noWrap/>
            <w:vAlign w:val="bottom"/>
            <w:hideMark/>
          </w:tcPr>
          <w:p w14:paraId="4801B17C"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42%</w:t>
            </w:r>
          </w:p>
        </w:tc>
        <w:tc>
          <w:tcPr>
            <w:tcW w:w="0" w:type="auto"/>
            <w:noWrap/>
            <w:vAlign w:val="bottom"/>
            <w:hideMark/>
          </w:tcPr>
          <w:p w14:paraId="0402B047"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42.30%</w:t>
            </w:r>
          </w:p>
        </w:tc>
        <w:tc>
          <w:tcPr>
            <w:tcW w:w="0" w:type="auto"/>
            <w:noWrap/>
            <w:vAlign w:val="bottom"/>
            <w:hideMark/>
          </w:tcPr>
          <w:p w14:paraId="7631392E" w14:textId="77777777" w:rsidR="009C111A" w:rsidRPr="009C111A" w:rsidRDefault="009C111A" w:rsidP="009C111A">
            <w:pPr>
              <w:bidi w:val="0"/>
              <w:jc w:val="right"/>
              <w:rPr>
                <w:rFonts w:asciiTheme="majorBidi" w:hAnsiTheme="majorBidi" w:cstheme="majorBidi"/>
                <w:color w:val="000000"/>
                <w:sz w:val="20"/>
                <w:szCs w:val="20"/>
              </w:rPr>
            </w:pPr>
          </w:p>
        </w:tc>
      </w:tr>
      <w:tr w:rsidR="009C111A" w:rsidRPr="009C111A" w14:paraId="61C2D955" w14:textId="77777777" w:rsidTr="000B3923">
        <w:trPr>
          <w:trHeight w:val="285"/>
          <w:jc w:val="center"/>
        </w:trPr>
        <w:tc>
          <w:tcPr>
            <w:tcW w:w="0" w:type="auto"/>
            <w:noWrap/>
            <w:vAlign w:val="bottom"/>
            <w:hideMark/>
          </w:tcPr>
          <w:p w14:paraId="0DE8AFC2"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2006</w:t>
            </w:r>
          </w:p>
        </w:tc>
        <w:tc>
          <w:tcPr>
            <w:tcW w:w="0" w:type="auto"/>
            <w:noWrap/>
            <w:vAlign w:val="bottom"/>
            <w:hideMark/>
          </w:tcPr>
          <w:p w14:paraId="32AB6192"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40.51%</w:t>
            </w:r>
          </w:p>
        </w:tc>
        <w:tc>
          <w:tcPr>
            <w:tcW w:w="0" w:type="auto"/>
            <w:noWrap/>
            <w:vAlign w:val="bottom"/>
            <w:hideMark/>
          </w:tcPr>
          <w:p w14:paraId="73CAEB70"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42%</w:t>
            </w:r>
          </w:p>
        </w:tc>
        <w:tc>
          <w:tcPr>
            <w:tcW w:w="0" w:type="auto"/>
            <w:noWrap/>
            <w:vAlign w:val="bottom"/>
            <w:hideMark/>
          </w:tcPr>
          <w:p w14:paraId="4AB719E1"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40.64%</w:t>
            </w:r>
          </w:p>
        </w:tc>
        <w:tc>
          <w:tcPr>
            <w:tcW w:w="0" w:type="auto"/>
            <w:noWrap/>
            <w:vAlign w:val="bottom"/>
            <w:hideMark/>
          </w:tcPr>
          <w:p w14:paraId="6D689FAE" w14:textId="77777777" w:rsidR="009C111A" w:rsidRPr="009C111A" w:rsidRDefault="009C111A" w:rsidP="009C111A">
            <w:pPr>
              <w:bidi w:val="0"/>
              <w:jc w:val="right"/>
              <w:rPr>
                <w:rFonts w:asciiTheme="majorBidi" w:hAnsiTheme="majorBidi" w:cstheme="majorBidi"/>
                <w:color w:val="000000"/>
                <w:sz w:val="20"/>
                <w:szCs w:val="20"/>
              </w:rPr>
            </w:pPr>
          </w:p>
        </w:tc>
      </w:tr>
      <w:tr w:rsidR="009C111A" w:rsidRPr="009C111A" w14:paraId="3417E46F" w14:textId="77777777" w:rsidTr="000B3923">
        <w:trPr>
          <w:trHeight w:val="285"/>
          <w:jc w:val="center"/>
        </w:trPr>
        <w:tc>
          <w:tcPr>
            <w:tcW w:w="0" w:type="auto"/>
            <w:noWrap/>
            <w:vAlign w:val="bottom"/>
            <w:hideMark/>
          </w:tcPr>
          <w:p w14:paraId="0B188D4A"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2007</w:t>
            </w:r>
          </w:p>
        </w:tc>
        <w:tc>
          <w:tcPr>
            <w:tcW w:w="0" w:type="auto"/>
            <w:noWrap/>
            <w:vAlign w:val="bottom"/>
            <w:hideMark/>
          </w:tcPr>
          <w:p w14:paraId="47F10994"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40.74%</w:t>
            </w:r>
          </w:p>
        </w:tc>
        <w:tc>
          <w:tcPr>
            <w:tcW w:w="0" w:type="auto"/>
            <w:noWrap/>
            <w:vAlign w:val="bottom"/>
            <w:hideMark/>
          </w:tcPr>
          <w:p w14:paraId="0509475D"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44%</w:t>
            </w:r>
          </w:p>
        </w:tc>
        <w:tc>
          <w:tcPr>
            <w:tcW w:w="0" w:type="auto"/>
            <w:noWrap/>
            <w:vAlign w:val="bottom"/>
            <w:hideMark/>
          </w:tcPr>
          <w:p w14:paraId="50037108"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40.34%</w:t>
            </w:r>
          </w:p>
        </w:tc>
        <w:tc>
          <w:tcPr>
            <w:tcW w:w="0" w:type="auto"/>
            <w:noWrap/>
            <w:vAlign w:val="bottom"/>
            <w:hideMark/>
          </w:tcPr>
          <w:p w14:paraId="2F142D3A" w14:textId="77777777" w:rsidR="009C111A" w:rsidRPr="009C111A" w:rsidRDefault="009C111A" w:rsidP="009C111A">
            <w:pPr>
              <w:bidi w:val="0"/>
              <w:jc w:val="right"/>
              <w:rPr>
                <w:rFonts w:asciiTheme="majorBidi" w:hAnsiTheme="majorBidi" w:cstheme="majorBidi"/>
                <w:color w:val="000000"/>
                <w:sz w:val="20"/>
                <w:szCs w:val="20"/>
              </w:rPr>
            </w:pPr>
          </w:p>
        </w:tc>
      </w:tr>
      <w:tr w:rsidR="009C111A" w:rsidRPr="009C111A" w14:paraId="0B3A44FA" w14:textId="77777777" w:rsidTr="000B3923">
        <w:trPr>
          <w:trHeight w:val="285"/>
          <w:jc w:val="center"/>
        </w:trPr>
        <w:tc>
          <w:tcPr>
            <w:tcW w:w="0" w:type="auto"/>
            <w:noWrap/>
            <w:vAlign w:val="bottom"/>
            <w:hideMark/>
          </w:tcPr>
          <w:p w14:paraId="13A3526A"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2008</w:t>
            </w:r>
          </w:p>
        </w:tc>
        <w:tc>
          <w:tcPr>
            <w:tcW w:w="0" w:type="auto"/>
            <w:noWrap/>
            <w:vAlign w:val="bottom"/>
            <w:hideMark/>
          </w:tcPr>
          <w:p w14:paraId="7B9D690C"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45.41%</w:t>
            </w:r>
          </w:p>
        </w:tc>
        <w:tc>
          <w:tcPr>
            <w:tcW w:w="0" w:type="auto"/>
            <w:noWrap/>
            <w:vAlign w:val="bottom"/>
            <w:hideMark/>
          </w:tcPr>
          <w:p w14:paraId="60D3E892"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41%</w:t>
            </w:r>
          </w:p>
        </w:tc>
        <w:tc>
          <w:tcPr>
            <w:tcW w:w="0" w:type="auto"/>
            <w:noWrap/>
            <w:vAlign w:val="bottom"/>
            <w:hideMark/>
          </w:tcPr>
          <w:p w14:paraId="3C8E0294"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44.96%</w:t>
            </w:r>
          </w:p>
        </w:tc>
        <w:tc>
          <w:tcPr>
            <w:tcW w:w="0" w:type="auto"/>
            <w:noWrap/>
            <w:vAlign w:val="bottom"/>
            <w:hideMark/>
          </w:tcPr>
          <w:p w14:paraId="2F05C3EE" w14:textId="77777777" w:rsidR="009C111A" w:rsidRPr="009C111A" w:rsidRDefault="009C111A" w:rsidP="009C111A">
            <w:pPr>
              <w:bidi w:val="0"/>
              <w:jc w:val="right"/>
              <w:rPr>
                <w:rFonts w:asciiTheme="majorBidi" w:hAnsiTheme="majorBidi" w:cstheme="majorBidi"/>
                <w:color w:val="000000"/>
                <w:sz w:val="20"/>
                <w:szCs w:val="20"/>
              </w:rPr>
            </w:pPr>
          </w:p>
        </w:tc>
      </w:tr>
      <w:tr w:rsidR="009C111A" w:rsidRPr="009C111A" w14:paraId="101AA885" w14:textId="77777777" w:rsidTr="000B3923">
        <w:trPr>
          <w:trHeight w:val="285"/>
          <w:jc w:val="center"/>
        </w:trPr>
        <w:tc>
          <w:tcPr>
            <w:tcW w:w="0" w:type="auto"/>
            <w:noWrap/>
            <w:vAlign w:val="bottom"/>
            <w:hideMark/>
          </w:tcPr>
          <w:p w14:paraId="5574D12F"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2009</w:t>
            </w:r>
          </w:p>
        </w:tc>
        <w:tc>
          <w:tcPr>
            <w:tcW w:w="0" w:type="auto"/>
            <w:noWrap/>
            <w:vAlign w:val="bottom"/>
            <w:hideMark/>
          </w:tcPr>
          <w:p w14:paraId="7D89D1E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43.45%</w:t>
            </w:r>
          </w:p>
        </w:tc>
        <w:tc>
          <w:tcPr>
            <w:tcW w:w="0" w:type="auto"/>
            <w:noWrap/>
            <w:vAlign w:val="bottom"/>
            <w:hideMark/>
          </w:tcPr>
          <w:p w14:paraId="2B46CFAE"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45%</w:t>
            </w:r>
          </w:p>
        </w:tc>
        <w:tc>
          <w:tcPr>
            <w:tcW w:w="0" w:type="auto"/>
            <w:noWrap/>
            <w:vAlign w:val="bottom"/>
            <w:hideMark/>
          </w:tcPr>
          <w:p w14:paraId="569A1FC0"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47.19%</w:t>
            </w:r>
          </w:p>
        </w:tc>
        <w:tc>
          <w:tcPr>
            <w:tcW w:w="0" w:type="auto"/>
            <w:noWrap/>
            <w:vAlign w:val="bottom"/>
            <w:hideMark/>
          </w:tcPr>
          <w:p w14:paraId="71C0E4E9" w14:textId="77777777" w:rsidR="009C111A" w:rsidRPr="009C111A" w:rsidRDefault="009C111A" w:rsidP="009C111A">
            <w:pPr>
              <w:bidi w:val="0"/>
              <w:jc w:val="right"/>
              <w:rPr>
                <w:rFonts w:asciiTheme="majorBidi" w:hAnsiTheme="majorBidi" w:cstheme="majorBidi"/>
                <w:color w:val="000000"/>
                <w:sz w:val="20"/>
                <w:szCs w:val="20"/>
              </w:rPr>
            </w:pPr>
          </w:p>
        </w:tc>
      </w:tr>
      <w:tr w:rsidR="009C111A" w:rsidRPr="009C111A" w14:paraId="7CC1FA5A" w14:textId="77777777" w:rsidTr="000B3923">
        <w:trPr>
          <w:trHeight w:val="285"/>
          <w:jc w:val="center"/>
        </w:trPr>
        <w:tc>
          <w:tcPr>
            <w:tcW w:w="0" w:type="auto"/>
            <w:noWrap/>
            <w:vAlign w:val="bottom"/>
            <w:hideMark/>
          </w:tcPr>
          <w:p w14:paraId="69BFC31E"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2010</w:t>
            </w:r>
          </w:p>
        </w:tc>
        <w:tc>
          <w:tcPr>
            <w:tcW w:w="0" w:type="auto"/>
            <w:noWrap/>
            <w:vAlign w:val="bottom"/>
            <w:hideMark/>
          </w:tcPr>
          <w:p w14:paraId="7CAD36B4"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41.32%</w:t>
            </w:r>
          </w:p>
        </w:tc>
        <w:tc>
          <w:tcPr>
            <w:tcW w:w="0" w:type="auto"/>
            <w:noWrap/>
            <w:vAlign w:val="bottom"/>
            <w:hideMark/>
          </w:tcPr>
          <w:p w14:paraId="1C188B4F"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43%</w:t>
            </w:r>
          </w:p>
        </w:tc>
        <w:tc>
          <w:tcPr>
            <w:tcW w:w="0" w:type="auto"/>
            <w:noWrap/>
            <w:vAlign w:val="bottom"/>
            <w:hideMark/>
          </w:tcPr>
          <w:p w14:paraId="74A5092C"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48.28%</w:t>
            </w:r>
          </w:p>
        </w:tc>
        <w:tc>
          <w:tcPr>
            <w:tcW w:w="0" w:type="auto"/>
            <w:noWrap/>
            <w:vAlign w:val="bottom"/>
            <w:hideMark/>
          </w:tcPr>
          <w:p w14:paraId="7A5DD504"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30%</w:t>
            </w:r>
          </w:p>
        </w:tc>
      </w:tr>
      <w:tr w:rsidR="009C111A" w:rsidRPr="009C111A" w14:paraId="72691C4F" w14:textId="77777777" w:rsidTr="000B3923">
        <w:trPr>
          <w:trHeight w:val="285"/>
          <w:jc w:val="center"/>
        </w:trPr>
        <w:tc>
          <w:tcPr>
            <w:tcW w:w="0" w:type="auto"/>
            <w:noWrap/>
            <w:vAlign w:val="bottom"/>
            <w:hideMark/>
          </w:tcPr>
          <w:p w14:paraId="38AE514C"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2011</w:t>
            </w:r>
          </w:p>
        </w:tc>
        <w:tc>
          <w:tcPr>
            <w:tcW w:w="0" w:type="auto"/>
            <w:noWrap/>
            <w:vAlign w:val="bottom"/>
            <w:hideMark/>
          </w:tcPr>
          <w:p w14:paraId="12719B2B"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41.84%</w:t>
            </w:r>
          </w:p>
        </w:tc>
        <w:tc>
          <w:tcPr>
            <w:tcW w:w="0" w:type="auto"/>
            <w:noWrap/>
            <w:vAlign w:val="bottom"/>
            <w:hideMark/>
          </w:tcPr>
          <w:p w14:paraId="2B5A69D5"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43%</w:t>
            </w:r>
          </w:p>
        </w:tc>
        <w:tc>
          <w:tcPr>
            <w:tcW w:w="0" w:type="auto"/>
            <w:noWrap/>
            <w:vAlign w:val="bottom"/>
            <w:hideMark/>
          </w:tcPr>
          <w:p w14:paraId="469AE67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49.67%</w:t>
            </w:r>
          </w:p>
        </w:tc>
        <w:tc>
          <w:tcPr>
            <w:tcW w:w="0" w:type="auto"/>
            <w:noWrap/>
            <w:vAlign w:val="bottom"/>
            <w:hideMark/>
          </w:tcPr>
          <w:p w14:paraId="3F887E7B"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32%</w:t>
            </w:r>
          </w:p>
        </w:tc>
      </w:tr>
      <w:tr w:rsidR="009C111A" w:rsidRPr="009C111A" w14:paraId="6838F245" w14:textId="77777777" w:rsidTr="000B3923">
        <w:trPr>
          <w:trHeight w:val="285"/>
          <w:jc w:val="center"/>
        </w:trPr>
        <w:tc>
          <w:tcPr>
            <w:tcW w:w="0" w:type="auto"/>
            <w:noWrap/>
            <w:vAlign w:val="bottom"/>
            <w:hideMark/>
          </w:tcPr>
          <w:p w14:paraId="456FE48E"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2012</w:t>
            </w:r>
          </w:p>
        </w:tc>
        <w:tc>
          <w:tcPr>
            <w:tcW w:w="0" w:type="auto"/>
            <w:noWrap/>
            <w:vAlign w:val="bottom"/>
            <w:hideMark/>
          </w:tcPr>
          <w:p w14:paraId="709FFE1D"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42.15%</w:t>
            </w:r>
          </w:p>
        </w:tc>
        <w:tc>
          <w:tcPr>
            <w:tcW w:w="0" w:type="auto"/>
            <w:noWrap/>
            <w:vAlign w:val="bottom"/>
            <w:hideMark/>
          </w:tcPr>
          <w:p w14:paraId="44E49945"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47%</w:t>
            </w:r>
          </w:p>
        </w:tc>
        <w:tc>
          <w:tcPr>
            <w:tcW w:w="0" w:type="auto"/>
            <w:noWrap/>
            <w:vAlign w:val="bottom"/>
            <w:hideMark/>
          </w:tcPr>
          <w:p w14:paraId="10D8B3ED"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53.82%</w:t>
            </w:r>
          </w:p>
        </w:tc>
        <w:tc>
          <w:tcPr>
            <w:tcW w:w="0" w:type="auto"/>
            <w:noWrap/>
            <w:vAlign w:val="bottom"/>
            <w:hideMark/>
          </w:tcPr>
          <w:p w14:paraId="647B45FD"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43%</w:t>
            </w:r>
          </w:p>
        </w:tc>
      </w:tr>
      <w:tr w:rsidR="009C111A" w:rsidRPr="009C111A" w14:paraId="7F37DC0D" w14:textId="77777777" w:rsidTr="000B3923">
        <w:trPr>
          <w:trHeight w:val="285"/>
          <w:jc w:val="center"/>
        </w:trPr>
        <w:tc>
          <w:tcPr>
            <w:tcW w:w="0" w:type="auto"/>
            <w:noWrap/>
            <w:vAlign w:val="bottom"/>
            <w:hideMark/>
          </w:tcPr>
          <w:p w14:paraId="6BB32877"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2013</w:t>
            </w:r>
          </w:p>
        </w:tc>
        <w:tc>
          <w:tcPr>
            <w:tcW w:w="0" w:type="auto"/>
            <w:noWrap/>
            <w:vAlign w:val="bottom"/>
            <w:hideMark/>
          </w:tcPr>
          <w:p w14:paraId="5324508B"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44.85%</w:t>
            </w:r>
          </w:p>
        </w:tc>
        <w:tc>
          <w:tcPr>
            <w:tcW w:w="0" w:type="auto"/>
            <w:noWrap/>
            <w:vAlign w:val="bottom"/>
            <w:hideMark/>
          </w:tcPr>
          <w:p w14:paraId="3332D351"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54%</w:t>
            </w:r>
          </w:p>
        </w:tc>
        <w:tc>
          <w:tcPr>
            <w:tcW w:w="0" w:type="auto"/>
            <w:noWrap/>
            <w:vAlign w:val="bottom"/>
            <w:hideMark/>
          </w:tcPr>
          <w:p w14:paraId="3FE196B4"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59.53%</w:t>
            </w:r>
          </w:p>
        </w:tc>
        <w:tc>
          <w:tcPr>
            <w:tcW w:w="0" w:type="auto"/>
            <w:noWrap/>
            <w:vAlign w:val="bottom"/>
            <w:hideMark/>
          </w:tcPr>
          <w:p w14:paraId="4C5F4DC8"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48%</w:t>
            </w:r>
          </w:p>
        </w:tc>
      </w:tr>
      <w:tr w:rsidR="009C111A" w:rsidRPr="009C111A" w14:paraId="7EB284CD" w14:textId="77777777" w:rsidTr="000B3923">
        <w:trPr>
          <w:trHeight w:val="285"/>
          <w:jc w:val="center"/>
        </w:trPr>
        <w:tc>
          <w:tcPr>
            <w:tcW w:w="0" w:type="auto"/>
            <w:noWrap/>
            <w:vAlign w:val="bottom"/>
            <w:hideMark/>
          </w:tcPr>
          <w:p w14:paraId="1D01DC3B"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2014</w:t>
            </w:r>
          </w:p>
        </w:tc>
        <w:tc>
          <w:tcPr>
            <w:tcW w:w="0" w:type="auto"/>
            <w:noWrap/>
            <w:vAlign w:val="bottom"/>
            <w:hideMark/>
          </w:tcPr>
          <w:p w14:paraId="6B6A807F"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42.56%</w:t>
            </w:r>
          </w:p>
        </w:tc>
        <w:tc>
          <w:tcPr>
            <w:tcW w:w="0" w:type="auto"/>
            <w:noWrap/>
            <w:vAlign w:val="bottom"/>
            <w:hideMark/>
          </w:tcPr>
          <w:p w14:paraId="6FD089C3"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46%</w:t>
            </w:r>
          </w:p>
        </w:tc>
        <w:tc>
          <w:tcPr>
            <w:tcW w:w="0" w:type="auto"/>
            <w:noWrap/>
            <w:vAlign w:val="bottom"/>
            <w:hideMark/>
          </w:tcPr>
          <w:p w14:paraId="2E41E0F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56.12%</w:t>
            </w:r>
          </w:p>
        </w:tc>
        <w:tc>
          <w:tcPr>
            <w:tcW w:w="0" w:type="auto"/>
            <w:noWrap/>
            <w:vAlign w:val="bottom"/>
            <w:hideMark/>
          </w:tcPr>
          <w:p w14:paraId="30606FEC"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47%</w:t>
            </w:r>
          </w:p>
        </w:tc>
      </w:tr>
      <w:tr w:rsidR="009C111A" w:rsidRPr="009C111A" w14:paraId="3F9C0C14" w14:textId="77777777" w:rsidTr="000B3923">
        <w:trPr>
          <w:trHeight w:val="285"/>
          <w:jc w:val="center"/>
        </w:trPr>
        <w:tc>
          <w:tcPr>
            <w:tcW w:w="0" w:type="auto"/>
            <w:noWrap/>
            <w:vAlign w:val="bottom"/>
            <w:hideMark/>
          </w:tcPr>
          <w:p w14:paraId="219DA50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2015</w:t>
            </w:r>
          </w:p>
        </w:tc>
        <w:tc>
          <w:tcPr>
            <w:tcW w:w="0" w:type="auto"/>
            <w:noWrap/>
            <w:vAlign w:val="bottom"/>
            <w:hideMark/>
          </w:tcPr>
          <w:p w14:paraId="37D107C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37.80%</w:t>
            </w:r>
          </w:p>
        </w:tc>
        <w:tc>
          <w:tcPr>
            <w:tcW w:w="0" w:type="auto"/>
            <w:noWrap/>
            <w:vAlign w:val="bottom"/>
            <w:hideMark/>
          </w:tcPr>
          <w:p w14:paraId="692488BA"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38%</w:t>
            </w:r>
          </w:p>
        </w:tc>
        <w:tc>
          <w:tcPr>
            <w:tcW w:w="0" w:type="auto"/>
            <w:noWrap/>
            <w:vAlign w:val="bottom"/>
            <w:hideMark/>
          </w:tcPr>
          <w:p w14:paraId="399E3830"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50.22%</w:t>
            </w:r>
          </w:p>
        </w:tc>
        <w:tc>
          <w:tcPr>
            <w:tcW w:w="0" w:type="auto"/>
            <w:noWrap/>
            <w:vAlign w:val="bottom"/>
            <w:hideMark/>
          </w:tcPr>
          <w:p w14:paraId="05DE6381"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44%</w:t>
            </w:r>
          </w:p>
        </w:tc>
      </w:tr>
      <w:tr w:rsidR="009C111A" w:rsidRPr="009C111A" w14:paraId="59804200" w14:textId="77777777" w:rsidTr="000B3923">
        <w:trPr>
          <w:trHeight w:val="285"/>
          <w:jc w:val="center"/>
        </w:trPr>
        <w:tc>
          <w:tcPr>
            <w:tcW w:w="0" w:type="auto"/>
            <w:noWrap/>
            <w:vAlign w:val="bottom"/>
            <w:hideMark/>
          </w:tcPr>
          <w:p w14:paraId="6088284A"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2016</w:t>
            </w:r>
          </w:p>
        </w:tc>
        <w:tc>
          <w:tcPr>
            <w:tcW w:w="0" w:type="auto"/>
            <w:noWrap/>
            <w:vAlign w:val="bottom"/>
            <w:hideMark/>
          </w:tcPr>
          <w:p w14:paraId="627E9498"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38.94%</w:t>
            </w:r>
          </w:p>
        </w:tc>
        <w:tc>
          <w:tcPr>
            <w:tcW w:w="0" w:type="auto"/>
            <w:noWrap/>
            <w:vAlign w:val="bottom"/>
            <w:hideMark/>
          </w:tcPr>
          <w:p w14:paraId="2D1772C5"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49%</w:t>
            </w:r>
          </w:p>
        </w:tc>
        <w:tc>
          <w:tcPr>
            <w:tcW w:w="0" w:type="auto"/>
            <w:noWrap/>
            <w:vAlign w:val="bottom"/>
            <w:hideMark/>
          </w:tcPr>
          <w:p w14:paraId="779ACA74"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60.80%</w:t>
            </w:r>
          </w:p>
        </w:tc>
        <w:tc>
          <w:tcPr>
            <w:tcW w:w="0" w:type="auto"/>
            <w:noWrap/>
            <w:vAlign w:val="bottom"/>
            <w:hideMark/>
          </w:tcPr>
          <w:p w14:paraId="0855AAA5"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63%</w:t>
            </w:r>
          </w:p>
        </w:tc>
      </w:tr>
      <w:tr w:rsidR="009C111A" w:rsidRPr="009C111A" w14:paraId="328FC000" w14:textId="77777777" w:rsidTr="000B3923">
        <w:trPr>
          <w:trHeight w:val="285"/>
          <w:jc w:val="center"/>
        </w:trPr>
        <w:tc>
          <w:tcPr>
            <w:tcW w:w="0" w:type="auto"/>
            <w:noWrap/>
            <w:vAlign w:val="bottom"/>
            <w:hideMark/>
          </w:tcPr>
          <w:p w14:paraId="2870CD79"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2017</w:t>
            </w:r>
          </w:p>
        </w:tc>
        <w:tc>
          <w:tcPr>
            <w:tcW w:w="0" w:type="auto"/>
            <w:noWrap/>
            <w:vAlign w:val="bottom"/>
            <w:hideMark/>
          </w:tcPr>
          <w:p w14:paraId="0A875BC6"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37.38%</w:t>
            </w:r>
          </w:p>
        </w:tc>
        <w:tc>
          <w:tcPr>
            <w:tcW w:w="0" w:type="auto"/>
            <w:noWrap/>
            <w:vAlign w:val="bottom"/>
            <w:hideMark/>
          </w:tcPr>
          <w:p w14:paraId="05D872FB"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46%</w:t>
            </w:r>
          </w:p>
        </w:tc>
        <w:tc>
          <w:tcPr>
            <w:tcW w:w="0" w:type="auto"/>
            <w:noWrap/>
            <w:vAlign w:val="bottom"/>
            <w:hideMark/>
          </w:tcPr>
          <w:p w14:paraId="5BBFB590"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60.59%</w:t>
            </w:r>
          </w:p>
        </w:tc>
        <w:tc>
          <w:tcPr>
            <w:tcW w:w="0" w:type="auto"/>
            <w:noWrap/>
            <w:vAlign w:val="bottom"/>
            <w:hideMark/>
          </w:tcPr>
          <w:p w14:paraId="64A53FDC"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64%</w:t>
            </w:r>
          </w:p>
        </w:tc>
      </w:tr>
      <w:tr w:rsidR="009C111A" w:rsidRPr="009C111A" w14:paraId="26BE8A3E" w14:textId="77777777" w:rsidTr="000B3923">
        <w:trPr>
          <w:trHeight w:val="285"/>
          <w:jc w:val="center"/>
        </w:trPr>
        <w:tc>
          <w:tcPr>
            <w:tcW w:w="0" w:type="auto"/>
            <w:noWrap/>
            <w:vAlign w:val="bottom"/>
            <w:hideMark/>
          </w:tcPr>
          <w:p w14:paraId="4FC59B1D"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2018</w:t>
            </w:r>
          </w:p>
        </w:tc>
        <w:tc>
          <w:tcPr>
            <w:tcW w:w="0" w:type="auto"/>
            <w:noWrap/>
            <w:vAlign w:val="bottom"/>
            <w:hideMark/>
          </w:tcPr>
          <w:p w14:paraId="6ADC7C94"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38.26%</w:t>
            </w:r>
          </w:p>
        </w:tc>
        <w:tc>
          <w:tcPr>
            <w:tcW w:w="0" w:type="auto"/>
            <w:noWrap/>
            <w:vAlign w:val="bottom"/>
            <w:hideMark/>
          </w:tcPr>
          <w:p w14:paraId="27A419D3"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45%</w:t>
            </w:r>
          </w:p>
        </w:tc>
        <w:tc>
          <w:tcPr>
            <w:tcW w:w="0" w:type="auto"/>
            <w:noWrap/>
            <w:vAlign w:val="bottom"/>
            <w:hideMark/>
          </w:tcPr>
          <w:p w14:paraId="5D7F8865"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62.04%</w:t>
            </w:r>
          </w:p>
        </w:tc>
        <w:tc>
          <w:tcPr>
            <w:tcW w:w="0" w:type="auto"/>
            <w:noWrap/>
            <w:vAlign w:val="bottom"/>
            <w:hideMark/>
          </w:tcPr>
          <w:p w14:paraId="00A0753E"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66%</w:t>
            </w:r>
          </w:p>
        </w:tc>
      </w:tr>
      <w:tr w:rsidR="009C111A" w:rsidRPr="009C111A" w14:paraId="1329A1DD" w14:textId="77777777" w:rsidTr="000B3923">
        <w:trPr>
          <w:trHeight w:val="285"/>
          <w:jc w:val="center"/>
        </w:trPr>
        <w:tc>
          <w:tcPr>
            <w:tcW w:w="0" w:type="auto"/>
            <w:noWrap/>
            <w:vAlign w:val="bottom"/>
            <w:hideMark/>
          </w:tcPr>
          <w:p w14:paraId="76CA2145"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2019</w:t>
            </w:r>
          </w:p>
        </w:tc>
        <w:tc>
          <w:tcPr>
            <w:tcW w:w="0" w:type="auto"/>
            <w:noWrap/>
            <w:vAlign w:val="bottom"/>
            <w:hideMark/>
          </w:tcPr>
          <w:p w14:paraId="436B5AFA"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37.04%</w:t>
            </w:r>
          </w:p>
        </w:tc>
        <w:tc>
          <w:tcPr>
            <w:tcW w:w="0" w:type="auto"/>
            <w:noWrap/>
            <w:vAlign w:val="bottom"/>
            <w:hideMark/>
          </w:tcPr>
          <w:p w14:paraId="088DF148"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45%</w:t>
            </w:r>
          </w:p>
        </w:tc>
        <w:tc>
          <w:tcPr>
            <w:tcW w:w="0" w:type="auto"/>
            <w:noWrap/>
            <w:vAlign w:val="bottom"/>
            <w:hideMark/>
          </w:tcPr>
          <w:p w14:paraId="486DFD12"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59.33%</w:t>
            </w:r>
          </w:p>
        </w:tc>
        <w:tc>
          <w:tcPr>
            <w:tcW w:w="0" w:type="auto"/>
            <w:noWrap/>
            <w:vAlign w:val="bottom"/>
            <w:hideMark/>
          </w:tcPr>
          <w:p w14:paraId="3E9271EF" w14:textId="77777777" w:rsidR="009C111A" w:rsidRPr="009C111A" w:rsidRDefault="009C111A" w:rsidP="009C111A">
            <w:pPr>
              <w:bidi w:val="0"/>
              <w:jc w:val="right"/>
              <w:rPr>
                <w:rFonts w:asciiTheme="majorBidi" w:hAnsiTheme="majorBidi" w:cstheme="majorBidi"/>
                <w:color w:val="000000"/>
                <w:sz w:val="20"/>
                <w:szCs w:val="20"/>
              </w:rPr>
            </w:pPr>
            <w:r w:rsidRPr="009C111A">
              <w:rPr>
                <w:rFonts w:asciiTheme="majorBidi" w:hAnsiTheme="majorBidi" w:cstheme="majorBidi"/>
                <w:color w:val="000000"/>
                <w:sz w:val="20"/>
                <w:szCs w:val="20"/>
              </w:rPr>
              <w:t>60%</w:t>
            </w:r>
          </w:p>
        </w:tc>
      </w:tr>
    </w:tbl>
    <w:p w14:paraId="3481DB5C" w14:textId="77777777" w:rsidR="009C111A" w:rsidRDefault="009C111A" w:rsidP="009C111A">
      <w:pPr>
        <w:bidi w:val="0"/>
      </w:pPr>
    </w:p>
    <w:p w14:paraId="64053E3C" w14:textId="77777777" w:rsidR="00AD1697" w:rsidRDefault="00AD1697" w:rsidP="00AD1697">
      <w:pPr>
        <w:bidi w:val="0"/>
      </w:pPr>
    </w:p>
    <w:p w14:paraId="5C0123EF" w14:textId="77777777" w:rsidR="00AD1697" w:rsidRDefault="00AD1697" w:rsidP="00AD1697">
      <w:pPr>
        <w:bidi w:val="0"/>
      </w:pPr>
    </w:p>
    <w:p w14:paraId="66838027" w14:textId="77777777" w:rsidR="00AD1697" w:rsidRDefault="00AD1697" w:rsidP="00AD1697">
      <w:pPr>
        <w:bidi w:val="0"/>
      </w:pPr>
    </w:p>
    <w:p w14:paraId="4AAA00E6" w14:textId="77777777" w:rsidR="00AD1697" w:rsidRDefault="00AD1697" w:rsidP="00AD1697">
      <w:pPr>
        <w:bidi w:val="0"/>
      </w:pPr>
    </w:p>
    <w:p w14:paraId="2167F167" w14:textId="77777777" w:rsidR="00AD1697" w:rsidRDefault="00AD1697" w:rsidP="00AD1697">
      <w:pPr>
        <w:bidi w:val="0"/>
      </w:pPr>
    </w:p>
    <w:p w14:paraId="69C8A12B" w14:textId="77777777" w:rsidR="00AD1697" w:rsidRDefault="00AD1697" w:rsidP="00AD1697">
      <w:pPr>
        <w:bidi w:val="0"/>
      </w:pPr>
    </w:p>
    <w:p w14:paraId="1F40B385" w14:textId="77777777" w:rsidR="00AD1697" w:rsidRDefault="00AD1697" w:rsidP="00AD1697">
      <w:pPr>
        <w:bidi w:val="0"/>
      </w:pPr>
    </w:p>
    <w:p w14:paraId="288EC90A" w14:textId="77777777" w:rsidR="00AD1697" w:rsidRDefault="00AD1697" w:rsidP="00AD1697">
      <w:pPr>
        <w:bidi w:val="0"/>
      </w:pPr>
    </w:p>
    <w:p w14:paraId="4A0659E3" w14:textId="77777777" w:rsidR="00AD1697" w:rsidRDefault="00AD1697" w:rsidP="00AD1697">
      <w:pPr>
        <w:bidi w:val="0"/>
      </w:pPr>
    </w:p>
    <w:p w14:paraId="26EEFB8F" w14:textId="77777777" w:rsidR="00AD1697" w:rsidRDefault="00AD1697" w:rsidP="00AD1697">
      <w:pPr>
        <w:bidi w:val="0"/>
      </w:pPr>
    </w:p>
    <w:p w14:paraId="521280F4" w14:textId="77777777" w:rsidR="00AD1697" w:rsidRDefault="00AD1697" w:rsidP="00AD1697">
      <w:pPr>
        <w:bidi w:val="0"/>
      </w:pPr>
    </w:p>
    <w:p w14:paraId="6A178AE4" w14:textId="77777777" w:rsidR="00AD1697" w:rsidRDefault="00AD1697" w:rsidP="00AD1697">
      <w:pPr>
        <w:bidi w:val="0"/>
      </w:pPr>
    </w:p>
    <w:p w14:paraId="19A33A9F" w14:textId="77777777" w:rsidR="00AD1697" w:rsidRDefault="00AD1697" w:rsidP="00AD1697">
      <w:pPr>
        <w:bidi w:val="0"/>
      </w:pPr>
    </w:p>
    <w:p w14:paraId="50591D0D" w14:textId="77777777" w:rsidR="00AD1697" w:rsidRDefault="00AD1697" w:rsidP="00AD1697">
      <w:pPr>
        <w:bidi w:val="0"/>
      </w:pPr>
    </w:p>
    <w:p w14:paraId="24F1C993" w14:textId="77777777" w:rsidR="00AD1697" w:rsidRDefault="00AD1697" w:rsidP="00AD1697">
      <w:pPr>
        <w:bidi w:val="0"/>
      </w:pPr>
    </w:p>
    <w:p w14:paraId="196D235C" w14:textId="77777777" w:rsidR="00AD1697" w:rsidRDefault="00AD1697" w:rsidP="00AD1697">
      <w:pPr>
        <w:bidi w:val="0"/>
      </w:pPr>
    </w:p>
    <w:p w14:paraId="0B6FB131" w14:textId="77777777" w:rsidR="00AD1697" w:rsidRDefault="00AD1697" w:rsidP="00AD1697">
      <w:pPr>
        <w:bidi w:val="0"/>
      </w:pPr>
    </w:p>
    <w:p w14:paraId="6B911FC1" w14:textId="77777777" w:rsidR="00AD1697" w:rsidRDefault="00AD1697" w:rsidP="00AD1697">
      <w:pPr>
        <w:bidi w:val="0"/>
      </w:pPr>
    </w:p>
    <w:p w14:paraId="69E5A28E" w14:textId="77777777" w:rsidR="00AD1697" w:rsidRDefault="00AD1697" w:rsidP="00AD1697">
      <w:pPr>
        <w:bidi w:val="0"/>
      </w:pPr>
    </w:p>
    <w:p w14:paraId="13CAF0B6" w14:textId="77777777" w:rsidR="00AD1697" w:rsidRDefault="00AD1697" w:rsidP="00AD1697">
      <w:pPr>
        <w:bidi w:val="0"/>
      </w:pPr>
    </w:p>
    <w:p w14:paraId="5744C572" w14:textId="77777777" w:rsidR="00AD1697" w:rsidRDefault="00AD1697" w:rsidP="00AD1697">
      <w:pPr>
        <w:bidi w:val="0"/>
      </w:pPr>
    </w:p>
    <w:p w14:paraId="2FD3E1C4" w14:textId="77777777" w:rsidR="00AD1697" w:rsidRDefault="00AD1697" w:rsidP="00AD1697">
      <w:pPr>
        <w:bidi w:val="0"/>
      </w:pPr>
    </w:p>
    <w:p w14:paraId="1296CC3F" w14:textId="77777777" w:rsidR="00AD1697" w:rsidRDefault="00AD1697" w:rsidP="00AD1697">
      <w:pPr>
        <w:bidi w:val="0"/>
      </w:pPr>
    </w:p>
    <w:p w14:paraId="5E576C3F" w14:textId="77777777" w:rsidR="00AD1697" w:rsidRDefault="00AD1697" w:rsidP="00AD1697">
      <w:pPr>
        <w:bidi w:val="0"/>
      </w:pPr>
    </w:p>
    <w:p w14:paraId="74BF86AB" w14:textId="77777777" w:rsidR="00AD1697" w:rsidRDefault="00AD1697" w:rsidP="00AD1697">
      <w:pPr>
        <w:bidi w:val="0"/>
      </w:pPr>
    </w:p>
    <w:p w14:paraId="3779DA9B" w14:textId="77777777" w:rsidR="00AD1697" w:rsidRDefault="00AD1697" w:rsidP="00AD1697">
      <w:pPr>
        <w:bidi w:val="0"/>
        <w:sectPr w:rsidR="00AD1697">
          <w:pgSz w:w="12240" w:h="15840"/>
          <w:pgMar w:top="1440" w:right="1440" w:bottom="1440" w:left="1440" w:header="708" w:footer="708" w:gutter="0"/>
          <w:cols w:space="708"/>
          <w:docGrid w:linePitch="360"/>
        </w:sectPr>
      </w:pPr>
    </w:p>
    <w:p w14:paraId="3BC2B3D6" w14:textId="10D97959" w:rsidR="00AD1697" w:rsidRDefault="002037F9" w:rsidP="002037F9">
      <w:pPr>
        <w:bidi w:val="0"/>
        <w:jc w:val="center"/>
        <w:rPr>
          <w:b/>
          <w:bCs/>
        </w:rPr>
      </w:pPr>
      <w:r w:rsidRPr="002037F9">
        <w:rPr>
          <w:b/>
          <w:bCs/>
        </w:rPr>
        <w:t>Appendix V – WB and GS indices</w:t>
      </w:r>
    </w:p>
    <w:p w14:paraId="59B857FE" w14:textId="77777777" w:rsidR="0019326E" w:rsidRDefault="0019326E" w:rsidP="0019326E">
      <w:pPr>
        <w:bidi w:val="0"/>
        <w:jc w:val="center"/>
        <w:rPr>
          <w:b/>
          <w:bCs/>
        </w:rPr>
      </w:pPr>
    </w:p>
    <w:p w14:paraId="7DC22106" w14:textId="4BB9C0D9" w:rsidR="0019326E" w:rsidRDefault="0019326E" w:rsidP="0019326E">
      <w:pPr>
        <w:bidi w:val="0"/>
        <w:jc w:val="center"/>
        <w:rPr>
          <w:b/>
          <w:bCs/>
        </w:rPr>
      </w:pPr>
      <w:r>
        <w:rPr>
          <w:b/>
          <w:bCs/>
        </w:rPr>
        <w:t xml:space="preserve">Table </w:t>
      </w:r>
      <w:r w:rsidRPr="00E50C32">
        <w:rPr>
          <w:b/>
          <w:bCs/>
          <w:highlight w:val="yellow"/>
        </w:rPr>
        <w:t>XX</w:t>
      </w:r>
      <w:r>
        <w:rPr>
          <w:b/>
          <w:bCs/>
        </w:rPr>
        <w:t xml:space="preserve"> </w:t>
      </w:r>
      <w:r w:rsidR="00042FE4">
        <w:rPr>
          <w:b/>
          <w:bCs/>
        </w:rPr>
        <w:t>–</w:t>
      </w:r>
      <w:r>
        <w:rPr>
          <w:b/>
          <w:bCs/>
        </w:rPr>
        <w:t xml:space="preserve"> </w:t>
      </w:r>
      <w:r w:rsidR="00042FE4">
        <w:rPr>
          <w:b/>
          <w:bCs/>
        </w:rPr>
        <w:t xml:space="preserve">WB and GS </w:t>
      </w:r>
      <w:r w:rsidR="0018066E">
        <w:rPr>
          <w:b/>
          <w:bCs/>
        </w:rPr>
        <w:t xml:space="preserve">- </w:t>
      </w:r>
      <w:r w:rsidR="00042FE4">
        <w:rPr>
          <w:b/>
          <w:bCs/>
        </w:rPr>
        <w:t>indices results</w:t>
      </w:r>
    </w:p>
    <w:p w14:paraId="6076A398" w14:textId="77777777" w:rsidR="002037F9" w:rsidRDefault="002037F9" w:rsidP="002037F9">
      <w:pPr>
        <w:bidi w:val="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56"/>
        <w:gridCol w:w="1439"/>
        <w:gridCol w:w="1268"/>
        <w:gridCol w:w="1195"/>
      </w:tblGrid>
      <w:tr w:rsidR="0019326E" w:rsidRPr="0019326E" w14:paraId="32D4E368" w14:textId="77777777" w:rsidTr="0019326E">
        <w:trPr>
          <w:trHeight w:val="285"/>
          <w:jc w:val="center"/>
        </w:trPr>
        <w:tc>
          <w:tcPr>
            <w:tcW w:w="0" w:type="auto"/>
            <w:noWrap/>
            <w:vAlign w:val="bottom"/>
            <w:hideMark/>
          </w:tcPr>
          <w:p w14:paraId="19493D4E" w14:textId="77777777" w:rsidR="0019326E" w:rsidRPr="0019326E" w:rsidRDefault="0019326E" w:rsidP="0019326E">
            <w:pPr>
              <w:bidi w:val="0"/>
              <w:rPr>
                <w:rFonts w:asciiTheme="majorBidi" w:hAnsiTheme="majorBidi" w:cstheme="majorBidi"/>
                <w:b/>
                <w:bCs/>
              </w:rPr>
            </w:pPr>
          </w:p>
        </w:tc>
        <w:tc>
          <w:tcPr>
            <w:tcW w:w="0" w:type="auto"/>
            <w:noWrap/>
            <w:vAlign w:val="bottom"/>
            <w:hideMark/>
          </w:tcPr>
          <w:p w14:paraId="29C19B80" w14:textId="77777777" w:rsidR="0019326E" w:rsidRPr="0019326E" w:rsidRDefault="0019326E" w:rsidP="0019326E">
            <w:pPr>
              <w:bidi w:val="0"/>
              <w:rPr>
                <w:rFonts w:asciiTheme="majorBidi" w:hAnsiTheme="majorBidi" w:cstheme="majorBidi"/>
                <w:b/>
                <w:bCs/>
                <w:color w:val="000000"/>
              </w:rPr>
            </w:pPr>
            <w:r w:rsidRPr="0019326E">
              <w:rPr>
                <w:rFonts w:asciiTheme="majorBidi" w:hAnsiTheme="majorBidi" w:cstheme="majorBidi"/>
                <w:b/>
                <w:bCs/>
                <w:color w:val="000000"/>
              </w:rPr>
              <w:t>ISR-WBG-II</w:t>
            </w:r>
          </w:p>
        </w:tc>
        <w:tc>
          <w:tcPr>
            <w:tcW w:w="0" w:type="auto"/>
            <w:noWrap/>
            <w:vAlign w:val="bottom"/>
            <w:hideMark/>
          </w:tcPr>
          <w:p w14:paraId="03773FE4" w14:textId="77777777" w:rsidR="0019326E" w:rsidRPr="0019326E" w:rsidRDefault="0019326E" w:rsidP="0019326E">
            <w:pPr>
              <w:bidi w:val="0"/>
              <w:rPr>
                <w:rFonts w:asciiTheme="majorBidi" w:hAnsiTheme="majorBidi" w:cstheme="majorBidi"/>
                <w:b/>
                <w:bCs/>
                <w:color w:val="000000"/>
              </w:rPr>
            </w:pPr>
            <w:r w:rsidRPr="0019326E">
              <w:rPr>
                <w:rFonts w:asciiTheme="majorBidi" w:hAnsiTheme="majorBidi" w:cstheme="majorBidi"/>
                <w:b/>
                <w:bCs/>
                <w:color w:val="000000"/>
              </w:rPr>
              <w:t>ISR-WB-II</w:t>
            </w:r>
          </w:p>
        </w:tc>
        <w:tc>
          <w:tcPr>
            <w:tcW w:w="0" w:type="auto"/>
            <w:noWrap/>
            <w:vAlign w:val="bottom"/>
            <w:hideMark/>
          </w:tcPr>
          <w:p w14:paraId="10DABEC2" w14:textId="77777777" w:rsidR="0019326E" w:rsidRPr="0019326E" w:rsidRDefault="0019326E" w:rsidP="0019326E">
            <w:pPr>
              <w:bidi w:val="0"/>
              <w:rPr>
                <w:rFonts w:asciiTheme="majorBidi" w:hAnsiTheme="majorBidi" w:cstheme="majorBidi"/>
                <w:b/>
                <w:bCs/>
                <w:color w:val="000000"/>
              </w:rPr>
            </w:pPr>
            <w:r w:rsidRPr="0019326E">
              <w:rPr>
                <w:rFonts w:asciiTheme="majorBidi" w:hAnsiTheme="majorBidi" w:cstheme="majorBidi"/>
                <w:b/>
                <w:bCs/>
                <w:color w:val="000000"/>
              </w:rPr>
              <w:t>ISR-GS-II</w:t>
            </w:r>
          </w:p>
        </w:tc>
      </w:tr>
      <w:tr w:rsidR="0019326E" w:rsidRPr="0019326E" w14:paraId="4B03C39C" w14:textId="77777777" w:rsidTr="0019326E">
        <w:trPr>
          <w:trHeight w:val="285"/>
          <w:jc w:val="center"/>
        </w:trPr>
        <w:tc>
          <w:tcPr>
            <w:tcW w:w="0" w:type="auto"/>
            <w:noWrap/>
            <w:vAlign w:val="bottom"/>
            <w:hideMark/>
          </w:tcPr>
          <w:p w14:paraId="2C24D8D6" w14:textId="77777777" w:rsidR="0019326E" w:rsidRPr="0019326E" w:rsidRDefault="0019326E" w:rsidP="0019326E">
            <w:pPr>
              <w:bidi w:val="0"/>
              <w:jc w:val="right"/>
              <w:rPr>
                <w:rFonts w:asciiTheme="majorBidi" w:hAnsiTheme="majorBidi" w:cstheme="majorBidi"/>
                <w:color w:val="000000"/>
              </w:rPr>
            </w:pPr>
            <w:r w:rsidRPr="0019326E">
              <w:rPr>
                <w:rFonts w:asciiTheme="majorBidi" w:hAnsiTheme="majorBidi" w:cstheme="majorBidi"/>
                <w:color w:val="000000"/>
              </w:rPr>
              <w:t>2008</w:t>
            </w:r>
          </w:p>
        </w:tc>
        <w:tc>
          <w:tcPr>
            <w:tcW w:w="0" w:type="auto"/>
            <w:noWrap/>
            <w:vAlign w:val="bottom"/>
            <w:hideMark/>
          </w:tcPr>
          <w:p w14:paraId="1C9F4B3B"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34%</w:t>
            </w:r>
          </w:p>
        </w:tc>
        <w:tc>
          <w:tcPr>
            <w:tcW w:w="0" w:type="auto"/>
            <w:noWrap/>
            <w:vAlign w:val="bottom"/>
            <w:hideMark/>
          </w:tcPr>
          <w:p w14:paraId="2615E6D5"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35%</w:t>
            </w:r>
          </w:p>
        </w:tc>
        <w:tc>
          <w:tcPr>
            <w:tcW w:w="0" w:type="auto"/>
            <w:noWrap/>
            <w:vAlign w:val="bottom"/>
            <w:hideMark/>
          </w:tcPr>
          <w:p w14:paraId="31454F66"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39%</w:t>
            </w:r>
          </w:p>
        </w:tc>
      </w:tr>
      <w:tr w:rsidR="0019326E" w:rsidRPr="0019326E" w14:paraId="262B60D7" w14:textId="77777777" w:rsidTr="0019326E">
        <w:trPr>
          <w:trHeight w:val="285"/>
          <w:jc w:val="center"/>
        </w:trPr>
        <w:tc>
          <w:tcPr>
            <w:tcW w:w="0" w:type="auto"/>
            <w:noWrap/>
            <w:vAlign w:val="bottom"/>
            <w:hideMark/>
          </w:tcPr>
          <w:p w14:paraId="6A74236B" w14:textId="77777777" w:rsidR="0019326E" w:rsidRPr="0019326E" w:rsidRDefault="0019326E" w:rsidP="0019326E">
            <w:pPr>
              <w:bidi w:val="0"/>
              <w:jc w:val="right"/>
              <w:rPr>
                <w:rFonts w:asciiTheme="majorBidi" w:hAnsiTheme="majorBidi" w:cstheme="majorBidi"/>
                <w:color w:val="000000"/>
              </w:rPr>
            </w:pPr>
            <w:r w:rsidRPr="0019326E">
              <w:rPr>
                <w:rFonts w:asciiTheme="majorBidi" w:hAnsiTheme="majorBidi" w:cstheme="majorBidi"/>
                <w:color w:val="000000"/>
              </w:rPr>
              <w:t>2009</w:t>
            </w:r>
          </w:p>
        </w:tc>
        <w:tc>
          <w:tcPr>
            <w:tcW w:w="0" w:type="auto"/>
            <w:noWrap/>
            <w:vAlign w:val="bottom"/>
            <w:hideMark/>
          </w:tcPr>
          <w:p w14:paraId="047FA15B"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32%</w:t>
            </w:r>
          </w:p>
        </w:tc>
        <w:tc>
          <w:tcPr>
            <w:tcW w:w="0" w:type="auto"/>
            <w:noWrap/>
            <w:vAlign w:val="bottom"/>
            <w:hideMark/>
          </w:tcPr>
          <w:p w14:paraId="2F5DDF99"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32%</w:t>
            </w:r>
          </w:p>
        </w:tc>
        <w:tc>
          <w:tcPr>
            <w:tcW w:w="0" w:type="auto"/>
            <w:noWrap/>
            <w:vAlign w:val="bottom"/>
            <w:hideMark/>
          </w:tcPr>
          <w:p w14:paraId="3F57CB9F"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45%</w:t>
            </w:r>
          </w:p>
        </w:tc>
      </w:tr>
      <w:tr w:rsidR="0019326E" w:rsidRPr="0019326E" w14:paraId="1B458F44" w14:textId="77777777" w:rsidTr="0019326E">
        <w:trPr>
          <w:trHeight w:val="285"/>
          <w:jc w:val="center"/>
        </w:trPr>
        <w:tc>
          <w:tcPr>
            <w:tcW w:w="0" w:type="auto"/>
            <w:noWrap/>
            <w:vAlign w:val="bottom"/>
            <w:hideMark/>
          </w:tcPr>
          <w:p w14:paraId="692ED5EB" w14:textId="77777777" w:rsidR="0019326E" w:rsidRPr="0019326E" w:rsidRDefault="0019326E" w:rsidP="0019326E">
            <w:pPr>
              <w:bidi w:val="0"/>
              <w:jc w:val="right"/>
              <w:rPr>
                <w:rFonts w:asciiTheme="majorBidi" w:hAnsiTheme="majorBidi" w:cstheme="majorBidi"/>
                <w:color w:val="000000"/>
              </w:rPr>
            </w:pPr>
            <w:r w:rsidRPr="0019326E">
              <w:rPr>
                <w:rFonts w:asciiTheme="majorBidi" w:hAnsiTheme="majorBidi" w:cstheme="majorBidi"/>
                <w:color w:val="000000"/>
              </w:rPr>
              <w:t>2010</w:t>
            </w:r>
          </w:p>
        </w:tc>
        <w:tc>
          <w:tcPr>
            <w:tcW w:w="0" w:type="auto"/>
            <w:noWrap/>
            <w:vAlign w:val="bottom"/>
            <w:hideMark/>
          </w:tcPr>
          <w:p w14:paraId="44D192F4"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34%</w:t>
            </w:r>
          </w:p>
        </w:tc>
        <w:tc>
          <w:tcPr>
            <w:tcW w:w="0" w:type="auto"/>
            <w:noWrap/>
            <w:vAlign w:val="bottom"/>
            <w:hideMark/>
          </w:tcPr>
          <w:p w14:paraId="36FF7AC6"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35%</w:t>
            </w:r>
          </w:p>
        </w:tc>
        <w:tc>
          <w:tcPr>
            <w:tcW w:w="0" w:type="auto"/>
            <w:noWrap/>
            <w:vAlign w:val="bottom"/>
            <w:hideMark/>
          </w:tcPr>
          <w:p w14:paraId="0215D97F"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44%</w:t>
            </w:r>
          </w:p>
        </w:tc>
      </w:tr>
      <w:tr w:rsidR="0019326E" w:rsidRPr="0019326E" w14:paraId="37FF9C49" w14:textId="77777777" w:rsidTr="0019326E">
        <w:trPr>
          <w:trHeight w:val="285"/>
          <w:jc w:val="center"/>
        </w:trPr>
        <w:tc>
          <w:tcPr>
            <w:tcW w:w="0" w:type="auto"/>
            <w:noWrap/>
            <w:vAlign w:val="bottom"/>
            <w:hideMark/>
          </w:tcPr>
          <w:p w14:paraId="5695EB09" w14:textId="77777777" w:rsidR="0019326E" w:rsidRPr="0019326E" w:rsidRDefault="0019326E" w:rsidP="0019326E">
            <w:pPr>
              <w:bidi w:val="0"/>
              <w:jc w:val="right"/>
              <w:rPr>
                <w:rFonts w:asciiTheme="majorBidi" w:hAnsiTheme="majorBidi" w:cstheme="majorBidi"/>
                <w:color w:val="000000"/>
              </w:rPr>
            </w:pPr>
            <w:r w:rsidRPr="0019326E">
              <w:rPr>
                <w:rFonts w:asciiTheme="majorBidi" w:hAnsiTheme="majorBidi" w:cstheme="majorBidi"/>
                <w:color w:val="000000"/>
              </w:rPr>
              <w:t>2011</w:t>
            </w:r>
          </w:p>
        </w:tc>
        <w:tc>
          <w:tcPr>
            <w:tcW w:w="0" w:type="auto"/>
            <w:noWrap/>
            <w:vAlign w:val="bottom"/>
            <w:hideMark/>
          </w:tcPr>
          <w:p w14:paraId="5066A61D"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33%</w:t>
            </w:r>
          </w:p>
        </w:tc>
        <w:tc>
          <w:tcPr>
            <w:tcW w:w="0" w:type="auto"/>
            <w:noWrap/>
            <w:vAlign w:val="bottom"/>
            <w:hideMark/>
          </w:tcPr>
          <w:p w14:paraId="0CFF8B51"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34%</w:t>
            </w:r>
          </w:p>
        </w:tc>
        <w:tc>
          <w:tcPr>
            <w:tcW w:w="0" w:type="auto"/>
            <w:noWrap/>
            <w:vAlign w:val="bottom"/>
            <w:hideMark/>
          </w:tcPr>
          <w:p w14:paraId="429061AA"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40%</w:t>
            </w:r>
          </w:p>
        </w:tc>
      </w:tr>
      <w:tr w:rsidR="0019326E" w:rsidRPr="0019326E" w14:paraId="2273F422" w14:textId="77777777" w:rsidTr="0019326E">
        <w:trPr>
          <w:trHeight w:val="285"/>
          <w:jc w:val="center"/>
        </w:trPr>
        <w:tc>
          <w:tcPr>
            <w:tcW w:w="0" w:type="auto"/>
            <w:noWrap/>
            <w:vAlign w:val="bottom"/>
            <w:hideMark/>
          </w:tcPr>
          <w:p w14:paraId="641B7B14" w14:textId="77777777" w:rsidR="0019326E" w:rsidRPr="0019326E" w:rsidRDefault="0019326E" w:rsidP="0019326E">
            <w:pPr>
              <w:bidi w:val="0"/>
              <w:jc w:val="right"/>
              <w:rPr>
                <w:rFonts w:asciiTheme="majorBidi" w:hAnsiTheme="majorBidi" w:cstheme="majorBidi"/>
                <w:color w:val="000000"/>
              </w:rPr>
            </w:pPr>
            <w:r w:rsidRPr="0019326E">
              <w:rPr>
                <w:rFonts w:asciiTheme="majorBidi" w:hAnsiTheme="majorBidi" w:cstheme="majorBidi"/>
                <w:color w:val="000000"/>
              </w:rPr>
              <w:t>2012</w:t>
            </w:r>
          </w:p>
        </w:tc>
        <w:tc>
          <w:tcPr>
            <w:tcW w:w="0" w:type="auto"/>
            <w:noWrap/>
            <w:vAlign w:val="bottom"/>
            <w:hideMark/>
          </w:tcPr>
          <w:p w14:paraId="0D4D90F3"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42%</w:t>
            </w:r>
          </w:p>
        </w:tc>
        <w:tc>
          <w:tcPr>
            <w:tcW w:w="0" w:type="auto"/>
            <w:noWrap/>
            <w:vAlign w:val="bottom"/>
            <w:hideMark/>
          </w:tcPr>
          <w:p w14:paraId="73BE7638"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39%</w:t>
            </w:r>
          </w:p>
        </w:tc>
        <w:tc>
          <w:tcPr>
            <w:tcW w:w="0" w:type="auto"/>
            <w:noWrap/>
            <w:vAlign w:val="bottom"/>
            <w:hideMark/>
          </w:tcPr>
          <w:p w14:paraId="6CCA282B"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35%</w:t>
            </w:r>
          </w:p>
        </w:tc>
      </w:tr>
      <w:tr w:rsidR="0019326E" w:rsidRPr="0019326E" w14:paraId="56E02BD3" w14:textId="77777777" w:rsidTr="0019326E">
        <w:trPr>
          <w:trHeight w:val="285"/>
          <w:jc w:val="center"/>
        </w:trPr>
        <w:tc>
          <w:tcPr>
            <w:tcW w:w="0" w:type="auto"/>
            <w:noWrap/>
            <w:vAlign w:val="bottom"/>
            <w:hideMark/>
          </w:tcPr>
          <w:p w14:paraId="55696F3A" w14:textId="77777777" w:rsidR="0019326E" w:rsidRPr="0019326E" w:rsidRDefault="0019326E" w:rsidP="0019326E">
            <w:pPr>
              <w:bidi w:val="0"/>
              <w:jc w:val="right"/>
              <w:rPr>
                <w:rFonts w:asciiTheme="majorBidi" w:hAnsiTheme="majorBidi" w:cstheme="majorBidi"/>
                <w:color w:val="000000"/>
              </w:rPr>
            </w:pPr>
            <w:r w:rsidRPr="0019326E">
              <w:rPr>
                <w:rFonts w:asciiTheme="majorBidi" w:hAnsiTheme="majorBidi" w:cstheme="majorBidi"/>
                <w:color w:val="000000"/>
              </w:rPr>
              <w:t>2013</w:t>
            </w:r>
          </w:p>
        </w:tc>
        <w:tc>
          <w:tcPr>
            <w:tcW w:w="0" w:type="auto"/>
            <w:noWrap/>
            <w:vAlign w:val="bottom"/>
            <w:hideMark/>
          </w:tcPr>
          <w:p w14:paraId="48DCEAB9"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45%</w:t>
            </w:r>
          </w:p>
        </w:tc>
        <w:tc>
          <w:tcPr>
            <w:tcW w:w="0" w:type="auto"/>
            <w:noWrap/>
            <w:vAlign w:val="bottom"/>
            <w:hideMark/>
          </w:tcPr>
          <w:p w14:paraId="5E258F33"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53%</w:t>
            </w:r>
          </w:p>
        </w:tc>
        <w:tc>
          <w:tcPr>
            <w:tcW w:w="0" w:type="auto"/>
            <w:noWrap/>
            <w:vAlign w:val="bottom"/>
            <w:hideMark/>
          </w:tcPr>
          <w:p w14:paraId="61F3891E"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34%</w:t>
            </w:r>
          </w:p>
        </w:tc>
      </w:tr>
      <w:tr w:rsidR="0019326E" w:rsidRPr="0019326E" w14:paraId="2D83D548" w14:textId="77777777" w:rsidTr="0019326E">
        <w:trPr>
          <w:trHeight w:val="285"/>
          <w:jc w:val="center"/>
        </w:trPr>
        <w:tc>
          <w:tcPr>
            <w:tcW w:w="0" w:type="auto"/>
            <w:noWrap/>
            <w:vAlign w:val="bottom"/>
            <w:hideMark/>
          </w:tcPr>
          <w:p w14:paraId="70FE1504" w14:textId="77777777" w:rsidR="0019326E" w:rsidRPr="0019326E" w:rsidRDefault="0019326E" w:rsidP="0019326E">
            <w:pPr>
              <w:bidi w:val="0"/>
              <w:jc w:val="right"/>
              <w:rPr>
                <w:rFonts w:asciiTheme="majorBidi" w:hAnsiTheme="majorBidi" w:cstheme="majorBidi"/>
                <w:color w:val="000000"/>
              </w:rPr>
            </w:pPr>
            <w:r w:rsidRPr="0019326E">
              <w:rPr>
                <w:rFonts w:asciiTheme="majorBidi" w:hAnsiTheme="majorBidi" w:cstheme="majorBidi"/>
                <w:color w:val="000000"/>
              </w:rPr>
              <w:t>2014</w:t>
            </w:r>
          </w:p>
        </w:tc>
        <w:tc>
          <w:tcPr>
            <w:tcW w:w="0" w:type="auto"/>
            <w:noWrap/>
            <w:vAlign w:val="bottom"/>
            <w:hideMark/>
          </w:tcPr>
          <w:p w14:paraId="5E7932B6"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50%</w:t>
            </w:r>
          </w:p>
        </w:tc>
        <w:tc>
          <w:tcPr>
            <w:tcW w:w="0" w:type="auto"/>
            <w:noWrap/>
            <w:vAlign w:val="bottom"/>
            <w:hideMark/>
          </w:tcPr>
          <w:p w14:paraId="6A9B5E7C"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55%</w:t>
            </w:r>
          </w:p>
        </w:tc>
        <w:tc>
          <w:tcPr>
            <w:tcW w:w="0" w:type="auto"/>
            <w:noWrap/>
            <w:vAlign w:val="bottom"/>
            <w:hideMark/>
          </w:tcPr>
          <w:p w14:paraId="6584AA3D"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37%</w:t>
            </w:r>
          </w:p>
        </w:tc>
      </w:tr>
      <w:tr w:rsidR="0019326E" w:rsidRPr="0019326E" w14:paraId="12C6EE70" w14:textId="77777777" w:rsidTr="0019326E">
        <w:trPr>
          <w:trHeight w:val="285"/>
          <w:jc w:val="center"/>
        </w:trPr>
        <w:tc>
          <w:tcPr>
            <w:tcW w:w="0" w:type="auto"/>
            <w:noWrap/>
            <w:vAlign w:val="bottom"/>
            <w:hideMark/>
          </w:tcPr>
          <w:p w14:paraId="3599ECF2" w14:textId="77777777" w:rsidR="0019326E" w:rsidRPr="0019326E" w:rsidRDefault="0019326E" w:rsidP="0019326E">
            <w:pPr>
              <w:bidi w:val="0"/>
              <w:jc w:val="right"/>
              <w:rPr>
                <w:rFonts w:asciiTheme="majorBidi" w:hAnsiTheme="majorBidi" w:cstheme="majorBidi"/>
                <w:color w:val="000000"/>
              </w:rPr>
            </w:pPr>
            <w:r w:rsidRPr="0019326E">
              <w:rPr>
                <w:rFonts w:asciiTheme="majorBidi" w:hAnsiTheme="majorBidi" w:cstheme="majorBidi"/>
                <w:color w:val="000000"/>
              </w:rPr>
              <w:t>2015</w:t>
            </w:r>
          </w:p>
        </w:tc>
        <w:tc>
          <w:tcPr>
            <w:tcW w:w="0" w:type="auto"/>
            <w:noWrap/>
            <w:vAlign w:val="bottom"/>
            <w:hideMark/>
          </w:tcPr>
          <w:p w14:paraId="6D23C5D2"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46%</w:t>
            </w:r>
          </w:p>
        </w:tc>
        <w:tc>
          <w:tcPr>
            <w:tcW w:w="0" w:type="auto"/>
            <w:noWrap/>
            <w:vAlign w:val="bottom"/>
            <w:hideMark/>
          </w:tcPr>
          <w:p w14:paraId="1068F530"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50%</w:t>
            </w:r>
          </w:p>
        </w:tc>
        <w:tc>
          <w:tcPr>
            <w:tcW w:w="0" w:type="auto"/>
            <w:noWrap/>
            <w:vAlign w:val="bottom"/>
            <w:hideMark/>
          </w:tcPr>
          <w:p w14:paraId="2592FB7F"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48%</w:t>
            </w:r>
          </w:p>
        </w:tc>
      </w:tr>
      <w:tr w:rsidR="0019326E" w:rsidRPr="0019326E" w14:paraId="13E3C8BC" w14:textId="77777777" w:rsidTr="0019326E">
        <w:trPr>
          <w:trHeight w:val="285"/>
          <w:jc w:val="center"/>
        </w:trPr>
        <w:tc>
          <w:tcPr>
            <w:tcW w:w="0" w:type="auto"/>
            <w:noWrap/>
            <w:vAlign w:val="bottom"/>
            <w:hideMark/>
          </w:tcPr>
          <w:p w14:paraId="74B5F41C" w14:textId="77777777" w:rsidR="0019326E" w:rsidRPr="0019326E" w:rsidRDefault="0019326E" w:rsidP="0019326E">
            <w:pPr>
              <w:bidi w:val="0"/>
              <w:jc w:val="right"/>
              <w:rPr>
                <w:rFonts w:asciiTheme="majorBidi" w:hAnsiTheme="majorBidi" w:cstheme="majorBidi"/>
                <w:color w:val="000000"/>
              </w:rPr>
            </w:pPr>
            <w:r w:rsidRPr="0019326E">
              <w:rPr>
                <w:rFonts w:asciiTheme="majorBidi" w:hAnsiTheme="majorBidi" w:cstheme="majorBidi"/>
                <w:color w:val="000000"/>
              </w:rPr>
              <w:t>2016</w:t>
            </w:r>
          </w:p>
        </w:tc>
        <w:tc>
          <w:tcPr>
            <w:tcW w:w="0" w:type="auto"/>
            <w:noWrap/>
            <w:vAlign w:val="bottom"/>
            <w:hideMark/>
          </w:tcPr>
          <w:p w14:paraId="0362C392"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52%</w:t>
            </w:r>
          </w:p>
        </w:tc>
        <w:tc>
          <w:tcPr>
            <w:tcW w:w="0" w:type="auto"/>
            <w:noWrap/>
            <w:vAlign w:val="bottom"/>
            <w:hideMark/>
          </w:tcPr>
          <w:p w14:paraId="7EF57301"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53%</w:t>
            </w:r>
          </w:p>
        </w:tc>
        <w:tc>
          <w:tcPr>
            <w:tcW w:w="0" w:type="auto"/>
            <w:noWrap/>
            <w:vAlign w:val="bottom"/>
            <w:hideMark/>
          </w:tcPr>
          <w:p w14:paraId="2949EBB2"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62%</w:t>
            </w:r>
          </w:p>
        </w:tc>
      </w:tr>
      <w:tr w:rsidR="0019326E" w:rsidRPr="0019326E" w14:paraId="492BCD5B" w14:textId="77777777" w:rsidTr="0019326E">
        <w:trPr>
          <w:trHeight w:val="285"/>
          <w:jc w:val="center"/>
        </w:trPr>
        <w:tc>
          <w:tcPr>
            <w:tcW w:w="0" w:type="auto"/>
            <w:noWrap/>
            <w:vAlign w:val="bottom"/>
            <w:hideMark/>
          </w:tcPr>
          <w:p w14:paraId="24988933" w14:textId="77777777" w:rsidR="0019326E" w:rsidRPr="0019326E" w:rsidRDefault="0019326E" w:rsidP="0019326E">
            <w:pPr>
              <w:bidi w:val="0"/>
              <w:jc w:val="right"/>
              <w:rPr>
                <w:rFonts w:asciiTheme="majorBidi" w:hAnsiTheme="majorBidi" w:cstheme="majorBidi"/>
                <w:color w:val="000000"/>
              </w:rPr>
            </w:pPr>
            <w:r w:rsidRPr="0019326E">
              <w:rPr>
                <w:rFonts w:asciiTheme="majorBidi" w:hAnsiTheme="majorBidi" w:cstheme="majorBidi"/>
                <w:color w:val="000000"/>
              </w:rPr>
              <w:t>2017</w:t>
            </w:r>
          </w:p>
        </w:tc>
        <w:tc>
          <w:tcPr>
            <w:tcW w:w="0" w:type="auto"/>
            <w:noWrap/>
            <w:vAlign w:val="bottom"/>
            <w:hideMark/>
          </w:tcPr>
          <w:p w14:paraId="0AD42626"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57%</w:t>
            </w:r>
          </w:p>
        </w:tc>
        <w:tc>
          <w:tcPr>
            <w:tcW w:w="0" w:type="auto"/>
            <w:noWrap/>
            <w:vAlign w:val="bottom"/>
            <w:hideMark/>
          </w:tcPr>
          <w:p w14:paraId="07C83143"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61%</w:t>
            </w:r>
          </w:p>
        </w:tc>
        <w:tc>
          <w:tcPr>
            <w:tcW w:w="0" w:type="auto"/>
            <w:noWrap/>
            <w:vAlign w:val="bottom"/>
            <w:hideMark/>
          </w:tcPr>
          <w:p w14:paraId="26168652"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46%</w:t>
            </w:r>
          </w:p>
        </w:tc>
      </w:tr>
      <w:tr w:rsidR="0019326E" w:rsidRPr="0019326E" w14:paraId="06885D64" w14:textId="77777777" w:rsidTr="0019326E">
        <w:trPr>
          <w:trHeight w:val="285"/>
          <w:jc w:val="center"/>
        </w:trPr>
        <w:tc>
          <w:tcPr>
            <w:tcW w:w="0" w:type="auto"/>
            <w:noWrap/>
            <w:vAlign w:val="bottom"/>
            <w:hideMark/>
          </w:tcPr>
          <w:p w14:paraId="30720688" w14:textId="77777777" w:rsidR="0019326E" w:rsidRPr="0019326E" w:rsidRDefault="0019326E" w:rsidP="0019326E">
            <w:pPr>
              <w:bidi w:val="0"/>
              <w:jc w:val="right"/>
              <w:rPr>
                <w:rFonts w:asciiTheme="majorBidi" w:hAnsiTheme="majorBidi" w:cstheme="majorBidi"/>
                <w:color w:val="000000"/>
              </w:rPr>
            </w:pPr>
            <w:r w:rsidRPr="0019326E">
              <w:rPr>
                <w:rFonts w:asciiTheme="majorBidi" w:hAnsiTheme="majorBidi" w:cstheme="majorBidi"/>
                <w:color w:val="000000"/>
              </w:rPr>
              <w:t>2018</w:t>
            </w:r>
          </w:p>
        </w:tc>
        <w:tc>
          <w:tcPr>
            <w:tcW w:w="0" w:type="auto"/>
            <w:noWrap/>
            <w:vAlign w:val="bottom"/>
            <w:hideMark/>
          </w:tcPr>
          <w:p w14:paraId="21716D85"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65%</w:t>
            </w:r>
          </w:p>
        </w:tc>
        <w:tc>
          <w:tcPr>
            <w:tcW w:w="0" w:type="auto"/>
            <w:noWrap/>
            <w:vAlign w:val="bottom"/>
            <w:hideMark/>
          </w:tcPr>
          <w:p w14:paraId="17834031"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62%</w:t>
            </w:r>
          </w:p>
        </w:tc>
        <w:tc>
          <w:tcPr>
            <w:tcW w:w="0" w:type="auto"/>
            <w:noWrap/>
            <w:vAlign w:val="bottom"/>
            <w:hideMark/>
          </w:tcPr>
          <w:p w14:paraId="2142461C"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62%</w:t>
            </w:r>
          </w:p>
        </w:tc>
      </w:tr>
      <w:tr w:rsidR="0019326E" w:rsidRPr="0019326E" w14:paraId="4BC14785" w14:textId="77777777" w:rsidTr="0019326E">
        <w:trPr>
          <w:trHeight w:val="285"/>
          <w:jc w:val="center"/>
        </w:trPr>
        <w:tc>
          <w:tcPr>
            <w:tcW w:w="0" w:type="auto"/>
            <w:noWrap/>
            <w:vAlign w:val="bottom"/>
            <w:hideMark/>
          </w:tcPr>
          <w:p w14:paraId="3873882A" w14:textId="77777777" w:rsidR="0019326E" w:rsidRPr="0019326E" w:rsidRDefault="0019326E" w:rsidP="0019326E">
            <w:pPr>
              <w:bidi w:val="0"/>
              <w:jc w:val="right"/>
              <w:rPr>
                <w:rFonts w:asciiTheme="majorBidi" w:hAnsiTheme="majorBidi" w:cstheme="majorBidi"/>
                <w:color w:val="000000"/>
              </w:rPr>
            </w:pPr>
            <w:r w:rsidRPr="0019326E">
              <w:rPr>
                <w:rFonts w:asciiTheme="majorBidi" w:hAnsiTheme="majorBidi" w:cstheme="majorBidi"/>
                <w:color w:val="000000"/>
              </w:rPr>
              <w:t>2019</w:t>
            </w:r>
          </w:p>
        </w:tc>
        <w:tc>
          <w:tcPr>
            <w:tcW w:w="0" w:type="auto"/>
            <w:noWrap/>
            <w:vAlign w:val="bottom"/>
            <w:hideMark/>
          </w:tcPr>
          <w:p w14:paraId="433B8DFF"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57%</w:t>
            </w:r>
          </w:p>
        </w:tc>
        <w:tc>
          <w:tcPr>
            <w:tcW w:w="0" w:type="auto"/>
            <w:noWrap/>
            <w:vAlign w:val="bottom"/>
            <w:hideMark/>
          </w:tcPr>
          <w:p w14:paraId="5EC34833"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61%</w:t>
            </w:r>
          </w:p>
        </w:tc>
        <w:tc>
          <w:tcPr>
            <w:tcW w:w="0" w:type="auto"/>
            <w:noWrap/>
            <w:vAlign w:val="bottom"/>
            <w:hideMark/>
          </w:tcPr>
          <w:p w14:paraId="04B5C132" w14:textId="77777777" w:rsidR="0019326E" w:rsidRPr="0019326E" w:rsidRDefault="0019326E" w:rsidP="0019326E">
            <w:pPr>
              <w:bidi w:val="0"/>
              <w:jc w:val="center"/>
              <w:rPr>
                <w:rFonts w:asciiTheme="majorBidi" w:hAnsiTheme="majorBidi" w:cstheme="majorBidi"/>
                <w:color w:val="000000"/>
              </w:rPr>
            </w:pPr>
            <w:r w:rsidRPr="0019326E">
              <w:rPr>
                <w:rFonts w:asciiTheme="majorBidi" w:hAnsiTheme="majorBidi" w:cstheme="majorBidi"/>
                <w:color w:val="000000"/>
              </w:rPr>
              <w:t>51%</w:t>
            </w:r>
          </w:p>
        </w:tc>
      </w:tr>
    </w:tbl>
    <w:p w14:paraId="34B0BA1A" w14:textId="77777777" w:rsidR="002037F9" w:rsidRDefault="002037F9" w:rsidP="002037F9">
      <w:pPr>
        <w:bidi w:val="0"/>
        <w:jc w:val="center"/>
        <w:rPr>
          <w:b/>
          <w:bCs/>
        </w:rPr>
      </w:pPr>
    </w:p>
    <w:p w14:paraId="29114BB5" w14:textId="2F507D78" w:rsidR="00A44CEE" w:rsidRDefault="00CA1225" w:rsidP="00A44CEE">
      <w:pPr>
        <w:bidi w:val="0"/>
        <w:jc w:val="center"/>
        <w:rPr>
          <w:rFonts w:asciiTheme="majorBidi" w:hAnsiTheme="majorBidi" w:cstheme="majorBidi"/>
          <w:b/>
          <w:bCs/>
          <w:color w:val="000000"/>
        </w:rPr>
      </w:pPr>
      <w:r w:rsidRPr="00CA1225">
        <w:rPr>
          <w:rFonts w:asciiTheme="majorBidi" w:hAnsiTheme="majorBidi" w:cstheme="majorBidi"/>
          <w:b/>
          <w:bCs/>
        </w:rPr>
        <w:t xml:space="preserve">Table </w:t>
      </w:r>
      <w:r w:rsidRPr="00E50C32">
        <w:rPr>
          <w:rFonts w:asciiTheme="majorBidi" w:hAnsiTheme="majorBidi" w:cstheme="majorBidi"/>
          <w:b/>
          <w:bCs/>
          <w:highlight w:val="yellow"/>
        </w:rPr>
        <w:t>XX</w:t>
      </w:r>
      <w:r w:rsidRPr="00CA1225">
        <w:rPr>
          <w:rFonts w:asciiTheme="majorBidi" w:hAnsiTheme="majorBidi" w:cstheme="majorBidi"/>
          <w:b/>
          <w:bCs/>
        </w:rPr>
        <w:t xml:space="preserve"> - WB and GS - </w:t>
      </w:r>
      <w:r w:rsidRPr="00E359B5">
        <w:rPr>
          <w:rFonts w:asciiTheme="majorBidi" w:hAnsiTheme="majorBidi" w:cstheme="majorBidi"/>
          <w:b/>
          <w:bCs/>
          <w:color w:val="000000"/>
        </w:rPr>
        <w:t>Trade and employment</w:t>
      </w:r>
      <w:r w:rsidRPr="00CA1225">
        <w:rPr>
          <w:rFonts w:asciiTheme="majorBidi" w:hAnsiTheme="majorBidi" w:cstheme="majorBidi"/>
          <w:b/>
          <w:bCs/>
          <w:color w:val="000000"/>
        </w:rPr>
        <w:t xml:space="preserve"> dimension</w:t>
      </w:r>
    </w:p>
    <w:p w14:paraId="43C98339" w14:textId="77777777" w:rsidR="00CA1225" w:rsidRDefault="00CA1225" w:rsidP="00CA1225">
      <w:pPr>
        <w:bidi w:val="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56"/>
        <w:gridCol w:w="620"/>
        <w:gridCol w:w="620"/>
        <w:gridCol w:w="730"/>
      </w:tblGrid>
      <w:tr w:rsidR="00E359B5" w:rsidRPr="00E359B5" w14:paraId="5CCB6341" w14:textId="77777777" w:rsidTr="00CA1225">
        <w:trPr>
          <w:trHeight w:val="285"/>
          <w:jc w:val="center"/>
        </w:trPr>
        <w:tc>
          <w:tcPr>
            <w:tcW w:w="0" w:type="auto"/>
            <w:noWrap/>
            <w:vAlign w:val="bottom"/>
            <w:hideMark/>
          </w:tcPr>
          <w:p w14:paraId="23A6C517" w14:textId="5654DE9D" w:rsidR="00E359B5" w:rsidRPr="00E359B5" w:rsidRDefault="00CA1225" w:rsidP="00E359B5">
            <w:pPr>
              <w:bidi w:val="0"/>
              <w:jc w:val="center"/>
              <w:rPr>
                <w:rFonts w:asciiTheme="majorBidi" w:hAnsiTheme="majorBidi" w:cstheme="majorBidi"/>
                <w:color w:val="000000"/>
              </w:rPr>
            </w:pPr>
            <w:r w:rsidRPr="00CA1225">
              <w:rPr>
                <w:rFonts w:asciiTheme="majorBidi" w:hAnsiTheme="majorBidi" w:cstheme="majorBidi"/>
                <w:color w:val="000000"/>
              </w:rPr>
              <w:t>Year</w:t>
            </w:r>
          </w:p>
        </w:tc>
        <w:tc>
          <w:tcPr>
            <w:tcW w:w="0" w:type="auto"/>
            <w:noWrap/>
            <w:vAlign w:val="bottom"/>
            <w:hideMark/>
          </w:tcPr>
          <w:p w14:paraId="4FE3C79D" w14:textId="77777777" w:rsidR="00E359B5" w:rsidRPr="00E359B5" w:rsidRDefault="00E359B5" w:rsidP="00E359B5">
            <w:pPr>
              <w:bidi w:val="0"/>
              <w:rPr>
                <w:rFonts w:asciiTheme="majorBidi" w:hAnsiTheme="majorBidi" w:cstheme="majorBidi"/>
                <w:color w:val="000000"/>
              </w:rPr>
            </w:pPr>
            <w:r w:rsidRPr="00E359B5">
              <w:rPr>
                <w:rFonts w:asciiTheme="majorBidi" w:hAnsiTheme="majorBidi" w:cstheme="majorBidi"/>
                <w:color w:val="000000"/>
              </w:rPr>
              <w:t>WB</w:t>
            </w:r>
          </w:p>
        </w:tc>
        <w:tc>
          <w:tcPr>
            <w:tcW w:w="0" w:type="auto"/>
            <w:noWrap/>
            <w:vAlign w:val="bottom"/>
            <w:hideMark/>
          </w:tcPr>
          <w:p w14:paraId="706DBE14" w14:textId="77777777" w:rsidR="00E359B5" w:rsidRPr="00E359B5" w:rsidRDefault="00E359B5" w:rsidP="00E359B5">
            <w:pPr>
              <w:bidi w:val="0"/>
              <w:rPr>
                <w:rFonts w:asciiTheme="majorBidi" w:hAnsiTheme="majorBidi" w:cstheme="majorBidi"/>
                <w:color w:val="000000"/>
              </w:rPr>
            </w:pPr>
            <w:r w:rsidRPr="00E359B5">
              <w:rPr>
                <w:rFonts w:asciiTheme="majorBidi" w:hAnsiTheme="majorBidi" w:cstheme="majorBidi"/>
                <w:color w:val="000000"/>
              </w:rPr>
              <w:t>GS</w:t>
            </w:r>
          </w:p>
        </w:tc>
        <w:tc>
          <w:tcPr>
            <w:tcW w:w="0" w:type="auto"/>
            <w:noWrap/>
            <w:vAlign w:val="bottom"/>
            <w:hideMark/>
          </w:tcPr>
          <w:p w14:paraId="3D22029F" w14:textId="77777777" w:rsidR="00E359B5" w:rsidRPr="00E359B5" w:rsidRDefault="00E359B5" w:rsidP="00E359B5">
            <w:pPr>
              <w:bidi w:val="0"/>
              <w:rPr>
                <w:rFonts w:asciiTheme="majorBidi" w:hAnsiTheme="majorBidi" w:cstheme="majorBidi"/>
                <w:color w:val="000000"/>
              </w:rPr>
            </w:pPr>
            <w:r w:rsidRPr="00E359B5">
              <w:rPr>
                <w:rFonts w:asciiTheme="majorBidi" w:hAnsiTheme="majorBidi" w:cstheme="majorBidi"/>
                <w:color w:val="000000"/>
              </w:rPr>
              <w:t>WBG</w:t>
            </w:r>
          </w:p>
        </w:tc>
      </w:tr>
      <w:tr w:rsidR="00E359B5" w:rsidRPr="00E359B5" w14:paraId="46B3464C" w14:textId="77777777" w:rsidTr="00CA1225">
        <w:trPr>
          <w:trHeight w:val="285"/>
          <w:jc w:val="center"/>
        </w:trPr>
        <w:tc>
          <w:tcPr>
            <w:tcW w:w="0" w:type="auto"/>
            <w:noWrap/>
            <w:vAlign w:val="bottom"/>
            <w:hideMark/>
          </w:tcPr>
          <w:p w14:paraId="01AB981F"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2008</w:t>
            </w:r>
          </w:p>
        </w:tc>
        <w:tc>
          <w:tcPr>
            <w:tcW w:w="0" w:type="auto"/>
            <w:noWrap/>
            <w:vAlign w:val="bottom"/>
            <w:hideMark/>
          </w:tcPr>
          <w:p w14:paraId="2EF79921"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60%</w:t>
            </w:r>
          </w:p>
        </w:tc>
        <w:tc>
          <w:tcPr>
            <w:tcW w:w="0" w:type="auto"/>
            <w:noWrap/>
            <w:vAlign w:val="bottom"/>
            <w:hideMark/>
          </w:tcPr>
          <w:p w14:paraId="6BBA65D9"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48%</w:t>
            </w:r>
          </w:p>
        </w:tc>
        <w:tc>
          <w:tcPr>
            <w:tcW w:w="0" w:type="auto"/>
            <w:noWrap/>
            <w:vAlign w:val="bottom"/>
            <w:hideMark/>
          </w:tcPr>
          <w:p w14:paraId="68E22506"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54%</w:t>
            </w:r>
          </w:p>
        </w:tc>
      </w:tr>
      <w:tr w:rsidR="00E359B5" w:rsidRPr="00E359B5" w14:paraId="51183C10" w14:textId="77777777" w:rsidTr="00CA1225">
        <w:trPr>
          <w:trHeight w:val="285"/>
          <w:jc w:val="center"/>
        </w:trPr>
        <w:tc>
          <w:tcPr>
            <w:tcW w:w="0" w:type="auto"/>
            <w:noWrap/>
            <w:vAlign w:val="bottom"/>
            <w:hideMark/>
          </w:tcPr>
          <w:p w14:paraId="669CB9C2"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2009</w:t>
            </w:r>
          </w:p>
        </w:tc>
        <w:tc>
          <w:tcPr>
            <w:tcW w:w="0" w:type="auto"/>
            <w:noWrap/>
            <w:vAlign w:val="bottom"/>
            <w:hideMark/>
          </w:tcPr>
          <w:p w14:paraId="258F33C0"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44%</w:t>
            </w:r>
          </w:p>
        </w:tc>
        <w:tc>
          <w:tcPr>
            <w:tcW w:w="0" w:type="auto"/>
            <w:noWrap/>
            <w:vAlign w:val="bottom"/>
            <w:hideMark/>
          </w:tcPr>
          <w:p w14:paraId="01C1124A"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50%</w:t>
            </w:r>
          </w:p>
        </w:tc>
        <w:tc>
          <w:tcPr>
            <w:tcW w:w="0" w:type="auto"/>
            <w:noWrap/>
            <w:vAlign w:val="bottom"/>
            <w:hideMark/>
          </w:tcPr>
          <w:p w14:paraId="66E74393"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41%</w:t>
            </w:r>
          </w:p>
        </w:tc>
      </w:tr>
      <w:tr w:rsidR="00E359B5" w:rsidRPr="00E359B5" w14:paraId="117B28EB" w14:textId="77777777" w:rsidTr="00CA1225">
        <w:trPr>
          <w:trHeight w:val="285"/>
          <w:jc w:val="center"/>
        </w:trPr>
        <w:tc>
          <w:tcPr>
            <w:tcW w:w="0" w:type="auto"/>
            <w:noWrap/>
            <w:vAlign w:val="bottom"/>
            <w:hideMark/>
          </w:tcPr>
          <w:p w14:paraId="29C5249B"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2010</w:t>
            </w:r>
          </w:p>
        </w:tc>
        <w:tc>
          <w:tcPr>
            <w:tcW w:w="0" w:type="auto"/>
            <w:noWrap/>
            <w:vAlign w:val="bottom"/>
            <w:hideMark/>
          </w:tcPr>
          <w:p w14:paraId="0B1A0C47"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34%</w:t>
            </w:r>
          </w:p>
        </w:tc>
        <w:tc>
          <w:tcPr>
            <w:tcW w:w="0" w:type="auto"/>
            <w:noWrap/>
            <w:vAlign w:val="bottom"/>
            <w:hideMark/>
          </w:tcPr>
          <w:p w14:paraId="0155BB97"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38%</w:t>
            </w:r>
          </w:p>
        </w:tc>
        <w:tc>
          <w:tcPr>
            <w:tcW w:w="0" w:type="auto"/>
            <w:noWrap/>
            <w:vAlign w:val="bottom"/>
            <w:hideMark/>
          </w:tcPr>
          <w:p w14:paraId="510A4162"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35%</w:t>
            </w:r>
          </w:p>
        </w:tc>
      </w:tr>
      <w:tr w:rsidR="00E359B5" w:rsidRPr="00E359B5" w14:paraId="19B6DEFD" w14:textId="77777777" w:rsidTr="00CA1225">
        <w:trPr>
          <w:trHeight w:val="285"/>
          <w:jc w:val="center"/>
        </w:trPr>
        <w:tc>
          <w:tcPr>
            <w:tcW w:w="0" w:type="auto"/>
            <w:noWrap/>
            <w:vAlign w:val="bottom"/>
            <w:hideMark/>
          </w:tcPr>
          <w:p w14:paraId="3CDD75EB"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2011</w:t>
            </w:r>
          </w:p>
        </w:tc>
        <w:tc>
          <w:tcPr>
            <w:tcW w:w="0" w:type="auto"/>
            <w:noWrap/>
            <w:vAlign w:val="bottom"/>
            <w:hideMark/>
          </w:tcPr>
          <w:p w14:paraId="17019B34"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37%</w:t>
            </w:r>
          </w:p>
        </w:tc>
        <w:tc>
          <w:tcPr>
            <w:tcW w:w="0" w:type="auto"/>
            <w:noWrap/>
            <w:vAlign w:val="bottom"/>
            <w:hideMark/>
          </w:tcPr>
          <w:p w14:paraId="33ABE3C5"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45%</w:t>
            </w:r>
          </w:p>
        </w:tc>
        <w:tc>
          <w:tcPr>
            <w:tcW w:w="0" w:type="auto"/>
            <w:noWrap/>
            <w:vAlign w:val="bottom"/>
            <w:hideMark/>
          </w:tcPr>
          <w:p w14:paraId="644DDA26"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35%</w:t>
            </w:r>
          </w:p>
        </w:tc>
      </w:tr>
      <w:tr w:rsidR="00E359B5" w:rsidRPr="00E359B5" w14:paraId="03B70021" w14:textId="77777777" w:rsidTr="00CA1225">
        <w:trPr>
          <w:trHeight w:val="285"/>
          <w:jc w:val="center"/>
        </w:trPr>
        <w:tc>
          <w:tcPr>
            <w:tcW w:w="0" w:type="auto"/>
            <w:noWrap/>
            <w:vAlign w:val="bottom"/>
            <w:hideMark/>
          </w:tcPr>
          <w:p w14:paraId="17955B11"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2012</w:t>
            </w:r>
          </w:p>
        </w:tc>
        <w:tc>
          <w:tcPr>
            <w:tcW w:w="0" w:type="auto"/>
            <w:noWrap/>
            <w:vAlign w:val="bottom"/>
            <w:hideMark/>
          </w:tcPr>
          <w:p w14:paraId="57D355C5"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23%</w:t>
            </w:r>
          </w:p>
        </w:tc>
        <w:tc>
          <w:tcPr>
            <w:tcW w:w="0" w:type="auto"/>
            <w:noWrap/>
            <w:vAlign w:val="bottom"/>
            <w:hideMark/>
          </w:tcPr>
          <w:p w14:paraId="618E420D"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39%</w:t>
            </w:r>
          </w:p>
        </w:tc>
        <w:tc>
          <w:tcPr>
            <w:tcW w:w="0" w:type="auto"/>
            <w:noWrap/>
            <w:vAlign w:val="bottom"/>
            <w:hideMark/>
          </w:tcPr>
          <w:p w14:paraId="2988E49C"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20%</w:t>
            </w:r>
          </w:p>
        </w:tc>
      </w:tr>
      <w:tr w:rsidR="00E359B5" w:rsidRPr="00E359B5" w14:paraId="0FD46A40" w14:textId="77777777" w:rsidTr="00CA1225">
        <w:trPr>
          <w:trHeight w:val="285"/>
          <w:jc w:val="center"/>
        </w:trPr>
        <w:tc>
          <w:tcPr>
            <w:tcW w:w="0" w:type="auto"/>
            <w:noWrap/>
            <w:vAlign w:val="bottom"/>
            <w:hideMark/>
          </w:tcPr>
          <w:p w14:paraId="1E8CA218"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2013</w:t>
            </w:r>
          </w:p>
        </w:tc>
        <w:tc>
          <w:tcPr>
            <w:tcW w:w="0" w:type="auto"/>
            <w:noWrap/>
            <w:vAlign w:val="bottom"/>
            <w:hideMark/>
          </w:tcPr>
          <w:p w14:paraId="14333DBA"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56%</w:t>
            </w:r>
          </w:p>
        </w:tc>
        <w:tc>
          <w:tcPr>
            <w:tcW w:w="0" w:type="auto"/>
            <w:noWrap/>
            <w:vAlign w:val="bottom"/>
            <w:hideMark/>
          </w:tcPr>
          <w:p w14:paraId="0CD3B53B"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37%</w:t>
            </w:r>
          </w:p>
        </w:tc>
        <w:tc>
          <w:tcPr>
            <w:tcW w:w="0" w:type="auto"/>
            <w:noWrap/>
            <w:vAlign w:val="bottom"/>
            <w:hideMark/>
          </w:tcPr>
          <w:p w14:paraId="30DC55CD"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51%</w:t>
            </w:r>
          </w:p>
        </w:tc>
      </w:tr>
      <w:tr w:rsidR="00E359B5" w:rsidRPr="00E359B5" w14:paraId="01C3D664" w14:textId="77777777" w:rsidTr="00CA1225">
        <w:trPr>
          <w:trHeight w:val="285"/>
          <w:jc w:val="center"/>
        </w:trPr>
        <w:tc>
          <w:tcPr>
            <w:tcW w:w="0" w:type="auto"/>
            <w:noWrap/>
            <w:vAlign w:val="bottom"/>
            <w:hideMark/>
          </w:tcPr>
          <w:p w14:paraId="62FCC562"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2014</w:t>
            </w:r>
          </w:p>
        </w:tc>
        <w:tc>
          <w:tcPr>
            <w:tcW w:w="0" w:type="auto"/>
            <w:noWrap/>
            <w:vAlign w:val="bottom"/>
            <w:hideMark/>
          </w:tcPr>
          <w:p w14:paraId="162D19EB"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49%</w:t>
            </w:r>
          </w:p>
        </w:tc>
        <w:tc>
          <w:tcPr>
            <w:tcW w:w="0" w:type="auto"/>
            <w:noWrap/>
            <w:vAlign w:val="bottom"/>
            <w:hideMark/>
          </w:tcPr>
          <w:p w14:paraId="5B4813A0"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25%</w:t>
            </w:r>
          </w:p>
        </w:tc>
        <w:tc>
          <w:tcPr>
            <w:tcW w:w="0" w:type="auto"/>
            <w:noWrap/>
            <w:vAlign w:val="bottom"/>
            <w:hideMark/>
          </w:tcPr>
          <w:p w14:paraId="7725D75C"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47%</w:t>
            </w:r>
          </w:p>
        </w:tc>
      </w:tr>
      <w:tr w:rsidR="00E359B5" w:rsidRPr="00E359B5" w14:paraId="698848B5" w14:textId="77777777" w:rsidTr="00CA1225">
        <w:trPr>
          <w:trHeight w:val="285"/>
          <w:jc w:val="center"/>
        </w:trPr>
        <w:tc>
          <w:tcPr>
            <w:tcW w:w="0" w:type="auto"/>
            <w:noWrap/>
            <w:vAlign w:val="bottom"/>
            <w:hideMark/>
          </w:tcPr>
          <w:p w14:paraId="51047871"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2015</w:t>
            </w:r>
          </w:p>
        </w:tc>
        <w:tc>
          <w:tcPr>
            <w:tcW w:w="0" w:type="auto"/>
            <w:noWrap/>
            <w:vAlign w:val="bottom"/>
            <w:hideMark/>
          </w:tcPr>
          <w:p w14:paraId="338D7726"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42%</w:t>
            </w:r>
          </w:p>
        </w:tc>
        <w:tc>
          <w:tcPr>
            <w:tcW w:w="0" w:type="auto"/>
            <w:noWrap/>
            <w:vAlign w:val="bottom"/>
            <w:hideMark/>
          </w:tcPr>
          <w:p w14:paraId="5520AD18"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40%</w:t>
            </w:r>
          </w:p>
        </w:tc>
        <w:tc>
          <w:tcPr>
            <w:tcW w:w="0" w:type="auto"/>
            <w:noWrap/>
            <w:vAlign w:val="bottom"/>
            <w:hideMark/>
          </w:tcPr>
          <w:p w14:paraId="619D45B6"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39%</w:t>
            </w:r>
          </w:p>
        </w:tc>
      </w:tr>
      <w:tr w:rsidR="00E359B5" w:rsidRPr="00E359B5" w14:paraId="368C0D2A" w14:textId="77777777" w:rsidTr="00CA1225">
        <w:trPr>
          <w:trHeight w:val="285"/>
          <w:jc w:val="center"/>
        </w:trPr>
        <w:tc>
          <w:tcPr>
            <w:tcW w:w="0" w:type="auto"/>
            <w:noWrap/>
            <w:vAlign w:val="bottom"/>
            <w:hideMark/>
          </w:tcPr>
          <w:p w14:paraId="2C5A2FAE"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2016</w:t>
            </w:r>
          </w:p>
        </w:tc>
        <w:tc>
          <w:tcPr>
            <w:tcW w:w="0" w:type="auto"/>
            <w:noWrap/>
            <w:vAlign w:val="bottom"/>
            <w:hideMark/>
          </w:tcPr>
          <w:p w14:paraId="1AE3FD94"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39%</w:t>
            </w:r>
          </w:p>
        </w:tc>
        <w:tc>
          <w:tcPr>
            <w:tcW w:w="0" w:type="auto"/>
            <w:noWrap/>
            <w:vAlign w:val="bottom"/>
            <w:hideMark/>
          </w:tcPr>
          <w:p w14:paraId="3783E8AA"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45%</w:t>
            </w:r>
          </w:p>
        </w:tc>
        <w:tc>
          <w:tcPr>
            <w:tcW w:w="0" w:type="auto"/>
            <w:noWrap/>
            <w:vAlign w:val="bottom"/>
            <w:hideMark/>
          </w:tcPr>
          <w:p w14:paraId="5A8189B0"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40%</w:t>
            </w:r>
          </w:p>
        </w:tc>
      </w:tr>
      <w:tr w:rsidR="00E359B5" w:rsidRPr="00E359B5" w14:paraId="2B052546" w14:textId="77777777" w:rsidTr="00CA1225">
        <w:trPr>
          <w:trHeight w:val="285"/>
          <w:jc w:val="center"/>
        </w:trPr>
        <w:tc>
          <w:tcPr>
            <w:tcW w:w="0" w:type="auto"/>
            <w:noWrap/>
            <w:vAlign w:val="bottom"/>
            <w:hideMark/>
          </w:tcPr>
          <w:p w14:paraId="35E1D123"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2017</w:t>
            </w:r>
          </w:p>
        </w:tc>
        <w:tc>
          <w:tcPr>
            <w:tcW w:w="0" w:type="auto"/>
            <w:noWrap/>
            <w:vAlign w:val="bottom"/>
            <w:hideMark/>
          </w:tcPr>
          <w:p w14:paraId="3320ED21"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45%</w:t>
            </w:r>
          </w:p>
        </w:tc>
        <w:tc>
          <w:tcPr>
            <w:tcW w:w="0" w:type="auto"/>
            <w:noWrap/>
            <w:vAlign w:val="bottom"/>
            <w:hideMark/>
          </w:tcPr>
          <w:p w14:paraId="1135D46C"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53%</w:t>
            </w:r>
          </w:p>
        </w:tc>
        <w:tc>
          <w:tcPr>
            <w:tcW w:w="0" w:type="auto"/>
            <w:noWrap/>
            <w:vAlign w:val="bottom"/>
            <w:hideMark/>
          </w:tcPr>
          <w:p w14:paraId="5922E702"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44%</w:t>
            </w:r>
          </w:p>
        </w:tc>
      </w:tr>
      <w:tr w:rsidR="00E359B5" w:rsidRPr="00E359B5" w14:paraId="0C9070A4" w14:textId="77777777" w:rsidTr="00CA1225">
        <w:trPr>
          <w:trHeight w:val="285"/>
          <w:jc w:val="center"/>
        </w:trPr>
        <w:tc>
          <w:tcPr>
            <w:tcW w:w="0" w:type="auto"/>
            <w:noWrap/>
            <w:vAlign w:val="bottom"/>
            <w:hideMark/>
          </w:tcPr>
          <w:p w14:paraId="7F73B755"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2018</w:t>
            </w:r>
          </w:p>
        </w:tc>
        <w:tc>
          <w:tcPr>
            <w:tcW w:w="0" w:type="auto"/>
            <w:noWrap/>
            <w:vAlign w:val="bottom"/>
            <w:hideMark/>
          </w:tcPr>
          <w:p w14:paraId="154D2DF8"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56%</w:t>
            </w:r>
          </w:p>
        </w:tc>
        <w:tc>
          <w:tcPr>
            <w:tcW w:w="0" w:type="auto"/>
            <w:noWrap/>
            <w:vAlign w:val="bottom"/>
            <w:hideMark/>
          </w:tcPr>
          <w:p w14:paraId="4CE940C2"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58%</w:t>
            </w:r>
          </w:p>
        </w:tc>
        <w:tc>
          <w:tcPr>
            <w:tcW w:w="0" w:type="auto"/>
            <w:noWrap/>
            <w:vAlign w:val="bottom"/>
            <w:hideMark/>
          </w:tcPr>
          <w:p w14:paraId="2B663F20"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55%</w:t>
            </w:r>
          </w:p>
        </w:tc>
      </w:tr>
      <w:tr w:rsidR="00E359B5" w:rsidRPr="00E359B5" w14:paraId="2C3C9300" w14:textId="77777777" w:rsidTr="00CA1225">
        <w:trPr>
          <w:trHeight w:val="285"/>
          <w:jc w:val="center"/>
        </w:trPr>
        <w:tc>
          <w:tcPr>
            <w:tcW w:w="0" w:type="auto"/>
            <w:noWrap/>
            <w:vAlign w:val="bottom"/>
            <w:hideMark/>
          </w:tcPr>
          <w:p w14:paraId="1C3DF808"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2019</w:t>
            </w:r>
          </w:p>
        </w:tc>
        <w:tc>
          <w:tcPr>
            <w:tcW w:w="0" w:type="auto"/>
            <w:noWrap/>
            <w:vAlign w:val="bottom"/>
            <w:hideMark/>
          </w:tcPr>
          <w:p w14:paraId="10610414"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47%</w:t>
            </w:r>
          </w:p>
        </w:tc>
        <w:tc>
          <w:tcPr>
            <w:tcW w:w="0" w:type="auto"/>
            <w:noWrap/>
            <w:vAlign w:val="bottom"/>
            <w:hideMark/>
          </w:tcPr>
          <w:p w14:paraId="74E63D71"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47%</w:t>
            </w:r>
          </w:p>
        </w:tc>
        <w:tc>
          <w:tcPr>
            <w:tcW w:w="0" w:type="auto"/>
            <w:noWrap/>
            <w:vAlign w:val="bottom"/>
            <w:hideMark/>
          </w:tcPr>
          <w:p w14:paraId="3FD01183" w14:textId="77777777" w:rsidR="00E359B5" w:rsidRPr="00E359B5" w:rsidRDefault="00E359B5" w:rsidP="00E359B5">
            <w:pPr>
              <w:bidi w:val="0"/>
              <w:jc w:val="right"/>
              <w:rPr>
                <w:rFonts w:asciiTheme="majorBidi" w:hAnsiTheme="majorBidi" w:cstheme="majorBidi"/>
                <w:color w:val="000000"/>
              </w:rPr>
            </w:pPr>
            <w:r w:rsidRPr="00E359B5">
              <w:rPr>
                <w:rFonts w:asciiTheme="majorBidi" w:hAnsiTheme="majorBidi" w:cstheme="majorBidi"/>
                <w:color w:val="000000"/>
              </w:rPr>
              <w:t>49%</w:t>
            </w:r>
          </w:p>
        </w:tc>
      </w:tr>
    </w:tbl>
    <w:p w14:paraId="5EC5DA12" w14:textId="77777777" w:rsidR="00A44CEE" w:rsidRDefault="00A44CEE" w:rsidP="00A44CEE">
      <w:pPr>
        <w:bidi w:val="0"/>
        <w:jc w:val="center"/>
        <w:rPr>
          <w:b/>
          <w:bCs/>
        </w:rPr>
      </w:pPr>
    </w:p>
    <w:p w14:paraId="23D1B3CE" w14:textId="77777777" w:rsidR="00CA1225" w:rsidRPr="00CA1225" w:rsidRDefault="00CA1225" w:rsidP="00CA1225">
      <w:pPr>
        <w:bidi w:val="0"/>
        <w:jc w:val="center"/>
        <w:rPr>
          <w:rFonts w:asciiTheme="majorBidi" w:hAnsiTheme="majorBidi" w:cstheme="majorBidi"/>
          <w:b/>
          <w:bCs/>
          <w:color w:val="000000"/>
        </w:rPr>
      </w:pPr>
      <w:r w:rsidRPr="00CA1225">
        <w:rPr>
          <w:rFonts w:asciiTheme="majorBidi" w:hAnsiTheme="majorBidi" w:cstheme="majorBidi"/>
          <w:b/>
          <w:bCs/>
          <w:color w:val="000000"/>
        </w:rPr>
        <w:t xml:space="preserve">Table </w:t>
      </w:r>
      <w:r w:rsidRPr="00E50C32">
        <w:rPr>
          <w:rFonts w:asciiTheme="majorBidi" w:hAnsiTheme="majorBidi" w:cstheme="majorBidi"/>
          <w:b/>
          <w:bCs/>
          <w:color w:val="000000"/>
          <w:highlight w:val="yellow"/>
        </w:rPr>
        <w:t>XX</w:t>
      </w:r>
      <w:r w:rsidRPr="00CA1225">
        <w:rPr>
          <w:rFonts w:asciiTheme="majorBidi" w:hAnsiTheme="majorBidi" w:cstheme="majorBidi"/>
          <w:b/>
          <w:bCs/>
          <w:color w:val="000000"/>
        </w:rPr>
        <w:t xml:space="preserve"> - WB and GS - </w:t>
      </w:r>
      <w:r w:rsidRPr="00982CBE">
        <w:rPr>
          <w:rFonts w:asciiTheme="majorBidi" w:hAnsiTheme="majorBidi" w:cstheme="majorBidi"/>
          <w:b/>
          <w:bCs/>
          <w:color w:val="000000"/>
        </w:rPr>
        <w:t>Movement of people and services</w:t>
      </w:r>
      <w:r w:rsidRPr="00CA1225">
        <w:rPr>
          <w:rFonts w:asciiTheme="majorBidi" w:hAnsiTheme="majorBidi" w:cstheme="majorBidi"/>
          <w:b/>
          <w:bCs/>
          <w:color w:val="000000"/>
        </w:rPr>
        <w:t xml:space="preserve"> dimension</w:t>
      </w:r>
    </w:p>
    <w:p w14:paraId="3E8B839B" w14:textId="77777777" w:rsidR="00CA1225" w:rsidRDefault="00CA1225" w:rsidP="00CA1225">
      <w:pPr>
        <w:bidi w:val="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81"/>
        <w:gridCol w:w="620"/>
        <w:gridCol w:w="620"/>
        <w:gridCol w:w="754"/>
      </w:tblGrid>
      <w:tr w:rsidR="00982CBE" w:rsidRPr="00982CBE" w14:paraId="16F98E93" w14:textId="77777777" w:rsidTr="00CA1225">
        <w:trPr>
          <w:trHeight w:val="285"/>
          <w:jc w:val="center"/>
        </w:trPr>
        <w:tc>
          <w:tcPr>
            <w:tcW w:w="0" w:type="auto"/>
            <w:noWrap/>
            <w:vAlign w:val="bottom"/>
            <w:hideMark/>
          </w:tcPr>
          <w:p w14:paraId="10384C37" w14:textId="141A0507" w:rsidR="00982CBE" w:rsidRPr="00982CBE" w:rsidRDefault="00CA1225" w:rsidP="00982CBE">
            <w:pPr>
              <w:bidi w:val="0"/>
              <w:jc w:val="center"/>
              <w:rPr>
                <w:rFonts w:asciiTheme="majorBidi" w:hAnsiTheme="majorBidi" w:cstheme="majorBidi"/>
                <w:b/>
                <w:bCs/>
                <w:color w:val="000000"/>
              </w:rPr>
            </w:pPr>
            <w:r w:rsidRPr="00CA1225">
              <w:rPr>
                <w:rFonts w:asciiTheme="majorBidi" w:hAnsiTheme="majorBidi" w:cstheme="majorBidi"/>
                <w:b/>
                <w:bCs/>
                <w:color w:val="000000"/>
              </w:rPr>
              <w:t>Year</w:t>
            </w:r>
          </w:p>
        </w:tc>
        <w:tc>
          <w:tcPr>
            <w:tcW w:w="0" w:type="auto"/>
            <w:noWrap/>
            <w:vAlign w:val="bottom"/>
            <w:hideMark/>
          </w:tcPr>
          <w:p w14:paraId="5AD08A62" w14:textId="77777777" w:rsidR="00982CBE" w:rsidRPr="00982CBE" w:rsidRDefault="00982CBE" w:rsidP="00982CBE">
            <w:pPr>
              <w:bidi w:val="0"/>
              <w:rPr>
                <w:rFonts w:asciiTheme="majorBidi" w:hAnsiTheme="majorBidi" w:cstheme="majorBidi"/>
                <w:b/>
                <w:bCs/>
                <w:color w:val="000000"/>
              </w:rPr>
            </w:pPr>
            <w:r w:rsidRPr="00982CBE">
              <w:rPr>
                <w:rFonts w:asciiTheme="majorBidi" w:hAnsiTheme="majorBidi" w:cstheme="majorBidi"/>
                <w:b/>
                <w:bCs/>
                <w:color w:val="000000"/>
              </w:rPr>
              <w:t>WB</w:t>
            </w:r>
          </w:p>
        </w:tc>
        <w:tc>
          <w:tcPr>
            <w:tcW w:w="0" w:type="auto"/>
            <w:noWrap/>
            <w:vAlign w:val="bottom"/>
            <w:hideMark/>
          </w:tcPr>
          <w:p w14:paraId="0D59B87B" w14:textId="77777777" w:rsidR="00982CBE" w:rsidRPr="00982CBE" w:rsidRDefault="00982CBE" w:rsidP="00982CBE">
            <w:pPr>
              <w:bidi w:val="0"/>
              <w:rPr>
                <w:rFonts w:asciiTheme="majorBidi" w:hAnsiTheme="majorBidi" w:cstheme="majorBidi"/>
                <w:b/>
                <w:bCs/>
                <w:color w:val="000000"/>
              </w:rPr>
            </w:pPr>
            <w:r w:rsidRPr="00982CBE">
              <w:rPr>
                <w:rFonts w:asciiTheme="majorBidi" w:hAnsiTheme="majorBidi" w:cstheme="majorBidi"/>
                <w:b/>
                <w:bCs/>
                <w:color w:val="000000"/>
              </w:rPr>
              <w:t>GS</w:t>
            </w:r>
          </w:p>
        </w:tc>
        <w:tc>
          <w:tcPr>
            <w:tcW w:w="0" w:type="auto"/>
            <w:noWrap/>
            <w:vAlign w:val="bottom"/>
            <w:hideMark/>
          </w:tcPr>
          <w:p w14:paraId="46070938" w14:textId="77777777" w:rsidR="00982CBE" w:rsidRPr="00982CBE" w:rsidRDefault="00982CBE" w:rsidP="00982CBE">
            <w:pPr>
              <w:bidi w:val="0"/>
              <w:rPr>
                <w:rFonts w:asciiTheme="majorBidi" w:hAnsiTheme="majorBidi" w:cstheme="majorBidi"/>
                <w:b/>
                <w:bCs/>
                <w:color w:val="000000"/>
              </w:rPr>
            </w:pPr>
            <w:r w:rsidRPr="00982CBE">
              <w:rPr>
                <w:rFonts w:asciiTheme="majorBidi" w:hAnsiTheme="majorBidi" w:cstheme="majorBidi"/>
                <w:b/>
                <w:bCs/>
                <w:color w:val="000000"/>
              </w:rPr>
              <w:t>WBG</w:t>
            </w:r>
          </w:p>
        </w:tc>
      </w:tr>
      <w:tr w:rsidR="00982CBE" w:rsidRPr="00982CBE" w14:paraId="62A10F2F" w14:textId="77777777" w:rsidTr="00CA1225">
        <w:trPr>
          <w:trHeight w:val="285"/>
          <w:jc w:val="center"/>
        </w:trPr>
        <w:tc>
          <w:tcPr>
            <w:tcW w:w="0" w:type="auto"/>
            <w:noWrap/>
            <w:vAlign w:val="bottom"/>
            <w:hideMark/>
          </w:tcPr>
          <w:p w14:paraId="7EDF6016"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2008</w:t>
            </w:r>
          </w:p>
        </w:tc>
        <w:tc>
          <w:tcPr>
            <w:tcW w:w="0" w:type="auto"/>
            <w:noWrap/>
            <w:vAlign w:val="bottom"/>
            <w:hideMark/>
          </w:tcPr>
          <w:p w14:paraId="5A761F28"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30%</w:t>
            </w:r>
          </w:p>
        </w:tc>
        <w:tc>
          <w:tcPr>
            <w:tcW w:w="0" w:type="auto"/>
            <w:noWrap/>
            <w:vAlign w:val="bottom"/>
            <w:hideMark/>
          </w:tcPr>
          <w:p w14:paraId="0096226B"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27%</w:t>
            </w:r>
          </w:p>
        </w:tc>
        <w:tc>
          <w:tcPr>
            <w:tcW w:w="0" w:type="auto"/>
            <w:noWrap/>
            <w:vAlign w:val="bottom"/>
            <w:hideMark/>
          </w:tcPr>
          <w:p w14:paraId="1AB31108"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31%</w:t>
            </w:r>
          </w:p>
        </w:tc>
      </w:tr>
      <w:tr w:rsidR="00982CBE" w:rsidRPr="00982CBE" w14:paraId="66C216E1" w14:textId="77777777" w:rsidTr="00CA1225">
        <w:trPr>
          <w:trHeight w:val="285"/>
          <w:jc w:val="center"/>
        </w:trPr>
        <w:tc>
          <w:tcPr>
            <w:tcW w:w="0" w:type="auto"/>
            <w:noWrap/>
            <w:vAlign w:val="bottom"/>
            <w:hideMark/>
          </w:tcPr>
          <w:p w14:paraId="57D07B04"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2009</w:t>
            </w:r>
          </w:p>
        </w:tc>
        <w:tc>
          <w:tcPr>
            <w:tcW w:w="0" w:type="auto"/>
            <w:noWrap/>
            <w:vAlign w:val="bottom"/>
            <w:hideMark/>
          </w:tcPr>
          <w:p w14:paraId="740C310D"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30%</w:t>
            </w:r>
          </w:p>
        </w:tc>
        <w:tc>
          <w:tcPr>
            <w:tcW w:w="0" w:type="auto"/>
            <w:noWrap/>
            <w:vAlign w:val="bottom"/>
            <w:hideMark/>
          </w:tcPr>
          <w:p w14:paraId="12C2AF72"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27%</w:t>
            </w:r>
          </w:p>
        </w:tc>
        <w:tc>
          <w:tcPr>
            <w:tcW w:w="0" w:type="auto"/>
            <w:noWrap/>
            <w:vAlign w:val="bottom"/>
            <w:hideMark/>
          </w:tcPr>
          <w:p w14:paraId="51D1554C"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31%</w:t>
            </w:r>
          </w:p>
        </w:tc>
      </w:tr>
      <w:tr w:rsidR="00982CBE" w:rsidRPr="00982CBE" w14:paraId="624033EB" w14:textId="77777777" w:rsidTr="00CA1225">
        <w:trPr>
          <w:trHeight w:val="285"/>
          <w:jc w:val="center"/>
        </w:trPr>
        <w:tc>
          <w:tcPr>
            <w:tcW w:w="0" w:type="auto"/>
            <w:noWrap/>
            <w:vAlign w:val="bottom"/>
            <w:hideMark/>
          </w:tcPr>
          <w:p w14:paraId="3EF4A083"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2010</w:t>
            </w:r>
          </w:p>
        </w:tc>
        <w:tc>
          <w:tcPr>
            <w:tcW w:w="0" w:type="auto"/>
            <w:noWrap/>
            <w:vAlign w:val="bottom"/>
            <w:hideMark/>
          </w:tcPr>
          <w:p w14:paraId="49BE9536"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30%</w:t>
            </w:r>
          </w:p>
        </w:tc>
        <w:tc>
          <w:tcPr>
            <w:tcW w:w="0" w:type="auto"/>
            <w:noWrap/>
            <w:vAlign w:val="bottom"/>
            <w:hideMark/>
          </w:tcPr>
          <w:p w14:paraId="2F6F075E"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27%</w:t>
            </w:r>
          </w:p>
        </w:tc>
        <w:tc>
          <w:tcPr>
            <w:tcW w:w="0" w:type="auto"/>
            <w:noWrap/>
            <w:vAlign w:val="bottom"/>
            <w:hideMark/>
          </w:tcPr>
          <w:p w14:paraId="517A7751"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31%</w:t>
            </w:r>
          </w:p>
        </w:tc>
      </w:tr>
      <w:tr w:rsidR="00982CBE" w:rsidRPr="00982CBE" w14:paraId="172ED363" w14:textId="77777777" w:rsidTr="00CA1225">
        <w:trPr>
          <w:trHeight w:val="285"/>
          <w:jc w:val="center"/>
        </w:trPr>
        <w:tc>
          <w:tcPr>
            <w:tcW w:w="0" w:type="auto"/>
            <w:noWrap/>
            <w:vAlign w:val="bottom"/>
            <w:hideMark/>
          </w:tcPr>
          <w:p w14:paraId="5414A1E0"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2011</w:t>
            </w:r>
          </w:p>
        </w:tc>
        <w:tc>
          <w:tcPr>
            <w:tcW w:w="0" w:type="auto"/>
            <w:noWrap/>
            <w:vAlign w:val="bottom"/>
            <w:hideMark/>
          </w:tcPr>
          <w:p w14:paraId="3692F09B"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30%</w:t>
            </w:r>
          </w:p>
        </w:tc>
        <w:tc>
          <w:tcPr>
            <w:tcW w:w="0" w:type="auto"/>
            <w:noWrap/>
            <w:vAlign w:val="bottom"/>
            <w:hideMark/>
          </w:tcPr>
          <w:p w14:paraId="3E25492B"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27%</w:t>
            </w:r>
          </w:p>
        </w:tc>
        <w:tc>
          <w:tcPr>
            <w:tcW w:w="0" w:type="auto"/>
            <w:noWrap/>
            <w:vAlign w:val="bottom"/>
            <w:hideMark/>
          </w:tcPr>
          <w:p w14:paraId="3774CED0"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31%</w:t>
            </w:r>
          </w:p>
        </w:tc>
      </w:tr>
      <w:tr w:rsidR="00982CBE" w:rsidRPr="00982CBE" w14:paraId="1DAD9428" w14:textId="77777777" w:rsidTr="00CA1225">
        <w:trPr>
          <w:trHeight w:val="285"/>
          <w:jc w:val="center"/>
        </w:trPr>
        <w:tc>
          <w:tcPr>
            <w:tcW w:w="0" w:type="auto"/>
            <w:noWrap/>
            <w:vAlign w:val="bottom"/>
            <w:hideMark/>
          </w:tcPr>
          <w:p w14:paraId="7A703DED"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2012</w:t>
            </w:r>
          </w:p>
        </w:tc>
        <w:tc>
          <w:tcPr>
            <w:tcW w:w="0" w:type="auto"/>
            <w:noWrap/>
            <w:vAlign w:val="bottom"/>
            <w:hideMark/>
          </w:tcPr>
          <w:p w14:paraId="3F049972"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54%</w:t>
            </w:r>
          </w:p>
        </w:tc>
        <w:tc>
          <w:tcPr>
            <w:tcW w:w="0" w:type="auto"/>
            <w:noWrap/>
            <w:vAlign w:val="bottom"/>
            <w:hideMark/>
          </w:tcPr>
          <w:p w14:paraId="2E7F7711"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13%</w:t>
            </w:r>
          </w:p>
        </w:tc>
        <w:tc>
          <w:tcPr>
            <w:tcW w:w="0" w:type="auto"/>
            <w:noWrap/>
            <w:vAlign w:val="bottom"/>
            <w:hideMark/>
          </w:tcPr>
          <w:p w14:paraId="6B079A0B"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54%</w:t>
            </w:r>
          </w:p>
        </w:tc>
      </w:tr>
      <w:tr w:rsidR="00982CBE" w:rsidRPr="00982CBE" w14:paraId="79900AA3" w14:textId="77777777" w:rsidTr="00CA1225">
        <w:trPr>
          <w:trHeight w:val="285"/>
          <w:jc w:val="center"/>
        </w:trPr>
        <w:tc>
          <w:tcPr>
            <w:tcW w:w="0" w:type="auto"/>
            <w:noWrap/>
            <w:vAlign w:val="bottom"/>
            <w:hideMark/>
          </w:tcPr>
          <w:p w14:paraId="27197542"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2013</w:t>
            </w:r>
          </w:p>
        </w:tc>
        <w:tc>
          <w:tcPr>
            <w:tcW w:w="0" w:type="auto"/>
            <w:noWrap/>
            <w:vAlign w:val="bottom"/>
            <w:hideMark/>
          </w:tcPr>
          <w:p w14:paraId="16B43DB2"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30%</w:t>
            </w:r>
          </w:p>
        </w:tc>
        <w:tc>
          <w:tcPr>
            <w:tcW w:w="0" w:type="auto"/>
            <w:noWrap/>
            <w:vAlign w:val="bottom"/>
            <w:hideMark/>
          </w:tcPr>
          <w:p w14:paraId="1BAF8B8A"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0%</w:t>
            </w:r>
          </w:p>
        </w:tc>
        <w:tc>
          <w:tcPr>
            <w:tcW w:w="0" w:type="auto"/>
            <w:noWrap/>
            <w:vAlign w:val="bottom"/>
            <w:hideMark/>
          </w:tcPr>
          <w:p w14:paraId="3888F79D"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28%</w:t>
            </w:r>
          </w:p>
        </w:tc>
      </w:tr>
      <w:tr w:rsidR="00982CBE" w:rsidRPr="00982CBE" w14:paraId="029E26E7" w14:textId="77777777" w:rsidTr="00CA1225">
        <w:trPr>
          <w:trHeight w:val="285"/>
          <w:jc w:val="center"/>
        </w:trPr>
        <w:tc>
          <w:tcPr>
            <w:tcW w:w="0" w:type="auto"/>
            <w:noWrap/>
            <w:vAlign w:val="bottom"/>
            <w:hideMark/>
          </w:tcPr>
          <w:p w14:paraId="25F50FCB"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2014</w:t>
            </w:r>
          </w:p>
        </w:tc>
        <w:tc>
          <w:tcPr>
            <w:tcW w:w="0" w:type="auto"/>
            <w:noWrap/>
            <w:vAlign w:val="bottom"/>
            <w:hideMark/>
          </w:tcPr>
          <w:p w14:paraId="456BACE5"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64%</w:t>
            </w:r>
          </w:p>
        </w:tc>
        <w:tc>
          <w:tcPr>
            <w:tcW w:w="0" w:type="auto"/>
            <w:noWrap/>
            <w:vAlign w:val="bottom"/>
            <w:hideMark/>
          </w:tcPr>
          <w:p w14:paraId="4ED4B857"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51%</w:t>
            </w:r>
          </w:p>
        </w:tc>
        <w:tc>
          <w:tcPr>
            <w:tcW w:w="0" w:type="auto"/>
            <w:noWrap/>
            <w:vAlign w:val="bottom"/>
            <w:hideMark/>
          </w:tcPr>
          <w:p w14:paraId="51B0B1B4"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64%</w:t>
            </w:r>
          </w:p>
        </w:tc>
      </w:tr>
      <w:tr w:rsidR="00982CBE" w:rsidRPr="00982CBE" w14:paraId="28BAED72" w14:textId="77777777" w:rsidTr="00CA1225">
        <w:trPr>
          <w:trHeight w:val="285"/>
          <w:jc w:val="center"/>
        </w:trPr>
        <w:tc>
          <w:tcPr>
            <w:tcW w:w="0" w:type="auto"/>
            <w:noWrap/>
            <w:vAlign w:val="bottom"/>
            <w:hideMark/>
          </w:tcPr>
          <w:p w14:paraId="08471D99"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2015</w:t>
            </w:r>
          </w:p>
        </w:tc>
        <w:tc>
          <w:tcPr>
            <w:tcW w:w="0" w:type="auto"/>
            <w:noWrap/>
            <w:vAlign w:val="bottom"/>
            <w:hideMark/>
          </w:tcPr>
          <w:p w14:paraId="2B473A79"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34%</w:t>
            </w:r>
          </w:p>
        </w:tc>
        <w:tc>
          <w:tcPr>
            <w:tcW w:w="0" w:type="auto"/>
            <w:noWrap/>
            <w:vAlign w:val="bottom"/>
            <w:hideMark/>
          </w:tcPr>
          <w:p w14:paraId="669AEDCA"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93%</w:t>
            </w:r>
          </w:p>
        </w:tc>
        <w:tc>
          <w:tcPr>
            <w:tcW w:w="0" w:type="auto"/>
            <w:noWrap/>
            <w:vAlign w:val="bottom"/>
            <w:hideMark/>
          </w:tcPr>
          <w:p w14:paraId="60A15807"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34%</w:t>
            </w:r>
          </w:p>
        </w:tc>
      </w:tr>
      <w:tr w:rsidR="00982CBE" w:rsidRPr="00982CBE" w14:paraId="2E9255ED" w14:textId="77777777" w:rsidTr="00CA1225">
        <w:trPr>
          <w:trHeight w:val="285"/>
          <w:jc w:val="center"/>
        </w:trPr>
        <w:tc>
          <w:tcPr>
            <w:tcW w:w="0" w:type="auto"/>
            <w:noWrap/>
            <w:vAlign w:val="bottom"/>
            <w:hideMark/>
          </w:tcPr>
          <w:p w14:paraId="2633ED48"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2016</w:t>
            </w:r>
          </w:p>
        </w:tc>
        <w:tc>
          <w:tcPr>
            <w:tcW w:w="0" w:type="auto"/>
            <w:noWrap/>
            <w:vAlign w:val="bottom"/>
            <w:hideMark/>
          </w:tcPr>
          <w:p w14:paraId="3122A5D8"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32%</w:t>
            </w:r>
          </w:p>
        </w:tc>
        <w:tc>
          <w:tcPr>
            <w:tcW w:w="0" w:type="auto"/>
            <w:noWrap/>
            <w:vAlign w:val="bottom"/>
            <w:hideMark/>
          </w:tcPr>
          <w:p w14:paraId="19411C46"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86%</w:t>
            </w:r>
          </w:p>
        </w:tc>
        <w:tc>
          <w:tcPr>
            <w:tcW w:w="0" w:type="auto"/>
            <w:noWrap/>
            <w:vAlign w:val="bottom"/>
            <w:hideMark/>
          </w:tcPr>
          <w:p w14:paraId="71E663DF"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32%</w:t>
            </w:r>
          </w:p>
        </w:tc>
      </w:tr>
      <w:tr w:rsidR="00982CBE" w:rsidRPr="00982CBE" w14:paraId="588140A2" w14:textId="77777777" w:rsidTr="00CA1225">
        <w:trPr>
          <w:trHeight w:val="285"/>
          <w:jc w:val="center"/>
        </w:trPr>
        <w:tc>
          <w:tcPr>
            <w:tcW w:w="0" w:type="auto"/>
            <w:noWrap/>
            <w:vAlign w:val="bottom"/>
            <w:hideMark/>
          </w:tcPr>
          <w:p w14:paraId="3EF73EF0"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2017</w:t>
            </w:r>
          </w:p>
        </w:tc>
        <w:tc>
          <w:tcPr>
            <w:tcW w:w="0" w:type="auto"/>
            <w:noWrap/>
            <w:vAlign w:val="bottom"/>
            <w:hideMark/>
          </w:tcPr>
          <w:p w14:paraId="2E364EDC"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47%</w:t>
            </w:r>
          </w:p>
        </w:tc>
        <w:tc>
          <w:tcPr>
            <w:tcW w:w="0" w:type="auto"/>
            <w:noWrap/>
            <w:vAlign w:val="bottom"/>
            <w:hideMark/>
          </w:tcPr>
          <w:p w14:paraId="747C274F"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10%</w:t>
            </w:r>
          </w:p>
        </w:tc>
        <w:tc>
          <w:tcPr>
            <w:tcW w:w="0" w:type="auto"/>
            <w:noWrap/>
            <w:vAlign w:val="bottom"/>
            <w:hideMark/>
          </w:tcPr>
          <w:p w14:paraId="59FCF649"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43%</w:t>
            </w:r>
          </w:p>
        </w:tc>
      </w:tr>
      <w:tr w:rsidR="00982CBE" w:rsidRPr="00982CBE" w14:paraId="00CCF9C2" w14:textId="77777777" w:rsidTr="00CA1225">
        <w:trPr>
          <w:trHeight w:val="285"/>
          <w:jc w:val="center"/>
        </w:trPr>
        <w:tc>
          <w:tcPr>
            <w:tcW w:w="0" w:type="auto"/>
            <w:noWrap/>
            <w:vAlign w:val="bottom"/>
            <w:hideMark/>
          </w:tcPr>
          <w:p w14:paraId="71997930"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2018</w:t>
            </w:r>
          </w:p>
        </w:tc>
        <w:tc>
          <w:tcPr>
            <w:tcW w:w="0" w:type="auto"/>
            <w:noWrap/>
            <w:vAlign w:val="bottom"/>
            <w:hideMark/>
          </w:tcPr>
          <w:p w14:paraId="27CB2DAF"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65%</w:t>
            </w:r>
          </w:p>
        </w:tc>
        <w:tc>
          <w:tcPr>
            <w:tcW w:w="0" w:type="auto"/>
            <w:noWrap/>
            <w:vAlign w:val="bottom"/>
            <w:hideMark/>
          </w:tcPr>
          <w:p w14:paraId="38A4672B"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63%</w:t>
            </w:r>
          </w:p>
        </w:tc>
        <w:tc>
          <w:tcPr>
            <w:tcW w:w="0" w:type="auto"/>
            <w:noWrap/>
            <w:vAlign w:val="bottom"/>
            <w:hideMark/>
          </w:tcPr>
          <w:p w14:paraId="1616B93C"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64%</w:t>
            </w:r>
          </w:p>
        </w:tc>
      </w:tr>
      <w:tr w:rsidR="00982CBE" w:rsidRPr="00982CBE" w14:paraId="4DADC8C1" w14:textId="77777777" w:rsidTr="00CA1225">
        <w:trPr>
          <w:trHeight w:val="285"/>
          <w:jc w:val="center"/>
        </w:trPr>
        <w:tc>
          <w:tcPr>
            <w:tcW w:w="0" w:type="auto"/>
            <w:noWrap/>
            <w:vAlign w:val="bottom"/>
            <w:hideMark/>
          </w:tcPr>
          <w:p w14:paraId="52963B7A"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2019</w:t>
            </w:r>
          </w:p>
        </w:tc>
        <w:tc>
          <w:tcPr>
            <w:tcW w:w="0" w:type="auto"/>
            <w:noWrap/>
            <w:vAlign w:val="bottom"/>
            <w:hideMark/>
          </w:tcPr>
          <w:p w14:paraId="68749368"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62%</w:t>
            </w:r>
          </w:p>
        </w:tc>
        <w:tc>
          <w:tcPr>
            <w:tcW w:w="0" w:type="auto"/>
            <w:noWrap/>
            <w:vAlign w:val="bottom"/>
            <w:hideMark/>
          </w:tcPr>
          <w:p w14:paraId="5B47EB26"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54%</w:t>
            </w:r>
          </w:p>
        </w:tc>
        <w:tc>
          <w:tcPr>
            <w:tcW w:w="0" w:type="auto"/>
            <w:noWrap/>
            <w:vAlign w:val="bottom"/>
            <w:hideMark/>
          </w:tcPr>
          <w:p w14:paraId="7114FFFF" w14:textId="77777777" w:rsidR="00982CBE" w:rsidRPr="00982CBE" w:rsidRDefault="00982CBE" w:rsidP="00982CBE">
            <w:pPr>
              <w:bidi w:val="0"/>
              <w:jc w:val="right"/>
              <w:rPr>
                <w:rFonts w:asciiTheme="majorBidi" w:hAnsiTheme="majorBidi" w:cstheme="majorBidi"/>
                <w:color w:val="000000"/>
              </w:rPr>
            </w:pPr>
            <w:r w:rsidRPr="00982CBE">
              <w:rPr>
                <w:rFonts w:asciiTheme="majorBidi" w:hAnsiTheme="majorBidi" w:cstheme="majorBidi"/>
                <w:color w:val="000000"/>
              </w:rPr>
              <w:t>57%</w:t>
            </w:r>
          </w:p>
        </w:tc>
      </w:tr>
    </w:tbl>
    <w:p w14:paraId="3D97D194" w14:textId="77777777" w:rsidR="00982CBE" w:rsidRDefault="00982CBE" w:rsidP="00982CBE">
      <w:pPr>
        <w:bidi w:val="0"/>
        <w:jc w:val="center"/>
        <w:rPr>
          <w:b/>
          <w:bCs/>
        </w:rPr>
      </w:pPr>
    </w:p>
    <w:p w14:paraId="152B6CE9" w14:textId="77777777" w:rsidR="00E32887" w:rsidRDefault="00E32887" w:rsidP="00E32887">
      <w:pPr>
        <w:bidi w:val="0"/>
        <w:jc w:val="center"/>
        <w:rPr>
          <w:b/>
          <w:bCs/>
        </w:rPr>
      </w:pPr>
    </w:p>
    <w:p w14:paraId="7B694ABD" w14:textId="656171E6" w:rsidR="00E32887" w:rsidRPr="00E32887" w:rsidRDefault="00E32887" w:rsidP="00E32887">
      <w:pPr>
        <w:bidi w:val="0"/>
        <w:jc w:val="center"/>
        <w:rPr>
          <w:rFonts w:asciiTheme="majorBidi" w:hAnsiTheme="majorBidi" w:cstheme="majorBidi"/>
          <w:b/>
          <w:bCs/>
          <w:color w:val="000000"/>
        </w:rPr>
      </w:pPr>
      <w:r w:rsidRPr="00E32887">
        <w:rPr>
          <w:rFonts w:asciiTheme="majorBidi" w:hAnsiTheme="majorBidi" w:cstheme="majorBidi"/>
          <w:b/>
          <w:bCs/>
          <w:color w:val="000000"/>
        </w:rPr>
        <w:t xml:space="preserve">Table </w:t>
      </w:r>
      <w:r w:rsidRPr="00E50C32">
        <w:rPr>
          <w:rFonts w:asciiTheme="majorBidi" w:hAnsiTheme="majorBidi" w:cstheme="majorBidi"/>
          <w:b/>
          <w:bCs/>
          <w:color w:val="000000"/>
          <w:highlight w:val="yellow"/>
        </w:rPr>
        <w:t>XX</w:t>
      </w:r>
      <w:r w:rsidRPr="00E32887">
        <w:rPr>
          <w:rFonts w:asciiTheme="majorBidi" w:hAnsiTheme="majorBidi" w:cstheme="majorBidi"/>
          <w:b/>
          <w:bCs/>
          <w:color w:val="000000"/>
        </w:rPr>
        <w:t xml:space="preserve"> - WB and GS - </w:t>
      </w:r>
      <w:r w:rsidRPr="00733E14">
        <w:rPr>
          <w:rFonts w:asciiTheme="majorBidi" w:hAnsiTheme="majorBidi" w:cstheme="majorBidi"/>
          <w:b/>
          <w:bCs/>
          <w:color w:val="000000"/>
        </w:rPr>
        <w:t>Resources and infrastructure</w:t>
      </w:r>
      <w:r w:rsidRPr="00E32887">
        <w:rPr>
          <w:rFonts w:asciiTheme="majorBidi" w:hAnsiTheme="majorBidi" w:cstheme="majorBidi"/>
          <w:b/>
          <w:bCs/>
          <w:color w:val="000000"/>
        </w:rPr>
        <w:t xml:space="preserve"> dimension</w:t>
      </w:r>
    </w:p>
    <w:p w14:paraId="154A0807" w14:textId="77777777" w:rsidR="00E32887" w:rsidRDefault="00E32887" w:rsidP="00E32887">
      <w:pPr>
        <w:bidi w:val="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81"/>
        <w:gridCol w:w="620"/>
        <w:gridCol w:w="620"/>
        <w:gridCol w:w="754"/>
      </w:tblGrid>
      <w:tr w:rsidR="00733E14" w:rsidRPr="00733E14" w14:paraId="2B66082F" w14:textId="77777777" w:rsidTr="00CA1225">
        <w:trPr>
          <w:trHeight w:val="285"/>
          <w:jc w:val="center"/>
        </w:trPr>
        <w:tc>
          <w:tcPr>
            <w:tcW w:w="0" w:type="auto"/>
            <w:noWrap/>
            <w:vAlign w:val="bottom"/>
            <w:hideMark/>
          </w:tcPr>
          <w:p w14:paraId="662B8B8E" w14:textId="289DC265" w:rsidR="00733E14" w:rsidRPr="00733E14" w:rsidRDefault="00E32887" w:rsidP="00733E14">
            <w:pPr>
              <w:bidi w:val="0"/>
              <w:jc w:val="center"/>
              <w:rPr>
                <w:rFonts w:asciiTheme="majorBidi" w:hAnsiTheme="majorBidi" w:cstheme="majorBidi"/>
                <w:b/>
                <w:bCs/>
                <w:color w:val="000000"/>
              </w:rPr>
            </w:pPr>
            <w:r w:rsidRPr="00E32887">
              <w:rPr>
                <w:rFonts w:asciiTheme="majorBidi" w:hAnsiTheme="majorBidi" w:cstheme="majorBidi"/>
                <w:b/>
                <w:bCs/>
                <w:color w:val="000000"/>
              </w:rPr>
              <w:t>Year</w:t>
            </w:r>
          </w:p>
        </w:tc>
        <w:tc>
          <w:tcPr>
            <w:tcW w:w="0" w:type="auto"/>
            <w:noWrap/>
            <w:vAlign w:val="bottom"/>
            <w:hideMark/>
          </w:tcPr>
          <w:p w14:paraId="2F95A73F" w14:textId="77777777" w:rsidR="00733E14" w:rsidRPr="00733E14" w:rsidRDefault="00733E14" w:rsidP="00733E14">
            <w:pPr>
              <w:bidi w:val="0"/>
              <w:rPr>
                <w:rFonts w:asciiTheme="majorBidi" w:hAnsiTheme="majorBidi" w:cstheme="majorBidi"/>
                <w:b/>
                <w:bCs/>
                <w:color w:val="000000"/>
              </w:rPr>
            </w:pPr>
            <w:r w:rsidRPr="00733E14">
              <w:rPr>
                <w:rFonts w:asciiTheme="majorBidi" w:hAnsiTheme="majorBidi" w:cstheme="majorBidi"/>
                <w:b/>
                <w:bCs/>
                <w:color w:val="000000"/>
              </w:rPr>
              <w:t>WB</w:t>
            </w:r>
          </w:p>
        </w:tc>
        <w:tc>
          <w:tcPr>
            <w:tcW w:w="0" w:type="auto"/>
            <w:noWrap/>
            <w:vAlign w:val="bottom"/>
            <w:hideMark/>
          </w:tcPr>
          <w:p w14:paraId="1B3DDB81" w14:textId="77777777" w:rsidR="00733E14" w:rsidRPr="00733E14" w:rsidRDefault="00733E14" w:rsidP="00733E14">
            <w:pPr>
              <w:bidi w:val="0"/>
              <w:rPr>
                <w:rFonts w:asciiTheme="majorBidi" w:hAnsiTheme="majorBidi" w:cstheme="majorBidi"/>
                <w:b/>
                <w:bCs/>
                <w:color w:val="000000"/>
              </w:rPr>
            </w:pPr>
            <w:r w:rsidRPr="00733E14">
              <w:rPr>
                <w:rFonts w:asciiTheme="majorBidi" w:hAnsiTheme="majorBidi" w:cstheme="majorBidi"/>
                <w:b/>
                <w:bCs/>
                <w:color w:val="000000"/>
              </w:rPr>
              <w:t>GS</w:t>
            </w:r>
          </w:p>
        </w:tc>
        <w:tc>
          <w:tcPr>
            <w:tcW w:w="0" w:type="auto"/>
            <w:noWrap/>
            <w:vAlign w:val="bottom"/>
            <w:hideMark/>
          </w:tcPr>
          <w:p w14:paraId="2F1A9F82" w14:textId="77777777" w:rsidR="00733E14" w:rsidRPr="00733E14" w:rsidRDefault="00733E14" w:rsidP="00733E14">
            <w:pPr>
              <w:bidi w:val="0"/>
              <w:rPr>
                <w:rFonts w:asciiTheme="majorBidi" w:hAnsiTheme="majorBidi" w:cstheme="majorBidi"/>
                <w:b/>
                <w:bCs/>
                <w:color w:val="000000"/>
              </w:rPr>
            </w:pPr>
            <w:r w:rsidRPr="00733E14">
              <w:rPr>
                <w:rFonts w:asciiTheme="majorBidi" w:hAnsiTheme="majorBidi" w:cstheme="majorBidi"/>
                <w:b/>
                <w:bCs/>
                <w:color w:val="000000"/>
              </w:rPr>
              <w:t>WBG</w:t>
            </w:r>
          </w:p>
        </w:tc>
      </w:tr>
      <w:tr w:rsidR="00733E14" w:rsidRPr="00733E14" w14:paraId="3C6B5094" w14:textId="77777777" w:rsidTr="00CA1225">
        <w:trPr>
          <w:trHeight w:val="285"/>
          <w:jc w:val="center"/>
        </w:trPr>
        <w:tc>
          <w:tcPr>
            <w:tcW w:w="0" w:type="auto"/>
            <w:noWrap/>
            <w:vAlign w:val="bottom"/>
            <w:hideMark/>
          </w:tcPr>
          <w:p w14:paraId="0454B145"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2008</w:t>
            </w:r>
          </w:p>
        </w:tc>
        <w:tc>
          <w:tcPr>
            <w:tcW w:w="0" w:type="auto"/>
            <w:noWrap/>
            <w:vAlign w:val="bottom"/>
            <w:hideMark/>
          </w:tcPr>
          <w:p w14:paraId="40214E67"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6%</w:t>
            </w:r>
          </w:p>
        </w:tc>
        <w:tc>
          <w:tcPr>
            <w:tcW w:w="0" w:type="auto"/>
            <w:noWrap/>
            <w:vAlign w:val="bottom"/>
            <w:hideMark/>
          </w:tcPr>
          <w:p w14:paraId="58C990F2"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13%</w:t>
            </w:r>
          </w:p>
        </w:tc>
        <w:tc>
          <w:tcPr>
            <w:tcW w:w="0" w:type="auto"/>
            <w:noWrap/>
            <w:vAlign w:val="bottom"/>
            <w:hideMark/>
          </w:tcPr>
          <w:p w14:paraId="47CA7159"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17%</w:t>
            </w:r>
          </w:p>
        </w:tc>
      </w:tr>
      <w:tr w:rsidR="00733E14" w:rsidRPr="00733E14" w14:paraId="0CEDAE83" w14:textId="77777777" w:rsidTr="00CA1225">
        <w:trPr>
          <w:trHeight w:val="285"/>
          <w:jc w:val="center"/>
        </w:trPr>
        <w:tc>
          <w:tcPr>
            <w:tcW w:w="0" w:type="auto"/>
            <w:noWrap/>
            <w:vAlign w:val="bottom"/>
            <w:hideMark/>
          </w:tcPr>
          <w:p w14:paraId="7BFF1128"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2009</w:t>
            </w:r>
          </w:p>
        </w:tc>
        <w:tc>
          <w:tcPr>
            <w:tcW w:w="0" w:type="auto"/>
            <w:noWrap/>
            <w:vAlign w:val="bottom"/>
            <w:hideMark/>
          </w:tcPr>
          <w:p w14:paraId="0342321B"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11%</w:t>
            </w:r>
          </w:p>
        </w:tc>
        <w:tc>
          <w:tcPr>
            <w:tcW w:w="0" w:type="auto"/>
            <w:noWrap/>
            <w:vAlign w:val="bottom"/>
            <w:hideMark/>
          </w:tcPr>
          <w:p w14:paraId="1D88F1FA"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60%</w:t>
            </w:r>
          </w:p>
        </w:tc>
        <w:tc>
          <w:tcPr>
            <w:tcW w:w="0" w:type="auto"/>
            <w:noWrap/>
            <w:vAlign w:val="bottom"/>
            <w:hideMark/>
          </w:tcPr>
          <w:p w14:paraId="29B7D832"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6%</w:t>
            </w:r>
          </w:p>
        </w:tc>
      </w:tr>
      <w:tr w:rsidR="00733E14" w:rsidRPr="00733E14" w14:paraId="31656EC1" w14:textId="77777777" w:rsidTr="00CA1225">
        <w:trPr>
          <w:trHeight w:val="285"/>
          <w:jc w:val="center"/>
        </w:trPr>
        <w:tc>
          <w:tcPr>
            <w:tcW w:w="0" w:type="auto"/>
            <w:noWrap/>
            <w:vAlign w:val="bottom"/>
            <w:hideMark/>
          </w:tcPr>
          <w:p w14:paraId="154CA1D9"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2010</w:t>
            </w:r>
          </w:p>
        </w:tc>
        <w:tc>
          <w:tcPr>
            <w:tcW w:w="0" w:type="auto"/>
            <w:noWrap/>
            <w:vAlign w:val="bottom"/>
            <w:hideMark/>
          </w:tcPr>
          <w:p w14:paraId="37E9B589"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48%</w:t>
            </w:r>
          </w:p>
        </w:tc>
        <w:tc>
          <w:tcPr>
            <w:tcW w:w="0" w:type="auto"/>
            <w:noWrap/>
            <w:vAlign w:val="bottom"/>
            <w:hideMark/>
          </w:tcPr>
          <w:p w14:paraId="1BE608FC"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26%</w:t>
            </w:r>
          </w:p>
        </w:tc>
        <w:tc>
          <w:tcPr>
            <w:tcW w:w="0" w:type="auto"/>
            <w:noWrap/>
            <w:vAlign w:val="bottom"/>
            <w:hideMark/>
          </w:tcPr>
          <w:p w14:paraId="62F37892"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26%</w:t>
            </w:r>
          </w:p>
        </w:tc>
      </w:tr>
      <w:tr w:rsidR="00733E14" w:rsidRPr="00733E14" w14:paraId="2B8E2481" w14:textId="77777777" w:rsidTr="00CA1225">
        <w:trPr>
          <w:trHeight w:val="285"/>
          <w:jc w:val="center"/>
        </w:trPr>
        <w:tc>
          <w:tcPr>
            <w:tcW w:w="0" w:type="auto"/>
            <w:noWrap/>
            <w:vAlign w:val="bottom"/>
            <w:hideMark/>
          </w:tcPr>
          <w:p w14:paraId="1B56A34E"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2011</w:t>
            </w:r>
          </w:p>
        </w:tc>
        <w:tc>
          <w:tcPr>
            <w:tcW w:w="0" w:type="auto"/>
            <w:noWrap/>
            <w:vAlign w:val="bottom"/>
            <w:hideMark/>
          </w:tcPr>
          <w:p w14:paraId="65C39BDC"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39%</w:t>
            </w:r>
          </w:p>
        </w:tc>
        <w:tc>
          <w:tcPr>
            <w:tcW w:w="0" w:type="auto"/>
            <w:noWrap/>
            <w:vAlign w:val="bottom"/>
            <w:hideMark/>
          </w:tcPr>
          <w:p w14:paraId="1C3F2D6D"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4%</w:t>
            </w:r>
          </w:p>
        </w:tc>
        <w:tc>
          <w:tcPr>
            <w:tcW w:w="0" w:type="auto"/>
            <w:noWrap/>
            <w:vAlign w:val="bottom"/>
            <w:hideMark/>
          </w:tcPr>
          <w:p w14:paraId="3EBE74A8"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18%</w:t>
            </w:r>
          </w:p>
        </w:tc>
      </w:tr>
      <w:tr w:rsidR="00733E14" w:rsidRPr="00733E14" w14:paraId="5013328E" w14:textId="77777777" w:rsidTr="00CA1225">
        <w:trPr>
          <w:trHeight w:val="285"/>
          <w:jc w:val="center"/>
        </w:trPr>
        <w:tc>
          <w:tcPr>
            <w:tcW w:w="0" w:type="auto"/>
            <w:noWrap/>
            <w:vAlign w:val="bottom"/>
            <w:hideMark/>
          </w:tcPr>
          <w:p w14:paraId="071B29AE"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2012</w:t>
            </w:r>
          </w:p>
        </w:tc>
        <w:tc>
          <w:tcPr>
            <w:tcW w:w="0" w:type="auto"/>
            <w:noWrap/>
            <w:vAlign w:val="bottom"/>
            <w:hideMark/>
          </w:tcPr>
          <w:p w14:paraId="381AB042"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11%</w:t>
            </w:r>
          </w:p>
        </w:tc>
        <w:tc>
          <w:tcPr>
            <w:tcW w:w="0" w:type="auto"/>
            <w:noWrap/>
            <w:vAlign w:val="bottom"/>
            <w:hideMark/>
          </w:tcPr>
          <w:p w14:paraId="72E8A8B8"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13%</w:t>
            </w:r>
          </w:p>
        </w:tc>
        <w:tc>
          <w:tcPr>
            <w:tcW w:w="0" w:type="auto"/>
            <w:noWrap/>
            <w:vAlign w:val="bottom"/>
            <w:hideMark/>
          </w:tcPr>
          <w:p w14:paraId="629D8564"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23%</w:t>
            </w:r>
          </w:p>
        </w:tc>
      </w:tr>
      <w:tr w:rsidR="00733E14" w:rsidRPr="00733E14" w14:paraId="16CC8598" w14:textId="77777777" w:rsidTr="00CA1225">
        <w:trPr>
          <w:trHeight w:val="285"/>
          <w:jc w:val="center"/>
        </w:trPr>
        <w:tc>
          <w:tcPr>
            <w:tcW w:w="0" w:type="auto"/>
            <w:noWrap/>
            <w:vAlign w:val="bottom"/>
            <w:hideMark/>
          </w:tcPr>
          <w:p w14:paraId="0B875AA4"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2013</w:t>
            </w:r>
          </w:p>
        </w:tc>
        <w:tc>
          <w:tcPr>
            <w:tcW w:w="0" w:type="auto"/>
            <w:noWrap/>
            <w:vAlign w:val="bottom"/>
            <w:hideMark/>
          </w:tcPr>
          <w:p w14:paraId="62ACEC04"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67%</w:t>
            </w:r>
          </w:p>
        </w:tc>
        <w:tc>
          <w:tcPr>
            <w:tcW w:w="0" w:type="auto"/>
            <w:noWrap/>
            <w:vAlign w:val="bottom"/>
            <w:hideMark/>
          </w:tcPr>
          <w:p w14:paraId="1EE73643"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5%</w:t>
            </w:r>
          </w:p>
        </w:tc>
        <w:tc>
          <w:tcPr>
            <w:tcW w:w="0" w:type="auto"/>
            <w:noWrap/>
            <w:vAlign w:val="bottom"/>
            <w:hideMark/>
          </w:tcPr>
          <w:p w14:paraId="271975E4"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15%</w:t>
            </w:r>
          </w:p>
        </w:tc>
      </w:tr>
      <w:tr w:rsidR="00733E14" w:rsidRPr="00733E14" w14:paraId="27B10569" w14:textId="77777777" w:rsidTr="00CA1225">
        <w:trPr>
          <w:trHeight w:val="285"/>
          <w:jc w:val="center"/>
        </w:trPr>
        <w:tc>
          <w:tcPr>
            <w:tcW w:w="0" w:type="auto"/>
            <w:noWrap/>
            <w:vAlign w:val="bottom"/>
            <w:hideMark/>
          </w:tcPr>
          <w:p w14:paraId="3F2DE2EC"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2014</w:t>
            </w:r>
          </w:p>
        </w:tc>
        <w:tc>
          <w:tcPr>
            <w:tcW w:w="0" w:type="auto"/>
            <w:noWrap/>
            <w:vAlign w:val="bottom"/>
            <w:hideMark/>
          </w:tcPr>
          <w:p w14:paraId="5E67553E"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79%</w:t>
            </w:r>
          </w:p>
        </w:tc>
        <w:tc>
          <w:tcPr>
            <w:tcW w:w="0" w:type="auto"/>
            <w:noWrap/>
            <w:vAlign w:val="bottom"/>
            <w:hideMark/>
          </w:tcPr>
          <w:p w14:paraId="3D3E1FBD"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14%</w:t>
            </w:r>
          </w:p>
        </w:tc>
        <w:tc>
          <w:tcPr>
            <w:tcW w:w="0" w:type="auto"/>
            <w:noWrap/>
            <w:vAlign w:val="bottom"/>
            <w:hideMark/>
          </w:tcPr>
          <w:p w14:paraId="135464F0"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51%</w:t>
            </w:r>
          </w:p>
        </w:tc>
      </w:tr>
      <w:tr w:rsidR="00733E14" w:rsidRPr="00733E14" w14:paraId="4CBC15F7" w14:textId="77777777" w:rsidTr="00CA1225">
        <w:trPr>
          <w:trHeight w:val="285"/>
          <w:jc w:val="center"/>
        </w:trPr>
        <w:tc>
          <w:tcPr>
            <w:tcW w:w="0" w:type="auto"/>
            <w:noWrap/>
            <w:vAlign w:val="bottom"/>
            <w:hideMark/>
          </w:tcPr>
          <w:p w14:paraId="4D2945CA"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2015</w:t>
            </w:r>
          </w:p>
        </w:tc>
        <w:tc>
          <w:tcPr>
            <w:tcW w:w="0" w:type="auto"/>
            <w:noWrap/>
            <w:vAlign w:val="bottom"/>
            <w:hideMark/>
          </w:tcPr>
          <w:p w14:paraId="43673C83"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60%</w:t>
            </w:r>
          </w:p>
        </w:tc>
        <w:tc>
          <w:tcPr>
            <w:tcW w:w="0" w:type="auto"/>
            <w:noWrap/>
            <w:vAlign w:val="bottom"/>
            <w:hideMark/>
          </w:tcPr>
          <w:p w14:paraId="6A89372B"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21%</w:t>
            </w:r>
          </w:p>
        </w:tc>
        <w:tc>
          <w:tcPr>
            <w:tcW w:w="0" w:type="auto"/>
            <w:noWrap/>
            <w:vAlign w:val="bottom"/>
            <w:hideMark/>
          </w:tcPr>
          <w:p w14:paraId="2D1654B3"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47%</w:t>
            </w:r>
          </w:p>
        </w:tc>
      </w:tr>
      <w:tr w:rsidR="00733E14" w:rsidRPr="00733E14" w14:paraId="28F4671E" w14:textId="77777777" w:rsidTr="00CA1225">
        <w:trPr>
          <w:trHeight w:val="285"/>
          <w:jc w:val="center"/>
        </w:trPr>
        <w:tc>
          <w:tcPr>
            <w:tcW w:w="0" w:type="auto"/>
            <w:noWrap/>
            <w:vAlign w:val="bottom"/>
            <w:hideMark/>
          </w:tcPr>
          <w:p w14:paraId="66A394BF"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2016</w:t>
            </w:r>
          </w:p>
        </w:tc>
        <w:tc>
          <w:tcPr>
            <w:tcW w:w="0" w:type="auto"/>
            <w:noWrap/>
            <w:vAlign w:val="bottom"/>
            <w:hideMark/>
          </w:tcPr>
          <w:p w14:paraId="2C8E526F"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86%</w:t>
            </w:r>
          </w:p>
        </w:tc>
        <w:tc>
          <w:tcPr>
            <w:tcW w:w="0" w:type="auto"/>
            <w:noWrap/>
            <w:vAlign w:val="bottom"/>
            <w:hideMark/>
          </w:tcPr>
          <w:p w14:paraId="6AFD2724"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51%</w:t>
            </w:r>
          </w:p>
        </w:tc>
        <w:tc>
          <w:tcPr>
            <w:tcW w:w="0" w:type="auto"/>
            <w:noWrap/>
            <w:vAlign w:val="bottom"/>
            <w:hideMark/>
          </w:tcPr>
          <w:p w14:paraId="0CD38079"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75%</w:t>
            </w:r>
          </w:p>
        </w:tc>
      </w:tr>
      <w:tr w:rsidR="00733E14" w:rsidRPr="00733E14" w14:paraId="35043EB0" w14:textId="77777777" w:rsidTr="00CA1225">
        <w:trPr>
          <w:trHeight w:val="285"/>
          <w:jc w:val="center"/>
        </w:trPr>
        <w:tc>
          <w:tcPr>
            <w:tcW w:w="0" w:type="auto"/>
            <w:noWrap/>
            <w:vAlign w:val="bottom"/>
            <w:hideMark/>
          </w:tcPr>
          <w:p w14:paraId="4324B67A"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2017</w:t>
            </w:r>
          </w:p>
        </w:tc>
        <w:tc>
          <w:tcPr>
            <w:tcW w:w="0" w:type="auto"/>
            <w:noWrap/>
            <w:vAlign w:val="bottom"/>
            <w:hideMark/>
          </w:tcPr>
          <w:p w14:paraId="72793238"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93%</w:t>
            </w:r>
          </w:p>
        </w:tc>
        <w:tc>
          <w:tcPr>
            <w:tcW w:w="0" w:type="auto"/>
            <w:noWrap/>
            <w:vAlign w:val="bottom"/>
            <w:hideMark/>
          </w:tcPr>
          <w:p w14:paraId="2E888E9F"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42%</w:t>
            </w:r>
          </w:p>
        </w:tc>
        <w:tc>
          <w:tcPr>
            <w:tcW w:w="0" w:type="auto"/>
            <w:noWrap/>
            <w:vAlign w:val="bottom"/>
            <w:hideMark/>
          </w:tcPr>
          <w:p w14:paraId="47D44267"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84%</w:t>
            </w:r>
          </w:p>
        </w:tc>
      </w:tr>
      <w:tr w:rsidR="00733E14" w:rsidRPr="00733E14" w14:paraId="4C30BFF6" w14:textId="77777777" w:rsidTr="00CA1225">
        <w:trPr>
          <w:trHeight w:val="285"/>
          <w:jc w:val="center"/>
        </w:trPr>
        <w:tc>
          <w:tcPr>
            <w:tcW w:w="0" w:type="auto"/>
            <w:noWrap/>
            <w:vAlign w:val="bottom"/>
            <w:hideMark/>
          </w:tcPr>
          <w:p w14:paraId="7EE5B489"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2018</w:t>
            </w:r>
          </w:p>
        </w:tc>
        <w:tc>
          <w:tcPr>
            <w:tcW w:w="0" w:type="auto"/>
            <w:noWrap/>
            <w:vAlign w:val="bottom"/>
            <w:hideMark/>
          </w:tcPr>
          <w:p w14:paraId="4D4BDA5D"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53%</w:t>
            </w:r>
          </w:p>
        </w:tc>
        <w:tc>
          <w:tcPr>
            <w:tcW w:w="0" w:type="auto"/>
            <w:noWrap/>
            <w:vAlign w:val="bottom"/>
            <w:hideMark/>
          </w:tcPr>
          <w:p w14:paraId="7204FF85"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80%</w:t>
            </w:r>
          </w:p>
        </w:tc>
        <w:tc>
          <w:tcPr>
            <w:tcW w:w="0" w:type="auto"/>
            <w:noWrap/>
            <w:vAlign w:val="bottom"/>
            <w:hideMark/>
          </w:tcPr>
          <w:p w14:paraId="44CB7412"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99%</w:t>
            </w:r>
          </w:p>
        </w:tc>
      </w:tr>
      <w:tr w:rsidR="00733E14" w:rsidRPr="00733E14" w14:paraId="7DFAD76B" w14:textId="77777777" w:rsidTr="00CA1225">
        <w:trPr>
          <w:trHeight w:val="285"/>
          <w:jc w:val="center"/>
        </w:trPr>
        <w:tc>
          <w:tcPr>
            <w:tcW w:w="0" w:type="auto"/>
            <w:noWrap/>
            <w:vAlign w:val="bottom"/>
            <w:hideMark/>
          </w:tcPr>
          <w:p w14:paraId="05413004"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2019</w:t>
            </w:r>
          </w:p>
        </w:tc>
        <w:tc>
          <w:tcPr>
            <w:tcW w:w="0" w:type="auto"/>
            <w:noWrap/>
            <w:vAlign w:val="bottom"/>
            <w:hideMark/>
          </w:tcPr>
          <w:p w14:paraId="30DBAF4B"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54%</w:t>
            </w:r>
          </w:p>
        </w:tc>
        <w:tc>
          <w:tcPr>
            <w:tcW w:w="0" w:type="auto"/>
            <w:noWrap/>
            <w:vAlign w:val="bottom"/>
            <w:hideMark/>
          </w:tcPr>
          <w:p w14:paraId="76E09FAB"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55%</w:t>
            </w:r>
          </w:p>
        </w:tc>
        <w:tc>
          <w:tcPr>
            <w:tcW w:w="0" w:type="auto"/>
            <w:noWrap/>
            <w:vAlign w:val="bottom"/>
            <w:hideMark/>
          </w:tcPr>
          <w:p w14:paraId="225A51A4" w14:textId="77777777" w:rsidR="00733E14" w:rsidRPr="00733E14" w:rsidRDefault="00733E14" w:rsidP="00733E14">
            <w:pPr>
              <w:bidi w:val="0"/>
              <w:jc w:val="right"/>
              <w:rPr>
                <w:rFonts w:asciiTheme="majorBidi" w:hAnsiTheme="majorBidi" w:cstheme="majorBidi"/>
                <w:color w:val="000000"/>
              </w:rPr>
            </w:pPr>
            <w:r w:rsidRPr="00733E14">
              <w:rPr>
                <w:rFonts w:asciiTheme="majorBidi" w:hAnsiTheme="majorBidi" w:cstheme="majorBidi"/>
                <w:color w:val="000000"/>
              </w:rPr>
              <w:t>53%</w:t>
            </w:r>
          </w:p>
        </w:tc>
      </w:tr>
    </w:tbl>
    <w:p w14:paraId="273A8AAC" w14:textId="77777777" w:rsidR="00733E14" w:rsidRDefault="00733E14" w:rsidP="00733E14">
      <w:pPr>
        <w:bidi w:val="0"/>
        <w:jc w:val="center"/>
        <w:rPr>
          <w:b/>
          <w:bCs/>
        </w:rPr>
      </w:pPr>
    </w:p>
    <w:p w14:paraId="04D59684" w14:textId="034DD8F6" w:rsidR="00E32887" w:rsidRPr="00E32887" w:rsidRDefault="00E32887" w:rsidP="00E32887">
      <w:pPr>
        <w:bidi w:val="0"/>
        <w:jc w:val="center"/>
        <w:rPr>
          <w:rFonts w:asciiTheme="majorBidi" w:hAnsiTheme="majorBidi" w:cstheme="majorBidi"/>
          <w:b/>
          <w:bCs/>
          <w:color w:val="000000"/>
        </w:rPr>
      </w:pPr>
      <w:r w:rsidRPr="00E32887">
        <w:rPr>
          <w:rFonts w:asciiTheme="majorBidi" w:hAnsiTheme="majorBidi" w:cstheme="majorBidi"/>
          <w:b/>
          <w:bCs/>
          <w:color w:val="000000"/>
        </w:rPr>
        <w:t xml:space="preserve">Table </w:t>
      </w:r>
      <w:r w:rsidRPr="00E50C32">
        <w:rPr>
          <w:rFonts w:asciiTheme="majorBidi" w:hAnsiTheme="majorBidi" w:cstheme="majorBidi"/>
          <w:b/>
          <w:bCs/>
          <w:color w:val="000000"/>
          <w:highlight w:val="yellow"/>
        </w:rPr>
        <w:t>XX</w:t>
      </w:r>
      <w:r w:rsidRPr="00E32887">
        <w:rPr>
          <w:rFonts w:asciiTheme="majorBidi" w:hAnsiTheme="majorBidi" w:cstheme="majorBidi"/>
          <w:b/>
          <w:bCs/>
          <w:color w:val="000000"/>
        </w:rPr>
        <w:t xml:space="preserve"> - WB and GS - </w:t>
      </w:r>
      <w:r w:rsidRPr="00733E14">
        <w:rPr>
          <w:rFonts w:asciiTheme="majorBidi" w:hAnsiTheme="majorBidi" w:cstheme="majorBidi"/>
          <w:b/>
          <w:bCs/>
          <w:color w:val="000000"/>
        </w:rPr>
        <w:t>Banking and money</w:t>
      </w:r>
      <w:r w:rsidRPr="00E32887">
        <w:rPr>
          <w:rFonts w:asciiTheme="majorBidi" w:hAnsiTheme="majorBidi" w:cstheme="majorBidi"/>
          <w:b/>
          <w:bCs/>
          <w:color w:val="000000"/>
        </w:rPr>
        <w:t xml:space="preserve"> dimension</w:t>
      </w:r>
    </w:p>
    <w:p w14:paraId="055DF191" w14:textId="77777777" w:rsidR="00E32887" w:rsidRPr="00E32887" w:rsidRDefault="00E32887" w:rsidP="00E32887">
      <w:pPr>
        <w:bidi w:val="0"/>
        <w:jc w:val="center"/>
        <w:rPr>
          <w:rFonts w:asciiTheme="majorBidi" w:hAnsiTheme="majorBidi" w:cstheme="majorBidi"/>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81"/>
        <w:gridCol w:w="620"/>
        <w:gridCol w:w="620"/>
        <w:gridCol w:w="754"/>
      </w:tblGrid>
      <w:tr w:rsidR="00733E14" w:rsidRPr="00733E14" w14:paraId="46B3B509" w14:textId="77777777" w:rsidTr="00E32887">
        <w:trPr>
          <w:trHeight w:val="285"/>
          <w:jc w:val="center"/>
        </w:trPr>
        <w:tc>
          <w:tcPr>
            <w:tcW w:w="0" w:type="auto"/>
            <w:noWrap/>
            <w:vAlign w:val="bottom"/>
            <w:hideMark/>
          </w:tcPr>
          <w:p w14:paraId="05A2C283" w14:textId="745EF6E4" w:rsidR="00733E14" w:rsidRPr="00733E14" w:rsidRDefault="00E32887" w:rsidP="00E32887">
            <w:pPr>
              <w:bidi w:val="0"/>
              <w:jc w:val="center"/>
              <w:rPr>
                <w:rFonts w:asciiTheme="majorBidi" w:hAnsiTheme="majorBidi" w:cstheme="majorBidi"/>
                <w:b/>
                <w:bCs/>
                <w:color w:val="000000"/>
              </w:rPr>
            </w:pPr>
            <w:r w:rsidRPr="00E32887">
              <w:rPr>
                <w:rFonts w:asciiTheme="majorBidi" w:hAnsiTheme="majorBidi" w:cstheme="majorBidi"/>
                <w:b/>
                <w:bCs/>
                <w:color w:val="000000"/>
              </w:rPr>
              <w:t>Year</w:t>
            </w:r>
          </w:p>
        </w:tc>
        <w:tc>
          <w:tcPr>
            <w:tcW w:w="0" w:type="auto"/>
            <w:noWrap/>
            <w:vAlign w:val="bottom"/>
            <w:hideMark/>
          </w:tcPr>
          <w:p w14:paraId="500CD73B" w14:textId="77777777" w:rsidR="00733E14" w:rsidRPr="00733E14" w:rsidRDefault="00733E14" w:rsidP="00E32887">
            <w:pPr>
              <w:bidi w:val="0"/>
              <w:jc w:val="center"/>
              <w:rPr>
                <w:rFonts w:asciiTheme="majorBidi" w:hAnsiTheme="majorBidi" w:cstheme="majorBidi"/>
                <w:b/>
                <w:bCs/>
                <w:color w:val="000000"/>
              </w:rPr>
            </w:pPr>
            <w:r w:rsidRPr="00733E14">
              <w:rPr>
                <w:rFonts w:asciiTheme="majorBidi" w:hAnsiTheme="majorBidi" w:cstheme="majorBidi"/>
                <w:b/>
                <w:bCs/>
                <w:color w:val="000000"/>
              </w:rPr>
              <w:t>WB</w:t>
            </w:r>
          </w:p>
        </w:tc>
        <w:tc>
          <w:tcPr>
            <w:tcW w:w="0" w:type="auto"/>
            <w:noWrap/>
            <w:vAlign w:val="bottom"/>
            <w:hideMark/>
          </w:tcPr>
          <w:p w14:paraId="17A9E2C1" w14:textId="77777777" w:rsidR="00733E14" w:rsidRPr="00733E14" w:rsidRDefault="00733E14" w:rsidP="00E32887">
            <w:pPr>
              <w:bidi w:val="0"/>
              <w:jc w:val="center"/>
              <w:rPr>
                <w:rFonts w:asciiTheme="majorBidi" w:hAnsiTheme="majorBidi" w:cstheme="majorBidi"/>
                <w:b/>
                <w:bCs/>
                <w:color w:val="000000"/>
              </w:rPr>
            </w:pPr>
            <w:r w:rsidRPr="00733E14">
              <w:rPr>
                <w:rFonts w:asciiTheme="majorBidi" w:hAnsiTheme="majorBidi" w:cstheme="majorBidi"/>
                <w:b/>
                <w:bCs/>
                <w:color w:val="000000"/>
              </w:rPr>
              <w:t>GS</w:t>
            </w:r>
          </w:p>
        </w:tc>
        <w:tc>
          <w:tcPr>
            <w:tcW w:w="0" w:type="auto"/>
            <w:noWrap/>
            <w:vAlign w:val="bottom"/>
            <w:hideMark/>
          </w:tcPr>
          <w:p w14:paraId="6B6CC44D" w14:textId="77777777" w:rsidR="00733E14" w:rsidRPr="00733E14" w:rsidRDefault="00733E14" w:rsidP="00E32887">
            <w:pPr>
              <w:bidi w:val="0"/>
              <w:jc w:val="center"/>
              <w:rPr>
                <w:rFonts w:asciiTheme="majorBidi" w:hAnsiTheme="majorBidi" w:cstheme="majorBidi"/>
                <w:b/>
                <w:bCs/>
                <w:color w:val="000000"/>
              </w:rPr>
            </w:pPr>
            <w:r w:rsidRPr="00733E14">
              <w:rPr>
                <w:rFonts w:asciiTheme="majorBidi" w:hAnsiTheme="majorBidi" w:cstheme="majorBidi"/>
                <w:b/>
                <w:bCs/>
                <w:color w:val="000000"/>
              </w:rPr>
              <w:t>WBG</w:t>
            </w:r>
          </w:p>
        </w:tc>
      </w:tr>
      <w:tr w:rsidR="00733E14" w:rsidRPr="00733E14" w14:paraId="06E70574" w14:textId="77777777" w:rsidTr="00E32887">
        <w:trPr>
          <w:trHeight w:val="285"/>
          <w:jc w:val="center"/>
        </w:trPr>
        <w:tc>
          <w:tcPr>
            <w:tcW w:w="0" w:type="auto"/>
            <w:noWrap/>
            <w:vAlign w:val="bottom"/>
            <w:hideMark/>
          </w:tcPr>
          <w:p w14:paraId="7734E5DE"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2008</w:t>
            </w:r>
          </w:p>
        </w:tc>
        <w:tc>
          <w:tcPr>
            <w:tcW w:w="0" w:type="auto"/>
            <w:noWrap/>
            <w:vAlign w:val="bottom"/>
            <w:hideMark/>
          </w:tcPr>
          <w:p w14:paraId="4363806A"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12%</w:t>
            </w:r>
          </w:p>
        </w:tc>
        <w:tc>
          <w:tcPr>
            <w:tcW w:w="0" w:type="auto"/>
            <w:noWrap/>
            <w:vAlign w:val="bottom"/>
            <w:hideMark/>
          </w:tcPr>
          <w:p w14:paraId="5B424BA2"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28%</w:t>
            </w:r>
          </w:p>
        </w:tc>
        <w:tc>
          <w:tcPr>
            <w:tcW w:w="0" w:type="auto"/>
            <w:noWrap/>
            <w:vAlign w:val="bottom"/>
            <w:hideMark/>
          </w:tcPr>
          <w:p w14:paraId="195C59A0"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9%</w:t>
            </w:r>
          </w:p>
        </w:tc>
      </w:tr>
      <w:tr w:rsidR="00733E14" w:rsidRPr="00733E14" w14:paraId="04FC6406" w14:textId="77777777" w:rsidTr="00E32887">
        <w:trPr>
          <w:trHeight w:val="285"/>
          <w:jc w:val="center"/>
        </w:trPr>
        <w:tc>
          <w:tcPr>
            <w:tcW w:w="0" w:type="auto"/>
            <w:noWrap/>
            <w:vAlign w:val="bottom"/>
            <w:hideMark/>
          </w:tcPr>
          <w:p w14:paraId="67C8DAB3"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2009</w:t>
            </w:r>
          </w:p>
        </w:tc>
        <w:tc>
          <w:tcPr>
            <w:tcW w:w="0" w:type="auto"/>
            <w:noWrap/>
            <w:vAlign w:val="bottom"/>
            <w:hideMark/>
          </w:tcPr>
          <w:p w14:paraId="1F7B01A3"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12%</w:t>
            </w:r>
          </w:p>
        </w:tc>
        <w:tc>
          <w:tcPr>
            <w:tcW w:w="0" w:type="auto"/>
            <w:noWrap/>
            <w:vAlign w:val="bottom"/>
            <w:hideMark/>
          </w:tcPr>
          <w:p w14:paraId="4CFA8050"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20%</w:t>
            </w:r>
          </w:p>
        </w:tc>
        <w:tc>
          <w:tcPr>
            <w:tcW w:w="0" w:type="auto"/>
            <w:noWrap/>
            <w:vAlign w:val="bottom"/>
            <w:hideMark/>
          </w:tcPr>
          <w:p w14:paraId="41195C72"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9%</w:t>
            </w:r>
          </w:p>
        </w:tc>
      </w:tr>
      <w:tr w:rsidR="00733E14" w:rsidRPr="00733E14" w14:paraId="6BEAC03B" w14:textId="77777777" w:rsidTr="00E32887">
        <w:trPr>
          <w:trHeight w:val="285"/>
          <w:jc w:val="center"/>
        </w:trPr>
        <w:tc>
          <w:tcPr>
            <w:tcW w:w="0" w:type="auto"/>
            <w:noWrap/>
            <w:vAlign w:val="bottom"/>
            <w:hideMark/>
          </w:tcPr>
          <w:p w14:paraId="6195EF27"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2010</w:t>
            </w:r>
          </w:p>
        </w:tc>
        <w:tc>
          <w:tcPr>
            <w:tcW w:w="0" w:type="auto"/>
            <w:noWrap/>
            <w:vAlign w:val="bottom"/>
            <w:hideMark/>
          </w:tcPr>
          <w:p w14:paraId="5004951E"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24%</w:t>
            </w:r>
          </w:p>
        </w:tc>
        <w:tc>
          <w:tcPr>
            <w:tcW w:w="0" w:type="auto"/>
            <w:noWrap/>
            <w:vAlign w:val="bottom"/>
            <w:hideMark/>
          </w:tcPr>
          <w:p w14:paraId="5AD97398"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55%</w:t>
            </w:r>
          </w:p>
        </w:tc>
        <w:tc>
          <w:tcPr>
            <w:tcW w:w="0" w:type="auto"/>
            <w:noWrap/>
            <w:vAlign w:val="bottom"/>
            <w:hideMark/>
          </w:tcPr>
          <w:p w14:paraId="633463EF"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26%</w:t>
            </w:r>
          </w:p>
        </w:tc>
      </w:tr>
      <w:tr w:rsidR="00733E14" w:rsidRPr="00733E14" w14:paraId="0971795E" w14:textId="77777777" w:rsidTr="00E32887">
        <w:trPr>
          <w:trHeight w:val="285"/>
          <w:jc w:val="center"/>
        </w:trPr>
        <w:tc>
          <w:tcPr>
            <w:tcW w:w="0" w:type="auto"/>
            <w:noWrap/>
            <w:vAlign w:val="bottom"/>
            <w:hideMark/>
          </w:tcPr>
          <w:p w14:paraId="27DD93AB"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2011</w:t>
            </w:r>
          </w:p>
        </w:tc>
        <w:tc>
          <w:tcPr>
            <w:tcW w:w="0" w:type="auto"/>
            <w:noWrap/>
            <w:vAlign w:val="bottom"/>
            <w:hideMark/>
          </w:tcPr>
          <w:p w14:paraId="7A76C0E3"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19%</w:t>
            </w:r>
          </w:p>
        </w:tc>
        <w:tc>
          <w:tcPr>
            <w:tcW w:w="0" w:type="auto"/>
            <w:noWrap/>
            <w:vAlign w:val="bottom"/>
            <w:hideMark/>
          </w:tcPr>
          <w:p w14:paraId="38D2C664"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43%</w:t>
            </w:r>
          </w:p>
        </w:tc>
        <w:tc>
          <w:tcPr>
            <w:tcW w:w="0" w:type="auto"/>
            <w:noWrap/>
            <w:vAlign w:val="bottom"/>
            <w:hideMark/>
          </w:tcPr>
          <w:p w14:paraId="0911C2F9"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19%</w:t>
            </w:r>
          </w:p>
        </w:tc>
      </w:tr>
      <w:tr w:rsidR="00733E14" w:rsidRPr="00733E14" w14:paraId="7AFD1DF8" w14:textId="77777777" w:rsidTr="00E32887">
        <w:trPr>
          <w:trHeight w:val="285"/>
          <w:jc w:val="center"/>
        </w:trPr>
        <w:tc>
          <w:tcPr>
            <w:tcW w:w="0" w:type="auto"/>
            <w:noWrap/>
            <w:vAlign w:val="bottom"/>
            <w:hideMark/>
          </w:tcPr>
          <w:p w14:paraId="6149B362"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2012</w:t>
            </w:r>
          </w:p>
        </w:tc>
        <w:tc>
          <w:tcPr>
            <w:tcW w:w="0" w:type="auto"/>
            <w:noWrap/>
            <w:vAlign w:val="bottom"/>
            <w:hideMark/>
          </w:tcPr>
          <w:p w14:paraId="6373A532"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57%</w:t>
            </w:r>
          </w:p>
        </w:tc>
        <w:tc>
          <w:tcPr>
            <w:tcW w:w="0" w:type="auto"/>
            <w:noWrap/>
            <w:vAlign w:val="bottom"/>
            <w:hideMark/>
          </w:tcPr>
          <w:p w14:paraId="66954CE6"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25%</w:t>
            </w:r>
          </w:p>
        </w:tc>
        <w:tc>
          <w:tcPr>
            <w:tcW w:w="0" w:type="auto"/>
            <w:noWrap/>
            <w:vAlign w:val="bottom"/>
            <w:hideMark/>
          </w:tcPr>
          <w:p w14:paraId="08B3F650"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53%</w:t>
            </w:r>
          </w:p>
        </w:tc>
      </w:tr>
      <w:tr w:rsidR="00733E14" w:rsidRPr="00733E14" w14:paraId="3E65B07C" w14:textId="77777777" w:rsidTr="00E32887">
        <w:trPr>
          <w:trHeight w:val="285"/>
          <w:jc w:val="center"/>
        </w:trPr>
        <w:tc>
          <w:tcPr>
            <w:tcW w:w="0" w:type="auto"/>
            <w:noWrap/>
            <w:vAlign w:val="bottom"/>
            <w:hideMark/>
          </w:tcPr>
          <w:p w14:paraId="5B73BB2A"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2013</w:t>
            </w:r>
          </w:p>
        </w:tc>
        <w:tc>
          <w:tcPr>
            <w:tcW w:w="0" w:type="auto"/>
            <w:noWrap/>
            <w:vAlign w:val="bottom"/>
            <w:hideMark/>
          </w:tcPr>
          <w:p w14:paraId="01E00EB5"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56%</w:t>
            </w:r>
          </w:p>
        </w:tc>
        <w:tc>
          <w:tcPr>
            <w:tcW w:w="0" w:type="auto"/>
            <w:noWrap/>
            <w:vAlign w:val="bottom"/>
            <w:hideMark/>
          </w:tcPr>
          <w:p w14:paraId="0BA0DE12"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40%</w:t>
            </w:r>
          </w:p>
        </w:tc>
        <w:tc>
          <w:tcPr>
            <w:tcW w:w="0" w:type="auto"/>
            <w:noWrap/>
            <w:vAlign w:val="bottom"/>
            <w:hideMark/>
          </w:tcPr>
          <w:p w14:paraId="35740161"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50%</w:t>
            </w:r>
          </w:p>
        </w:tc>
      </w:tr>
      <w:tr w:rsidR="00733E14" w:rsidRPr="00733E14" w14:paraId="5D9601DA" w14:textId="77777777" w:rsidTr="00E32887">
        <w:trPr>
          <w:trHeight w:val="285"/>
          <w:jc w:val="center"/>
        </w:trPr>
        <w:tc>
          <w:tcPr>
            <w:tcW w:w="0" w:type="auto"/>
            <w:noWrap/>
            <w:vAlign w:val="bottom"/>
            <w:hideMark/>
          </w:tcPr>
          <w:p w14:paraId="5E304FD3"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2014</w:t>
            </w:r>
          </w:p>
        </w:tc>
        <w:tc>
          <w:tcPr>
            <w:tcW w:w="0" w:type="auto"/>
            <w:noWrap/>
            <w:vAlign w:val="bottom"/>
            <w:hideMark/>
          </w:tcPr>
          <w:p w14:paraId="7E733621"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50%</w:t>
            </w:r>
          </w:p>
        </w:tc>
        <w:tc>
          <w:tcPr>
            <w:tcW w:w="0" w:type="auto"/>
            <w:noWrap/>
            <w:vAlign w:val="bottom"/>
            <w:hideMark/>
          </w:tcPr>
          <w:p w14:paraId="24F08015"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51%</w:t>
            </w:r>
          </w:p>
        </w:tc>
        <w:tc>
          <w:tcPr>
            <w:tcW w:w="0" w:type="auto"/>
            <w:noWrap/>
            <w:vAlign w:val="bottom"/>
            <w:hideMark/>
          </w:tcPr>
          <w:p w14:paraId="396E7547"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47%</w:t>
            </w:r>
          </w:p>
        </w:tc>
      </w:tr>
      <w:tr w:rsidR="00733E14" w:rsidRPr="00733E14" w14:paraId="0580E5F6" w14:textId="77777777" w:rsidTr="00E32887">
        <w:trPr>
          <w:trHeight w:val="285"/>
          <w:jc w:val="center"/>
        </w:trPr>
        <w:tc>
          <w:tcPr>
            <w:tcW w:w="0" w:type="auto"/>
            <w:noWrap/>
            <w:vAlign w:val="bottom"/>
            <w:hideMark/>
          </w:tcPr>
          <w:p w14:paraId="5ED1F8F6"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2015</w:t>
            </w:r>
          </w:p>
        </w:tc>
        <w:tc>
          <w:tcPr>
            <w:tcW w:w="0" w:type="auto"/>
            <w:noWrap/>
            <w:vAlign w:val="bottom"/>
            <w:hideMark/>
          </w:tcPr>
          <w:p w14:paraId="3848DD5E"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67%</w:t>
            </w:r>
          </w:p>
        </w:tc>
        <w:tc>
          <w:tcPr>
            <w:tcW w:w="0" w:type="auto"/>
            <w:noWrap/>
            <w:vAlign w:val="bottom"/>
            <w:hideMark/>
          </w:tcPr>
          <w:p w14:paraId="5E613D7B"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54%</w:t>
            </w:r>
          </w:p>
        </w:tc>
        <w:tc>
          <w:tcPr>
            <w:tcW w:w="0" w:type="auto"/>
            <w:noWrap/>
            <w:vAlign w:val="bottom"/>
            <w:hideMark/>
          </w:tcPr>
          <w:p w14:paraId="53808BD2"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64%</w:t>
            </w:r>
          </w:p>
        </w:tc>
      </w:tr>
      <w:tr w:rsidR="00733E14" w:rsidRPr="00733E14" w14:paraId="33AC748C" w14:textId="77777777" w:rsidTr="00E32887">
        <w:trPr>
          <w:trHeight w:val="285"/>
          <w:jc w:val="center"/>
        </w:trPr>
        <w:tc>
          <w:tcPr>
            <w:tcW w:w="0" w:type="auto"/>
            <w:noWrap/>
            <w:vAlign w:val="bottom"/>
            <w:hideMark/>
          </w:tcPr>
          <w:p w14:paraId="3D02CCB5"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2016</w:t>
            </w:r>
          </w:p>
        </w:tc>
        <w:tc>
          <w:tcPr>
            <w:tcW w:w="0" w:type="auto"/>
            <w:noWrap/>
            <w:vAlign w:val="bottom"/>
            <w:hideMark/>
          </w:tcPr>
          <w:p w14:paraId="2F741A64"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63%</w:t>
            </w:r>
          </w:p>
        </w:tc>
        <w:tc>
          <w:tcPr>
            <w:tcW w:w="0" w:type="auto"/>
            <w:noWrap/>
            <w:vAlign w:val="bottom"/>
            <w:hideMark/>
          </w:tcPr>
          <w:p w14:paraId="1425319E"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89%</w:t>
            </w:r>
          </w:p>
        </w:tc>
        <w:tc>
          <w:tcPr>
            <w:tcW w:w="0" w:type="auto"/>
            <w:noWrap/>
            <w:vAlign w:val="bottom"/>
            <w:hideMark/>
          </w:tcPr>
          <w:p w14:paraId="71ED3238"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65%</w:t>
            </w:r>
          </w:p>
        </w:tc>
      </w:tr>
      <w:tr w:rsidR="00733E14" w:rsidRPr="00733E14" w14:paraId="15E2DFDD" w14:textId="77777777" w:rsidTr="00E32887">
        <w:trPr>
          <w:trHeight w:val="285"/>
          <w:jc w:val="center"/>
        </w:trPr>
        <w:tc>
          <w:tcPr>
            <w:tcW w:w="0" w:type="auto"/>
            <w:noWrap/>
            <w:vAlign w:val="bottom"/>
            <w:hideMark/>
          </w:tcPr>
          <w:p w14:paraId="79FFEF67"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2017</w:t>
            </w:r>
          </w:p>
        </w:tc>
        <w:tc>
          <w:tcPr>
            <w:tcW w:w="0" w:type="auto"/>
            <w:noWrap/>
            <w:vAlign w:val="bottom"/>
            <w:hideMark/>
          </w:tcPr>
          <w:p w14:paraId="6A904CBC"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78%</w:t>
            </w:r>
          </w:p>
        </w:tc>
        <w:tc>
          <w:tcPr>
            <w:tcW w:w="0" w:type="auto"/>
            <w:noWrap/>
            <w:vAlign w:val="bottom"/>
            <w:hideMark/>
          </w:tcPr>
          <w:p w14:paraId="3CDCAE20"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83%</w:t>
            </w:r>
          </w:p>
        </w:tc>
        <w:tc>
          <w:tcPr>
            <w:tcW w:w="0" w:type="auto"/>
            <w:noWrap/>
            <w:vAlign w:val="bottom"/>
            <w:hideMark/>
          </w:tcPr>
          <w:p w14:paraId="7910D5B1"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78%</w:t>
            </w:r>
          </w:p>
        </w:tc>
      </w:tr>
      <w:tr w:rsidR="00733E14" w:rsidRPr="00733E14" w14:paraId="0AFF3259" w14:textId="77777777" w:rsidTr="00E32887">
        <w:trPr>
          <w:trHeight w:val="285"/>
          <w:jc w:val="center"/>
        </w:trPr>
        <w:tc>
          <w:tcPr>
            <w:tcW w:w="0" w:type="auto"/>
            <w:noWrap/>
            <w:vAlign w:val="bottom"/>
            <w:hideMark/>
          </w:tcPr>
          <w:p w14:paraId="3BB2DECD"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2018</w:t>
            </w:r>
          </w:p>
        </w:tc>
        <w:tc>
          <w:tcPr>
            <w:tcW w:w="0" w:type="auto"/>
            <w:noWrap/>
            <w:vAlign w:val="bottom"/>
            <w:hideMark/>
          </w:tcPr>
          <w:p w14:paraId="581A3D2E"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85%</w:t>
            </w:r>
          </w:p>
        </w:tc>
        <w:tc>
          <w:tcPr>
            <w:tcW w:w="0" w:type="auto"/>
            <w:noWrap/>
            <w:vAlign w:val="bottom"/>
            <w:hideMark/>
          </w:tcPr>
          <w:p w14:paraId="01A9FE55"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87%</w:t>
            </w:r>
          </w:p>
        </w:tc>
        <w:tc>
          <w:tcPr>
            <w:tcW w:w="0" w:type="auto"/>
            <w:noWrap/>
            <w:vAlign w:val="bottom"/>
            <w:hideMark/>
          </w:tcPr>
          <w:p w14:paraId="718EB694"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85%</w:t>
            </w:r>
          </w:p>
        </w:tc>
      </w:tr>
      <w:tr w:rsidR="00733E14" w:rsidRPr="00733E14" w14:paraId="49614192" w14:textId="77777777" w:rsidTr="00E32887">
        <w:trPr>
          <w:trHeight w:val="285"/>
          <w:jc w:val="center"/>
        </w:trPr>
        <w:tc>
          <w:tcPr>
            <w:tcW w:w="0" w:type="auto"/>
            <w:noWrap/>
            <w:vAlign w:val="bottom"/>
            <w:hideMark/>
          </w:tcPr>
          <w:p w14:paraId="7B3B329B"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2019</w:t>
            </w:r>
          </w:p>
        </w:tc>
        <w:tc>
          <w:tcPr>
            <w:tcW w:w="0" w:type="auto"/>
            <w:noWrap/>
            <w:vAlign w:val="bottom"/>
            <w:hideMark/>
          </w:tcPr>
          <w:p w14:paraId="29115FF1"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98%</w:t>
            </w:r>
          </w:p>
        </w:tc>
        <w:tc>
          <w:tcPr>
            <w:tcW w:w="0" w:type="auto"/>
            <w:noWrap/>
            <w:vAlign w:val="bottom"/>
            <w:hideMark/>
          </w:tcPr>
          <w:p w14:paraId="1A9A6F4E"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85%</w:t>
            </w:r>
          </w:p>
        </w:tc>
        <w:tc>
          <w:tcPr>
            <w:tcW w:w="0" w:type="auto"/>
            <w:noWrap/>
            <w:vAlign w:val="bottom"/>
            <w:hideMark/>
          </w:tcPr>
          <w:p w14:paraId="31ACB324" w14:textId="77777777" w:rsidR="00733E14" w:rsidRPr="00733E14" w:rsidRDefault="00733E14" w:rsidP="00E32887">
            <w:pPr>
              <w:bidi w:val="0"/>
              <w:jc w:val="center"/>
              <w:rPr>
                <w:rFonts w:asciiTheme="majorBidi" w:hAnsiTheme="majorBidi" w:cstheme="majorBidi"/>
                <w:color w:val="000000"/>
              </w:rPr>
            </w:pPr>
            <w:r w:rsidRPr="00733E14">
              <w:rPr>
                <w:rFonts w:asciiTheme="majorBidi" w:hAnsiTheme="majorBidi" w:cstheme="majorBidi"/>
                <w:color w:val="000000"/>
              </w:rPr>
              <w:t>98%</w:t>
            </w:r>
          </w:p>
        </w:tc>
      </w:tr>
    </w:tbl>
    <w:p w14:paraId="6129CFC9" w14:textId="2060A676" w:rsidR="00E32887" w:rsidRPr="00E32887" w:rsidRDefault="00E32887" w:rsidP="00E32887">
      <w:pPr>
        <w:bidi w:val="0"/>
        <w:jc w:val="center"/>
        <w:rPr>
          <w:rFonts w:asciiTheme="majorBidi" w:hAnsiTheme="majorBidi" w:cstheme="majorBidi"/>
          <w:b/>
          <w:bCs/>
          <w:color w:val="000000"/>
        </w:rPr>
      </w:pPr>
      <w:r w:rsidRPr="00E32887">
        <w:rPr>
          <w:rFonts w:asciiTheme="majorBidi" w:hAnsiTheme="majorBidi" w:cstheme="majorBidi"/>
          <w:b/>
          <w:bCs/>
          <w:color w:val="000000"/>
        </w:rPr>
        <w:t xml:space="preserve">Table </w:t>
      </w:r>
      <w:r w:rsidRPr="00E50C32">
        <w:rPr>
          <w:rFonts w:asciiTheme="majorBidi" w:hAnsiTheme="majorBidi" w:cstheme="majorBidi"/>
          <w:b/>
          <w:bCs/>
          <w:color w:val="000000"/>
          <w:highlight w:val="yellow"/>
        </w:rPr>
        <w:t>XX</w:t>
      </w:r>
      <w:r w:rsidRPr="00E32887">
        <w:rPr>
          <w:rFonts w:asciiTheme="majorBidi" w:hAnsiTheme="majorBidi" w:cstheme="majorBidi"/>
          <w:b/>
          <w:bCs/>
          <w:color w:val="000000"/>
        </w:rPr>
        <w:t xml:space="preserve"> - WB and GS - Wealth and Standard of living dimension</w:t>
      </w:r>
    </w:p>
    <w:p w14:paraId="17625A83" w14:textId="77777777" w:rsidR="00733E14" w:rsidRPr="00E32887" w:rsidRDefault="00733E14" w:rsidP="00733E14">
      <w:pPr>
        <w:bidi w:val="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81"/>
        <w:gridCol w:w="620"/>
        <w:gridCol w:w="620"/>
        <w:gridCol w:w="754"/>
      </w:tblGrid>
      <w:tr w:rsidR="004601F6" w:rsidRPr="004601F6" w14:paraId="2E2E5795" w14:textId="77777777" w:rsidTr="00E32887">
        <w:trPr>
          <w:trHeight w:val="285"/>
          <w:jc w:val="center"/>
        </w:trPr>
        <w:tc>
          <w:tcPr>
            <w:tcW w:w="0" w:type="auto"/>
            <w:noWrap/>
            <w:vAlign w:val="bottom"/>
            <w:hideMark/>
          </w:tcPr>
          <w:p w14:paraId="3DFE8F66" w14:textId="2084E88A" w:rsidR="004601F6" w:rsidRPr="004601F6" w:rsidRDefault="00E32887" w:rsidP="004601F6">
            <w:pPr>
              <w:bidi w:val="0"/>
              <w:jc w:val="center"/>
              <w:rPr>
                <w:rFonts w:asciiTheme="majorBidi" w:hAnsiTheme="majorBidi" w:cstheme="majorBidi"/>
                <w:b/>
                <w:bCs/>
                <w:color w:val="000000"/>
              </w:rPr>
            </w:pPr>
            <w:r w:rsidRPr="00E32887">
              <w:rPr>
                <w:rFonts w:asciiTheme="majorBidi" w:hAnsiTheme="majorBidi" w:cstheme="majorBidi"/>
                <w:b/>
                <w:bCs/>
                <w:color w:val="000000"/>
              </w:rPr>
              <w:t>Year</w:t>
            </w:r>
          </w:p>
        </w:tc>
        <w:tc>
          <w:tcPr>
            <w:tcW w:w="0" w:type="auto"/>
            <w:noWrap/>
            <w:vAlign w:val="bottom"/>
            <w:hideMark/>
          </w:tcPr>
          <w:p w14:paraId="69D01E35" w14:textId="77777777" w:rsidR="004601F6" w:rsidRPr="004601F6" w:rsidRDefault="004601F6" w:rsidP="004601F6">
            <w:pPr>
              <w:bidi w:val="0"/>
              <w:rPr>
                <w:rFonts w:asciiTheme="majorBidi" w:hAnsiTheme="majorBidi" w:cstheme="majorBidi"/>
                <w:b/>
                <w:bCs/>
                <w:color w:val="000000"/>
              </w:rPr>
            </w:pPr>
            <w:r w:rsidRPr="004601F6">
              <w:rPr>
                <w:rFonts w:asciiTheme="majorBidi" w:hAnsiTheme="majorBidi" w:cstheme="majorBidi"/>
                <w:b/>
                <w:bCs/>
                <w:color w:val="000000"/>
              </w:rPr>
              <w:t>WB</w:t>
            </w:r>
          </w:p>
        </w:tc>
        <w:tc>
          <w:tcPr>
            <w:tcW w:w="0" w:type="auto"/>
            <w:noWrap/>
            <w:vAlign w:val="bottom"/>
            <w:hideMark/>
          </w:tcPr>
          <w:p w14:paraId="7023D581" w14:textId="77777777" w:rsidR="004601F6" w:rsidRPr="004601F6" w:rsidRDefault="004601F6" w:rsidP="004601F6">
            <w:pPr>
              <w:bidi w:val="0"/>
              <w:rPr>
                <w:rFonts w:asciiTheme="majorBidi" w:hAnsiTheme="majorBidi" w:cstheme="majorBidi"/>
                <w:b/>
                <w:bCs/>
                <w:color w:val="000000"/>
              </w:rPr>
            </w:pPr>
            <w:r w:rsidRPr="004601F6">
              <w:rPr>
                <w:rFonts w:asciiTheme="majorBidi" w:hAnsiTheme="majorBidi" w:cstheme="majorBidi"/>
                <w:b/>
                <w:bCs/>
                <w:color w:val="000000"/>
              </w:rPr>
              <w:t>GS</w:t>
            </w:r>
          </w:p>
        </w:tc>
        <w:tc>
          <w:tcPr>
            <w:tcW w:w="0" w:type="auto"/>
            <w:noWrap/>
            <w:vAlign w:val="bottom"/>
            <w:hideMark/>
          </w:tcPr>
          <w:p w14:paraId="29C2B88A" w14:textId="77777777" w:rsidR="004601F6" w:rsidRPr="004601F6" w:rsidRDefault="004601F6" w:rsidP="004601F6">
            <w:pPr>
              <w:bidi w:val="0"/>
              <w:rPr>
                <w:rFonts w:asciiTheme="majorBidi" w:hAnsiTheme="majorBidi" w:cstheme="majorBidi"/>
                <w:b/>
                <w:bCs/>
                <w:color w:val="000000"/>
              </w:rPr>
            </w:pPr>
            <w:r w:rsidRPr="004601F6">
              <w:rPr>
                <w:rFonts w:asciiTheme="majorBidi" w:hAnsiTheme="majorBidi" w:cstheme="majorBidi"/>
                <w:b/>
                <w:bCs/>
                <w:color w:val="000000"/>
              </w:rPr>
              <w:t>WBG</w:t>
            </w:r>
          </w:p>
        </w:tc>
      </w:tr>
      <w:tr w:rsidR="004601F6" w:rsidRPr="004601F6" w14:paraId="74466500" w14:textId="77777777" w:rsidTr="00E32887">
        <w:trPr>
          <w:trHeight w:val="285"/>
          <w:jc w:val="center"/>
        </w:trPr>
        <w:tc>
          <w:tcPr>
            <w:tcW w:w="0" w:type="auto"/>
            <w:noWrap/>
            <w:vAlign w:val="bottom"/>
            <w:hideMark/>
          </w:tcPr>
          <w:p w14:paraId="42E2B39D"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2008</w:t>
            </w:r>
          </w:p>
        </w:tc>
        <w:tc>
          <w:tcPr>
            <w:tcW w:w="0" w:type="auto"/>
            <w:noWrap/>
            <w:vAlign w:val="bottom"/>
            <w:hideMark/>
          </w:tcPr>
          <w:p w14:paraId="0E1168A0"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50%</w:t>
            </w:r>
          </w:p>
        </w:tc>
        <w:tc>
          <w:tcPr>
            <w:tcW w:w="0" w:type="auto"/>
            <w:noWrap/>
            <w:vAlign w:val="bottom"/>
            <w:hideMark/>
          </w:tcPr>
          <w:p w14:paraId="4CE78CC1"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79%</w:t>
            </w:r>
          </w:p>
        </w:tc>
        <w:tc>
          <w:tcPr>
            <w:tcW w:w="0" w:type="auto"/>
            <w:noWrap/>
            <w:vAlign w:val="bottom"/>
            <w:hideMark/>
          </w:tcPr>
          <w:p w14:paraId="6A0F9EA7"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50%</w:t>
            </w:r>
          </w:p>
        </w:tc>
      </w:tr>
      <w:tr w:rsidR="004601F6" w:rsidRPr="004601F6" w14:paraId="2A6F628F" w14:textId="77777777" w:rsidTr="00E32887">
        <w:trPr>
          <w:trHeight w:val="285"/>
          <w:jc w:val="center"/>
        </w:trPr>
        <w:tc>
          <w:tcPr>
            <w:tcW w:w="0" w:type="auto"/>
            <w:noWrap/>
            <w:vAlign w:val="bottom"/>
            <w:hideMark/>
          </w:tcPr>
          <w:p w14:paraId="4B9DA643"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2009</w:t>
            </w:r>
          </w:p>
        </w:tc>
        <w:tc>
          <w:tcPr>
            <w:tcW w:w="0" w:type="auto"/>
            <w:noWrap/>
            <w:vAlign w:val="bottom"/>
            <w:hideMark/>
          </w:tcPr>
          <w:p w14:paraId="7A003C84"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62%</w:t>
            </w:r>
          </w:p>
        </w:tc>
        <w:tc>
          <w:tcPr>
            <w:tcW w:w="0" w:type="auto"/>
            <w:noWrap/>
            <w:vAlign w:val="bottom"/>
            <w:hideMark/>
          </w:tcPr>
          <w:p w14:paraId="761E8E88"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79%</w:t>
            </w:r>
          </w:p>
        </w:tc>
        <w:tc>
          <w:tcPr>
            <w:tcW w:w="0" w:type="auto"/>
            <w:noWrap/>
            <w:vAlign w:val="bottom"/>
            <w:hideMark/>
          </w:tcPr>
          <w:p w14:paraId="0D4EFDE8"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74%</w:t>
            </w:r>
          </w:p>
        </w:tc>
      </w:tr>
      <w:tr w:rsidR="004601F6" w:rsidRPr="004601F6" w14:paraId="40F9465C" w14:textId="77777777" w:rsidTr="00E32887">
        <w:trPr>
          <w:trHeight w:val="285"/>
          <w:jc w:val="center"/>
        </w:trPr>
        <w:tc>
          <w:tcPr>
            <w:tcW w:w="0" w:type="auto"/>
            <w:noWrap/>
            <w:vAlign w:val="bottom"/>
            <w:hideMark/>
          </w:tcPr>
          <w:p w14:paraId="0E24C10C"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2010</w:t>
            </w:r>
          </w:p>
        </w:tc>
        <w:tc>
          <w:tcPr>
            <w:tcW w:w="0" w:type="auto"/>
            <w:noWrap/>
            <w:vAlign w:val="bottom"/>
            <w:hideMark/>
          </w:tcPr>
          <w:p w14:paraId="330EAC92"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42%</w:t>
            </w:r>
          </w:p>
        </w:tc>
        <w:tc>
          <w:tcPr>
            <w:tcW w:w="0" w:type="auto"/>
            <w:noWrap/>
            <w:vAlign w:val="bottom"/>
            <w:hideMark/>
          </w:tcPr>
          <w:p w14:paraId="54FF3441"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71%</w:t>
            </w:r>
          </w:p>
        </w:tc>
        <w:tc>
          <w:tcPr>
            <w:tcW w:w="0" w:type="auto"/>
            <w:noWrap/>
            <w:vAlign w:val="bottom"/>
            <w:hideMark/>
          </w:tcPr>
          <w:p w14:paraId="5D848BEF"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58%</w:t>
            </w:r>
          </w:p>
        </w:tc>
      </w:tr>
      <w:tr w:rsidR="004601F6" w:rsidRPr="004601F6" w14:paraId="4B2A788E" w14:textId="77777777" w:rsidTr="00E32887">
        <w:trPr>
          <w:trHeight w:val="285"/>
          <w:jc w:val="center"/>
        </w:trPr>
        <w:tc>
          <w:tcPr>
            <w:tcW w:w="0" w:type="auto"/>
            <w:noWrap/>
            <w:vAlign w:val="bottom"/>
            <w:hideMark/>
          </w:tcPr>
          <w:p w14:paraId="360D1EE6"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2011</w:t>
            </w:r>
          </w:p>
        </w:tc>
        <w:tc>
          <w:tcPr>
            <w:tcW w:w="0" w:type="auto"/>
            <w:noWrap/>
            <w:vAlign w:val="bottom"/>
            <w:hideMark/>
          </w:tcPr>
          <w:p w14:paraId="3067317A"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52%</w:t>
            </w:r>
          </w:p>
        </w:tc>
        <w:tc>
          <w:tcPr>
            <w:tcW w:w="0" w:type="auto"/>
            <w:noWrap/>
            <w:vAlign w:val="bottom"/>
            <w:hideMark/>
          </w:tcPr>
          <w:p w14:paraId="01E1D996"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78%</w:t>
            </w:r>
          </w:p>
        </w:tc>
        <w:tc>
          <w:tcPr>
            <w:tcW w:w="0" w:type="auto"/>
            <w:noWrap/>
            <w:vAlign w:val="bottom"/>
            <w:hideMark/>
          </w:tcPr>
          <w:p w14:paraId="5064EED0"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67%</w:t>
            </w:r>
          </w:p>
        </w:tc>
      </w:tr>
      <w:tr w:rsidR="004601F6" w:rsidRPr="004601F6" w14:paraId="61090F11" w14:textId="77777777" w:rsidTr="00E32887">
        <w:trPr>
          <w:trHeight w:val="285"/>
          <w:jc w:val="center"/>
        </w:trPr>
        <w:tc>
          <w:tcPr>
            <w:tcW w:w="0" w:type="auto"/>
            <w:noWrap/>
            <w:vAlign w:val="bottom"/>
            <w:hideMark/>
          </w:tcPr>
          <w:p w14:paraId="375FCC02"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2012</w:t>
            </w:r>
          </w:p>
        </w:tc>
        <w:tc>
          <w:tcPr>
            <w:tcW w:w="0" w:type="auto"/>
            <w:noWrap/>
            <w:vAlign w:val="bottom"/>
            <w:hideMark/>
          </w:tcPr>
          <w:p w14:paraId="71223C32"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54%</w:t>
            </w:r>
          </w:p>
        </w:tc>
        <w:tc>
          <w:tcPr>
            <w:tcW w:w="0" w:type="auto"/>
            <w:noWrap/>
            <w:vAlign w:val="bottom"/>
            <w:hideMark/>
          </w:tcPr>
          <w:p w14:paraId="496C3157"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86%</w:t>
            </w:r>
          </w:p>
        </w:tc>
        <w:tc>
          <w:tcPr>
            <w:tcW w:w="0" w:type="auto"/>
            <w:noWrap/>
            <w:vAlign w:val="bottom"/>
            <w:hideMark/>
          </w:tcPr>
          <w:p w14:paraId="56ADB517"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80%</w:t>
            </w:r>
          </w:p>
        </w:tc>
      </w:tr>
      <w:tr w:rsidR="004601F6" w:rsidRPr="004601F6" w14:paraId="14666CF5" w14:textId="77777777" w:rsidTr="00E32887">
        <w:trPr>
          <w:trHeight w:val="285"/>
          <w:jc w:val="center"/>
        </w:trPr>
        <w:tc>
          <w:tcPr>
            <w:tcW w:w="0" w:type="auto"/>
            <w:noWrap/>
            <w:vAlign w:val="bottom"/>
            <w:hideMark/>
          </w:tcPr>
          <w:p w14:paraId="3393E59B"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2013</w:t>
            </w:r>
          </w:p>
        </w:tc>
        <w:tc>
          <w:tcPr>
            <w:tcW w:w="0" w:type="auto"/>
            <w:noWrap/>
            <w:vAlign w:val="bottom"/>
            <w:hideMark/>
          </w:tcPr>
          <w:p w14:paraId="4BDC2A66"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51%</w:t>
            </w:r>
          </w:p>
        </w:tc>
        <w:tc>
          <w:tcPr>
            <w:tcW w:w="0" w:type="auto"/>
            <w:noWrap/>
            <w:vAlign w:val="bottom"/>
            <w:hideMark/>
          </w:tcPr>
          <w:p w14:paraId="585362A5"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82%</w:t>
            </w:r>
          </w:p>
        </w:tc>
        <w:tc>
          <w:tcPr>
            <w:tcW w:w="0" w:type="auto"/>
            <w:noWrap/>
            <w:vAlign w:val="bottom"/>
            <w:hideMark/>
          </w:tcPr>
          <w:p w14:paraId="11FC3ABF"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70%</w:t>
            </w:r>
          </w:p>
        </w:tc>
      </w:tr>
      <w:tr w:rsidR="004601F6" w:rsidRPr="004601F6" w14:paraId="2893DB80" w14:textId="77777777" w:rsidTr="00E32887">
        <w:trPr>
          <w:trHeight w:val="285"/>
          <w:jc w:val="center"/>
        </w:trPr>
        <w:tc>
          <w:tcPr>
            <w:tcW w:w="0" w:type="auto"/>
            <w:noWrap/>
            <w:vAlign w:val="bottom"/>
            <w:hideMark/>
          </w:tcPr>
          <w:p w14:paraId="386EB5FE"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2014</w:t>
            </w:r>
          </w:p>
        </w:tc>
        <w:tc>
          <w:tcPr>
            <w:tcW w:w="0" w:type="auto"/>
            <w:noWrap/>
            <w:vAlign w:val="bottom"/>
            <w:hideMark/>
          </w:tcPr>
          <w:p w14:paraId="0A489397"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43%</w:t>
            </w:r>
          </w:p>
        </w:tc>
        <w:tc>
          <w:tcPr>
            <w:tcW w:w="0" w:type="auto"/>
            <w:noWrap/>
            <w:vAlign w:val="bottom"/>
            <w:hideMark/>
          </w:tcPr>
          <w:p w14:paraId="1D52B1D1"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50%</w:t>
            </w:r>
          </w:p>
        </w:tc>
        <w:tc>
          <w:tcPr>
            <w:tcW w:w="0" w:type="auto"/>
            <w:noWrap/>
            <w:vAlign w:val="bottom"/>
            <w:hideMark/>
          </w:tcPr>
          <w:p w14:paraId="087C6DFB"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45%</w:t>
            </w:r>
          </w:p>
        </w:tc>
      </w:tr>
      <w:tr w:rsidR="004601F6" w:rsidRPr="004601F6" w14:paraId="5441FD25" w14:textId="77777777" w:rsidTr="00E32887">
        <w:trPr>
          <w:trHeight w:val="285"/>
          <w:jc w:val="center"/>
        </w:trPr>
        <w:tc>
          <w:tcPr>
            <w:tcW w:w="0" w:type="auto"/>
            <w:noWrap/>
            <w:vAlign w:val="bottom"/>
            <w:hideMark/>
          </w:tcPr>
          <w:p w14:paraId="4B588282"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2015</w:t>
            </w:r>
          </w:p>
        </w:tc>
        <w:tc>
          <w:tcPr>
            <w:tcW w:w="0" w:type="auto"/>
            <w:noWrap/>
            <w:vAlign w:val="bottom"/>
            <w:hideMark/>
          </w:tcPr>
          <w:p w14:paraId="1D939A3B"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46%</w:t>
            </w:r>
          </w:p>
        </w:tc>
        <w:tc>
          <w:tcPr>
            <w:tcW w:w="0" w:type="auto"/>
            <w:noWrap/>
            <w:vAlign w:val="bottom"/>
            <w:hideMark/>
          </w:tcPr>
          <w:p w14:paraId="42909D94"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33%</w:t>
            </w:r>
          </w:p>
        </w:tc>
        <w:tc>
          <w:tcPr>
            <w:tcW w:w="0" w:type="auto"/>
            <w:noWrap/>
            <w:vAlign w:val="bottom"/>
            <w:hideMark/>
          </w:tcPr>
          <w:p w14:paraId="40FA0FEE"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42%</w:t>
            </w:r>
          </w:p>
        </w:tc>
      </w:tr>
      <w:tr w:rsidR="004601F6" w:rsidRPr="004601F6" w14:paraId="05FB4E4B" w14:textId="77777777" w:rsidTr="00E32887">
        <w:trPr>
          <w:trHeight w:val="285"/>
          <w:jc w:val="center"/>
        </w:trPr>
        <w:tc>
          <w:tcPr>
            <w:tcW w:w="0" w:type="auto"/>
            <w:noWrap/>
            <w:vAlign w:val="bottom"/>
            <w:hideMark/>
          </w:tcPr>
          <w:p w14:paraId="02994C90"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2016</w:t>
            </w:r>
          </w:p>
        </w:tc>
        <w:tc>
          <w:tcPr>
            <w:tcW w:w="0" w:type="auto"/>
            <w:noWrap/>
            <w:vAlign w:val="bottom"/>
            <w:hideMark/>
          </w:tcPr>
          <w:p w14:paraId="4E1AD4CD"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51%</w:t>
            </w:r>
          </w:p>
        </w:tc>
        <w:tc>
          <w:tcPr>
            <w:tcW w:w="0" w:type="auto"/>
            <w:noWrap/>
            <w:vAlign w:val="bottom"/>
            <w:hideMark/>
          </w:tcPr>
          <w:p w14:paraId="7662A7EB"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38%</w:t>
            </w:r>
          </w:p>
        </w:tc>
        <w:tc>
          <w:tcPr>
            <w:tcW w:w="0" w:type="auto"/>
            <w:noWrap/>
            <w:vAlign w:val="bottom"/>
            <w:hideMark/>
          </w:tcPr>
          <w:p w14:paraId="41D0E559"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51%</w:t>
            </w:r>
          </w:p>
        </w:tc>
      </w:tr>
      <w:tr w:rsidR="004601F6" w:rsidRPr="004601F6" w14:paraId="75AF5E50" w14:textId="77777777" w:rsidTr="00E32887">
        <w:trPr>
          <w:trHeight w:val="285"/>
          <w:jc w:val="center"/>
        </w:trPr>
        <w:tc>
          <w:tcPr>
            <w:tcW w:w="0" w:type="auto"/>
            <w:noWrap/>
            <w:vAlign w:val="bottom"/>
            <w:hideMark/>
          </w:tcPr>
          <w:p w14:paraId="14F74740"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2017</w:t>
            </w:r>
          </w:p>
        </w:tc>
        <w:tc>
          <w:tcPr>
            <w:tcW w:w="0" w:type="auto"/>
            <w:noWrap/>
            <w:vAlign w:val="bottom"/>
            <w:hideMark/>
          </w:tcPr>
          <w:p w14:paraId="6D7517F9"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48%</w:t>
            </w:r>
          </w:p>
        </w:tc>
        <w:tc>
          <w:tcPr>
            <w:tcW w:w="0" w:type="auto"/>
            <w:noWrap/>
            <w:vAlign w:val="bottom"/>
            <w:hideMark/>
          </w:tcPr>
          <w:p w14:paraId="40258E5D"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18%</w:t>
            </w:r>
          </w:p>
        </w:tc>
        <w:tc>
          <w:tcPr>
            <w:tcW w:w="0" w:type="auto"/>
            <w:noWrap/>
            <w:vAlign w:val="bottom"/>
            <w:hideMark/>
          </w:tcPr>
          <w:p w14:paraId="7BD356A1"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35%</w:t>
            </w:r>
          </w:p>
        </w:tc>
      </w:tr>
      <w:tr w:rsidR="004601F6" w:rsidRPr="004601F6" w14:paraId="0E1D4B48" w14:textId="77777777" w:rsidTr="00E32887">
        <w:trPr>
          <w:trHeight w:val="285"/>
          <w:jc w:val="center"/>
        </w:trPr>
        <w:tc>
          <w:tcPr>
            <w:tcW w:w="0" w:type="auto"/>
            <w:noWrap/>
            <w:vAlign w:val="bottom"/>
            <w:hideMark/>
          </w:tcPr>
          <w:p w14:paraId="63C21EC4"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2018</w:t>
            </w:r>
          </w:p>
        </w:tc>
        <w:tc>
          <w:tcPr>
            <w:tcW w:w="0" w:type="auto"/>
            <w:noWrap/>
            <w:vAlign w:val="bottom"/>
            <w:hideMark/>
          </w:tcPr>
          <w:p w14:paraId="29234136"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43%</w:t>
            </w:r>
          </w:p>
        </w:tc>
        <w:tc>
          <w:tcPr>
            <w:tcW w:w="0" w:type="auto"/>
            <w:noWrap/>
            <w:vAlign w:val="bottom"/>
            <w:hideMark/>
          </w:tcPr>
          <w:p w14:paraId="48897FB2"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9%</w:t>
            </w:r>
          </w:p>
        </w:tc>
        <w:tc>
          <w:tcPr>
            <w:tcW w:w="0" w:type="auto"/>
            <w:noWrap/>
            <w:vAlign w:val="bottom"/>
            <w:hideMark/>
          </w:tcPr>
          <w:p w14:paraId="5DF4A9A7"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23%</w:t>
            </w:r>
          </w:p>
        </w:tc>
      </w:tr>
      <w:tr w:rsidR="004601F6" w:rsidRPr="004601F6" w14:paraId="749EE626" w14:textId="77777777" w:rsidTr="00E32887">
        <w:trPr>
          <w:trHeight w:val="285"/>
          <w:jc w:val="center"/>
        </w:trPr>
        <w:tc>
          <w:tcPr>
            <w:tcW w:w="0" w:type="auto"/>
            <w:noWrap/>
            <w:vAlign w:val="bottom"/>
            <w:hideMark/>
          </w:tcPr>
          <w:p w14:paraId="14DDB3F1"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2019</w:t>
            </w:r>
          </w:p>
        </w:tc>
        <w:tc>
          <w:tcPr>
            <w:tcW w:w="0" w:type="auto"/>
            <w:noWrap/>
            <w:vAlign w:val="bottom"/>
            <w:hideMark/>
          </w:tcPr>
          <w:p w14:paraId="184CF387"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41%</w:t>
            </w:r>
          </w:p>
        </w:tc>
        <w:tc>
          <w:tcPr>
            <w:tcW w:w="0" w:type="auto"/>
            <w:noWrap/>
            <w:vAlign w:val="bottom"/>
            <w:hideMark/>
          </w:tcPr>
          <w:p w14:paraId="5B2746C0"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0%</w:t>
            </w:r>
          </w:p>
        </w:tc>
        <w:tc>
          <w:tcPr>
            <w:tcW w:w="0" w:type="auto"/>
            <w:noWrap/>
            <w:vAlign w:val="bottom"/>
            <w:hideMark/>
          </w:tcPr>
          <w:p w14:paraId="0CD2233F" w14:textId="77777777" w:rsidR="004601F6" w:rsidRPr="004601F6" w:rsidRDefault="004601F6" w:rsidP="004601F6">
            <w:pPr>
              <w:bidi w:val="0"/>
              <w:jc w:val="right"/>
              <w:rPr>
                <w:rFonts w:asciiTheme="majorBidi" w:hAnsiTheme="majorBidi" w:cstheme="majorBidi"/>
                <w:color w:val="000000"/>
              </w:rPr>
            </w:pPr>
            <w:r w:rsidRPr="004601F6">
              <w:rPr>
                <w:rFonts w:asciiTheme="majorBidi" w:hAnsiTheme="majorBidi" w:cstheme="majorBidi"/>
                <w:color w:val="000000"/>
              </w:rPr>
              <w:t>13%</w:t>
            </w:r>
          </w:p>
        </w:tc>
      </w:tr>
    </w:tbl>
    <w:p w14:paraId="611397B6" w14:textId="77777777" w:rsidR="004601F6" w:rsidRPr="002037F9" w:rsidRDefault="004601F6" w:rsidP="004601F6">
      <w:pPr>
        <w:bidi w:val="0"/>
        <w:jc w:val="center"/>
        <w:rPr>
          <w:b/>
          <w:bCs/>
        </w:rPr>
      </w:pPr>
    </w:p>
    <w:sectPr w:rsidR="004601F6" w:rsidRPr="002037F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199DF" w14:textId="77777777" w:rsidR="00C27BF5" w:rsidRDefault="00C27BF5" w:rsidP="00C47693">
      <w:r>
        <w:separator/>
      </w:r>
    </w:p>
  </w:endnote>
  <w:endnote w:type="continuationSeparator" w:id="0">
    <w:p w14:paraId="0205085C" w14:textId="77777777" w:rsidR="00C27BF5" w:rsidRDefault="00C27BF5" w:rsidP="00C47693">
      <w:r>
        <w:continuationSeparator/>
      </w:r>
    </w:p>
  </w:endnote>
  <w:endnote w:type="continuationNotice" w:id="1">
    <w:p w14:paraId="243A5DF3" w14:textId="77777777" w:rsidR="00C27BF5" w:rsidRDefault="00C27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David">
    <w:panose1 w:val="020E05020604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13470774"/>
      <w:docPartObj>
        <w:docPartGallery w:val="Page Numbers (Bottom of Page)"/>
        <w:docPartUnique/>
      </w:docPartObj>
    </w:sdtPr>
    <w:sdtEndPr>
      <w:rPr>
        <w:noProof/>
      </w:rPr>
    </w:sdtEndPr>
    <w:sdtContent>
      <w:p w14:paraId="2D302AFF" w14:textId="2668F923" w:rsidR="003513E5" w:rsidRDefault="003513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43449C" w14:textId="77777777" w:rsidR="006B34C3" w:rsidRDefault="006B3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08882" w14:textId="77777777" w:rsidR="00C27BF5" w:rsidRDefault="00C27BF5" w:rsidP="00C47693">
      <w:r>
        <w:separator/>
      </w:r>
    </w:p>
  </w:footnote>
  <w:footnote w:type="continuationSeparator" w:id="0">
    <w:p w14:paraId="56AA75C7" w14:textId="77777777" w:rsidR="00C27BF5" w:rsidRDefault="00C27BF5" w:rsidP="00C47693">
      <w:r>
        <w:continuationSeparator/>
      </w:r>
    </w:p>
  </w:footnote>
  <w:footnote w:type="continuationNotice" w:id="1">
    <w:p w14:paraId="7D3D4F6F" w14:textId="77777777" w:rsidR="00C27BF5" w:rsidRDefault="00C27BF5"/>
  </w:footnote>
  <w:footnote w:id="2">
    <w:p w14:paraId="37EFE0DC" w14:textId="166F6C54" w:rsidR="00C47693" w:rsidRDefault="00C47693" w:rsidP="00C47693">
      <w:pPr>
        <w:pStyle w:val="FootnoteText"/>
        <w:bidi w:val="0"/>
      </w:pPr>
      <w:r>
        <w:rPr>
          <w:rStyle w:val="FootnoteReference"/>
        </w:rPr>
        <w:footnoteRef/>
      </w:r>
      <w:r w:rsidR="00290E0F">
        <w:t>According to the</w:t>
      </w:r>
      <w:r>
        <w:rPr>
          <w:rtl/>
        </w:rPr>
        <w:t xml:space="preserve"> </w:t>
      </w:r>
      <w:r>
        <w:t>Israel</w:t>
      </w:r>
      <w:r w:rsidR="00290E0F">
        <w:t>i</w:t>
      </w:r>
      <w:r>
        <w:t xml:space="preserve"> </w:t>
      </w:r>
      <w:r w:rsidR="009E316B">
        <w:t>M</w:t>
      </w:r>
      <w:r>
        <w:t xml:space="preserve">inistry of Foreign Affairs. </w:t>
      </w:r>
    </w:p>
  </w:footnote>
  <w:footnote w:id="3">
    <w:p w14:paraId="089219A3" w14:textId="1D13B324" w:rsidR="00C47693" w:rsidRDefault="00C47693" w:rsidP="00C47693">
      <w:pPr>
        <w:pStyle w:val="FootnoteText"/>
        <w:bidi w:val="0"/>
      </w:pPr>
      <w:r>
        <w:rPr>
          <w:rStyle w:val="FootnoteReference"/>
        </w:rPr>
        <w:footnoteRef/>
      </w:r>
      <w:r>
        <w:rPr>
          <w:rtl/>
        </w:rPr>
        <w:t xml:space="preserve"> </w:t>
      </w:r>
      <w:r>
        <w:t>The name "Palestine" chosen for this Mandate was based on "</w:t>
      </w:r>
      <w:r>
        <w:t xml:space="preserve">Palestina" </w:t>
      </w:r>
      <w:r w:rsidR="00250632">
        <w:t>a name</w:t>
      </w:r>
      <w:r>
        <w:t xml:space="preserve"> was given to the country by the Roman Empire in the second century CE</w:t>
      </w:r>
      <w:r>
        <w:rPr>
          <w:rFonts w:hint="cs"/>
          <w:rtl/>
        </w:rPr>
        <w:t>.</w:t>
      </w:r>
    </w:p>
  </w:footnote>
  <w:footnote w:id="4">
    <w:p w14:paraId="67EE4127" w14:textId="77777777" w:rsidR="00C47693" w:rsidRDefault="00C47693" w:rsidP="00C47693">
      <w:pPr>
        <w:pStyle w:val="FootnoteText"/>
        <w:bidi w:val="0"/>
        <w:rPr>
          <w:rtl/>
        </w:rPr>
      </w:pPr>
      <w:r>
        <w:rPr>
          <w:rStyle w:val="FootnoteReference"/>
        </w:rPr>
        <w:footnoteRef/>
      </w:r>
      <w:r>
        <w:rPr>
          <w:rtl/>
        </w:rPr>
        <w:t xml:space="preserve"> </w:t>
      </w:r>
      <w:r>
        <w:t>The Mandate for Palestine July 24, 1922, Article 2: “The Mandatory shall be responsible for placing the country under such political, administrative and economic conditions as will secure the establishment of the Jewish national home, as laid down in the preamble, and the development of self -governing institutions, and also for safeguarding the civil and religious rights of all the inhabitants of Palestine, irrespective of race and religion”.</w:t>
      </w:r>
    </w:p>
  </w:footnote>
  <w:footnote w:id="5">
    <w:p w14:paraId="3A466530" w14:textId="77777777" w:rsidR="00C47693" w:rsidRDefault="00C47693" w:rsidP="00C47693">
      <w:pPr>
        <w:pStyle w:val="FootnoteText"/>
        <w:bidi w:val="0"/>
      </w:pPr>
      <w:r>
        <w:rPr>
          <w:rStyle w:val="FootnoteReference"/>
        </w:rPr>
        <w:footnoteRef/>
      </w:r>
      <w:r>
        <w:t xml:space="preserve">The Currency Board was dissolved in May 1948, with the end of the British Mandate, but the Palestinian pound continued in circulation for transitional periods.  </w:t>
      </w:r>
      <w:r>
        <w:rPr>
          <w:rtl/>
        </w:rPr>
        <w:t xml:space="preserve"> </w:t>
      </w:r>
    </w:p>
  </w:footnote>
  <w:footnote w:id="6">
    <w:p w14:paraId="628D9A53" w14:textId="205A84E2" w:rsidR="00F84393" w:rsidRDefault="00C47693" w:rsidP="00F84393">
      <w:pPr>
        <w:pStyle w:val="FootnoteText"/>
        <w:bidi w:val="0"/>
        <w:rPr>
          <w:rtl/>
        </w:rPr>
      </w:pPr>
      <w:r>
        <w:rPr>
          <w:rStyle w:val="FootnoteReference"/>
        </w:rPr>
        <w:footnoteRef/>
      </w:r>
      <w:hyperlink r:id="rId1" w:history="1">
        <w:r w:rsidR="00F84393" w:rsidRPr="00391913">
          <w:rPr>
            <w:rStyle w:val="Hyperlink"/>
          </w:rPr>
          <w:t>https://www.nli.org.il/en/newspapers/plb/1928/12/10/01/article/4/?e=-------en-20--1--img-txIN%7ctxTI--------------1</w:t>
        </w:r>
      </w:hyperlink>
    </w:p>
  </w:footnote>
  <w:footnote w:id="7">
    <w:p w14:paraId="7D457F14" w14:textId="77777777" w:rsidR="00C47693" w:rsidRDefault="00C47693" w:rsidP="00C47693">
      <w:pPr>
        <w:pStyle w:val="FootnoteText"/>
        <w:bidi w:val="0"/>
      </w:pPr>
      <w:r>
        <w:rPr>
          <w:rStyle w:val="FootnoteReference"/>
        </w:rPr>
        <w:footnoteRef/>
      </w:r>
      <w:r>
        <w:rPr>
          <w:rtl/>
        </w:rPr>
        <w:t xml:space="preserve"> </w:t>
      </w:r>
      <w:r>
        <w:t xml:space="preserve">For further reading - </w:t>
      </w:r>
      <w:r>
        <w:t>Segev (2000), Kramer (2008) Kelly (2017).</w:t>
      </w:r>
    </w:p>
  </w:footnote>
  <w:footnote w:id="8">
    <w:p w14:paraId="6E2912A8" w14:textId="77777777" w:rsidR="00C47693" w:rsidRDefault="00C47693" w:rsidP="00C47693">
      <w:pPr>
        <w:pStyle w:val="FootnoteText"/>
        <w:bidi w:val="0"/>
      </w:pPr>
      <w:r>
        <w:rPr>
          <w:rStyle w:val="FootnoteReference"/>
        </w:rPr>
        <w:footnoteRef/>
      </w:r>
      <w:r>
        <w:rPr>
          <w:rtl/>
        </w:rPr>
        <w:t xml:space="preserve"> </w:t>
      </w:r>
      <w:r>
        <w:t xml:space="preserve">The main factors in fostering rapid economic growth of the Jewish sector were: Jewish population increased mainly through immigration and capital inflows and investment. </w:t>
      </w:r>
    </w:p>
  </w:footnote>
  <w:footnote w:id="9">
    <w:p w14:paraId="38BDA28E" w14:textId="36D9095B" w:rsidR="00C47693" w:rsidRDefault="00C47693" w:rsidP="00C47693">
      <w:pPr>
        <w:pStyle w:val="FootnoteText"/>
        <w:bidi w:val="0"/>
      </w:pPr>
      <w:r>
        <w:rPr>
          <w:rStyle w:val="FootnoteReference"/>
        </w:rPr>
        <w:footnoteRef/>
      </w:r>
      <w:hyperlink r:id="rId2" w:history="1">
        <w:r>
          <w:rPr>
            <w:rStyle w:val="Hyperlink"/>
          </w:rPr>
          <w:t>https://web.archive.org/web/20120524094913/http://domino.un.org/unispal.nsf/0/7f0af2bd897689b785256c330061d253</w:t>
        </w:r>
      </w:hyperlink>
    </w:p>
    <w:p w14:paraId="5E11EE3C" w14:textId="77777777" w:rsidR="00C47693" w:rsidRDefault="00C47693" w:rsidP="00C47693">
      <w:pPr>
        <w:pStyle w:val="FootnoteText"/>
        <w:bidi w:val="0"/>
      </w:pPr>
    </w:p>
    <w:p w14:paraId="70ED6D07" w14:textId="77777777" w:rsidR="00C47693" w:rsidRDefault="00C47693" w:rsidP="00C47693">
      <w:pPr>
        <w:pStyle w:val="FootnoteText"/>
        <w:bidi w:val="0"/>
        <w:rPr>
          <w:rtl/>
        </w:rPr>
      </w:pPr>
      <w:r>
        <w:rPr>
          <w:rFonts w:hint="cs"/>
          <w:rtl/>
        </w:rPr>
        <w:t xml:space="preserve"> </w:t>
      </w:r>
    </w:p>
  </w:footnote>
  <w:footnote w:id="10">
    <w:p w14:paraId="5F7CA1B3" w14:textId="00618F38" w:rsidR="00C47693" w:rsidRDefault="00C47693" w:rsidP="00C47693">
      <w:pPr>
        <w:bidi w:val="0"/>
        <w:jc w:val="both"/>
      </w:pPr>
      <w:r>
        <w:rPr>
          <w:rStyle w:val="FootnoteReference"/>
        </w:rPr>
        <w:footnoteRef/>
      </w:r>
      <w:r>
        <w:t xml:space="preserve"> </w:t>
      </w:r>
      <w:r w:rsidRPr="00053806">
        <w:rPr>
          <w:rFonts w:asciiTheme="majorBidi" w:hAnsiTheme="majorBidi" w:cstheme="majorBidi"/>
          <w:sz w:val="20"/>
          <w:szCs w:val="20"/>
        </w:rPr>
        <w:t xml:space="preserve">During the Sinai Campaign (1956), the Gaza </w:t>
      </w:r>
      <w:r w:rsidR="00E32948">
        <w:rPr>
          <w:rFonts w:asciiTheme="majorBidi" w:hAnsiTheme="majorBidi" w:cstheme="majorBidi"/>
          <w:sz w:val="20"/>
          <w:szCs w:val="20"/>
        </w:rPr>
        <w:t xml:space="preserve">strip </w:t>
      </w:r>
      <w:r w:rsidRPr="00053806">
        <w:rPr>
          <w:rFonts w:asciiTheme="majorBidi" w:hAnsiTheme="majorBidi" w:cstheme="majorBidi"/>
          <w:sz w:val="20"/>
          <w:szCs w:val="20"/>
        </w:rPr>
        <w:t xml:space="preserve">was temporarily </w:t>
      </w:r>
      <w:r w:rsidR="00783862">
        <w:rPr>
          <w:rFonts w:asciiTheme="majorBidi" w:hAnsiTheme="majorBidi" w:cstheme="majorBidi"/>
          <w:sz w:val="20"/>
          <w:szCs w:val="20"/>
        </w:rPr>
        <w:t>occupied</w:t>
      </w:r>
      <w:r w:rsidRPr="00053806">
        <w:rPr>
          <w:rFonts w:asciiTheme="majorBidi" w:hAnsiTheme="majorBidi" w:cstheme="majorBidi"/>
          <w:sz w:val="20"/>
          <w:szCs w:val="20"/>
        </w:rPr>
        <w:t xml:space="preserve"> by Israel. The Sinai Campaign was fought to put an end to the terrorist incursions into Israel and to remove the Egyptian blockade of Eilat</w:t>
      </w:r>
      <w:r>
        <w:t>.​</w:t>
      </w:r>
    </w:p>
    <w:p w14:paraId="4B54291E" w14:textId="77777777" w:rsidR="00C47693" w:rsidRDefault="00C47693" w:rsidP="00C47693">
      <w:pPr>
        <w:bidi w:val="0"/>
      </w:pPr>
    </w:p>
  </w:footnote>
  <w:footnote w:id="11">
    <w:p w14:paraId="76BA3C9C" w14:textId="77777777" w:rsidR="00C47693" w:rsidRDefault="00C47693" w:rsidP="00C47693">
      <w:pPr>
        <w:pStyle w:val="FootnoteText"/>
        <w:bidi w:val="0"/>
      </w:pPr>
      <w:r>
        <w:rPr>
          <w:rStyle w:val="FootnoteReference"/>
        </w:rPr>
        <w:footnoteRef/>
      </w:r>
      <w:r>
        <w:rPr>
          <w:rtl/>
        </w:rPr>
        <w:t xml:space="preserve"> </w:t>
      </w:r>
      <w:r>
        <w:rPr>
          <w:rFonts w:eastAsiaTheme="minorHAnsi"/>
        </w:rPr>
        <w:t>Israeli Ministry of Foreign Affairs</w:t>
      </w:r>
      <w:r>
        <w:rPr>
          <w:rFonts w:eastAsiaTheme="minorHAnsi" w:hint="cs"/>
          <w:rtl/>
        </w:rPr>
        <w:t>.</w:t>
      </w:r>
    </w:p>
  </w:footnote>
  <w:footnote w:id="12">
    <w:p w14:paraId="61B42F45" w14:textId="6AE5C0B8" w:rsidR="00C47693" w:rsidRDefault="00C47693" w:rsidP="00C47693">
      <w:pPr>
        <w:pStyle w:val="FootnoteText"/>
        <w:bidi w:val="0"/>
        <w:rPr>
          <w:rtl/>
        </w:rPr>
      </w:pPr>
      <w:r>
        <w:rPr>
          <w:rStyle w:val="FootnoteReference"/>
        </w:rPr>
        <w:footnoteRef/>
      </w:r>
      <w:r>
        <w:t xml:space="preserve">The last agreement was signed on 23 October 1998, and is known as </w:t>
      </w:r>
      <w:r w:rsidR="00781208">
        <w:t>t</w:t>
      </w:r>
      <w:r>
        <w:t xml:space="preserve">he </w:t>
      </w:r>
      <w:r w:rsidR="00781208">
        <w:t>“</w:t>
      </w:r>
      <w:r>
        <w:t>Wye River Memorandum</w:t>
      </w:r>
      <w:r w:rsidR="00781208">
        <w:t>”</w:t>
      </w:r>
      <w:r>
        <w:t>.</w:t>
      </w:r>
      <w:r>
        <w:rPr>
          <w:rtl/>
        </w:rPr>
        <w:t xml:space="preserve"> </w:t>
      </w:r>
      <w:r>
        <w:t xml:space="preserve"> </w:t>
      </w:r>
    </w:p>
  </w:footnote>
  <w:footnote w:id="13">
    <w:p w14:paraId="58865AFB" w14:textId="77777777" w:rsidR="00C47693" w:rsidRDefault="00C47693" w:rsidP="00C47693">
      <w:pPr>
        <w:pStyle w:val="FootnoteText"/>
        <w:bidi w:val="0"/>
      </w:pPr>
      <w:r>
        <w:rPr>
          <w:rStyle w:val="FootnoteReference"/>
        </w:rPr>
        <w:footnoteRef/>
      </w:r>
      <w:r>
        <w:rPr>
          <w:rtl/>
        </w:rPr>
        <w:t xml:space="preserve"> </w:t>
      </w:r>
      <w:r>
        <w:t xml:space="preserve"> Israel Ministry of Foreign Affairs.</w:t>
      </w:r>
    </w:p>
  </w:footnote>
  <w:footnote w:id="14">
    <w:p w14:paraId="355D451F" w14:textId="4B4854AF" w:rsidR="00C47693" w:rsidRDefault="00C47693" w:rsidP="00C47693">
      <w:pPr>
        <w:pStyle w:val="FootnoteText"/>
        <w:bidi w:val="0"/>
      </w:pPr>
      <w:r>
        <w:rPr>
          <w:rStyle w:val="FootnoteReference"/>
        </w:rPr>
        <w:footnoteRef/>
      </w:r>
      <w:r>
        <w:t xml:space="preserve">It was incorporated with minor </w:t>
      </w:r>
      <w:r w:rsidR="00E244AF">
        <w:t>amendments</w:t>
      </w:r>
      <w:r>
        <w:t xml:space="preserve"> into the Oslo II Accord of September 1995</w:t>
      </w:r>
      <w:r>
        <w:rPr>
          <w:rtl/>
        </w:rPr>
        <w:t xml:space="preserve"> </w:t>
      </w:r>
    </w:p>
  </w:footnote>
  <w:footnote w:id="15">
    <w:p w14:paraId="56318C5A" w14:textId="40405E6F" w:rsidR="00C47693" w:rsidRDefault="00C47693" w:rsidP="00C47693">
      <w:pPr>
        <w:pStyle w:val="FootnoteText"/>
        <w:bidi w:val="0"/>
      </w:pPr>
      <w:r>
        <w:rPr>
          <w:rStyle w:val="FootnoteReference"/>
        </w:rPr>
        <w:footnoteRef/>
      </w:r>
      <w:r>
        <w:rPr>
          <w:rtl/>
        </w:rPr>
        <w:t xml:space="preserve"> </w:t>
      </w:r>
      <w:hyperlink w:history="1">
        <w:hyperlink w:history="1">
          <w:r w:rsidR="00ED3F9F">
            <w:rPr>
              <w:rStyle w:val="Hyperlink"/>
            </w:rPr>
            <w:t>https://mfa.gov.il/MFA/ForeignPolicy/MFADocuments/Yearbook9/Pages/181%20Israel-PLO%20Economic%20Agreement-%20Paris-%2029%20April.aspx</w:t>
          </w:r>
        </w:hyperlink>
        <w:r w:rsidR="003A1562">
          <w:rPr>
            <w:b/>
            <w:bCs/>
          </w:rPr>
          <w:t>.</w:t>
        </w:r>
      </w:hyperlink>
    </w:p>
    <w:p w14:paraId="37743839" w14:textId="7EB7E99E" w:rsidR="00ED3F9F" w:rsidRDefault="00ED3F9F" w:rsidP="00ED3F9F">
      <w:pPr>
        <w:pStyle w:val="FootnoteText"/>
        <w:bidi w:val="0"/>
        <w:rPr>
          <w:rtl/>
        </w:rPr>
      </w:pPr>
    </w:p>
  </w:footnote>
  <w:footnote w:id="16">
    <w:p w14:paraId="45E24D95" w14:textId="6BADF518" w:rsidR="00C47693" w:rsidRDefault="00C47693" w:rsidP="00C47693">
      <w:pPr>
        <w:pStyle w:val="FootnoteText"/>
        <w:bidi w:val="0"/>
      </w:pPr>
      <w:r>
        <w:rPr>
          <w:rStyle w:val="FootnoteReference"/>
        </w:rPr>
        <w:footnoteRef/>
      </w:r>
      <w:r>
        <w:rPr>
          <w:rtl/>
        </w:rPr>
        <w:t xml:space="preserve"> </w:t>
      </w:r>
      <w:r>
        <w:t xml:space="preserve">The clearance </w:t>
      </w:r>
      <w:r w:rsidR="00833885">
        <w:t>mechanism was specified as follows</w:t>
      </w:r>
      <w:r>
        <w:t xml:space="preserve">: at the end of each month a reconciliation session is held for the </w:t>
      </w:r>
      <w:r w:rsidR="00847586">
        <w:t>revenues</w:t>
      </w:r>
      <w:r>
        <w:t xml:space="preserve"> of the previous month which will be received in cash at the beginning of the month following the session.</w:t>
      </w:r>
    </w:p>
  </w:footnote>
  <w:footnote w:id="17">
    <w:p w14:paraId="15C734C2" w14:textId="4800B36C" w:rsidR="00C47693" w:rsidRDefault="00C47693" w:rsidP="00C47693">
      <w:pPr>
        <w:pStyle w:val="FootnoteText"/>
        <w:bidi w:val="0"/>
      </w:pPr>
      <w:r>
        <w:rPr>
          <w:rStyle w:val="FootnoteReference"/>
        </w:rPr>
        <w:footnoteRef/>
      </w:r>
      <w:r>
        <w:t xml:space="preserve"> The summit held between the United States </w:t>
      </w:r>
      <w:r w:rsidR="001947FA">
        <w:t>P</w:t>
      </w:r>
      <w:r>
        <w:t>resident</w:t>
      </w:r>
      <w:r w:rsidR="00EE3B29">
        <w:t>,</w:t>
      </w:r>
      <w:r>
        <w:t xml:space="preserve"> Israeli </w:t>
      </w:r>
      <w:r w:rsidR="001947FA">
        <w:t>P</w:t>
      </w:r>
      <w:r>
        <w:t xml:space="preserve">rime </w:t>
      </w:r>
      <w:r w:rsidR="001947FA">
        <w:t>M</w:t>
      </w:r>
      <w:r>
        <w:t xml:space="preserve">inister and Palestinian Authority </w:t>
      </w:r>
      <w:r w:rsidR="00EE3B29">
        <w:t>C</w:t>
      </w:r>
      <w:r>
        <w:t>hairman</w:t>
      </w:r>
      <w:r w:rsidR="00EE3B29">
        <w:t>.</w:t>
      </w:r>
    </w:p>
  </w:footnote>
  <w:footnote w:id="18">
    <w:p w14:paraId="163FB1F9" w14:textId="4132DFD3" w:rsidR="00C47693" w:rsidRDefault="00C47693" w:rsidP="00C47693">
      <w:pPr>
        <w:pStyle w:val="FootnoteText"/>
        <w:bidi w:val="0"/>
      </w:pPr>
      <w:r>
        <w:rPr>
          <w:rStyle w:val="FootnoteReference"/>
        </w:rPr>
        <w:footnoteRef/>
      </w:r>
      <w:r>
        <w:rPr>
          <w:rtl/>
        </w:rPr>
        <w:t xml:space="preserve"> </w:t>
      </w:r>
      <w:hyperlink r:id="rId3" w:history="1">
        <w:r w:rsidRPr="0050488F">
          <w:rPr>
            <w:rStyle w:val="Hyperlink"/>
          </w:rPr>
          <w:t>https://www.mfa.gov.il/mfa/foreignpolicy/peace/guide/pages/israels%20disengagement%20plan-%20renewing%20the%20peace%20process%20apr%202005.aspx</w:t>
        </w:r>
      </w:hyperlink>
    </w:p>
    <w:p w14:paraId="249B597A" w14:textId="77777777" w:rsidR="00C47693" w:rsidRDefault="00C47693" w:rsidP="00C47693">
      <w:pPr>
        <w:pStyle w:val="FootnoteText"/>
        <w:bidi w:val="0"/>
      </w:pPr>
    </w:p>
  </w:footnote>
  <w:footnote w:id="19">
    <w:p w14:paraId="76C463C0" w14:textId="6AAE7106" w:rsidR="00C47693" w:rsidRDefault="00C47693" w:rsidP="00C47693">
      <w:pPr>
        <w:pStyle w:val="FootnoteText"/>
        <w:bidi w:val="0"/>
      </w:pPr>
      <w:r>
        <w:rPr>
          <w:rStyle w:val="FootnoteReference"/>
        </w:rPr>
        <w:footnoteRef/>
      </w:r>
      <w:hyperlink r:id="rId4" w:history="1">
        <w:r>
          <w:rPr>
            <w:rStyle w:val="Hyperlink"/>
          </w:rPr>
          <w:t>https://mfa.gov.il/mfa/foreignpolicy/terrorism/palestinian/pages/the%20hamas%20terror%20organization%20-%20%202006%20update%2015-mar-2007.aspx</w:t>
        </w:r>
      </w:hyperlink>
    </w:p>
    <w:p w14:paraId="6733B30F" w14:textId="77777777" w:rsidR="00C47693" w:rsidRDefault="00C47693" w:rsidP="00C47693">
      <w:pPr>
        <w:pStyle w:val="FootnoteText"/>
        <w:bidi w:val="0"/>
      </w:pPr>
    </w:p>
  </w:footnote>
  <w:footnote w:id="20">
    <w:p w14:paraId="45693F75" w14:textId="4573130B" w:rsidR="00C47693" w:rsidRDefault="00C47693" w:rsidP="00C47693">
      <w:pPr>
        <w:pStyle w:val="FootnoteText"/>
        <w:bidi w:val="0"/>
      </w:pPr>
      <w:r>
        <w:rPr>
          <w:rStyle w:val="FootnoteReference"/>
        </w:rPr>
        <w:footnoteRef/>
      </w:r>
      <w:hyperlink r:id="rId5" w:anchor=":~:text=Due%20to%20continued%20terrorist%20attacks,supplies%20which%20go%20beyond%20that" w:history="1">
        <w:r>
          <w:rPr>
            <w:rStyle w:val="Hyperlink"/>
          </w:rPr>
          <w:t>https://mfa.gov.il/MFA/ForeignPolicy/Issues/Pages/Gaza%20designated%20a%20%E2%80%9CHostile%20Territory%E2%80%9D%2024-Sep-2007.aspx#:~:text=Due%20to%20continued%20terrorist%20attacks,supplies%20which%20go%20beyond%20that</w:t>
        </w:r>
      </w:hyperlink>
      <w:r>
        <w:t>.</w:t>
      </w:r>
    </w:p>
    <w:p w14:paraId="71B452C1" w14:textId="77777777" w:rsidR="00C47693" w:rsidRDefault="00C47693" w:rsidP="00C47693">
      <w:pPr>
        <w:pStyle w:val="FootnoteText"/>
        <w:bidi w:val="0"/>
      </w:pPr>
    </w:p>
  </w:footnote>
  <w:footnote w:id="21">
    <w:p w14:paraId="6CF8C203" w14:textId="662FF8EA" w:rsidR="00C728CD" w:rsidRDefault="00C47693" w:rsidP="00C728CD">
      <w:pPr>
        <w:pStyle w:val="FootnoteText"/>
        <w:bidi w:val="0"/>
      </w:pPr>
      <w:r>
        <w:rPr>
          <w:rStyle w:val="FootnoteReference"/>
        </w:rPr>
        <w:footnoteRef/>
      </w:r>
      <w:r>
        <w:rPr>
          <w:rtl/>
        </w:rPr>
        <w:t xml:space="preserve"> </w:t>
      </w:r>
      <w:hyperlink r:id="rId6" w:history="1">
        <w:r w:rsidR="00C728CD" w:rsidRPr="00391913">
          <w:rPr>
            <w:rStyle w:val="Hyperlink"/>
          </w:rPr>
          <w:t>https://mfa.gov.il/MFA/AboutIsrael/Maps/Pages/Operation-Cast-Lead.aspx</w:t>
        </w:r>
      </w:hyperlink>
    </w:p>
  </w:footnote>
  <w:footnote w:id="22">
    <w:p w14:paraId="335E2189" w14:textId="5A2F5DD7" w:rsidR="00C728CD" w:rsidRDefault="00C47693" w:rsidP="00C728CD">
      <w:pPr>
        <w:pStyle w:val="FootnoteText"/>
        <w:bidi w:val="0"/>
      </w:pPr>
      <w:r>
        <w:rPr>
          <w:rStyle w:val="FootnoteReference"/>
        </w:rPr>
        <w:footnoteRef/>
      </w:r>
      <w:r>
        <w:rPr>
          <w:rtl/>
        </w:rPr>
        <w:t xml:space="preserve"> </w:t>
      </w:r>
      <w:hyperlink r:id="rId7" w:history="1">
        <w:r w:rsidR="00C728CD" w:rsidRPr="00391913">
          <w:rPr>
            <w:rStyle w:val="Hyperlink"/>
          </w:rPr>
          <w:t>https://www.idf.il/en/minisites/wars-and-operations/operation-pillar-of-defence/operation-pillar-of-defense/</w:t>
        </w:r>
      </w:hyperlink>
    </w:p>
  </w:footnote>
  <w:footnote w:id="23">
    <w:p w14:paraId="56B91ECE" w14:textId="26605F29" w:rsidR="00C728CD" w:rsidRDefault="00C47693" w:rsidP="00C728CD">
      <w:pPr>
        <w:pStyle w:val="FootnoteText"/>
        <w:bidi w:val="0"/>
      </w:pPr>
      <w:r>
        <w:rPr>
          <w:rStyle w:val="FootnoteReference"/>
        </w:rPr>
        <w:footnoteRef/>
      </w:r>
      <w:r>
        <w:rPr>
          <w:rtl/>
        </w:rPr>
        <w:t xml:space="preserve"> </w:t>
      </w:r>
      <w:hyperlink r:id="rId8" w:history="1">
        <w:r w:rsidR="00C728CD" w:rsidRPr="00391913">
          <w:rPr>
            <w:rStyle w:val="Hyperlink"/>
          </w:rPr>
          <w:t>https://www.gov.il/en/Departments/General/operation-protective-edge-full-report</w:t>
        </w:r>
      </w:hyperlink>
    </w:p>
  </w:footnote>
  <w:footnote w:id="24">
    <w:p w14:paraId="29B3E3E2" w14:textId="617A2814" w:rsidR="00EE0EC7" w:rsidRDefault="00C47693" w:rsidP="00EE0EC7">
      <w:pPr>
        <w:pStyle w:val="FootnoteText"/>
        <w:bidi w:val="0"/>
      </w:pPr>
      <w:r>
        <w:rPr>
          <w:rStyle w:val="FootnoteReference"/>
        </w:rPr>
        <w:footnoteRef/>
      </w:r>
      <w:r>
        <w:rPr>
          <w:rtl/>
        </w:rPr>
        <w:t xml:space="preserve"> </w:t>
      </w:r>
      <w:hyperlink r:id="rId9" w:history="1">
        <w:r w:rsidR="00EE0EC7" w:rsidRPr="00391913">
          <w:rPr>
            <w:rStyle w:val="Hyperlink"/>
          </w:rPr>
          <w:t>https://www.idf.il/en/minisites/wars-and-operations/operation-guardian-of-the-walls/operation-guardian-of-the-walls-1/</w:t>
        </w:r>
      </w:hyperlink>
    </w:p>
  </w:footnote>
  <w:footnote w:id="25">
    <w:p w14:paraId="20C9E002" w14:textId="79E4468A" w:rsidR="00C47693" w:rsidRDefault="00C47693" w:rsidP="00C47693">
      <w:pPr>
        <w:pStyle w:val="FootnoteText"/>
        <w:bidi w:val="0"/>
      </w:pPr>
      <w:r>
        <w:rPr>
          <w:rStyle w:val="FootnoteReference"/>
        </w:rPr>
        <w:footnoteRef/>
      </w:r>
      <w:r>
        <w:t xml:space="preserve"> </w:t>
      </w:r>
      <w:hyperlink r:id="rId10" w:history="1">
        <w:r>
          <w:rPr>
            <w:rStyle w:val="Hyperlink"/>
          </w:rPr>
          <w:t>https://www.globes.co.il/news/article.aspx?did=1001272325</w:t>
        </w:r>
      </w:hyperlink>
    </w:p>
    <w:p w14:paraId="7BA360B9" w14:textId="77777777" w:rsidR="00C47693" w:rsidRDefault="00C47693" w:rsidP="00C47693">
      <w:pPr>
        <w:pStyle w:val="FootnoteText"/>
        <w:bidi w:val="0"/>
        <w:rPr>
          <w:rtl/>
        </w:rPr>
      </w:pPr>
    </w:p>
  </w:footnote>
  <w:footnote w:id="26">
    <w:p w14:paraId="45C29BA8" w14:textId="70975D54" w:rsidR="00C47693" w:rsidRDefault="00C47693" w:rsidP="00C47693">
      <w:pPr>
        <w:pStyle w:val="FootnoteText"/>
        <w:bidi w:val="0"/>
      </w:pPr>
      <w:r>
        <w:rPr>
          <w:rStyle w:val="FootnoteReference"/>
        </w:rPr>
        <w:footnoteRef/>
      </w:r>
      <w:r>
        <w:t xml:space="preserve"> </w:t>
      </w:r>
      <w:hyperlink r:id="rId11" w:history="1">
        <w:r>
          <w:rPr>
            <w:rStyle w:val="Hyperlink"/>
          </w:rPr>
          <w:t>https://www.timesofisrael.com/in-first-government-approves-small-quota-of-tech-work-permits-for-palestinians/</w:t>
        </w:r>
      </w:hyperlink>
    </w:p>
  </w:footnote>
  <w:footnote w:id="27">
    <w:p w14:paraId="357BCDE8" w14:textId="310BF739" w:rsidR="00C47693" w:rsidRDefault="00C47693" w:rsidP="00D46C56">
      <w:pPr>
        <w:pStyle w:val="FootnoteText"/>
        <w:bidi w:val="0"/>
      </w:pPr>
      <w:r>
        <w:rPr>
          <w:rStyle w:val="FootnoteReference"/>
        </w:rPr>
        <w:footnoteRef/>
      </w:r>
      <w:r>
        <w:t xml:space="preserve"> </w:t>
      </w:r>
      <w:hyperlink r:id="rId12" w:history="1">
        <w:r>
          <w:rPr>
            <w:rStyle w:val="Hyperlink"/>
          </w:rPr>
          <w:t>https://www.gov.il/en/departments/news/1standards</w:t>
        </w:r>
      </w:hyperlink>
    </w:p>
  </w:footnote>
  <w:footnote w:id="28">
    <w:p w14:paraId="6997129F" w14:textId="1EBF5EB5" w:rsidR="00C47693" w:rsidRDefault="00C47693" w:rsidP="00C47693">
      <w:pPr>
        <w:pStyle w:val="FootnoteText"/>
        <w:bidi w:val="0"/>
      </w:pPr>
      <w:r>
        <w:rPr>
          <w:rStyle w:val="FootnoteReference"/>
        </w:rPr>
        <w:footnoteRef/>
      </w:r>
      <w:r>
        <w:t xml:space="preserve"> </w:t>
      </w:r>
      <w:hyperlink r:id="rId13" w:history="1">
        <w:r>
          <w:rPr>
            <w:rStyle w:val="Hyperlink"/>
          </w:rPr>
          <w:t>https://www.gov.il/en/departments/news/exportingfoodmanufacturedfromthegazastripheb</w:t>
        </w:r>
      </w:hyperlink>
    </w:p>
  </w:footnote>
  <w:footnote w:id="29">
    <w:p w14:paraId="63B259B1" w14:textId="5FA02BDB" w:rsidR="00C47693" w:rsidRDefault="00C47693" w:rsidP="00C47693">
      <w:pPr>
        <w:pStyle w:val="FootnoteText"/>
        <w:bidi w:val="0"/>
      </w:pPr>
      <w:r>
        <w:rPr>
          <w:rStyle w:val="FootnoteReference"/>
        </w:rPr>
        <w:footnoteRef/>
      </w:r>
      <w:r>
        <w:t xml:space="preserve"> </w:t>
      </w:r>
      <w:hyperlink r:id="rId14" w:history="1">
        <w:r>
          <w:rPr>
            <w:rStyle w:val="Hyperlink"/>
          </w:rPr>
          <w:t>https://www.timesofisrael.com/israel-authorizes-3000-additional-entry-permits-for-gaza-workers/</w:t>
        </w:r>
      </w:hyperlink>
    </w:p>
  </w:footnote>
  <w:footnote w:id="30">
    <w:p w14:paraId="269438B7" w14:textId="77777777" w:rsidR="00863081" w:rsidRDefault="00863081" w:rsidP="00863081">
      <w:pPr>
        <w:pStyle w:val="FootnoteText"/>
        <w:bidi w:val="0"/>
      </w:pPr>
      <w:r>
        <w:rPr>
          <w:rStyle w:val="FootnoteReference"/>
        </w:rPr>
        <w:footnoteRef/>
      </w:r>
      <w:r>
        <w:rPr>
          <w:rtl/>
        </w:rPr>
        <w:t xml:space="preserve"> </w:t>
      </w:r>
      <w:r>
        <w:t>BOI website.</w:t>
      </w:r>
    </w:p>
  </w:footnote>
  <w:footnote w:id="31">
    <w:p w14:paraId="1F509CD3" w14:textId="77777777" w:rsidR="00863081" w:rsidRDefault="00863081" w:rsidP="00863081">
      <w:pPr>
        <w:pStyle w:val="FootnoteText"/>
        <w:bidi w:val="0"/>
      </w:pPr>
      <w:r>
        <w:rPr>
          <w:rStyle w:val="FootnoteReference"/>
        </w:rPr>
        <w:footnoteRef/>
      </w:r>
      <w:r>
        <w:rPr>
          <w:rtl/>
        </w:rPr>
        <w:t xml:space="preserve"> </w:t>
      </w:r>
      <w:r>
        <w:t>PMA Annual Reports.</w:t>
      </w:r>
    </w:p>
  </w:footnote>
  <w:footnote w:id="32">
    <w:p w14:paraId="729D040B" w14:textId="77777777" w:rsidR="00863081" w:rsidRDefault="00863081" w:rsidP="00863081">
      <w:pPr>
        <w:pStyle w:val="FootnoteText"/>
        <w:bidi w:val="0"/>
      </w:pPr>
      <w:r>
        <w:rPr>
          <w:rStyle w:val="FootnoteReference"/>
        </w:rPr>
        <w:footnoteRef/>
      </w:r>
      <w:r>
        <w:rPr>
          <w:rtl/>
        </w:rPr>
        <w:t xml:space="preserve"> </w:t>
      </w:r>
      <w:r>
        <w:t>PMA annual reports.</w:t>
      </w:r>
    </w:p>
  </w:footnote>
  <w:footnote w:id="33">
    <w:p w14:paraId="0CB11F72" w14:textId="6290948F" w:rsidR="00863081" w:rsidRDefault="00863081" w:rsidP="00863081">
      <w:pPr>
        <w:pStyle w:val="FootnoteText"/>
        <w:bidi w:val="0"/>
      </w:pPr>
      <w:r>
        <w:rPr>
          <w:rStyle w:val="FootnoteReference"/>
        </w:rPr>
        <w:footnoteRef/>
      </w:r>
      <w:r>
        <w:rPr>
          <w:rtl/>
        </w:rPr>
        <w:t xml:space="preserve"> </w:t>
      </w:r>
      <w:hyperlink r:id="rId15" w:history="1">
        <w:r>
          <w:rPr>
            <w:rStyle w:val="Hyperlink"/>
          </w:rPr>
          <w:t>mailto:https://www.imf.org/en/Publications/Policy-Papers/Issues/2017/04/21/recent-trends-in-correspondent-banking-relationships-further-considerations</w:t>
        </w:r>
      </w:hyperlink>
    </w:p>
  </w:footnote>
  <w:footnote w:id="34">
    <w:p w14:paraId="02101F3A" w14:textId="2FF4EF64" w:rsidR="00863081" w:rsidRDefault="00863081" w:rsidP="00863081">
      <w:pPr>
        <w:pStyle w:val="FootnoteText"/>
        <w:bidi w:val="0"/>
      </w:pPr>
      <w:r>
        <w:rPr>
          <w:rStyle w:val="FootnoteReference"/>
        </w:rPr>
        <w:footnoteRef/>
      </w:r>
      <w:r>
        <w:rPr>
          <w:rtl/>
        </w:rPr>
        <w:t xml:space="preserve"> </w:t>
      </w:r>
      <w:hyperlink r:id="rId16" w:history="1">
        <w:r w:rsidRPr="00CF243D">
          <w:rPr>
            <w:rStyle w:val="Hyperlink"/>
          </w:rPr>
          <w:t>https://www.imf.org/en/Countries/ResRep/WBG/News-Archive</w:t>
        </w:r>
      </w:hyperlink>
    </w:p>
    <w:p w14:paraId="3F8A9A22" w14:textId="77777777" w:rsidR="00863081" w:rsidRDefault="00863081" w:rsidP="00863081">
      <w:pPr>
        <w:pStyle w:val="FootnoteText"/>
        <w:bidi w:val="0"/>
      </w:pPr>
    </w:p>
  </w:footnote>
  <w:footnote w:id="35">
    <w:p w14:paraId="420169FE" w14:textId="0F772DD7" w:rsidR="00EE538D" w:rsidRDefault="007C5FE5" w:rsidP="00EE538D">
      <w:pPr>
        <w:pStyle w:val="FootnoteText"/>
        <w:bidi w:val="0"/>
        <w:rPr>
          <w:rtl/>
        </w:rPr>
      </w:pPr>
      <w:r>
        <w:rPr>
          <w:rStyle w:val="FootnoteReference"/>
        </w:rPr>
        <w:footnoteRef/>
      </w:r>
      <w:r>
        <w:rPr>
          <w:rtl/>
        </w:rPr>
        <w:t xml:space="preserve"> </w:t>
      </w:r>
      <w:hyperlink r:id="rId17" w:history="1">
        <w:r w:rsidR="00EE538D" w:rsidRPr="00391913">
          <w:rPr>
            <w:rStyle w:val="Hyperlink"/>
          </w:rPr>
          <w:t>https://www.gov.il/ar/departments/news/onlinepayment</w:t>
        </w:r>
      </w:hyperlink>
    </w:p>
  </w:footnote>
  <w:footnote w:id="36">
    <w:p w14:paraId="4347EEAF" w14:textId="37721DFB" w:rsidR="00863081" w:rsidRDefault="00863081" w:rsidP="00863081">
      <w:pPr>
        <w:pStyle w:val="FootnoteText"/>
        <w:bidi w:val="0"/>
      </w:pPr>
      <w:r>
        <w:rPr>
          <w:rStyle w:val="FootnoteReference"/>
        </w:rPr>
        <w:footnoteRef/>
      </w:r>
      <w:r>
        <w:rPr>
          <w:rtl/>
        </w:rPr>
        <w:t xml:space="preserve"> </w:t>
      </w:r>
      <w:hyperlink r:id="rId18" w:history="1">
        <w:r w:rsidRPr="0059286D">
          <w:rPr>
            <w:rStyle w:val="Hyperlink"/>
          </w:rPr>
          <w:t>mailto:http://www.fatf-gafi.org/media/fatf/documents/reports/Guidance-Correspondent-Banking-Services.pdf</w:t>
        </w:r>
      </w:hyperlink>
    </w:p>
  </w:footnote>
  <w:footnote w:id="37">
    <w:p w14:paraId="399C825F" w14:textId="77777777" w:rsidR="00863081" w:rsidRDefault="00863081" w:rsidP="00863081">
      <w:pPr>
        <w:pStyle w:val="FootnoteText"/>
        <w:bidi w:val="0"/>
      </w:pPr>
      <w:r>
        <w:rPr>
          <w:rStyle w:val="FootnoteReference"/>
        </w:rPr>
        <w:footnoteRef/>
      </w:r>
      <w:r>
        <w:rPr>
          <w:rtl/>
        </w:rPr>
        <w:t xml:space="preserve"> </w:t>
      </w:r>
      <w:r w:rsidRPr="007E457C">
        <w:t xml:space="preserve">Recent </w:t>
      </w:r>
      <w:r>
        <w:t>T</w:t>
      </w:r>
      <w:r w:rsidRPr="007E457C">
        <w:t xml:space="preserve">rends </w:t>
      </w:r>
      <w:r>
        <w:t>i</w:t>
      </w:r>
      <w:r w:rsidRPr="007E457C">
        <w:t xml:space="preserve">n </w:t>
      </w:r>
      <w:r>
        <w:t>C</w:t>
      </w:r>
      <w:r w:rsidRPr="007E457C">
        <w:t xml:space="preserve">orrespondent </w:t>
      </w:r>
      <w:r>
        <w:t>B</w:t>
      </w:r>
      <w:r w:rsidRPr="007E457C">
        <w:t xml:space="preserve">anking </w:t>
      </w:r>
      <w:r>
        <w:t>R</w:t>
      </w:r>
      <w:r w:rsidRPr="007E457C">
        <w:t>elations</w:t>
      </w:r>
      <w:r>
        <w:t>—F</w:t>
      </w:r>
      <w:r w:rsidRPr="007E457C">
        <w:t xml:space="preserve">urther </w:t>
      </w:r>
      <w:r>
        <w:t>C</w:t>
      </w:r>
      <w:r w:rsidRPr="007E457C">
        <w:t>onsiderations, IMF, March 16, 2017</w:t>
      </w:r>
      <w:r>
        <w:t>.</w:t>
      </w:r>
    </w:p>
  </w:footnote>
  <w:footnote w:id="38">
    <w:p w14:paraId="44424556" w14:textId="77777777" w:rsidR="00863081" w:rsidRDefault="00863081" w:rsidP="00863081">
      <w:pPr>
        <w:pStyle w:val="FootnoteText"/>
        <w:bidi w:val="0"/>
      </w:pPr>
      <w:r>
        <w:rPr>
          <w:rStyle w:val="FootnoteReference"/>
        </w:rPr>
        <w:footnoteRef/>
      </w:r>
      <w:r>
        <w:rPr>
          <w:rtl/>
        </w:rPr>
        <w:t xml:space="preserve"> </w:t>
      </w:r>
      <w:r>
        <w:t>AHLC Report, IMF, April 2016 page 6.</w:t>
      </w:r>
    </w:p>
  </w:footnote>
  <w:footnote w:id="39">
    <w:p w14:paraId="3D6AD161" w14:textId="22DDF0F8" w:rsidR="00863081" w:rsidRDefault="00863081" w:rsidP="00863081">
      <w:pPr>
        <w:pStyle w:val="FootnoteText"/>
        <w:bidi w:val="0"/>
      </w:pPr>
      <w:r>
        <w:rPr>
          <w:rStyle w:val="FootnoteReference"/>
        </w:rPr>
        <w:footnoteRef/>
      </w:r>
      <w:r>
        <w:rPr>
          <w:rtl/>
        </w:rPr>
        <w:t xml:space="preserve"> </w:t>
      </w:r>
      <w:hyperlink r:id="rId19" w:history="1">
        <w:r>
          <w:rPr>
            <w:rStyle w:val="Hyperlink"/>
          </w:rPr>
          <w:t>mailto:https://www.globes.co.il/news/article.aspx?did=1001236634</w:t>
        </w:r>
      </w:hyperlink>
      <w:r>
        <w:t xml:space="preserve">; </w:t>
      </w:r>
      <w:hyperlink r:id="rId20" w:history="1">
        <w:r w:rsidRPr="00CF243D">
          <w:rPr>
            <w:rStyle w:val="Hyperlink"/>
          </w:rPr>
          <w:t>mailto:https://www.haaretz.co.il/news/politics/1.3425881</w:t>
        </w:r>
      </w:hyperlink>
    </w:p>
  </w:footnote>
  <w:footnote w:id="40">
    <w:p w14:paraId="45EF479C" w14:textId="77777777" w:rsidR="00863081" w:rsidRDefault="00863081" w:rsidP="00863081">
      <w:pPr>
        <w:pStyle w:val="FootnoteText"/>
        <w:bidi w:val="0"/>
      </w:pPr>
    </w:p>
    <w:p w14:paraId="079B0F8E" w14:textId="3CEE73D1" w:rsidR="00863081" w:rsidRDefault="00863081" w:rsidP="00863081">
      <w:pPr>
        <w:pStyle w:val="FootnoteText"/>
        <w:bidi w:val="0"/>
      </w:pPr>
      <w:r>
        <w:rPr>
          <w:rStyle w:val="FootnoteReference"/>
        </w:rPr>
        <w:footnoteRef/>
      </w:r>
      <w:hyperlink r:id="rId21" w:history="1">
        <w:r w:rsidRPr="003A281F">
          <w:rPr>
            <w:rStyle w:val="Hyperlink"/>
          </w:rPr>
          <w:t>mailto:https://www.gov.il/he/departments/policies/dec4207_2018</w:t>
        </w:r>
      </w:hyperlink>
    </w:p>
  </w:footnote>
  <w:footnote w:id="41">
    <w:p w14:paraId="62B072EE" w14:textId="78284BBC" w:rsidR="00863081" w:rsidRDefault="00863081" w:rsidP="00863081">
      <w:pPr>
        <w:pStyle w:val="FootnoteText"/>
        <w:bidi w:val="0"/>
      </w:pPr>
      <w:r>
        <w:rPr>
          <w:rStyle w:val="FootnoteReference"/>
        </w:rPr>
        <w:footnoteRef/>
      </w:r>
      <w:r>
        <w:rPr>
          <w:rtl/>
        </w:rPr>
        <w:t xml:space="preserve"> </w:t>
      </w:r>
      <w:hyperlink r:id="rId22" w:history="1">
        <w:r w:rsidRPr="00C93272">
          <w:rPr>
            <w:rStyle w:val="Hyperlink"/>
          </w:rPr>
          <w:t>Governor of the Monetary Authority: Establishing the Palestinian Correspondent Company to facilitate the implementation of financial transactions</w:t>
        </w:r>
      </w:hyperlink>
    </w:p>
    <w:p w14:paraId="26360514" w14:textId="77777777" w:rsidR="00863081" w:rsidRDefault="00863081" w:rsidP="00863081">
      <w:pPr>
        <w:pStyle w:val="FootnoteText"/>
        <w:bidi w:val="0"/>
      </w:pPr>
    </w:p>
  </w:footnote>
  <w:footnote w:id="42">
    <w:p w14:paraId="016DAA55" w14:textId="77777777" w:rsidR="00863081" w:rsidRDefault="00863081" w:rsidP="00863081">
      <w:pPr>
        <w:pStyle w:val="FootnoteText"/>
        <w:bidi w:val="0"/>
      </w:pPr>
      <w:r>
        <w:rPr>
          <w:rStyle w:val="FootnoteReference"/>
        </w:rPr>
        <w:footnoteRef/>
      </w:r>
      <w:r>
        <w:rPr>
          <w:rtl/>
        </w:rPr>
        <w:t xml:space="preserve"> </w:t>
      </w:r>
      <w:r w:rsidRPr="002D6DF1">
        <w:t xml:space="preserve">where for Jordan </w:t>
      </w:r>
      <m:oMath>
        <m:sSub>
          <m:sSubPr>
            <m:ctrlPr>
              <w:rPr>
                <w:rFonts w:ascii="Cambria Math" w:hAnsi="Cambria Math" w:cs="David"/>
                <w:i/>
                <w:sz w:val="24"/>
                <w:szCs w:val="24"/>
              </w:rPr>
            </m:ctrlPr>
          </m:sSubPr>
          <m:e>
            <m:r>
              <w:rPr>
                <w:rFonts w:ascii="Cambria Math" w:hAnsi="Cambria Math" w:cs="David"/>
                <w:sz w:val="24"/>
                <w:szCs w:val="24"/>
              </w:rPr>
              <m:t>DD</m:t>
            </m:r>
          </m:e>
          <m:sub>
            <m:r>
              <w:rPr>
                <w:rFonts w:ascii="Cambria Math" w:hAnsi="Cambria Math" w:cs="David"/>
                <w:sz w:val="24"/>
                <w:szCs w:val="24"/>
              </w:rPr>
              <m:t>pal</m:t>
            </m:r>
          </m:sub>
        </m:sSub>
      </m:oMath>
      <w:r w:rsidRPr="002D6DF1">
        <w:t xml:space="preserve"> + </w:t>
      </w:r>
      <m:oMath>
        <m:sSub>
          <m:sSubPr>
            <m:ctrlPr>
              <w:rPr>
                <w:rFonts w:ascii="Cambria Math" w:hAnsi="Cambria Math" w:cs="David"/>
                <w:i/>
                <w:sz w:val="24"/>
                <w:szCs w:val="24"/>
              </w:rPr>
            </m:ctrlPr>
          </m:sSubPr>
          <m:e>
            <m:r>
              <w:rPr>
                <w:rFonts w:ascii="Cambria Math" w:hAnsi="Cambria Math" w:cs="David"/>
                <w:sz w:val="24"/>
                <w:szCs w:val="24"/>
              </w:rPr>
              <m:t>DD</m:t>
            </m:r>
          </m:e>
          <m:sub>
            <m:r>
              <w:rPr>
                <w:rFonts w:ascii="Cambria Math" w:hAnsi="Cambria Math" w:cs="David"/>
                <w:sz w:val="24"/>
                <w:szCs w:val="24"/>
              </w:rPr>
              <m:t>jor</m:t>
            </m:r>
          </m:sub>
        </m:sSub>
      </m:oMath>
      <w:r w:rsidRPr="002D6DF1">
        <w:t xml:space="preserve"> = DD, and for Israel </w:t>
      </w:r>
      <m:oMath>
        <m:sSub>
          <m:sSubPr>
            <m:ctrlPr>
              <w:rPr>
                <w:rFonts w:ascii="Cambria Math" w:hAnsi="Cambria Math" w:cs="David"/>
                <w:i/>
                <w:sz w:val="24"/>
                <w:szCs w:val="24"/>
              </w:rPr>
            </m:ctrlPr>
          </m:sSubPr>
          <m:e>
            <m:r>
              <w:rPr>
                <w:rFonts w:ascii="Cambria Math" w:hAnsi="Cambria Math" w:cs="David"/>
                <w:sz w:val="24"/>
                <w:szCs w:val="24"/>
              </w:rPr>
              <m:t>DD</m:t>
            </m:r>
          </m:e>
          <m:sub>
            <m:r>
              <w:rPr>
                <w:rFonts w:ascii="Cambria Math" w:hAnsi="Cambria Math" w:cs="David"/>
                <w:sz w:val="24"/>
                <w:szCs w:val="24"/>
              </w:rPr>
              <m:t>pal</m:t>
            </m:r>
          </m:sub>
        </m:sSub>
      </m:oMath>
      <w:r w:rsidRPr="002D6DF1">
        <w:t xml:space="preserve"> + </w:t>
      </w:r>
      <m:oMath>
        <m:sSub>
          <m:sSubPr>
            <m:ctrlPr>
              <w:rPr>
                <w:rFonts w:ascii="Cambria Math" w:hAnsi="Cambria Math" w:cs="David"/>
                <w:i/>
                <w:sz w:val="24"/>
                <w:szCs w:val="24"/>
              </w:rPr>
            </m:ctrlPr>
          </m:sSubPr>
          <m:e>
            <m:r>
              <w:rPr>
                <w:rFonts w:ascii="Cambria Math" w:hAnsi="Cambria Math" w:cs="David"/>
                <w:sz w:val="24"/>
                <w:szCs w:val="24"/>
              </w:rPr>
              <m:t>DD</m:t>
            </m:r>
          </m:e>
          <m:sub>
            <m:r>
              <w:rPr>
                <w:rFonts w:ascii="Cambria Math" w:hAnsi="Cambria Math" w:cs="David"/>
                <w:sz w:val="24"/>
                <w:szCs w:val="24"/>
              </w:rPr>
              <m:t>isr</m:t>
            </m:r>
          </m:sub>
        </m:sSub>
      </m:oMath>
      <w:r w:rsidRPr="002D6DF1">
        <w:t xml:space="preserve"> = DD: since </w:t>
      </w:r>
      <w:r>
        <w:t xml:space="preserve">the </w:t>
      </w:r>
      <w:r w:rsidRPr="002D6DF1">
        <w:t xml:space="preserve">data </w:t>
      </w:r>
      <w:r>
        <w:t xml:space="preserve">is </w:t>
      </w:r>
      <w:r w:rsidRPr="002D6DF1">
        <w:t xml:space="preserve">only for total holdings of currency in both Jordan (Israel) and </w:t>
      </w:r>
      <w:r>
        <w:t>PA territories</w:t>
      </w:r>
      <w:r w:rsidRPr="002D6DF1">
        <w:t xml:space="preserve"> </w:t>
      </w:r>
      <w:r>
        <w:t>they</w:t>
      </w:r>
      <w:r w:rsidRPr="002D6DF1">
        <w:t xml:space="preserve"> take the ratio of this amount to total demand deposits in both Jordan (Israel) and </w:t>
      </w:r>
      <w:r>
        <w:t>PA territories.</w:t>
      </w:r>
    </w:p>
  </w:footnote>
  <w:footnote w:id="43">
    <w:p w14:paraId="672C3F17" w14:textId="77777777" w:rsidR="00863081" w:rsidRDefault="00863081" w:rsidP="00863081">
      <w:pPr>
        <w:pStyle w:val="FootnoteText"/>
        <w:bidi w:val="0"/>
      </w:pPr>
      <w:r>
        <w:rPr>
          <w:rStyle w:val="FootnoteReference"/>
        </w:rPr>
        <w:footnoteRef/>
      </w:r>
      <w:r>
        <w:rPr>
          <w:rtl/>
        </w:rPr>
        <w:t xml:space="preserve"> </w:t>
      </w:r>
      <w:r>
        <w:t>Estimation of euro currency in circulation outside the euro area, ECB 6 April 2017.</w:t>
      </w:r>
    </w:p>
  </w:footnote>
  <w:footnote w:id="44">
    <w:p w14:paraId="277D48BF" w14:textId="77777777" w:rsidR="00863081" w:rsidRDefault="00863081" w:rsidP="00863081">
      <w:pPr>
        <w:pStyle w:val="FootnoteText"/>
        <w:bidi w:val="0"/>
      </w:pPr>
      <w:r>
        <w:rPr>
          <w:rStyle w:val="FootnoteReference"/>
        </w:rPr>
        <w:footnoteRef/>
      </w:r>
      <w:r>
        <w:rPr>
          <w:rtl/>
        </w:rPr>
        <w:t xml:space="preserve"> </w:t>
      </w:r>
      <w:r>
        <w:t xml:space="preserve">According to the ECB, anecdotal evidence, for example, indicates that euro area </w:t>
      </w:r>
      <w:r>
        <w:t>travellers or migrant workers take a significant quantity of euro banknotes with them when travelling to non-euro area countries.</w:t>
      </w:r>
    </w:p>
  </w:footnote>
  <w:footnote w:id="45">
    <w:p w14:paraId="58C75E0F" w14:textId="5A817E51" w:rsidR="00863081" w:rsidRDefault="00863081" w:rsidP="00DF2125">
      <w:pPr>
        <w:pStyle w:val="FootnoteText"/>
        <w:bidi w:val="0"/>
      </w:pPr>
      <w:r>
        <w:rPr>
          <w:rStyle w:val="FootnoteReference"/>
        </w:rPr>
        <w:footnoteRef/>
      </w:r>
      <w:r>
        <w:rPr>
          <w:rtl/>
        </w:rPr>
        <w:t xml:space="preserve"> </w:t>
      </w:r>
      <w:r>
        <w:t xml:space="preserve">See G.A.F. </w:t>
      </w:r>
      <w:r>
        <w:t>Seber, The Estimation of Animal Abundance and Related Parameters, 2d ed. (Macmillan, 1982).</w:t>
      </w:r>
    </w:p>
  </w:footnote>
  <w:footnote w:id="46">
    <w:p w14:paraId="42A065B8" w14:textId="6E743A33" w:rsidR="00140D31" w:rsidRDefault="00C50A40" w:rsidP="00140D31">
      <w:pPr>
        <w:pStyle w:val="FootnoteText"/>
        <w:bidi w:val="0"/>
      </w:pPr>
      <w:r>
        <w:rPr>
          <w:rStyle w:val="FootnoteReference"/>
        </w:rPr>
        <w:footnoteRef/>
      </w:r>
      <w:r w:rsidR="00140D31">
        <w:t xml:space="preserve"> </w:t>
      </w:r>
      <w:hyperlink r:id="rId23" w:history="1">
        <w:r w:rsidR="00140D31" w:rsidRPr="00391913">
          <w:rPr>
            <w:rStyle w:val="Hyperlink"/>
          </w:rPr>
          <w:t>https://kof.ethz.ch/en/forecasts-and-indicators/indicators/kof-globalisation-index.html</w:t>
        </w:r>
      </w:hyperlink>
    </w:p>
  </w:footnote>
  <w:footnote w:id="47">
    <w:p w14:paraId="54E314F6" w14:textId="17BA1169" w:rsidR="009A0B21" w:rsidRDefault="00C50A40" w:rsidP="009A0B21">
      <w:pPr>
        <w:pStyle w:val="FootnoteText"/>
        <w:bidi w:val="0"/>
      </w:pPr>
      <w:r>
        <w:rPr>
          <w:rStyle w:val="FootnoteReference"/>
        </w:rPr>
        <w:footnoteRef/>
      </w:r>
      <w:r>
        <w:rPr>
          <w:rtl/>
        </w:rPr>
        <w:t xml:space="preserve"> </w:t>
      </w:r>
      <w:hyperlink r:id="rId24" w:history="1">
        <w:r w:rsidR="009A0B21" w:rsidRPr="00391913">
          <w:rPr>
            <w:rStyle w:val="Hyperlink"/>
          </w:rPr>
          <w:t>http://www.eu-index.uni-goettingen.de/?lang=en</w:t>
        </w:r>
      </w:hyperlink>
    </w:p>
  </w:footnote>
  <w:footnote w:id="48">
    <w:p w14:paraId="4EC58381" w14:textId="02C76959" w:rsidR="00C56361" w:rsidRDefault="00C50A40" w:rsidP="00C56361">
      <w:pPr>
        <w:pStyle w:val="FootnoteText"/>
        <w:bidi w:val="0"/>
      </w:pPr>
      <w:r>
        <w:rPr>
          <w:rStyle w:val="FootnoteReference"/>
        </w:rPr>
        <w:footnoteRef/>
      </w:r>
      <w:r>
        <w:rPr>
          <w:rtl/>
        </w:rPr>
        <w:t xml:space="preserve"> </w:t>
      </w:r>
      <w:hyperlink r:id="rId25" w:history="1">
        <w:r w:rsidR="00C56361" w:rsidRPr="00391913">
          <w:rPr>
            <w:rStyle w:val="Hyperlink"/>
          </w:rPr>
          <w:t>https://www.integrate-africa.org/</w:t>
        </w:r>
      </w:hyperlink>
    </w:p>
  </w:footnote>
  <w:footnote w:id="49">
    <w:p w14:paraId="41D3DAD6" w14:textId="008CB242" w:rsidR="003838B7" w:rsidRDefault="00C50A40" w:rsidP="003838B7">
      <w:pPr>
        <w:pStyle w:val="FootnoteText"/>
        <w:bidi w:val="0"/>
      </w:pPr>
      <w:r>
        <w:rPr>
          <w:rStyle w:val="FootnoteReference"/>
        </w:rPr>
        <w:footnoteRef/>
      </w:r>
      <w:r>
        <w:rPr>
          <w:rtl/>
        </w:rPr>
        <w:t xml:space="preserve"> </w:t>
      </w:r>
      <w:hyperlink r:id="rId26" w:history="1">
        <w:r w:rsidR="003838B7" w:rsidRPr="00391913">
          <w:rPr>
            <w:rStyle w:val="Hyperlink"/>
          </w:rPr>
          <w:t>https://aric.adb.org/integrationindicators</w:t>
        </w:r>
      </w:hyperlink>
    </w:p>
  </w:footnote>
  <w:footnote w:id="50">
    <w:p w14:paraId="7BF4A51B" w14:textId="77777777" w:rsidR="00C50A40" w:rsidRDefault="00C50A40" w:rsidP="00C50A40">
      <w:pPr>
        <w:pStyle w:val="FootnoteText"/>
        <w:bidi w:val="0"/>
      </w:pPr>
      <w:r>
        <w:rPr>
          <w:rStyle w:val="FootnoteReference"/>
        </w:rPr>
        <w:footnoteRef/>
      </w:r>
      <w:r>
        <w:rPr>
          <w:rtl/>
        </w:rPr>
        <w:t xml:space="preserve"> </w:t>
      </w:r>
      <w:r w:rsidRPr="00F13B0D">
        <w:t xml:space="preserve">Numerous normalization methods are available </w:t>
      </w:r>
      <w:r>
        <w:t>at Organization for Economic Co-operation and Development (OECD), 2008, Handbook on Constructing Composite Indicators: Methodology and User Guide, European Commission.</w:t>
      </w:r>
    </w:p>
  </w:footnote>
  <w:footnote w:id="51">
    <w:p w14:paraId="736EF43E" w14:textId="77777777" w:rsidR="00C50A40" w:rsidRDefault="00C50A40" w:rsidP="00C50A40">
      <w:pPr>
        <w:pStyle w:val="FootnoteText"/>
        <w:bidi w:val="0"/>
      </w:pPr>
      <w:r>
        <w:rPr>
          <w:rStyle w:val="FootnoteReference"/>
        </w:rPr>
        <w:footnoteRef/>
      </w:r>
      <w:r>
        <w:rPr>
          <w:rtl/>
        </w:rPr>
        <w:t xml:space="preserve"> </w:t>
      </w:r>
      <w:r w:rsidRPr="00BA6CC1">
        <w:t>Detailed information about the technique can be found in methodologies note</w:t>
      </w:r>
      <w:r>
        <w:t>s</w:t>
      </w:r>
      <w:r w:rsidRPr="00BA6CC1">
        <w:t xml:space="preserve"> of both Asia-Pacific Regional Cooperation and Integration Index and Africa Regional Integration Index.</w:t>
      </w:r>
    </w:p>
  </w:footnote>
  <w:footnote w:id="52">
    <w:p w14:paraId="614F6EF4" w14:textId="77777777" w:rsidR="00B554FE" w:rsidRDefault="00B554FE" w:rsidP="00B554FE">
      <w:pPr>
        <w:pStyle w:val="FootnoteText"/>
        <w:bidi w:val="0"/>
        <w:jc w:val="both"/>
        <w:rPr>
          <w:rtl/>
        </w:rPr>
      </w:pPr>
      <w:r>
        <w:rPr>
          <w:rStyle w:val="FootnoteReference"/>
        </w:rPr>
        <w:footnoteRef/>
      </w:r>
      <w:r>
        <w:rPr>
          <w:rtl/>
        </w:rPr>
        <w:t xml:space="preserve"> </w:t>
      </w:r>
      <w:r w:rsidRPr="001D1168">
        <w:t>Due to data</w:t>
      </w:r>
      <w:r>
        <w:rPr>
          <w:rFonts w:hint="cs"/>
          <w:rtl/>
        </w:rPr>
        <w:t xml:space="preserve"> </w:t>
      </w:r>
      <w:r>
        <w:t>limitations</w:t>
      </w:r>
      <w:r w:rsidRPr="001D1168">
        <w:t xml:space="preserve">, we calculated the </w:t>
      </w:r>
      <w:r>
        <w:t>share</w:t>
      </w:r>
      <w:r w:rsidRPr="001D1168">
        <w:t xml:space="preserve"> of exports to Israel using</w:t>
      </w:r>
      <w:r>
        <w:t xml:space="preserve"> the</w:t>
      </w:r>
      <w:r w:rsidRPr="001D1168">
        <w:t xml:space="preserve"> data </w:t>
      </w:r>
      <w:r>
        <w:t xml:space="preserve">we </w:t>
      </w:r>
      <w:r w:rsidRPr="001D1168">
        <w:t xml:space="preserve">obtained from the </w:t>
      </w:r>
      <w:r>
        <w:t>“</w:t>
      </w:r>
      <w:r w:rsidRPr="001D1168">
        <w:t>Coordinator of Government Operations in the Occupied Territories</w:t>
      </w:r>
      <w:r>
        <w:t>”</w:t>
      </w:r>
      <w:r w:rsidRPr="001D1168">
        <w:t xml:space="preserve"> and </w:t>
      </w:r>
      <w:r>
        <w:t>“</w:t>
      </w:r>
      <w:r w:rsidRPr="001D1168">
        <w:t>Gisha</w:t>
      </w:r>
      <w:r>
        <w:t>”</w:t>
      </w:r>
      <w:r w:rsidRPr="001D1168">
        <w:t xml:space="preserve"> on the number of trucks </w:t>
      </w:r>
      <w:r>
        <w:t>exiting Gaza</w:t>
      </w:r>
      <w:r w:rsidRPr="001D1168">
        <w:t xml:space="preserve"> by geographical area (Israel, West Bank and the rest of the world</w:t>
      </w:r>
      <w:r>
        <w:t xml:space="preserve">). </w:t>
      </w:r>
      <w:r w:rsidRPr="001D1168">
        <w:t xml:space="preserve">In addition, this figure was used to calculate the </w:t>
      </w:r>
      <w:r>
        <w:t>share of export</w:t>
      </w:r>
      <w:r w:rsidRPr="001D1168">
        <w:t xml:space="preserve"> of the West Bank to Israel by subtracting the amount exported from Gaza (the rate of trucks in Israel multiplied by the total Gaza exports - official figure) from the total Palestinian exports to Israel (official figure).</w:t>
      </w:r>
    </w:p>
  </w:footnote>
  <w:footnote w:id="53">
    <w:p w14:paraId="3F6076F5" w14:textId="77777777" w:rsidR="00B554FE" w:rsidRDefault="00B554FE" w:rsidP="00B554FE">
      <w:pPr>
        <w:pStyle w:val="FootnoteText"/>
        <w:bidi w:val="0"/>
        <w:jc w:val="both"/>
      </w:pPr>
      <w:r>
        <w:rPr>
          <w:rStyle w:val="FootnoteReference"/>
        </w:rPr>
        <w:footnoteRef/>
      </w:r>
      <w:r>
        <w:t xml:space="preserve"> According to Gisha (</w:t>
      </w:r>
      <w:r w:rsidRPr="00877D69">
        <w:t>Israeli not-for-profit organization</w:t>
      </w:r>
      <w:r>
        <w:t xml:space="preserve">), Gaza residents’ ability to cross the </w:t>
      </w:r>
      <w:r>
        <w:t>Erez crossing point was gradually limited over the years. Since 1991, residents have been required to obtain exit permits, and the number of permits given gradually declined. In 1993, a general closure was declared on the Palestinian territory; it was enforced in Gaza especially starting in 1995, when an electronic fence and concrete wall were built around the Strip. When the Second Intifada broke out in September 2000, Israel cancelled many existing exit permits and reduced the number of new permits it issued. The restrictions led to a drop of tens of percentage points in the number of Palestinian residents of the Gaza Strip who were able to travel to and through Israel daily, from more than 26,000 in the summer of 2000, on the eve of the intifada, to less than 900 after it broke out later that year</w:t>
      </w:r>
      <w:r>
        <w:rPr>
          <w:rFonts w:cs="Arial"/>
          <w:rtl/>
        </w:rPr>
        <w:t>.</w:t>
      </w:r>
      <w:r>
        <w:t>After Hamas took control of the Strip, Israel tightened movement restrictions to the point of full closure on Gaza, only allowing travel according to a narrow list of criteria, determined by Israel. Though Israel has implemented slight changes to the criteria over the years, travel from Gaza to Israel and the West Bank remained extremely limited, and beyond the reach of most Palestinians. I</w:t>
      </w:r>
      <w:r w:rsidRPr="00253AD6">
        <w:t xml:space="preserve">n recent years, Israel permitted Palestinian residents to apply to cross Erez in </w:t>
      </w:r>
      <w:r>
        <w:t>specific</w:t>
      </w:r>
      <w:r w:rsidRPr="00253AD6">
        <w:t xml:space="preserve"> circumstances: for business and trade, medical treatment unavailable in the Strip, and other “humanitarian exceptions,” that is, visiting a dying first-degree relative, or attending a wedding or a funeral of a first-degree relative.</w:t>
      </w:r>
    </w:p>
  </w:footnote>
  <w:footnote w:id="54">
    <w:p w14:paraId="72C0798E" w14:textId="77777777" w:rsidR="00B554FE" w:rsidRDefault="00B554FE" w:rsidP="00B554FE">
      <w:pPr>
        <w:pStyle w:val="FootnoteText"/>
        <w:bidi w:val="0"/>
      </w:pPr>
      <w:r>
        <w:rPr>
          <w:rStyle w:val="FootnoteReference"/>
        </w:rPr>
        <w:footnoteRef/>
      </w:r>
      <w:r>
        <w:rPr>
          <w:rtl/>
        </w:rPr>
        <w:t xml:space="preserve"> </w:t>
      </w:r>
      <w:r w:rsidRPr="00F40022">
        <w:t xml:space="preserve">To explain this, for example, </w:t>
      </w:r>
      <w:r>
        <w:t xml:space="preserve">consider </w:t>
      </w:r>
      <w:r w:rsidRPr="00F40022">
        <w:t>the low rate in the Gaza Strip in the use of NIS</w:t>
      </w:r>
      <w:r>
        <w:t xml:space="preserve"> </w:t>
      </w:r>
      <w:r w:rsidRPr="00F40022">
        <w:t>relative to the West Bank, but with a gradual increase in both areas</w:t>
      </w:r>
      <w:r>
        <w:t>. T</w:t>
      </w:r>
      <w:r w:rsidRPr="009C53A3">
        <w:t>his phenomenon may have the same expression</w:t>
      </w:r>
      <w:r>
        <w:t xml:space="preserve"> after normalization.</w:t>
      </w:r>
    </w:p>
  </w:footnote>
  <w:footnote w:id="55">
    <w:p w14:paraId="362C219D" w14:textId="77777777" w:rsidR="00F03B79" w:rsidRDefault="00F03B79" w:rsidP="00F03B79">
      <w:pPr>
        <w:pStyle w:val="FootnoteText"/>
        <w:bidi w:val="0"/>
        <w:rPr>
          <w:rtl/>
        </w:rPr>
      </w:pPr>
      <w:r>
        <w:rPr>
          <w:rStyle w:val="FootnoteReference"/>
        </w:rPr>
        <w:footnoteRef/>
      </w:r>
      <w:r>
        <w:rPr>
          <w:rtl/>
        </w:rPr>
        <w:t xml:space="preserve"> </w:t>
      </w:r>
      <w:r w:rsidRPr="00B25C11">
        <w:rPr>
          <w:rFonts w:asciiTheme="majorBidi" w:hAnsiTheme="majorBidi" w:cstheme="majorBidi"/>
          <w:color w:val="202122"/>
          <w:shd w:val="clear" w:color="auto" w:fill="FFFFFF"/>
        </w:rPr>
        <w:t>Given a collection of models for the data, AIC estimates the quality of each model, relative to each of the other models. Thus, AIC provides a means for </w:t>
      </w:r>
      <w:r w:rsidRPr="00B25C11">
        <w:rPr>
          <w:rFonts w:asciiTheme="majorBidi" w:hAnsiTheme="majorBidi" w:cstheme="majorBidi"/>
          <w:shd w:val="clear" w:color="auto" w:fill="FFFFFF"/>
        </w:rPr>
        <w:t>model selection</w:t>
      </w:r>
      <w:r w:rsidRPr="00B25C11">
        <w:rPr>
          <w:rFonts w:asciiTheme="majorBidi" w:hAnsiTheme="majorBidi" w:cstheme="majorBidi"/>
          <w:color w:val="202122"/>
          <w:shd w:val="clear" w:color="auto" w:fill="FFFFFF"/>
        </w:rPr>
        <w:t>.</w:t>
      </w:r>
    </w:p>
  </w:footnote>
  <w:footnote w:id="56">
    <w:p w14:paraId="373097A5" w14:textId="2ACFFDD8" w:rsidR="007E48B3" w:rsidRDefault="007E48B3" w:rsidP="007E48B3">
      <w:pPr>
        <w:pStyle w:val="FootnoteText"/>
        <w:bidi w:val="0"/>
      </w:pPr>
      <w:r>
        <w:rPr>
          <w:rStyle w:val="FootnoteReference"/>
        </w:rPr>
        <w:footnoteRef/>
      </w:r>
      <w:r>
        <w:rPr>
          <w:rtl/>
        </w:rPr>
        <w:t xml:space="preserve"> </w:t>
      </w:r>
      <w:r>
        <w:rPr>
          <w:rFonts w:ascii="Arial" w:hAnsi="Arial" w:cs="Arial"/>
          <w:color w:val="272727"/>
          <w:shd w:val="clear" w:color="auto" w:fill="FFFFFF"/>
        </w:rPr>
        <w:t xml:space="preserve">The Communications and Postal Services Office (in </w:t>
      </w:r>
      <w:r w:rsidR="00936938" w:rsidRPr="00936938">
        <w:rPr>
          <w:rFonts w:ascii="Arial" w:hAnsi="Arial" w:cs="Arial"/>
          <w:color w:val="272727"/>
          <w:shd w:val="clear" w:color="auto" w:fill="FFFFFF"/>
        </w:rPr>
        <w:t>Coordinator of government activities in the territories</w:t>
      </w:r>
      <w:r>
        <w:rPr>
          <w:rFonts w:ascii="Arial" w:hAnsi="Arial" w:cs="Arial"/>
          <w:color w:val="272727"/>
          <w:shd w:val="clear" w:color="auto" w:fill="FFFFFF"/>
        </w:rPr>
        <w:t>) is responsible for regulating the activity of Israeli telecommunications and postal service companies, authorizing use of frequencies in the entire region, granting approvals to place telecommunications infrastructure, and establishing communications facilities in Area C. The office is also responsible for granting approvals for the transfer of telecommunications equipment into Judea and Samaria and maintaining working relationships with its Palestinian counterparts in all areas of telecommunications and postal services.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674A0" w14:textId="77777777" w:rsidR="007E48B3" w:rsidRPr="001B002A" w:rsidRDefault="007E48B3" w:rsidP="001B00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75C2"/>
    <w:multiLevelType w:val="hybridMultilevel"/>
    <w:tmpl w:val="C04483D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256430B"/>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C03F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DD66CE"/>
    <w:multiLevelType w:val="hybridMultilevel"/>
    <w:tmpl w:val="667E907C"/>
    <w:lvl w:ilvl="0" w:tplc="04090005">
      <w:start w:val="1"/>
      <w:numFmt w:val="bullet"/>
      <w:lvlText w:val=""/>
      <w:lvlJc w:val="left"/>
      <w:pPr>
        <w:ind w:left="1211" w:hanging="360"/>
      </w:pPr>
      <w:rPr>
        <w:rFonts w:ascii="Wingdings" w:hAnsi="Wingdings" w:cs="Wingding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 w15:restartNumberingAfterBreak="0">
    <w:nsid w:val="0CD60CF8"/>
    <w:multiLevelType w:val="hybridMultilevel"/>
    <w:tmpl w:val="B4526034"/>
    <w:lvl w:ilvl="0" w:tplc="C6BEDE46">
      <w:start w:val="1"/>
      <w:numFmt w:val="decimal"/>
      <w:lvlText w:val="%1."/>
      <w:lvlJc w:val="left"/>
      <w:pPr>
        <w:ind w:left="1080" w:hanging="360"/>
      </w:pPr>
      <w:rPr>
        <w:rFonts w:asciiTheme="majorBidi" w:hAnsiTheme="majorBidi" w:cstheme="maj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076816"/>
    <w:multiLevelType w:val="hybridMultilevel"/>
    <w:tmpl w:val="11E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2C75D6"/>
    <w:multiLevelType w:val="hybridMultilevel"/>
    <w:tmpl w:val="C576C71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1A5C03DD"/>
    <w:multiLevelType w:val="hybridMultilevel"/>
    <w:tmpl w:val="6FA0E766"/>
    <w:lvl w:ilvl="0" w:tplc="20000005">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2146202D"/>
    <w:multiLevelType w:val="hybridMultilevel"/>
    <w:tmpl w:val="25242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74909"/>
    <w:multiLevelType w:val="multilevel"/>
    <w:tmpl w:val="B9F0C0FE"/>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7FA3E02"/>
    <w:multiLevelType w:val="hybridMultilevel"/>
    <w:tmpl w:val="21A2C5F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D621B86"/>
    <w:multiLevelType w:val="hybridMultilevel"/>
    <w:tmpl w:val="014ACB44"/>
    <w:lvl w:ilvl="0" w:tplc="20000005">
      <w:start w:val="1"/>
      <w:numFmt w:val="bullet"/>
      <w:lvlText w:val=""/>
      <w:lvlJc w:val="left"/>
      <w:pPr>
        <w:ind w:left="1425" w:hanging="360"/>
      </w:pPr>
      <w:rPr>
        <w:rFonts w:ascii="Wingdings" w:hAnsi="Wingdings" w:hint="default"/>
      </w:rPr>
    </w:lvl>
    <w:lvl w:ilvl="1" w:tplc="FFFFFFFF" w:tentative="1">
      <w:start w:val="1"/>
      <w:numFmt w:val="bullet"/>
      <w:lvlText w:val="o"/>
      <w:lvlJc w:val="left"/>
      <w:pPr>
        <w:ind w:left="2145" w:hanging="360"/>
      </w:pPr>
      <w:rPr>
        <w:rFonts w:ascii="Courier New" w:hAnsi="Courier New" w:cs="Courier New" w:hint="default"/>
      </w:rPr>
    </w:lvl>
    <w:lvl w:ilvl="2" w:tplc="FFFFFFFF" w:tentative="1">
      <w:start w:val="1"/>
      <w:numFmt w:val="bullet"/>
      <w:lvlText w:val=""/>
      <w:lvlJc w:val="left"/>
      <w:pPr>
        <w:ind w:left="2865" w:hanging="360"/>
      </w:pPr>
      <w:rPr>
        <w:rFonts w:ascii="Wingdings" w:hAnsi="Wingdings" w:hint="default"/>
      </w:rPr>
    </w:lvl>
    <w:lvl w:ilvl="3" w:tplc="FFFFFFFF" w:tentative="1">
      <w:start w:val="1"/>
      <w:numFmt w:val="bullet"/>
      <w:lvlText w:val=""/>
      <w:lvlJc w:val="left"/>
      <w:pPr>
        <w:ind w:left="3585" w:hanging="360"/>
      </w:pPr>
      <w:rPr>
        <w:rFonts w:ascii="Symbol" w:hAnsi="Symbol" w:hint="default"/>
      </w:rPr>
    </w:lvl>
    <w:lvl w:ilvl="4" w:tplc="FFFFFFFF" w:tentative="1">
      <w:start w:val="1"/>
      <w:numFmt w:val="bullet"/>
      <w:lvlText w:val="o"/>
      <w:lvlJc w:val="left"/>
      <w:pPr>
        <w:ind w:left="4305" w:hanging="360"/>
      </w:pPr>
      <w:rPr>
        <w:rFonts w:ascii="Courier New" w:hAnsi="Courier New" w:cs="Courier New" w:hint="default"/>
      </w:rPr>
    </w:lvl>
    <w:lvl w:ilvl="5" w:tplc="FFFFFFFF" w:tentative="1">
      <w:start w:val="1"/>
      <w:numFmt w:val="bullet"/>
      <w:lvlText w:val=""/>
      <w:lvlJc w:val="left"/>
      <w:pPr>
        <w:ind w:left="5025" w:hanging="360"/>
      </w:pPr>
      <w:rPr>
        <w:rFonts w:ascii="Wingdings" w:hAnsi="Wingdings" w:hint="default"/>
      </w:rPr>
    </w:lvl>
    <w:lvl w:ilvl="6" w:tplc="FFFFFFFF" w:tentative="1">
      <w:start w:val="1"/>
      <w:numFmt w:val="bullet"/>
      <w:lvlText w:val=""/>
      <w:lvlJc w:val="left"/>
      <w:pPr>
        <w:ind w:left="5745" w:hanging="360"/>
      </w:pPr>
      <w:rPr>
        <w:rFonts w:ascii="Symbol" w:hAnsi="Symbol" w:hint="default"/>
      </w:rPr>
    </w:lvl>
    <w:lvl w:ilvl="7" w:tplc="FFFFFFFF" w:tentative="1">
      <w:start w:val="1"/>
      <w:numFmt w:val="bullet"/>
      <w:lvlText w:val="o"/>
      <w:lvlJc w:val="left"/>
      <w:pPr>
        <w:ind w:left="6465" w:hanging="360"/>
      </w:pPr>
      <w:rPr>
        <w:rFonts w:ascii="Courier New" w:hAnsi="Courier New" w:cs="Courier New" w:hint="default"/>
      </w:rPr>
    </w:lvl>
    <w:lvl w:ilvl="8" w:tplc="FFFFFFFF" w:tentative="1">
      <w:start w:val="1"/>
      <w:numFmt w:val="bullet"/>
      <w:lvlText w:val=""/>
      <w:lvlJc w:val="left"/>
      <w:pPr>
        <w:ind w:left="7185" w:hanging="360"/>
      </w:pPr>
      <w:rPr>
        <w:rFonts w:ascii="Wingdings" w:hAnsi="Wingdings" w:hint="default"/>
      </w:rPr>
    </w:lvl>
  </w:abstractNum>
  <w:abstractNum w:abstractNumId="12" w15:restartNumberingAfterBreak="0">
    <w:nsid w:val="3E562B0B"/>
    <w:multiLevelType w:val="hybridMultilevel"/>
    <w:tmpl w:val="013E05C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400835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2046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50E6866"/>
    <w:multiLevelType w:val="hybridMultilevel"/>
    <w:tmpl w:val="E22AE438"/>
    <w:lvl w:ilvl="0" w:tplc="04090005">
      <w:start w:val="1"/>
      <w:numFmt w:val="bullet"/>
      <w:lvlText w:val=""/>
      <w:lvlJc w:val="left"/>
      <w:pPr>
        <w:ind w:left="1211" w:hanging="360"/>
      </w:pPr>
      <w:rPr>
        <w:rFonts w:ascii="Wingdings" w:hAnsi="Wingdings"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16" w15:restartNumberingAfterBreak="0">
    <w:nsid w:val="4A8218EF"/>
    <w:multiLevelType w:val="hybridMultilevel"/>
    <w:tmpl w:val="8ECA6D12"/>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4B413C69"/>
    <w:multiLevelType w:val="hybridMultilevel"/>
    <w:tmpl w:val="90463476"/>
    <w:lvl w:ilvl="0" w:tplc="20000005">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8" w15:restartNumberingAfterBreak="0">
    <w:nsid w:val="4F4A10F1"/>
    <w:multiLevelType w:val="hybridMultilevel"/>
    <w:tmpl w:val="835E2454"/>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2844DCC"/>
    <w:multiLevelType w:val="hybridMultilevel"/>
    <w:tmpl w:val="81946BC2"/>
    <w:lvl w:ilvl="0" w:tplc="50D8D23A">
      <w:start w:val="1"/>
      <w:numFmt w:val="bullet"/>
      <w:lvlText w:val=""/>
      <w:lvlJc w:val="left"/>
      <w:pPr>
        <w:tabs>
          <w:tab w:val="num" w:pos="1211"/>
        </w:tabs>
        <w:ind w:left="1211" w:hanging="360"/>
      </w:pPr>
      <w:rPr>
        <w:rFonts w:ascii="Wingdings" w:hAnsi="Wingdings" w:hint="default"/>
      </w:rPr>
    </w:lvl>
    <w:lvl w:ilvl="1" w:tplc="AE1874E6" w:tentative="1">
      <w:start w:val="1"/>
      <w:numFmt w:val="bullet"/>
      <w:lvlText w:val=""/>
      <w:lvlJc w:val="left"/>
      <w:pPr>
        <w:tabs>
          <w:tab w:val="num" w:pos="1931"/>
        </w:tabs>
        <w:ind w:left="1931" w:hanging="360"/>
      </w:pPr>
      <w:rPr>
        <w:rFonts w:ascii="Wingdings" w:hAnsi="Wingdings" w:hint="default"/>
      </w:rPr>
    </w:lvl>
    <w:lvl w:ilvl="2" w:tplc="18BA1B2C" w:tentative="1">
      <w:start w:val="1"/>
      <w:numFmt w:val="bullet"/>
      <w:lvlText w:val=""/>
      <w:lvlJc w:val="left"/>
      <w:pPr>
        <w:tabs>
          <w:tab w:val="num" w:pos="2651"/>
        </w:tabs>
        <w:ind w:left="2651" w:hanging="360"/>
      </w:pPr>
      <w:rPr>
        <w:rFonts w:ascii="Wingdings" w:hAnsi="Wingdings" w:hint="default"/>
      </w:rPr>
    </w:lvl>
    <w:lvl w:ilvl="3" w:tplc="D5DAA8E2" w:tentative="1">
      <w:start w:val="1"/>
      <w:numFmt w:val="bullet"/>
      <w:lvlText w:val=""/>
      <w:lvlJc w:val="left"/>
      <w:pPr>
        <w:tabs>
          <w:tab w:val="num" w:pos="3371"/>
        </w:tabs>
        <w:ind w:left="3371" w:hanging="360"/>
      </w:pPr>
      <w:rPr>
        <w:rFonts w:ascii="Wingdings" w:hAnsi="Wingdings" w:hint="default"/>
      </w:rPr>
    </w:lvl>
    <w:lvl w:ilvl="4" w:tplc="7A080E1A" w:tentative="1">
      <w:start w:val="1"/>
      <w:numFmt w:val="bullet"/>
      <w:lvlText w:val=""/>
      <w:lvlJc w:val="left"/>
      <w:pPr>
        <w:tabs>
          <w:tab w:val="num" w:pos="4091"/>
        </w:tabs>
        <w:ind w:left="4091" w:hanging="360"/>
      </w:pPr>
      <w:rPr>
        <w:rFonts w:ascii="Wingdings" w:hAnsi="Wingdings" w:hint="default"/>
      </w:rPr>
    </w:lvl>
    <w:lvl w:ilvl="5" w:tplc="8150709C" w:tentative="1">
      <w:start w:val="1"/>
      <w:numFmt w:val="bullet"/>
      <w:lvlText w:val=""/>
      <w:lvlJc w:val="left"/>
      <w:pPr>
        <w:tabs>
          <w:tab w:val="num" w:pos="4811"/>
        </w:tabs>
        <w:ind w:left="4811" w:hanging="360"/>
      </w:pPr>
      <w:rPr>
        <w:rFonts w:ascii="Wingdings" w:hAnsi="Wingdings" w:hint="default"/>
      </w:rPr>
    </w:lvl>
    <w:lvl w:ilvl="6" w:tplc="A90CA9D0" w:tentative="1">
      <w:start w:val="1"/>
      <w:numFmt w:val="bullet"/>
      <w:lvlText w:val=""/>
      <w:lvlJc w:val="left"/>
      <w:pPr>
        <w:tabs>
          <w:tab w:val="num" w:pos="5531"/>
        </w:tabs>
        <w:ind w:left="5531" w:hanging="360"/>
      </w:pPr>
      <w:rPr>
        <w:rFonts w:ascii="Wingdings" w:hAnsi="Wingdings" w:hint="default"/>
      </w:rPr>
    </w:lvl>
    <w:lvl w:ilvl="7" w:tplc="05F62C40" w:tentative="1">
      <w:start w:val="1"/>
      <w:numFmt w:val="bullet"/>
      <w:lvlText w:val=""/>
      <w:lvlJc w:val="left"/>
      <w:pPr>
        <w:tabs>
          <w:tab w:val="num" w:pos="6251"/>
        </w:tabs>
        <w:ind w:left="6251" w:hanging="360"/>
      </w:pPr>
      <w:rPr>
        <w:rFonts w:ascii="Wingdings" w:hAnsi="Wingdings" w:hint="default"/>
      </w:rPr>
    </w:lvl>
    <w:lvl w:ilvl="8" w:tplc="01AA220A" w:tentative="1">
      <w:start w:val="1"/>
      <w:numFmt w:val="bullet"/>
      <w:lvlText w:val=""/>
      <w:lvlJc w:val="left"/>
      <w:pPr>
        <w:tabs>
          <w:tab w:val="num" w:pos="6971"/>
        </w:tabs>
        <w:ind w:left="6971" w:hanging="360"/>
      </w:pPr>
      <w:rPr>
        <w:rFonts w:ascii="Wingdings" w:hAnsi="Wingdings" w:hint="default"/>
      </w:rPr>
    </w:lvl>
  </w:abstractNum>
  <w:abstractNum w:abstractNumId="20" w15:restartNumberingAfterBreak="0">
    <w:nsid w:val="5519752E"/>
    <w:multiLevelType w:val="hybridMultilevel"/>
    <w:tmpl w:val="749E661C"/>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589A6369"/>
    <w:multiLevelType w:val="hybridMultilevel"/>
    <w:tmpl w:val="1BB0956A"/>
    <w:lvl w:ilvl="0" w:tplc="04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5AB46EB6"/>
    <w:multiLevelType w:val="hybridMultilevel"/>
    <w:tmpl w:val="03D8B758"/>
    <w:lvl w:ilvl="0" w:tplc="04090005">
      <w:start w:val="1"/>
      <w:numFmt w:val="bullet"/>
      <w:lvlText w:val=""/>
      <w:lvlJc w:val="left"/>
      <w:pPr>
        <w:ind w:left="1211" w:hanging="360"/>
      </w:pPr>
      <w:rPr>
        <w:rFonts w:ascii="Wingdings" w:hAnsi="Wingdings" w:cs="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3" w15:restartNumberingAfterBreak="0">
    <w:nsid w:val="63864E0E"/>
    <w:multiLevelType w:val="multilevel"/>
    <w:tmpl w:val="C2140942"/>
    <w:lvl w:ilvl="0">
      <w:start w:val="1"/>
      <w:numFmt w:val="bullet"/>
      <w:lvlText w:val=""/>
      <w:lvlJc w:val="left"/>
      <w:pPr>
        <w:tabs>
          <w:tab w:val="num" w:pos="1080"/>
        </w:tabs>
        <w:ind w:left="1080" w:hanging="360"/>
      </w:pPr>
      <w:rPr>
        <w:rFonts w:ascii="Wingdings" w:hAnsi="Wingdings" w:cs="Wingdings"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24" w15:restartNumberingAfterBreak="0">
    <w:nsid w:val="65507F45"/>
    <w:multiLevelType w:val="hybridMultilevel"/>
    <w:tmpl w:val="8ECA6D12"/>
    <w:lvl w:ilvl="0" w:tplc="FFFFFFFF">
      <w:start w:val="1"/>
      <w:numFmt w:val="decimal"/>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5" w15:restartNumberingAfterBreak="0">
    <w:nsid w:val="67091A5E"/>
    <w:multiLevelType w:val="multilevel"/>
    <w:tmpl w:val="61044648"/>
    <w:lvl w:ilvl="0">
      <w:start w:val="1"/>
      <w:numFmt w:val="decimal"/>
      <w:lvlText w:val="%1."/>
      <w:lvlJc w:val="left"/>
      <w:pPr>
        <w:ind w:left="720" w:hanging="360"/>
      </w:pPr>
    </w:lvl>
    <w:lvl w:ilvl="1">
      <w:start w:val="1"/>
      <w:numFmt w:val="decimal"/>
      <w:isLgl/>
      <w:lvlText w:val="%1.%2."/>
      <w:lvlJc w:val="left"/>
      <w:pPr>
        <w:ind w:left="1065" w:hanging="360"/>
      </w:pPr>
      <w:rPr>
        <w:rFonts w:ascii="Times New Roman" w:hAnsi="Times New Roman" w:cs="Times New Roman" w:hint="default"/>
        <w:b/>
        <w:sz w:val="24"/>
        <w:u w:val="none"/>
      </w:rPr>
    </w:lvl>
    <w:lvl w:ilvl="2">
      <w:start w:val="1"/>
      <w:numFmt w:val="decimal"/>
      <w:isLgl/>
      <w:lvlText w:val="%1.%2.%3."/>
      <w:lvlJc w:val="left"/>
      <w:pPr>
        <w:ind w:left="1770" w:hanging="720"/>
      </w:pPr>
      <w:rPr>
        <w:rFonts w:ascii="Times New Roman" w:hAnsi="Times New Roman" w:cs="Times New Roman" w:hint="default"/>
        <w:b/>
        <w:sz w:val="24"/>
        <w:u w:val="single"/>
      </w:rPr>
    </w:lvl>
    <w:lvl w:ilvl="3">
      <w:start w:val="1"/>
      <w:numFmt w:val="decimal"/>
      <w:isLgl/>
      <w:lvlText w:val="%1.%2.%3.%4."/>
      <w:lvlJc w:val="left"/>
      <w:pPr>
        <w:ind w:left="2115" w:hanging="720"/>
      </w:pPr>
      <w:rPr>
        <w:rFonts w:ascii="Times New Roman" w:hAnsi="Times New Roman" w:cs="Times New Roman" w:hint="default"/>
        <w:b/>
        <w:sz w:val="24"/>
        <w:u w:val="single"/>
      </w:rPr>
    </w:lvl>
    <w:lvl w:ilvl="4">
      <w:start w:val="1"/>
      <w:numFmt w:val="decimal"/>
      <w:isLgl/>
      <w:lvlText w:val="%1.%2.%3.%4.%5."/>
      <w:lvlJc w:val="left"/>
      <w:pPr>
        <w:ind w:left="2820" w:hanging="1080"/>
      </w:pPr>
      <w:rPr>
        <w:rFonts w:ascii="Times New Roman" w:hAnsi="Times New Roman" w:cs="Times New Roman" w:hint="default"/>
        <w:b/>
        <w:sz w:val="24"/>
        <w:u w:val="single"/>
      </w:rPr>
    </w:lvl>
    <w:lvl w:ilvl="5">
      <w:start w:val="1"/>
      <w:numFmt w:val="decimal"/>
      <w:isLgl/>
      <w:lvlText w:val="%1.%2.%3.%4.%5.%6."/>
      <w:lvlJc w:val="left"/>
      <w:pPr>
        <w:ind w:left="3165" w:hanging="1080"/>
      </w:pPr>
      <w:rPr>
        <w:rFonts w:ascii="Times New Roman" w:hAnsi="Times New Roman" w:cs="Times New Roman" w:hint="default"/>
        <w:b/>
        <w:sz w:val="24"/>
        <w:u w:val="single"/>
      </w:rPr>
    </w:lvl>
    <w:lvl w:ilvl="6">
      <w:start w:val="1"/>
      <w:numFmt w:val="decimal"/>
      <w:isLgl/>
      <w:lvlText w:val="%1.%2.%3.%4.%5.%6.%7."/>
      <w:lvlJc w:val="left"/>
      <w:pPr>
        <w:ind w:left="3510" w:hanging="1080"/>
      </w:pPr>
      <w:rPr>
        <w:rFonts w:ascii="Times New Roman" w:hAnsi="Times New Roman" w:cs="Times New Roman" w:hint="default"/>
        <w:b/>
        <w:sz w:val="24"/>
        <w:u w:val="single"/>
      </w:rPr>
    </w:lvl>
    <w:lvl w:ilvl="7">
      <w:start w:val="1"/>
      <w:numFmt w:val="decimal"/>
      <w:isLgl/>
      <w:lvlText w:val="%1.%2.%3.%4.%5.%6.%7.%8."/>
      <w:lvlJc w:val="left"/>
      <w:pPr>
        <w:ind w:left="4215" w:hanging="1440"/>
      </w:pPr>
      <w:rPr>
        <w:rFonts w:ascii="Times New Roman" w:hAnsi="Times New Roman" w:cs="Times New Roman" w:hint="default"/>
        <w:b/>
        <w:sz w:val="24"/>
        <w:u w:val="single"/>
      </w:rPr>
    </w:lvl>
    <w:lvl w:ilvl="8">
      <w:start w:val="1"/>
      <w:numFmt w:val="decimal"/>
      <w:isLgl/>
      <w:lvlText w:val="%1.%2.%3.%4.%5.%6.%7.%8.%9."/>
      <w:lvlJc w:val="left"/>
      <w:pPr>
        <w:ind w:left="4560" w:hanging="1440"/>
      </w:pPr>
      <w:rPr>
        <w:rFonts w:ascii="Times New Roman" w:hAnsi="Times New Roman" w:cs="Times New Roman" w:hint="default"/>
        <w:b/>
        <w:sz w:val="24"/>
        <w:u w:val="single"/>
      </w:rPr>
    </w:lvl>
  </w:abstractNum>
  <w:abstractNum w:abstractNumId="26" w15:restartNumberingAfterBreak="0">
    <w:nsid w:val="6AF17890"/>
    <w:multiLevelType w:val="hybridMultilevel"/>
    <w:tmpl w:val="DF5C5D92"/>
    <w:lvl w:ilvl="0" w:tplc="04090005">
      <w:start w:val="1"/>
      <w:numFmt w:val="bullet"/>
      <w:lvlText w:val=""/>
      <w:lvlJc w:val="left"/>
      <w:pPr>
        <w:ind w:left="1571" w:hanging="360"/>
      </w:pPr>
      <w:rPr>
        <w:rFonts w:ascii="Wingdings" w:hAnsi="Wingdings" w:cs="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7" w15:restartNumberingAfterBreak="0">
    <w:nsid w:val="775C56F3"/>
    <w:multiLevelType w:val="multilevel"/>
    <w:tmpl w:val="D56C3E86"/>
    <w:lvl w:ilvl="0">
      <w:start w:val="4"/>
      <w:numFmt w:val="decimal"/>
      <w:lvlText w:val="%1."/>
      <w:lvlJc w:val="left"/>
      <w:pPr>
        <w:ind w:left="360" w:hanging="360"/>
      </w:pPr>
      <w:rPr>
        <w:rFonts w:hint="default"/>
      </w:rPr>
    </w:lvl>
    <w:lvl w:ilvl="1">
      <w:start w:val="1"/>
      <w:numFmt w:val="decimal"/>
      <w:isLgl/>
      <w:lvlText w:val="%1.%2."/>
      <w:lvlJc w:val="left"/>
      <w:pPr>
        <w:ind w:left="790" w:hanging="450"/>
      </w:pPr>
      <w:rPr>
        <w:rFonts w:asciiTheme="majorBidi" w:hAnsiTheme="majorBidi" w:cstheme="majorBidi" w:hint="default"/>
        <w:b/>
        <w:bCs w:val="0"/>
        <w:sz w:val="24"/>
        <w:szCs w:val="22"/>
      </w:rPr>
    </w:lvl>
    <w:lvl w:ilvl="2">
      <w:start w:val="1"/>
      <w:numFmt w:val="decimal"/>
      <w:isLgl/>
      <w:lvlText w:val="%1.%2.%3."/>
      <w:lvlJc w:val="left"/>
      <w:pPr>
        <w:ind w:left="1400" w:hanging="720"/>
      </w:pPr>
      <w:rPr>
        <w:rFonts w:hint="default"/>
        <w:b/>
        <w:sz w:val="24"/>
        <w:szCs w:val="22"/>
      </w:rPr>
    </w:lvl>
    <w:lvl w:ilvl="3">
      <w:start w:val="1"/>
      <w:numFmt w:val="decimal"/>
      <w:isLgl/>
      <w:lvlText w:val="%1.%2.%3.%4."/>
      <w:lvlJc w:val="left"/>
      <w:pPr>
        <w:ind w:left="1740" w:hanging="720"/>
      </w:pPr>
      <w:rPr>
        <w:rFonts w:hint="default"/>
        <w:b/>
        <w:sz w:val="28"/>
      </w:rPr>
    </w:lvl>
    <w:lvl w:ilvl="4">
      <w:start w:val="1"/>
      <w:numFmt w:val="decimal"/>
      <w:isLgl/>
      <w:lvlText w:val="%1.%2.%3.%4.%5."/>
      <w:lvlJc w:val="left"/>
      <w:pPr>
        <w:ind w:left="2440" w:hanging="1080"/>
      </w:pPr>
      <w:rPr>
        <w:rFonts w:hint="default"/>
        <w:b/>
        <w:sz w:val="28"/>
      </w:rPr>
    </w:lvl>
    <w:lvl w:ilvl="5">
      <w:start w:val="1"/>
      <w:numFmt w:val="decimal"/>
      <w:isLgl/>
      <w:lvlText w:val="%1.%2.%3.%4.%5.%6."/>
      <w:lvlJc w:val="left"/>
      <w:pPr>
        <w:ind w:left="2780" w:hanging="1080"/>
      </w:pPr>
      <w:rPr>
        <w:rFonts w:hint="default"/>
        <w:b/>
        <w:sz w:val="28"/>
      </w:rPr>
    </w:lvl>
    <w:lvl w:ilvl="6">
      <w:start w:val="1"/>
      <w:numFmt w:val="decimal"/>
      <w:isLgl/>
      <w:lvlText w:val="%1.%2.%3.%4.%5.%6.%7."/>
      <w:lvlJc w:val="left"/>
      <w:pPr>
        <w:ind w:left="3480" w:hanging="1440"/>
      </w:pPr>
      <w:rPr>
        <w:rFonts w:hint="default"/>
        <w:b/>
        <w:sz w:val="28"/>
      </w:rPr>
    </w:lvl>
    <w:lvl w:ilvl="7">
      <w:start w:val="1"/>
      <w:numFmt w:val="decimal"/>
      <w:isLgl/>
      <w:lvlText w:val="%1.%2.%3.%4.%5.%6.%7.%8."/>
      <w:lvlJc w:val="left"/>
      <w:pPr>
        <w:ind w:left="3820" w:hanging="1440"/>
      </w:pPr>
      <w:rPr>
        <w:rFonts w:hint="default"/>
        <w:b/>
        <w:sz w:val="28"/>
      </w:rPr>
    </w:lvl>
    <w:lvl w:ilvl="8">
      <w:start w:val="1"/>
      <w:numFmt w:val="decimal"/>
      <w:isLgl/>
      <w:lvlText w:val="%1.%2.%3.%4.%5.%6.%7.%8.%9."/>
      <w:lvlJc w:val="left"/>
      <w:pPr>
        <w:ind w:left="4520" w:hanging="1800"/>
      </w:pPr>
      <w:rPr>
        <w:rFonts w:hint="default"/>
        <w:b/>
        <w:sz w:val="28"/>
      </w:rPr>
    </w:lvl>
  </w:abstractNum>
  <w:abstractNum w:abstractNumId="28" w15:restartNumberingAfterBreak="0">
    <w:nsid w:val="7C035E5A"/>
    <w:multiLevelType w:val="hybridMultilevel"/>
    <w:tmpl w:val="E202FAEE"/>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num w:numId="1">
    <w:abstractNumId w:val="1"/>
  </w:num>
  <w:num w:numId="2">
    <w:abstractNumId w:val="2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8"/>
  </w:num>
  <w:num w:numId="7">
    <w:abstractNumId w:val="20"/>
  </w:num>
  <w:num w:numId="8">
    <w:abstractNumId w:val="18"/>
  </w:num>
  <w:num w:numId="9">
    <w:abstractNumId w:val="19"/>
  </w:num>
  <w:num w:numId="10">
    <w:abstractNumId w:val="16"/>
  </w:num>
  <w:num w:numId="11">
    <w:abstractNumId w:val="2"/>
  </w:num>
  <w:num w:numId="12">
    <w:abstractNumId w:val="13"/>
  </w:num>
  <w:num w:numId="13">
    <w:abstractNumId w:val="14"/>
  </w:num>
  <w:num w:numId="14">
    <w:abstractNumId w:val="10"/>
  </w:num>
  <w:num w:numId="15">
    <w:abstractNumId w:val="21"/>
  </w:num>
  <w:num w:numId="16">
    <w:abstractNumId w:val="3"/>
  </w:num>
  <w:num w:numId="17">
    <w:abstractNumId w:val="0"/>
  </w:num>
  <w:num w:numId="18">
    <w:abstractNumId w:val="26"/>
  </w:num>
  <w:num w:numId="19">
    <w:abstractNumId w:val="24"/>
  </w:num>
  <w:num w:numId="20">
    <w:abstractNumId w:val="7"/>
  </w:num>
  <w:num w:numId="21">
    <w:abstractNumId w:val="28"/>
  </w:num>
  <w:num w:numId="22">
    <w:abstractNumId w:val="17"/>
  </w:num>
  <w:num w:numId="23">
    <w:abstractNumId w:val="12"/>
  </w:num>
  <w:num w:numId="24">
    <w:abstractNumId w:val="22"/>
  </w:num>
  <w:num w:numId="25">
    <w:abstractNumId w:val="27"/>
  </w:num>
  <w:num w:numId="26">
    <w:abstractNumId w:val="6"/>
  </w:num>
  <w:num w:numId="27">
    <w:abstractNumId w:val="5"/>
  </w:num>
  <w:num w:numId="28">
    <w:abstractNumId w:val="11"/>
  </w:num>
  <w:num w:numId="29">
    <w:abstractNumId w:val="23"/>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D0C"/>
    <w:rsid w:val="0000277F"/>
    <w:rsid w:val="00005334"/>
    <w:rsid w:val="00006D8E"/>
    <w:rsid w:val="00010AEB"/>
    <w:rsid w:val="0001229A"/>
    <w:rsid w:val="0001556C"/>
    <w:rsid w:val="0001578C"/>
    <w:rsid w:val="00015C8D"/>
    <w:rsid w:val="0001706A"/>
    <w:rsid w:val="00021E95"/>
    <w:rsid w:val="000226C2"/>
    <w:rsid w:val="00024F47"/>
    <w:rsid w:val="00026421"/>
    <w:rsid w:val="00026632"/>
    <w:rsid w:val="000302D3"/>
    <w:rsid w:val="000314F2"/>
    <w:rsid w:val="000321A9"/>
    <w:rsid w:val="00033506"/>
    <w:rsid w:val="00033893"/>
    <w:rsid w:val="00033935"/>
    <w:rsid w:val="00033949"/>
    <w:rsid w:val="000362EF"/>
    <w:rsid w:val="0004009C"/>
    <w:rsid w:val="00041864"/>
    <w:rsid w:val="00041CE2"/>
    <w:rsid w:val="000423C6"/>
    <w:rsid w:val="00042CA8"/>
    <w:rsid w:val="00042FE4"/>
    <w:rsid w:val="0004333C"/>
    <w:rsid w:val="00044E76"/>
    <w:rsid w:val="00046502"/>
    <w:rsid w:val="000470F4"/>
    <w:rsid w:val="000501AC"/>
    <w:rsid w:val="00052229"/>
    <w:rsid w:val="00052CDA"/>
    <w:rsid w:val="0005317B"/>
    <w:rsid w:val="00053806"/>
    <w:rsid w:val="00054756"/>
    <w:rsid w:val="00055FAD"/>
    <w:rsid w:val="000567C2"/>
    <w:rsid w:val="000609B4"/>
    <w:rsid w:val="00064D09"/>
    <w:rsid w:val="00065A6D"/>
    <w:rsid w:val="00065E37"/>
    <w:rsid w:val="00070101"/>
    <w:rsid w:val="00070D27"/>
    <w:rsid w:val="00072E9D"/>
    <w:rsid w:val="00073D0C"/>
    <w:rsid w:val="00073EF9"/>
    <w:rsid w:val="000743CE"/>
    <w:rsid w:val="00077212"/>
    <w:rsid w:val="00077A02"/>
    <w:rsid w:val="00084900"/>
    <w:rsid w:val="00086B13"/>
    <w:rsid w:val="00090BF2"/>
    <w:rsid w:val="000921C1"/>
    <w:rsid w:val="00094EF9"/>
    <w:rsid w:val="000957C9"/>
    <w:rsid w:val="000A1165"/>
    <w:rsid w:val="000A1FC4"/>
    <w:rsid w:val="000A2043"/>
    <w:rsid w:val="000A3224"/>
    <w:rsid w:val="000A58E1"/>
    <w:rsid w:val="000A64E0"/>
    <w:rsid w:val="000B02F0"/>
    <w:rsid w:val="000B059F"/>
    <w:rsid w:val="000B391C"/>
    <w:rsid w:val="000B3923"/>
    <w:rsid w:val="000B3EC7"/>
    <w:rsid w:val="000B4F98"/>
    <w:rsid w:val="000B5107"/>
    <w:rsid w:val="000B66B3"/>
    <w:rsid w:val="000B7098"/>
    <w:rsid w:val="000C06A4"/>
    <w:rsid w:val="000C1522"/>
    <w:rsid w:val="000C1DBA"/>
    <w:rsid w:val="000C366E"/>
    <w:rsid w:val="000C685E"/>
    <w:rsid w:val="000C6936"/>
    <w:rsid w:val="000D0559"/>
    <w:rsid w:val="000D14AC"/>
    <w:rsid w:val="000D564B"/>
    <w:rsid w:val="000E1B33"/>
    <w:rsid w:val="000E27A6"/>
    <w:rsid w:val="000E334C"/>
    <w:rsid w:val="000E48F2"/>
    <w:rsid w:val="000E71A6"/>
    <w:rsid w:val="000E7A4A"/>
    <w:rsid w:val="000F0DF1"/>
    <w:rsid w:val="000F376D"/>
    <w:rsid w:val="000F4F4F"/>
    <w:rsid w:val="000F6CDE"/>
    <w:rsid w:val="000F6EB7"/>
    <w:rsid w:val="00100845"/>
    <w:rsid w:val="001040DB"/>
    <w:rsid w:val="00104389"/>
    <w:rsid w:val="00104909"/>
    <w:rsid w:val="00105128"/>
    <w:rsid w:val="0010600F"/>
    <w:rsid w:val="00107E2F"/>
    <w:rsid w:val="00112A08"/>
    <w:rsid w:val="0011354C"/>
    <w:rsid w:val="00121A3A"/>
    <w:rsid w:val="001228F2"/>
    <w:rsid w:val="001240F5"/>
    <w:rsid w:val="00126BEC"/>
    <w:rsid w:val="001275C6"/>
    <w:rsid w:val="001300FD"/>
    <w:rsid w:val="001303EA"/>
    <w:rsid w:val="00130BBA"/>
    <w:rsid w:val="00130CD1"/>
    <w:rsid w:val="00132FE7"/>
    <w:rsid w:val="00135446"/>
    <w:rsid w:val="00140D31"/>
    <w:rsid w:val="00141823"/>
    <w:rsid w:val="00142B9E"/>
    <w:rsid w:val="00142DB0"/>
    <w:rsid w:val="00146304"/>
    <w:rsid w:val="00146ED1"/>
    <w:rsid w:val="00150A30"/>
    <w:rsid w:val="00150CC6"/>
    <w:rsid w:val="00151047"/>
    <w:rsid w:val="00152288"/>
    <w:rsid w:val="001531BD"/>
    <w:rsid w:val="001549E9"/>
    <w:rsid w:val="00155D24"/>
    <w:rsid w:val="00157D50"/>
    <w:rsid w:val="00161577"/>
    <w:rsid w:val="001616C4"/>
    <w:rsid w:val="0016211D"/>
    <w:rsid w:val="00163336"/>
    <w:rsid w:val="001703A0"/>
    <w:rsid w:val="00170B27"/>
    <w:rsid w:val="00172B63"/>
    <w:rsid w:val="00173082"/>
    <w:rsid w:val="0017457B"/>
    <w:rsid w:val="0018066E"/>
    <w:rsid w:val="00181E10"/>
    <w:rsid w:val="00185392"/>
    <w:rsid w:val="0018706C"/>
    <w:rsid w:val="00190057"/>
    <w:rsid w:val="001907CF"/>
    <w:rsid w:val="00190CCD"/>
    <w:rsid w:val="0019264F"/>
    <w:rsid w:val="0019326E"/>
    <w:rsid w:val="00193CB1"/>
    <w:rsid w:val="001947FA"/>
    <w:rsid w:val="00195465"/>
    <w:rsid w:val="0019561F"/>
    <w:rsid w:val="00195879"/>
    <w:rsid w:val="001967F5"/>
    <w:rsid w:val="00196B65"/>
    <w:rsid w:val="00197007"/>
    <w:rsid w:val="00197042"/>
    <w:rsid w:val="00197AC0"/>
    <w:rsid w:val="001A0974"/>
    <w:rsid w:val="001A2C44"/>
    <w:rsid w:val="001A3BD8"/>
    <w:rsid w:val="001A4DF8"/>
    <w:rsid w:val="001A5FAD"/>
    <w:rsid w:val="001A6EB6"/>
    <w:rsid w:val="001A72BD"/>
    <w:rsid w:val="001A797E"/>
    <w:rsid w:val="001A7B25"/>
    <w:rsid w:val="001B0A8C"/>
    <w:rsid w:val="001B322B"/>
    <w:rsid w:val="001B6F71"/>
    <w:rsid w:val="001C183E"/>
    <w:rsid w:val="001C4FA3"/>
    <w:rsid w:val="001C6718"/>
    <w:rsid w:val="001D06BF"/>
    <w:rsid w:val="001D0A53"/>
    <w:rsid w:val="001D0C03"/>
    <w:rsid w:val="001D36C2"/>
    <w:rsid w:val="001D59E2"/>
    <w:rsid w:val="001D7361"/>
    <w:rsid w:val="001E154E"/>
    <w:rsid w:val="001E38D3"/>
    <w:rsid w:val="001E3DF7"/>
    <w:rsid w:val="001E5193"/>
    <w:rsid w:val="001E56CF"/>
    <w:rsid w:val="001E774F"/>
    <w:rsid w:val="001E7B55"/>
    <w:rsid w:val="001F009D"/>
    <w:rsid w:val="001F042F"/>
    <w:rsid w:val="001F17D9"/>
    <w:rsid w:val="001F411E"/>
    <w:rsid w:val="001F4C20"/>
    <w:rsid w:val="001F5740"/>
    <w:rsid w:val="001F60D7"/>
    <w:rsid w:val="001F7F8E"/>
    <w:rsid w:val="00202730"/>
    <w:rsid w:val="00203473"/>
    <w:rsid w:val="002037F9"/>
    <w:rsid w:val="00203D1C"/>
    <w:rsid w:val="00205E20"/>
    <w:rsid w:val="00206AAE"/>
    <w:rsid w:val="00210932"/>
    <w:rsid w:val="002109DC"/>
    <w:rsid w:val="00211C90"/>
    <w:rsid w:val="00212A31"/>
    <w:rsid w:val="00213515"/>
    <w:rsid w:val="00214A4E"/>
    <w:rsid w:val="00215F6E"/>
    <w:rsid w:val="00216886"/>
    <w:rsid w:val="00217779"/>
    <w:rsid w:val="0021790C"/>
    <w:rsid w:val="002201FA"/>
    <w:rsid w:val="002204A1"/>
    <w:rsid w:val="002204DD"/>
    <w:rsid w:val="00220FCE"/>
    <w:rsid w:val="00222AC2"/>
    <w:rsid w:val="00223894"/>
    <w:rsid w:val="00224278"/>
    <w:rsid w:val="002242C5"/>
    <w:rsid w:val="00224C0E"/>
    <w:rsid w:val="00230DDF"/>
    <w:rsid w:val="00230DFA"/>
    <w:rsid w:val="00233256"/>
    <w:rsid w:val="00233CE0"/>
    <w:rsid w:val="00234BFB"/>
    <w:rsid w:val="00234D9E"/>
    <w:rsid w:val="00240ABE"/>
    <w:rsid w:val="0024174E"/>
    <w:rsid w:val="00242DF9"/>
    <w:rsid w:val="00244047"/>
    <w:rsid w:val="00250632"/>
    <w:rsid w:val="00253518"/>
    <w:rsid w:val="002553D3"/>
    <w:rsid w:val="00260330"/>
    <w:rsid w:val="00261948"/>
    <w:rsid w:val="00261B1D"/>
    <w:rsid w:val="00265453"/>
    <w:rsid w:val="00266AF3"/>
    <w:rsid w:val="0027045F"/>
    <w:rsid w:val="00271B30"/>
    <w:rsid w:val="00272E5F"/>
    <w:rsid w:val="002744CD"/>
    <w:rsid w:val="00275A8F"/>
    <w:rsid w:val="0028076E"/>
    <w:rsid w:val="00281749"/>
    <w:rsid w:val="0028177D"/>
    <w:rsid w:val="00281A77"/>
    <w:rsid w:val="002831EF"/>
    <w:rsid w:val="002837D4"/>
    <w:rsid w:val="0028553E"/>
    <w:rsid w:val="00290E0F"/>
    <w:rsid w:val="00291954"/>
    <w:rsid w:val="0029462D"/>
    <w:rsid w:val="00294EC3"/>
    <w:rsid w:val="00297236"/>
    <w:rsid w:val="00297240"/>
    <w:rsid w:val="002A1EB7"/>
    <w:rsid w:val="002A430F"/>
    <w:rsid w:val="002A67EE"/>
    <w:rsid w:val="002B35DE"/>
    <w:rsid w:val="002B5E88"/>
    <w:rsid w:val="002B64E5"/>
    <w:rsid w:val="002C6504"/>
    <w:rsid w:val="002C6E9C"/>
    <w:rsid w:val="002C7DF7"/>
    <w:rsid w:val="002D0564"/>
    <w:rsid w:val="002D0802"/>
    <w:rsid w:val="002D17D9"/>
    <w:rsid w:val="002D197F"/>
    <w:rsid w:val="002D6F90"/>
    <w:rsid w:val="002E0B58"/>
    <w:rsid w:val="002E0C8A"/>
    <w:rsid w:val="002E1700"/>
    <w:rsid w:val="002E3D1E"/>
    <w:rsid w:val="002E6D98"/>
    <w:rsid w:val="002F1F5B"/>
    <w:rsid w:val="002F207D"/>
    <w:rsid w:val="002F6353"/>
    <w:rsid w:val="002F7324"/>
    <w:rsid w:val="002F761E"/>
    <w:rsid w:val="0030108B"/>
    <w:rsid w:val="00301826"/>
    <w:rsid w:val="00303FFD"/>
    <w:rsid w:val="0030594A"/>
    <w:rsid w:val="00305A9E"/>
    <w:rsid w:val="00307DD7"/>
    <w:rsid w:val="0031010D"/>
    <w:rsid w:val="003101AB"/>
    <w:rsid w:val="003172C7"/>
    <w:rsid w:val="00317B31"/>
    <w:rsid w:val="00317D86"/>
    <w:rsid w:val="003202BB"/>
    <w:rsid w:val="0032062D"/>
    <w:rsid w:val="00320BA1"/>
    <w:rsid w:val="00323028"/>
    <w:rsid w:val="00323933"/>
    <w:rsid w:val="00325FAF"/>
    <w:rsid w:val="0033093F"/>
    <w:rsid w:val="00331151"/>
    <w:rsid w:val="00332973"/>
    <w:rsid w:val="0033379A"/>
    <w:rsid w:val="003406C2"/>
    <w:rsid w:val="00340BF9"/>
    <w:rsid w:val="0034141F"/>
    <w:rsid w:val="00341E1A"/>
    <w:rsid w:val="00342433"/>
    <w:rsid w:val="00342585"/>
    <w:rsid w:val="00344EAA"/>
    <w:rsid w:val="00345808"/>
    <w:rsid w:val="00347330"/>
    <w:rsid w:val="003501A0"/>
    <w:rsid w:val="003513E5"/>
    <w:rsid w:val="00351794"/>
    <w:rsid w:val="00351DE7"/>
    <w:rsid w:val="003545E1"/>
    <w:rsid w:val="0035660B"/>
    <w:rsid w:val="003569AD"/>
    <w:rsid w:val="00361FDC"/>
    <w:rsid w:val="00365859"/>
    <w:rsid w:val="00366ECE"/>
    <w:rsid w:val="00370AC6"/>
    <w:rsid w:val="00372450"/>
    <w:rsid w:val="003724E2"/>
    <w:rsid w:val="003773CD"/>
    <w:rsid w:val="00381D2F"/>
    <w:rsid w:val="00383427"/>
    <w:rsid w:val="003838B7"/>
    <w:rsid w:val="003840E3"/>
    <w:rsid w:val="00384CFF"/>
    <w:rsid w:val="0038521C"/>
    <w:rsid w:val="00385511"/>
    <w:rsid w:val="00385E08"/>
    <w:rsid w:val="003864E3"/>
    <w:rsid w:val="003878A5"/>
    <w:rsid w:val="00392B39"/>
    <w:rsid w:val="00393F0D"/>
    <w:rsid w:val="00395126"/>
    <w:rsid w:val="003965A5"/>
    <w:rsid w:val="00396644"/>
    <w:rsid w:val="003A1562"/>
    <w:rsid w:val="003A408D"/>
    <w:rsid w:val="003A548A"/>
    <w:rsid w:val="003A5C6D"/>
    <w:rsid w:val="003A6528"/>
    <w:rsid w:val="003A6D1E"/>
    <w:rsid w:val="003B0C5B"/>
    <w:rsid w:val="003B1041"/>
    <w:rsid w:val="003B607D"/>
    <w:rsid w:val="003B7204"/>
    <w:rsid w:val="003B73B5"/>
    <w:rsid w:val="003C2363"/>
    <w:rsid w:val="003C344D"/>
    <w:rsid w:val="003C3747"/>
    <w:rsid w:val="003C5812"/>
    <w:rsid w:val="003C718E"/>
    <w:rsid w:val="003D21A6"/>
    <w:rsid w:val="003D244B"/>
    <w:rsid w:val="003D3B68"/>
    <w:rsid w:val="003D3DB1"/>
    <w:rsid w:val="003D4696"/>
    <w:rsid w:val="003D5C93"/>
    <w:rsid w:val="003E11A5"/>
    <w:rsid w:val="003E3B92"/>
    <w:rsid w:val="003E7860"/>
    <w:rsid w:val="003F01DC"/>
    <w:rsid w:val="003F0758"/>
    <w:rsid w:val="003F08C3"/>
    <w:rsid w:val="003F2794"/>
    <w:rsid w:val="003F46DF"/>
    <w:rsid w:val="00400B9E"/>
    <w:rsid w:val="00402143"/>
    <w:rsid w:val="0040506D"/>
    <w:rsid w:val="00406702"/>
    <w:rsid w:val="0041102F"/>
    <w:rsid w:val="0041496C"/>
    <w:rsid w:val="00415E18"/>
    <w:rsid w:val="0041640F"/>
    <w:rsid w:val="00417B1E"/>
    <w:rsid w:val="0042052C"/>
    <w:rsid w:val="004206CB"/>
    <w:rsid w:val="00420881"/>
    <w:rsid w:val="00423A51"/>
    <w:rsid w:val="00426422"/>
    <w:rsid w:val="00430B90"/>
    <w:rsid w:val="00433813"/>
    <w:rsid w:val="00434260"/>
    <w:rsid w:val="00434361"/>
    <w:rsid w:val="00434B1D"/>
    <w:rsid w:val="00437458"/>
    <w:rsid w:val="00441499"/>
    <w:rsid w:val="00441D7B"/>
    <w:rsid w:val="00441E52"/>
    <w:rsid w:val="00444652"/>
    <w:rsid w:val="00445B71"/>
    <w:rsid w:val="0044645C"/>
    <w:rsid w:val="004521FD"/>
    <w:rsid w:val="00453C25"/>
    <w:rsid w:val="00455E54"/>
    <w:rsid w:val="004567C8"/>
    <w:rsid w:val="00456F15"/>
    <w:rsid w:val="0046009E"/>
    <w:rsid w:val="004601F6"/>
    <w:rsid w:val="00460291"/>
    <w:rsid w:val="004606BE"/>
    <w:rsid w:val="00460BB1"/>
    <w:rsid w:val="00461F0F"/>
    <w:rsid w:val="00461FBB"/>
    <w:rsid w:val="004622DA"/>
    <w:rsid w:val="0046404C"/>
    <w:rsid w:val="00466813"/>
    <w:rsid w:val="00467054"/>
    <w:rsid w:val="00470D39"/>
    <w:rsid w:val="00472924"/>
    <w:rsid w:val="00472BE8"/>
    <w:rsid w:val="00474709"/>
    <w:rsid w:val="00476019"/>
    <w:rsid w:val="004833EF"/>
    <w:rsid w:val="004837C7"/>
    <w:rsid w:val="00486599"/>
    <w:rsid w:val="00486F9F"/>
    <w:rsid w:val="00490AC7"/>
    <w:rsid w:val="00493533"/>
    <w:rsid w:val="004940DC"/>
    <w:rsid w:val="004954DA"/>
    <w:rsid w:val="00495A3D"/>
    <w:rsid w:val="004965B2"/>
    <w:rsid w:val="004967C8"/>
    <w:rsid w:val="004974C9"/>
    <w:rsid w:val="004977B8"/>
    <w:rsid w:val="004979C6"/>
    <w:rsid w:val="00497A1E"/>
    <w:rsid w:val="004A2B5C"/>
    <w:rsid w:val="004A2EF3"/>
    <w:rsid w:val="004A6CC8"/>
    <w:rsid w:val="004B1505"/>
    <w:rsid w:val="004B2055"/>
    <w:rsid w:val="004B255E"/>
    <w:rsid w:val="004B26CC"/>
    <w:rsid w:val="004B2FE5"/>
    <w:rsid w:val="004B756A"/>
    <w:rsid w:val="004C0561"/>
    <w:rsid w:val="004C1079"/>
    <w:rsid w:val="004C1497"/>
    <w:rsid w:val="004C1AC4"/>
    <w:rsid w:val="004C31F6"/>
    <w:rsid w:val="004C4677"/>
    <w:rsid w:val="004C46BF"/>
    <w:rsid w:val="004C7D0B"/>
    <w:rsid w:val="004D0451"/>
    <w:rsid w:val="004D0EDB"/>
    <w:rsid w:val="004D646F"/>
    <w:rsid w:val="004E091A"/>
    <w:rsid w:val="004E4CCF"/>
    <w:rsid w:val="004E4EBD"/>
    <w:rsid w:val="004F048A"/>
    <w:rsid w:val="004F0926"/>
    <w:rsid w:val="004F199D"/>
    <w:rsid w:val="004F328C"/>
    <w:rsid w:val="004F395A"/>
    <w:rsid w:val="004F5228"/>
    <w:rsid w:val="005035DA"/>
    <w:rsid w:val="005056B1"/>
    <w:rsid w:val="005075DA"/>
    <w:rsid w:val="00507F22"/>
    <w:rsid w:val="00510537"/>
    <w:rsid w:val="005108ED"/>
    <w:rsid w:val="00512C97"/>
    <w:rsid w:val="00515230"/>
    <w:rsid w:val="00515BA3"/>
    <w:rsid w:val="0051731C"/>
    <w:rsid w:val="005211C5"/>
    <w:rsid w:val="00522EA5"/>
    <w:rsid w:val="00524B85"/>
    <w:rsid w:val="005276BC"/>
    <w:rsid w:val="00530396"/>
    <w:rsid w:val="0053099C"/>
    <w:rsid w:val="00533FE4"/>
    <w:rsid w:val="00534B49"/>
    <w:rsid w:val="00535FD0"/>
    <w:rsid w:val="00536CCD"/>
    <w:rsid w:val="00536D45"/>
    <w:rsid w:val="00537265"/>
    <w:rsid w:val="00541EA8"/>
    <w:rsid w:val="00542F2A"/>
    <w:rsid w:val="005447E8"/>
    <w:rsid w:val="00547799"/>
    <w:rsid w:val="0055079A"/>
    <w:rsid w:val="00550AD7"/>
    <w:rsid w:val="00551474"/>
    <w:rsid w:val="00552554"/>
    <w:rsid w:val="005530EE"/>
    <w:rsid w:val="0055339B"/>
    <w:rsid w:val="005551C2"/>
    <w:rsid w:val="00555366"/>
    <w:rsid w:val="00557D6E"/>
    <w:rsid w:val="00560241"/>
    <w:rsid w:val="00560AC4"/>
    <w:rsid w:val="00564BE3"/>
    <w:rsid w:val="0056587E"/>
    <w:rsid w:val="00566208"/>
    <w:rsid w:val="005674F0"/>
    <w:rsid w:val="00567AB4"/>
    <w:rsid w:val="00572A4A"/>
    <w:rsid w:val="00576220"/>
    <w:rsid w:val="00581F54"/>
    <w:rsid w:val="00582ED1"/>
    <w:rsid w:val="005849D1"/>
    <w:rsid w:val="00585F8C"/>
    <w:rsid w:val="00593586"/>
    <w:rsid w:val="00593C12"/>
    <w:rsid w:val="00594773"/>
    <w:rsid w:val="00596BCA"/>
    <w:rsid w:val="00597EEE"/>
    <w:rsid w:val="005A0287"/>
    <w:rsid w:val="005A0CA0"/>
    <w:rsid w:val="005A0DF3"/>
    <w:rsid w:val="005A124D"/>
    <w:rsid w:val="005A375D"/>
    <w:rsid w:val="005A3CC3"/>
    <w:rsid w:val="005A5A18"/>
    <w:rsid w:val="005A736F"/>
    <w:rsid w:val="005A75EC"/>
    <w:rsid w:val="005B076F"/>
    <w:rsid w:val="005B1E55"/>
    <w:rsid w:val="005B24B8"/>
    <w:rsid w:val="005B2A5B"/>
    <w:rsid w:val="005B4613"/>
    <w:rsid w:val="005B59FF"/>
    <w:rsid w:val="005B6D12"/>
    <w:rsid w:val="005C0B34"/>
    <w:rsid w:val="005C1307"/>
    <w:rsid w:val="005C4CA9"/>
    <w:rsid w:val="005C4FD6"/>
    <w:rsid w:val="005D10F5"/>
    <w:rsid w:val="005D142E"/>
    <w:rsid w:val="005D27D7"/>
    <w:rsid w:val="005D45BA"/>
    <w:rsid w:val="005D548E"/>
    <w:rsid w:val="005D5D8D"/>
    <w:rsid w:val="005D7652"/>
    <w:rsid w:val="005E10DF"/>
    <w:rsid w:val="005E14DA"/>
    <w:rsid w:val="005E1FA0"/>
    <w:rsid w:val="005E49D5"/>
    <w:rsid w:val="005E6E0B"/>
    <w:rsid w:val="005F0A74"/>
    <w:rsid w:val="005F3405"/>
    <w:rsid w:val="005F4B2A"/>
    <w:rsid w:val="005F56E2"/>
    <w:rsid w:val="005F6BCC"/>
    <w:rsid w:val="005F779A"/>
    <w:rsid w:val="00600ECD"/>
    <w:rsid w:val="0060104D"/>
    <w:rsid w:val="00602745"/>
    <w:rsid w:val="00606F36"/>
    <w:rsid w:val="00607ED8"/>
    <w:rsid w:val="0061128F"/>
    <w:rsid w:val="00613117"/>
    <w:rsid w:val="0061393A"/>
    <w:rsid w:val="00613A49"/>
    <w:rsid w:val="00616124"/>
    <w:rsid w:val="00616C0A"/>
    <w:rsid w:val="00616D7D"/>
    <w:rsid w:val="00620F6E"/>
    <w:rsid w:val="0062174D"/>
    <w:rsid w:val="006225BE"/>
    <w:rsid w:val="00624D4D"/>
    <w:rsid w:val="00625370"/>
    <w:rsid w:val="006253C6"/>
    <w:rsid w:val="006258FA"/>
    <w:rsid w:val="00625B75"/>
    <w:rsid w:val="00626B68"/>
    <w:rsid w:val="0062709D"/>
    <w:rsid w:val="00627C89"/>
    <w:rsid w:val="00627F3A"/>
    <w:rsid w:val="00636A02"/>
    <w:rsid w:val="00640206"/>
    <w:rsid w:val="006412A7"/>
    <w:rsid w:val="00643F1B"/>
    <w:rsid w:val="00646E38"/>
    <w:rsid w:val="0065378A"/>
    <w:rsid w:val="006541EC"/>
    <w:rsid w:val="00654DCD"/>
    <w:rsid w:val="00656D67"/>
    <w:rsid w:val="00657431"/>
    <w:rsid w:val="00662BAC"/>
    <w:rsid w:val="006641EA"/>
    <w:rsid w:val="0066466F"/>
    <w:rsid w:val="0066539B"/>
    <w:rsid w:val="00670182"/>
    <w:rsid w:val="00670441"/>
    <w:rsid w:val="0067066E"/>
    <w:rsid w:val="00671370"/>
    <w:rsid w:val="006716C2"/>
    <w:rsid w:val="006728CD"/>
    <w:rsid w:val="00680276"/>
    <w:rsid w:val="00681755"/>
    <w:rsid w:val="00682AB3"/>
    <w:rsid w:val="00685091"/>
    <w:rsid w:val="00685A13"/>
    <w:rsid w:val="00686E1A"/>
    <w:rsid w:val="006872F4"/>
    <w:rsid w:val="006877CC"/>
    <w:rsid w:val="006878DA"/>
    <w:rsid w:val="00695E89"/>
    <w:rsid w:val="00696C8F"/>
    <w:rsid w:val="006A2481"/>
    <w:rsid w:val="006A2989"/>
    <w:rsid w:val="006A5375"/>
    <w:rsid w:val="006B0C8A"/>
    <w:rsid w:val="006B14C5"/>
    <w:rsid w:val="006B271B"/>
    <w:rsid w:val="006B34C3"/>
    <w:rsid w:val="006B5EF0"/>
    <w:rsid w:val="006B7471"/>
    <w:rsid w:val="006B769B"/>
    <w:rsid w:val="006B7EE4"/>
    <w:rsid w:val="006C06FC"/>
    <w:rsid w:val="006C4312"/>
    <w:rsid w:val="006C5BCD"/>
    <w:rsid w:val="006D0C5D"/>
    <w:rsid w:val="006D0C65"/>
    <w:rsid w:val="006D1268"/>
    <w:rsid w:val="006D2EFD"/>
    <w:rsid w:val="006D39E9"/>
    <w:rsid w:val="006D6FC3"/>
    <w:rsid w:val="006E0142"/>
    <w:rsid w:val="006E4194"/>
    <w:rsid w:val="006E6022"/>
    <w:rsid w:val="006F09E7"/>
    <w:rsid w:val="006F0C6E"/>
    <w:rsid w:val="006F2539"/>
    <w:rsid w:val="006F2843"/>
    <w:rsid w:val="006F420D"/>
    <w:rsid w:val="006F4560"/>
    <w:rsid w:val="006F4E15"/>
    <w:rsid w:val="006F56CE"/>
    <w:rsid w:val="006F60B3"/>
    <w:rsid w:val="006F7B7D"/>
    <w:rsid w:val="00701A10"/>
    <w:rsid w:val="00701E2F"/>
    <w:rsid w:val="007026D6"/>
    <w:rsid w:val="007041DF"/>
    <w:rsid w:val="00706CAE"/>
    <w:rsid w:val="00707D1B"/>
    <w:rsid w:val="0071119C"/>
    <w:rsid w:val="007136D1"/>
    <w:rsid w:val="00716E38"/>
    <w:rsid w:val="007210F2"/>
    <w:rsid w:val="0072379C"/>
    <w:rsid w:val="00723AF2"/>
    <w:rsid w:val="00724447"/>
    <w:rsid w:val="007259C5"/>
    <w:rsid w:val="007303DF"/>
    <w:rsid w:val="007304C4"/>
    <w:rsid w:val="007306DD"/>
    <w:rsid w:val="0073082C"/>
    <w:rsid w:val="00732AC6"/>
    <w:rsid w:val="00733E14"/>
    <w:rsid w:val="00733FB5"/>
    <w:rsid w:val="00734089"/>
    <w:rsid w:val="00734B8A"/>
    <w:rsid w:val="00735C05"/>
    <w:rsid w:val="007363C2"/>
    <w:rsid w:val="00736F8F"/>
    <w:rsid w:val="00737C14"/>
    <w:rsid w:val="00740443"/>
    <w:rsid w:val="00741443"/>
    <w:rsid w:val="007419DA"/>
    <w:rsid w:val="00741BCB"/>
    <w:rsid w:val="00741BFB"/>
    <w:rsid w:val="00742E70"/>
    <w:rsid w:val="00743E33"/>
    <w:rsid w:val="0074542E"/>
    <w:rsid w:val="00745A55"/>
    <w:rsid w:val="007463EF"/>
    <w:rsid w:val="00746F30"/>
    <w:rsid w:val="00747BE0"/>
    <w:rsid w:val="0075052C"/>
    <w:rsid w:val="00751C72"/>
    <w:rsid w:val="007550AD"/>
    <w:rsid w:val="007551AC"/>
    <w:rsid w:val="0075694F"/>
    <w:rsid w:val="00757236"/>
    <w:rsid w:val="00762694"/>
    <w:rsid w:val="00763C25"/>
    <w:rsid w:val="00764390"/>
    <w:rsid w:val="007644C9"/>
    <w:rsid w:val="00765087"/>
    <w:rsid w:val="00765DE1"/>
    <w:rsid w:val="00765EF1"/>
    <w:rsid w:val="00767A29"/>
    <w:rsid w:val="00770B68"/>
    <w:rsid w:val="007727F9"/>
    <w:rsid w:val="00775596"/>
    <w:rsid w:val="00776002"/>
    <w:rsid w:val="0077623D"/>
    <w:rsid w:val="0077645F"/>
    <w:rsid w:val="00781208"/>
    <w:rsid w:val="007823F8"/>
    <w:rsid w:val="00783862"/>
    <w:rsid w:val="00784AB2"/>
    <w:rsid w:val="007850FA"/>
    <w:rsid w:val="00785A26"/>
    <w:rsid w:val="00786692"/>
    <w:rsid w:val="00794799"/>
    <w:rsid w:val="007A29F1"/>
    <w:rsid w:val="007A2B3B"/>
    <w:rsid w:val="007A31A3"/>
    <w:rsid w:val="007A4641"/>
    <w:rsid w:val="007A6EFD"/>
    <w:rsid w:val="007B29F4"/>
    <w:rsid w:val="007B29FB"/>
    <w:rsid w:val="007B2CAA"/>
    <w:rsid w:val="007B3018"/>
    <w:rsid w:val="007B747C"/>
    <w:rsid w:val="007B7505"/>
    <w:rsid w:val="007C2603"/>
    <w:rsid w:val="007C5FE5"/>
    <w:rsid w:val="007C6383"/>
    <w:rsid w:val="007C64AC"/>
    <w:rsid w:val="007C7BEA"/>
    <w:rsid w:val="007C7D5C"/>
    <w:rsid w:val="007D1B3B"/>
    <w:rsid w:val="007D25E6"/>
    <w:rsid w:val="007D38F5"/>
    <w:rsid w:val="007D4AA3"/>
    <w:rsid w:val="007D69A6"/>
    <w:rsid w:val="007D6C4A"/>
    <w:rsid w:val="007E0ED2"/>
    <w:rsid w:val="007E21AA"/>
    <w:rsid w:val="007E3B3C"/>
    <w:rsid w:val="007E4196"/>
    <w:rsid w:val="007E4453"/>
    <w:rsid w:val="007E48B3"/>
    <w:rsid w:val="007E4AAA"/>
    <w:rsid w:val="007E4E50"/>
    <w:rsid w:val="007E76BF"/>
    <w:rsid w:val="007F012A"/>
    <w:rsid w:val="007F020B"/>
    <w:rsid w:val="007F122E"/>
    <w:rsid w:val="007F1AB2"/>
    <w:rsid w:val="007F4738"/>
    <w:rsid w:val="007F500E"/>
    <w:rsid w:val="007F7FF4"/>
    <w:rsid w:val="00802DA5"/>
    <w:rsid w:val="008036FD"/>
    <w:rsid w:val="00804129"/>
    <w:rsid w:val="008060A8"/>
    <w:rsid w:val="00810E53"/>
    <w:rsid w:val="008113F9"/>
    <w:rsid w:val="00814219"/>
    <w:rsid w:val="00815675"/>
    <w:rsid w:val="00815CAD"/>
    <w:rsid w:val="00815F3A"/>
    <w:rsid w:val="00817155"/>
    <w:rsid w:val="00817F41"/>
    <w:rsid w:val="00822E15"/>
    <w:rsid w:val="008236FA"/>
    <w:rsid w:val="00824465"/>
    <w:rsid w:val="008246CC"/>
    <w:rsid w:val="008265C6"/>
    <w:rsid w:val="00827330"/>
    <w:rsid w:val="00833885"/>
    <w:rsid w:val="00835058"/>
    <w:rsid w:val="00836339"/>
    <w:rsid w:val="00837922"/>
    <w:rsid w:val="008409E9"/>
    <w:rsid w:val="00840FDA"/>
    <w:rsid w:val="008413F8"/>
    <w:rsid w:val="00843872"/>
    <w:rsid w:val="00843BFC"/>
    <w:rsid w:val="0084420F"/>
    <w:rsid w:val="00847586"/>
    <w:rsid w:val="00852340"/>
    <w:rsid w:val="008530BE"/>
    <w:rsid w:val="00857697"/>
    <w:rsid w:val="00861D73"/>
    <w:rsid w:val="00862EA4"/>
    <w:rsid w:val="00863081"/>
    <w:rsid w:val="00863232"/>
    <w:rsid w:val="00863656"/>
    <w:rsid w:val="008637DD"/>
    <w:rsid w:val="008639CF"/>
    <w:rsid w:val="00866985"/>
    <w:rsid w:val="008677A1"/>
    <w:rsid w:val="008708DC"/>
    <w:rsid w:val="008716A7"/>
    <w:rsid w:val="008717BE"/>
    <w:rsid w:val="008733D0"/>
    <w:rsid w:val="00876BBB"/>
    <w:rsid w:val="00876FA7"/>
    <w:rsid w:val="00881D32"/>
    <w:rsid w:val="00884CB9"/>
    <w:rsid w:val="00885DC4"/>
    <w:rsid w:val="00891D04"/>
    <w:rsid w:val="00891D5F"/>
    <w:rsid w:val="00891FF6"/>
    <w:rsid w:val="008920E1"/>
    <w:rsid w:val="00894D3D"/>
    <w:rsid w:val="008A0390"/>
    <w:rsid w:val="008A44E5"/>
    <w:rsid w:val="008B00C1"/>
    <w:rsid w:val="008B1469"/>
    <w:rsid w:val="008B14E8"/>
    <w:rsid w:val="008B17D7"/>
    <w:rsid w:val="008B278D"/>
    <w:rsid w:val="008B393E"/>
    <w:rsid w:val="008B3FE6"/>
    <w:rsid w:val="008B415D"/>
    <w:rsid w:val="008B53B9"/>
    <w:rsid w:val="008B6C96"/>
    <w:rsid w:val="008B6E1D"/>
    <w:rsid w:val="008B6FB2"/>
    <w:rsid w:val="008B780C"/>
    <w:rsid w:val="008C2DA3"/>
    <w:rsid w:val="008C435E"/>
    <w:rsid w:val="008C60AD"/>
    <w:rsid w:val="008C65A8"/>
    <w:rsid w:val="008C7565"/>
    <w:rsid w:val="008C7901"/>
    <w:rsid w:val="008D0EC7"/>
    <w:rsid w:val="008D10BC"/>
    <w:rsid w:val="008D47B5"/>
    <w:rsid w:val="008D4905"/>
    <w:rsid w:val="008D4A5B"/>
    <w:rsid w:val="008E005D"/>
    <w:rsid w:val="008E23A5"/>
    <w:rsid w:val="008E291B"/>
    <w:rsid w:val="008E4324"/>
    <w:rsid w:val="008E4661"/>
    <w:rsid w:val="008E4FBE"/>
    <w:rsid w:val="008E524A"/>
    <w:rsid w:val="008E687E"/>
    <w:rsid w:val="008E76E2"/>
    <w:rsid w:val="008E7745"/>
    <w:rsid w:val="008E7E0C"/>
    <w:rsid w:val="008F1319"/>
    <w:rsid w:val="008F19A1"/>
    <w:rsid w:val="008F316C"/>
    <w:rsid w:val="008F49F8"/>
    <w:rsid w:val="008F4CAC"/>
    <w:rsid w:val="008F56E7"/>
    <w:rsid w:val="008F611D"/>
    <w:rsid w:val="008F777E"/>
    <w:rsid w:val="00900228"/>
    <w:rsid w:val="00901A7E"/>
    <w:rsid w:val="00901ED2"/>
    <w:rsid w:val="009034FA"/>
    <w:rsid w:val="00904550"/>
    <w:rsid w:val="0090508B"/>
    <w:rsid w:val="00906582"/>
    <w:rsid w:val="009065E4"/>
    <w:rsid w:val="00906D6E"/>
    <w:rsid w:val="00907920"/>
    <w:rsid w:val="00913311"/>
    <w:rsid w:val="00913E44"/>
    <w:rsid w:val="00915628"/>
    <w:rsid w:val="00920611"/>
    <w:rsid w:val="00922510"/>
    <w:rsid w:val="009233C3"/>
    <w:rsid w:val="009238E1"/>
    <w:rsid w:val="00925E5E"/>
    <w:rsid w:val="00927891"/>
    <w:rsid w:val="00931100"/>
    <w:rsid w:val="00932C53"/>
    <w:rsid w:val="00934429"/>
    <w:rsid w:val="0093472A"/>
    <w:rsid w:val="009366F6"/>
    <w:rsid w:val="00936938"/>
    <w:rsid w:val="00936996"/>
    <w:rsid w:val="0094063C"/>
    <w:rsid w:val="00941531"/>
    <w:rsid w:val="00941C0E"/>
    <w:rsid w:val="00941DC4"/>
    <w:rsid w:val="00943880"/>
    <w:rsid w:val="00951C73"/>
    <w:rsid w:val="0095486B"/>
    <w:rsid w:val="009579C7"/>
    <w:rsid w:val="00962A6B"/>
    <w:rsid w:val="009666CA"/>
    <w:rsid w:val="009669D2"/>
    <w:rsid w:val="00967D8B"/>
    <w:rsid w:val="0097090E"/>
    <w:rsid w:val="00970D2E"/>
    <w:rsid w:val="00971126"/>
    <w:rsid w:val="009721AE"/>
    <w:rsid w:val="00973DCA"/>
    <w:rsid w:val="00980AE6"/>
    <w:rsid w:val="00981288"/>
    <w:rsid w:val="00981980"/>
    <w:rsid w:val="00982CBE"/>
    <w:rsid w:val="009836E8"/>
    <w:rsid w:val="0098437A"/>
    <w:rsid w:val="0098484F"/>
    <w:rsid w:val="00985DFB"/>
    <w:rsid w:val="00986C40"/>
    <w:rsid w:val="00990C45"/>
    <w:rsid w:val="009954AE"/>
    <w:rsid w:val="009A0B21"/>
    <w:rsid w:val="009A3146"/>
    <w:rsid w:val="009A482A"/>
    <w:rsid w:val="009A51DF"/>
    <w:rsid w:val="009A5776"/>
    <w:rsid w:val="009A5F47"/>
    <w:rsid w:val="009A7ACF"/>
    <w:rsid w:val="009B19C8"/>
    <w:rsid w:val="009B421D"/>
    <w:rsid w:val="009B45EA"/>
    <w:rsid w:val="009B4E53"/>
    <w:rsid w:val="009B5EA5"/>
    <w:rsid w:val="009B7E74"/>
    <w:rsid w:val="009C111A"/>
    <w:rsid w:val="009C13CB"/>
    <w:rsid w:val="009C3525"/>
    <w:rsid w:val="009C4546"/>
    <w:rsid w:val="009C4927"/>
    <w:rsid w:val="009C5100"/>
    <w:rsid w:val="009C5354"/>
    <w:rsid w:val="009C59A4"/>
    <w:rsid w:val="009C7EAD"/>
    <w:rsid w:val="009D2158"/>
    <w:rsid w:val="009D4F00"/>
    <w:rsid w:val="009D5487"/>
    <w:rsid w:val="009D7253"/>
    <w:rsid w:val="009D7FCD"/>
    <w:rsid w:val="009E19E8"/>
    <w:rsid w:val="009E2C53"/>
    <w:rsid w:val="009E316B"/>
    <w:rsid w:val="009E331E"/>
    <w:rsid w:val="009F1F18"/>
    <w:rsid w:val="009F2E62"/>
    <w:rsid w:val="009F4414"/>
    <w:rsid w:val="009F6437"/>
    <w:rsid w:val="009F7455"/>
    <w:rsid w:val="00A02DAF"/>
    <w:rsid w:val="00A032E4"/>
    <w:rsid w:val="00A0361C"/>
    <w:rsid w:val="00A04B6E"/>
    <w:rsid w:val="00A04EA5"/>
    <w:rsid w:val="00A05DF0"/>
    <w:rsid w:val="00A060B6"/>
    <w:rsid w:val="00A10624"/>
    <w:rsid w:val="00A1077F"/>
    <w:rsid w:val="00A111C5"/>
    <w:rsid w:val="00A173D6"/>
    <w:rsid w:val="00A20A23"/>
    <w:rsid w:val="00A213F4"/>
    <w:rsid w:val="00A2211D"/>
    <w:rsid w:val="00A23F59"/>
    <w:rsid w:val="00A24E7D"/>
    <w:rsid w:val="00A25E23"/>
    <w:rsid w:val="00A26E3E"/>
    <w:rsid w:val="00A30108"/>
    <w:rsid w:val="00A314D6"/>
    <w:rsid w:val="00A31682"/>
    <w:rsid w:val="00A3331F"/>
    <w:rsid w:val="00A3377E"/>
    <w:rsid w:val="00A34F21"/>
    <w:rsid w:val="00A35464"/>
    <w:rsid w:val="00A35C7B"/>
    <w:rsid w:val="00A3699C"/>
    <w:rsid w:val="00A36DCA"/>
    <w:rsid w:val="00A44CEE"/>
    <w:rsid w:val="00A44D99"/>
    <w:rsid w:val="00A45996"/>
    <w:rsid w:val="00A47CC4"/>
    <w:rsid w:val="00A50240"/>
    <w:rsid w:val="00A519D4"/>
    <w:rsid w:val="00A53A7D"/>
    <w:rsid w:val="00A553C7"/>
    <w:rsid w:val="00A55561"/>
    <w:rsid w:val="00A576E7"/>
    <w:rsid w:val="00A57E38"/>
    <w:rsid w:val="00A62E9C"/>
    <w:rsid w:val="00A634A7"/>
    <w:rsid w:val="00A679D9"/>
    <w:rsid w:val="00A722AE"/>
    <w:rsid w:val="00A741F3"/>
    <w:rsid w:val="00A743F9"/>
    <w:rsid w:val="00A754FD"/>
    <w:rsid w:val="00A763CC"/>
    <w:rsid w:val="00A77133"/>
    <w:rsid w:val="00A77477"/>
    <w:rsid w:val="00A77A16"/>
    <w:rsid w:val="00A8085A"/>
    <w:rsid w:val="00A8210A"/>
    <w:rsid w:val="00A86CCD"/>
    <w:rsid w:val="00A900A0"/>
    <w:rsid w:val="00A906D5"/>
    <w:rsid w:val="00A924A9"/>
    <w:rsid w:val="00A95345"/>
    <w:rsid w:val="00A95DF8"/>
    <w:rsid w:val="00A9629A"/>
    <w:rsid w:val="00AA04DC"/>
    <w:rsid w:val="00AA2450"/>
    <w:rsid w:val="00AA276A"/>
    <w:rsid w:val="00AA2F32"/>
    <w:rsid w:val="00AA4055"/>
    <w:rsid w:val="00AA43BF"/>
    <w:rsid w:val="00AA450D"/>
    <w:rsid w:val="00AA7C0F"/>
    <w:rsid w:val="00AB0D28"/>
    <w:rsid w:val="00AB386E"/>
    <w:rsid w:val="00AB4D58"/>
    <w:rsid w:val="00AB5263"/>
    <w:rsid w:val="00AB59BB"/>
    <w:rsid w:val="00AB6CB0"/>
    <w:rsid w:val="00AC137D"/>
    <w:rsid w:val="00AC1589"/>
    <w:rsid w:val="00AC219A"/>
    <w:rsid w:val="00AC5DA2"/>
    <w:rsid w:val="00AC638C"/>
    <w:rsid w:val="00AD0B02"/>
    <w:rsid w:val="00AD0FB2"/>
    <w:rsid w:val="00AD12EB"/>
    <w:rsid w:val="00AD1697"/>
    <w:rsid w:val="00AD36A6"/>
    <w:rsid w:val="00AD4DB3"/>
    <w:rsid w:val="00AD6339"/>
    <w:rsid w:val="00AD691D"/>
    <w:rsid w:val="00AE1205"/>
    <w:rsid w:val="00AE1546"/>
    <w:rsid w:val="00AE6BB4"/>
    <w:rsid w:val="00AF01F3"/>
    <w:rsid w:val="00AF0E21"/>
    <w:rsid w:val="00AF0EEF"/>
    <w:rsid w:val="00AF1563"/>
    <w:rsid w:val="00AF4FFE"/>
    <w:rsid w:val="00AF58EE"/>
    <w:rsid w:val="00AF65EF"/>
    <w:rsid w:val="00AF7485"/>
    <w:rsid w:val="00B001D1"/>
    <w:rsid w:val="00B02157"/>
    <w:rsid w:val="00B04048"/>
    <w:rsid w:val="00B05523"/>
    <w:rsid w:val="00B0679C"/>
    <w:rsid w:val="00B10BF5"/>
    <w:rsid w:val="00B158D7"/>
    <w:rsid w:val="00B1676C"/>
    <w:rsid w:val="00B174DF"/>
    <w:rsid w:val="00B203CA"/>
    <w:rsid w:val="00B204E1"/>
    <w:rsid w:val="00B26656"/>
    <w:rsid w:val="00B2670B"/>
    <w:rsid w:val="00B2749D"/>
    <w:rsid w:val="00B276D4"/>
    <w:rsid w:val="00B27B3D"/>
    <w:rsid w:val="00B304AE"/>
    <w:rsid w:val="00B307C6"/>
    <w:rsid w:val="00B322F0"/>
    <w:rsid w:val="00B33404"/>
    <w:rsid w:val="00B34569"/>
    <w:rsid w:val="00B35616"/>
    <w:rsid w:val="00B35A29"/>
    <w:rsid w:val="00B35B3E"/>
    <w:rsid w:val="00B35CBF"/>
    <w:rsid w:val="00B35E93"/>
    <w:rsid w:val="00B402A9"/>
    <w:rsid w:val="00B41845"/>
    <w:rsid w:val="00B41BD5"/>
    <w:rsid w:val="00B41EA4"/>
    <w:rsid w:val="00B43E5F"/>
    <w:rsid w:val="00B518FB"/>
    <w:rsid w:val="00B5198B"/>
    <w:rsid w:val="00B51F38"/>
    <w:rsid w:val="00B53739"/>
    <w:rsid w:val="00B53F57"/>
    <w:rsid w:val="00B54E80"/>
    <w:rsid w:val="00B554FE"/>
    <w:rsid w:val="00B60FD9"/>
    <w:rsid w:val="00B6358D"/>
    <w:rsid w:val="00B647FD"/>
    <w:rsid w:val="00B65159"/>
    <w:rsid w:val="00B65A70"/>
    <w:rsid w:val="00B674EE"/>
    <w:rsid w:val="00B71DB2"/>
    <w:rsid w:val="00B72B4F"/>
    <w:rsid w:val="00B740FC"/>
    <w:rsid w:val="00B743B9"/>
    <w:rsid w:val="00B82158"/>
    <w:rsid w:val="00B82842"/>
    <w:rsid w:val="00B84042"/>
    <w:rsid w:val="00B8547F"/>
    <w:rsid w:val="00B85516"/>
    <w:rsid w:val="00B85B72"/>
    <w:rsid w:val="00B87670"/>
    <w:rsid w:val="00B92356"/>
    <w:rsid w:val="00B931A6"/>
    <w:rsid w:val="00B95D19"/>
    <w:rsid w:val="00B968D0"/>
    <w:rsid w:val="00BA1776"/>
    <w:rsid w:val="00BA22F4"/>
    <w:rsid w:val="00BA242C"/>
    <w:rsid w:val="00BA2912"/>
    <w:rsid w:val="00BA2C27"/>
    <w:rsid w:val="00BA3CF3"/>
    <w:rsid w:val="00BA55F0"/>
    <w:rsid w:val="00BA59F9"/>
    <w:rsid w:val="00BB0269"/>
    <w:rsid w:val="00BB0344"/>
    <w:rsid w:val="00BB1FC7"/>
    <w:rsid w:val="00BB3440"/>
    <w:rsid w:val="00BB798B"/>
    <w:rsid w:val="00BB79BA"/>
    <w:rsid w:val="00BC3412"/>
    <w:rsid w:val="00BC5381"/>
    <w:rsid w:val="00BC5FBE"/>
    <w:rsid w:val="00BC7553"/>
    <w:rsid w:val="00BD167B"/>
    <w:rsid w:val="00BD2F13"/>
    <w:rsid w:val="00BD5484"/>
    <w:rsid w:val="00BD7571"/>
    <w:rsid w:val="00BD7B97"/>
    <w:rsid w:val="00BE3999"/>
    <w:rsid w:val="00BF0C29"/>
    <w:rsid w:val="00BF1851"/>
    <w:rsid w:val="00BF18C9"/>
    <w:rsid w:val="00BF3A1F"/>
    <w:rsid w:val="00BF7C97"/>
    <w:rsid w:val="00C00A25"/>
    <w:rsid w:val="00C00CFD"/>
    <w:rsid w:val="00C018AE"/>
    <w:rsid w:val="00C0224D"/>
    <w:rsid w:val="00C0494C"/>
    <w:rsid w:val="00C067E6"/>
    <w:rsid w:val="00C10FBD"/>
    <w:rsid w:val="00C1388A"/>
    <w:rsid w:val="00C14025"/>
    <w:rsid w:val="00C22008"/>
    <w:rsid w:val="00C22325"/>
    <w:rsid w:val="00C23379"/>
    <w:rsid w:val="00C24ADE"/>
    <w:rsid w:val="00C253C1"/>
    <w:rsid w:val="00C25E92"/>
    <w:rsid w:val="00C26B92"/>
    <w:rsid w:val="00C27BF5"/>
    <w:rsid w:val="00C307ED"/>
    <w:rsid w:val="00C3088B"/>
    <w:rsid w:val="00C31701"/>
    <w:rsid w:val="00C31818"/>
    <w:rsid w:val="00C356F5"/>
    <w:rsid w:val="00C35B73"/>
    <w:rsid w:val="00C3614A"/>
    <w:rsid w:val="00C3686E"/>
    <w:rsid w:val="00C40525"/>
    <w:rsid w:val="00C40DA6"/>
    <w:rsid w:val="00C42FBA"/>
    <w:rsid w:val="00C439BB"/>
    <w:rsid w:val="00C43AD3"/>
    <w:rsid w:val="00C47693"/>
    <w:rsid w:val="00C47E19"/>
    <w:rsid w:val="00C5014F"/>
    <w:rsid w:val="00C50A40"/>
    <w:rsid w:val="00C51613"/>
    <w:rsid w:val="00C51F4F"/>
    <w:rsid w:val="00C525AD"/>
    <w:rsid w:val="00C53A53"/>
    <w:rsid w:val="00C542BB"/>
    <w:rsid w:val="00C55412"/>
    <w:rsid w:val="00C55F95"/>
    <w:rsid w:val="00C56361"/>
    <w:rsid w:val="00C569CC"/>
    <w:rsid w:val="00C6099F"/>
    <w:rsid w:val="00C609FE"/>
    <w:rsid w:val="00C61FA1"/>
    <w:rsid w:val="00C62252"/>
    <w:rsid w:val="00C62E2B"/>
    <w:rsid w:val="00C6419D"/>
    <w:rsid w:val="00C66211"/>
    <w:rsid w:val="00C669E7"/>
    <w:rsid w:val="00C67A34"/>
    <w:rsid w:val="00C700BD"/>
    <w:rsid w:val="00C728CD"/>
    <w:rsid w:val="00C73A10"/>
    <w:rsid w:val="00C74096"/>
    <w:rsid w:val="00C74C9C"/>
    <w:rsid w:val="00C75CE1"/>
    <w:rsid w:val="00C80ACE"/>
    <w:rsid w:val="00C810D6"/>
    <w:rsid w:val="00C8117A"/>
    <w:rsid w:val="00C91224"/>
    <w:rsid w:val="00C9267D"/>
    <w:rsid w:val="00CA024D"/>
    <w:rsid w:val="00CA1225"/>
    <w:rsid w:val="00CA1DBC"/>
    <w:rsid w:val="00CA2908"/>
    <w:rsid w:val="00CA7744"/>
    <w:rsid w:val="00CB0404"/>
    <w:rsid w:val="00CB06B9"/>
    <w:rsid w:val="00CB154C"/>
    <w:rsid w:val="00CB2A0C"/>
    <w:rsid w:val="00CB3233"/>
    <w:rsid w:val="00CB466D"/>
    <w:rsid w:val="00CC2043"/>
    <w:rsid w:val="00CC4D53"/>
    <w:rsid w:val="00CD1698"/>
    <w:rsid w:val="00CD22E0"/>
    <w:rsid w:val="00CD2B88"/>
    <w:rsid w:val="00CD3AA2"/>
    <w:rsid w:val="00CD40A5"/>
    <w:rsid w:val="00CD56C9"/>
    <w:rsid w:val="00CE0EA0"/>
    <w:rsid w:val="00CE1BF0"/>
    <w:rsid w:val="00CE3580"/>
    <w:rsid w:val="00CE6570"/>
    <w:rsid w:val="00CF2DE2"/>
    <w:rsid w:val="00CF4444"/>
    <w:rsid w:val="00CF46C8"/>
    <w:rsid w:val="00D00459"/>
    <w:rsid w:val="00D048B7"/>
    <w:rsid w:val="00D04B29"/>
    <w:rsid w:val="00D0622B"/>
    <w:rsid w:val="00D06756"/>
    <w:rsid w:val="00D105A8"/>
    <w:rsid w:val="00D10FB1"/>
    <w:rsid w:val="00D11316"/>
    <w:rsid w:val="00D11476"/>
    <w:rsid w:val="00D1187C"/>
    <w:rsid w:val="00D1301F"/>
    <w:rsid w:val="00D14762"/>
    <w:rsid w:val="00D147CB"/>
    <w:rsid w:val="00D159DD"/>
    <w:rsid w:val="00D15CA4"/>
    <w:rsid w:val="00D17262"/>
    <w:rsid w:val="00D20E75"/>
    <w:rsid w:val="00D22A5A"/>
    <w:rsid w:val="00D23F6C"/>
    <w:rsid w:val="00D24860"/>
    <w:rsid w:val="00D25EAA"/>
    <w:rsid w:val="00D25FF8"/>
    <w:rsid w:val="00D339F2"/>
    <w:rsid w:val="00D33CBC"/>
    <w:rsid w:val="00D372F8"/>
    <w:rsid w:val="00D3745A"/>
    <w:rsid w:val="00D37BC6"/>
    <w:rsid w:val="00D43C9C"/>
    <w:rsid w:val="00D45158"/>
    <w:rsid w:val="00D45B97"/>
    <w:rsid w:val="00D45DB3"/>
    <w:rsid w:val="00D46860"/>
    <w:rsid w:val="00D46C56"/>
    <w:rsid w:val="00D47F37"/>
    <w:rsid w:val="00D47F85"/>
    <w:rsid w:val="00D509D0"/>
    <w:rsid w:val="00D50F7A"/>
    <w:rsid w:val="00D52F8F"/>
    <w:rsid w:val="00D53303"/>
    <w:rsid w:val="00D5530F"/>
    <w:rsid w:val="00D562E0"/>
    <w:rsid w:val="00D57C4E"/>
    <w:rsid w:val="00D602F7"/>
    <w:rsid w:val="00D64DB9"/>
    <w:rsid w:val="00D663D0"/>
    <w:rsid w:val="00D66DAC"/>
    <w:rsid w:val="00D70382"/>
    <w:rsid w:val="00D72790"/>
    <w:rsid w:val="00D73827"/>
    <w:rsid w:val="00D8092A"/>
    <w:rsid w:val="00D8095B"/>
    <w:rsid w:val="00D81019"/>
    <w:rsid w:val="00D85A2F"/>
    <w:rsid w:val="00DA103F"/>
    <w:rsid w:val="00DA1653"/>
    <w:rsid w:val="00DA2712"/>
    <w:rsid w:val="00DA382A"/>
    <w:rsid w:val="00DA5EEA"/>
    <w:rsid w:val="00DA71BA"/>
    <w:rsid w:val="00DB2E04"/>
    <w:rsid w:val="00DB2F87"/>
    <w:rsid w:val="00DB3053"/>
    <w:rsid w:val="00DB7A4C"/>
    <w:rsid w:val="00DC1BC1"/>
    <w:rsid w:val="00DC1C25"/>
    <w:rsid w:val="00DC2EBA"/>
    <w:rsid w:val="00DC55B9"/>
    <w:rsid w:val="00DC5779"/>
    <w:rsid w:val="00DC6BFC"/>
    <w:rsid w:val="00DC703A"/>
    <w:rsid w:val="00DC75BC"/>
    <w:rsid w:val="00DC7AFB"/>
    <w:rsid w:val="00DD1758"/>
    <w:rsid w:val="00DD3182"/>
    <w:rsid w:val="00DD3D1A"/>
    <w:rsid w:val="00DD4FAB"/>
    <w:rsid w:val="00DD6A09"/>
    <w:rsid w:val="00DD6B76"/>
    <w:rsid w:val="00DD6ECD"/>
    <w:rsid w:val="00DE39CB"/>
    <w:rsid w:val="00DE3D81"/>
    <w:rsid w:val="00DE4617"/>
    <w:rsid w:val="00DE5553"/>
    <w:rsid w:val="00DF021D"/>
    <w:rsid w:val="00DF11EE"/>
    <w:rsid w:val="00DF12F7"/>
    <w:rsid w:val="00DF2125"/>
    <w:rsid w:val="00DF4F3E"/>
    <w:rsid w:val="00DF53F6"/>
    <w:rsid w:val="00DF6F17"/>
    <w:rsid w:val="00E00513"/>
    <w:rsid w:val="00E006E6"/>
    <w:rsid w:val="00E01A9E"/>
    <w:rsid w:val="00E03848"/>
    <w:rsid w:val="00E05795"/>
    <w:rsid w:val="00E1038D"/>
    <w:rsid w:val="00E104C9"/>
    <w:rsid w:val="00E13925"/>
    <w:rsid w:val="00E2142F"/>
    <w:rsid w:val="00E214D0"/>
    <w:rsid w:val="00E21F8A"/>
    <w:rsid w:val="00E22A6C"/>
    <w:rsid w:val="00E244AF"/>
    <w:rsid w:val="00E24895"/>
    <w:rsid w:val="00E2539C"/>
    <w:rsid w:val="00E2569E"/>
    <w:rsid w:val="00E3169F"/>
    <w:rsid w:val="00E32887"/>
    <w:rsid w:val="00E32948"/>
    <w:rsid w:val="00E32C7D"/>
    <w:rsid w:val="00E346B1"/>
    <w:rsid w:val="00E359B5"/>
    <w:rsid w:val="00E36AA8"/>
    <w:rsid w:val="00E40059"/>
    <w:rsid w:val="00E40D51"/>
    <w:rsid w:val="00E420F7"/>
    <w:rsid w:val="00E4231D"/>
    <w:rsid w:val="00E43576"/>
    <w:rsid w:val="00E459AC"/>
    <w:rsid w:val="00E47405"/>
    <w:rsid w:val="00E47B97"/>
    <w:rsid w:val="00E50C32"/>
    <w:rsid w:val="00E510BE"/>
    <w:rsid w:val="00E517CC"/>
    <w:rsid w:val="00E54A40"/>
    <w:rsid w:val="00E56158"/>
    <w:rsid w:val="00E57EED"/>
    <w:rsid w:val="00E607AE"/>
    <w:rsid w:val="00E6175B"/>
    <w:rsid w:val="00E61A9D"/>
    <w:rsid w:val="00E62151"/>
    <w:rsid w:val="00E645BC"/>
    <w:rsid w:val="00E67096"/>
    <w:rsid w:val="00E70589"/>
    <w:rsid w:val="00E70694"/>
    <w:rsid w:val="00E71B6A"/>
    <w:rsid w:val="00E720AE"/>
    <w:rsid w:val="00E733BC"/>
    <w:rsid w:val="00E763D5"/>
    <w:rsid w:val="00E804F2"/>
    <w:rsid w:val="00E82776"/>
    <w:rsid w:val="00E8398F"/>
    <w:rsid w:val="00E8455A"/>
    <w:rsid w:val="00E91D71"/>
    <w:rsid w:val="00E925C0"/>
    <w:rsid w:val="00E92781"/>
    <w:rsid w:val="00EA46AD"/>
    <w:rsid w:val="00EA5102"/>
    <w:rsid w:val="00EA530C"/>
    <w:rsid w:val="00EA57FA"/>
    <w:rsid w:val="00EA629E"/>
    <w:rsid w:val="00EA62DD"/>
    <w:rsid w:val="00EB11FA"/>
    <w:rsid w:val="00EB1CB7"/>
    <w:rsid w:val="00EB222E"/>
    <w:rsid w:val="00EB3B0D"/>
    <w:rsid w:val="00EB3D03"/>
    <w:rsid w:val="00EB3DB3"/>
    <w:rsid w:val="00EB45C2"/>
    <w:rsid w:val="00EB5600"/>
    <w:rsid w:val="00EB5948"/>
    <w:rsid w:val="00EC1D5C"/>
    <w:rsid w:val="00EC2208"/>
    <w:rsid w:val="00EC2F69"/>
    <w:rsid w:val="00EC3EEF"/>
    <w:rsid w:val="00EC4FE2"/>
    <w:rsid w:val="00EC6FC6"/>
    <w:rsid w:val="00ED1CF9"/>
    <w:rsid w:val="00ED2447"/>
    <w:rsid w:val="00ED2AB9"/>
    <w:rsid w:val="00ED34EF"/>
    <w:rsid w:val="00ED3F9F"/>
    <w:rsid w:val="00EE0EC7"/>
    <w:rsid w:val="00EE196F"/>
    <w:rsid w:val="00EE1EB7"/>
    <w:rsid w:val="00EE256A"/>
    <w:rsid w:val="00EE3B29"/>
    <w:rsid w:val="00EE538D"/>
    <w:rsid w:val="00EE5F18"/>
    <w:rsid w:val="00EF6A1B"/>
    <w:rsid w:val="00EF7781"/>
    <w:rsid w:val="00F00102"/>
    <w:rsid w:val="00F01237"/>
    <w:rsid w:val="00F025B5"/>
    <w:rsid w:val="00F03B79"/>
    <w:rsid w:val="00F046F7"/>
    <w:rsid w:val="00F06B9F"/>
    <w:rsid w:val="00F0741A"/>
    <w:rsid w:val="00F10271"/>
    <w:rsid w:val="00F10D4D"/>
    <w:rsid w:val="00F1172F"/>
    <w:rsid w:val="00F12193"/>
    <w:rsid w:val="00F14C3F"/>
    <w:rsid w:val="00F150BE"/>
    <w:rsid w:val="00F15610"/>
    <w:rsid w:val="00F163D0"/>
    <w:rsid w:val="00F17AD9"/>
    <w:rsid w:val="00F20329"/>
    <w:rsid w:val="00F20604"/>
    <w:rsid w:val="00F2234A"/>
    <w:rsid w:val="00F239D0"/>
    <w:rsid w:val="00F23A1B"/>
    <w:rsid w:val="00F243E7"/>
    <w:rsid w:val="00F25FE0"/>
    <w:rsid w:val="00F27367"/>
    <w:rsid w:val="00F32E6B"/>
    <w:rsid w:val="00F3459D"/>
    <w:rsid w:val="00F3633A"/>
    <w:rsid w:val="00F36E4E"/>
    <w:rsid w:val="00F37033"/>
    <w:rsid w:val="00F37048"/>
    <w:rsid w:val="00F37D79"/>
    <w:rsid w:val="00F42CA2"/>
    <w:rsid w:val="00F4300B"/>
    <w:rsid w:val="00F44C01"/>
    <w:rsid w:val="00F508B4"/>
    <w:rsid w:val="00F50BA8"/>
    <w:rsid w:val="00F515B6"/>
    <w:rsid w:val="00F5417B"/>
    <w:rsid w:val="00F541CD"/>
    <w:rsid w:val="00F543F5"/>
    <w:rsid w:val="00F602E9"/>
    <w:rsid w:val="00F61429"/>
    <w:rsid w:val="00F61EB9"/>
    <w:rsid w:val="00F6374A"/>
    <w:rsid w:val="00F64D7B"/>
    <w:rsid w:val="00F72149"/>
    <w:rsid w:val="00F76572"/>
    <w:rsid w:val="00F800CB"/>
    <w:rsid w:val="00F80122"/>
    <w:rsid w:val="00F8049F"/>
    <w:rsid w:val="00F8061F"/>
    <w:rsid w:val="00F82790"/>
    <w:rsid w:val="00F83038"/>
    <w:rsid w:val="00F84393"/>
    <w:rsid w:val="00F85ADF"/>
    <w:rsid w:val="00F868E2"/>
    <w:rsid w:val="00F8717A"/>
    <w:rsid w:val="00F876A6"/>
    <w:rsid w:val="00F91A49"/>
    <w:rsid w:val="00F94687"/>
    <w:rsid w:val="00FA00B7"/>
    <w:rsid w:val="00FA1715"/>
    <w:rsid w:val="00FA1C9C"/>
    <w:rsid w:val="00FA379D"/>
    <w:rsid w:val="00FA3E99"/>
    <w:rsid w:val="00FA4042"/>
    <w:rsid w:val="00FA427C"/>
    <w:rsid w:val="00FA6434"/>
    <w:rsid w:val="00FA65AF"/>
    <w:rsid w:val="00FA6D7F"/>
    <w:rsid w:val="00FB212F"/>
    <w:rsid w:val="00FB2BAA"/>
    <w:rsid w:val="00FB63CB"/>
    <w:rsid w:val="00FB7D5E"/>
    <w:rsid w:val="00FC19D8"/>
    <w:rsid w:val="00FC1D2F"/>
    <w:rsid w:val="00FC684C"/>
    <w:rsid w:val="00FC7D2C"/>
    <w:rsid w:val="00FD046F"/>
    <w:rsid w:val="00FD2493"/>
    <w:rsid w:val="00FD2E12"/>
    <w:rsid w:val="00FD3495"/>
    <w:rsid w:val="00FD5A1C"/>
    <w:rsid w:val="00FE059B"/>
    <w:rsid w:val="00FE45E6"/>
    <w:rsid w:val="00FE7340"/>
    <w:rsid w:val="00FF05F1"/>
    <w:rsid w:val="00FF1C1B"/>
    <w:rsid w:val="00FF1C3C"/>
    <w:rsid w:val="00FF1F9D"/>
    <w:rsid w:val="00FF4C95"/>
    <w:rsid w:val="00FF6B69"/>
    <w:rsid w:val="0BFC5605"/>
    <w:rsid w:val="3CF77620"/>
    <w:rsid w:val="72EE608F"/>
    <w:rsid w:val="7AF4482A"/>
  </w:rsids>
  <m:mathPr>
    <m:mathFont m:val="Cambria Math"/>
    <m:brkBin m:val="before"/>
    <m:brkBinSub m:val="--"/>
    <m:smallFrac m:val="0"/>
    <m:dispDef/>
    <m:lMargin m:val="0"/>
    <m:rMargin m:val="0"/>
    <m:defJc m:val="centerGroup"/>
    <m:wrapIndent m:val="1440"/>
    <m:intLim m:val="subSup"/>
    <m:naryLim m:val="undOvr"/>
  </m:mathPr>
  <w:themeFontLang w:val="en-I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88C54"/>
  <w15:chartTrackingRefBased/>
  <w15:docId w15:val="{B3C43DAD-A8D6-0445-8AC1-D4D49E9D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3D0C"/>
    <w:pPr>
      <w:bidi/>
    </w:pPr>
    <w:rPr>
      <w:rFonts w:ascii="Calibri" w:eastAsia="Times New Roman" w:hAnsi="Calibri" w:cs="Arial"/>
      <w:sz w:val="22"/>
      <w:szCs w:val="22"/>
    </w:rPr>
  </w:style>
  <w:style w:type="paragraph" w:styleId="Heading2">
    <w:name w:val="heading 2"/>
    <w:basedOn w:val="Normal"/>
    <w:link w:val="Heading2Char"/>
    <w:uiPriority w:val="9"/>
    <w:qFormat/>
    <w:rsid w:val="007E48B3"/>
    <w:pPr>
      <w:bidi w:val="0"/>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F08C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73D0C"/>
    <w:pPr>
      <w:ind w:left="720"/>
      <w:contextualSpacing/>
    </w:pPr>
  </w:style>
  <w:style w:type="character" w:customStyle="1" w:styleId="ListParagraphChar">
    <w:name w:val="List Paragraph Char"/>
    <w:link w:val="ListParagraph"/>
    <w:uiPriority w:val="34"/>
    <w:locked/>
    <w:rsid w:val="00073D0C"/>
    <w:rPr>
      <w:rFonts w:ascii="Calibri" w:eastAsia="Times New Roman" w:hAnsi="Calibri" w:cs="Arial"/>
      <w:sz w:val="22"/>
      <w:szCs w:val="22"/>
      <w:lang w:val="en-US"/>
    </w:rPr>
  </w:style>
  <w:style w:type="paragraph" w:customStyle="1" w:styleId="Default">
    <w:name w:val="Default"/>
    <w:rsid w:val="00073D0C"/>
    <w:pPr>
      <w:autoSpaceDE w:val="0"/>
      <w:autoSpaceDN w:val="0"/>
      <w:adjustRightInd w:val="0"/>
    </w:pPr>
    <w:rPr>
      <w:rFonts w:ascii="Times New Roman" w:hAnsi="Times New Roman" w:cs="Times New Roman"/>
      <w:color w:val="000000"/>
    </w:rPr>
  </w:style>
  <w:style w:type="paragraph" w:customStyle="1" w:styleId="paragraph">
    <w:name w:val="paragraph"/>
    <w:basedOn w:val="Normal"/>
    <w:rsid w:val="00C67A34"/>
    <w:pPr>
      <w:bidi w:val="0"/>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C67A34"/>
  </w:style>
  <w:style w:type="character" w:customStyle="1" w:styleId="eop">
    <w:name w:val="eop"/>
    <w:basedOn w:val="DefaultParagraphFont"/>
    <w:rsid w:val="00EF7781"/>
  </w:style>
  <w:style w:type="character" w:customStyle="1" w:styleId="spellingerror">
    <w:name w:val="spellingerror"/>
    <w:basedOn w:val="DefaultParagraphFont"/>
    <w:rsid w:val="00EF7781"/>
  </w:style>
  <w:style w:type="character" w:styleId="Hyperlink">
    <w:name w:val="Hyperlink"/>
    <w:basedOn w:val="DefaultParagraphFont"/>
    <w:uiPriority w:val="99"/>
    <w:unhideWhenUsed/>
    <w:rsid w:val="00C47693"/>
    <w:rPr>
      <w:color w:val="0000FF"/>
      <w:u w:val="single"/>
    </w:rPr>
  </w:style>
  <w:style w:type="character" w:styleId="FootnoteReference">
    <w:name w:val="footnote reference"/>
    <w:aliases w:val="Footnote Reference Superscript,Footnote symbol,Footnote Reference Number,Footnote Reference_LVL6,Footnote Reference_LVL61,Footnote Reference_LVL62,Footnote Reference_LVL63,Footnote Reference_LVL64,fr,SUPERS"/>
    <w:basedOn w:val="DefaultParagraphFont"/>
    <w:uiPriority w:val="99"/>
    <w:unhideWhenUsed/>
    <w:rsid w:val="00C47693"/>
    <w:rPr>
      <w:vertAlign w:val="superscript"/>
    </w:rPr>
  </w:style>
  <w:style w:type="paragraph" w:styleId="FootnoteText">
    <w:name w:val="footnote text"/>
    <w:aliases w:val="טקסט הערות שוליים תו2,טקסט הערות שוליים תו1 תו,טקסט הערות שוליים תו תו תו,תו תו תו תו,טקסט הערות שוליים תו תו1,תו תו תו1,Footnote Text תו, תו תו תו תו, תו תו תו1,fn,fn Char,single space"/>
    <w:basedOn w:val="Normal"/>
    <w:link w:val="FootnoteTextChar"/>
    <w:uiPriority w:val="99"/>
    <w:rsid w:val="00C47693"/>
    <w:rPr>
      <w:rFonts w:ascii="Times New Roman" w:hAnsi="Times New Roman" w:cs="Times New Roman"/>
      <w:sz w:val="20"/>
      <w:szCs w:val="20"/>
    </w:rPr>
  </w:style>
  <w:style w:type="character" w:customStyle="1" w:styleId="FootnoteTextChar">
    <w:name w:val="Footnote Text Char"/>
    <w:aliases w:val="טקסט הערות שוליים תו2 Char,טקסט הערות שוליים תו1 תו Char,טקסט הערות שוליים תו תו תו Char,תו תו תו תו Char,טקסט הערות שוליים תו תו1 Char,תו תו תו1 Char,Footnote Text תו Char, תו תו תו תו Char, תו תו תו1 Char,fn Char1,fn Char Char"/>
    <w:basedOn w:val="DefaultParagraphFont"/>
    <w:link w:val="FootnoteText"/>
    <w:uiPriority w:val="99"/>
    <w:rsid w:val="00C47693"/>
    <w:rPr>
      <w:rFonts w:ascii="Times New Roman" w:eastAsia="Times New Roman" w:hAnsi="Times New Roman" w:cs="Times New Roman"/>
      <w:sz w:val="20"/>
      <w:szCs w:val="20"/>
      <w:lang w:val="en-US"/>
    </w:rPr>
  </w:style>
  <w:style w:type="table" w:styleId="TableGrid">
    <w:name w:val="Table Grid"/>
    <w:basedOn w:val="TableNormal"/>
    <w:uiPriority w:val="39"/>
    <w:rsid w:val="008630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E48B3"/>
    <w:rPr>
      <w:rFonts w:ascii="Times New Roman" w:eastAsia="Times New Roman" w:hAnsi="Times New Roman" w:cs="Times New Roman"/>
      <w:b/>
      <w:bCs/>
      <w:sz w:val="36"/>
      <w:szCs w:val="36"/>
      <w:lang w:val="en-US"/>
    </w:rPr>
  </w:style>
  <w:style w:type="character" w:customStyle="1" w:styleId="mord">
    <w:name w:val="mord"/>
    <w:basedOn w:val="DefaultParagraphFont"/>
    <w:rsid w:val="007E48B3"/>
  </w:style>
  <w:style w:type="paragraph" w:styleId="Header">
    <w:name w:val="header"/>
    <w:basedOn w:val="Normal"/>
    <w:link w:val="HeaderChar"/>
    <w:uiPriority w:val="99"/>
    <w:unhideWhenUsed/>
    <w:rsid w:val="007E48B3"/>
    <w:pPr>
      <w:tabs>
        <w:tab w:val="center" w:pos="4153"/>
        <w:tab w:val="right" w:pos="8306"/>
      </w:tabs>
    </w:pPr>
  </w:style>
  <w:style w:type="character" w:customStyle="1" w:styleId="HeaderChar">
    <w:name w:val="Header Char"/>
    <w:basedOn w:val="DefaultParagraphFont"/>
    <w:link w:val="Header"/>
    <w:uiPriority w:val="99"/>
    <w:rsid w:val="007E48B3"/>
    <w:rPr>
      <w:rFonts w:ascii="Calibri" w:eastAsia="Times New Roman" w:hAnsi="Calibri" w:cs="Arial"/>
      <w:sz w:val="22"/>
      <w:szCs w:val="22"/>
      <w:lang w:val="en-US"/>
    </w:rPr>
  </w:style>
  <w:style w:type="paragraph" w:styleId="Footer">
    <w:name w:val="footer"/>
    <w:basedOn w:val="Normal"/>
    <w:link w:val="FooterChar"/>
    <w:uiPriority w:val="99"/>
    <w:unhideWhenUsed/>
    <w:rsid w:val="007E48B3"/>
    <w:pPr>
      <w:tabs>
        <w:tab w:val="center" w:pos="4153"/>
        <w:tab w:val="right" w:pos="8306"/>
      </w:tabs>
    </w:pPr>
  </w:style>
  <w:style w:type="character" w:customStyle="1" w:styleId="FooterChar">
    <w:name w:val="Footer Char"/>
    <w:basedOn w:val="DefaultParagraphFont"/>
    <w:link w:val="Footer"/>
    <w:uiPriority w:val="99"/>
    <w:rsid w:val="007E48B3"/>
    <w:rPr>
      <w:rFonts w:ascii="Calibri" w:eastAsia="Times New Roman" w:hAnsi="Calibri" w:cs="Arial"/>
      <w:sz w:val="22"/>
      <w:szCs w:val="22"/>
      <w:lang w:val="en-US"/>
    </w:rPr>
  </w:style>
  <w:style w:type="paragraph" w:styleId="NormalWeb">
    <w:name w:val="Normal (Web)"/>
    <w:basedOn w:val="Normal"/>
    <w:uiPriority w:val="99"/>
    <w:semiHidden/>
    <w:unhideWhenUsed/>
    <w:rsid w:val="007E48B3"/>
    <w:pPr>
      <w:bidi w:val="0"/>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7E48B3"/>
    <w:rPr>
      <w:b/>
      <w:bCs/>
    </w:rPr>
  </w:style>
  <w:style w:type="character" w:styleId="UnresolvedMention">
    <w:name w:val="Unresolved Mention"/>
    <w:basedOn w:val="DefaultParagraphFont"/>
    <w:uiPriority w:val="99"/>
    <w:semiHidden/>
    <w:unhideWhenUsed/>
    <w:rsid w:val="007E48B3"/>
    <w:rPr>
      <w:color w:val="605E5C"/>
      <w:shd w:val="clear" w:color="auto" w:fill="E1DFDD"/>
    </w:rPr>
  </w:style>
  <w:style w:type="character" w:styleId="FollowedHyperlink">
    <w:name w:val="FollowedHyperlink"/>
    <w:basedOn w:val="DefaultParagraphFont"/>
    <w:uiPriority w:val="99"/>
    <w:semiHidden/>
    <w:unhideWhenUsed/>
    <w:rsid w:val="007E48B3"/>
    <w:rPr>
      <w:color w:val="954F72" w:themeColor="followedHyperlink"/>
      <w:u w:val="single"/>
    </w:rPr>
  </w:style>
  <w:style w:type="character" w:styleId="Emphasis">
    <w:name w:val="Emphasis"/>
    <w:basedOn w:val="DefaultParagraphFont"/>
    <w:uiPriority w:val="20"/>
    <w:qFormat/>
    <w:rsid w:val="00670182"/>
    <w:rPr>
      <w:i/>
      <w:iCs/>
    </w:rPr>
  </w:style>
  <w:style w:type="character" w:customStyle="1" w:styleId="Heading3Char">
    <w:name w:val="Heading 3 Char"/>
    <w:basedOn w:val="DefaultParagraphFont"/>
    <w:link w:val="Heading3"/>
    <w:uiPriority w:val="9"/>
    <w:semiHidden/>
    <w:rsid w:val="003F08C3"/>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45157">
      <w:bodyDiv w:val="1"/>
      <w:marLeft w:val="0"/>
      <w:marRight w:val="0"/>
      <w:marTop w:val="0"/>
      <w:marBottom w:val="0"/>
      <w:divBdr>
        <w:top w:val="none" w:sz="0" w:space="0" w:color="auto"/>
        <w:left w:val="none" w:sz="0" w:space="0" w:color="auto"/>
        <w:bottom w:val="none" w:sz="0" w:space="0" w:color="auto"/>
        <w:right w:val="none" w:sz="0" w:space="0" w:color="auto"/>
      </w:divBdr>
      <w:divsChild>
        <w:div w:id="1089618922">
          <w:marLeft w:val="0"/>
          <w:marRight w:val="0"/>
          <w:marTop w:val="0"/>
          <w:marBottom w:val="0"/>
          <w:divBdr>
            <w:top w:val="none" w:sz="0" w:space="0" w:color="auto"/>
            <w:left w:val="none" w:sz="0" w:space="0" w:color="auto"/>
            <w:bottom w:val="none" w:sz="0" w:space="0" w:color="auto"/>
            <w:right w:val="none" w:sz="0" w:space="0" w:color="auto"/>
          </w:divBdr>
        </w:div>
      </w:divsChild>
    </w:div>
    <w:div w:id="430858609">
      <w:bodyDiv w:val="1"/>
      <w:marLeft w:val="0"/>
      <w:marRight w:val="0"/>
      <w:marTop w:val="0"/>
      <w:marBottom w:val="0"/>
      <w:divBdr>
        <w:top w:val="none" w:sz="0" w:space="0" w:color="auto"/>
        <w:left w:val="none" w:sz="0" w:space="0" w:color="auto"/>
        <w:bottom w:val="none" w:sz="0" w:space="0" w:color="auto"/>
        <w:right w:val="none" w:sz="0" w:space="0" w:color="auto"/>
      </w:divBdr>
      <w:divsChild>
        <w:div w:id="646713079">
          <w:marLeft w:val="0"/>
          <w:marRight w:val="0"/>
          <w:marTop w:val="0"/>
          <w:marBottom w:val="0"/>
          <w:divBdr>
            <w:top w:val="none" w:sz="0" w:space="0" w:color="auto"/>
            <w:left w:val="none" w:sz="0" w:space="0" w:color="auto"/>
            <w:bottom w:val="none" w:sz="0" w:space="0" w:color="auto"/>
            <w:right w:val="none" w:sz="0" w:space="0" w:color="auto"/>
          </w:divBdr>
        </w:div>
      </w:divsChild>
    </w:div>
    <w:div w:id="502477105">
      <w:bodyDiv w:val="1"/>
      <w:marLeft w:val="0"/>
      <w:marRight w:val="0"/>
      <w:marTop w:val="0"/>
      <w:marBottom w:val="0"/>
      <w:divBdr>
        <w:top w:val="none" w:sz="0" w:space="0" w:color="auto"/>
        <w:left w:val="none" w:sz="0" w:space="0" w:color="auto"/>
        <w:bottom w:val="none" w:sz="0" w:space="0" w:color="auto"/>
        <w:right w:val="none" w:sz="0" w:space="0" w:color="auto"/>
      </w:divBdr>
      <w:divsChild>
        <w:div w:id="734165058">
          <w:marLeft w:val="0"/>
          <w:marRight w:val="0"/>
          <w:marTop w:val="0"/>
          <w:marBottom w:val="0"/>
          <w:divBdr>
            <w:top w:val="none" w:sz="0" w:space="0" w:color="auto"/>
            <w:left w:val="none" w:sz="0" w:space="0" w:color="auto"/>
            <w:bottom w:val="none" w:sz="0" w:space="0" w:color="auto"/>
            <w:right w:val="none" w:sz="0" w:space="0" w:color="auto"/>
          </w:divBdr>
        </w:div>
      </w:divsChild>
    </w:div>
    <w:div w:id="1078094696">
      <w:bodyDiv w:val="1"/>
      <w:marLeft w:val="0"/>
      <w:marRight w:val="0"/>
      <w:marTop w:val="0"/>
      <w:marBottom w:val="0"/>
      <w:divBdr>
        <w:top w:val="none" w:sz="0" w:space="0" w:color="auto"/>
        <w:left w:val="none" w:sz="0" w:space="0" w:color="auto"/>
        <w:bottom w:val="none" w:sz="0" w:space="0" w:color="auto"/>
        <w:right w:val="none" w:sz="0" w:space="0" w:color="auto"/>
      </w:divBdr>
      <w:divsChild>
        <w:div w:id="980498878">
          <w:marLeft w:val="0"/>
          <w:marRight w:val="0"/>
          <w:marTop w:val="0"/>
          <w:marBottom w:val="0"/>
          <w:divBdr>
            <w:top w:val="none" w:sz="0" w:space="0" w:color="auto"/>
            <w:left w:val="none" w:sz="0" w:space="0" w:color="auto"/>
            <w:bottom w:val="none" w:sz="0" w:space="0" w:color="auto"/>
            <w:right w:val="none" w:sz="0" w:space="0" w:color="auto"/>
          </w:divBdr>
        </w:div>
      </w:divsChild>
    </w:div>
    <w:div w:id="1306163887">
      <w:bodyDiv w:val="1"/>
      <w:marLeft w:val="0"/>
      <w:marRight w:val="0"/>
      <w:marTop w:val="0"/>
      <w:marBottom w:val="0"/>
      <w:divBdr>
        <w:top w:val="none" w:sz="0" w:space="0" w:color="auto"/>
        <w:left w:val="none" w:sz="0" w:space="0" w:color="auto"/>
        <w:bottom w:val="none" w:sz="0" w:space="0" w:color="auto"/>
        <w:right w:val="none" w:sz="0" w:space="0" w:color="auto"/>
      </w:divBdr>
      <w:divsChild>
        <w:div w:id="949627809">
          <w:marLeft w:val="0"/>
          <w:marRight w:val="0"/>
          <w:marTop w:val="0"/>
          <w:marBottom w:val="0"/>
          <w:divBdr>
            <w:top w:val="none" w:sz="0" w:space="0" w:color="auto"/>
            <w:left w:val="none" w:sz="0" w:space="0" w:color="auto"/>
            <w:bottom w:val="none" w:sz="0" w:space="0" w:color="auto"/>
            <w:right w:val="none" w:sz="0" w:space="0" w:color="auto"/>
          </w:divBdr>
        </w:div>
      </w:divsChild>
    </w:div>
    <w:div w:id="1604387087">
      <w:bodyDiv w:val="1"/>
      <w:marLeft w:val="0"/>
      <w:marRight w:val="0"/>
      <w:marTop w:val="0"/>
      <w:marBottom w:val="0"/>
      <w:divBdr>
        <w:top w:val="none" w:sz="0" w:space="0" w:color="auto"/>
        <w:left w:val="none" w:sz="0" w:space="0" w:color="auto"/>
        <w:bottom w:val="none" w:sz="0" w:space="0" w:color="auto"/>
        <w:right w:val="none" w:sz="0" w:space="0" w:color="auto"/>
      </w:divBdr>
    </w:div>
    <w:div w:id="2007901391">
      <w:bodyDiv w:val="1"/>
      <w:marLeft w:val="0"/>
      <w:marRight w:val="0"/>
      <w:marTop w:val="0"/>
      <w:marBottom w:val="0"/>
      <w:divBdr>
        <w:top w:val="none" w:sz="0" w:space="0" w:color="auto"/>
        <w:left w:val="none" w:sz="0" w:space="0" w:color="auto"/>
        <w:bottom w:val="none" w:sz="0" w:space="0" w:color="auto"/>
        <w:right w:val="none" w:sz="0" w:space="0" w:color="auto"/>
      </w:divBdr>
      <w:divsChild>
        <w:div w:id="1095252505">
          <w:marLeft w:val="0"/>
          <w:marRight w:val="0"/>
          <w:marTop w:val="0"/>
          <w:marBottom w:val="0"/>
          <w:divBdr>
            <w:top w:val="none" w:sz="0" w:space="0" w:color="auto"/>
            <w:left w:val="none" w:sz="0" w:space="0" w:color="auto"/>
            <w:bottom w:val="none" w:sz="0" w:space="0" w:color="auto"/>
            <w:right w:val="none" w:sz="0" w:space="0" w:color="auto"/>
          </w:divBdr>
        </w:div>
      </w:divsChild>
    </w:div>
    <w:div w:id="2022195411">
      <w:bodyDiv w:val="1"/>
      <w:marLeft w:val="0"/>
      <w:marRight w:val="0"/>
      <w:marTop w:val="0"/>
      <w:marBottom w:val="0"/>
      <w:divBdr>
        <w:top w:val="none" w:sz="0" w:space="0" w:color="auto"/>
        <w:left w:val="none" w:sz="0" w:space="0" w:color="auto"/>
        <w:bottom w:val="none" w:sz="0" w:space="0" w:color="auto"/>
        <w:right w:val="none" w:sz="0" w:space="0" w:color="auto"/>
      </w:divBdr>
      <w:divsChild>
        <w:div w:id="1938099567">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5"/>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2.xml"/><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chart" Target="charts/chart41.xml"/><Relationship Id="rId68" Type="http://schemas.openxmlformats.org/officeDocument/2006/relationships/chart" Target="charts/chart46.xml"/><Relationship Id="rId84" Type="http://schemas.openxmlformats.org/officeDocument/2006/relationships/hyperlink" Target="https://fs.knesset.gov.il/globaldocs/MMM/302ae8cf-a7b3-e511-80d0-00155d0acb9e/2_302ae8cf-a7b3-e511-80d0-00155d0acb9e_11_10394.pdf" TargetMode="External"/><Relationship Id="rId89" Type="http://schemas.openxmlformats.org/officeDocument/2006/relationships/chart" Target="charts/chart63.xml"/><Relationship Id="rId16" Type="http://schemas.openxmlformats.org/officeDocument/2006/relationships/image" Target="media/image3.gif"/><Relationship Id="rId11" Type="http://schemas.openxmlformats.org/officeDocument/2006/relationships/diagramQuickStyle" Target="diagrams/quickStyle1.xml"/><Relationship Id="rId32" Type="http://schemas.openxmlformats.org/officeDocument/2006/relationships/chart" Target="charts/chart12.xml"/><Relationship Id="rId37" Type="http://schemas.openxmlformats.org/officeDocument/2006/relationships/chart" Target="charts/chart17.xml"/><Relationship Id="rId53" Type="http://schemas.openxmlformats.org/officeDocument/2006/relationships/chart" Target="charts/chart31.xml"/><Relationship Id="rId58" Type="http://schemas.openxmlformats.org/officeDocument/2006/relationships/chart" Target="charts/chart36.xml"/><Relationship Id="rId74" Type="http://schemas.openxmlformats.org/officeDocument/2006/relationships/chart" Target="charts/chart52.xml"/><Relationship Id="rId79" Type="http://schemas.openxmlformats.org/officeDocument/2006/relationships/chart" Target="charts/chart57.xml"/><Relationship Id="rId5" Type="http://schemas.openxmlformats.org/officeDocument/2006/relationships/webSettings" Target="webSettings.xml"/><Relationship Id="rId90" Type="http://schemas.openxmlformats.org/officeDocument/2006/relationships/chart" Target="charts/chart64.xml"/><Relationship Id="rId95" Type="http://schemas.openxmlformats.org/officeDocument/2006/relationships/chart" Target="charts/chart68.xml"/><Relationship Id="rId22" Type="http://schemas.openxmlformats.org/officeDocument/2006/relationships/chart" Target="charts/chart3.xml"/><Relationship Id="rId27" Type="http://schemas.openxmlformats.org/officeDocument/2006/relationships/chart" Target="charts/chart7.xml"/><Relationship Id="rId43" Type="http://schemas.openxmlformats.org/officeDocument/2006/relationships/chart" Target="charts/chart21.xml"/><Relationship Id="rId48" Type="http://schemas.openxmlformats.org/officeDocument/2006/relationships/chart" Target="charts/chart26.xml"/><Relationship Id="rId64" Type="http://schemas.openxmlformats.org/officeDocument/2006/relationships/chart" Target="charts/chart42.xml"/><Relationship Id="rId69" Type="http://schemas.openxmlformats.org/officeDocument/2006/relationships/chart" Target="charts/chart47.xml"/><Relationship Id="rId80" Type="http://schemas.openxmlformats.org/officeDocument/2006/relationships/chart" Target="charts/chart58.xml"/><Relationship Id="rId85" Type="http://schemas.openxmlformats.org/officeDocument/2006/relationships/chart" Target="charts/chart62.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4.xml"/><Relationship Id="rId59" Type="http://schemas.openxmlformats.org/officeDocument/2006/relationships/chart" Target="charts/chart37.xml"/><Relationship Id="rId67" Type="http://schemas.openxmlformats.org/officeDocument/2006/relationships/chart" Target="charts/chart45.xml"/><Relationship Id="rId20" Type="http://schemas.openxmlformats.org/officeDocument/2006/relationships/chart" Target="charts/chart1.xml"/><Relationship Id="rId41" Type="http://schemas.openxmlformats.org/officeDocument/2006/relationships/image" Target="media/image9.png"/><Relationship Id="rId54" Type="http://schemas.openxmlformats.org/officeDocument/2006/relationships/chart" Target="charts/chart32.xml"/><Relationship Id="rId62" Type="http://schemas.openxmlformats.org/officeDocument/2006/relationships/chart" Target="charts/chart40.xml"/><Relationship Id="rId70" Type="http://schemas.openxmlformats.org/officeDocument/2006/relationships/chart" Target="charts/chart48.xml"/><Relationship Id="rId75" Type="http://schemas.openxmlformats.org/officeDocument/2006/relationships/chart" Target="charts/chart53.xml"/><Relationship Id="rId83" Type="http://schemas.openxmlformats.org/officeDocument/2006/relationships/chart" Target="charts/chart61.xml"/><Relationship Id="rId88" Type="http://schemas.openxmlformats.org/officeDocument/2006/relationships/hyperlink" Target="https://data.worldbank.org/indicator/IT.NET.BBND.P2?locations=IL-PS" TargetMode="External"/><Relationship Id="rId91" Type="http://schemas.openxmlformats.org/officeDocument/2006/relationships/hyperlink" Target="http://cm.mkt.lcap.cd/" TargetMode="External"/><Relationship Id="rId96" Type="http://schemas.openxmlformats.org/officeDocument/2006/relationships/chart" Target="charts/chart6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jpg"/><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7.xml"/><Relationship Id="rId57" Type="http://schemas.openxmlformats.org/officeDocument/2006/relationships/chart" Target="charts/chart35.xml"/><Relationship Id="rId10" Type="http://schemas.openxmlformats.org/officeDocument/2006/relationships/diagramLayout" Target="diagrams/layout1.xml"/><Relationship Id="rId31" Type="http://schemas.openxmlformats.org/officeDocument/2006/relationships/chart" Target="charts/chart11.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chart" Target="charts/chart43.xml"/><Relationship Id="rId73" Type="http://schemas.openxmlformats.org/officeDocument/2006/relationships/chart" Target="charts/chart51.xml"/><Relationship Id="rId78" Type="http://schemas.openxmlformats.org/officeDocument/2006/relationships/chart" Target="charts/chart56.xml"/><Relationship Id="rId81" Type="http://schemas.openxmlformats.org/officeDocument/2006/relationships/chart" Target="charts/chart59.xml"/><Relationship Id="rId86" Type="http://schemas.openxmlformats.org/officeDocument/2006/relationships/hyperlink" Target="https://data.worldbank.org/indicator/IT.CEL.SETS.P2?locations=IL-PS" TargetMode="External"/><Relationship Id="rId94" Type="http://schemas.openxmlformats.org/officeDocument/2006/relationships/chart" Target="charts/chart67.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5.png"/><Relationship Id="rId39" Type="http://schemas.openxmlformats.org/officeDocument/2006/relationships/chart" Target="charts/chart19.xml"/><Relationship Id="rId34" Type="http://schemas.openxmlformats.org/officeDocument/2006/relationships/chart" Target="charts/chart14.xml"/><Relationship Id="rId50" Type="http://schemas.openxmlformats.org/officeDocument/2006/relationships/chart" Target="charts/chart28.xml"/><Relationship Id="rId55" Type="http://schemas.openxmlformats.org/officeDocument/2006/relationships/chart" Target="charts/chart33.xml"/><Relationship Id="rId76" Type="http://schemas.openxmlformats.org/officeDocument/2006/relationships/chart" Target="charts/chart54.xm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49.xml"/><Relationship Id="rId92" Type="http://schemas.openxmlformats.org/officeDocument/2006/relationships/chart" Target="charts/chart65.xm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image" Target="media/image8.png"/><Relationship Id="rId45" Type="http://schemas.openxmlformats.org/officeDocument/2006/relationships/chart" Target="charts/chart23.xml"/><Relationship Id="rId66" Type="http://schemas.openxmlformats.org/officeDocument/2006/relationships/chart" Target="charts/chart44.xml"/><Relationship Id="rId87" Type="http://schemas.openxmlformats.org/officeDocument/2006/relationships/hyperlink" Target="https://data.worldbank.org/indicator/IT.NET.USER.ZS?locations=IL-PS" TargetMode="External"/><Relationship Id="rId61" Type="http://schemas.openxmlformats.org/officeDocument/2006/relationships/chart" Target="charts/chart39.xml"/><Relationship Id="rId82" Type="http://schemas.openxmlformats.org/officeDocument/2006/relationships/chart" Target="charts/chart60.xml"/><Relationship Id="rId19" Type="http://schemas.openxmlformats.org/officeDocument/2006/relationships/image" Target="media/image6.jpeg"/><Relationship Id="rId14" Type="http://schemas.openxmlformats.org/officeDocument/2006/relationships/image" Target="media/image1.png"/><Relationship Id="rId30" Type="http://schemas.openxmlformats.org/officeDocument/2006/relationships/chart" Target="charts/chart10.xml"/><Relationship Id="rId35" Type="http://schemas.openxmlformats.org/officeDocument/2006/relationships/chart" Target="charts/chart15.xml"/><Relationship Id="rId56" Type="http://schemas.openxmlformats.org/officeDocument/2006/relationships/chart" Target="charts/chart34.xml"/><Relationship Id="rId77" Type="http://schemas.openxmlformats.org/officeDocument/2006/relationships/chart" Target="charts/chart55.xml"/><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chart" Target="charts/chart29.xml"/><Relationship Id="rId72" Type="http://schemas.openxmlformats.org/officeDocument/2006/relationships/chart" Target="charts/chart50.xml"/><Relationship Id="rId93" Type="http://schemas.openxmlformats.org/officeDocument/2006/relationships/chart" Target="charts/chart66.xml"/><Relationship Id="rId98" Type="http://schemas.openxmlformats.org/officeDocument/2006/relationships/chart" Target="charts/chart70.xml"/></Relationships>
</file>

<file path=word/_rels/footnotes.xml.rels><?xml version="1.0" encoding="UTF-8" standalone="yes"?>
<Relationships xmlns="http://schemas.openxmlformats.org/package/2006/relationships"><Relationship Id="rId8" Type="http://schemas.openxmlformats.org/officeDocument/2006/relationships/hyperlink" Target="https://www.gov.il/en/Departments/General/operation-protective-edge-full-report" TargetMode="External"/><Relationship Id="rId13" Type="http://schemas.openxmlformats.org/officeDocument/2006/relationships/hyperlink" Target="https://www.gov.il/en/departments/news/exportingfoodmanufacturedfromthegazastripheb" TargetMode="External"/><Relationship Id="rId18" Type="http://schemas.openxmlformats.org/officeDocument/2006/relationships/hyperlink" Target="mailto:http://www.fatf-gafi.org/media/fatf/documents/reports/Guidance-Correspondent-Banking-Services.pdf" TargetMode="External"/><Relationship Id="rId26" Type="http://schemas.openxmlformats.org/officeDocument/2006/relationships/hyperlink" Target="https://aric.adb.org/integrationindicators" TargetMode="External"/><Relationship Id="rId3" Type="http://schemas.openxmlformats.org/officeDocument/2006/relationships/hyperlink" Target="https://www.mfa.gov.il/mfa/foreignpolicy/peace/guide/pages/israels%20disengagement%20plan-%20renewing%20the%20peace%20process%20apr%202005.aspx" TargetMode="External"/><Relationship Id="rId21" Type="http://schemas.openxmlformats.org/officeDocument/2006/relationships/hyperlink" Target="mailto:https://www.gov.il/he/departments/policies/dec4207_2018" TargetMode="External"/><Relationship Id="rId7" Type="http://schemas.openxmlformats.org/officeDocument/2006/relationships/hyperlink" Target="https://www.idf.il/en/minisites/wars-and-operations/operation-pillar-of-defence/operation-pillar-of-defense/" TargetMode="External"/><Relationship Id="rId12" Type="http://schemas.openxmlformats.org/officeDocument/2006/relationships/hyperlink" Target="https://www.gov.il/en/departments/news/1standards" TargetMode="External"/><Relationship Id="rId17" Type="http://schemas.openxmlformats.org/officeDocument/2006/relationships/hyperlink" Target="https://www.gov.il/ar/departments/news/onlinepayment" TargetMode="External"/><Relationship Id="rId25" Type="http://schemas.openxmlformats.org/officeDocument/2006/relationships/hyperlink" Target="https://www.integrate-africa.org/" TargetMode="External"/><Relationship Id="rId2" Type="http://schemas.openxmlformats.org/officeDocument/2006/relationships/hyperlink" Target="https://web.archive.org/web/20120524094913/http:/domino.un.org/unispal.nsf/0/7f0af2bd897689b785256c330061d253" TargetMode="External"/><Relationship Id="rId16" Type="http://schemas.openxmlformats.org/officeDocument/2006/relationships/hyperlink" Target="https://www.imf.org/en/Countries/ResRep/WBG/News-Archive" TargetMode="External"/><Relationship Id="rId20" Type="http://schemas.openxmlformats.org/officeDocument/2006/relationships/hyperlink" Target="mailto:https://www.haaretz.co.il/news/politics/1.3425881" TargetMode="External"/><Relationship Id="rId1" Type="http://schemas.openxmlformats.org/officeDocument/2006/relationships/hyperlink" Target="https://www.nli.org.il/en/newspapers/plb/1928/12/10/01/article/4/?e=-------en-20--1--img-txIN%7ctxTI--------------1" TargetMode="External"/><Relationship Id="rId6" Type="http://schemas.openxmlformats.org/officeDocument/2006/relationships/hyperlink" Target="https://mfa.gov.il/MFA/AboutIsrael/Maps/Pages/Operation-Cast-Lead.aspx" TargetMode="External"/><Relationship Id="rId11" Type="http://schemas.openxmlformats.org/officeDocument/2006/relationships/hyperlink" Target="https://www.timesofisrael.com/in-first-government-approves-small-quota-of-tech-work-permits-for-palestinians/" TargetMode="External"/><Relationship Id="rId24" Type="http://schemas.openxmlformats.org/officeDocument/2006/relationships/hyperlink" Target="http://www.eu-index.uni-goettingen.de/?lang=en" TargetMode="External"/><Relationship Id="rId5" Type="http://schemas.openxmlformats.org/officeDocument/2006/relationships/hyperlink" Target="https://mfa.gov.il/MFA/ForeignPolicy/Issues/Pages/Gaza%20designated%20a%20%E2%80%9CHostile%20Territory%E2%80%9D%2024-Sep-2007.aspx" TargetMode="External"/><Relationship Id="rId15" Type="http://schemas.openxmlformats.org/officeDocument/2006/relationships/hyperlink" Target="mailto:https://www.imf.org/en/Publications/Policy-Papers/Issues/2017/04/21/recent-trends-in-correspondent-banking-relationships-further-considerations" TargetMode="External"/><Relationship Id="rId23" Type="http://schemas.openxmlformats.org/officeDocument/2006/relationships/hyperlink" Target="https://kof.ethz.ch/en/forecasts-and-indicators/indicators/kof-globalisation-index.html" TargetMode="External"/><Relationship Id="rId10" Type="http://schemas.openxmlformats.org/officeDocument/2006/relationships/hyperlink" Target="https://www.globes.co.il/news/article.aspx?did=1001272325" TargetMode="External"/><Relationship Id="rId19" Type="http://schemas.openxmlformats.org/officeDocument/2006/relationships/hyperlink" Target="mailto:https://www.globes.co.il/news/article.aspx?did=1001236634" TargetMode="External"/><Relationship Id="rId4" Type="http://schemas.openxmlformats.org/officeDocument/2006/relationships/hyperlink" Target="https://mfa.gov.il/mfa/foreignpolicy/terrorism/palestinian/pages/the%20hamas%20terror%20organization%20-%20%202006%20update%2015-mar-2007.aspx" TargetMode="External"/><Relationship Id="rId9" Type="http://schemas.openxmlformats.org/officeDocument/2006/relationships/hyperlink" Target="https://www.idf.il/en/minisites/wars-and-operations/operation-guardian-of-the-walls/operation-guardian-of-the-walls-1/" TargetMode="External"/><Relationship Id="rId14" Type="http://schemas.openxmlformats.org/officeDocument/2006/relationships/hyperlink" Target="https://www.timesofisrael.com/israel-authorizes-3000-additional-entry-permits-for-gaza-workers/" TargetMode="External"/><Relationship Id="rId22" Type="http://schemas.openxmlformats.org/officeDocument/2006/relationships/hyperlink" Target="mailto:https://www.pma.ps/ar/%D8%A7%D9%84%D8%A5%D8%B9%D9%84%D8%A7%D9%85/%D8%A8%D9%8A%D8%A7%D9%86%D8%A7%D8%AA-%D8%B5%D8%AD%D9%81%D9%8A%D8%A9/%D9%85%D8%AD%D8%A7%D9%81%D8%B8-%D8%B3%D9%84%D8%B7%D8%A9-%D8%A7%D9%84%D9%86%D9%82%D8%AF-%D8%A5%D9%86%D8%B4%D8%A7%D8%A1-%D8%A7%D9%84%D8%B4%D8%B1%D9%83%D8%A9-%D8%A7%D9%84%D9%81%D9%84%D8%B3%D8%B7%D9%8A%D9%86%D9%8A%D8%A9-%D8%A7%D9%84%D9%85%D8%B1%D8%A7%D8%B3%D9%84%D8%A9-%D9%84%D8%AA%D8%B3%D9%87%D9%8A%D9%84-%D8%AA%D9%86%D9%81%D9%8A%D8%B0-%D8%A7%D9%84%D9%85%D8%B9%D8%A7%D9%85%D9%84%D8%A7%D8%AA-%D8%A7%D9%84%D9%85%D8%A7%D9%84%D9%8A%D8%A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de8af57219b66fd/&#1491;&#1493;&#1511;&#1496;&#1493;&#1512;&#1496;/14.1.2022%20&#1511;&#1493;&#1489;&#1509;%20&#1512;&#1488;&#1513;&#1497;%20.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04;&#1514;&#1493;&#1504;&#1497;&#1501;%20&#1491;&#1493;&#1511;&#1496;&#1493;&#1512;&#1496;/28.4.2021.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04;&#1514;&#1493;&#1504;&#1497;&#1501;%20&#1491;&#1493;&#1511;&#1496;&#1493;&#1512;&#1496;/28.4.2021.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27.4.2021.xlsb"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27.4.2021.xlsb"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2de8af57219b66fd/&#1491;&#1493;&#1511;&#1496;&#1493;&#1512;&#1496;/14.1.2022%20&#1511;&#1493;&#1489;&#1509;%20&#1512;&#1488;&#1513;&#1497;%20.xlsb"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2de8af57219b66fd/&#1491;&#1493;&#1511;&#1496;&#1493;&#1512;&#1496;/&#1488;&#1493;&#1502;&#1491;&#1503;%20&#1502;&#1494;&#1493;&#1502;&#1503;%20&#1489;&#1512;&#1513;&#1508;%2030.1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2de8af57219b66fd/&#1491;&#1493;&#1511;&#1496;&#1493;&#1512;&#1496;/&#1488;&#1493;&#1502;&#1491;&#1503;%20&#1502;&#1494;&#1493;&#1502;&#1503;%20&#1489;&#1512;&#1513;&#1508;%20&#1490;&#1512;&#1505;&#1492;%20&#1502;&#1506;&#1493;&#1491;&#1499;&#1504;&#151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2de8af57219b66fd/&#1491;&#1493;&#1511;&#1496;&#1493;&#1512;&#1496;/&#1502;&#1494;&#1493;&#1502;&#1503;%20&#1500;&#1514;&#1493;&#1510;&#1512;%20&#1489;&#1497;&#1504;&#1500;&#1488;&#1493;&#1502;&#1497;.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13;&#1497;&#1506;&#1493;&#1512;%20&#1492;&#1502;&#1495;&#1494;&#1493;&#1512;%20&#1502;&#1492;&#1514;&#1502;&#1490;%20&#1489;&#1497;&#1513;&#1512;&#1488;&#1500;%20&#1493;&#1489;&#1506;&#1493;&#1500;&#1501;%20&#1500;&#1512;&#1493;&#1506;&#1497;.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13;&#1497;&#1506;&#1493;&#1512;%20&#1492;&#1502;&#1495;&#1494;&#1493;&#1512;%20&#1502;&#1492;&#1514;&#1502;&#1490;%20&#1489;&#1497;&#1513;&#1512;&#1488;&#1500;%20&#1493;&#1489;&#1506;&#1493;&#1500;&#1501;%20&#1500;&#1512;&#1493;&#1506;&#1497;.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de8af57219b66fd/&#1491;&#1493;&#1511;&#1496;&#1493;&#1512;&#1496;/IS-WBG-Integration%20index2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2de8af57219b66fd/&#1491;&#1493;&#1511;&#1496;&#1493;&#1512;&#1496;/&#1488;&#1493;&#1502;&#1491;&#1503;%20&#1502;&#1494;&#1493;&#1502;&#1503;%20&#1489;&#1512;&#1513;&#1508;%2030.1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d.docs.live.net/2de8af57219b66fd/&#1491;&#1493;&#1511;&#1496;&#1493;&#1512;&#1496;/&#1488;&#1493;&#1502;&#1491;&#1503;%20&#1502;&#1494;&#1493;&#1502;&#1503;%20&#1489;&#1512;&#1513;&#1508;%2030.1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d.docs.live.net/2de8af57219b66fd/&#1491;&#1493;&#1511;&#1496;&#1493;&#1512;&#1496;/&#1488;&#1493;&#1502;&#1491;&#1503;%20&#1502;&#1494;&#1493;&#1502;&#1503;%20&#1489;&#1512;&#1513;&#1508;%2030.1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d.docs.live.net/2de8af57219b66fd/&#1491;&#1493;&#1511;&#1496;&#1493;&#1512;&#1496;/&#1488;&#1493;&#1502;&#1491;&#1503;%20&#1502;&#1494;&#1493;&#1502;&#1503;%20&#1489;&#1512;&#1513;&#1508;%2030.1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13;&#1488;&#1493;&#150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13;&#1488;&#1493;&#1500;.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13;&#1488;&#1493;&#1500;.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13;&#1488;&#1493;&#1500;.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2de8af57219b66fd/&#1491;&#1493;&#1511;&#1496;&#1493;&#1512;&#1496;/IS-WBG-Integration%20index22.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13;&#1488;&#1493;&#150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13;&#1488;&#1493;&#1500;.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13;&#1488;&#1493;&#1500;.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13;&#1488;&#1493;&#1500;.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13;&#1488;&#1493;&#1500;.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d.docs.live.net/2de8af57219b66fd/&#1491;&#1493;&#1511;&#1496;&#1493;&#1512;&#1496;/WB%20and%20SG%20data.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2de8af57219b66fd/&#1491;&#1493;&#1511;&#1496;&#1493;&#1512;&#1496;/14.1.2022%20&#1511;&#1493;&#1489;&#1509;%20&#1512;&#1488;&#1513;&#1497;%20.xlsb"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d.docs.live.net/2de8af57219b66fd/&#1491;&#1493;&#1511;&#1496;&#1493;&#1512;&#1496;/WB%20and%20SG%20data.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d.docs.live.net/2de8af57219b66fd/&#1491;&#1493;&#1511;&#1496;&#1493;&#1512;&#1496;/WB%20and%20SG%20data.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d.docs.live.net/2de8af57219b66fd/&#1491;&#1493;&#1511;&#1496;&#1493;&#1512;&#1496;/14.1.2022%20&#1511;&#1493;&#1489;&#1509;%20&#1512;&#1488;&#1513;&#1497;%20.xlsb"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d.docs.live.net/2de8af57219b66fd/&#1491;&#1493;&#1511;&#1496;&#1493;&#1512;&#1496;/14.1.2022%20&#1511;&#1493;&#1489;&#1509;%20&#1512;&#1488;&#1513;&#1497;%20.xlsb"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d.docs.live.net/2de8af57219b66fd/&#1491;&#1493;&#1511;&#1496;&#1493;&#1512;&#1496;/WB%20and%20SG%20data.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d.docs.live.net/2de8af57219b66fd/&#1491;&#1493;&#1511;&#1496;&#1493;&#1512;&#1496;/WB%20and%20SG%20data.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d.docs.live.net/2de8af57219b66fd/&#1491;&#1493;&#1511;&#1496;&#1493;&#1512;&#1496;/WB%20and%20SG%20data.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d.docs.live.net/2de8af57219b66fd/&#1491;&#1493;&#1511;&#1496;&#1493;&#1512;&#1496;/WB%20and%20SG%20data.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d.docs.live.net/2de8af57219b66fd/&#1491;&#1493;&#1511;&#1496;&#1493;&#1512;&#1496;/WB%20and%20SG%20data.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d.docs.live.net/2de8af57219b66fd/&#1491;&#1493;&#1511;&#1496;&#1493;&#1512;&#1496;/WB%20and%20SG%20data.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50.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d.docs.live.net/2de8af57219b66fd/&#1491;&#1493;&#1511;&#1496;&#1493;&#1512;&#1496;/WB%20and%20SG%20data.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0.1_West_Bank_deposits_by_interest_and_currency.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0.1_West_Bank_deposits_by_interest_and_currency.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https://d.docs.live.net/2de8af57219b66fd/&#1491;&#1493;&#1511;&#1496;&#1493;&#1512;&#1496;/24.3.2022.xlsx" TargetMode="External"/><Relationship Id="rId2" Type="http://schemas.microsoft.com/office/2011/relationships/chartColorStyle" Target="colors70.xml"/><Relationship Id="rId1" Type="http://schemas.microsoft.com/office/2011/relationships/chartStyle" Target="style70.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_facilities_by_type%20credi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2de8af57219b66fd/&#1513;&#1493;&#1500;&#1495;&#1503;%20&#1492;&#1506;&#1489;&#1493;&#1491;&#1492;/15_facilities_by_type%20credi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'[14.1.2022 קובץ ראשי .xlsb]clearance revenues1 '!$A$5</c:f>
              <c:strCache>
                <c:ptCount val="1"/>
                <c:pt idx="0">
                  <c:v>Gross clearance revenues (GCR)</c:v>
                </c:pt>
              </c:strCache>
            </c:strRef>
          </c:tx>
          <c:spPr>
            <a:ln w="28575" cap="rnd">
              <a:solidFill>
                <a:schemeClr val="accent2"/>
              </a:solidFill>
              <a:round/>
            </a:ln>
            <a:effectLst/>
          </c:spPr>
          <c:marker>
            <c:symbol val="none"/>
          </c:marker>
          <c:cat>
            <c:numRef>
              <c:f>'[14.1.2022 קובץ ראשי .xlsb]clearance revenues1 '!$B$3:$Y$3</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'[14.1.2022 קובץ ראשי .xlsb]clearance revenues1 '!$B$5:$Y$5</c:f>
              <c:numCache>
                <c:formatCode>#,##0.0</c:formatCode>
                <c:ptCount val="24"/>
                <c:pt idx="0">
                  <c:v>351.72413793103448</c:v>
                </c:pt>
                <c:pt idx="1">
                  <c:v>475.94202898550725</c:v>
                </c:pt>
                <c:pt idx="2">
                  <c:v>543.9473684210526</c:v>
                </c:pt>
                <c:pt idx="3">
                  <c:v>579.71014492753625</c:v>
                </c:pt>
                <c:pt idx="4">
                  <c:v>587</c:v>
                </c:pt>
                <c:pt idx="5">
                  <c:v>0</c:v>
                </c:pt>
                <c:pt idx="6">
                  <c:v>72</c:v>
                </c:pt>
                <c:pt idx="7">
                  <c:v>472</c:v>
                </c:pt>
                <c:pt idx="8">
                  <c:v>713</c:v>
                </c:pt>
                <c:pt idx="9">
                  <c:v>894</c:v>
                </c:pt>
                <c:pt idx="10">
                  <c:v>344</c:v>
                </c:pt>
                <c:pt idx="11">
                  <c:v>1318</c:v>
                </c:pt>
                <c:pt idx="12">
                  <c:v>1137</c:v>
                </c:pt>
                <c:pt idx="13">
                  <c:v>1090</c:v>
                </c:pt>
                <c:pt idx="14">
                  <c:v>1234.2</c:v>
                </c:pt>
                <c:pt idx="15">
                  <c:v>1487.4431360697092</c:v>
                </c:pt>
                <c:pt idx="16">
                  <c:v>1574.4352395576202</c:v>
                </c:pt>
                <c:pt idx="17">
                  <c:v>1690.4777319363898</c:v>
                </c:pt>
                <c:pt idx="18">
                  <c:v>2054.3313790000288</c:v>
                </c:pt>
                <c:pt idx="19">
                  <c:v>2046.8681734736051</c:v>
                </c:pt>
                <c:pt idx="20">
                  <c:v>2332.396144446067</c:v>
                </c:pt>
                <c:pt idx="21">
                  <c:v>2482.9787723453078</c:v>
                </c:pt>
                <c:pt idx="22">
                  <c:v>2255.2742611850022</c:v>
                </c:pt>
                <c:pt idx="23">
                  <c:v>2219.1706592308828</c:v>
                </c:pt>
              </c:numCache>
            </c:numRef>
          </c:val>
          <c:smooth val="0"/>
          <c:extLst>
            <c:ext xmlns:c16="http://schemas.microsoft.com/office/drawing/2014/chart" uri="{C3380CC4-5D6E-409C-BE32-E72D297353CC}">
              <c16:uniqueId val="{00000000-A5D6-4D56-8BD1-663F285A6875}"/>
            </c:ext>
          </c:extLst>
        </c:ser>
        <c:dLbls>
          <c:showLegendKey val="0"/>
          <c:showVal val="0"/>
          <c:showCatName val="0"/>
          <c:showSerName val="0"/>
          <c:showPercent val="0"/>
          <c:showBubbleSize val="0"/>
        </c:dLbls>
        <c:marker val="1"/>
        <c:smooth val="0"/>
        <c:axId val="595285248"/>
        <c:axId val="426376048"/>
      </c:lineChart>
      <c:lineChart>
        <c:grouping val="standard"/>
        <c:varyColors val="0"/>
        <c:ser>
          <c:idx val="2"/>
          <c:order val="1"/>
          <c:tx>
            <c:strRef>
              <c:f>'[14.1.2022 קובץ ראשי .xlsb]clearance revenues1 '!$A$6</c:f>
              <c:strCache>
                <c:ptCount val="1"/>
                <c:pt idx="0">
                  <c:v>Share of GCR of Total net revenues and grants </c:v>
                </c:pt>
              </c:strCache>
            </c:strRef>
          </c:tx>
          <c:spPr>
            <a:ln w="28575" cap="rnd">
              <a:solidFill>
                <a:schemeClr val="accent3"/>
              </a:solidFill>
              <a:round/>
            </a:ln>
            <a:effectLst/>
          </c:spPr>
          <c:marker>
            <c:symbol val="none"/>
          </c:marker>
          <c:cat>
            <c:numRef>
              <c:f>'[14.1.2022 קובץ ראשי .xlsb]clearance revenues1 '!$B$3:$Y$3</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'[14.1.2022 קובץ ראשי .xlsb]clearance revenues1 '!$B$6:$Y$6</c:f>
              <c:numCache>
                <c:formatCode>0%</c:formatCode>
                <c:ptCount val="24"/>
                <c:pt idx="0">
                  <c:v>0.37537638006022084</c:v>
                </c:pt>
                <c:pt idx="1">
                  <c:v>0.44258760107816708</c:v>
                </c:pt>
                <c:pt idx="2">
                  <c:v>0.49237732253454025</c:v>
                </c:pt>
                <c:pt idx="3">
                  <c:v>0.48859934853420195</c:v>
                </c:pt>
                <c:pt idx="4">
                  <c:v>0.4051069703243616</c:v>
                </c:pt>
                <c:pt idx="5">
                  <c:v>0</c:v>
                </c:pt>
                <c:pt idx="6">
                  <c:v>7.29483282674772E-2</c:v>
                </c:pt>
                <c:pt idx="7">
                  <c:v>0.34528163862472566</c:v>
                </c:pt>
                <c:pt idx="8">
                  <c:v>0.50819672131147542</c:v>
                </c:pt>
                <c:pt idx="9">
                  <c:v>0.4456630109670987</c:v>
                </c:pt>
                <c:pt idx="10">
                  <c:v>0.19758759333716255</c:v>
                </c:pt>
                <c:pt idx="11">
                  <c:v>0.44860449285228049</c:v>
                </c:pt>
                <c:pt idx="12">
                  <c:v>0.3025706530416733</c:v>
                </c:pt>
                <c:pt idx="13">
                  <c:v>0.36944141914854195</c:v>
                </c:pt>
                <c:pt idx="14">
                  <c:v>0.40390090650260174</c:v>
                </c:pt>
                <c:pt idx="15">
                  <c:v>0.4716704119274347</c:v>
                </c:pt>
                <c:pt idx="16">
                  <c:v>0.49631448768794351</c:v>
                </c:pt>
                <c:pt idx="17">
                  <c:v>0.45963662408663936</c:v>
                </c:pt>
                <c:pt idx="18">
                  <c:v>0.51081392202123199</c:v>
                </c:pt>
                <c:pt idx="19">
                  <c:v>0.55497632956650456</c:v>
                </c:pt>
                <c:pt idx="20">
                  <c:v>0.54012915614571522</c:v>
                </c:pt>
                <c:pt idx="21">
                  <c:v>0.56794641325385264</c:v>
                </c:pt>
                <c:pt idx="22">
                  <c:v>0.54637179000552683</c:v>
                </c:pt>
                <c:pt idx="23">
                  <c:v>0.5866581612753935</c:v>
                </c:pt>
              </c:numCache>
            </c:numRef>
          </c:val>
          <c:smooth val="0"/>
          <c:extLst>
            <c:ext xmlns:c16="http://schemas.microsoft.com/office/drawing/2014/chart" uri="{C3380CC4-5D6E-409C-BE32-E72D297353CC}">
              <c16:uniqueId val="{00000001-A5D6-4D56-8BD1-663F285A6875}"/>
            </c:ext>
          </c:extLst>
        </c:ser>
        <c:dLbls>
          <c:showLegendKey val="0"/>
          <c:showVal val="0"/>
          <c:showCatName val="0"/>
          <c:showSerName val="0"/>
          <c:showPercent val="0"/>
          <c:showBubbleSize val="0"/>
        </c:dLbls>
        <c:marker val="1"/>
        <c:smooth val="0"/>
        <c:axId val="429728800"/>
        <c:axId val="565841952"/>
      </c:lineChart>
      <c:catAx>
        <c:axId val="59528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26376048"/>
        <c:crosses val="autoZero"/>
        <c:auto val="1"/>
        <c:lblAlgn val="ctr"/>
        <c:lblOffset val="100"/>
        <c:noMultiLvlLbl val="0"/>
      </c:catAx>
      <c:valAx>
        <c:axId val="426376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95285248"/>
        <c:crosses val="autoZero"/>
        <c:crossBetween val="between"/>
      </c:valAx>
      <c:valAx>
        <c:axId val="56584195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29728800"/>
        <c:crosses val="max"/>
        <c:crossBetween val="between"/>
      </c:valAx>
      <c:catAx>
        <c:axId val="429728800"/>
        <c:scaling>
          <c:orientation val="minMax"/>
        </c:scaling>
        <c:delete val="1"/>
        <c:axPos val="b"/>
        <c:numFmt formatCode="General" sourceLinked="1"/>
        <c:majorTickMark val="out"/>
        <c:minorTickMark val="none"/>
        <c:tickLblPos val="nextTo"/>
        <c:crossAx val="5658419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'[28.4.2021.xlsb]Checks presented for clearing '!$C$35</c:f>
              <c:strCache>
                <c:ptCount val="1"/>
                <c:pt idx="0">
                  <c:v>NIS</c:v>
                </c:pt>
              </c:strCache>
            </c:strRef>
          </c:tx>
          <c:spPr>
            <a:ln w="28575" cap="rnd">
              <a:solidFill>
                <a:schemeClr val="accent1"/>
              </a:solidFill>
              <a:round/>
            </a:ln>
            <a:effectLst/>
          </c:spPr>
          <c:marker>
            <c:symbol val="none"/>
          </c:marker>
          <c:cat>
            <c:numRef>
              <c:f>'[28.4.2021.xlsb]Checks presented for clearing '!$F$34:$AA$34</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'[28.4.2021.xlsb]Checks presented for clearing '!$F$35:$AA$35</c:f>
              <c:numCache>
                <c:formatCode>_ * #,##0_ ;_ * \-#,##0_ ;_ * "-"??_ ;_ @_ </c:formatCode>
                <c:ptCount val="22"/>
                <c:pt idx="0">
                  <c:v>2177.26447454239</c:v>
                </c:pt>
                <c:pt idx="1">
                  <c:v>3385.5283960000002</c:v>
                </c:pt>
                <c:pt idx="2">
                  <c:v>3537.6057398034395</c:v>
                </c:pt>
                <c:pt idx="3">
                  <c:v>2580.0524227488154</c:v>
                </c:pt>
                <c:pt idx="4">
                  <c:v>1629.9867392706292</c:v>
                </c:pt>
                <c:pt idx="5">
                  <c:v>1942.5714944726149</c:v>
                </c:pt>
                <c:pt idx="6">
                  <c:v>2572.5802255860458</c:v>
                </c:pt>
                <c:pt idx="7">
                  <c:v>3266.9217450494261</c:v>
                </c:pt>
                <c:pt idx="8">
                  <c:v>3439.8385960000001</c:v>
                </c:pt>
                <c:pt idx="9">
                  <c:v>3747.9379753620005</c:v>
                </c:pt>
                <c:pt idx="10">
                  <c:v>5706.1967529583471</c:v>
                </c:pt>
                <c:pt idx="11">
                  <c:v>5554.5132418639187</c:v>
                </c:pt>
                <c:pt idx="12">
                  <c:v>6678.7216351428115</c:v>
                </c:pt>
                <c:pt idx="13">
                  <c:v>8000.7876246048245</c:v>
                </c:pt>
                <c:pt idx="14">
                  <c:v>7038.5673917610611</c:v>
                </c:pt>
                <c:pt idx="15">
                  <c:v>7722.4411235841653</c:v>
                </c:pt>
                <c:pt idx="16">
                  <c:v>8180.1828463394131</c:v>
                </c:pt>
                <c:pt idx="17">
                  <c:v>8239.2711285201694</c:v>
                </c:pt>
                <c:pt idx="18">
                  <c:v>9325.3608815687912</c:v>
                </c:pt>
                <c:pt idx="19">
                  <c:v>11323.017566906265</c:v>
                </c:pt>
                <c:pt idx="20">
                  <c:v>9890.9856981942521</c:v>
                </c:pt>
                <c:pt idx="21">
                  <c:v>10212.514933541641</c:v>
                </c:pt>
              </c:numCache>
            </c:numRef>
          </c:val>
          <c:smooth val="0"/>
          <c:extLst>
            <c:ext xmlns:c16="http://schemas.microsoft.com/office/drawing/2014/chart" uri="{C3380CC4-5D6E-409C-BE32-E72D297353CC}">
              <c16:uniqueId val="{00000000-E96F-46A7-8FFB-A1C1CB04011C}"/>
            </c:ext>
          </c:extLst>
        </c:ser>
        <c:ser>
          <c:idx val="1"/>
          <c:order val="1"/>
          <c:tx>
            <c:strRef>
              <c:f>'[28.4.2021.xlsb]Checks presented for clearing '!$C$36</c:f>
              <c:strCache>
                <c:ptCount val="1"/>
                <c:pt idx="0">
                  <c:v>J.D.</c:v>
                </c:pt>
              </c:strCache>
            </c:strRef>
          </c:tx>
          <c:spPr>
            <a:ln w="28575" cap="rnd">
              <a:solidFill>
                <a:schemeClr val="accent2"/>
              </a:solidFill>
              <a:round/>
            </a:ln>
            <a:effectLst/>
          </c:spPr>
          <c:marker>
            <c:symbol val="none"/>
          </c:marker>
          <c:cat>
            <c:numRef>
              <c:f>'[28.4.2021.xlsb]Checks presented for clearing '!$F$34:$AA$34</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'[28.4.2021.xlsb]Checks presented for clearing '!$F$36:$AA$36</c:f>
              <c:numCache>
                <c:formatCode>_ * #,##0_ ;_ * \-#,##0_ ;_ * "-"??_ ;_ @_ </c:formatCode>
                <c:ptCount val="22"/>
                <c:pt idx="0">
                  <c:v>609.87239099999999</c:v>
                </c:pt>
                <c:pt idx="1">
                  <c:v>473.31815799999998</c:v>
                </c:pt>
                <c:pt idx="2">
                  <c:v>427.85165352112682</c:v>
                </c:pt>
                <c:pt idx="3">
                  <c:v>270.23911549295775</c:v>
                </c:pt>
                <c:pt idx="4">
                  <c:v>211.6399957746479</c:v>
                </c:pt>
                <c:pt idx="5">
                  <c:v>213.74191697292363</c:v>
                </c:pt>
                <c:pt idx="6">
                  <c:v>297.36014662341324</c:v>
                </c:pt>
                <c:pt idx="7">
                  <c:v>625.12712283779979</c:v>
                </c:pt>
                <c:pt idx="8">
                  <c:v>444.722219</c:v>
                </c:pt>
                <c:pt idx="9">
                  <c:v>431.58505912834983</c:v>
                </c:pt>
                <c:pt idx="10">
                  <c:v>614.03591489421729</c:v>
                </c:pt>
                <c:pt idx="11">
                  <c:v>532.42030561354034</c:v>
                </c:pt>
                <c:pt idx="12">
                  <c:v>579.53649235543025</c:v>
                </c:pt>
                <c:pt idx="13">
                  <c:v>915.14809590973221</c:v>
                </c:pt>
                <c:pt idx="14">
                  <c:v>596.21050276445692</c:v>
                </c:pt>
                <c:pt idx="15">
                  <c:v>460.65385197461217</c:v>
                </c:pt>
                <c:pt idx="16">
                  <c:v>568.28686493653049</c:v>
                </c:pt>
                <c:pt idx="17">
                  <c:v>610.04018121297599</c:v>
                </c:pt>
                <c:pt idx="18">
                  <c:v>718.57891330042321</c:v>
                </c:pt>
                <c:pt idx="19">
                  <c:v>845.79639641748952</c:v>
                </c:pt>
                <c:pt idx="20">
                  <c:v>699.18252619181953</c:v>
                </c:pt>
                <c:pt idx="21">
                  <c:v>657.56557998589562</c:v>
                </c:pt>
              </c:numCache>
            </c:numRef>
          </c:val>
          <c:smooth val="0"/>
          <c:extLst>
            <c:ext xmlns:c16="http://schemas.microsoft.com/office/drawing/2014/chart" uri="{C3380CC4-5D6E-409C-BE32-E72D297353CC}">
              <c16:uniqueId val="{00000001-E96F-46A7-8FFB-A1C1CB04011C}"/>
            </c:ext>
          </c:extLst>
        </c:ser>
        <c:ser>
          <c:idx val="2"/>
          <c:order val="2"/>
          <c:tx>
            <c:strRef>
              <c:f>'[28.4.2021.xlsb]Checks presented for clearing '!$C$37</c:f>
              <c:strCache>
                <c:ptCount val="1"/>
                <c:pt idx="0">
                  <c:v>USD</c:v>
                </c:pt>
              </c:strCache>
            </c:strRef>
          </c:tx>
          <c:spPr>
            <a:ln w="28575" cap="rnd">
              <a:solidFill>
                <a:schemeClr val="accent3"/>
              </a:solidFill>
              <a:round/>
            </a:ln>
            <a:effectLst/>
          </c:spPr>
          <c:marker>
            <c:symbol val="none"/>
          </c:marker>
          <c:cat>
            <c:numRef>
              <c:f>'[28.4.2021.xlsb]Checks presented for clearing '!$F$34:$AA$34</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'[28.4.2021.xlsb]Checks presented for clearing '!$F$37:$AA$37</c:f>
              <c:numCache>
                <c:formatCode>_ * #,##0_ ;_ * \-#,##0_ ;_ * "-"??_ ;_ @_ </c:formatCode>
                <c:ptCount val="22"/>
                <c:pt idx="0">
                  <c:v>1019.373795</c:v>
                </c:pt>
                <c:pt idx="1">
                  <c:v>1227.6421620000001</c:v>
                </c:pt>
                <c:pt idx="2">
                  <c:v>1358.254733</c:v>
                </c:pt>
                <c:pt idx="3">
                  <c:v>1042.579749</c:v>
                </c:pt>
                <c:pt idx="4">
                  <c:v>763.59452499999998</c:v>
                </c:pt>
                <c:pt idx="5">
                  <c:v>971.73006599999997</c:v>
                </c:pt>
                <c:pt idx="6">
                  <c:v>1063.1654269999999</c:v>
                </c:pt>
                <c:pt idx="7">
                  <c:v>1444.7598623400002</c:v>
                </c:pt>
                <c:pt idx="8">
                  <c:v>1330.8572790000001</c:v>
                </c:pt>
                <c:pt idx="9">
                  <c:v>1423.7230781200001</c:v>
                </c:pt>
                <c:pt idx="10">
                  <c:v>1804.8391153699999</c:v>
                </c:pt>
                <c:pt idx="11">
                  <c:v>1945.3170004099998</c:v>
                </c:pt>
                <c:pt idx="12">
                  <c:v>2193.1615078600003</c:v>
                </c:pt>
                <c:pt idx="13">
                  <c:v>2743.2400000000002</c:v>
                </c:pt>
                <c:pt idx="14">
                  <c:v>1918.36168675</c:v>
                </c:pt>
                <c:pt idx="15">
                  <c:v>2144.9153799400001</c:v>
                </c:pt>
                <c:pt idx="16">
                  <c:v>2184.6687617300004</c:v>
                </c:pt>
                <c:pt idx="17">
                  <c:v>2199.5504275200001</c:v>
                </c:pt>
                <c:pt idx="18">
                  <c:v>2586.4095947300002</c:v>
                </c:pt>
                <c:pt idx="19">
                  <c:v>2834.6326475599999</c:v>
                </c:pt>
                <c:pt idx="20">
                  <c:v>2094.3334437399999</c:v>
                </c:pt>
                <c:pt idx="21">
                  <c:v>1854.9428333200001</c:v>
                </c:pt>
              </c:numCache>
            </c:numRef>
          </c:val>
          <c:smooth val="0"/>
          <c:extLst>
            <c:ext xmlns:c16="http://schemas.microsoft.com/office/drawing/2014/chart" uri="{C3380CC4-5D6E-409C-BE32-E72D297353CC}">
              <c16:uniqueId val="{00000002-E96F-46A7-8FFB-A1C1CB04011C}"/>
            </c:ext>
          </c:extLst>
        </c:ser>
        <c:ser>
          <c:idx val="3"/>
          <c:order val="3"/>
          <c:tx>
            <c:strRef>
              <c:f>'[28.4.2021.xlsb]Checks presented for clearing '!$C$38</c:f>
              <c:strCache>
                <c:ptCount val="1"/>
                <c:pt idx="0">
                  <c:v>Euro</c:v>
                </c:pt>
              </c:strCache>
            </c:strRef>
          </c:tx>
          <c:spPr>
            <a:ln w="28575" cap="rnd">
              <a:solidFill>
                <a:schemeClr val="accent4"/>
              </a:solidFill>
              <a:round/>
            </a:ln>
            <a:effectLst/>
          </c:spPr>
          <c:marker>
            <c:symbol val="none"/>
          </c:marker>
          <c:cat>
            <c:numRef>
              <c:f>'[28.4.2021.xlsb]Checks presented for clearing '!$F$34:$AA$34</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'[28.4.2021.xlsb]Checks presented for clearing '!$F$38:$AA$38</c:f>
              <c:numCache>
                <c:formatCode>_ * #,##0_ ;_ * \-#,##0_ ;_ * "-"??_ ;_ @_ </c:formatCode>
                <c:ptCount val="22"/>
                <c:pt idx="0">
                  <c:v>0</c:v>
                </c:pt>
                <c:pt idx="1">
                  <c:v>0</c:v>
                </c:pt>
                <c:pt idx="2">
                  <c:v>0</c:v>
                </c:pt>
                <c:pt idx="3">
                  <c:v>0</c:v>
                </c:pt>
                <c:pt idx="4">
                  <c:v>0</c:v>
                </c:pt>
                <c:pt idx="5">
                  <c:v>0</c:v>
                </c:pt>
                <c:pt idx="6">
                  <c:v>16.491365528759616</c:v>
                </c:pt>
                <c:pt idx="7">
                  <c:v>42.935297297297296</c:v>
                </c:pt>
                <c:pt idx="8">
                  <c:v>36.250526000000001</c:v>
                </c:pt>
                <c:pt idx="9">
                  <c:v>35.374649312878816</c:v>
                </c:pt>
                <c:pt idx="10">
                  <c:v>72.757348500402884</c:v>
                </c:pt>
                <c:pt idx="11">
                  <c:v>71.233143298720137</c:v>
                </c:pt>
                <c:pt idx="12">
                  <c:v>106.84705408734794</c:v>
                </c:pt>
                <c:pt idx="13">
                  <c:v>235.49894517145617</c:v>
                </c:pt>
                <c:pt idx="14">
                  <c:v>76.53029995382866</c:v>
                </c:pt>
                <c:pt idx="15">
                  <c:v>238.97383766348338</c:v>
                </c:pt>
                <c:pt idx="16">
                  <c:v>184.6631791836362</c:v>
                </c:pt>
                <c:pt idx="17">
                  <c:v>82.542077699815721</c:v>
                </c:pt>
                <c:pt idx="18">
                  <c:v>61.176971123002765</c:v>
                </c:pt>
                <c:pt idx="19">
                  <c:v>69.322565826709919</c:v>
                </c:pt>
                <c:pt idx="20">
                  <c:v>45.539279171828127</c:v>
                </c:pt>
                <c:pt idx="21">
                  <c:v>38.019385115284535</c:v>
                </c:pt>
              </c:numCache>
            </c:numRef>
          </c:val>
          <c:smooth val="0"/>
          <c:extLst>
            <c:ext xmlns:c16="http://schemas.microsoft.com/office/drawing/2014/chart" uri="{C3380CC4-5D6E-409C-BE32-E72D297353CC}">
              <c16:uniqueId val="{00000003-E96F-46A7-8FFB-A1C1CB04011C}"/>
            </c:ext>
          </c:extLst>
        </c:ser>
        <c:dLbls>
          <c:showLegendKey val="0"/>
          <c:showVal val="0"/>
          <c:showCatName val="0"/>
          <c:showSerName val="0"/>
          <c:showPercent val="0"/>
          <c:showBubbleSize val="0"/>
        </c:dLbls>
        <c:smooth val="0"/>
        <c:axId val="1808678944"/>
        <c:axId val="1778802960"/>
      </c:lineChart>
      <c:catAx>
        <c:axId val="180867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778802960"/>
        <c:crosses val="autoZero"/>
        <c:auto val="1"/>
        <c:lblAlgn val="ctr"/>
        <c:lblOffset val="100"/>
        <c:noMultiLvlLbl val="0"/>
      </c:catAx>
      <c:valAx>
        <c:axId val="177880296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0867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'[28.4.2021.xlsb]Checks presented for clearing '!$C$44</c:f>
              <c:strCache>
                <c:ptCount val="1"/>
                <c:pt idx="0">
                  <c:v>NIS</c:v>
                </c:pt>
              </c:strCache>
            </c:strRef>
          </c:tx>
          <c:spPr>
            <a:ln w="28575" cap="rnd">
              <a:solidFill>
                <a:schemeClr val="accent1"/>
              </a:solidFill>
              <a:round/>
            </a:ln>
            <a:effectLst/>
          </c:spPr>
          <c:marker>
            <c:symbol val="none"/>
          </c:marker>
          <c:cat>
            <c:numRef>
              <c:f>'[28.4.2021.xlsb]Checks presented for clearing '!$F$43:$AA$43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'[28.4.2021.xlsb]Checks presented for clearing '!$F$44:$AA$44</c:f>
              <c:numCache>
                <c:formatCode>0%</c:formatCode>
                <c:ptCount val="22"/>
                <c:pt idx="0">
                  <c:v>0.57198433649786529</c:v>
                </c:pt>
                <c:pt idx="1">
                  <c:v>0.66559243223139797</c:v>
                </c:pt>
                <c:pt idx="2">
                  <c:v>0.66449981814583292</c:v>
                </c:pt>
                <c:pt idx="3">
                  <c:v>0.66276335187461777</c:v>
                </c:pt>
                <c:pt idx="4">
                  <c:v>0.62566153757024878</c:v>
                </c:pt>
                <c:pt idx="5">
                  <c:v>0.62101806080361188</c:v>
                </c:pt>
                <c:pt idx="6">
                  <c:v>0.65135256034562139</c:v>
                </c:pt>
                <c:pt idx="7">
                  <c:v>0.60726341780106818</c:v>
                </c:pt>
                <c:pt idx="8">
                  <c:v>0.65497163169527806</c:v>
                </c:pt>
                <c:pt idx="9">
                  <c:v>0.66469055707226676</c:v>
                </c:pt>
                <c:pt idx="10">
                  <c:v>0.69606192825820168</c:v>
                </c:pt>
                <c:pt idx="11">
                  <c:v>0.68544757459132433</c:v>
                </c:pt>
                <c:pt idx="12">
                  <c:v>0.69873773688670737</c:v>
                </c:pt>
                <c:pt idx="13">
                  <c:v>0.67263610392688178</c:v>
                </c:pt>
                <c:pt idx="14">
                  <c:v>0.73092509697357355</c:v>
                </c:pt>
                <c:pt idx="15">
                  <c:v>0.73080842957835046</c:v>
                </c:pt>
                <c:pt idx="16">
                  <c:v>0.73577341116967832</c:v>
                </c:pt>
                <c:pt idx="17">
                  <c:v>0.74018257404805032</c:v>
                </c:pt>
                <c:pt idx="18">
                  <c:v>0.73477063487248873</c:v>
                </c:pt>
                <c:pt idx="19">
                  <c:v>0.75122344369221206</c:v>
                </c:pt>
                <c:pt idx="20">
                  <c:v>0.77697988083013425</c:v>
                </c:pt>
                <c:pt idx="21">
                  <c:v>0.80016302914713067</c:v>
                </c:pt>
              </c:numCache>
            </c:numRef>
          </c:val>
          <c:smooth val="0"/>
          <c:extLst>
            <c:ext xmlns:c16="http://schemas.microsoft.com/office/drawing/2014/chart" uri="{C3380CC4-5D6E-409C-BE32-E72D297353CC}">
              <c16:uniqueId val="{00000000-DAD6-46D9-9F96-FADEABE6EA55}"/>
            </c:ext>
          </c:extLst>
        </c:ser>
        <c:ser>
          <c:idx val="1"/>
          <c:order val="1"/>
          <c:tx>
            <c:strRef>
              <c:f>'[28.4.2021.xlsb]Checks presented for clearing '!$C$45</c:f>
              <c:strCache>
                <c:ptCount val="1"/>
                <c:pt idx="0">
                  <c:v>J.D.</c:v>
                </c:pt>
              </c:strCache>
            </c:strRef>
          </c:tx>
          <c:spPr>
            <a:ln w="28575" cap="rnd">
              <a:solidFill>
                <a:schemeClr val="accent2"/>
              </a:solidFill>
              <a:round/>
            </a:ln>
            <a:effectLst/>
          </c:spPr>
          <c:marker>
            <c:symbol val="none"/>
          </c:marker>
          <c:cat>
            <c:numRef>
              <c:f>'[28.4.2021.xlsb]Checks presented for clearing '!$F$43:$AA$43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'[28.4.2021.xlsb]Checks presented for clearing '!$F$45:$AA$45</c:f>
              <c:numCache>
                <c:formatCode>0%</c:formatCode>
                <c:ptCount val="22"/>
                <c:pt idx="0">
                  <c:v>0.16021822750211326</c:v>
                </c:pt>
                <c:pt idx="1">
                  <c:v>9.3054007278367865E-2</c:v>
                </c:pt>
                <c:pt idx="2">
                  <c:v>8.0367165498204912E-2</c:v>
                </c:pt>
                <c:pt idx="3">
                  <c:v>6.9418970100198457E-2</c:v>
                </c:pt>
                <c:pt idx="4">
                  <c:v>8.1236860385121276E-2</c:v>
                </c:pt>
                <c:pt idx="5">
                  <c:v>6.8330865128342841E-2</c:v>
                </c:pt>
                <c:pt idx="6">
                  <c:v>7.5288727994395968E-2</c:v>
                </c:pt>
                <c:pt idx="7">
                  <c:v>0.11620016113024072</c:v>
                </c:pt>
                <c:pt idx="8">
                  <c:v>8.4678518860823546E-2</c:v>
                </c:pt>
                <c:pt idx="9">
                  <c:v>7.6540891354634058E-2</c:v>
                </c:pt>
                <c:pt idx="10">
                  <c:v>7.4902258272021724E-2</c:v>
                </c:pt>
                <c:pt idx="11">
                  <c:v>6.5702644184084891E-2</c:v>
                </c:pt>
                <c:pt idx="12">
                  <c:v>6.063196510256038E-2</c:v>
                </c:pt>
                <c:pt idx="13">
                  <c:v>7.693763147215528E-2</c:v>
                </c:pt>
                <c:pt idx="14">
                  <c:v>6.1913908796252859E-2</c:v>
                </c:pt>
                <c:pt idx="15">
                  <c:v>4.3593691781302603E-2</c:v>
                </c:pt>
                <c:pt idx="16">
                  <c:v>5.1115038990159532E-2</c:v>
                </c:pt>
                <c:pt idx="17">
                  <c:v>5.480352625366991E-2</c:v>
                </c:pt>
                <c:pt idx="18">
                  <c:v>5.6618793742908957E-2</c:v>
                </c:pt>
                <c:pt idx="19">
                  <c:v>5.6114200814828576E-2</c:v>
                </c:pt>
                <c:pt idx="20">
                  <c:v>5.4923823818510902E-2</c:v>
                </c:pt>
                <c:pt idx="21">
                  <c:v>5.1521067021043261E-2</c:v>
                </c:pt>
              </c:numCache>
            </c:numRef>
          </c:val>
          <c:smooth val="0"/>
          <c:extLst>
            <c:ext xmlns:c16="http://schemas.microsoft.com/office/drawing/2014/chart" uri="{C3380CC4-5D6E-409C-BE32-E72D297353CC}">
              <c16:uniqueId val="{00000001-DAD6-46D9-9F96-FADEABE6EA55}"/>
            </c:ext>
          </c:extLst>
        </c:ser>
        <c:ser>
          <c:idx val="2"/>
          <c:order val="2"/>
          <c:tx>
            <c:strRef>
              <c:f>'[28.4.2021.xlsb]Checks presented for clearing '!$C$46</c:f>
              <c:strCache>
                <c:ptCount val="1"/>
                <c:pt idx="0">
                  <c:v>USD</c:v>
                </c:pt>
              </c:strCache>
            </c:strRef>
          </c:tx>
          <c:spPr>
            <a:ln w="28575" cap="rnd">
              <a:solidFill>
                <a:schemeClr val="accent3"/>
              </a:solidFill>
              <a:round/>
            </a:ln>
            <a:effectLst/>
          </c:spPr>
          <c:marker>
            <c:symbol val="none"/>
          </c:marker>
          <c:cat>
            <c:numRef>
              <c:f>'[28.4.2021.xlsb]Checks presented for clearing '!$F$43:$AA$43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'[28.4.2021.xlsb]Checks presented for clearing '!$F$46:$AA$46</c:f>
              <c:numCache>
                <c:formatCode>0%</c:formatCode>
                <c:ptCount val="22"/>
                <c:pt idx="0">
                  <c:v>0.26779743600002143</c:v>
                </c:pt>
                <c:pt idx="1">
                  <c:v>0.24135356049023429</c:v>
                </c:pt>
                <c:pt idx="2">
                  <c:v>0.25513301635596225</c:v>
                </c:pt>
                <c:pt idx="3">
                  <c:v>0.2678176780251838</c:v>
                </c:pt>
                <c:pt idx="4">
                  <c:v>0.29310160204462987</c:v>
                </c:pt>
                <c:pt idx="5">
                  <c:v>0.31065107406804532</c:v>
                </c:pt>
                <c:pt idx="6">
                  <c:v>0.26918325658421094</c:v>
                </c:pt>
                <c:pt idx="7">
                  <c:v>0.26855550281726004</c:v>
                </c:pt>
                <c:pt idx="8">
                  <c:v>0.25340542564810736</c:v>
                </c:pt>
                <c:pt idx="9">
                  <c:v>0.25249491644023858</c:v>
                </c:pt>
                <c:pt idx="10">
                  <c:v>0.22016061647172566</c:v>
                </c:pt>
                <c:pt idx="11">
                  <c:v>0.24005934663950021</c:v>
                </c:pt>
                <c:pt idx="12">
                  <c:v>0.22945180115990371</c:v>
                </c:pt>
                <c:pt idx="13">
                  <c:v>0.23062757722275096</c:v>
                </c:pt>
                <c:pt idx="14">
                  <c:v>0.19921365014696613</c:v>
                </c:pt>
                <c:pt idx="15">
                  <c:v>0.20298273762233343</c:v>
                </c:pt>
                <c:pt idx="16">
                  <c:v>0.19650186521359136</c:v>
                </c:pt>
                <c:pt idx="17">
                  <c:v>0.19759865548721853</c:v>
                </c:pt>
                <c:pt idx="18">
                  <c:v>0.20379027086406484</c:v>
                </c:pt>
                <c:pt idx="19">
                  <c:v>0.18806316306760029</c:v>
                </c:pt>
                <c:pt idx="20">
                  <c:v>0.16451898720597175</c:v>
                </c:pt>
                <c:pt idx="21">
                  <c:v>0.14533703853193394</c:v>
                </c:pt>
              </c:numCache>
            </c:numRef>
          </c:val>
          <c:smooth val="0"/>
          <c:extLst>
            <c:ext xmlns:c16="http://schemas.microsoft.com/office/drawing/2014/chart" uri="{C3380CC4-5D6E-409C-BE32-E72D297353CC}">
              <c16:uniqueId val="{00000002-DAD6-46D9-9F96-FADEABE6EA55}"/>
            </c:ext>
          </c:extLst>
        </c:ser>
        <c:ser>
          <c:idx val="3"/>
          <c:order val="3"/>
          <c:tx>
            <c:strRef>
              <c:f>'[28.4.2021.xlsb]Checks presented for clearing '!$C$47</c:f>
              <c:strCache>
                <c:ptCount val="1"/>
                <c:pt idx="0">
                  <c:v>Euro</c:v>
                </c:pt>
              </c:strCache>
            </c:strRef>
          </c:tx>
          <c:spPr>
            <a:ln w="28575" cap="rnd">
              <a:solidFill>
                <a:schemeClr val="accent4"/>
              </a:solidFill>
              <a:round/>
            </a:ln>
            <a:effectLst/>
          </c:spPr>
          <c:marker>
            <c:symbol val="none"/>
          </c:marker>
          <c:cat>
            <c:numRef>
              <c:f>'[28.4.2021.xlsb]Checks presented for clearing '!$F$43:$AA$43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'[28.4.2021.xlsb]Checks presented for clearing '!$F$47:$AA$47</c:f>
              <c:numCache>
                <c:formatCode>0%</c:formatCode>
                <c:ptCount val="22"/>
                <c:pt idx="0">
                  <c:v>0</c:v>
                </c:pt>
                <c:pt idx="1">
                  <c:v>0</c:v>
                </c:pt>
                <c:pt idx="2">
                  <c:v>0</c:v>
                </c:pt>
                <c:pt idx="3">
                  <c:v>0</c:v>
                </c:pt>
                <c:pt idx="4">
                  <c:v>0</c:v>
                </c:pt>
                <c:pt idx="5">
                  <c:v>0</c:v>
                </c:pt>
                <c:pt idx="6">
                  <c:v>4.1754550757716761E-3</c:v>
                </c:pt>
                <c:pt idx="7">
                  <c:v>7.9809182514309837E-3</c:v>
                </c:pt>
                <c:pt idx="8">
                  <c:v>6.9023779754205945E-3</c:v>
                </c:pt>
                <c:pt idx="9">
                  <c:v>6.2736351328606076E-3</c:v>
                </c:pt>
                <c:pt idx="10">
                  <c:v>8.8751969980510204E-3</c:v>
                </c:pt>
                <c:pt idx="11">
                  <c:v>8.79043458509054E-3</c:v>
                </c:pt>
                <c:pt idx="12">
                  <c:v>1.1178496850828654E-2</c:v>
                </c:pt>
                <c:pt idx="13">
                  <c:v>1.979868737821204E-2</c:v>
                </c:pt>
                <c:pt idx="14">
                  <c:v>7.94734408320741E-3</c:v>
                </c:pt>
                <c:pt idx="15">
                  <c:v>2.2615141018013426E-2</c:v>
                </c:pt>
                <c:pt idx="16">
                  <c:v>1.6609684626570753E-2</c:v>
                </c:pt>
                <c:pt idx="17">
                  <c:v>7.4152442110613096E-3</c:v>
                </c:pt>
                <c:pt idx="18">
                  <c:v>4.8203005205373463E-3</c:v>
                </c:pt>
                <c:pt idx="19">
                  <c:v>4.5991924253589028E-3</c:v>
                </c:pt>
                <c:pt idx="20">
                  <c:v>3.5773081453830177E-3</c:v>
                </c:pt>
                <c:pt idx="21">
                  <c:v>2.9788652998921326E-3</c:v>
                </c:pt>
              </c:numCache>
            </c:numRef>
          </c:val>
          <c:smooth val="0"/>
          <c:extLst>
            <c:ext xmlns:c16="http://schemas.microsoft.com/office/drawing/2014/chart" uri="{C3380CC4-5D6E-409C-BE32-E72D297353CC}">
              <c16:uniqueId val="{00000003-DAD6-46D9-9F96-FADEABE6EA55}"/>
            </c:ext>
          </c:extLst>
        </c:ser>
        <c:dLbls>
          <c:showLegendKey val="0"/>
          <c:showVal val="0"/>
          <c:showCatName val="0"/>
          <c:showSerName val="0"/>
          <c:showPercent val="0"/>
          <c:showBubbleSize val="0"/>
        </c:dLbls>
        <c:smooth val="0"/>
        <c:axId val="1808680544"/>
        <c:axId val="1874696576"/>
      </c:lineChart>
      <c:catAx>
        <c:axId val="18086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74696576"/>
        <c:crosses val="autoZero"/>
        <c:auto val="1"/>
        <c:lblAlgn val="ctr"/>
        <c:lblOffset val="100"/>
        <c:noMultiLvlLbl val="0"/>
      </c:catAx>
      <c:valAx>
        <c:axId val="1874696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0868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'[27.4.2021.xlsb]interest rates'!$R$42</c:f>
              <c:strCache>
                <c:ptCount val="1"/>
                <c:pt idx="0">
                  <c:v>BOI </c:v>
                </c:pt>
              </c:strCache>
            </c:strRef>
          </c:tx>
          <c:spPr>
            <a:ln w="28575" cap="rnd">
              <a:solidFill>
                <a:schemeClr val="accent1"/>
              </a:solidFill>
              <a:round/>
            </a:ln>
            <a:effectLst/>
          </c:spPr>
          <c:marker>
            <c:symbol val="none"/>
          </c:marker>
          <c:cat>
            <c:numRef>
              <c:f>'[27.4.2021.xlsb]interest rates'!$Q$43:$Q$55</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'[27.4.2021.xlsb]interest rates'!$R$43:$R$55</c:f>
              <c:numCache>
                <c:formatCode>General</c:formatCode>
                <c:ptCount val="13"/>
                <c:pt idx="0">
                  <c:v>3.9399999999999998E-2</c:v>
                </c:pt>
                <c:pt idx="1">
                  <c:v>3.6700000000000003E-2</c:v>
                </c:pt>
                <c:pt idx="2">
                  <c:v>7.7000000000000002E-3</c:v>
                </c:pt>
                <c:pt idx="3">
                  <c:v>1.6E-2</c:v>
                </c:pt>
                <c:pt idx="4">
                  <c:v>2.8799999999999999E-2</c:v>
                </c:pt>
                <c:pt idx="5">
                  <c:v>2.3541666666666669E-2</c:v>
                </c:pt>
                <c:pt idx="6">
                  <c:v>1.3891666666666667E-2</c:v>
                </c:pt>
                <c:pt idx="7">
                  <c:v>6.0416666666666665E-3</c:v>
                </c:pt>
                <c:pt idx="8">
                  <c:v>1.25E-3</c:v>
                </c:pt>
                <c:pt idx="9">
                  <c:v>1.0000000000000002E-3</c:v>
                </c:pt>
                <c:pt idx="10">
                  <c:v>1.0000000000000002E-3</c:v>
                </c:pt>
                <c:pt idx="11">
                  <c:v>1.1250000000000001E-3</c:v>
                </c:pt>
                <c:pt idx="12">
                  <c:v>2.5000000000000001E-3</c:v>
                </c:pt>
              </c:numCache>
            </c:numRef>
          </c:val>
          <c:smooth val="0"/>
          <c:extLst>
            <c:ext xmlns:c16="http://schemas.microsoft.com/office/drawing/2014/chart" uri="{C3380CC4-5D6E-409C-BE32-E72D297353CC}">
              <c16:uniqueId val="{00000000-0B65-470F-BAD2-1A31FEFFE6BA}"/>
            </c:ext>
          </c:extLst>
        </c:ser>
        <c:ser>
          <c:idx val="1"/>
          <c:order val="1"/>
          <c:tx>
            <c:strRef>
              <c:f>'[27.4.2021.xlsb]interest rates'!$S$42</c:f>
              <c:strCache>
                <c:ptCount val="1"/>
                <c:pt idx="0">
                  <c:v>PA banking system NIS loans</c:v>
                </c:pt>
              </c:strCache>
            </c:strRef>
          </c:tx>
          <c:spPr>
            <a:ln w="28575" cap="rnd">
              <a:solidFill>
                <a:schemeClr val="accent2"/>
              </a:solidFill>
              <a:round/>
            </a:ln>
            <a:effectLst/>
          </c:spPr>
          <c:marker>
            <c:symbol val="none"/>
          </c:marker>
          <c:cat>
            <c:numRef>
              <c:f>'[27.4.2021.xlsb]interest rates'!$Q$43:$Q$55</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'[27.4.2021.xlsb]interest rates'!$S$43:$S$55</c:f>
              <c:numCache>
                <c:formatCode>General</c:formatCode>
                <c:ptCount val="13"/>
                <c:pt idx="0">
                  <c:v>0.11325</c:v>
                </c:pt>
                <c:pt idx="1">
                  <c:v>0.11</c:v>
                </c:pt>
                <c:pt idx="2">
                  <c:v>9.2749999999999999E-2</c:v>
                </c:pt>
                <c:pt idx="3">
                  <c:v>8.9749999999999996E-2</c:v>
                </c:pt>
                <c:pt idx="4">
                  <c:v>9.5000000000000001E-2</c:v>
                </c:pt>
                <c:pt idx="5">
                  <c:v>9.2009552414979032E-2</c:v>
                </c:pt>
                <c:pt idx="6">
                  <c:v>9.3482731141758008E-2</c:v>
                </c:pt>
                <c:pt idx="7">
                  <c:v>9.0871738989199854E-2</c:v>
                </c:pt>
                <c:pt idx="8">
                  <c:v>7.7952595433289959E-2</c:v>
                </c:pt>
                <c:pt idx="9">
                  <c:v>6.9389567760404086E-2</c:v>
                </c:pt>
                <c:pt idx="10">
                  <c:v>7.0896008712174191E-2</c:v>
                </c:pt>
                <c:pt idx="11">
                  <c:v>7.1369283257372892E-2</c:v>
                </c:pt>
                <c:pt idx="12">
                  <c:v>7.073426589442075E-2</c:v>
                </c:pt>
              </c:numCache>
            </c:numRef>
          </c:val>
          <c:smooth val="0"/>
          <c:extLst>
            <c:ext xmlns:c16="http://schemas.microsoft.com/office/drawing/2014/chart" uri="{C3380CC4-5D6E-409C-BE32-E72D297353CC}">
              <c16:uniqueId val="{00000001-0B65-470F-BAD2-1A31FEFFE6BA}"/>
            </c:ext>
          </c:extLst>
        </c:ser>
        <c:dLbls>
          <c:showLegendKey val="0"/>
          <c:showVal val="0"/>
          <c:showCatName val="0"/>
          <c:showSerName val="0"/>
          <c:showPercent val="0"/>
          <c:showBubbleSize val="0"/>
        </c:dLbls>
        <c:smooth val="0"/>
        <c:axId val="131800528"/>
        <c:axId val="127339936"/>
      </c:lineChart>
      <c:catAx>
        <c:axId val="13180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27339936"/>
        <c:crosses val="autoZero"/>
        <c:auto val="1"/>
        <c:lblAlgn val="ctr"/>
        <c:lblOffset val="100"/>
        <c:noMultiLvlLbl val="0"/>
      </c:catAx>
      <c:valAx>
        <c:axId val="127339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3180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'[27.4.2021.xlsb]Inflation (1)'!$B$33</c:f>
              <c:strCache>
                <c:ptCount val="1"/>
                <c:pt idx="0">
                  <c:v>WB</c:v>
                </c:pt>
              </c:strCache>
            </c:strRef>
          </c:tx>
          <c:spPr>
            <a:ln w="28575" cap="rnd">
              <a:solidFill>
                <a:schemeClr val="accent1"/>
              </a:solidFill>
              <a:round/>
            </a:ln>
            <a:effectLst/>
          </c:spPr>
          <c:marker>
            <c:symbol val="none"/>
          </c:marker>
          <c:cat>
            <c:numRef>
              <c:f>'[27.4.2021.xlsb]Inflation (1)'!$A$34:$A$56</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'[27.4.2021.xlsb]Inflation (1)'!$B$34:$B$56</c:f>
              <c:numCache>
                <c:formatCode>0.00%</c:formatCode>
                <c:ptCount val="23"/>
                <c:pt idx="0">
                  <c:v>6.9754723235001315E-2</c:v>
                </c:pt>
                <c:pt idx="1">
                  <c:v>4.9404328494632388E-2</c:v>
                </c:pt>
                <c:pt idx="2">
                  <c:v>6.498568012046424E-2</c:v>
                </c:pt>
                <c:pt idx="3">
                  <c:v>3.1965622400887073E-2</c:v>
                </c:pt>
                <c:pt idx="4">
                  <c:v>2.6280794132659713E-2</c:v>
                </c:pt>
                <c:pt idx="5">
                  <c:v>6.0730997022348854E-2</c:v>
                </c:pt>
                <c:pt idx="6">
                  <c:v>4.3020637319924671E-2</c:v>
                </c:pt>
                <c:pt idx="7">
                  <c:v>2.8930899454625125E-2</c:v>
                </c:pt>
                <c:pt idx="8">
                  <c:v>3.9996240727163457E-2</c:v>
                </c:pt>
                <c:pt idx="9">
                  <c:v>5.0202511560660357E-2</c:v>
                </c:pt>
                <c:pt idx="10">
                  <c:v>7.4856663274760482E-3</c:v>
                </c:pt>
                <c:pt idx="11">
                  <c:v>9.807739313934638E-2</c:v>
                </c:pt>
                <c:pt idx="12">
                  <c:v>5.7231152261054685E-3</c:v>
                </c:pt>
                <c:pt idx="13">
                  <c:v>4.23640189550889E-2</c:v>
                </c:pt>
                <c:pt idx="14">
                  <c:v>3.5445525549010481E-2</c:v>
                </c:pt>
                <c:pt idx="15">
                  <c:v>4.0791835625464179E-2</c:v>
                </c:pt>
                <c:pt idx="16">
                  <c:v>3.0999443896162493E-2</c:v>
                </c:pt>
                <c:pt idx="17">
                  <c:v>1.1986285631852667E-2</c:v>
                </c:pt>
                <c:pt idx="18">
                  <c:v>1.2863298652920463E-2</c:v>
                </c:pt>
                <c:pt idx="19">
                  <c:v>-7.6594875430979759E-4</c:v>
                </c:pt>
                <c:pt idx="20">
                  <c:v>-7.9559609438395462E-5</c:v>
                </c:pt>
                <c:pt idx="21">
                  <c:v>4.1000000000000003E-3</c:v>
                </c:pt>
                <c:pt idx="22">
                  <c:v>1.8100000000000002E-2</c:v>
                </c:pt>
              </c:numCache>
            </c:numRef>
          </c:val>
          <c:smooth val="0"/>
          <c:extLst>
            <c:ext xmlns:c16="http://schemas.microsoft.com/office/drawing/2014/chart" uri="{C3380CC4-5D6E-409C-BE32-E72D297353CC}">
              <c16:uniqueId val="{00000000-0915-410A-97AA-643979F7A96F}"/>
            </c:ext>
          </c:extLst>
        </c:ser>
        <c:ser>
          <c:idx val="1"/>
          <c:order val="1"/>
          <c:tx>
            <c:strRef>
              <c:f>'[27.4.2021.xlsb]Inflation (1)'!$C$33</c:f>
              <c:strCache>
                <c:ptCount val="1"/>
                <c:pt idx="0">
                  <c:v>GS</c:v>
                </c:pt>
              </c:strCache>
            </c:strRef>
          </c:tx>
          <c:spPr>
            <a:ln w="28575" cap="rnd">
              <a:solidFill>
                <a:schemeClr val="accent2"/>
              </a:solidFill>
              <a:round/>
            </a:ln>
            <a:effectLst/>
          </c:spPr>
          <c:marker>
            <c:symbol val="none"/>
          </c:marker>
          <c:cat>
            <c:numRef>
              <c:f>'[27.4.2021.xlsb]Inflation (1)'!$A$34:$A$56</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'[27.4.2021.xlsb]Inflation (1)'!$C$34:$C$56</c:f>
              <c:numCache>
                <c:formatCode>0.00%</c:formatCode>
                <c:ptCount val="23"/>
                <c:pt idx="0">
                  <c:v>8.0889536520342295E-2</c:v>
                </c:pt>
                <c:pt idx="1">
                  <c:v>5.8788835100189944E-2</c:v>
                </c:pt>
                <c:pt idx="2">
                  <c:v>3.9876435139300101E-2</c:v>
                </c:pt>
                <c:pt idx="3">
                  <c:v>2.9616179325026481E-2</c:v>
                </c:pt>
                <c:pt idx="4">
                  <c:v>-1.0175950701370624E-2</c:v>
                </c:pt>
                <c:pt idx="5">
                  <c:v>2.0759096184039975E-2</c:v>
                </c:pt>
                <c:pt idx="6">
                  <c:v>2.4770783315834138E-2</c:v>
                </c:pt>
                <c:pt idx="7">
                  <c:v>3.1774725095441457E-2</c:v>
                </c:pt>
                <c:pt idx="8">
                  <c:v>2.4474373307975982E-2</c:v>
                </c:pt>
                <c:pt idx="9">
                  <c:v>4.6358170716709141E-2</c:v>
                </c:pt>
                <c:pt idx="10">
                  <c:v>1.5590051864857912E-2</c:v>
                </c:pt>
                <c:pt idx="11">
                  <c:v>0.13977360513649445</c:v>
                </c:pt>
                <c:pt idx="12">
                  <c:v>4.4203800368204184E-2</c:v>
                </c:pt>
                <c:pt idx="13">
                  <c:v>1.7170594648655283E-2</c:v>
                </c:pt>
                <c:pt idx="14">
                  <c:v>5.7340943524157237E-3</c:v>
                </c:pt>
                <c:pt idx="15">
                  <c:v>4.7994731806673485E-3</c:v>
                </c:pt>
                <c:pt idx="16">
                  <c:v>-7.6037994161296755E-3</c:v>
                </c:pt>
                <c:pt idx="17">
                  <c:v>2.8467211447737811E-2</c:v>
                </c:pt>
                <c:pt idx="18">
                  <c:v>1.7681032568094109E-2</c:v>
                </c:pt>
                <c:pt idx="19">
                  <c:v>-8.3537903429322571E-3</c:v>
                </c:pt>
                <c:pt idx="20">
                  <c:v>1.1094008872014171E-3</c:v>
                </c:pt>
                <c:pt idx="21">
                  <c:v>-1.3432091908234866E-2</c:v>
                </c:pt>
                <c:pt idx="22">
                  <c:v>4.0041051765700789E-3</c:v>
                </c:pt>
              </c:numCache>
            </c:numRef>
          </c:val>
          <c:smooth val="0"/>
          <c:extLst>
            <c:ext xmlns:c16="http://schemas.microsoft.com/office/drawing/2014/chart" uri="{C3380CC4-5D6E-409C-BE32-E72D297353CC}">
              <c16:uniqueId val="{00000001-0915-410A-97AA-643979F7A96F}"/>
            </c:ext>
          </c:extLst>
        </c:ser>
        <c:ser>
          <c:idx val="2"/>
          <c:order val="2"/>
          <c:tx>
            <c:strRef>
              <c:f>'[27.4.2021.xlsb]Inflation (1)'!$D$33</c:f>
              <c:strCache>
                <c:ptCount val="1"/>
                <c:pt idx="0">
                  <c:v>Israel</c:v>
                </c:pt>
              </c:strCache>
            </c:strRef>
          </c:tx>
          <c:spPr>
            <a:ln w="28575" cap="rnd">
              <a:solidFill>
                <a:schemeClr val="accent3"/>
              </a:solidFill>
              <a:round/>
            </a:ln>
            <a:effectLst/>
          </c:spPr>
          <c:marker>
            <c:symbol val="none"/>
          </c:marker>
          <c:cat>
            <c:numRef>
              <c:f>'[27.4.2021.xlsb]Inflation (1)'!$A$34:$A$56</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'[27.4.2021.xlsb]Inflation (1)'!$D$34:$D$56</c:f>
              <c:numCache>
                <c:formatCode>0.00%</c:formatCode>
                <c:ptCount val="23"/>
                <c:pt idx="0">
                  <c:v>6.9900000000000004E-2</c:v>
                </c:pt>
                <c:pt idx="1">
                  <c:v>8.6199999999999999E-2</c:v>
                </c:pt>
                <c:pt idx="2">
                  <c:v>1.34E-2</c:v>
                </c:pt>
                <c:pt idx="3">
                  <c:v>0</c:v>
                </c:pt>
                <c:pt idx="4">
                  <c:v>1.41E-2</c:v>
                </c:pt>
                <c:pt idx="5">
                  <c:v>6.5000000000000002E-2</c:v>
                </c:pt>
                <c:pt idx="6">
                  <c:v>-1.89E-2</c:v>
                </c:pt>
                <c:pt idx="7">
                  <c:v>1.21E-2</c:v>
                </c:pt>
                <c:pt idx="8">
                  <c:v>2.3900000000000001E-2</c:v>
                </c:pt>
                <c:pt idx="9">
                  <c:v>-1E-3</c:v>
                </c:pt>
                <c:pt idx="10">
                  <c:v>3.4000000000000002E-2</c:v>
                </c:pt>
                <c:pt idx="11">
                  <c:v>3.7999999999999999E-2</c:v>
                </c:pt>
                <c:pt idx="12">
                  <c:v>3.9100000000000003E-2</c:v>
                </c:pt>
                <c:pt idx="13">
                  <c:v>2.6599999999999999E-2</c:v>
                </c:pt>
                <c:pt idx="14">
                  <c:v>2.1700000000000001E-2</c:v>
                </c:pt>
                <c:pt idx="15">
                  <c:v>1.6299999999999999E-2</c:v>
                </c:pt>
                <c:pt idx="16">
                  <c:v>1.8200000000000001E-2</c:v>
                </c:pt>
                <c:pt idx="17">
                  <c:v>-2E-3</c:v>
                </c:pt>
                <c:pt idx="18">
                  <c:v>-0.01</c:v>
                </c:pt>
                <c:pt idx="19">
                  <c:v>-2E-3</c:v>
                </c:pt>
                <c:pt idx="20">
                  <c:v>4.0000000000000001E-3</c:v>
                </c:pt>
                <c:pt idx="21">
                  <c:v>8.0000000000000002E-3</c:v>
                </c:pt>
                <c:pt idx="22">
                  <c:v>6.0000000000000001E-3</c:v>
                </c:pt>
              </c:numCache>
            </c:numRef>
          </c:val>
          <c:smooth val="0"/>
          <c:extLst>
            <c:ext xmlns:c16="http://schemas.microsoft.com/office/drawing/2014/chart" uri="{C3380CC4-5D6E-409C-BE32-E72D297353CC}">
              <c16:uniqueId val="{00000002-0915-410A-97AA-643979F7A96F}"/>
            </c:ext>
          </c:extLst>
        </c:ser>
        <c:dLbls>
          <c:showLegendKey val="0"/>
          <c:showVal val="0"/>
          <c:showCatName val="0"/>
          <c:showSerName val="0"/>
          <c:showPercent val="0"/>
          <c:showBubbleSize val="0"/>
        </c:dLbls>
        <c:smooth val="0"/>
        <c:axId val="1165520496"/>
        <c:axId val="1165511344"/>
      </c:lineChart>
      <c:catAx>
        <c:axId val="116552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165511344"/>
        <c:crosses val="autoZero"/>
        <c:auto val="1"/>
        <c:lblAlgn val="ctr"/>
        <c:lblOffset val="100"/>
        <c:noMultiLvlLbl val="0"/>
      </c:catAx>
      <c:valAx>
        <c:axId val="116551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16552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'[14.1.2022 קובץ ראשי .xlsb]גיליון2'!$X$10</c:f>
              <c:strCache>
                <c:ptCount val="1"/>
                <c:pt idx="0">
                  <c:v>NIS</c:v>
                </c:pt>
              </c:strCache>
            </c:strRef>
          </c:tx>
          <c:spPr>
            <a:ln w="28575" cap="rnd">
              <a:solidFill>
                <a:schemeClr val="accent1"/>
              </a:solidFill>
              <a:round/>
            </a:ln>
            <a:effectLst/>
          </c:spPr>
          <c:marker>
            <c:symbol val="none"/>
          </c:marker>
          <c:cat>
            <c:numRef>
              <c:f>'[14.1.2022 קובץ ראשי .xlsb]גיליון2'!$W$11:$W$26</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'[14.1.2022 קובץ ראשי .xlsb]גיליון2'!$X$11:$X$26</c:f>
              <c:numCache>
                <c:formatCode>0.00%</c:formatCode>
                <c:ptCount val="16"/>
                <c:pt idx="0">
                  <c:v>0.15915216517354311</c:v>
                </c:pt>
                <c:pt idx="1">
                  <c:v>0.19682811174096698</c:v>
                </c:pt>
                <c:pt idx="2">
                  <c:v>0.22114248205269554</c:v>
                </c:pt>
                <c:pt idx="3">
                  <c:v>0.23727521188702452</c:v>
                </c:pt>
                <c:pt idx="4">
                  <c:v>0.2524755364472891</c:v>
                </c:pt>
                <c:pt idx="5">
                  <c:v>0.24962297664130836</c:v>
                </c:pt>
                <c:pt idx="6">
                  <c:v>0.28250637154731018</c:v>
                </c:pt>
                <c:pt idx="7">
                  <c:v>0.26714727646874448</c:v>
                </c:pt>
                <c:pt idx="8">
                  <c:v>0.27107152782714922</c:v>
                </c:pt>
                <c:pt idx="9">
                  <c:v>0.33244287463021527</c:v>
                </c:pt>
                <c:pt idx="10">
                  <c:v>0.34490491879082136</c:v>
                </c:pt>
                <c:pt idx="11">
                  <c:v>0.39560716437530813</c:v>
                </c:pt>
                <c:pt idx="12">
                  <c:v>0.3964475313175399</c:v>
                </c:pt>
                <c:pt idx="13">
                  <c:v>0.42768865422024599</c:v>
                </c:pt>
                <c:pt idx="14">
                  <c:v>0.57303433123987468</c:v>
                </c:pt>
                <c:pt idx="15">
                  <c:v>0.52570119618564204</c:v>
                </c:pt>
              </c:numCache>
            </c:numRef>
          </c:val>
          <c:smooth val="0"/>
          <c:extLst>
            <c:ext xmlns:c16="http://schemas.microsoft.com/office/drawing/2014/chart" uri="{C3380CC4-5D6E-409C-BE32-E72D297353CC}">
              <c16:uniqueId val="{00000000-BFBA-4E80-ADBB-2D2311F44C9E}"/>
            </c:ext>
          </c:extLst>
        </c:ser>
        <c:ser>
          <c:idx val="1"/>
          <c:order val="1"/>
          <c:tx>
            <c:strRef>
              <c:f>'[14.1.2022 קובץ ראשי .xlsb]גיליון2'!$Y$10</c:f>
              <c:strCache>
                <c:ptCount val="1"/>
                <c:pt idx="0">
                  <c:v>USD</c:v>
                </c:pt>
              </c:strCache>
            </c:strRef>
          </c:tx>
          <c:spPr>
            <a:ln w="28575" cap="rnd">
              <a:solidFill>
                <a:schemeClr val="accent2"/>
              </a:solidFill>
              <a:round/>
            </a:ln>
            <a:effectLst/>
          </c:spPr>
          <c:marker>
            <c:symbol val="none"/>
          </c:marker>
          <c:cat>
            <c:numRef>
              <c:f>'[14.1.2022 קובץ ראשי .xlsb]גיליון2'!$W$11:$W$26</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'[14.1.2022 קובץ ראשי .xlsb]גיליון2'!$Y$11:$Y$26</c:f>
              <c:numCache>
                <c:formatCode>0.00%</c:formatCode>
                <c:ptCount val="16"/>
                <c:pt idx="0">
                  <c:v>0.62799194319776819</c:v>
                </c:pt>
                <c:pt idx="1">
                  <c:v>0.59733674921093538</c:v>
                </c:pt>
                <c:pt idx="2">
                  <c:v>0.47492010336143925</c:v>
                </c:pt>
                <c:pt idx="3">
                  <c:v>0.47859178456218521</c:v>
                </c:pt>
                <c:pt idx="4">
                  <c:v>0.44841376505262343</c:v>
                </c:pt>
                <c:pt idx="5">
                  <c:v>0.41593412966252219</c:v>
                </c:pt>
                <c:pt idx="6">
                  <c:v>0.40701993632279443</c:v>
                </c:pt>
                <c:pt idx="7">
                  <c:v>0.40370353152809385</c:v>
                </c:pt>
                <c:pt idx="8">
                  <c:v>0.41293589169031109</c:v>
                </c:pt>
                <c:pt idx="9">
                  <c:v>0.41492382280934414</c:v>
                </c:pt>
                <c:pt idx="10">
                  <c:v>0.42374020102884224</c:v>
                </c:pt>
                <c:pt idx="11">
                  <c:v>0.45581776074930169</c:v>
                </c:pt>
                <c:pt idx="12">
                  <c:v>0.44526117632247098</c:v>
                </c:pt>
                <c:pt idx="13">
                  <c:v>0.45798681514791706</c:v>
                </c:pt>
                <c:pt idx="14">
                  <c:v>0.54339191967555089</c:v>
                </c:pt>
                <c:pt idx="15">
                  <c:v>0.48645855855011488</c:v>
                </c:pt>
              </c:numCache>
            </c:numRef>
          </c:val>
          <c:smooth val="0"/>
          <c:extLst>
            <c:ext xmlns:c16="http://schemas.microsoft.com/office/drawing/2014/chart" uri="{C3380CC4-5D6E-409C-BE32-E72D297353CC}">
              <c16:uniqueId val="{00000001-BFBA-4E80-ADBB-2D2311F44C9E}"/>
            </c:ext>
          </c:extLst>
        </c:ser>
        <c:ser>
          <c:idx val="2"/>
          <c:order val="2"/>
          <c:tx>
            <c:strRef>
              <c:f>'[14.1.2022 קובץ ראשי .xlsb]גיליון2'!$Z$10</c:f>
              <c:strCache>
                <c:ptCount val="1"/>
                <c:pt idx="0">
                  <c:v>J.D.</c:v>
                </c:pt>
              </c:strCache>
            </c:strRef>
          </c:tx>
          <c:spPr>
            <a:ln w="28575" cap="rnd">
              <a:solidFill>
                <a:schemeClr val="accent3"/>
              </a:solidFill>
              <a:round/>
            </a:ln>
            <a:effectLst/>
          </c:spPr>
          <c:marker>
            <c:symbol val="none"/>
          </c:marker>
          <c:cat>
            <c:numRef>
              <c:f>'[14.1.2022 קובץ ראשי .xlsb]גיליון2'!$W$11:$W$26</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'[14.1.2022 קובץ ראשי .xlsb]גיליון2'!$Z$11:$Z$26</c:f>
              <c:numCache>
                <c:formatCode>0.00%</c:formatCode>
                <c:ptCount val="16"/>
                <c:pt idx="0">
                  <c:v>0.22055179261467017</c:v>
                </c:pt>
                <c:pt idx="1">
                  <c:v>0.22730872728985757</c:v>
                </c:pt>
                <c:pt idx="2">
                  <c:v>0.21743487665534914</c:v>
                </c:pt>
                <c:pt idx="3">
                  <c:v>0.23270628687135927</c:v>
                </c:pt>
                <c:pt idx="4">
                  <c:v>0.20414608524794273</c:v>
                </c:pt>
                <c:pt idx="5">
                  <c:v>0.18619619809645097</c:v>
                </c:pt>
                <c:pt idx="6">
                  <c:v>0.1752736731491899</c:v>
                </c:pt>
                <c:pt idx="7">
                  <c:v>0.17560128728927896</c:v>
                </c:pt>
                <c:pt idx="8">
                  <c:v>0.18627100948146041</c:v>
                </c:pt>
                <c:pt idx="9">
                  <c:v>0.21296816172345201</c:v>
                </c:pt>
                <c:pt idx="10">
                  <c:v>0.20898563632159992</c:v>
                </c:pt>
                <c:pt idx="11">
                  <c:v>0.21551359040368079</c:v>
                </c:pt>
                <c:pt idx="12">
                  <c:v>0.21582399280273623</c:v>
                </c:pt>
                <c:pt idx="13">
                  <c:v>0.21950957082585962</c:v>
                </c:pt>
                <c:pt idx="14">
                  <c:v>0.25056355135261088</c:v>
                </c:pt>
                <c:pt idx="15">
                  <c:v>0.22987001937456847</c:v>
                </c:pt>
              </c:numCache>
            </c:numRef>
          </c:val>
          <c:smooth val="0"/>
          <c:extLst>
            <c:ext xmlns:c16="http://schemas.microsoft.com/office/drawing/2014/chart" uri="{C3380CC4-5D6E-409C-BE32-E72D297353CC}">
              <c16:uniqueId val="{00000002-BFBA-4E80-ADBB-2D2311F44C9E}"/>
            </c:ext>
          </c:extLst>
        </c:ser>
        <c:dLbls>
          <c:showLegendKey val="0"/>
          <c:showVal val="0"/>
          <c:showCatName val="0"/>
          <c:showSerName val="0"/>
          <c:showPercent val="0"/>
          <c:showBubbleSize val="0"/>
        </c:dLbls>
        <c:smooth val="0"/>
        <c:axId val="443158864"/>
        <c:axId val="443159696"/>
      </c:lineChart>
      <c:catAx>
        <c:axId val="44315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43159696"/>
        <c:crosses val="autoZero"/>
        <c:auto val="1"/>
        <c:lblAlgn val="ctr"/>
        <c:lblOffset val="100"/>
        <c:noMultiLvlLbl val="0"/>
      </c:catAx>
      <c:valAx>
        <c:axId val="443159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4315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גיליון4!$G$5</c:f>
              <c:strCache>
                <c:ptCount val="1"/>
              </c:strCache>
            </c:strRef>
          </c:tx>
          <c:spPr>
            <a:ln w="28575" cap="rnd">
              <a:solidFill>
                <a:schemeClr val="accent1"/>
              </a:solidFill>
              <a:round/>
            </a:ln>
            <a:effectLst/>
          </c:spPr>
          <c:marker>
            <c:symbol val="none"/>
          </c:marker>
          <c:cat>
            <c:numRef>
              <c:f>גיליון4!$F$6:$F$15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גיליון4!$G$6:$G$15</c:f>
              <c:numCache>
                <c:formatCode>General</c:formatCode>
                <c:ptCount val="10"/>
                <c:pt idx="0">
                  <c:v>31.6</c:v>
                </c:pt>
                <c:pt idx="1">
                  <c:v>27.6</c:v>
                </c:pt>
                <c:pt idx="2">
                  <c:v>31.5</c:v>
                </c:pt>
                <c:pt idx="3">
                  <c:v>33.799999999999997</c:v>
                </c:pt>
                <c:pt idx="4">
                  <c:v>38.799999999999997</c:v>
                </c:pt>
                <c:pt idx="5">
                  <c:v>37</c:v>
                </c:pt>
                <c:pt idx="6">
                  <c:v>44.7</c:v>
                </c:pt>
                <c:pt idx="7">
                  <c:v>43.3</c:v>
                </c:pt>
                <c:pt idx="8">
                  <c:v>38.299999999999997</c:v>
                </c:pt>
                <c:pt idx="9">
                  <c:v>40.5</c:v>
                </c:pt>
              </c:numCache>
            </c:numRef>
          </c:val>
          <c:smooth val="0"/>
          <c:extLst>
            <c:ext xmlns:c16="http://schemas.microsoft.com/office/drawing/2014/chart" uri="{C3380CC4-5D6E-409C-BE32-E72D297353CC}">
              <c16:uniqueId val="{00000000-58B9-4C82-8AE3-157DF1A424A7}"/>
            </c:ext>
          </c:extLst>
        </c:ser>
        <c:dLbls>
          <c:showLegendKey val="0"/>
          <c:showVal val="0"/>
          <c:showCatName val="0"/>
          <c:showSerName val="0"/>
          <c:showPercent val="0"/>
          <c:showBubbleSize val="0"/>
        </c:dLbls>
        <c:smooth val="0"/>
        <c:axId val="655299983"/>
        <c:axId val="655303311"/>
      </c:lineChart>
      <c:catAx>
        <c:axId val="655299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655303311"/>
        <c:crosses val="autoZero"/>
        <c:auto val="1"/>
        <c:lblAlgn val="ctr"/>
        <c:lblOffset val="100"/>
        <c:noMultiLvlLbl val="0"/>
      </c:catAx>
      <c:valAx>
        <c:axId val="655303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655299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numRef>
              <c:f>'גיליון1 (2)'!$G$16:$G$27</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'גיליון1 (2)'!$H$16:$H$27</c:f>
              <c:numCache>
                <c:formatCode>General</c:formatCode>
                <c:ptCount val="12"/>
                <c:pt idx="0">
                  <c:v>1.5</c:v>
                </c:pt>
                <c:pt idx="1">
                  <c:v>2.7</c:v>
                </c:pt>
                <c:pt idx="2">
                  <c:v>4.5999999999999996</c:v>
                </c:pt>
                <c:pt idx="3">
                  <c:v>5.4</c:v>
                </c:pt>
                <c:pt idx="4">
                  <c:v>5.6</c:v>
                </c:pt>
                <c:pt idx="5">
                  <c:v>9.1</c:v>
                </c:pt>
                <c:pt idx="6">
                  <c:v>8.9</c:v>
                </c:pt>
                <c:pt idx="7">
                  <c:v>8.4</c:v>
                </c:pt>
                <c:pt idx="8">
                  <c:v>13.5</c:v>
                </c:pt>
                <c:pt idx="9">
                  <c:v>12</c:v>
                </c:pt>
                <c:pt idx="10">
                  <c:v>15.1</c:v>
                </c:pt>
                <c:pt idx="11">
                  <c:v>16.8</c:v>
                </c:pt>
              </c:numCache>
            </c:numRef>
          </c:val>
          <c:extLst>
            <c:ext xmlns:c16="http://schemas.microsoft.com/office/drawing/2014/chart" uri="{C3380CC4-5D6E-409C-BE32-E72D297353CC}">
              <c16:uniqueId val="{00000000-0420-4084-8AA1-5FC77B59D91A}"/>
            </c:ext>
          </c:extLst>
        </c:ser>
        <c:dLbls>
          <c:dLblPos val="inEnd"/>
          <c:showLegendKey val="0"/>
          <c:showVal val="1"/>
          <c:showCatName val="0"/>
          <c:showSerName val="0"/>
          <c:showPercent val="0"/>
          <c:showBubbleSize val="0"/>
        </c:dLbls>
        <c:gapWidth val="219"/>
        <c:overlap val="-27"/>
        <c:axId val="1532786095"/>
        <c:axId val="294103407"/>
      </c:barChart>
      <c:catAx>
        <c:axId val="153278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94103407"/>
        <c:crosses val="autoZero"/>
        <c:auto val="1"/>
        <c:lblAlgn val="ctr"/>
        <c:lblOffset val="100"/>
        <c:noMultiLvlLbl val="0"/>
      </c:catAx>
      <c:valAx>
        <c:axId val="294103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532786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'[מזומן לתוצר בינלאומי.xlsx]גיליון3'!$B$1</c:f>
              <c:strCache>
                <c:ptCount val="1"/>
                <c:pt idx="0">
                  <c:v>Australia</c:v>
                </c:pt>
              </c:strCache>
            </c:strRef>
          </c:tx>
          <c:spPr>
            <a:ln w="28575" cap="rnd">
              <a:solidFill>
                <a:schemeClr val="accent1"/>
              </a:solidFill>
              <a:round/>
            </a:ln>
            <a:effectLst/>
          </c:spPr>
          <c:marker>
            <c:symbol val="none"/>
          </c:marker>
          <c:cat>
            <c:numRef>
              <c:f>'[מזומן לתוצר בינלאומי.xlsx]גיליון3'!$A$2:$A$21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'[מזומן לתוצר בינלאומי.xlsx]גיליון3'!$B$2:$B$21</c:f>
              <c:numCache>
                <c:formatCode>0%</c:formatCode>
                <c:ptCount val="20"/>
                <c:pt idx="0">
                  <c:v>4.0378944099559499E-2</c:v>
                </c:pt>
                <c:pt idx="1">
                  <c:v>4.4694317782627314E-2</c:v>
                </c:pt>
                <c:pt idx="2">
                  <c:v>4.3188295364937075E-2</c:v>
                </c:pt>
                <c:pt idx="3">
                  <c:v>4.1565659854547826E-2</c:v>
                </c:pt>
                <c:pt idx="4">
                  <c:v>4.1002720406972906E-2</c:v>
                </c:pt>
                <c:pt idx="5">
                  <c:v>3.9819700599640719E-2</c:v>
                </c:pt>
                <c:pt idx="6">
                  <c:v>3.8634969417712064E-2</c:v>
                </c:pt>
                <c:pt idx="7">
                  <c:v>3.8170689472128483E-2</c:v>
                </c:pt>
                <c:pt idx="8">
                  <c:v>4.1034529323609584E-2</c:v>
                </c:pt>
                <c:pt idx="9">
                  <c:v>3.9644897707212745E-2</c:v>
                </c:pt>
                <c:pt idx="10">
                  <c:v>3.7470747175675653E-2</c:v>
                </c:pt>
                <c:pt idx="11">
                  <c:v>3.722445677138006E-2</c:v>
                </c:pt>
                <c:pt idx="12">
                  <c:v>3.8391868005873832E-2</c:v>
                </c:pt>
                <c:pt idx="13">
                  <c:v>3.9422512990997978E-2</c:v>
                </c:pt>
                <c:pt idx="14">
                  <c:v>4.115649927511339E-2</c:v>
                </c:pt>
                <c:pt idx="15">
                  <c:v>4.3266713110217722E-2</c:v>
                </c:pt>
                <c:pt idx="16">
                  <c:v>4.2980467666130923E-2</c:v>
                </c:pt>
                <c:pt idx="17">
                  <c:v>4.2319722844926737E-2</c:v>
                </c:pt>
                <c:pt idx="18">
                  <c:v>4.2708314801110175E-2</c:v>
                </c:pt>
                <c:pt idx="19">
                  <c:v>4.2086084018589646E-2</c:v>
                </c:pt>
              </c:numCache>
            </c:numRef>
          </c:val>
          <c:smooth val="0"/>
          <c:extLst>
            <c:ext xmlns:c16="http://schemas.microsoft.com/office/drawing/2014/chart" uri="{C3380CC4-5D6E-409C-BE32-E72D297353CC}">
              <c16:uniqueId val="{00000000-0B74-421B-8513-490B36FFC783}"/>
            </c:ext>
          </c:extLst>
        </c:ser>
        <c:ser>
          <c:idx val="1"/>
          <c:order val="1"/>
          <c:tx>
            <c:strRef>
              <c:f>'[מזומן לתוצר בינלאומי.xlsx]גיליון3'!$C$1</c:f>
              <c:strCache>
                <c:ptCount val="1"/>
                <c:pt idx="0">
                  <c:v>Canada</c:v>
                </c:pt>
              </c:strCache>
            </c:strRef>
          </c:tx>
          <c:spPr>
            <a:ln w="28575" cap="rnd">
              <a:solidFill>
                <a:schemeClr val="accent2"/>
              </a:solidFill>
              <a:round/>
            </a:ln>
            <a:effectLst/>
          </c:spPr>
          <c:marker>
            <c:symbol val="none"/>
          </c:marker>
          <c:cat>
            <c:numRef>
              <c:f>'[מזומן לתוצר בינלאומי.xlsx]גיליון3'!$A$2:$A$21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'[מזומן לתוצר בינלאומי.xlsx]גיליון3'!$C$2:$C$21</c:f>
              <c:numCache>
                <c:formatCode>0%</c:formatCode>
                <c:ptCount val="20"/>
                <c:pt idx="0">
                  <c:v>3.3348169374890581E-2</c:v>
                </c:pt>
                <c:pt idx="1">
                  <c:v>3.4026810930245809E-2</c:v>
                </c:pt>
                <c:pt idx="2">
                  <c:v>3.458214286915319E-2</c:v>
                </c:pt>
                <c:pt idx="3">
                  <c:v>3.3735919770746137E-2</c:v>
                </c:pt>
                <c:pt idx="4">
                  <c:v>3.3224437885513519E-2</c:v>
                </c:pt>
                <c:pt idx="5">
                  <c:v>3.2508192498666225E-2</c:v>
                </c:pt>
                <c:pt idx="6">
                  <c:v>3.266927644757061E-2</c:v>
                </c:pt>
                <c:pt idx="7">
                  <c:v>3.2126688875726707E-2</c:v>
                </c:pt>
                <c:pt idx="8">
                  <c:v>3.2499069224640229E-2</c:v>
                </c:pt>
                <c:pt idx="9">
                  <c:v>3.5381052275634588E-2</c:v>
                </c:pt>
                <c:pt idx="10">
                  <c:v>3.4811558174415856E-2</c:v>
                </c:pt>
                <c:pt idx="11">
                  <c:v>3.4473773420523615E-2</c:v>
                </c:pt>
                <c:pt idx="12">
                  <c:v>3.4939036365870681E-2</c:v>
                </c:pt>
                <c:pt idx="13">
                  <c:v>3.5099838632497368E-2</c:v>
                </c:pt>
                <c:pt idx="14">
                  <c:v>3.5178058266086484E-2</c:v>
                </c:pt>
                <c:pt idx="15">
                  <c:v>3.801138769892845E-2</c:v>
                </c:pt>
                <c:pt idx="16">
                  <c:v>3.975925426321656E-2</c:v>
                </c:pt>
                <c:pt idx="17">
                  <c:v>4.0159970769973539E-2</c:v>
                </c:pt>
                <c:pt idx="18">
                  <c:v>4.0551302332525123E-2</c:v>
                </c:pt>
                <c:pt idx="19">
                  <c:v>4.0402499463941727E-2</c:v>
                </c:pt>
              </c:numCache>
            </c:numRef>
          </c:val>
          <c:smooth val="0"/>
          <c:extLst>
            <c:ext xmlns:c16="http://schemas.microsoft.com/office/drawing/2014/chart" uri="{C3380CC4-5D6E-409C-BE32-E72D297353CC}">
              <c16:uniqueId val="{00000001-0B74-421B-8513-490B36FFC783}"/>
            </c:ext>
          </c:extLst>
        </c:ser>
        <c:ser>
          <c:idx val="2"/>
          <c:order val="2"/>
          <c:tx>
            <c:strRef>
              <c:f>'[מזומן לתוצר בינלאומי.xlsx]גיליון3'!$D$1</c:f>
              <c:strCache>
                <c:ptCount val="1"/>
                <c:pt idx="0">
                  <c:v>EU</c:v>
                </c:pt>
              </c:strCache>
            </c:strRef>
          </c:tx>
          <c:spPr>
            <a:ln w="28575" cap="rnd">
              <a:solidFill>
                <a:schemeClr val="accent3"/>
              </a:solidFill>
              <a:round/>
            </a:ln>
            <a:effectLst/>
          </c:spPr>
          <c:marker>
            <c:symbol val="none"/>
          </c:marker>
          <c:cat>
            <c:numRef>
              <c:f>'[מזומן לתוצר בינלאומי.xlsx]גיליון3'!$A$2:$A$21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'[מזומן לתוצר בינלאומי.xlsx]גיליון3'!$D$2:$D$21</c:f>
              <c:numCache>
                <c:formatCode>0%</c:formatCode>
                <c:ptCount val="20"/>
                <c:pt idx="0">
                  <c:v>4.9604901327373108E-2</c:v>
                </c:pt>
                <c:pt idx="1">
                  <c:v>3.2620180733698545E-2</c:v>
                </c:pt>
                <c:pt idx="2">
                  <c:v>4.4885630827566442E-2</c:v>
                </c:pt>
                <c:pt idx="3">
                  <c:v>5.0870011857396771E-2</c:v>
                </c:pt>
                <c:pt idx="4">
                  <c:v>5.7432396973728067E-2</c:v>
                </c:pt>
                <c:pt idx="5">
                  <c:v>6.3060185054247819E-2</c:v>
                </c:pt>
                <c:pt idx="6">
                  <c:v>6.654732107060489E-2</c:v>
                </c:pt>
                <c:pt idx="7">
                  <c:v>6.7996889445053568E-2</c:v>
                </c:pt>
                <c:pt idx="8">
                  <c:v>7.5087568558220033E-2</c:v>
                </c:pt>
                <c:pt idx="9">
                  <c:v>8.2944523936794301E-2</c:v>
                </c:pt>
                <c:pt idx="10">
                  <c:v>8.4784547278560496E-2</c:v>
                </c:pt>
                <c:pt idx="11">
                  <c:v>8.7534920279663767E-2</c:v>
                </c:pt>
                <c:pt idx="12">
                  <c:v>8.9159715688984259E-2</c:v>
                </c:pt>
                <c:pt idx="13">
                  <c:v>9.2779941896399959E-2</c:v>
                </c:pt>
                <c:pt idx="14">
                  <c:v>9.6485157965854593E-2</c:v>
                </c:pt>
                <c:pt idx="15">
                  <c:v>9.9742562524166078E-2</c:v>
                </c:pt>
                <c:pt idx="16">
                  <c:v>0.10063744222665658</c:v>
                </c:pt>
                <c:pt idx="17">
                  <c:v>0.10043202697086756</c:v>
                </c:pt>
                <c:pt idx="18">
                  <c:v>0.10182322795198331</c:v>
                </c:pt>
                <c:pt idx="19">
                  <c:v>0.10480562114602715</c:v>
                </c:pt>
              </c:numCache>
            </c:numRef>
          </c:val>
          <c:smooth val="0"/>
          <c:extLst>
            <c:ext xmlns:c16="http://schemas.microsoft.com/office/drawing/2014/chart" uri="{C3380CC4-5D6E-409C-BE32-E72D297353CC}">
              <c16:uniqueId val="{00000002-0B74-421B-8513-490B36FFC783}"/>
            </c:ext>
          </c:extLst>
        </c:ser>
        <c:ser>
          <c:idx val="3"/>
          <c:order val="3"/>
          <c:tx>
            <c:strRef>
              <c:f>'[מזומן לתוצר בינלאומי.xlsx]גיליון3'!$E$1</c:f>
              <c:strCache>
                <c:ptCount val="1"/>
                <c:pt idx="0">
                  <c:v>Israel</c:v>
                </c:pt>
              </c:strCache>
            </c:strRef>
          </c:tx>
          <c:spPr>
            <a:ln w="28575" cap="rnd">
              <a:solidFill>
                <a:schemeClr val="accent4"/>
              </a:solidFill>
              <a:round/>
            </a:ln>
            <a:effectLst/>
          </c:spPr>
          <c:marker>
            <c:symbol val="none"/>
          </c:marker>
          <c:cat>
            <c:numRef>
              <c:f>'[מזומן לתוצר בינלאומי.xlsx]גיליון3'!$A$2:$A$21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'[מזומן לתוצר בינלאומי.xlsx]גיליון3'!$E$2:$E$21</c:f>
              <c:numCache>
                <c:formatCode>0%</c:formatCode>
                <c:ptCount val="20"/>
                <c:pt idx="0">
                  <c:v>2.7166304370019167E-2</c:v>
                </c:pt>
                <c:pt idx="1">
                  <c:v>3.0655260733364914E-2</c:v>
                </c:pt>
                <c:pt idx="2">
                  <c:v>3.1382192678214647E-2</c:v>
                </c:pt>
                <c:pt idx="3">
                  <c:v>3.3096641426122515E-2</c:v>
                </c:pt>
                <c:pt idx="4">
                  <c:v>3.4227046865518716E-2</c:v>
                </c:pt>
                <c:pt idx="5">
                  <c:v>3.8170684508123533E-2</c:v>
                </c:pt>
                <c:pt idx="6">
                  <c:v>3.7217374293434857E-2</c:v>
                </c:pt>
                <c:pt idx="7">
                  <c:v>3.9406555693892974E-2</c:v>
                </c:pt>
                <c:pt idx="8">
                  <c:v>4.4319899521173801E-2</c:v>
                </c:pt>
                <c:pt idx="9">
                  <c:v>5.086249352344991E-2</c:v>
                </c:pt>
                <c:pt idx="10">
                  <c:v>5.1243337384032299E-2</c:v>
                </c:pt>
                <c:pt idx="11">
                  <c:v>5.2354259110976208E-2</c:v>
                </c:pt>
                <c:pt idx="12">
                  <c:v>5.5233284254537246E-2</c:v>
                </c:pt>
                <c:pt idx="13">
                  <c:v>5.4451926324236746E-2</c:v>
                </c:pt>
                <c:pt idx="14">
                  <c:v>5.7056081662941523E-2</c:v>
                </c:pt>
                <c:pt idx="15">
                  <c:v>6.3061451686084152E-2</c:v>
                </c:pt>
                <c:pt idx="16">
                  <c:v>6.2039733364823872E-2</c:v>
                </c:pt>
                <c:pt idx="17">
                  <c:v>6.4646816798050802E-2</c:v>
                </c:pt>
                <c:pt idx="18">
                  <c:v>6.4533187658591007E-2</c:v>
                </c:pt>
                <c:pt idx="19">
                  <c:v>6.1872263051647544E-2</c:v>
                </c:pt>
              </c:numCache>
            </c:numRef>
          </c:val>
          <c:smooth val="0"/>
          <c:extLst>
            <c:ext xmlns:c16="http://schemas.microsoft.com/office/drawing/2014/chart" uri="{C3380CC4-5D6E-409C-BE32-E72D297353CC}">
              <c16:uniqueId val="{00000003-0B74-421B-8513-490B36FFC783}"/>
            </c:ext>
          </c:extLst>
        </c:ser>
        <c:ser>
          <c:idx val="4"/>
          <c:order val="4"/>
          <c:tx>
            <c:strRef>
              <c:f>'[מזומן לתוצר בינלאומי.xlsx]גיליון3'!$F$1</c:f>
              <c:strCache>
                <c:ptCount val="1"/>
                <c:pt idx="0">
                  <c:v>Sweden</c:v>
                </c:pt>
              </c:strCache>
            </c:strRef>
          </c:tx>
          <c:spPr>
            <a:ln w="28575" cap="rnd">
              <a:solidFill>
                <a:schemeClr val="accent5"/>
              </a:solidFill>
              <a:round/>
            </a:ln>
            <a:effectLst/>
          </c:spPr>
          <c:marker>
            <c:symbol val="none"/>
          </c:marker>
          <c:cat>
            <c:numRef>
              <c:f>'[מזומן לתוצר בינלאומי.xlsx]גיליון3'!$A$2:$A$21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'[מזומן לתוצר בינלאומי.xlsx]גיליון3'!$F$2:$F$21</c:f>
              <c:numCache>
                <c:formatCode>General</c:formatCode>
                <c:ptCount val="20"/>
                <c:pt idx="6" formatCode="0%">
                  <c:v>3.6244212617662662E-2</c:v>
                </c:pt>
                <c:pt idx="7" formatCode="0%">
                  <c:v>3.4663478579101792E-2</c:v>
                </c:pt>
                <c:pt idx="8" formatCode="0%">
                  <c:v>3.304924167160464E-2</c:v>
                </c:pt>
                <c:pt idx="9" formatCode="0%">
                  <c:v>3.32293680075261E-2</c:v>
                </c:pt>
                <c:pt idx="10" formatCode="0%">
                  <c:v>2.9523320540949492E-2</c:v>
                </c:pt>
                <c:pt idx="11" formatCode="0%">
                  <c:v>2.6924518530906893E-2</c:v>
                </c:pt>
                <c:pt idx="12" formatCode="0%">
                  <c:v>2.5837908190644493E-2</c:v>
                </c:pt>
                <c:pt idx="13" formatCode="0%">
                  <c:v>2.2502871349368774E-2</c:v>
                </c:pt>
                <c:pt idx="14" formatCode="0%">
                  <c:v>2.0905478720491463E-2</c:v>
                </c:pt>
                <c:pt idx="15" formatCode="0%">
                  <c:v>1.7289858112105018E-2</c:v>
                </c:pt>
                <c:pt idx="16" formatCode="0%">
                  <c:v>1.4129492759973904E-2</c:v>
                </c:pt>
                <c:pt idx="17" formatCode="0%">
                  <c:v>1.2548674044794185E-2</c:v>
                </c:pt>
                <c:pt idx="18" formatCode="0%">
                  <c:v>1.2863926224203877E-2</c:v>
                </c:pt>
                <c:pt idx="19" formatCode="0%">
                  <c:v>1.2630735412871342E-2</c:v>
                </c:pt>
              </c:numCache>
            </c:numRef>
          </c:val>
          <c:smooth val="0"/>
          <c:extLst>
            <c:ext xmlns:c16="http://schemas.microsoft.com/office/drawing/2014/chart" uri="{C3380CC4-5D6E-409C-BE32-E72D297353CC}">
              <c16:uniqueId val="{00000004-0B74-421B-8513-490B36FFC783}"/>
            </c:ext>
          </c:extLst>
        </c:ser>
        <c:ser>
          <c:idx val="5"/>
          <c:order val="5"/>
          <c:tx>
            <c:strRef>
              <c:f>'[מזומן לתוצר בינלאומי.xlsx]גיליון3'!$G$1</c:f>
              <c:strCache>
                <c:ptCount val="1"/>
                <c:pt idx="0">
                  <c:v>Switzerland</c:v>
                </c:pt>
              </c:strCache>
            </c:strRef>
          </c:tx>
          <c:spPr>
            <a:ln w="28575" cap="rnd">
              <a:solidFill>
                <a:schemeClr val="accent6"/>
              </a:solidFill>
              <a:round/>
            </a:ln>
            <a:effectLst/>
          </c:spPr>
          <c:marker>
            <c:symbol val="none"/>
          </c:marker>
          <c:cat>
            <c:numRef>
              <c:f>'[מזומן לתוצר בינלאומי.xlsx]גיליון3'!$A$2:$A$21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'[מזומן לתוצר בינלאומי.xlsx]גיליון3'!$G$2:$G$21</c:f>
              <c:numCache>
                <c:formatCode>0%</c:formatCode>
                <c:ptCount val="20"/>
                <c:pt idx="0">
                  <c:v>8.2231241425866311E-2</c:v>
                </c:pt>
                <c:pt idx="1">
                  <c:v>8.9680277309652112E-2</c:v>
                </c:pt>
                <c:pt idx="2">
                  <c:v>8.9274121256864791E-2</c:v>
                </c:pt>
                <c:pt idx="3">
                  <c:v>9.0321522438340296E-2</c:v>
                </c:pt>
                <c:pt idx="4">
                  <c:v>8.5973172586694083E-2</c:v>
                </c:pt>
                <c:pt idx="5">
                  <c:v>8.6136744455688752E-2</c:v>
                </c:pt>
                <c:pt idx="6">
                  <c:v>8.4596514104581064E-2</c:v>
                </c:pt>
                <c:pt idx="7">
                  <c:v>8.1326828178420657E-2</c:v>
                </c:pt>
                <c:pt idx="8">
                  <c:v>8.6312849526423541E-2</c:v>
                </c:pt>
                <c:pt idx="9">
                  <c:v>8.9406013944957077E-2</c:v>
                </c:pt>
                <c:pt idx="10">
                  <c:v>8.912533248807962E-2</c:v>
                </c:pt>
                <c:pt idx="11">
                  <c:v>9.4262467342850625E-2</c:v>
                </c:pt>
                <c:pt idx="12">
                  <c:v>0.10329260303481404</c:v>
                </c:pt>
                <c:pt idx="13">
                  <c:v>0.10768305642697872</c:v>
                </c:pt>
                <c:pt idx="14">
                  <c:v>0.10867262561200397</c:v>
                </c:pt>
                <c:pt idx="15">
                  <c:v>0.11607550726267006</c:v>
                </c:pt>
                <c:pt idx="16">
                  <c:v>0.12271882829505187</c:v>
                </c:pt>
                <c:pt idx="17">
                  <c:v>0.12662518516917537</c:v>
                </c:pt>
                <c:pt idx="18">
                  <c:v>0.12388141815152022</c:v>
                </c:pt>
                <c:pt idx="19">
                  <c:v>0.12546342605190017</c:v>
                </c:pt>
              </c:numCache>
            </c:numRef>
          </c:val>
          <c:smooth val="0"/>
          <c:extLst>
            <c:ext xmlns:c16="http://schemas.microsoft.com/office/drawing/2014/chart" uri="{C3380CC4-5D6E-409C-BE32-E72D297353CC}">
              <c16:uniqueId val="{00000005-0B74-421B-8513-490B36FFC783}"/>
            </c:ext>
          </c:extLst>
        </c:ser>
        <c:ser>
          <c:idx val="6"/>
          <c:order val="6"/>
          <c:tx>
            <c:strRef>
              <c:f>'[מזומן לתוצר בינלאומי.xlsx]גיליון3'!$H$1</c:f>
              <c:strCache>
                <c:ptCount val="1"/>
                <c:pt idx="0">
                  <c:v>US</c:v>
                </c:pt>
              </c:strCache>
            </c:strRef>
          </c:tx>
          <c:spPr>
            <a:ln w="28575" cap="rnd">
              <a:solidFill>
                <a:schemeClr val="accent1">
                  <a:lumMod val="60000"/>
                </a:schemeClr>
              </a:solidFill>
              <a:round/>
            </a:ln>
            <a:effectLst/>
          </c:spPr>
          <c:marker>
            <c:symbol val="none"/>
          </c:marker>
          <c:cat>
            <c:numRef>
              <c:f>'[מזומן לתוצר בינלאומי.xlsx]גיליון3'!$A$2:$A$21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'[מזומן לתוצר בינלאומי.xlsx]גיליון3'!$H$2:$H$21</c:f>
              <c:numCache>
                <c:formatCode>0%</c:formatCode>
                <c:ptCount val="20"/>
                <c:pt idx="0">
                  <c:v>5.5002048261061212E-2</c:v>
                </c:pt>
                <c:pt idx="1">
                  <c:v>5.7863384469696626E-2</c:v>
                </c:pt>
                <c:pt idx="2">
                  <c:v>5.9873345815192283E-2</c:v>
                </c:pt>
                <c:pt idx="3">
                  <c:v>6.0236106627577925E-2</c:v>
                </c:pt>
                <c:pt idx="4">
                  <c:v>5.8941867085436854E-2</c:v>
                </c:pt>
                <c:pt idx="5">
                  <c:v>5.820518068083598E-2</c:v>
                </c:pt>
                <c:pt idx="6">
                  <c:v>5.6715312253081948E-2</c:v>
                </c:pt>
                <c:pt idx="7">
                  <c:v>5.4816478571079852E-2</c:v>
                </c:pt>
                <c:pt idx="8">
                  <c:v>5.7990147596809122E-2</c:v>
                </c:pt>
                <c:pt idx="9">
                  <c:v>6.1478587966532564E-2</c:v>
                </c:pt>
                <c:pt idx="10">
                  <c:v>5.6910152034312544E-2</c:v>
                </c:pt>
                <c:pt idx="11">
                  <c:v>6.6559086491352684E-2</c:v>
                </c:pt>
                <c:pt idx="12">
                  <c:v>6.9586928974850831E-2</c:v>
                </c:pt>
                <c:pt idx="13">
                  <c:v>7.1391764467798588E-2</c:v>
                </c:pt>
                <c:pt idx="14">
                  <c:v>7.4142152295101779E-2</c:v>
                </c:pt>
                <c:pt idx="15">
                  <c:v>7.5743864089025142E-2</c:v>
                </c:pt>
                <c:pt idx="16">
                  <c:v>7.8226614369660774E-2</c:v>
                </c:pt>
                <c:pt idx="17">
                  <c:v>8.0629625033630567E-2</c:v>
                </c:pt>
                <c:pt idx="18">
                  <c:v>8.1238186777665145E-2</c:v>
                </c:pt>
                <c:pt idx="19">
                  <c:v>8.1672262441727858E-2</c:v>
                </c:pt>
              </c:numCache>
            </c:numRef>
          </c:val>
          <c:smooth val="0"/>
          <c:extLst>
            <c:ext xmlns:c16="http://schemas.microsoft.com/office/drawing/2014/chart" uri="{C3380CC4-5D6E-409C-BE32-E72D297353CC}">
              <c16:uniqueId val="{00000006-0B74-421B-8513-490B36FFC783}"/>
            </c:ext>
          </c:extLst>
        </c:ser>
        <c:ser>
          <c:idx val="7"/>
          <c:order val="7"/>
          <c:tx>
            <c:strRef>
              <c:f>'[מזומן לתוצר בינלאומי.xlsx]גיליון3'!$I$1</c:f>
              <c:strCache>
                <c:ptCount val="1"/>
                <c:pt idx="0">
                  <c:v>Japan</c:v>
                </c:pt>
              </c:strCache>
            </c:strRef>
          </c:tx>
          <c:spPr>
            <a:ln w="28575" cap="rnd">
              <a:solidFill>
                <a:schemeClr val="accent2">
                  <a:lumMod val="60000"/>
                </a:schemeClr>
              </a:solidFill>
              <a:round/>
            </a:ln>
            <a:effectLst/>
          </c:spPr>
          <c:marker>
            <c:symbol val="none"/>
          </c:marker>
          <c:cat>
            <c:numRef>
              <c:f>'[מזומן לתוצר בינלאומי.xlsx]גיליון3'!$A$2:$A$21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'[מזומן לתוצר בינלאומי.xlsx]גיליון3'!$I$2:$I$21</c:f>
              <c:numCache>
                <c:formatCode>0%</c:formatCode>
                <c:ptCount val="20"/>
                <c:pt idx="0">
                  <c:v>0.12838224740177631</c:v>
                </c:pt>
                <c:pt idx="1">
                  <c:v>0.14014779973422817</c:v>
                </c:pt>
                <c:pt idx="2">
                  <c:v>0.15472952571212176</c:v>
                </c:pt>
                <c:pt idx="3">
                  <c:v>0.15780382137626123</c:v>
                </c:pt>
                <c:pt idx="4">
                  <c:v>0.15826060617461352</c:v>
                </c:pt>
                <c:pt idx="5">
                  <c:v>0.15983124887433109</c:v>
                </c:pt>
                <c:pt idx="6">
                  <c:v>0.16012232014252969</c:v>
                </c:pt>
                <c:pt idx="7">
                  <c:v>0.16147640666089635</c:v>
                </c:pt>
                <c:pt idx="8">
                  <c:v>0.16528923556558786</c:v>
                </c:pt>
                <c:pt idx="9">
                  <c:v>0.17468932647737184</c:v>
                </c:pt>
                <c:pt idx="10">
                  <c:v>0.17358833417706948</c:v>
                </c:pt>
                <c:pt idx="11">
                  <c:v>0.18018919086666185</c:v>
                </c:pt>
                <c:pt idx="12">
                  <c:v>0.1843205836787504</c:v>
                </c:pt>
                <c:pt idx="13">
                  <c:v>0.18834299596403323</c:v>
                </c:pt>
                <c:pt idx="14">
                  <c:v>0.19019744062770005</c:v>
                </c:pt>
                <c:pt idx="15">
                  <c:v>0.19408273510605098</c:v>
                </c:pt>
                <c:pt idx="16">
                  <c:v>0.2000114182001633</c:v>
                </c:pt>
                <c:pt idx="17">
                  <c:v>0.20455626530506296</c:v>
                </c:pt>
                <c:pt idx="18">
                  <c:v>0.21056869036445935</c:v>
                </c:pt>
                <c:pt idx="19">
                  <c:v>0.21246110519113132</c:v>
                </c:pt>
              </c:numCache>
            </c:numRef>
          </c:val>
          <c:smooth val="0"/>
          <c:extLst>
            <c:ext xmlns:c16="http://schemas.microsoft.com/office/drawing/2014/chart" uri="{C3380CC4-5D6E-409C-BE32-E72D297353CC}">
              <c16:uniqueId val="{00000007-0B74-421B-8513-490B36FFC783}"/>
            </c:ext>
          </c:extLst>
        </c:ser>
        <c:dLbls>
          <c:showLegendKey val="0"/>
          <c:showVal val="0"/>
          <c:showCatName val="0"/>
          <c:showSerName val="0"/>
          <c:showPercent val="0"/>
          <c:showBubbleSize val="0"/>
        </c:dLbls>
        <c:smooth val="0"/>
        <c:axId val="521845360"/>
        <c:axId val="521842736"/>
      </c:lineChart>
      <c:catAx>
        <c:axId val="52184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21842736"/>
        <c:crosses val="autoZero"/>
        <c:auto val="1"/>
        <c:lblAlgn val="ctr"/>
        <c:lblOffset val="100"/>
        <c:noMultiLvlLbl val="0"/>
      </c:catAx>
      <c:valAx>
        <c:axId val="521842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2184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גיליון3!$F$4</c:f>
              <c:strCache>
                <c:ptCount val="1"/>
                <c:pt idx="0">
                  <c:v>Cash in circulation</c:v>
                </c:pt>
              </c:strCache>
            </c:strRef>
          </c:tx>
          <c:spPr>
            <a:ln w="28575" cap="rnd">
              <a:solidFill>
                <a:schemeClr val="accent2"/>
              </a:solidFill>
              <a:round/>
            </a:ln>
            <a:effectLst/>
          </c:spPr>
          <c:marker>
            <c:symbol val="none"/>
          </c:marker>
          <c:cat>
            <c:numRef>
              <c:f>גיליון3!$D$5:$D$23</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גיליון3!$F$5:$F$23</c:f>
              <c:numCache>
                <c:formatCode>0</c:formatCode>
                <c:ptCount val="19"/>
                <c:pt idx="0">
                  <c:v>16.858000000000001</c:v>
                </c:pt>
                <c:pt idx="1">
                  <c:v>18.009</c:v>
                </c:pt>
                <c:pt idx="2">
                  <c:v>19.137</c:v>
                </c:pt>
                <c:pt idx="3">
                  <c:v>20.783000000000001</c:v>
                </c:pt>
                <c:pt idx="4">
                  <c:v>24.414999999999999</c:v>
                </c:pt>
                <c:pt idx="5">
                  <c:v>25.544</c:v>
                </c:pt>
                <c:pt idx="6">
                  <c:v>28.971</c:v>
                </c:pt>
                <c:pt idx="7">
                  <c:v>34.365000000000002</c:v>
                </c:pt>
                <c:pt idx="8">
                  <c:v>41.494999999999997</c:v>
                </c:pt>
                <c:pt idx="9">
                  <c:v>44.832999999999998</c:v>
                </c:pt>
                <c:pt idx="10">
                  <c:v>48.981000000000002</c:v>
                </c:pt>
                <c:pt idx="11">
                  <c:v>54.773000000000003</c:v>
                </c:pt>
                <c:pt idx="12">
                  <c:v>57.536000000000001</c:v>
                </c:pt>
                <c:pt idx="13">
                  <c:v>63.194000000000003</c:v>
                </c:pt>
                <c:pt idx="14">
                  <c:v>73.486999999999995</c:v>
                </c:pt>
                <c:pt idx="15">
                  <c:v>75.995635838319998</c:v>
                </c:pt>
                <c:pt idx="16">
                  <c:v>82.201999999999998</c:v>
                </c:pt>
                <c:pt idx="17">
                  <c:v>85.869</c:v>
                </c:pt>
                <c:pt idx="18">
                  <c:v>87.18</c:v>
                </c:pt>
              </c:numCache>
            </c:numRef>
          </c:val>
          <c:smooth val="0"/>
          <c:extLst>
            <c:ext xmlns:c16="http://schemas.microsoft.com/office/drawing/2014/chart" uri="{C3380CC4-5D6E-409C-BE32-E72D297353CC}">
              <c16:uniqueId val="{00000000-EF36-45D4-96E0-188232E9D081}"/>
            </c:ext>
          </c:extLst>
        </c:ser>
        <c:dLbls>
          <c:showLegendKey val="0"/>
          <c:showVal val="0"/>
          <c:showCatName val="0"/>
          <c:showSerName val="0"/>
          <c:showPercent val="0"/>
          <c:showBubbleSize val="0"/>
        </c:dLbls>
        <c:marker val="1"/>
        <c:smooth val="0"/>
        <c:axId val="71704128"/>
        <c:axId val="80685776"/>
      </c:lineChart>
      <c:lineChart>
        <c:grouping val="standard"/>
        <c:varyColors val="0"/>
        <c:ser>
          <c:idx val="0"/>
          <c:order val="0"/>
          <c:tx>
            <c:strRef>
              <c:f>גיליון3!$E$4</c:f>
              <c:strCache>
                <c:ptCount val="1"/>
                <c:pt idx="0">
                  <c:v>Cash in circulation to GDP</c:v>
                </c:pt>
              </c:strCache>
            </c:strRef>
          </c:tx>
          <c:spPr>
            <a:ln w="28575" cap="rnd">
              <a:solidFill>
                <a:schemeClr val="accent1"/>
              </a:solidFill>
              <a:round/>
            </a:ln>
            <a:effectLst/>
          </c:spPr>
          <c:marker>
            <c:symbol val="none"/>
          </c:marker>
          <c:cat>
            <c:numRef>
              <c:f>גיליון3!$D$5:$D$23</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גיליון3!$E$5:$E$23</c:f>
              <c:numCache>
                <c:formatCode>0%</c:formatCode>
                <c:ptCount val="19"/>
                <c:pt idx="0">
                  <c:v>3.0655260733364914E-2</c:v>
                </c:pt>
                <c:pt idx="1">
                  <c:v>3.1382192678214647E-2</c:v>
                </c:pt>
                <c:pt idx="2">
                  <c:v>3.3096641426122515E-2</c:v>
                </c:pt>
                <c:pt idx="3">
                  <c:v>3.4227046865518716E-2</c:v>
                </c:pt>
                <c:pt idx="4">
                  <c:v>3.8170684508123533E-2</c:v>
                </c:pt>
                <c:pt idx="5">
                  <c:v>3.7217374293434857E-2</c:v>
                </c:pt>
                <c:pt idx="6">
                  <c:v>3.9406555693892974E-2</c:v>
                </c:pt>
                <c:pt idx="7">
                  <c:v>4.4319899521173801E-2</c:v>
                </c:pt>
                <c:pt idx="8">
                  <c:v>5.086249352344991E-2</c:v>
                </c:pt>
                <c:pt idx="9">
                  <c:v>5.1243337384032306E-2</c:v>
                </c:pt>
                <c:pt idx="10">
                  <c:v>5.2354259110976208E-2</c:v>
                </c:pt>
                <c:pt idx="11">
                  <c:v>5.5233284254537246E-2</c:v>
                </c:pt>
                <c:pt idx="12">
                  <c:v>5.4451926324236746E-2</c:v>
                </c:pt>
                <c:pt idx="13">
                  <c:v>5.7056081662941523E-2</c:v>
                </c:pt>
                <c:pt idx="14">
                  <c:v>6.3061451686084152E-2</c:v>
                </c:pt>
                <c:pt idx="15">
                  <c:v>6.2039733364823872E-2</c:v>
                </c:pt>
                <c:pt idx="16">
                  <c:v>6.4646816798050802E-2</c:v>
                </c:pt>
                <c:pt idx="17">
                  <c:v>6.4533187658591007E-2</c:v>
                </c:pt>
                <c:pt idx="18">
                  <c:v>6.1872263051647551E-2</c:v>
                </c:pt>
              </c:numCache>
            </c:numRef>
          </c:val>
          <c:smooth val="0"/>
          <c:extLst>
            <c:ext xmlns:c16="http://schemas.microsoft.com/office/drawing/2014/chart" uri="{C3380CC4-5D6E-409C-BE32-E72D297353CC}">
              <c16:uniqueId val="{00000001-EF36-45D4-96E0-188232E9D081}"/>
            </c:ext>
          </c:extLst>
        </c:ser>
        <c:dLbls>
          <c:showLegendKey val="0"/>
          <c:showVal val="0"/>
          <c:showCatName val="0"/>
          <c:showSerName val="0"/>
          <c:showPercent val="0"/>
          <c:showBubbleSize val="0"/>
        </c:dLbls>
        <c:marker val="1"/>
        <c:smooth val="0"/>
        <c:axId val="254065104"/>
        <c:axId val="1962648640"/>
      </c:lineChart>
      <c:catAx>
        <c:axId val="7170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80685776"/>
        <c:crosses val="autoZero"/>
        <c:auto val="1"/>
        <c:lblAlgn val="ctr"/>
        <c:lblOffset val="100"/>
        <c:noMultiLvlLbl val="0"/>
      </c:catAx>
      <c:valAx>
        <c:axId val="8068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NIS in billions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IL"/>
          </a:p>
        </c:txPr>
        <c:crossAx val="71704128"/>
        <c:crosses val="autoZero"/>
        <c:crossBetween val="between"/>
      </c:valAx>
      <c:valAx>
        <c:axId val="196264864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en-IL"/>
          </a:p>
        </c:txPr>
        <c:crossAx val="254065104"/>
        <c:crosses val="max"/>
        <c:crossBetween val="between"/>
      </c:valAx>
      <c:catAx>
        <c:axId val="254065104"/>
        <c:scaling>
          <c:orientation val="minMax"/>
        </c:scaling>
        <c:delete val="1"/>
        <c:axPos val="b"/>
        <c:numFmt formatCode="General" sourceLinked="1"/>
        <c:majorTickMark val="out"/>
        <c:minorTickMark val="none"/>
        <c:tickLblPos val="nextTo"/>
        <c:crossAx val="1962648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9038717286607"/>
          <c:y val="5.5443548387096774E-2"/>
          <c:w val="0.79477164428384417"/>
          <c:h val="0.5009890144780289"/>
        </c:manualLayout>
      </c:layout>
      <c:lineChart>
        <c:grouping val="standard"/>
        <c:varyColors val="0"/>
        <c:ser>
          <c:idx val="0"/>
          <c:order val="0"/>
          <c:tx>
            <c:strRef>
              <c:f>'[שיעור המחזור מהתמג בישראל ובעולם לרועי.xlsx]גיליון2'!$G$8</c:f>
              <c:strCache>
                <c:ptCount val="1"/>
                <c:pt idx="0">
                  <c:v>Approach 1 CC/DD On the basis of Jordanian data</c:v>
                </c:pt>
              </c:strCache>
            </c:strRef>
          </c:tx>
          <c:spPr>
            <a:ln w="28575" cap="rnd">
              <a:solidFill>
                <a:schemeClr val="accent1"/>
              </a:solidFill>
              <a:round/>
            </a:ln>
            <a:effectLst/>
          </c:spPr>
          <c:marker>
            <c:symbol val="none"/>
          </c:marker>
          <c:cat>
            <c:numRef>
              <c:f>'[שיעור המחזור מהתמג בישראל ובעולם לרועי.xlsx]גיליון2'!$F$9:$F$21</c:f>
              <c:numCache>
                <c:formatCode>General</c:formatCode>
                <c:ptCount val="1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numCache>
            </c:numRef>
          </c:cat>
          <c:val>
            <c:numRef>
              <c:f>'[שיעור המחזור מהתמג בישראל ובעולם לרועי.xlsx]גיליון2'!$G$9:$G$21</c:f>
              <c:numCache>
                <c:formatCode>_ * #,##0_ ;_ * \-#,##0_ ;_ * "-"??_ ;_ @_ </c:formatCode>
                <c:ptCount val="13"/>
                <c:pt idx="0">
                  <c:v>735.34</c:v>
                </c:pt>
                <c:pt idx="1">
                  <c:v>721.72</c:v>
                </c:pt>
                <c:pt idx="2">
                  <c:v>783.17</c:v>
                </c:pt>
                <c:pt idx="3">
                  <c:v>1020.6</c:v>
                </c:pt>
                <c:pt idx="4">
                  <c:v>1212.7</c:v>
                </c:pt>
                <c:pt idx="5">
                  <c:v>954.5</c:v>
                </c:pt>
                <c:pt idx="6">
                  <c:v>935</c:v>
                </c:pt>
                <c:pt idx="7">
                  <c:v>1034.3</c:v>
                </c:pt>
                <c:pt idx="8">
                  <c:v>1019.5</c:v>
                </c:pt>
                <c:pt idx="9">
                  <c:v>981.9</c:v>
                </c:pt>
                <c:pt idx="10">
                  <c:v>1030.7</c:v>
                </c:pt>
                <c:pt idx="11">
                  <c:v>1343.2</c:v>
                </c:pt>
                <c:pt idx="12">
                  <c:v>1765.7</c:v>
                </c:pt>
              </c:numCache>
            </c:numRef>
          </c:val>
          <c:smooth val="0"/>
          <c:extLst>
            <c:ext xmlns:c16="http://schemas.microsoft.com/office/drawing/2014/chart" uri="{C3380CC4-5D6E-409C-BE32-E72D297353CC}">
              <c16:uniqueId val="{00000000-C4A5-48E4-9FDB-18D7CD5411B8}"/>
            </c:ext>
          </c:extLst>
        </c:ser>
        <c:ser>
          <c:idx val="1"/>
          <c:order val="1"/>
          <c:tx>
            <c:strRef>
              <c:f>'[שיעור המחזור מהתמג בישראל ובעולם לרועי.xlsx]גיליון2'!$H$8</c:f>
              <c:strCache>
                <c:ptCount val="1"/>
                <c:pt idx="0">
                  <c:v>Approach 1 CC/DD On the basis of Israel data</c:v>
                </c:pt>
              </c:strCache>
            </c:strRef>
          </c:tx>
          <c:spPr>
            <a:ln w="28575" cap="rnd">
              <a:solidFill>
                <a:schemeClr val="accent2"/>
              </a:solidFill>
              <a:round/>
            </a:ln>
            <a:effectLst/>
          </c:spPr>
          <c:marker>
            <c:symbol val="none"/>
          </c:marker>
          <c:cat>
            <c:numRef>
              <c:f>'[שיעור המחזור מהתמג בישראל ובעולם לרועי.xlsx]גיליון2'!$F$9:$F$21</c:f>
              <c:numCache>
                <c:formatCode>General</c:formatCode>
                <c:ptCount val="1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numCache>
            </c:numRef>
          </c:cat>
          <c:val>
            <c:numRef>
              <c:f>'[שיעור המחזור מהתמג בישראל ובעולם לרועי.xlsx]גיליון2'!$H$9:$H$21</c:f>
              <c:numCache>
                <c:formatCode>_ * #,##0_ ;_ * \-#,##0_ ;_ * "-"??_ ;_ @_ </c:formatCode>
                <c:ptCount val="13"/>
                <c:pt idx="0">
                  <c:v>345.7</c:v>
                </c:pt>
                <c:pt idx="1">
                  <c:v>375.5</c:v>
                </c:pt>
                <c:pt idx="2">
                  <c:v>419</c:v>
                </c:pt>
                <c:pt idx="3">
                  <c:v>511.8</c:v>
                </c:pt>
                <c:pt idx="4">
                  <c:v>677.2</c:v>
                </c:pt>
                <c:pt idx="5">
                  <c:v>613.20000000000005</c:v>
                </c:pt>
                <c:pt idx="6">
                  <c:v>694.1</c:v>
                </c:pt>
                <c:pt idx="7">
                  <c:v>840.9</c:v>
                </c:pt>
                <c:pt idx="8">
                  <c:v>1107.0999999999999</c:v>
                </c:pt>
                <c:pt idx="9">
                  <c:v>1099.7</c:v>
                </c:pt>
                <c:pt idx="10">
                  <c:v>921.3</c:v>
                </c:pt>
                <c:pt idx="11">
                  <c:v>1122.9000000000001</c:v>
                </c:pt>
                <c:pt idx="12">
                  <c:v>1396.3</c:v>
                </c:pt>
              </c:numCache>
            </c:numRef>
          </c:val>
          <c:smooth val="0"/>
          <c:extLst>
            <c:ext xmlns:c16="http://schemas.microsoft.com/office/drawing/2014/chart" uri="{C3380CC4-5D6E-409C-BE32-E72D297353CC}">
              <c16:uniqueId val="{00000001-C4A5-48E4-9FDB-18D7CD5411B8}"/>
            </c:ext>
          </c:extLst>
        </c:ser>
        <c:dLbls>
          <c:showLegendKey val="0"/>
          <c:showVal val="0"/>
          <c:showCatName val="0"/>
          <c:showSerName val="0"/>
          <c:showPercent val="0"/>
          <c:showBubbleSize val="0"/>
        </c:dLbls>
        <c:marker val="1"/>
        <c:smooth val="0"/>
        <c:axId val="140846256"/>
        <c:axId val="1909985184"/>
      </c:lineChart>
      <c:lineChart>
        <c:grouping val="standard"/>
        <c:varyColors val="0"/>
        <c:ser>
          <c:idx val="2"/>
          <c:order val="2"/>
          <c:tx>
            <c:strRef>
              <c:f>'[שיעור המחזור מהתמג בישראל ובעולם לרועי.xlsx]גיליון2'!$I$8</c:f>
              <c:strCache>
                <c:ptCount val="1"/>
                <c:pt idx="0">
                  <c:v>cash in circulation to GDP (right)</c:v>
                </c:pt>
              </c:strCache>
            </c:strRef>
          </c:tx>
          <c:spPr>
            <a:ln w="28575" cap="rnd">
              <a:solidFill>
                <a:schemeClr val="accent3"/>
              </a:solidFill>
              <a:round/>
            </a:ln>
            <a:effectLst/>
          </c:spPr>
          <c:marker>
            <c:symbol val="none"/>
          </c:marker>
          <c:cat>
            <c:numRef>
              <c:f>'[שיעור המחזור מהתמג בישראל ובעולם לרועי.xlsx]גיליון2'!$F$9:$F$21</c:f>
              <c:numCache>
                <c:formatCode>General</c:formatCode>
                <c:ptCount val="1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numCache>
            </c:numRef>
          </c:cat>
          <c:val>
            <c:numRef>
              <c:f>'[שיעור המחזור מהתמג בישראל ובעולם לרועי.xlsx]גיליון2'!$I$9:$I$21</c:f>
              <c:numCache>
                <c:formatCode>General</c:formatCode>
                <c:ptCount val="13"/>
                <c:pt idx="0">
                  <c:v>0.15852885969028624</c:v>
                </c:pt>
                <c:pt idx="1">
                  <c:v>0.14591467631256982</c:v>
                </c:pt>
                <c:pt idx="2">
                  <c:v>0.14776660602782832</c:v>
                </c:pt>
                <c:pt idx="3">
                  <c:v>0.1793875257538865</c:v>
                </c:pt>
                <c:pt idx="4">
                  <c:v>0.21906296364985167</c:v>
                </c:pt>
                <c:pt idx="5">
                  <c:v>0.19578140220296225</c:v>
                </c:pt>
                <c:pt idx="6">
                  <c:v>0.22907643849485346</c:v>
                </c:pt>
                <c:pt idx="7">
                  <c:v>0.23629032258064514</c:v>
                </c:pt>
                <c:pt idx="8">
                  <c:v>0.23099650235710714</c:v>
                </c:pt>
                <c:pt idx="9">
                  <c:v>0.2030551924615174</c:v>
                </c:pt>
                <c:pt idx="10">
                  <c:v>0.18248789334928858</c:v>
                </c:pt>
                <c:pt idx="11">
                  <c:v>0.21202090891896078</c:v>
                </c:pt>
                <c:pt idx="12">
                  <c:v>0.21626723571897571</c:v>
                </c:pt>
              </c:numCache>
            </c:numRef>
          </c:val>
          <c:smooth val="0"/>
          <c:extLst>
            <c:ext xmlns:c16="http://schemas.microsoft.com/office/drawing/2014/chart" uri="{C3380CC4-5D6E-409C-BE32-E72D297353CC}">
              <c16:uniqueId val="{00000002-C4A5-48E4-9FDB-18D7CD5411B8}"/>
            </c:ext>
          </c:extLst>
        </c:ser>
        <c:dLbls>
          <c:showLegendKey val="0"/>
          <c:showVal val="0"/>
          <c:showCatName val="0"/>
          <c:showSerName val="0"/>
          <c:showPercent val="0"/>
          <c:showBubbleSize val="0"/>
        </c:dLbls>
        <c:marker val="1"/>
        <c:smooth val="0"/>
        <c:axId val="319850528"/>
        <c:axId val="80694928"/>
      </c:lineChart>
      <c:catAx>
        <c:axId val="14084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909985184"/>
        <c:crosses val="autoZero"/>
        <c:auto val="1"/>
        <c:lblAlgn val="ctr"/>
        <c:lblOffset val="100"/>
        <c:noMultiLvlLbl val="0"/>
      </c:catAx>
      <c:valAx>
        <c:axId val="1909985184"/>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40846256"/>
        <c:crosses val="autoZero"/>
        <c:crossBetween val="between"/>
      </c:valAx>
      <c:valAx>
        <c:axId val="8069492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19850528"/>
        <c:crosses val="max"/>
        <c:crossBetween val="between"/>
      </c:valAx>
      <c:catAx>
        <c:axId val="319850528"/>
        <c:scaling>
          <c:orientation val="minMax"/>
        </c:scaling>
        <c:delete val="1"/>
        <c:axPos val="b"/>
        <c:numFmt formatCode="General" sourceLinked="1"/>
        <c:majorTickMark val="out"/>
        <c:minorTickMark val="none"/>
        <c:tickLblPos val="nextTo"/>
        <c:crossAx val="806949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32197591347509"/>
          <c:w val="0.86426640419947509"/>
          <c:h val="0.4706317835786179"/>
        </c:manualLayout>
      </c:layout>
      <c:lineChart>
        <c:grouping val="standard"/>
        <c:varyColors val="0"/>
        <c:ser>
          <c:idx val="0"/>
          <c:order val="0"/>
          <c:tx>
            <c:strRef>
              <c:f>'[IS-WBG-Integration index22.1.xlsx]Data'!$F$2</c:f>
              <c:strCache>
                <c:ptCount val="1"/>
                <c:pt idx="0">
                  <c:v>Palestinians employed in Israel out of total PT of employed Individuals</c:v>
                </c:pt>
              </c:strCache>
            </c:strRef>
          </c:tx>
          <c:spPr>
            <a:ln w="28575" cap="rnd">
              <a:solidFill>
                <a:schemeClr val="accent1"/>
              </a:solidFill>
              <a:round/>
            </a:ln>
            <a:effectLst/>
          </c:spPr>
          <c:marker>
            <c:symbol val="none"/>
          </c:marker>
          <c:cat>
            <c:numRef>
              <c:f>'[IS-WBG-Integration index22.1.xlsx]Data'!$B$3:$B$54</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'[IS-WBG-Integration index22.1.xlsx]Data'!$F$3:$F$54</c:f>
              <c:numCache>
                <c:formatCode>0%</c:formatCode>
                <c:ptCount val="52"/>
                <c:pt idx="0">
                  <c:v>0.11886901327178304</c:v>
                </c:pt>
                <c:pt idx="1">
                  <c:v>0.11886901327178304</c:v>
                </c:pt>
                <c:pt idx="2">
                  <c:v>0.11886901327178304</c:v>
                </c:pt>
                <c:pt idx="3">
                  <c:v>0.19241652518392757</c:v>
                </c:pt>
                <c:pt idx="4">
                  <c:v>0.27860169491525422</c:v>
                </c:pt>
                <c:pt idx="5">
                  <c:v>0.31570841889117041</c:v>
                </c:pt>
                <c:pt idx="6">
                  <c:v>0.33016175071360615</c:v>
                </c:pt>
                <c:pt idx="7">
                  <c:v>0.325864588407209</c:v>
                </c:pt>
                <c:pt idx="8">
                  <c:v>0.31765276430649858</c:v>
                </c:pt>
                <c:pt idx="9">
                  <c:v>0.31009263773768897</c:v>
                </c:pt>
                <c:pt idx="10">
                  <c:v>0.32455315145813735</c:v>
                </c:pt>
                <c:pt idx="11">
                  <c:v>0.35194744251525106</c:v>
                </c:pt>
                <c:pt idx="12">
                  <c:v>0.3510392609699769</c:v>
                </c:pt>
                <c:pt idx="13">
                  <c:v>0.35454126325495622</c:v>
                </c:pt>
                <c:pt idx="14">
                  <c:v>0.35880250223413757</c:v>
                </c:pt>
                <c:pt idx="15">
                  <c:v>0.38153846153846155</c:v>
                </c:pt>
                <c:pt idx="16">
                  <c:v>0.3787107718405428</c:v>
                </c:pt>
                <c:pt idx="17">
                  <c:v>0.36926889714993805</c:v>
                </c:pt>
                <c:pt idx="18">
                  <c:v>0.36430223592906713</c:v>
                </c:pt>
                <c:pt idx="19">
                  <c:v>0.39214980194454452</c:v>
                </c:pt>
                <c:pt idx="20">
                  <c:v>0.38808087974459032</c:v>
                </c:pt>
                <c:pt idx="21">
                  <c:v>0.37531305903398926</c:v>
                </c:pt>
                <c:pt idx="22">
                  <c:v>0.36323777403035412</c:v>
                </c:pt>
                <c:pt idx="23">
                  <c:v>0.34017391304347827</c:v>
                </c:pt>
                <c:pt idx="24">
                  <c:v>0.36204196680238016</c:v>
                </c:pt>
                <c:pt idx="25">
                  <c:v>0.2653578214059531</c:v>
                </c:pt>
                <c:pt idx="26">
                  <c:v>0.21367891070297657</c:v>
                </c:pt>
                <c:pt idx="27">
                  <c:v>0.16200000000000001</c:v>
                </c:pt>
                <c:pt idx="28">
                  <c:v>0.14099999999999999</c:v>
                </c:pt>
                <c:pt idx="29">
                  <c:v>0.17100000000000001</c:v>
                </c:pt>
                <c:pt idx="30">
                  <c:v>0.217</c:v>
                </c:pt>
                <c:pt idx="31">
                  <c:v>0.22900000000000001</c:v>
                </c:pt>
                <c:pt idx="32">
                  <c:v>0.188</c:v>
                </c:pt>
                <c:pt idx="33">
                  <c:v>0.125</c:v>
                </c:pt>
                <c:pt idx="34">
                  <c:v>9.3000000000000013E-2</c:v>
                </c:pt>
                <c:pt idx="35">
                  <c:v>8.6999999999999994E-2</c:v>
                </c:pt>
                <c:pt idx="36">
                  <c:v>0.08</c:v>
                </c:pt>
                <c:pt idx="37">
                  <c:v>9.3000000000000013E-2</c:v>
                </c:pt>
                <c:pt idx="38">
                  <c:v>8.5999999999999993E-2</c:v>
                </c:pt>
                <c:pt idx="39">
                  <c:v>8.900000000000001E-2</c:v>
                </c:pt>
                <c:pt idx="40">
                  <c:v>9.9000000000000005E-2</c:v>
                </c:pt>
                <c:pt idx="41">
                  <c:v>0.10099999999999999</c:v>
                </c:pt>
                <c:pt idx="42">
                  <c:v>0.10400000000000001</c:v>
                </c:pt>
                <c:pt idx="43">
                  <c:v>9.8000000000000004E-2</c:v>
                </c:pt>
                <c:pt idx="44">
                  <c:v>9.5000000000000001E-2</c:v>
                </c:pt>
                <c:pt idx="45">
                  <c:v>0.11</c:v>
                </c:pt>
                <c:pt idx="46">
                  <c:v>0.11599999999999999</c:v>
                </c:pt>
                <c:pt idx="47">
                  <c:v>0.115</c:v>
                </c:pt>
                <c:pt idx="48">
                  <c:v>0.11800000000000001</c:v>
                </c:pt>
                <c:pt idx="49">
                  <c:v>0.13</c:v>
                </c:pt>
                <c:pt idx="50">
                  <c:v>0.13300000000000001</c:v>
                </c:pt>
                <c:pt idx="51">
                  <c:v>0.13200000000000001</c:v>
                </c:pt>
              </c:numCache>
            </c:numRef>
          </c:val>
          <c:smooth val="0"/>
          <c:extLst>
            <c:ext xmlns:c16="http://schemas.microsoft.com/office/drawing/2014/chart" uri="{C3380CC4-5D6E-409C-BE32-E72D297353CC}">
              <c16:uniqueId val="{00000000-EE74-4FEF-9C3A-818BC6973826}"/>
            </c:ext>
          </c:extLst>
        </c:ser>
        <c:ser>
          <c:idx val="1"/>
          <c:order val="1"/>
          <c:tx>
            <c:strRef>
              <c:f>'[IS-WBG-Integration index22.1.xlsx]Data'!$G$2</c:f>
              <c:strCache>
                <c:ptCount val="1"/>
                <c:pt idx="0">
                  <c:v>Remittances of Palestinians workers in Israel out of WBG GNI</c:v>
                </c:pt>
              </c:strCache>
            </c:strRef>
          </c:tx>
          <c:spPr>
            <a:ln w="28575" cap="rnd">
              <a:solidFill>
                <a:schemeClr val="accent2"/>
              </a:solidFill>
              <a:round/>
            </a:ln>
            <a:effectLst/>
          </c:spPr>
          <c:marker>
            <c:symbol val="none"/>
          </c:marker>
          <c:cat>
            <c:numRef>
              <c:f>'[IS-WBG-Integration index22.1.xlsx]Data'!$B$3:$B$54</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'[IS-WBG-Integration index22.1.xlsx]Data'!$G$3:$G$54</c:f>
              <c:numCache>
                <c:formatCode>0%</c:formatCode>
                <c:ptCount val="52"/>
                <c:pt idx="0">
                  <c:v>9.5999999999999992E-3</c:v>
                </c:pt>
                <c:pt idx="1">
                  <c:v>5.9799999999999999E-2</c:v>
                </c:pt>
                <c:pt idx="2">
                  <c:v>0.1096</c:v>
                </c:pt>
                <c:pt idx="3">
                  <c:v>0.16309999999999999</c:v>
                </c:pt>
                <c:pt idx="4">
                  <c:v>0.2258</c:v>
                </c:pt>
                <c:pt idx="5">
                  <c:v>0.24229999999999999</c:v>
                </c:pt>
                <c:pt idx="6">
                  <c:v>0.20880000000000001</c:v>
                </c:pt>
                <c:pt idx="7">
                  <c:v>0.2379</c:v>
                </c:pt>
                <c:pt idx="8">
                  <c:v>0.214</c:v>
                </c:pt>
                <c:pt idx="9">
                  <c:v>0.2185</c:v>
                </c:pt>
                <c:pt idx="10">
                  <c:v>0.2175</c:v>
                </c:pt>
                <c:pt idx="11">
                  <c:v>0.24679999999999999</c:v>
                </c:pt>
                <c:pt idx="12">
                  <c:v>0.2089</c:v>
                </c:pt>
                <c:pt idx="13">
                  <c:v>0.23719999999999999</c:v>
                </c:pt>
                <c:pt idx="14">
                  <c:v>0.26169999999999999</c:v>
                </c:pt>
                <c:pt idx="15">
                  <c:v>0.28149999999999997</c:v>
                </c:pt>
                <c:pt idx="16">
                  <c:v>0.251</c:v>
                </c:pt>
                <c:pt idx="17">
                  <c:v>0.23619999999999999</c:v>
                </c:pt>
                <c:pt idx="18">
                  <c:v>0.24740000000000001</c:v>
                </c:pt>
                <c:pt idx="19">
                  <c:v>0.29959999999999998</c:v>
                </c:pt>
                <c:pt idx="20">
                  <c:v>0.27200000000000002</c:v>
                </c:pt>
                <c:pt idx="21">
                  <c:v>0.26790000000000003</c:v>
                </c:pt>
                <c:pt idx="22">
                  <c:v>0.2631</c:v>
                </c:pt>
                <c:pt idx="23">
                  <c:v>0.26490000000000002</c:v>
                </c:pt>
                <c:pt idx="24">
                  <c:v>0.25979999999999998</c:v>
                </c:pt>
                <c:pt idx="25">
                  <c:v>0.17849999999999999</c:v>
                </c:pt>
                <c:pt idx="26">
                  <c:v>0.1158</c:v>
                </c:pt>
                <c:pt idx="27">
                  <c:v>0.13194659248815699</c:v>
                </c:pt>
                <c:pt idx="28">
                  <c:v>0.11826347455880433</c:v>
                </c:pt>
                <c:pt idx="29">
                  <c:v>0.12147436088143267</c:v>
                </c:pt>
                <c:pt idx="30">
                  <c:v>0.17223285446808623</c:v>
                </c:pt>
                <c:pt idx="31">
                  <c:v>0.16986423873898135</c:v>
                </c:pt>
                <c:pt idx="32">
                  <c:v>9.0701583283185658E-2</c:v>
                </c:pt>
                <c:pt idx="33">
                  <c:v>3.9743678719318942E-2</c:v>
                </c:pt>
                <c:pt idx="34">
                  <c:v>2.6889554136752591E-2</c:v>
                </c:pt>
                <c:pt idx="35">
                  <c:v>3.7790490659197186E-2</c:v>
                </c:pt>
                <c:pt idx="36">
                  <c:v>3.3138078777968663E-2</c:v>
                </c:pt>
                <c:pt idx="37">
                  <c:v>3.8906241437887006E-2</c:v>
                </c:pt>
                <c:pt idx="38">
                  <c:v>4.5036302829714603E-2</c:v>
                </c:pt>
                <c:pt idx="39">
                  <c:v>5.0295997361933326E-2</c:v>
                </c:pt>
                <c:pt idx="40">
                  <c:v>5.5000814362855033E-2</c:v>
                </c:pt>
                <c:pt idx="41">
                  <c:v>4.8469446958620523E-2</c:v>
                </c:pt>
                <c:pt idx="42">
                  <c:v>5.1174055988950064E-2</c:v>
                </c:pt>
                <c:pt idx="43">
                  <c:v>5.5531351586849423E-2</c:v>
                </c:pt>
                <c:pt idx="44">
                  <c:v>5.8380976434841837E-2</c:v>
                </c:pt>
                <c:pt idx="45">
                  <c:v>7.3576908924896767E-2</c:v>
                </c:pt>
                <c:pt idx="46">
                  <c:v>9.2765781428746877E-2</c:v>
                </c:pt>
                <c:pt idx="47">
                  <c:v>0.10524201774966846</c:v>
                </c:pt>
                <c:pt idx="48">
                  <c:v>0.10868095092219571</c:v>
                </c:pt>
                <c:pt idx="49">
                  <c:v>0.11417538478391849</c:v>
                </c:pt>
                <c:pt idx="50">
                  <c:v>0.13741154747979165</c:v>
                </c:pt>
                <c:pt idx="51" formatCode="0.00%">
                  <c:v>0.14608697377099586</c:v>
                </c:pt>
              </c:numCache>
            </c:numRef>
          </c:val>
          <c:smooth val="0"/>
          <c:extLst>
            <c:ext xmlns:c16="http://schemas.microsoft.com/office/drawing/2014/chart" uri="{C3380CC4-5D6E-409C-BE32-E72D297353CC}">
              <c16:uniqueId val="{00000001-EE74-4FEF-9C3A-818BC6973826}"/>
            </c:ext>
          </c:extLst>
        </c:ser>
        <c:dLbls>
          <c:showLegendKey val="0"/>
          <c:showVal val="0"/>
          <c:showCatName val="0"/>
          <c:showSerName val="0"/>
          <c:showPercent val="0"/>
          <c:showBubbleSize val="0"/>
        </c:dLbls>
        <c:smooth val="0"/>
        <c:axId val="142353679"/>
        <c:axId val="142355759"/>
      </c:lineChart>
      <c:catAx>
        <c:axId val="14235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42355759"/>
        <c:crosses val="autoZero"/>
        <c:auto val="1"/>
        <c:lblAlgn val="ctr"/>
        <c:lblOffset val="100"/>
        <c:noMultiLvlLbl val="0"/>
      </c:catAx>
      <c:valAx>
        <c:axId val="1423557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42353679"/>
        <c:crosses val="autoZero"/>
        <c:crossBetween val="between"/>
      </c:valAx>
      <c:spPr>
        <a:noFill/>
        <a:ln>
          <a:noFill/>
        </a:ln>
        <a:effectLst/>
      </c:spPr>
    </c:plotArea>
    <c:legend>
      <c:legendPos val="b"/>
      <c:layout>
        <c:manualLayout>
          <c:xMode val="edge"/>
          <c:yMode val="edge"/>
          <c:x val="5.6902545848961088E-4"/>
          <c:y val="0.78112351311966821"/>
          <c:w val="0.88326627058072071"/>
          <c:h val="0.1751918678054570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גיליון2!$B$1</c:f>
              <c:strCache>
                <c:ptCount val="1"/>
                <c:pt idx="0">
                  <c:v>Upper bound</c:v>
                </c:pt>
              </c:strCache>
            </c:strRef>
          </c:tx>
          <c:spPr>
            <a:ln w="28575" cap="rnd">
              <a:solidFill>
                <a:schemeClr val="accent1"/>
              </a:solidFill>
              <a:round/>
            </a:ln>
            <a:effectLst/>
          </c:spPr>
          <c:marker>
            <c:symbol val="none"/>
          </c:marker>
          <c:cat>
            <c:numRef>
              <c:f>גיליון2!$A$2:$A$11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גיליון2!$B$2:$B$11</c:f>
              <c:numCache>
                <c:formatCode>_(* #,##0.00_);_(* \(#,##0.00\);_(* "-"??_);_(@_)</c:formatCode>
                <c:ptCount val="10"/>
                <c:pt idx="0">
                  <c:v>17.613272194494566</c:v>
                </c:pt>
                <c:pt idx="1">
                  <c:v>15.122734892853353</c:v>
                </c:pt>
                <c:pt idx="2">
                  <c:v>18.820047325895786</c:v>
                </c:pt>
                <c:pt idx="3">
                  <c:v>18.504275591922305</c:v>
                </c:pt>
                <c:pt idx="4">
                  <c:v>21.59957940162877</c:v>
                </c:pt>
                <c:pt idx="5">
                  <c:v>28.521965064849056</c:v>
                </c:pt>
                <c:pt idx="6">
                  <c:v>28.499289136989603</c:v>
                </c:pt>
                <c:pt idx="7">
                  <c:v>31.417556474636594</c:v>
                </c:pt>
                <c:pt idx="8">
                  <c:v>33.145971046843393</c:v>
                </c:pt>
                <c:pt idx="9">
                  <c:v>31.76146660864244</c:v>
                </c:pt>
              </c:numCache>
            </c:numRef>
          </c:val>
          <c:smooth val="0"/>
          <c:extLst>
            <c:ext xmlns:c16="http://schemas.microsoft.com/office/drawing/2014/chart" uri="{C3380CC4-5D6E-409C-BE32-E72D297353CC}">
              <c16:uniqueId val="{00000000-B211-4045-946C-FF1C8A3901A2}"/>
            </c:ext>
          </c:extLst>
        </c:ser>
        <c:ser>
          <c:idx val="1"/>
          <c:order val="1"/>
          <c:tx>
            <c:strRef>
              <c:f>גיליון2!$C$1</c:f>
              <c:strCache>
                <c:ptCount val="1"/>
                <c:pt idx="0">
                  <c:v>Lower bound</c:v>
                </c:pt>
              </c:strCache>
            </c:strRef>
          </c:tx>
          <c:spPr>
            <a:ln w="28575" cap="rnd">
              <a:solidFill>
                <a:schemeClr val="accent2"/>
              </a:solidFill>
              <a:round/>
            </a:ln>
            <a:effectLst/>
          </c:spPr>
          <c:marker>
            <c:symbol val="none"/>
          </c:marker>
          <c:cat>
            <c:numRef>
              <c:f>גיליון2!$A$2:$A$11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גיליון2!$C$2:$C$11</c:f>
              <c:numCache>
                <c:formatCode>_(* #,##0.00_);_(* \(#,##0.00\);_(* "-"??_);_(@_)</c:formatCode>
                <c:ptCount val="10"/>
                <c:pt idx="0">
                  <c:v>0.93753579399999998</c:v>
                </c:pt>
                <c:pt idx="1">
                  <c:v>0.79118655800000004</c:v>
                </c:pt>
                <c:pt idx="2">
                  <c:v>1.870917366</c:v>
                </c:pt>
                <c:pt idx="3">
                  <c:v>2.242309879</c:v>
                </c:pt>
                <c:pt idx="4">
                  <c:v>1.3141856510000001</c:v>
                </c:pt>
                <c:pt idx="5">
                  <c:v>2.990283915</c:v>
                </c:pt>
                <c:pt idx="6">
                  <c:v>2.368544779</c:v>
                </c:pt>
                <c:pt idx="7">
                  <c:v>4.2132231740000003</c:v>
                </c:pt>
                <c:pt idx="8">
                  <c:v>4.2440367910000001</c:v>
                </c:pt>
                <c:pt idx="9">
                  <c:v>4.7471748910000002</c:v>
                </c:pt>
              </c:numCache>
            </c:numRef>
          </c:val>
          <c:smooth val="0"/>
          <c:extLst>
            <c:ext xmlns:c16="http://schemas.microsoft.com/office/drawing/2014/chart" uri="{C3380CC4-5D6E-409C-BE32-E72D297353CC}">
              <c16:uniqueId val="{00000001-B211-4045-946C-FF1C8A3901A2}"/>
            </c:ext>
          </c:extLst>
        </c:ser>
        <c:ser>
          <c:idx val="2"/>
          <c:order val="2"/>
          <c:tx>
            <c:strRef>
              <c:f>גיליון2!$D$1</c:f>
              <c:strCache>
                <c:ptCount val="1"/>
                <c:pt idx="0">
                  <c:v>Estimate</c:v>
                </c:pt>
              </c:strCache>
            </c:strRef>
          </c:tx>
          <c:spPr>
            <a:ln w="28575" cap="rnd">
              <a:solidFill>
                <a:schemeClr val="accent3"/>
              </a:solidFill>
              <a:prstDash val="dash"/>
              <a:round/>
            </a:ln>
            <a:effectLst/>
          </c:spPr>
          <c:marker>
            <c:symbol val="none"/>
          </c:marker>
          <c:cat>
            <c:numRef>
              <c:f>גיליון2!$A$2:$A$11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גיליון2!$D$2:$D$11</c:f>
              <c:numCache>
                <c:formatCode>_(* #,##0.00_);_(* \(#,##0.00\);_(* "-"??_);_(@_)</c:formatCode>
                <c:ptCount val="10"/>
                <c:pt idx="0">
                  <c:v>9.2754039942472826</c:v>
                </c:pt>
                <c:pt idx="1">
                  <c:v>7.9569607254266765</c:v>
                </c:pt>
                <c:pt idx="2">
                  <c:v>10.345482345947893</c:v>
                </c:pt>
                <c:pt idx="3">
                  <c:v>10.373292735461153</c:v>
                </c:pt>
                <c:pt idx="4">
                  <c:v>11.456882526314384</c:v>
                </c:pt>
                <c:pt idx="5">
                  <c:v>15.756124489924527</c:v>
                </c:pt>
                <c:pt idx="6">
                  <c:v>15.433916957994802</c:v>
                </c:pt>
                <c:pt idx="7">
                  <c:v>17.815389824318299</c:v>
                </c:pt>
                <c:pt idx="8">
                  <c:v>18.695003918921696</c:v>
                </c:pt>
                <c:pt idx="9">
                  <c:v>18.254320749821218</c:v>
                </c:pt>
              </c:numCache>
            </c:numRef>
          </c:val>
          <c:smooth val="0"/>
          <c:extLst>
            <c:ext xmlns:c16="http://schemas.microsoft.com/office/drawing/2014/chart" uri="{C3380CC4-5D6E-409C-BE32-E72D297353CC}">
              <c16:uniqueId val="{00000002-B211-4045-946C-FF1C8A3901A2}"/>
            </c:ext>
          </c:extLst>
        </c:ser>
        <c:ser>
          <c:idx val="3"/>
          <c:order val="3"/>
          <c:tx>
            <c:strRef>
              <c:f>גיליון2!$E$1</c:f>
              <c:strCache>
                <c:ptCount val="1"/>
                <c:pt idx="0">
                  <c:v>excess cash</c:v>
                </c:pt>
              </c:strCache>
            </c:strRef>
          </c:tx>
          <c:spPr>
            <a:ln w="28575" cap="rnd">
              <a:solidFill>
                <a:schemeClr val="accent4"/>
              </a:solidFill>
              <a:round/>
            </a:ln>
            <a:effectLst/>
          </c:spPr>
          <c:marker>
            <c:symbol val="none"/>
          </c:marker>
          <c:cat>
            <c:numRef>
              <c:f>גיליון2!$A$2:$A$11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גיליון2!$E$2:$E$11</c:f>
              <c:numCache>
                <c:formatCode>_(* #,##0.00_);_(* \(#,##0.00\);_(* "-"??_);_(@_)</c:formatCode>
                <c:ptCount val="10"/>
                <c:pt idx="0">
                  <c:v>4.5999999999999996</c:v>
                </c:pt>
                <c:pt idx="1">
                  <c:v>5.3207000000000004</c:v>
                </c:pt>
                <c:pt idx="2">
                  <c:v>5.8030999999999997</c:v>
                </c:pt>
                <c:pt idx="3">
                  <c:v>9.6</c:v>
                </c:pt>
                <c:pt idx="4">
                  <c:v>9</c:v>
                </c:pt>
                <c:pt idx="5">
                  <c:v>8.6999999999999993</c:v>
                </c:pt>
                <c:pt idx="6">
                  <c:v>12.4</c:v>
                </c:pt>
                <c:pt idx="7">
                  <c:v>12.7</c:v>
                </c:pt>
                <c:pt idx="8">
                  <c:v>14.5</c:v>
                </c:pt>
                <c:pt idx="9">
                  <c:v>17.010159999999999</c:v>
                </c:pt>
              </c:numCache>
            </c:numRef>
          </c:val>
          <c:smooth val="0"/>
          <c:extLst>
            <c:ext xmlns:c16="http://schemas.microsoft.com/office/drawing/2014/chart" uri="{C3380CC4-5D6E-409C-BE32-E72D297353CC}">
              <c16:uniqueId val="{00000003-B211-4045-946C-FF1C8A3901A2}"/>
            </c:ext>
          </c:extLst>
        </c:ser>
        <c:dLbls>
          <c:showLegendKey val="0"/>
          <c:showVal val="0"/>
          <c:showCatName val="0"/>
          <c:showSerName val="0"/>
          <c:showPercent val="0"/>
          <c:showBubbleSize val="0"/>
        </c:dLbls>
        <c:smooth val="0"/>
        <c:axId val="1526723823"/>
        <c:axId val="294538975"/>
      </c:lineChart>
      <c:catAx>
        <c:axId val="1526723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94538975"/>
        <c:crosses val="autoZero"/>
        <c:auto val="1"/>
        <c:lblAlgn val="ctr"/>
        <c:lblOffset val="100"/>
        <c:noMultiLvlLbl val="0"/>
      </c:catAx>
      <c:valAx>
        <c:axId val="2945389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526723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גיליון2!$O$71</c:f>
              <c:strCache>
                <c:ptCount val="1"/>
              </c:strCache>
            </c:strRef>
          </c:tx>
          <c:spPr>
            <a:ln w="28575" cap="rnd">
              <a:solidFill>
                <a:schemeClr val="accent1"/>
              </a:solidFill>
              <a:round/>
            </a:ln>
            <a:effectLst/>
          </c:spPr>
          <c:marker>
            <c:symbol val="none"/>
          </c:marker>
          <c:cat>
            <c:numRef>
              <c:f>גיליון2!$N$72:$N$81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גיליון2!$O$72:$O$81</c:f>
              <c:numCache>
                <c:formatCode>_(* #,##0.00_);_(* \(#,##0.00\);_(* "-"??_);_(@_)</c:formatCode>
                <c:ptCount val="10"/>
                <c:pt idx="0">
                  <c:v>0.20688787264397393</c:v>
                </c:pt>
                <c:pt idx="1">
                  <c:v>0.16244994437489385</c:v>
                </c:pt>
                <c:pt idx="2">
                  <c:v>0.18887923513314758</c:v>
                </c:pt>
                <c:pt idx="3">
                  <c:v>0.18029221244892157</c:v>
                </c:pt>
                <c:pt idx="4">
                  <c:v>0.1812969985491405</c:v>
                </c:pt>
                <c:pt idx="5">
                  <c:v>0.21440696299923154</c:v>
                </c:pt>
                <c:pt idx="6">
                  <c:v>0.20308951675633474</c:v>
                </c:pt>
                <c:pt idx="7">
                  <c:v>0.21672696314345513</c:v>
                </c:pt>
                <c:pt idx="8">
                  <c:v>0.21771540275211887</c:v>
                </c:pt>
                <c:pt idx="9">
                  <c:v>0.20939136880659362</c:v>
                </c:pt>
              </c:numCache>
            </c:numRef>
          </c:val>
          <c:smooth val="0"/>
          <c:extLst>
            <c:ext xmlns:c16="http://schemas.microsoft.com/office/drawing/2014/chart" uri="{C3380CC4-5D6E-409C-BE32-E72D297353CC}">
              <c16:uniqueId val="{00000000-F7F9-466D-9FDB-887BD4D4D5C7}"/>
            </c:ext>
          </c:extLst>
        </c:ser>
        <c:dLbls>
          <c:showLegendKey val="0"/>
          <c:showVal val="0"/>
          <c:showCatName val="0"/>
          <c:showSerName val="0"/>
          <c:showPercent val="0"/>
          <c:showBubbleSize val="0"/>
        </c:dLbls>
        <c:smooth val="0"/>
        <c:axId val="611709919"/>
        <c:axId val="611714079"/>
      </c:lineChart>
      <c:catAx>
        <c:axId val="61170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611714079"/>
        <c:crosses val="autoZero"/>
        <c:auto val="1"/>
        <c:lblAlgn val="ctr"/>
        <c:lblOffset val="100"/>
        <c:noMultiLvlLbl val="0"/>
      </c:catAx>
      <c:valAx>
        <c:axId val="611714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6117099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גיליון2!$H$1</c:f>
              <c:strCache>
                <c:ptCount val="1"/>
                <c:pt idx="0">
                  <c:v>Estimate of cash to GNI</c:v>
                </c:pt>
              </c:strCache>
            </c:strRef>
          </c:tx>
          <c:spPr>
            <a:ln w="28575" cap="rnd">
              <a:solidFill>
                <a:schemeClr val="accent2"/>
              </a:solidFill>
              <a:round/>
            </a:ln>
            <a:effectLst/>
          </c:spPr>
          <c:marker>
            <c:symbol val="none"/>
          </c:marker>
          <c:cat>
            <c:numRef>
              <c:f>גיליון2!$A$2:$A$11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גיליון2!$H$2:$H$11</c:f>
              <c:numCache>
                <c:formatCode>0.00%</c:formatCode>
                <c:ptCount val="10"/>
                <c:pt idx="0">
                  <c:v>0.25421921503209632</c:v>
                </c:pt>
                <c:pt idx="1">
                  <c:v>0.17447207291156328</c:v>
                </c:pt>
                <c:pt idx="2">
                  <c:v>0.2121062296063273</c:v>
                </c:pt>
                <c:pt idx="3">
                  <c:v>0.20363866235787728</c:v>
                </c:pt>
                <c:pt idx="4">
                  <c:v>0.19040293532034355</c:v>
                </c:pt>
                <c:pt idx="5">
                  <c:v>0.25744422441949638</c:v>
                </c:pt>
                <c:pt idx="6">
                  <c:v>0.23200967660226271</c:v>
                </c:pt>
                <c:pt idx="7">
                  <c:v>0.28145701181154043</c:v>
                </c:pt>
                <c:pt idx="8">
                  <c:v>0.26164607673079932</c:v>
                </c:pt>
                <c:pt idx="9">
                  <c:v>0.26193900793259783</c:v>
                </c:pt>
              </c:numCache>
            </c:numRef>
          </c:val>
          <c:smooth val="0"/>
          <c:extLst>
            <c:ext xmlns:c16="http://schemas.microsoft.com/office/drawing/2014/chart" uri="{C3380CC4-5D6E-409C-BE32-E72D297353CC}">
              <c16:uniqueId val="{00000000-50B2-44D5-859B-41C232760706}"/>
            </c:ext>
          </c:extLst>
        </c:ser>
        <c:dLbls>
          <c:showLegendKey val="0"/>
          <c:showVal val="0"/>
          <c:showCatName val="0"/>
          <c:showSerName val="0"/>
          <c:showPercent val="0"/>
          <c:showBubbleSize val="0"/>
        </c:dLbls>
        <c:smooth val="0"/>
        <c:axId val="2045714415"/>
        <c:axId val="294530239"/>
      </c:lineChart>
      <c:catAx>
        <c:axId val="2045714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94530239"/>
        <c:crosses val="autoZero"/>
        <c:auto val="1"/>
        <c:lblAlgn val="ctr"/>
        <c:lblOffset val="100"/>
        <c:noMultiLvlLbl val="0"/>
      </c:catAx>
      <c:valAx>
        <c:axId val="294530239"/>
        <c:scaling>
          <c:orientation val="minMax"/>
          <c:min val="3.0000000000000006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0457144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גיליון2!$O$39</c:f>
              <c:strCache>
                <c:ptCount val="1"/>
                <c:pt idx="0">
                  <c:v>cash to GDP</c:v>
                </c:pt>
              </c:strCache>
            </c:strRef>
          </c:tx>
          <c:spPr>
            <a:ln w="28575" cap="rnd">
              <a:solidFill>
                <a:schemeClr val="accent1"/>
              </a:solidFill>
              <a:round/>
            </a:ln>
            <a:effectLst/>
          </c:spPr>
          <c:marker>
            <c:symbol val="none"/>
          </c:marker>
          <c:cat>
            <c:numRef>
              <c:f>גיליון2!$N$40:$N$49</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גיליון2!$O$40:$O$49</c:f>
              <c:numCache>
                <c:formatCode>0.00%</c:formatCode>
                <c:ptCount val="10"/>
                <c:pt idx="0">
                  <c:v>5.1243337384032306E-2</c:v>
                </c:pt>
                <c:pt idx="1">
                  <c:v>5.2354259110976215E-2</c:v>
                </c:pt>
                <c:pt idx="2">
                  <c:v>5.5233284254537246E-2</c:v>
                </c:pt>
                <c:pt idx="3">
                  <c:v>5.4451926324236746E-2</c:v>
                </c:pt>
                <c:pt idx="4">
                  <c:v>5.7056081662941523E-2</c:v>
                </c:pt>
                <c:pt idx="5">
                  <c:v>6.3061451686084138E-2</c:v>
                </c:pt>
                <c:pt idx="6">
                  <c:v>6.2039733364823879E-2</c:v>
                </c:pt>
                <c:pt idx="7">
                  <c:v>6.4646816798050802E-2</c:v>
                </c:pt>
                <c:pt idx="8">
                  <c:v>6.4533187658591007E-2</c:v>
                </c:pt>
                <c:pt idx="9">
                  <c:v>6.187968812559673E-2</c:v>
                </c:pt>
              </c:numCache>
            </c:numRef>
          </c:val>
          <c:smooth val="0"/>
          <c:extLst>
            <c:ext xmlns:c16="http://schemas.microsoft.com/office/drawing/2014/chart" uri="{C3380CC4-5D6E-409C-BE32-E72D297353CC}">
              <c16:uniqueId val="{00000000-6F3B-40E9-8598-4F81C044665D}"/>
            </c:ext>
          </c:extLst>
        </c:ser>
        <c:ser>
          <c:idx val="1"/>
          <c:order val="1"/>
          <c:tx>
            <c:strRef>
              <c:f>גיליון2!$P$39</c:f>
              <c:strCache>
                <c:ptCount val="1"/>
                <c:pt idx="0">
                  <c:v>revised cash to GDP</c:v>
                </c:pt>
              </c:strCache>
            </c:strRef>
          </c:tx>
          <c:spPr>
            <a:ln w="28575" cap="rnd">
              <a:solidFill>
                <a:schemeClr val="accent2"/>
              </a:solidFill>
              <a:round/>
            </a:ln>
            <a:effectLst/>
          </c:spPr>
          <c:marker>
            <c:symbol val="none"/>
          </c:marker>
          <c:cat>
            <c:numRef>
              <c:f>גיליון2!$N$40:$N$49</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גיליון2!$P$40:$P$49</c:f>
              <c:numCache>
                <c:formatCode>0.00%</c:formatCode>
                <c:ptCount val="10"/>
                <c:pt idx="0">
                  <c:v>4.0641712325472437E-2</c:v>
                </c:pt>
                <c:pt idx="1">
                  <c:v>4.3849312630609351E-2</c:v>
                </c:pt>
                <c:pt idx="2">
                  <c:v>4.4800863770648527E-2</c:v>
                </c:pt>
                <c:pt idx="3">
                  <c:v>4.4634668055134434E-2</c:v>
                </c:pt>
                <c:pt idx="4">
                  <c:v>4.6711985308475569E-2</c:v>
                </c:pt>
                <c:pt idx="5">
                  <c:v>4.9540637347748065E-2</c:v>
                </c:pt>
                <c:pt idx="6">
                  <c:v>4.9440113896069941E-2</c:v>
                </c:pt>
                <c:pt idx="7">
                  <c:v>5.0636108516517946E-2</c:v>
                </c:pt>
                <c:pt idx="8">
                  <c:v>5.0483318716622795E-2</c:v>
                </c:pt>
                <c:pt idx="9">
                  <c:v>4.8922615527652917E-2</c:v>
                </c:pt>
              </c:numCache>
            </c:numRef>
          </c:val>
          <c:smooth val="0"/>
          <c:extLst>
            <c:ext xmlns:c16="http://schemas.microsoft.com/office/drawing/2014/chart" uri="{C3380CC4-5D6E-409C-BE32-E72D297353CC}">
              <c16:uniqueId val="{00000001-6F3B-40E9-8598-4F81C044665D}"/>
            </c:ext>
          </c:extLst>
        </c:ser>
        <c:dLbls>
          <c:showLegendKey val="0"/>
          <c:showVal val="0"/>
          <c:showCatName val="0"/>
          <c:showSerName val="0"/>
          <c:showPercent val="0"/>
          <c:showBubbleSize val="0"/>
        </c:dLbls>
        <c:smooth val="0"/>
        <c:axId val="86365359"/>
        <c:axId val="86357039"/>
      </c:lineChart>
      <c:catAx>
        <c:axId val="86365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86357039"/>
        <c:crosses val="autoZero"/>
        <c:auto val="1"/>
        <c:lblAlgn val="ctr"/>
        <c:lblOffset val="100"/>
        <c:noMultiLvlLbl val="0"/>
      </c:catAx>
      <c:valAx>
        <c:axId val="863570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86365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'Index 1968-2019'!$J$59</c:f>
              <c:strCache>
                <c:ptCount val="1"/>
                <c:pt idx="0">
                  <c:v>IWBGII</c:v>
                </c:pt>
              </c:strCache>
            </c:strRef>
          </c:tx>
          <c:spPr>
            <a:ln w="28575" cap="rnd">
              <a:solidFill>
                <a:schemeClr val="accent1"/>
              </a:solidFill>
              <a:round/>
            </a:ln>
            <a:effectLst/>
          </c:spPr>
          <c:marker>
            <c:symbol val="none"/>
          </c:marker>
          <c:cat>
            <c:numRef>
              <c:f>'Index 1968-2019'!$I$60:$I$111</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'Index 1968-2019'!$J$60:$J$111</c:f>
              <c:numCache>
                <c:formatCode>0.00%</c:formatCode>
                <c:ptCount val="52"/>
                <c:pt idx="0">
                  <c:v>0.16473381560878195</c:v>
                </c:pt>
                <c:pt idx="1">
                  <c:v>0.1964906378150672</c:v>
                </c:pt>
                <c:pt idx="2">
                  <c:v>0.29651778671004414</c:v>
                </c:pt>
                <c:pt idx="3">
                  <c:v>0.37336949944054371</c:v>
                </c:pt>
                <c:pt idx="4">
                  <c:v>0.50333532273375303</c:v>
                </c:pt>
                <c:pt idx="5">
                  <c:v>0.59045585451193916</c:v>
                </c:pt>
                <c:pt idx="6">
                  <c:v>0.62669921499772729</c:v>
                </c:pt>
                <c:pt idx="7">
                  <c:v>0.65572793964103726</c:v>
                </c:pt>
                <c:pt idx="8">
                  <c:v>0.68670292427761892</c:v>
                </c:pt>
                <c:pt idx="9">
                  <c:v>0.6838581481898609</c:v>
                </c:pt>
                <c:pt idx="10">
                  <c:v>0.69421550350577066</c:v>
                </c:pt>
                <c:pt idx="11">
                  <c:v>0.68815538175483337</c:v>
                </c:pt>
                <c:pt idx="12">
                  <c:v>0.7505953011754094</c:v>
                </c:pt>
                <c:pt idx="13">
                  <c:v>0.76182361934912235</c:v>
                </c:pt>
                <c:pt idx="14">
                  <c:v>0.77366364343847915</c:v>
                </c:pt>
                <c:pt idx="15">
                  <c:v>0.80180558686213721</c:v>
                </c:pt>
                <c:pt idx="16">
                  <c:v>0.80505201598509846</c:v>
                </c:pt>
                <c:pt idx="17">
                  <c:v>0.77028901851804332</c:v>
                </c:pt>
                <c:pt idx="18">
                  <c:v>0.78886852826843734</c:v>
                </c:pt>
                <c:pt idx="19">
                  <c:v>0.80924939349255864</c:v>
                </c:pt>
                <c:pt idx="20">
                  <c:v>0.72073787572680204</c:v>
                </c:pt>
                <c:pt idx="21">
                  <c:v>0.65118894655415582</c:v>
                </c:pt>
                <c:pt idx="22">
                  <c:v>0.72106060174554887</c:v>
                </c:pt>
                <c:pt idx="23">
                  <c:v>0.68619644120525236</c:v>
                </c:pt>
                <c:pt idx="24">
                  <c:v>0.75227857619418925</c:v>
                </c:pt>
                <c:pt idx="25">
                  <c:v>0.6730119138859666</c:v>
                </c:pt>
                <c:pt idx="26">
                  <c:v>0.60532633354531573</c:v>
                </c:pt>
                <c:pt idx="27">
                  <c:v>0.57983070951264304</c:v>
                </c:pt>
                <c:pt idx="28">
                  <c:v>0.52186240249160143</c:v>
                </c:pt>
                <c:pt idx="29">
                  <c:v>0.54260488970153442</c:v>
                </c:pt>
                <c:pt idx="30">
                  <c:v>0.60423612374077162</c:v>
                </c:pt>
                <c:pt idx="31">
                  <c:v>0.5555086168910901</c:v>
                </c:pt>
                <c:pt idx="32">
                  <c:v>0.49379654003712792</c:v>
                </c:pt>
                <c:pt idx="33">
                  <c:v>0.38030544360591922</c:v>
                </c:pt>
                <c:pt idx="34">
                  <c:v>0.34301845040531931</c:v>
                </c:pt>
                <c:pt idx="35">
                  <c:v>0.37083113466002993</c:v>
                </c:pt>
                <c:pt idx="36">
                  <c:v>0.41152276290287559</c:v>
                </c:pt>
                <c:pt idx="37">
                  <c:v>0.43664685056521058</c:v>
                </c:pt>
                <c:pt idx="38">
                  <c:v>0.43057434175488157</c:v>
                </c:pt>
                <c:pt idx="39">
                  <c:v>0.42538155341302086</c:v>
                </c:pt>
                <c:pt idx="40">
                  <c:v>0.4721687113271808</c:v>
                </c:pt>
                <c:pt idx="41">
                  <c:v>0.45936054418316263</c:v>
                </c:pt>
                <c:pt idx="42">
                  <c:v>0.42976831270012528</c:v>
                </c:pt>
                <c:pt idx="43">
                  <c:v>0.43565905556128015</c:v>
                </c:pt>
                <c:pt idx="44">
                  <c:v>0.44583315082544717</c:v>
                </c:pt>
                <c:pt idx="45">
                  <c:v>0.46709492333417668</c:v>
                </c:pt>
                <c:pt idx="46">
                  <c:v>0.44638863505217063</c:v>
                </c:pt>
                <c:pt idx="47">
                  <c:v>0.41217907553434652</c:v>
                </c:pt>
                <c:pt idx="48">
                  <c:v>0.42896216852320534</c:v>
                </c:pt>
                <c:pt idx="49">
                  <c:v>0.41143896338935182</c:v>
                </c:pt>
                <c:pt idx="50">
                  <c:v>0.40386468452850299</c:v>
                </c:pt>
                <c:pt idx="51">
                  <c:v>0.39275202571519863</c:v>
                </c:pt>
              </c:numCache>
            </c:numRef>
          </c:val>
          <c:smooth val="0"/>
          <c:extLst>
            <c:ext xmlns:c16="http://schemas.microsoft.com/office/drawing/2014/chart" uri="{C3380CC4-5D6E-409C-BE32-E72D297353CC}">
              <c16:uniqueId val="{00000000-4974-49D0-ACAC-EA2FE4BB5D96}"/>
            </c:ext>
          </c:extLst>
        </c:ser>
        <c:dLbls>
          <c:showLegendKey val="0"/>
          <c:showVal val="0"/>
          <c:showCatName val="0"/>
          <c:showSerName val="0"/>
          <c:showPercent val="0"/>
          <c:showBubbleSize val="0"/>
        </c:dLbls>
        <c:smooth val="0"/>
        <c:axId val="523895760"/>
        <c:axId val="523897008"/>
      </c:lineChart>
      <c:catAx>
        <c:axId val="52389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23897008"/>
        <c:crosses val="autoZero"/>
        <c:auto val="1"/>
        <c:lblAlgn val="ctr"/>
        <c:lblOffset val="100"/>
        <c:noMultiLvlLbl val="0"/>
      </c:catAx>
      <c:valAx>
        <c:axId val="5238970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2389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'Index 1968-2019'!$K$59</c:f>
              <c:strCache>
                <c:ptCount val="1"/>
                <c:pt idx="0">
                  <c:v>Trade</c:v>
                </c:pt>
              </c:strCache>
            </c:strRef>
          </c:tx>
          <c:spPr>
            <a:ln w="28575" cap="rnd">
              <a:solidFill>
                <a:schemeClr val="accent2"/>
              </a:solidFill>
              <a:round/>
            </a:ln>
            <a:effectLst/>
          </c:spPr>
          <c:marker>
            <c:symbol val="none"/>
          </c:marker>
          <c:cat>
            <c:numRef>
              <c:f>'Index 1968-2019'!$I$60:$I$111</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'Index 1968-2019'!$K$60:$K$111</c:f>
              <c:numCache>
                <c:formatCode>0.00%</c:formatCode>
                <c:ptCount val="52"/>
                <c:pt idx="0">
                  <c:v>0.31589637089043915</c:v>
                </c:pt>
                <c:pt idx="1">
                  <c:v>0.32000898050246923</c:v>
                </c:pt>
                <c:pt idx="2">
                  <c:v>0.45509220469338302</c:v>
                </c:pt>
                <c:pt idx="3">
                  <c:v>0.41008115596896133</c:v>
                </c:pt>
                <c:pt idx="4">
                  <c:v>0.49815220925181941</c:v>
                </c:pt>
                <c:pt idx="5">
                  <c:v>0.72320864415927932</c:v>
                </c:pt>
                <c:pt idx="6">
                  <c:v>0.71676241869093804</c:v>
                </c:pt>
                <c:pt idx="7">
                  <c:v>0.72334037311504074</c:v>
                </c:pt>
                <c:pt idx="8">
                  <c:v>0.70124116207588183</c:v>
                </c:pt>
                <c:pt idx="9">
                  <c:v>0.69631244575993401</c:v>
                </c:pt>
                <c:pt idx="10">
                  <c:v>0.6485339685274718</c:v>
                </c:pt>
                <c:pt idx="11">
                  <c:v>0.63887154351302922</c:v>
                </c:pt>
                <c:pt idx="12">
                  <c:v>0.67805186422346941</c:v>
                </c:pt>
                <c:pt idx="13">
                  <c:v>0.76976549048587728</c:v>
                </c:pt>
                <c:pt idx="14">
                  <c:v>0.70581497977644536</c:v>
                </c:pt>
                <c:pt idx="15">
                  <c:v>0.80605905655896115</c:v>
                </c:pt>
                <c:pt idx="16">
                  <c:v>0.71079235887825987</c:v>
                </c:pt>
                <c:pt idx="17">
                  <c:v>0.71817970303280576</c:v>
                </c:pt>
                <c:pt idx="18">
                  <c:v>0.76752926135333688</c:v>
                </c:pt>
                <c:pt idx="19">
                  <c:v>0.85036592426378177</c:v>
                </c:pt>
                <c:pt idx="20">
                  <c:v>0.73161960474179244</c:v>
                </c:pt>
                <c:pt idx="21">
                  <c:v>0.61656450274020735</c:v>
                </c:pt>
                <c:pt idx="22">
                  <c:v>0.74000505913047743</c:v>
                </c:pt>
                <c:pt idx="23">
                  <c:v>0.75650842856500011</c:v>
                </c:pt>
                <c:pt idx="24">
                  <c:v>0.83291171178497159</c:v>
                </c:pt>
                <c:pt idx="25">
                  <c:v>0.83291171178497159</c:v>
                </c:pt>
                <c:pt idx="26">
                  <c:v>0.83291171178497159</c:v>
                </c:pt>
                <c:pt idx="27">
                  <c:v>0.90877241572515177</c:v>
                </c:pt>
                <c:pt idx="28">
                  <c:v>0.89715006395798258</c:v>
                </c:pt>
                <c:pt idx="29">
                  <c:v>0.83498451886556069</c:v>
                </c:pt>
                <c:pt idx="30">
                  <c:v>0.76598355344017777</c:v>
                </c:pt>
                <c:pt idx="31">
                  <c:v>0.52378560980309818</c:v>
                </c:pt>
                <c:pt idx="32">
                  <c:v>0.70744469600174142</c:v>
                </c:pt>
                <c:pt idx="33">
                  <c:v>0.63118371181363353</c:v>
                </c:pt>
                <c:pt idx="34">
                  <c:v>0.73467318196131681</c:v>
                </c:pt>
                <c:pt idx="35">
                  <c:v>0.74050595058883717</c:v>
                </c:pt>
                <c:pt idx="36">
                  <c:v>0.73880939545784285</c:v>
                </c:pt>
                <c:pt idx="37">
                  <c:v>0.71127738784136096</c:v>
                </c:pt>
                <c:pt idx="38">
                  <c:v>0.75313428336616539</c:v>
                </c:pt>
                <c:pt idx="39">
                  <c:v>0.75280361508496829</c:v>
                </c:pt>
                <c:pt idx="40">
                  <c:v>0.84495762788558437</c:v>
                </c:pt>
                <c:pt idx="41">
                  <c:v>0.75244831836399895</c:v>
                </c:pt>
                <c:pt idx="42">
                  <c:v>0.69167134980716793</c:v>
                </c:pt>
                <c:pt idx="43">
                  <c:v>0.67970456234125554</c:v>
                </c:pt>
                <c:pt idx="44">
                  <c:v>0.67159798108252278</c:v>
                </c:pt>
                <c:pt idx="45">
                  <c:v>0.70393975403405451</c:v>
                </c:pt>
                <c:pt idx="46">
                  <c:v>0.65585565939413204</c:v>
                </c:pt>
                <c:pt idx="47">
                  <c:v>0.54023476207949406</c:v>
                </c:pt>
                <c:pt idx="48">
                  <c:v>0.54982241432404122</c:v>
                </c:pt>
                <c:pt idx="49">
                  <c:v>0.49777510512487921</c:v>
                </c:pt>
                <c:pt idx="50">
                  <c:v>0.45697735901594289</c:v>
                </c:pt>
                <c:pt idx="51">
                  <c:v>0.43828538906815967</c:v>
                </c:pt>
              </c:numCache>
            </c:numRef>
          </c:val>
          <c:smooth val="0"/>
          <c:extLst>
            <c:ext xmlns:c16="http://schemas.microsoft.com/office/drawing/2014/chart" uri="{C3380CC4-5D6E-409C-BE32-E72D297353CC}">
              <c16:uniqueId val="{00000000-9287-4A4F-A2E0-2F993E891AFA}"/>
            </c:ext>
          </c:extLst>
        </c:ser>
        <c:ser>
          <c:idx val="2"/>
          <c:order val="1"/>
          <c:tx>
            <c:strRef>
              <c:f>'Index 1968-2019'!$L$59</c:f>
              <c:strCache>
                <c:ptCount val="1"/>
                <c:pt idx="0">
                  <c:v>Employment</c:v>
                </c:pt>
              </c:strCache>
            </c:strRef>
          </c:tx>
          <c:spPr>
            <a:ln w="28575" cap="rnd">
              <a:solidFill>
                <a:schemeClr val="accent3"/>
              </a:solidFill>
              <a:round/>
            </a:ln>
            <a:effectLst/>
          </c:spPr>
          <c:marker>
            <c:symbol val="none"/>
          </c:marker>
          <c:cat>
            <c:numRef>
              <c:f>'Index 1968-2019'!$I$60:$I$111</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'Index 1968-2019'!$L$60:$L$111</c:f>
              <c:numCache>
                <c:formatCode>0.00%</c:formatCode>
                <c:ptCount val="52"/>
                <c:pt idx="0">
                  <c:v>6.2260192109121447E-2</c:v>
                </c:pt>
                <c:pt idx="1">
                  <c:v>0.14881191624705231</c:v>
                </c:pt>
                <c:pt idx="2">
                  <c:v>0.23467398521256941</c:v>
                </c:pt>
                <c:pt idx="3">
                  <c:v>0.44472340324979892</c:v>
                </c:pt>
                <c:pt idx="4">
                  <c:v>0.69087782768267614</c:v>
                </c:pt>
                <c:pt idx="5">
                  <c:v>0.77876346942606078</c:v>
                </c:pt>
                <c:pt idx="6">
                  <c:v>0.74415612375307783</c:v>
                </c:pt>
                <c:pt idx="7">
                  <c:v>0.78744536433955437</c:v>
                </c:pt>
                <c:pt idx="8">
                  <c:v>0.73308480879212579</c:v>
                </c:pt>
                <c:pt idx="9">
                  <c:v>0.72873365635087772</c:v>
                </c:pt>
                <c:pt idx="10">
                  <c:v>0.75017229736502655</c:v>
                </c:pt>
                <c:pt idx="11">
                  <c:v>0.8445695778897413</c:v>
                </c:pt>
                <c:pt idx="12">
                  <c:v>0.77777002962196329</c:v>
                </c:pt>
                <c:pt idx="13">
                  <c:v>0.83217262290999472</c:v>
                </c:pt>
                <c:pt idx="14">
                  <c:v>0.88123963362012869</c:v>
                </c:pt>
                <c:pt idx="15">
                  <c:v>0.9517959111707549</c:v>
                </c:pt>
                <c:pt idx="16">
                  <c:v>0.8946803249821077</c:v>
                </c:pt>
                <c:pt idx="17">
                  <c:v>0.85403913569095136</c:v>
                </c:pt>
                <c:pt idx="18">
                  <c:v>0.86539390728105503</c:v>
                </c:pt>
                <c:pt idx="19">
                  <c:v>1</c:v>
                </c:pt>
                <c:pt idx="20">
                  <c:v>0.9458962137639666</c:v>
                </c:pt>
                <c:pt idx="21">
                  <c:v>0.91837581654460076</c:v>
                </c:pt>
                <c:pt idx="22">
                  <c:v>0.8907578230239861</c:v>
                </c:pt>
                <c:pt idx="23">
                  <c:v>0.85691769349970381</c:v>
                </c:pt>
                <c:pt idx="24">
                  <c:v>0.88315272978221482</c:v>
                </c:pt>
                <c:pt idx="25">
                  <c:v>0.58811213283773522</c:v>
                </c:pt>
                <c:pt idx="26">
                  <c:v>0.39722966246888847</c:v>
                </c:pt>
                <c:pt idx="27">
                  <c:v>0.34228959294169137</c:v>
                </c:pt>
                <c:pt idx="28">
                  <c:v>0.28506031476706084</c:v>
                </c:pt>
                <c:pt idx="29">
                  <c:v>0.33865017643645218</c:v>
                </c:pt>
                <c:pt idx="30">
                  <c:v>0.49984739172944415</c:v>
                </c:pt>
                <c:pt idx="31">
                  <c:v>0.51498511181417284</c:v>
                </c:pt>
                <c:pt idx="32">
                  <c:v>0.3128241787714009</c:v>
                </c:pt>
                <c:pt idx="33">
                  <c:v>0.12405263601335656</c:v>
                </c:pt>
                <c:pt idx="34">
                  <c:v>5.0632911430782718E-2</c:v>
                </c:pt>
                <c:pt idx="35">
                  <c:v>5.9816859419266906E-2</c:v>
                </c:pt>
                <c:pt idx="36">
                  <c:v>4.058289444477349E-2</c:v>
                </c:pt>
                <c:pt idx="37">
                  <c:v>7.1351337812048901E-2</c:v>
                </c:pt>
                <c:pt idx="38">
                  <c:v>7.0707843997996997E-2</c:v>
                </c:pt>
                <c:pt idx="39">
                  <c:v>8.4581667923480763E-2</c:v>
                </c:pt>
                <c:pt idx="40">
                  <c:v>0.10871137162944841</c:v>
                </c:pt>
                <c:pt idx="41">
                  <c:v>0.100653983397506</c:v>
                </c:pt>
                <c:pt idx="42">
                  <c:v>0.11012248749214636</c:v>
                </c:pt>
                <c:pt idx="43">
                  <c:v>0.1080242959555526</c:v>
                </c:pt>
                <c:pt idx="44">
                  <c:v>0.1081320571683639</c:v>
                </c:pt>
                <c:pt idx="45">
                  <c:v>0.15835886615606082</c:v>
                </c:pt>
                <c:pt idx="46">
                  <c:v>0.20105389924739492</c:v>
                </c:pt>
                <c:pt idx="47">
                  <c:v>0.22096285649923564</c:v>
                </c:pt>
                <c:pt idx="48">
                  <c:v>0.2316974367011134</c:v>
                </c:pt>
                <c:pt idx="49">
                  <c:v>0.26039213883899309</c:v>
                </c:pt>
                <c:pt idx="50">
                  <c:v>0.30525987339146721</c:v>
                </c:pt>
                <c:pt idx="51">
                  <c:v>0.31861570990241589</c:v>
                </c:pt>
              </c:numCache>
            </c:numRef>
          </c:val>
          <c:smooth val="0"/>
          <c:extLst>
            <c:ext xmlns:c16="http://schemas.microsoft.com/office/drawing/2014/chart" uri="{C3380CC4-5D6E-409C-BE32-E72D297353CC}">
              <c16:uniqueId val="{00000001-9287-4A4F-A2E0-2F993E891AFA}"/>
            </c:ext>
          </c:extLst>
        </c:ser>
        <c:ser>
          <c:idx val="3"/>
          <c:order val="2"/>
          <c:tx>
            <c:strRef>
              <c:f>'Index 1968-2019'!$M$59</c:f>
              <c:strCache>
                <c:ptCount val="1"/>
                <c:pt idx="0">
                  <c:v>Wealth and standard of living</c:v>
                </c:pt>
              </c:strCache>
            </c:strRef>
          </c:tx>
          <c:spPr>
            <a:ln w="28575" cap="rnd">
              <a:solidFill>
                <a:schemeClr val="accent4"/>
              </a:solidFill>
              <a:round/>
            </a:ln>
            <a:effectLst/>
          </c:spPr>
          <c:marker>
            <c:symbol val="none"/>
          </c:marker>
          <c:cat>
            <c:numRef>
              <c:f>'Index 1968-2019'!$I$60:$I$111</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'Index 1968-2019'!$M$60:$M$111</c:f>
              <c:numCache>
                <c:formatCode>0.00%</c:formatCode>
                <c:ptCount val="52"/>
                <c:pt idx="0">
                  <c:v>0.11604488382678521</c:v>
                </c:pt>
                <c:pt idx="1">
                  <c:v>0.12065101669568012</c:v>
                </c:pt>
                <c:pt idx="2">
                  <c:v>0.19978717022418002</c:v>
                </c:pt>
                <c:pt idx="3">
                  <c:v>0.26530393910287081</c:v>
                </c:pt>
                <c:pt idx="4">
                  <c:v>0.32097593126676338</c:v>
                </c:pt>
                <c:pt idx="5">
                  <c:v>0.26939544995047748</c:v>
                </c:pt>
                <c:pt idx="6">
                  <c:v>0.41917910254916624</c:v>
                </c:pt>
                <c:pt idx="7">
                  <c:v>0.45639808146851679</c:v>
                </c:pt>
                <c:pt idx="8">
                  <c:v>0.62578280196484926</c:v>
                </c:pt>
                <c:pt idx="9">
                  <c:v>0.62652834245877109</c:v>
                </c:pt>
                <c:pt idx="10">
                  <c:v>0.68394024462481362</c:v>
                </c:pt>
                <c:pt idx="11">
                  <c:v>0.58102502386172972</c:v>
                </c:pt>
                <c:pt idx="12">
                  <c:v>0.79596400968079561</c:v>
                </c:pt>
                <c:pt idx="13">
                  <c:v>0.68353274465149527</c:v>
                </c:pt>
                <c:pt idx="14">
                  <c:v>0.7339363169188633</c:v>
                </c:pt>
                <c:pt idx="15">
                  <c:v>0.64756179285669568</c:v>
                </c:pt>
                <c:pt idx="16">
                  <c:v>0.80968336409492814</c:v>
                </c:pt>
                <c:pt idx="17">
                  <c:v>0.73864821683037307</c:v>
                </c:pt>
                <c:pt idx="18">
                  <c:v>0.73368241617092034</c:v>
                </c:pt>
                <c:pt idx="19">
                  <c:v>0.57738225621389416</c:v>
                </c:pt>
                <c:pt idx="20">
                  <c:v>0.48469780867464707</c:v>
                </c:pt>
                <c:pt idx="21">
                  <c:v>0.41862652037765957</c:v>
                </c:pt>
                <c:pt idx="22">
                  <c:v>0.53241892308218319</c:v>
                </c:pt>
                <c:pt idx="23">
                  <c:v>0.44516320155105316</c:v>
                </c:pt>
                <c:pt idx="24">
                  <c:v>0.54077128701538157</c:v>
                </c:pt>
                <c:pt idx="25">
                  <c:v>0.59801189703519309</c:v>
                </c:pt>
                <c:pt idx="26">
                  <c:v>0.58583762638208725</c:v>
                </c:pt>
                <c:pt idx="27">
                  <c:v>0.48843011987108609</c:v>
                </c:pt>
                <c:pt idx="28">
                  <c:v>0.38337682874976087</c:v>
                </c:pt>
                <c:pt idx="29">
                  <c:v>0.45417997380259068</c:v>
                </c:pt>
                <c:pt idx="30">
                  <c:v>0.54687742605269296</c:v>
                </c:pt>
                <c:pt idx="31">
                  <c:v>0.62775512905599951</c:v>
                </c:pt>
                <c:pt idx="32">
                  <c:v>0.46112074533824149</c:v>
                </c:pt>
                <c:pt idx="33">
                  <c:v>0.38567998299076778</c:v>
                </c:pt>
                <c:pt idx="34">
                  <c:v>0.24374925782385834</c:v>
                </c:pt>
                <c:pt idx="35">
                  <c:v>0.31217059397198565</c:v>
                </c:pt>
                <c:pt idx="36">
                  <c:v>0.45517599880601056</c:v>
                </c:pt>
                <c:pt idx="37">
                  <c:v>0.52731182604222182</c:v>
                </c:pt>
                <c:pt idx="38">
                  <c:v>0.46788089790048248</c:v>
                </c:pt>
                <c:pt idx="39">
                  <c:v>0.43875937723061376</c:v>
                </c:pt>
                <c:pt idx="40">
                  <c:v>0.46283713446650959</c:v>
                </c:pt>
                <c:pt idx="41">
                  <c:v>0.52497933078798287</c:v>
                </c:pt>
                <c:pt idx="42">
                  <c:v>0.48751110080106169</c:v>
                </c:pt>
                <c:pt idx="43">
                  <c:v>0.51924830838703251</c:v>
                </c:pt>
                <c:pt idx="44">
                  <c:v>0.5577694142254549</c:v>
                </c:pt>
                <c:pt idx="45">
                  <c:v>0.53898614981241477</c:v>
                </c:pt>
                <c:pt idx="46">
                  <c:v>0.48225634651498506</c:v>
                </c:pt>
                <c:pt idx="47">
                  <c:v>0.47533960802430997</c:v>
                </c:pt>
                <c:pt idx="48">
                  <c:v>0.50536665454446161</c:v>
                </c:pt>
                <c:pt idx="49">
                  <c:v>0.47614964620418321</c:v>
                </c:pt>
                <c:pt idx="50">
                  <c:v>0.44935682117809878</c:v>
                </c:pt>
                <c:pt idx="51">
                  <c:v>0.42135497817502054</c:v>
                </c:pt>
              </c:numCache>
            </c:numRef>
          </c:val>
          <c:smooth val="0"/>
          <c:extLst>
            <c:ext xmlns:c16="http://schemas.microsoft.com/office/drawing/2014/chart" uri="{C3380CC4-5D6E-409C-BE32-E72D297353CC}">
              <c16:uniqueId val="{00000002-9287-4A4F-A2E0-2F993E891AFA}"/>
            </c:ext>
          </c:extLst>
        </c:ser>
        <c:dLbls>
          <c:showLegendKey val="0"/>
          <c:showVal val="0"/>
          <c:showCatName val="0"/>
          <c:showSerName val="0"/>
          <c:showPercent val="0"/>
          <c:showBubbleSize val="0"/>
        </c:dLbls>
        <c:smooth val="0"/>
        <c:axId val="1961729743"/>
        <c:axId val="1961720591"/>
      </c:lineChart>
      <c:catAx>
        <c:axId val="196172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961720591"/>
        <c:crosses val="autoZero"/>
        <c:auto val="1"/>
        <c:lblAlgn val="ctr"/>
        <c:lblOffset val="100"/>
        <c:noMultiLvlLbl val="0"/>
      </c:catAx>
      <c:valAx>
        <c:axId val="196172059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961729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'Index 1968-2019'!$X$59</c:f>
              <c:strCache>
                <c:ptCount val="1"/>
                <c:pt idx="0">
                  <c:v>Trade</c:v>
                </c:pt>
              </c:strCache>
            </c:strRef>
          </c:tx>
          <c:spPr>
            <a:solidFill>
              <a:schemeClr val="accent1"/>
            </a:solidFill>
            <a:ln>
              <a:noFill/>
            </a:ln>
            <a:effectLst/>
          </c:spPr>
          <c:invertIfNegative val="0"/>
          <c:cat>
            <c:numRef>
              <c:f>'Index 1968-2019'!$W$60:$W$111</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'Index 1968-2019'!$X$60:$X$111</c:f>
              <c:numCache>
                <c:formatCode>0%</c:formatCode>
                <c:ptCount val="52"/>
                <c:pt idx="0">
                  <c:v>0.10529879029681305</c:v>
                </c:pt>
                <c:pt idx="1">
                  <c:v>0.10666966016748974</c:v>
                </c:pt>
                <c:pt idx="2">
                  <c:v>0.15169740156446099</c:v>
                </c:pt>
                <c:pt idx="3">
                  <c:v>0.13669371865632043</c:v>
                </c:pt>
                <c:pt idx="4">
                  <c:v>0.16605073641727314</c:v>
                </c:pt>
                <c:pt idx="5">
                  <c:v>0.24106954805309311</c:v>
                </c:pt>
                <c:pt idx="6">
                  <c:v>0.23892080623031267</c:v>
                </c:pt>
                <c:pt idx="7">
                  <c:v>0.24111345770501358</c:v>
                </c:pt>
                <c:pt idx="8">
                  <c:v>0.23374705402529394</c:v>
                </c:pt>
                <c:pt idx="9">
                  <c:v>0.23210414858664466</c:v>
                </c:pt>
                <c:pt idx="10">
                  <c:v>0.21617798950915726</c:v>
                </c:pt>
                <c:pt idx="11">
                  <c:v>0.21295718117100973</c:v>
                </c:pt>
                <c:pt idx="12">
                  <c:v>0.22601728807448979</c:v>
                </c:pt>
                <c:pt idx="13">
                  <c:v>0.25658849682862572</c:v>
                </c:pt>
                <c:pt idx="14">
                  <c:v>0.23527165992548177</c:v>
                </c:pt>
                <c:pt idx="15">
                  <c:v>0.26868635218632037</c:v>
                </c:pt>
                <c:pt idx="16">
                  <c:v>0.23693078629275327</c:v>
                </c:pt>
                <c:pt idx="17">
                  <c:v>0.23939323434426857</c:v>
                </c:pt>
                <c:pt idx="18">
                  <c:v>0.25584308711777892</c:v>
                </c:pt>
                <c:pt idx="19">
                  <c:v>0.28345530808792724</c:v>
                </c:pt>
                <c:pt idx="20">
                  <c:v>0.24387320158059747</c:v>
                </c:pt>
                <c:pt idx="21">
                  <c:v>0.20552150091340243</c:v>
                </c:pt>
                <c:pt idx="22">
                  <c:v>0.24666835304349247</c:v>
                </c:pt>
                <c:pt idx="23">
                  <c:v>0.25216947618833335</c:v>
                </c:pt>
                <c:pt idx="24">
                  <c:v>0.27763723726165718</c:v>
                </c:pt>
                <c:pt idx="25">
                  <c:v>0.27763723726165718</c:v>
                </c:pt>
                <c:pt idx="26">
                  <c:v>0.27763723726165718</c:v>
                </c:pt>
                <c:pt idx="27">
                  <c:v>0.30292413857505057</c:v>
                </c:pt>
                <c:pt idx="28">
                  <c:v>0.29905002131932751</c:v>
                </c:pt>
                <c:pt idx="29">
                  <c:v>0.27832817295518686</c:v>
                </c:pt>
                <c:pt idx="30">
                  <c:v>0.2553278511467259</c:v>
                </c:pt>
                <c:pt idx="31">
                  <c:v>0.17459520326769939</c:v>
                </c:pt>
                <c:pt idx="32">
                  <c:v>0.23581489866724714</c:v>
                </c:pt>
                <c:pt idx="33">
                  <c:v>0.2103945706045445</c:v>
                </c:pt>
                <c:pt idx="34">
                  <c:v>0.24489106065377225</c:v>
                </c:pt>
                <c:pt idx="35">
                  <c:v>0.24683531686294571</c:v>
                </c:pt>
                <c:pt idx="36">
                  <c:v>0.2462697984859476</c:v>
                </c:pt>
                <c:pt idx="37">
                  <c:v>0.23709246261378697</c:v>
                </c:pt>
                <c:pt idx="38">
                  <c:v>0.25104476112205509</c:v>
                </c:pt>
                <c:pt idx="39">
                  <c:v>0.25093453836165608</c:v>
                </c:pt>
                <c:pt idx="40">
                  <c:v>0.28165254262852812</c:v>
                </c:pt>
                <c:pt idx="41">
                  <c:v>0.25081610612133298</c:v>
                </c:pt>
                <c:pt idx="42">
                  <c:v>0.23055711660238931</c:v>
                </c:pt>
                <c:pt idx="43">
                  <c:v>0.22656818744708518</c:v>
                </c:pt>
                <c:pt idx="44">
                  <c:v>0.22386599369417426</c:v>
                </c:pt>
                <c:pt idx="45">
                  <c:v>0.23464658467801816</c:v>
                </c:pt>
                <c:pt idx="46">
                  <c:v>0.21861855313137735</c:v>
                </c:pt>
                <c:pt idx="47">
                  <c:v>0.18007825402649802</c:v>
                </c:pt>
                <c:pt idx="48">
                  <c:v>0.18327413810801374</c:v>
                </c:pt>
                <c:pt idx="49">
                  <c:v>0.1659250350416264</c:v>
                </c:pt>
                <c:pt idx="50">
                  <c:v>0.15232578633864763</c:v>
                </c:pt>
                <c:pt idx="51">
                  <c:v>0.14609512968938654</c:v>
                </c:pt>
              </c:numCache>
            </c:numRef>
          </c:val>
          <c:extLst>
            <c:ext xmlns:c16="http://schemas.microsoft.com/office/drawing/2014/chart" uri="{C3380CC4-5D6E-409C-BE32-E72D297353CC}">
              <c16:uniqueId val="{00000000-6F67-4B36-A3D4-A7DE321CCABD}"/>
            </c:ext>
          </c:extLst>
        </c:ser>
        <c:ser>
          <c:idx val="1"/>
          <c:order val="1"/>
          <c:tx>
            <c:strRef>
              <c:f>'Index 1968-2019'!$Y$59</c:f>
              <c:strCache>
                <c:ptCount val="1"/>
                <c:pt idx="0">
                  <c:v>Employment</c:v>
                </c:pt>
              </c:strCache>
            </c:strRef>
          </c:tx>
          <c:spPr>
            <a:solidFill>
              <a:schemeClr val="accent2"/>
            </a:solidFill>
            <a:ln>
              <a:noFill/>
            </a:ln>
            <a:effectLst/>
          </c:spPr>
          <c:invertIfNegative val="0"/>
          <c:cat>
            <c:numRef>
              <c:f>'Index 1968-2019'!$W$60:$W$111</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'Index 1968-2019'!$Y$60:$Y$111</c:f>
              <c:numCache>
                <c:formatCode>0%</c:formatCode>
                <c:ptCount val="52"/>
                <c:pt idx="0">
                  <c:v>2.0753397369707147E-2</c:v>
                </c:pt>
                <c:pt idx="1">
                  <c:v>4.9603972082350768E-2</c:v>
                </c:pt>
                <c:pt idx="2">
                  <c:v>7.8224661737523127E-2</c:v>
                </c:pt>
                <c:pt idx="3">
                  <c:v>0.14824113441659964</c:v>
                </c:pt>
                <c:pt idx="4">
                  <c:v>0.2302926092275587</c:v>
                </c:pt>
                <c:pt idx="5">
                  <c:v>0.25958782314202022</c:v>
                </c:pt>
                <c:pt idx="6">
                  <c:v>0.24805204125102592</c:v>
                </c:pt>
                <c:pt idx="7">
                  <c:v>0.26248178811318479</c:v>
                </c:pt>
                <c:pt idx="8">
                  <c:v>0.24436160293070858</c:v>
                </c:pt>
                <c:pt idx="9">
                  <c:v>0.2429112187836259</c:v>
                </c:pt>
                <c:pt idx="10">
                  <c:v>0.25005743245500883</c:v>
                </c:pt>
                <c:pt idx="11">
                  <c:v>0.28152319262991377</c:v>
                </c:pt>
                <c:pt idx="12">
                  <c:v>0.25925667654065443</c:v>
                </c:pt>
                <c:pt idx="13">
                  <c:v>0.27739087430333154</c:v>
                </c:pt>
                <c:pt idx="14">
                  <c:v>0.2937465445400429</c:v>
                </c:pt>
                <c:pt idx="15">
                  <c:v>0.31726530372358497</c:v>
                </c:pt>
                <c:pt idx="16">
                  <c:v>0.29822677499403588</c:v>
                </c:pt>
                <c:pt idx="17">
                  <c:v>0.28467971189698377</c:v>
                </c:pt>
                <c:pt idx="18">
                  <c:v>0.28846463576035164</c:v>
                </c:pt>
                <c:pt idx="19">
                  <c:v>0.33333333333333331</c:v>
                </c:pt>
                <c:pt idx="20">
                  <c:v>0.31529873792132218</c:v>
                </c:pt>
                <c:pt idx="21">
                  <c:v>0.30612527218153357</c:v>
                </c:pt>
                <c:pt idx="22">
                  <c:v>0.2969192743413287</c:v>
                </c:pt>
                <c:pt idx="23">
                  <c:v>0.28563923116656792</c:v>
                </c:pt>
                <c:pt idx="24">
                  <c:v>0.29438424326073825</c:v>
                </c:pt>
                <c:pt idx="25">
                  <c:v>0.19603737761257839</c:v>
                </c:pt>
                <c:pt idx="26">
                  <c:v>0.13240988748962948</c:v>
                </c:pt>
                <c:pt idx="27">
                  <c:v>0.11409653098056378</c:v>
                </c:pt>
                <c:pt idx="28">
                  <c:v>9.5020104922353604E-2</c:v>
                </c:pt>
                <c:pt idx="29">
                  <c:v>0.11288339214548405</c:v>
                </c:pt>
                <c:pt idx="30">
                  <c:v>0.16661579724314804</c:v>
                </c:pt>
                <c:pt idx="31">
                  <c:v>0.1716617039380576</c:v>
                </c:pt>
                <c:pt idx="32">
                  <c:v>0.10427472625713363</c:v>
                </c:pt>
                <c:pt idx="33">
                  <c:v>4.1350878671118849E-2</c:v>
                </c:pt>
                <c:pt idx="34">
                  <c:v>1.6877637143594238E-2</c:v>
                </c:pt>
                <c:pt idx="35">
                  <c:v>1.9938953139755633E-2</c:v>
                </c:pt>
                <c:pt idx="36">
                  <c:v>1.3527631481591163E-2</c:v>
                </c:pt>
                <c:pt idx="37">
                  <c:v>2.3783779270682967E-2</c:v>
                </c:pt>
                <c:pt idx="38">
                  <c:v>2.3569281332665663E-2</c:v>
                </c:pt>
                <c:pt idx="39">
                  <c:v>2.819388930782692E-2</c:v>
                </c:pt>
                <c:pt idx="40">
                  <c:v>3.6237123876482799E-2</c:v>
                </c:pt>
                <c:pt idx="41">
                  <c:v>3.3551327799168668E-2</c:v>
                </c:pt>
                <c:pt idx="42">
                  <c:v>3.6707495830715448E-2</c:v>
                </c:pt>
                <c:pt idx="43">
                  <c:v>3.6008098651850867E-2</c:v>
                </c:pt>
                <c:pt idx="44">
                  <c:v>3.6044019056121299E-2</c:v>
                </c:pt>
                <c:pt idx="45">
                  <c:v>5.2786288718686937E-2</c:v>
                </c:pt>
                <c:pt idx="46">
                  <c:v>6.7017966415798297E-2</c:v>
                </c:pt>
                <c:pt idx="47">
                  <c:v>7.3654285499745203E-2</c:v>
                </c:pt>
                <c:pt idx="48">
                  <c:v>7.7232478900371132E-2</c:v>
                </c:pt>
                <c:pt idx="49">
                  <c:v>8.6797379612997688E-2</c:v>
                </c:pt>
                <c:pt idx="50">
                  <c:v>0.10175329113048906</c:v>
                </c:pt>
                <c:pt idx="51">
                  <c:v>0.10620523663413863</c:v>
                </c:pt>
              </c:numCache>
            </c:numRef>
          </c:val>
          <c:extLst>
            <c:ext xmlns:c16="http://schemas.microsoft.com/office/drawing/2014/chart" uri="{C3380CC4-5D6E-409C-BE32-E72D297353CC}">
              <c16:uniqueId val="{00000001-6F67-4B36-A3D4-A7DE321CCABD}"/>
            </c:ext>
          </c:extLst>
        </c:ser>
        <c:ser>
          <c:idx val="2"/>
          <c:order val="2"/>
          <c:tx>
            <c:strRef>
              <c:f>'Index 1968-2019'!$Z$59</c:f>
              <c:strCache>
                <c:ptCount val="1"/>
                <c:pt idx="0">
                  <c:v>Wealth and standard of living</c:v>
                </c:pt>
              </c:strCache>
            </c:strRef>
          </c:tx>
          <c:spPr>
            <a:solidFill>
              <a:schemeClr val="accent3"/>
            </a:solidFill>
            <a:ln>
              <a:noFill/>
            </a:ln>
            <a:effectLst/>
          </c:spPr>
          <c:invertIfNegative val="0"/>
          <c:cat>
            <c:numRef>
              <c:f>'Index 1968-2019'!$W$60:$W$111</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'Index 1968-2019'!$Z$60:$Z$111</c:f>
              <c:numCache>
                <c:formatCode>0%</c:formatCode>
                <c:ptCount val="52"/>
                <c:pt idx="0">
                  <c:v>3.8681627942261737E-2</c:v>
                </c:pt>
                <c:pt idx="1">
                  <c:v>4.0217005565226706E-2</c:v>
                </c:pt>
                <c:pt idx="2">
                  <c:v>6.6595723408059998E-2</c:v>
                </c:pt>
                <c:pt idx="3">
                  <c:v>8.8434646367623604E-2</c:v>
                </c:pt>
                <c:pt idx="4">
                  <c:v>0.10699197708892112</c:v>
                </c:pt>
                <c:pt idx="5">
                  <c:v>8.9798483316825828E-2</c:v>
                </c:pt>
                <c:pt idx="6">
                  <c:v>0.13972636751638873</c:v>
                </c:pt>
                <c:pt idx="7">
                  <c:v>0.15213269382283892</c:v>
                </c:pt>
                <c:pt idx="8">
                  <c:v>0.2085942673216164</c:v>
                </c:pt>
                <c:pt idx="9">
                  <c:v>0.20884278081959035</c:v>
                </c:pt>
                <c:pt idx="10">
                  <c:v>0.22798008154160454</c:v>
                </c:pt>
                <c:pt idx="11">
                  <c:v>0.19367500795390991</c:v>
                </c:pt>
                <c:pt idx="12">
                  <c:v>0.26532133656026519</c:v>
                </c:pt>
                <c:pt idx="13">
                  <c:v>0.22784424821716509</c:v>
                </c:pt>
                <c:pt idx="14">
                  <c:v>0.24464543897295443</c:v>
                </c:pt>
                <c:pt idx="15">
                  <c:v>0.21585393095223188</c:v>
                </c:pt>
                <c:pt idx="16">
                  <c:v>0.26989445469830936</c:v>
                </c:pt>
                <c:pt idx="17">
                  <c:v>0.24621607227679101</c:v>
                </c:pt>
                <c:pt idx="18">
                  <c:v>0.24456080539030678</c:v>
                </c:pt>
                <c:pt idx="19">
                  <c:v>0.19246075207129804</c:v>
                </c:pt>
                <c:pt idx="20">
                  <c:v>0.16156593622488236</c:v>
                </c:pt>
                <c:pt idx="21">
                  <c:v>0.13954217345921985</c:v>
                </c:pt>
                <c:pt idx="22">
                  <c:v>0.17747297436072773</c:v>
                </c:pt>
                <c:pt idx="23">
                  <c:v>0.14838773385035103</c:v>
                </c:pt>
                <c:pt idx="24">
                  <c:v>0.18025709567179385</c:v>
                </c:pt>
                <c:pt idx="25">
                  <c:v>0.19933729901173103</c:v>
                </c:pt>
                <c:pt idx="26">
                  <c:v>0.19527920879402907</c:v>
                </c:pt>
                <c:pt idx="27">
                  <c:v>0.1628100399570287</c:v>
                </c:pt>
                <c:pt idx="28">
                  <c:v>0.12779227624992029</c:v>
                </c:pt>
                <c:pt idx="29">
                  <c:v>0.15139332460086355</c:v>
                </c:pt>
                <c:pt idx="30">
                  <c:v>0.18229247535089765</c:v>
                </c:pt>
                <c:pt idx="31">
                  <c:v>0.20925170968533316</c:v>
                </c:pt>
                <c:pt idx="32">
                  <c:v>0.15370691511274714</c:v>
                </c:pt>
                <c:pt idx="33">
                  <c:v>0.12855999433025592</c:v>
                </c:pt>
                <c:pt idx="34">
                  <c:v>8.124975260795278E-2</c:v>
                </c:pt>
                <c:pt idx="35">
                  <c:v>0.10405686465732855</c:v>
                </c:pt>
                <c:pt idx="36">
                  <c:v>0.15172533293533685</c:v>
                </c:pt>
                <c:pt idx="37">
                  <c:v>0.1757706086807406</c:v>
                </c:pt>
                <c:pt idx="38">
                  <c:v>0.15596029930016081</c:v>
                </c:pt>
                <c:pt idx="39">
                  <c:v>0.14625312574353791</c:v>
                </c:pt>
                <c:pt idx="40">
                  <c:v>0.15427904482216986</c:v>
                </c:pt>
                <c:pt idx="41">
                  <c:v>0.17499311026266096</c:v>
                </c:pt>
                <c:pt idx="42">
                  <c:v>0.16250370026702055</c:v>
                </c:pt>
                <c:pt idx="43">
                  <c:v>0.17308276946234416</c:v>
                </c:pt>
                <c:pt idx="44">
                  <c:v>0.18592313807515162</c:v>
                </c:pt>
                <c:pt idx="45">
                  <c:v>0.17966204993747159</c:v>
                </c:pt>
                <c:pt idx="46">
                  <c:v>0.16075211550499502</c:v>
                </c:pt>
                <c:pt idx="47">
                  <c:v>0.15844653600810332</c:v>
                </c:pt>
                <c:pt idx="48">
                  <c:v>0.16845555151482053</c:v>
                </c:pt>
                <c:pt idx="49">
                  <c:v>0.15871654873472774</c:v>
                </c:pt>
                <c:pt idx="50">
                  <c:v>0.14978560705936625</c:v>
                </c:pt>
                <c:pt idx="51">
                  <c:v>0.14045165939167351</c:v>
                </c:pt>
              </c:numCache>
            </c:numRef>
          </c:val>
          <c:extLst>
            <c:ext xmlns:c16="http://schemas.microsoft.com/office/drawing/2014/chart" uri="{C3380CC4-5D6E-409C-BE32-E72D297353CC}">
              <c16:uniqueId val="{00000002-6F67-4B36-A3D4-A7DE321CCABD}"/>
            </c:ext>
          </c:extLst>
        </c:ser>
        <c:dLbls>
          <c:showLegendKey val="0"/>
          <c:showVal val="0"/>
          <c:showCatName val="0"/>
          <c:showSerName val="0"/>
          <c:showPercent val="0"/>
          <c:showBubbleSize val="0"/>
        </c:dLbls>
        <c:gapWidth val="150"/>
        <c:overlap val="100"/>
        <c:axId val="2049437520"/>
        <c:axId val="2049434608"/>
      </c:barChart>
      <c:catAx>
        <c:axId val="204943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049434608"/>
        <c:crosses val="autoZero"/>
        <c:auto val="1"/>
        <c:lblAlgn val="ctr"/>
        <c:lblOffset val="100"/>
        <c:noMultiLvlLbl val="0"/>
      </c:catAx>
      <c:valAx>
        <c:axId val="20494346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04943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'Index 1996-2019'!$P$33</c:f>
              <c:strCache>
                <c:ptCount val="1"/>
                <c:pt idx="0">
                  <c:v>IWBGII</c:v>
                </c:pt>
              </c:strCache>
            </c:strRef>
          </c:tx>
          <c:spPr>
            <a:ln w="28575" cap="rnd">
              <a:solidFill>
                <a:schemeClr val="accent1"/>
              </a:solidFill>
              <a:round/>
            </a:ln>
            <a:effectLst/>
          </c:spPr>
          <c:marker>
            <c:symbol val="none"/>
          </c:marker>
          <c:cat>
            <c:numRef>
              <c:f>'Index 1996-2019'!$O$34:$O$57</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'Index 1996-2019'!$P$34:$P$57</c:f>
              <c:numCache>
                <c:formatCode>0%</c:formatCode>
                <c:ptCount val="24"/>
                <c:pt idx="0">
                  <c:v>0.59613027028888621</c:v>
                </c:pt>
                <c:pt idx="1">
                  <c:v>0.62149673413112938</c:v>
                </c:pt>
                <c:pt idx="2">
                  <c:v>0.70814097741440918</c:v>
                </c:pt>
                <c:pt idx="3">
                  <c:v>0.7293143489641386</c:v>
                </c:pt>
                <c:pt idx="4">
                  <c:v>0.65468529594886338</c:v>
                </c:pt>
                <c:pt idx="5">
                  <c:v>0.45827686098497433</c:v>
                </c:pt>
                <c:pt idx="6">
                  <c:v>0.40859419729353097</c:v>
                </c:pt>
                <c:pt idx="7">
                  <c:v>0.48923026403633363</c:v>
                </c:pt>
                <c:pt idx="8">
                  <c:v>0.46354617812374677</c:v>
                </c:pt>
                <c:pt idx="9">
                  <c:v>0.40564776275814429</c:v>
                </c:pt>
                <c:pt idx="10">
                  <c:v>0.4376954233739993</c:v>
                </c:pt>
                <c:pt idx="11">
                  <c:v>0.42638673528202081</c:v>
                </c:pt>
                <c:pt idx="12">
                  <c:v>0.39470600413618906</c:v>
                </c:pt>
                <c:pt idx="13">
                  <c:v>0.43143730330410457</c:v>
                </c:pt>
                <c:pt idx="14">
                  <c:v>0.40385269073666263</c:v>
                </c:pt>
                <c:pt idx="15">
                  <c:v>0.39828418529336207</c:v>
                </c:pt>
                <c:pt idx="16">
                  <c:v>0.45067006259894515</c:v>
                </c:pt>
                <c:pt idx="17">
                  <c:v>0.49373915244472988</c:v>
                </c:pt>
                <c:pt idx="18">
                  <c:v>0.45434497180544614</c:v>
                </c:pt>
                <c:pt idx="19">
                  <c:v>0.38831779729836113</c:v>
                </c:pt>
                <c:pt idx="20">
                  <c:v>0.50310406349603576</c:v>
                </c:pt>
                <c:pt idx="21">
                  <c:v>0.47579863419562396</c:v>
                </c:pt>
                <c:pt idx="22">
                  <c:v>0.45739368775829953</c:v>
                </c:pt>
                <c:pt idx="23">
                  <c:v>0.42763226531490028</c:v>
                </c:pt>
              </c:numCache>
            </c:numRef>
          </c:val>
          <c:smooth val="0"/>
          <c:extLst>
            <c:ext xmlns:c16="http://schemas.microsoft.com/office/drawing/2014/chart" uri="{C3380CC4-5D6E-409C-BE32-E72D297353CC}">
              <c16:uniqueId val="{00000000-1DB0-448C-B53D-432BEB8E70D9}"/>
            </c:ext>
          </c:extLst>
        </c:ser>
        <c:dLbls>
          <c:showLegendKey val="0"/>
          <c:showVal val="0"/>
          <c:showCatName val="0"/>
          <c:showSerName val="0"/>
          <c:showPercent val="0"/>
          <c:showBubbleSize val="0"/>
        </c:dLbls>
        <c:smooth val="0"/>
        <c:axId val="412782240"/>
        <c:axId val="412793888"/>
      </c:lineChart>
      <c:catAx>
        <c:axId val="41278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12793888"/>
        <c:crosses val="autoZero"/>
        <c:auto val="1"/>
        <c:lblAlgn val="ctr"/>
        <c:lblOffset val="100"/>
        <c:noMultiLvlLbl val="0"/>
      </c:catAx>
      <c:valAx>
        <c:axId val="4127938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1278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'Index 1996-2019'!$Q$33</c:f>
              <c:strCache>
                <c:ptCount val="1"/>
                <c:pt idx="0">
                  <c:v>Trade, employment and taxes</c:v>
                </c:pt>
              </c:strCache>
            </c:strRef>
          </c:tx>
          <c:spPr>
            <a:ln w="28575" cap="rnd">
              <a:solidFill>
                <a:schemeClr val="accent1"/>
              </a:solidFill>
              <a:round/>
            </a:ln>
            <a:effectLst/>
          </c:spPr>
          <c:marker>
            <c:symbol val="none"/>
          </c:marker>
          <c:cat>
            <c:numRef>
              <c:f>'Index 1996-2019'!$O$34:$O$57</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'Index 1996-2019'!$Q$34:$Q$57</c:f>
              <c:numCache>
                <c:formatCode>0%</c:formatCode>
                <c:ptCount val="24"/>
                <c:pt idx="0">
                  <c:v>0.66475379672917356</c:v>
                </c:pt>
                <c:pt idx="1">
                  <c:v>0.69570589036406727</c:v>
                </c:pt>
                <c:pt idx="2">
                  <c:v>0.86251657539124671</c:v>
                </c:pt>
                <c:pt idx="3">
                  <c:v>0.77462369095828687</c:v>
                </c:pt>
                <c:pt idx="4">
                  <c:v>0.64145705645347673</c:v>
                </c:pt>
                <c:pt idx="5">
                  <c:v>0.33934224556531456</c:v>
                </c:pt>
                <c:pt idx="6">
                  <c:v>0.29427675033607653</c:v>
                </c:pt>
                <c:pt idx="7">
                  <c:v>0.39767534186727105</c:v>
                </c:pt>
                <c:pt idx="8">
                  <c:v>0.41771748659854441</c:v>
                </c:pt>
                <c:pt idx="9">
                  <c:v>0.40090866340464187</c:v>
                </c:pt>
                <c:pt idx="10">
                  <c:v>0.36364039411697274</c:v>
                </c:pt>
                <c:pt idx="11">
                  <c:v>0.45223179865913715</c:v>
                </c:pt>
                <c:pt idx="12">
                  <c:v>0.46449479910990554</c:v>
                </c:pt>
                <c:pt idx="13">
                  <c:v>0.42194777226973657</c:v>
                </c:pt>
                <c:pt idx="14">
                  <c:v>0.36368937168230703</c:v>
                </c:pt>
                <c:pt idx="15">
                  <c:v>0.39802821096274454</c:v>
                </c:pt>
                <c:pt idx="16">
                  <c:v>0.34565730813955059</c:v>
                </c:pt>
                <c:pt idx="17">
                  <c:v>0.44941999676803401</c:v>
                </c:pt>
                <c:pt idx="18">
                  <c:v>0.45417554893581347</c:v>
                </c:pt>
                <c:pt idx="19">
                  <c:v>0.44878024042228515</c:v>
                </c:pt>
                <c:pt idx="20">
                  <c:v>0.45893336436723176</c:v>
                </c:pt>
                <c:pt idx="21">
                  <c:v>0.45862136742436027</c:v>
                </c:pt>
                <c:pt idx="22">
                  <c:v>0.46130394806312491</c:v>
                </c:pt>
                <c:pt idx="23">
                  <c:v>0.44671636226453515</c:v>
                </c:pt>
              </c:numCache>
            </c:numRef>
          </c:val>
          <c:smooth val="0"/>
          <c:extLst>
            <c:ext xmlns:c16="http://schemas.microsoft.com/office/drawing/2014/chart" uri="{C3380CC4-5D6E-409C-BE32-E72D297353CC}">
              <c16:uniqueId val="{00000000-F1BA-49C5-B1CE-E4DE72AAFABC}"/>
            </c:ext>
          </c:extLst>
        </c:ser>
        <c:ser>
          <c:idx val="1"/>
          <c:order val="1"/>
          <c:tx>
            <c:strRef>
              <c:f>'Index 1996-2019'!$R$33</c:f>
              <c:strCache>
                <c:ptCount val="1"/>
                <c:pt idx="0">
                  <c:v>Movement of people and Services</c:v>
                </c:pt>
              </c:strCache>
            </c:strRef>
          </c:tx>
          <c:spPr>
            <a:ln w="28575" cap="rnd">
              <a:solidFill>
                <a:schemeClr val="accent2"/>
              </a:solidFill>
              <a:round/>
            </a:ln>
            <a:effectLst/>
          </c:spPr>
          <c:marker>
            <c:symbol val="none"/>
          </c:marker>
          <c:cat>
            <c:numRef>
              <c:f>'Index 1996-2019'!$O$34:$O$57</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'Index 1996-2019'!$R$34:$R$57</c:f>
              <c:numCache>
                <c:formatCode>0%</c:formatCode>
                <c:ptCount val="24"/>
                <c:pt idx="0">
                  <c:v>0</c:v>
                </c:pt>
                <c:pt idx="1">
                  <c:v>5.6179775280898882E-2</c:v>
                </c:pt>
                <c:pt idx="2">
                  <c:v>0.25842696629213485</c:v>
                </c:pt>
                <c:pt idx="3">
                  <c:v>0.7865168539325843</c:v>
                </c:pt>
                <c:pt idx="4">
                  <c:v>0.74157303370786509</c:v>
                </c:pt>
                <c:pt idx="5">
                  <c:v>0.29213483146067409</c:v>
                </c:pt>
                <c:pt idx="6">
                  <c:v>0.17977528089887634</c:v>
                </c:pt>
                <c:pt idx="7">
                  <c:v>0.6404494382022472</c:v>
                </c:pt>
                <c:pt idx="8">
                  <c:v>0.67415730337078639</c:v>
                </c:pt>
                <c:pt idx="9">
                  <c:v>0.67415730337078639</c:v>
                </c:pt>
                <c:pt idx="10">
                  <c:v>1</c:v>
                </c:pt>
                <c:pt idx="11">
                  <c:v>0.8202247191011236</c:v>
                </c:pt>
                <c:pt idx="12">
                  <c:v>0.16853932584269665</c:v>
                </c:pt>
                <c:pt idx="13">
                  <c:v>0.56179775280898869</c:v>
                </c:pt>
                <c:pt idx="14">
                  <c:v>0.37078651685393255</c:v>
                </c:pt>
                <c:pt idx="15">
                  <c:v>0.3595505617977528</c:v>
                </c:pt>
                <c:pt idx="16">
                  <c:v>0.6404494382022472</c:v>
                </c:pt>
                <c:pt idx="17">
                  <c:v>0.7752808988764045</c:v>
                </c:pt>
                <c:pt idx="18">
                  <c:v>0.69662921348314599</c:v>
                </c:pt>
                <c:pt idx="19">
                  <c:v>2.2471910112359567E-2</c:v>
                </c:pt>
                <c:pt idx="20">
                  <c:v>0.9887640449438202</c:v>
                </c:pt>
                <c:pt idx="21">
                  <c:v>0.68539325842696619</c:v>
                </c:pt>
                <c:pt idx="22">
                  <c:v>0.550561797752809</c:v>
                </c:pt>
                <c:pt idx="23">
                  <c:v>0.4269662921348315</c:v>
                </c:pt>
              </c:numCache>
            </c:numRef>
          </c:val>
          <c:smooth val="0"/>
          <c:extLst>
            <c:ext xmlns:c16="http://schemas.microsoft.com/office/drawing/2014/chart" uri="{C3380CC4-5D6E-409C-BE32-E72D297353CC}">
              <c16:uniqueId val="{00000001-F1BA-49C5-B1CE-E4DE72AAFABC}"/>
            </c:ext>
          </c:extLst>
        </c:ser>
        <c:ser>
          <c:idx val="2"/>
          <c:order val="2"/>
          <c:tx>
            <c:strRef>
              <c:f>'Index 1996-2019'!$S$33</c:f>
              <c:strCache>
                <c:ptCount val="1"/>
                <c:pt idx="0">
                  <c:v>Banking and money</c:v>
                </c:pt>
              </c:strCache>
            </c:strRef>
          </c:tx>
          <c:spPr>
            <a:ln w="28575" cap="rnd">
              <a:solidFill>
                <a:schemeClr val="accent3"/>
              </a:solidFill>
              <a:round/>
            </a:ln>
            <a:effectLst/>
          </c:spPr>
          <c:marker>
            <c:symbol val="none"/>
          </c:marker>
          <c:cat>
            <c:numRef>
              <c:f>'Index 1996-2019'!$O$34:$O$57</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'Index 1996-2019'!$S$34:$S$57</c:f>
              <c:numCache>
                <c:formatCode>0%</c:formatCode>
                <c:ptCount val="24"/>
                <c:pt idx="0">
                  <c:v>0.57079628669672444</c:v>
                </c:pt>
                <c:pt idx="1">
                  <c:v>0.5816500410950517</c:v>
                </c:pt>
                <c:pt idx="2">
                  <c:v>0.33331008734632389</c:v>
                </c:pt>
                <c:pt idx="3">
                  <c:v>0.16984138328431012</c:v>
                </c:pt>
                <c:pt idx="4">
                  <c:v>0.27163226209791691</c:v>
                </c:pt>
                <c:pt idx="5">
                  <c:v>9.2856233307622618E-2</c:v>
                </c:pt>
                <c:pt idx="6">
                  <c:v>3.4784437808117942E-2</c:v>
                </c:pt>
                <c:pt idx="7">
                  <c:v>0.2537855404599505</c:v>
                </c:pt>
                <c:pt idx="8">
                  <c:v>0.47074632459187393</c:v>
                </c:pt>
                <c:pt idx="9">
                  <c:v>0</c:v>
                </c:pt>
                <c:pt idx="10">
                  <c:v>1.3289526173455234E-2</c:v>
                </c:pt>
                <c:pt idx="11">
                  <c:v>0.12447424325840364</c:v>
                </c:pt>
                <c:pt idx="12">
                  <c:v>0.38661632465453044</c:v>
                </c:pt>
                <c:pt idx="13">
                  <c:v>0.3854577558676866</c:v>
                </c:pt>
                <c:pt idx="14">
                  <c:v>0.55942650735018618</c:v>
                </c:pt>
                <c:pt idx="15">
                  <c:v>0.31819456454913719</c:v>
                </c:pt>
                <c:pt idx="16">
                  <c:v>0.66658082831430954</c:v>
                </c:pt>
                <c:pt idx="17">
                  <c:v>0.7152822598827322</c:v>
                </c:pt>
                <c:pt idx="18">
                  <c:v>0.5365182032728979</c:v>
                </c:pt>
                <c:pt idx="19">
                  <c:v>0.73015024506091164</c:v>
                </c:pt>
                <c:pt idx="20">
                  <c:v>0.80361563239155942</c:v>
                </c:pt>
                <c:pt idx="21">
                  <c:v>0.96598328303301795</c:v>
                </c:pt>
                <c:pt idx="22">
                  <c:v>0.84346237626769771</c:v>
                </c:pt>
                <c:pt idx="23">
                  <c:v>1</c:v>
                </c:pt>
              </c:numCache>
            </c:numRef>
          </c:val>
          <c:smooth val="0"/>
          <c:extLst>
            <c:ext xmlns:c16="http://schemas.microsoft.com/office/drawing/2014/chart" uri="{C3380CC4-5D6E-409C-BE32-E72D297353CC}">
              <c16:uniqueId val="{00000002-F1BA-49C5-B1CE-E4DE72AAFABC}"/>
            </c:ext>
          </c:extLst>
        </c:ser>
        <c:ser>
          <c:idx val="3"/>
          <c:order val="3"/>
          <c:tx>
            <c:strRef>
              <c:f>'Index 1996-2019'!$T$33</c:f>
              <c:strCache>
                <c:ptCount val="1"/>
                <c:pt idx="0">
                  <c:v> Wealth and standard of living</c:v>
                </c:pt>
              </c:strCache>
            </c:strRef>
          </c:tx>
          <c:spPr>
            <a:ln w="28575" cap="rnd">
              <a:solidFill>
                <a:schemeClr val="accent4"/>
              </a:solidFill>
              <a:round/>
            </a:ln>
            <a:effectLst/>
          </c:spPr>
          <c:marker>
            <c:symbol val="none"/>
          </c:marker>
          <c:cat>
            <c:numRef>
              <c:f>'Index 1996-2019'!$O$34:$O$57</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'Index 1996-2019'!$T$34:$T$57</c:f>
              <c:numCache>
                <c:formatCode>0%</c:formatCode>
                <c:ptCount val="24"/>
                <c:pt idx="0">
                  <c:v>0.55428923427838528</c:v>
                </c:pt>
                <c:pt idx="1">
                  <c:v>0.5733682690820453</c:v>
                </c:pt>
                <c:pt idx="2">
                  <c:v>0.62841027365460334</c:v>
                </c:pt>
                <c:pt idx="3">
                  <c:v>0.73099371553239845</c:v>
                </c:pt>
                <c:pt idx="4">
                  <c:v>0.66034922578811017</c:v>
                </c:pt>
                <c:pt idx="5">
                  <c:v>0.65311439274661609</c:v>
                </c:pt>
                <c:pt idx="6">
                  <c:v>0.60286423328048788</c:v>
                </c:pt>
                <c:pt idx="7">
                  <c:v>0.49964040546703881</c:v>
                </c:pt>
                <c:pt idx="8">
                  <c:v>0.57006048384278618</c:v>
                </c:pt>
                <c:pt idx="9">
                  <c:v>0.5784644538685535</c:v>
                </c:pt>
                <c:pt idx="10">
                  <c:v>0.54164982932065298</c:v>
                </c:pt>
                <c:pt idx="11">
                  <c:v>0.4747367650454104</c:v>
                </c:pt>
                <c:pt idx="12">
                  <c:v>0.4584739527311269</c:v>
                </c:pt>
                <c:pt idx="13">
                  <c:v>0.56293865543993071</c:v>
                </c:pt>
                <c:pt idx="14">
                  <c:v>0.53807786596490359</c:v>
                </c:pt>
                <c:pt idx="15">
                  <c:v>0.55140569444588639</c:v>
                </c:pt>
                <c:pt idx="16">
                  <c:v>0.57256249238777046</c:v>
                </c:pt>
                <c:pt idx="17">
                  <c:v>0.54828571971672413</c:v>
                </c:pt>
                <c:pt idx="18">
                  <c:v>0.40308923417554621</c:v>
                </c:pt>
                <c:pt idx="19">
                  <c:v>0.36007849043761631</c:v>
                </c:pt>
                <c:pt idx="20">
                  <c:v>0.39576182083731998</c:v>
                </c:pt>
                <c:pt idx="21">
                  <c:v>0.32682979575892834</c:v>
                </c:pt>
                <c:pt idx="22">
                  <c:v>0.29368544441391981</c:v>
                </c:pt>
                <c:pt idx="23">
                  <c:v>0.28718754225427506</c:v>
                </c:pt>
              </c:numCache>
            </c:numRef>
          </c:val>
          <c:smooth val="0"/>
          <c:extLst>
            <c:ext xmlns:c16="http://schemas.microsoft.com/office/drawing/2014/chart" uri="{C3380CC4-5D6E-409C-BE32-E72D297353CC}">
              <c16:uniqueId val="{00000003-F1BA-49C5-B1CE-E4DE72AAFABC}"/>
            </c:ext>
          </c:extLst>
        </c:ser>
        <c:dLbls>
          <c:showLegendKey val="0"/>
          <c:showVal val="0"/>
          <c:showCatName val="0"/>
          <c:showSerName val="0"/>
          <c:showPercent val="0"/>
          <c:showBubbleSize val="0"/>
        </c:dLbls>
        <c:smooth val="0"/>
        <c:axId val="1201924464"/>
        <c:axId val="1201917392"/>
      </c:lineChart>
      <c:catAx>
        <c:axId val="120192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201917392"/>
        <c:crosses val="autoZero"/>
        <c:auto val="1"/>
        <c:lblAlgn val="ctr"/>
        <c:lblOffset val="100"/>
        <c:noMultiLvlLbl val="0"/>
      </c:catAx>
      <c:valAx>
        <c:axId val="12019173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20192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'Index 1996-2019'!$Q$62</c:f>
              <c:strCache>
                <c:ptCount val="1"/>
                <c:pt idx="0">
                  <c:v>Trade, employment and taxes</c:v>
                </c:pt>
              </c:strCache>
            </c:strRef>
          </c:tx>
          <c:spPr>
            <a:solidFill>
              <a:schemeClr val="accent1"/>
            </a:solidFill>
            <a:ln>
              <a:noFill/>
            </a:ln>
            <a:effectLst/>
          </c:spPr>
          <c:invertIfNegative val="0"/>
          <c:cat>
            <c:numRef>
              <c:f>'Index 1996-2019'!$P$63:$P$86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'Index 1996-2019'!$Q$63:$Q$86</c:f>
              <c:numCache>
                <c:formatCode>0%</c:formatCode>
                <c:ptCount val="24"/>
                <c:pt idx="0">
                  <c:v>0.33237689836458678</c:v>
                </c:pt>
                <c:pt idx="1">
                  <c:v>0.34785294518203363</c:v>
                </c:pt>
                <c:pt idx="2">
                  <c:v>0.43125828769562335</c:v>
                </c:pt>
                <c:pt idx="3">
                  <c:v>0.38731184547914344</c:v>
                </c:pt>
                <c:pt idx="4">
                  <c:v>0.32072852822673836</c:v>
                </c:pt>
                <c:pt idx="5">
                  <c:v>0.16967112278265728</c:v>
                </c:pt>
                <c:pt idx="6">
                  <c:v>0.14713837516803827</c:v>
                </c:pt>
                <c:pt idx="7">
                  <c:v>0.19883767093363552</c:v>
                </c:pt>
                <c:pt idx="8">
                  <c:v>0.2088587432992722</c:v>
                </c:pt>
                <c:pt idx="9">
                  <c:v>0.20045433170232094</c:v>
                </c:pt>
                <c:pt idx="10">
                  <c:v>0.18182019705848637</c:v>
                </c:pt>
                <c:pt idx="11">
                  <c:v>0.22611589932956858</c:v>
                </c:pt>
                <c:pt idx="12">
                  <c:v>0.23224739955495277</c:v>
                </c:pt>
                <c:pt idx="13">
                  <c:v>0.21097388613486828</c:v>
                </c:pt>
                <c:pt idx="14">
                  <c:v>0.18184468584115351</c:v>
                </c:pt>
                <c:pt idx="15">
                  <c:v>0.19901410548137227</c:v>
                </c:pt>
                <c:pt idx="16">
                  <c:v>0.17282865406977529</c:v>
                </c:pt>
                <c:pt idx="17">
                  <c:v>0.22470999838401701</c:v>
                </c:pt>
                <c:pt idx="18">
                  <c:v>0.22708777446790673</c:v>
                </c:pt>
                <c:pt idx="19">
                  <c:v>0.22439012021114257</c:v>
                </c:pt>
                <c:pt idx="20">
                  <c:v>0.22946668218361588</c:v>
                </c:pt>
                <c:pt idx="21">
                  <c:v>0.22931068371218014</c:v>
                </c:pt>
                <c:pt idx="22">
                  <c:v>0.23065197403156246</c:v>
                </c:pt>
                <c:pt idx="23">
                  <c:v>0.22335818113226757</c:v>
                </c:pt>
              </c:numCache>
            </c:numRef>
          </c:val>
          <c:extLst>
            <c:ext xmlns:c16="http://schemas.microsoft.com/office/drawing/2014/chart" uri="{C3380CC4-5D6E-409C-BE32-E72D297353CC}">
              <c16:uniqueId val="{00000000-D7E2-429A-8601-DA988F352E4F}"/>
            </c:ext>
          </c:extLst>
        </c:ser>
        <c:ser>
          <c:idx val="1"/>
          <c:order val="1"/>
          <c:tx>
            <c:strRef>
              <c:f>'Index 1996-2019'!$R$62</c:f>
              <c:strCache>
                <c:ptCount val="1"/>
                <c:pt idx="0">
                  <c:v>Movement of people and Services</c:v>
                </c:pt>
              </c:strCache>
            </c:strRef>
          </c:tx>
          <c:spPr>
            <a:solidFill>
              <a:schemeClr val="accent2"/>
            </a:solidFill>
            <a:ln>
              <a:noFill/>
            </a:ln>
            <a:effectLst/>
          </c:spPr>
          <c:invertIfNegative val="0"/>
          <c:cat>
            <c:numRef>
              <c:f>'Index 1996-2019'!$P$63:$P$86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'Index 1996-2019'!$R$63:$R$86</c:f>
              <c:numCache>
                <c:formatCode>0%</c:formatCode>
                <c:ptCount val="24"/>
                <c:pt idx="0">
                  <c:v>0</c:v>
                </c:pt>
                <c:pt idx="1">
                  <c:v>5.6179775280898884E-3</c:v>
                </c:pt>
                <c:pt idx="2">
                  <c:v>2.5842696629213485E-2</c:v>
                </c:pt>
                <c:pt idx="3">
                  <c:v>7.8651685393258439E-2</c:v>
                </c:pt>
                <c:pt idx="4">
                  <c:v>7.4157303370786506E-2</c:v>
                </c:pt>
                <c:pt idx="5">
                  <c:v>2.921348314606741E-2</c:v>
                </c:pt>
                <c:pt idx="6">
                  <c:v>1.7977528089887635E-2</c:v>
                </c:pt>
                <c:pt idx="7">
                  <c:v>6.4044943820224728E-2</c:v>
                </c:pt>
                <c:pt idx="8">
                  <c:v>6.7415730337078636E-2</c:v>
                </c:pt>
                <c:pt idx="9">
                  <c:v>6.7415730337078636E-2</c:v>
                </c:pt>
                <c:pt idx="10">
                  <c:v>0.1</c:v>
                </c:pt>
                <c:pt idx="11">
                  <c:v>8.202247191011236E-2</c:v>
                </c:pt>
                <c:pt idx="12">
                  <c:v>1.6853932584269666E-2</c:v>
                </c:pt>
                <c:pt idx="13">
                  <c:v>5.6179775280898875E-2</c:v>
                </c:pt>
                <c:pt idx="14">
                  <c:v>3.7078651685393253E-2</c:v>
                </c:pt>
                <c:pt idx="15">
                  <c:v>3.5955056179775284E-2</c:v>
                </c:pt>
                <c:pt idx="16">
                  <c:v>6.4044943820224728E-2</c:v>
                </c:pt>
                <c:pt idx="17">
                  <c:v>7.7528089887640456E-2</c:v>
                </c:pt>
                <c:pt idx="18">
                  <c:v>6.9662921348314602E-2</c:v>
                </c:pt>
                <c:pt idx="19">
                  <c:v>2.247191011235957E-3</c:v>
                </c:pt>
                <c:pt idx="20">
                  <c:v>9.8876404494382023E-2</c:v>
                </c:pt>
                <c:pt idx="21">
                  <c:v>6.8539325842696619E-2</c:v>
                </c:pt>
                <c:pt idx="22">
                  <c:v>5.5056179775280906E-2</c:v>
                </c:pt>
                <c:pt idx="23">
                  <c:v>4.2696629213483155E-2</c:v>
                </c:pt>
              </c:numCache>
            </c:numRef>
          </c:val>
          <c:extLst>
            <c:ext xmlns:c16="http://schemas.microsoft.com/office/drawing/2014/chart" uri="{C3380CC4-5D6E-409C-BE32-E72D297353CC}">
              <c16:uniqueId val="{00000001-D7E2-429A-8601-DA988F352E4F}"/>
            </c:ext>
          </c:extLst>
        </c:ser>
        <c:ser>
          <c:idx val="2"/>
          <c:order val="2"/>
          <c:tx>
            <c:strRef>
              <c:f>'Index 1996-2019'!$S$62</c:f>
              <c:strCache>
                <c:ptCount val="1"/>
                <c:pt idx="0">
                  <c:v>Banking and money</c:v>
                </c:pt>
              </c:strCache>
            </c:strRef>
          </c:tx>
          <c:spPr>
            <a:solidFill>
              <a:schemeClr val="accent3"/>
            </a:solidFill>
            <a:ln>
              <a:noFill/>
            </a:ln>
            <a:effectLst/>
          </c:spPr>
          <c:invertIfNegative val="0"/>
          <c:cat>
            <c:numRef>
              <c:f>'Index 1996-2019'!$P$63:$P$86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'Index 1996-2019'!$S$63:$S$86</c:f>
              <c:numCache>
                <c:formatCode>0%</c:formatCode>
                <c:ptCount val="24"/>
                <c:pt idx="0">
                  <c:v>5.707962866967245E-2</c:v>
                </c:pt>
                <c:pt idx="1">
                  <c:v>5.8165004109505175E-2</c:v>
                </c:pt>
                <c:pt idx="2">
                  <c:v>3.3331008734632392E-2</c:v>
                </c:pt>
                <c:pt idx="3">
                  <c:v>1.6984138328431011E-2</c:v>
                </c:pt>
                <c:pt idx="4">
                  <c:v>2.7163226209791693E-2</c:v>
                </c:pt>
                <c:pt idx="5">
                  <c:v>9.2856233307622629E-3</c:v>
                </c:pt>
                <c:pt idx="6">
                  <c:v>3.4784437808117945E-3</c:v>
                </c:pt>
                <c:pt idx="7">
                  <c:v>2.5378554045995053E-2</c:v>
                </c:pt>
                <c:pt idx="8">
                  <c:v>4.7074632459187395E-2</c:v>
                </c:pt>
                <c:pt idx="9">
                  <c:v>0</c:v>
                </c:pt>
                <c:pt idx="10">
                  <c:v>1.3289526173455234E-3</c:v>
                </c:pt>
                <c:pt idx="11">
                  <c:v>1.2447424325840365E-2</c:v>
                </c:pt>
                <c:pt idx="12">
                  <c:v>3.8661632465453045E-2</c:v>
                </c:pt>
                <c:pt idx="13">
                  <c:v>3.8545775586768666E-2</c:v>
                </c:pt>
                <c:pt idx="14">
                  <c:v>5.5942650735018619E-2</c:v>
                </c:pt>
                <c:pt idx="15">
                  <c:v>3.1819456454913721E-2</c:v>
                </c:pt>
                <c:pt idx="16">
                  <c:v>6.6658082831430959E-2</c:v>
                </c:pt>
                <c:pt idx="17">
                  <c:v>7.1528225988273228E-2</c:v>
                </c:pt>
                <c:pt idx="18">
                  <c:v>5.3651820327289795E-2</c:v>
                </c:pt>
                <c:pt idx="19">
                  <c:v>7.3015024506091167E-2</c:v>
                </c:pt>
                <c:pt idx="20">
                  <c:v>8.0361563239155942E-2</c:v>
                </c:pt>
                <c:pt idx="21">
                  <c:v>9.6598328303301798E-2</c:v>
                </c:pt>
                <c:pt idx="22">
                  <c:v>8.4346237626769779E-2</c:v>
                </c:pt>
                <c:pt idx="23">
                  <c:v>0.1</c:v>
                </c:pt>
              </c:numCache>
            </c:numRef>
          </c:val>
          <c:extLst>
            <c:ext xmlns:c16="http://schemas.microsoft.com/office/drawing/2014/chart" uri="{C3380CC4-5D6E-409C-BE32-E72D297353CC}">
              <c16:uniqueId val="{00000002-D7E2-429A-8601-DA988F352E4F}"/>
            </c:ext>
          </c:extLst>
        </c:ser>
        <c:ser>
          <c:idx val="3"/>
          <c:order val="3"/>
          <c:tx>
            <c:strRef>
              <c:f>'Index 1996-2019'!$T$62</c:f>
              <c:strCache>
                <c:ptCount val="1"/>
                <c:pt idx="0">
                  <c:v> Wealth and standard of living</c:v>
                </c:pt>
              </c:strCache>
            </c:strRef>
          </c:tx>
          <c:spPr>
            <a:solidFill>
              <a:schemeClr val="accent4"/>
            </a:solidFill>
            <a:ln>
              <a:noFill/>
            </a:ln>
            <a:effectLst/>
          </c:spPr>
          <c:invertIfNegative val="0"/>
          <c:cat>
            <c:numRef>
              <c:f>'Index 1996-2019'!$P$63:$P$86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'Index 1996-2019'!$T$63:$T$86</c:f>
              <c:numCache>
                <c:formatCode>0%</c:formatCode>
                <c:ptCount val="24"/>
                <c:pt idx="0">
                  <c:v>0.1662867702835156</c:v>
                </c:pt>
                <c:pt idx="1">
                  <c:v>0.17201048072461361</c:v>
                </c:pt>
                <c:pt idx="2">
                  <c:v>0.18852308209638102</c:v>
                </c:pt>
                <c:pt idx="3">
                  <c:v>0.21929811465971957</c:v>
                </c:pt>
                <c:pt idx="4">
                  <c:v>0.19810476773643307</c:v>
                </c:pt>
                <c:pt idx="5">
                  <c:v>0.19593431782398485</c:v>
                </c:pt>
                <c:pt idx="6">
                  <c:v>0.18085926998414639</c:v>
                </c:pt>
                <c:pt idx="7">
                  <c:v>0.14989212164011168</c:v>
                </c:pt>
                <c:pt idx="8">
                  <c:v>0.17101814515283589</c:v>
                </c:pt>
                <c:pt idx="9">
                  <c:v>0.17353933616056608</c:v>
                </c:pt>
                <c:pt idx="10">
                  <c:v>0.16249494879619591</c:v>
                </c:pt>
                <c:pt idx="11">
                  <c:v>0.14242102951362315</c:v>
                </c:pt>
                <c:pt idx="12">
                  <c:v>0.13754218581933808</c:v>
                </c:pt>
                <c:pt idx="13">
                  <c:v>0.16888159663197924</c:v>
                </c:pt>
                <c:pt idx="14">
                  <c:v>0.16142335978947109</c:v>
                </c:pt>
                <c:pt idx="15">
                  <c:v>0.16542170833376593</c:v>
                </c:pt>
                <c:pt idx="16">
                  <c:v>0.17176874771633116</c:v>
                </c:pt>
                <c:pt idx="17">
                  <c:v>0.16448571591501726</c:v>
                </c:pt>
                <c:pt idx="18">
                  <c:v>0.12092677025266388</c:v>
                </c:pt>
                <c:pt idx="19">
                  <c:v>0.10802354713128491</c:v>
                </c:pt>
                <c:pt idx="20">
                  <c:v>0.11872854625119601</c:v>
                </c:pt>
                <c:pt idx="21">
                  <c:v>9.8048938727678517E-2</c:v>
                </c:pt>
                <c:pt idx="22">
                  <c:v>8.8105633324175953E-2</c:v>
                </c:pt>
                <c:pt idx="23">
                  <c:v>8.6156262676282527E-2</c:v>
                </c:pt>
              </c:numCache>
            </c:numRef>
          </c:val>
          <c:extLst>
            <c:ext xmlns:c16="http://schemas.microsoft.com/office/drawing/2014/chart" uri="{C3380CC4-5D6E-409C-BE32-E72D297353CC}">
              <c16:uniqueId val="{00000003-D7E2-429A-8601-DA988F352E4F}"/>
            </c:ext>
          </c:extLst>
        </c:ser>
        <c:dLbls>
          <c:showLegendKey val="0"/>
          <c:showVal val="0"/>
          <c:showCatName val="0"/>
          <c:showSerName val="0"/>
          <c:showPercent val="0"/>
          <c:showBubbleSize val="0"/>
        </c:dLbls>
        <c:gapWidth val="150"/>
        <c:overlap val="100"/>
        <c:axId val="845293088"/>
        <c:axId val="845293504"/>
      </c:barChart>
      <c:catAx>
        <c:axId val="84529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845293504"/>
        <c:crosses val="autoZero"/>
        <c:auto val="1"/>
        <c:lblAlgn val="ctr"/>
        <c:lblOffset val="100"/>
        <c:noMultiLvlLbl val="0"/>
      </c:catAx>
      <c:valAx>
        <c:axId val="8452935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84529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'[IS-WBG-Integration index22.1.xlsx]Data'!$C$2</c:f>
              <c:strCache>
                <c:ptCount val="1"/>
                <c:pt idx="0">
                  <c:v>PT Exports of goods and services to Israel out of total Exports</c:v>
                </c:pt>
              </c:strCache>
            </c:strRef>
          </c:tx>
          <c:spPr>
            <a:ln w="28575" cap="rnd">
              <a:solidFill>
                <a:schemeClr val="accent1"/>
              </a:solidFill>
              <a:round/>
            </a:ln>
            <a:effectLst/>
          </c:spPr>
          <c:marker>
            <c:symbol val="none"/>
          </c:marker>
          <c:cat>
            <c:numRef>
              <c:f>'[IS-WBG-Integration index22.1.xlsx]Data'!$B$3:$B$54</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'[IS-WBG-Integration index22.1.xlsx]Data'!$C$3:$C$54</c:f>
              <c:numCache>
                <c:formatCode>0.0%</c:formatCode>
                <c:ptCount val="52"/>
                <c:pt idx="0">
                  <c:v>0.43098591549295778</c:v>
                </c:pt>
                <c:pt idx="1">
                  <c:v>0.36585365853658536</c:v>
                </c:pt>
                <c:pt idx="2">
                  <c:v>0.46238938053097339</c:v>
                </c:pt>
                <c:pt idx="3">
                  <c:v>0.4457478005865102</c:v>
                </c:pt>
                <c:pt idx="4">
                  <c:v>0.48862275449101794</c:v>
                </c:pt>
                <c:pt idx="5">
                  <c:v>0.66105054509415262</c:v>
                </c:pt>
                <c:pt idx="6">
                  <c:v>0.66984343090537779</c:v>
                </c:pt>
                <c:pt idx="7">
                  <c:v>0.63919129082426129</c:v>
                </c:pt>
                <c:pt idx="8">
                  <c:v>0.63000439947206333</c:v>
                </c:pt>
                <c:pt idx="9">
                  <c:v>0.60360360360360354</c:v>
                </c:pt>
                <c:pt idx="10">
                  <c:v>0.59977194982896231</c:v>
                </c:pt>
                <c:pt idx="11">
                  <c:v>0.62246777163904232</c:v>
                </c:pt>
                <c:pt idx="12">
                  <c:v>0.65384615384615385</c:v>
                </c:pt>
                <c:pt idx="13">
                  <c:v>0.71637717121588085</c:v>
                </c:pt>
                <c:pt idx="14">
                  <c:v>0.66180235535074239</c:v>
                </c:pt>
                <c:pt idx="15">
                  <c:v>0.7471174004192872</c:v>
                </c:pt>
                <c:pt idx="16">
                  <c:v>0.64117647058823535</c:v>
                </c:pt>
                <c:pt idx="17">
                  <c:v>0.6655653450807637</c:v>
                </c:pt>
                <c:pt idx="18">
                  <c:v>0.72301211163770407</c:v>
                </c:pt>
                <c:pt idx="19">
                  <c:v>0.78821697378665967</c:v>
                </c:pt>
                <c:pt idx="20">
                  <c:v>0.70813397129186606</c:v>
                </c:pt>
                <c:pt idx="21">
                  <c:v>0.69565217391304346</c:v>
                </c:pt>
                <c:pt idx="22">
                  <c:v>0.79525483304042177</c:v>
                </c:pt>
                <c:pt idx="23">
                  <c:v>0.77554370127205585</c:v>
                </c:pt>
                <c:pt idx="24">
                  <c:v>0.85</c:v>
                </c:pt>
                <c:pt idx="25">
                  <c:v>0.85</c:v>
                </c:pt>
                <c:pt idx="26">
                  <c:v>0.85</c:v>
                </c:pt>
                <c:pt idx="27">
                  <c:v>0.9235216666624384</c:v>
                </c:pt>
                <c:pt idx="28">
                  <c:v>0.9404354841634619</c:v>
                </c:pt>
                <c:pt idx="29">
                  <c:v>0.93709584674182966</c:v>
                </c:pt>
                <c:pt idx="30">
                  <c:v>0.96117726704651052</c:v>
                </c:pt>
                <c:pt idx="31">
                  <c:v>0.96859965350969257</c:v>
                </c:pt>
                <c:pt idx="32">
                  <c:v>0.95535356152419371</c:v>
                </c:pt>
                <c:pt idx="33">
                  <c:v>0.96806175514852733</c:v>
                </c:pt>
                <c:pt idx="34">
                  <c:v>0.94046626140456169</c:v>
                </c:pt>
                <c:pt idx="35">
                  <c:v>0.94086036009710006</c:v>
                </c:pt>
                <c:pt idx="36">
                  <c:v>0.93195032666972655</c:v>
                </c:pt>
                <c:pt idx="37">
                  <c:v>0.92827998500718167</c:v>
                </c:pt>
                <c:pt idx="38">
                  <c:v>0.94165337919339043</c:v>
                </c:pt>
                <c:pt idx="39">
                  <c:v>0.93783764876921372</c:v>
                </c:pt>
                <c:pt idx="40">
                  <c:v>0.93704620022189733</c:v>
                </c:pt>
                <c:pt idx="41">
                  <c:v>0.92995187471100049</c:v>
                </c:pt>
                <c:pt idx="42">
                  <c:v>0.9069147200296237</c:v>
                </c:pt>
                <c:pt idx="43">
                  <c:v>0.91586792521190785</c:v>
                </c:pt>
                <c:pt idx="44">
                  <c:v>0.88907554673425504</c:v>
                </c:pt>
                <c:pt idx="45">
                  <c:v>0.91729630685719032</c:v>
                </c:pt>
                <c:pt idx="46">
                  <c:v>0.90584537140522281</c:v>
                </c:pt>
                <c:pt idx="47">
                  <c:v>0.91467086533146136</c:v>
                </c:pt>
                <c:pt idx="48">
                  <c:v>0.91556491230468284</c:v>
                </c:pt>
                <c:pt idx="49">
                  <c:v>0.91145766038454856</c:v>
                </c:pt>
                <c:pt idx="50">
                  <c:v>0.90836414597658521</c:v>
                </c:pt>
                <c:pt idx="51">
                  <c:v>0.89420318436870339</c:v>
                </c:pt>
              </c:numCache>
            </c:numRef>
          </c:val>
          <c:smooth val="0"/>
          <c:extLst>
            <c:ext xmlns:c16="http://schemas.microsoft.com/office/drawing/2014/chart" uri="{C3380CC4-5D6E-409C-BE32-E72D297353CC}">
              <c16:uniqueId val="{00000000-4E98-4979-A5E2-1353D03986EB}"/>
            </c:ext>
          </c:extLst>
        </c:ser>
        <c:ser>
          <c:idx val="1"/>
          <c:order val="1"/>
          <c:tx>
            <c:strRef>
              <c:f>'[IS-WBG-Integration index22.1.xlsx]Data'!$D$2</c:f>
              <c:strCache>
                <c:ptCount val="1"/>
                <c:pt idx="0">
                  <c:v>PT Imports of goods and services from Israel out of total imports</c:v>
                </c:pt>
              </c:strCache>
            </c:strRef>
          </c:tx>
          <c:spPr>
            <a:ln w="28575" cap="rnd">
              <a:solidFill>
                <a:schemeClr val="accent2"/>
              </a:solidFill>
              <a:round/>
            </a:ln>
            <a:effectLst/>
          </c:spPr>
          <c:marker>
            <c:symbol val="none"/>
          </c:marker>
          <c:cat>
            <c:numRef>
              <c:f>'[IS-WBG-Integration index22.1.xlsx]Data'!$B$3:$B$54</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'[IS-WBG-Integration index22.1.xlsx]Data'!$D$3:$D$54</c:f>
              <c:numCache>
                <c:formatCode>0.0%</c:formatCode>
                <c:ptCount val="52"/>
                <c:pt idx="0">
                  <c:v>0.76537911301859796</c:v>
                </c:pt>
                <c:pt idx="1">
                  <c:v>0.80176211453744495</c:v>
                </c:pt>
                <c:pt idx="2">
                  <c:v>0.83618090452261307</c:v>
                </c:pt>
                <c:pt idx="3">
                  <c:v>0.81665332265812651</c:v>
                </c:pt>
                <c:pt idx="4">
                  <c:v>0.84950859950859947</c:v>
                </c:pt>
                <c:pt idx="5">
                  <c:v>0.90083410565338273</c:v>
                </c:pt>
                <c:pt idx="6">
                  <c:v>0.89223602484472053</c:v>
                </c:pt>
                <c:pt idx="7">
                  <c:v>0.91226345539444587</c:v>
                </c:pt>
                <c:pt idx="8">
                  <c:v>0.90320350311131592</c:v>
                </c:pt>
                <c:pt idx="9">
                  <c:v>0.91382370341155583</c:v>
                </c:pt>
                <c:pt idx="10">
                  <c:v>0.88591487494515142</c:v>
                </c:pt>
                <c:pt idx="11">
                  <c:v>0.86808735470235998</c:v>
                </c:pt>
                <c:pt idx="12">
                  <c:v>0.87631658140234725</c:v>
                </c:pt>
                <c:pt idx="13">
                  <c:v>0.90124796527400963</c:v>
                </c:pt>
                <c:pt idx="14">
                  <c:v>0.8895596103717931</c:v>
                </c:pt>
                <c:pt idx="15">
                  <c:v>0.90800203873598373</c:v>
                </c:pt>
                <c:pt idx="16">
                  <c:v>0.90338093850189438</c:v>
                </c:pt>
                <c:pt idx="17">
                  <c:v>0.89534361431352005</c:v>
                </c:pt>
                <c:pt idx="18">
                  <c:v>0.89640449438202241</c:v>
                </c:pt>
                <c:pt idx="19">
                  <c:v>0.91439307458143071</c:v>
                </c:pt>
                <c:pt idx="20">
                  <c:v>0.88165680473372776</c:v>
                </c:pt>
                <c:pt idx="21">
                  <c:v>0.81613924050632902</c:v>
                </c:pt>
                <c:pt idx="22">
                  <c:v>0.84168051269878952</c:v>
                </c:pt>
                <c:pt idx="23">
                  <c:v>0.86223949134581412</c:v>
                </c:pt>
                <c:pt idx="24">
                  <c:v>0.87139999999999995</c:v>
                </c:pt>
                <c:pt idx="25">
                  <c:v>0.87139999999999995</c:v>
                </c:pt>
                <c:pt idx="26">
                  <c:v>0.87139999999999995</c:v>
                </c:pt>
                <c:pt idx="27">
                  <c:v>0.8807061430197124</c:v>
                </c:pt>
                <c:pt idx="28">
                  <c:v>0.86465356173487762</c:v>
                </c:pt>
                <c:pt idx="29">
                  <c:v>0.82748649855107437</c:v>
                </c:pt>
                <c:pt idx="30">
                  <c:v>0.77180811564134466</c:v>
                </c:pt>
                <c:pt idx="31">
                  <c:v>0.61639774067882158</c:v>
                </c:pt>
                <c:pt idx="32">
                  <c:v>0.73819993886914781</c:v>
                </c:pt>
                <c:pt idx="33">
                  <c:v>0.68388226316604339</c:v>
                </c:pt>
                <c:pt idx="34">
                  <c:v>0.76296625077885383</c:v>
                </c:pt>
                <c:pt idx="35">
                  <c:v>0.7664115842653163</c:v>
                </c:pt>
                <c:pt idx="36">
                  <c:v>0.76997505880338235</c:v>
                </c:pt>
                <c:pt idx="37">
                  <c:v>0.75465190088522771</c:v>
                </c:pt>
                <c:pt idx="38">
                  <c:v>0.77390222608393511</c:v>
                </c:pt>
                <c:pt idx="39">
                  <c:v>0.77567601481751813</c:v>
                </c:pt>
                <c:pt idx="40">
                  <c:v>0.8337530300534427</c:v>
                </c:pt>
                <c:pt idx="41">
                  <c:v>0.77954711083246375</c:v>
                </c:pt>
                <c:pt idx="42">
                  <c:v>0.75347374483781981</c:v>
                </c:pt>
                <c:pt idx="43">
                  <c:v>0.74133790373676756</c:v>
                </c:pt>
                <c:pt idx="44">
                  <c:v>0.75017279375701174</c:v>
                </c:pt>
                <c:pt idx="45">
                  <c:v>0.75576182906968303</c:v>
                </c:pt>
                <c:pt idx="46">
                  <c:v>0.73161685036814961</c:v>
                </c:pt>
                <c:pt idx="47">
                  <c:v>0.65468483399470045</c:v>
                </c:pt>
                <c:pt idx="48">
                  <c:v>0.66022030072953553</c:v>
                </c:pt>
                <c:pt idx="49">
                  <c:v>0.62978327342425844</c:v>
                </c:pt>
                <c:pt idx="50">
                  <c:v>0.60585953799456105</c:v>
                </c:pt>
                <c:pt idx="51">
                  <c:v>0.60151368660305526</c:v>
                </c:pt>
              </c:numCache>
            </c:numRef>
          </c:val>
          <c:smooth val="0"/>
          <c:extLst>
            <c:ext xmlns:c16="http://schemas.microsoft.com/office/drawing/2014/chart" uri="{C3380CC4-5D6E-409C-BE32-E72D297353CC}">
              <c16:uniqueId val="{00000001-4E98-4979-A5E2-1353D03986EB}"/>
            </c:ext>
          </c:extLst>
        </c:ser>
        <c:dLbls>
          <c:showLegendKey val="0"/>
          <c:showVal val="0"/>
          <c:showCatName val="0"/>
          <c:showSerName val="0"/>
          <c:showPercent val="0"/>
          <c:showBubbleSize val="0"/>
        </c:dLbls>
        <c:smooth val="0"/>
        <c:axId val="1670424191"/>
        <c:axId val="1670425023"/>
      </c:lineChart>
      <c:catAx>
        <c:axId val="167042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670425023"/>
        <c:crosses val="autoZero"/>
        <c:auto val="1"/>
        <c:lblAlgn val="ctr"/>
        <c:lblOffset val="100"/>
        <c:noMultiLvlLbl val="0"/>
      </c:catAx>
      <c:valAx>
        <c:axId val="16704250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670424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'Index 2000-2019 '!$Z$33</c:f>
              <c:strCache>
                <c:ptCount val="1"/>
                <c:pt idx="0">
                  <c:v>IWBGII</c:v>
                </c:pt>
              </c:strCache>
            </c:strRef>
          </c:tx>
          <c:spPr>
            <a:ln w="28575" cap="rnd">
              <a:solidFill>
                <a:schemeClr val="accent1"/>
              </a:solidFill>
              <a:round/>
            </a:ln>
            <a:effectLst/>
          </c:spPr>
          <c:marker>
            <c:symbol val="none"/>
          </c:marker>
          <c:cat>
            <c:numRef>
              <c:f>'Index 2000-2019 '!$T$34:$T$53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'Index 2000-2019 '!$Z$34:$Z$53</c:f>
              <c:numCache>
                <c:formatCode>0%</c:formatCode>
                <c:ptCount val="20"/>
                <c:pt idx="0">
                  <c:v>0.49941995813447698</c:v>
                </c:pt>
                <c:pt idx="1">
                  <c:v>0.37293414349120213</c:v>
                </c:pt>
                <c:pt idx="2">
                  <c:v>0.32265951676460503</c:v>
                </c:pt>
                <c:pt idx="3">
                  <c:v>0.3718751402549863</c:v>
                </c:pt>
                <c:pt idx="4">
                  <c:v>0.37303597861054172</c:v>
                </c:pt>
                <c:pt idx="5">
                  <c:v>0.40862766650179111</c:v>
                </c:pt>
                <c:pt idx="6">
                  <c:v>0.41051345424187469</c:v>
                </c:pt>
                <c:pt idx="7">
                  <c:v>0.38362260337612031</c:v>
                </c:pt>
                <c:pt idx="8">
                  <c:v>0.42511913298096837</c:v>
                </c:pt>
                <c:pt idx="9">
                  <c:v>0.44694487357602775</c:v>
                </c:pt>
                <c:pt idx="10">
                  <c:v>0.4523655477718308</c:v>
                </c:pt>
                <c:pt idx="11">
                  <c:v>0.46524741546732262</c:v>
                </c:pt>
                <c:pt idx="12">
                  <c:v>0.51569918993301211</c:v>
                </c:pt>
                <c:pt idx="13">
                  <c:v>0.5551226013691547</c:v>
                </c:pt>
                <c:pt idx="14">
                  <c:v>0.54394687856683621</c:v>
                </c:pt>
                <c:pt idx="15">
                  <c:v>0.49682567739531991</c:v>
                </c:pt>
                <c:pt idx="16">
                  <c:v>0.60581154345318267</c:v>
                </c:pt>
                <c:pt idx="17">
                  <c:v>0.60608425917683939</c:v>
                </c:pt>
                <c:pt idx="18">
                  <c:v>0.61393031082462901</c:v>
                </c:pt>
                <c:pt idx="19">
                  <c:v>0.57164681483069568</c:v>
                </c:pt>
              </c:numCache>
            </c:numRef>
          </c:val>
          <c:smooth val="0"/>
          <c:extLst>
            <c:ext xmlns:c16="http://schemas.microsoft.com/office/drawing/2014/chart" uri="{C3380CC4-5D6E-409C-BE32-E72D297353CC}">
              <c16:uniqueId val="{00000000-1C95-4553-96A6-863B383E6360}"/>
            </c:ext>
          </c:extLst>
        </c:ser>
        <c:dLbls>
          <c:showLegendKey val="0"/>
          <c:showVal val="0"/>
          <c:showCatName val="0"/>
          <c:showSerName val="0"/>
          <c:showPercent val="0"/>
          <c:showBubbleSize val="0"/>
        </c:dLbls>
        <c:smooth val="0"/>
        <c:axId val="412447984"/>
        <c:axId val="412449648"/>
      </c:lineChart>
      <c:catAx>
        <c:axId val="41244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12449648"/>
        <c:crosses val="autoZero"/>
        <c:auto val="1"/>
        <c:lblAlgn val="ctr"/>
        <c:lblOffset val="100"/>
        <c:noMultiLvlLbl val="0"/>
      </c:catAx>
      <c:valAx>
        <c:axId val="4124496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1244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'Index 2000-2019 '!$U$33</c:f>
              <c:strCache>
                <c:ptCount val="1"/>
                <c:pt idx="0">
                  <c:v>Trade, employment and taxes</c:v>
                </c:pt>
              </c:strCache>
            </c:strRef>
          </c:tx>
          <c:spPr>
            <a:ln w="28575" cap="rnd">
              <a:solidFill>
                <a:schemeClr val="accent1"/>
              </a:solidFill>
              <a:round/>
            </a:ln>
            <a:effectLst/>
          </c:spPr>
          <c:marker>
            <c:symbol val="none"/>
          </c:marker>
          <c:cat>
            <c:numRef>
              <c:f>'Index 2000-2019 '!$T$34:$T$53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'Index 2000-2019 '!$U$34:$U$53</c:f>
              <c:numCache>
                <c:formatCode>0%</c:formatCode>
                <c:ptCount val="20"/>
                <c:pt idx="0">
                  <c:v>0.73070941097032927</c:v>
                </c:pt>
                <c:pt idx="1">
                  <c:v>0.37583533745218178</c:v>
                </c:pt>
                <c:pt idx="2">
                  <c:v>0.3181087791600658</c:v>
                </c:pt>
                <c:pt idx="3">
                  <c:v>0.42209541973353554</c:v>
                </c:pt>
                <c:pt idx="4">
                  <c:v>0.43737407512316762</c:v>
                </c:pt>
                <c:pt idx="5">
                  <c:v>0.42731823269572411</c:v>
                </c:pt>
                <c:pt idx="6">
                  <c:v>0.39050905003684833</c:v>
                </c:pt>
                <c:pt idx="7">
                  <c:v>0.48233075970052214</c:v>
                </c:pt>
                <c:pt idx="8">
                  <c:v>0.50696922949551082</c:v>
                </c:pt>
                <c:pt idx="9">
                  <c:v>0.45786667262371944</c:v>
                </c:pt>
                <c:pt idx="10">
                  <c:v>0.39892201477670425</c:v>
                </c:pt>
                <c:pt idx="11">
                  <c:v>0.43044468594417523</c:v>
                </c:pt>
                <c:pt idx="12">
                  <c:v>0.37783978044941158</c:v>
                </c:pt>
                <c:pt idx="13">
                  <c:v>0.49488124831340874</c:v>
                </c:pt>
                <c:pt idx="14">
                  <c:v>0.50584825297393776</c:v>
                </c:pt>
                <c:pt idx="15">
                  <c:v>0.49608029069643317</c:v>
                </c:pt>
                <c:pt idx="16">
                  <c:v>0.50937522490896625</c:v>
                </c:pt>
                <c:pt idx="17">
                  <c:v>0.51368809187448028</c:v>
                </c:pt>
                <c:pt idx="18">
                  <c:v>0.5224405451581946</c:v>
                </c:pt>
                <c:pt idx="19">
                  <c:v>0.50927992403939437</c:v>
                </c:pt>
              </c:numCache>
            </c:numRef>
          </c:val>
          <c:smooth val="0"/>
          <c:extLst>
            <c:ext xmlns:c16="http://schemas.microsoft.com/office/drawing/2014/chart" uri="{C3380CC4-5D6E-409C-BE32-E72D297353CC}">
              <c16:uniqueId val="{00000000-21E0-4850-8149-DBF36810B9F8}"/>
            </c:ext>
          </c:extLst>
        </c:ser>
        <c:ser>
          <c:idx val="1"/>
          <c:order val="1"/>
          <c:tx>
            <c:strRef>
              <c:f>'Index 2000-2019 '!$V$33</c:f>
              <c:strCache>
                <c:ptCount val="1"/>
                <c:pt idx="0">
                  <c:v>Movement of people and Services</c:v>
                </c:pt>
              </c:strCache>
            </c:strRef>
          </c:tx>
          <c:spPr>
            <a:ln w="28575" cap="rnd">
              <a:solidFill>
                <a:schemeClr val="accent2"/>
              </a:solidFill>
              <a:round/>
            </a:ln>
            <a:effectLst/>
          </c:spPr>
          <c:marker>
            <c:symbol val="none"/>
          </c:marker>
          <c:cat>
            <c:numRef>
              <c:f>'Index 2000-2019 '!$T$34:$T$53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'Index 2000-2019 '!$V$34:$V$53</c:f>
              <c:numCache>
                <c:formatCode>0%</c:formatCode>
                <c:ptCount val="20"/>
                <c:pt idx="0">
                  <c:v>0.73563218390804597</c:v>
                </c:pt>
                <c:pt idx="1">
                  <c:v>0.27586206896551718</c:v>
                </c:pt>
                <c:pt idx="2">
                  <c:v>0.160919540229885</c:v>
                </c:pt>
                <c:pt idx="3">
                  <c:v>0.63218390804597702</c:v>
                </c:pt>
                <c:pt idx="4">
                  <c:v>0.66666666666666652</c:v>
                </c:pt>
                <c:pt idx="5">
                  <c:v>0.66666666666666652</c:v>
                </c:pt>
                <c:pt idx="6">
                  <c:v>1</c:v>
                </c:pt>
                <c:pt idx="7">
                  <c:v>0.81609195402298851</c:v>
                </c:pt>
                <c:pt idx="8">
                  <c:v>0.14942528735632185</c:v>
                </c:pt>
                <c:pt idx="9">
                  <c:v>0.55172413793103448</c:v>
                </c:pt>
                <c:pt idx="10">
                  <c:v>0.35632183908045967</c:v>
                </c:pt>
                <c:pt idx="11">
                  <c:v>0.34482758620689646</c:v>
                </c:pt>
                <c:pt idx="12">
                  <c:v>0.63218390804597702</c:v>
                </c:pt>
                <c:pt idx="13">
                  <c:v>0.77011494252873558</c:v>
                </c:pt>
                <c:pt idx="14">
                  <c:v>0.68965517241379304</c:v>
                </c:pt>
                <c:pt idx="15">
                  <c:v>0</c:v>
                </c:pt>
                <c:pt idx="16">
                  <c:v>0.9885057471264368</c:v>
                </c:pt>
                <c:pt idx="17">
                  <c:v>0.67816091954022983</c:v>
                </c:pt>
                <c:pt idx="18">
                  <c:v>0.54022988505747127</c:v>
                </c:pt>
                <c:pt idx="19">
                  <c:v>0.41379310344827586</c:v>
                </c:pt>
              </c:numCache>
            </c:numRef>
          </c:val>
          <c:smooth val="0"/>
          <c:extLst>
            <c:ext xmlns:c16="http://schemas.microsoft.com/office/drawing/2014/chart" uri="{C3380CC4-5D6E-409C-BE32-E72D297353CC}">
              <c16:uniqueId val="{00000001-21E0-4850-8149-DBF36810B9F8}"/>
            </c:ext>
          </c:extLst>
        </c:ser>
        <c:ser>
          <c:idx val="2"/>
          <c:order val="2"/>
          <c:tx>
            <c:strRef>
              <c:f>'Index 2000-2019 '!$W$33</c:f>
              <c:strCache>
                <c:ptCount val="1"/>
                <c:pt idx="0">
                  <c:v>Resources and infrastructure</c:v>
                </c:pt>
              </c:strCache>
            </c:strRef>
          </c:tx>
          <c:spPr>
            <a:ln w="28575" cap="rnd">
              <a:solidFill>
                <a:schemeClr val="accent3"/>
              </a:solidFill>
              <a:round/>
            </a:ln>
            <a:effectLst/>
          </c:spPr>
          <c:marker>
            <c:symbol val="none"/>
          </c:marker>
          <c:cat>
            <c:numRef>
              <c:f>'Index 2000-2019 '!$T$34:$T$53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'Index 2000-2019 '!$W$34:$W$53</c:f>
              <c:numCache>
                <c:formatCode>0%</c:formatCode>
                <c:ptCount val="20"/>
                <c:pt idx="0">
                  <c:v>1.3629579473732643E-2</c:v>
                </c:pt>
                <c:pt idx="1">
                  <c:v>0.11720870713073249</c:v>
                </c:pt>
                <c:pt idx="2">
                  <c:v>9.9218855045018289E-2</c:v>
                </c:pt>
                <c:pt idx="3">
                  <c:v>0.12777660372220778</c:v>
                </c:pt>
                <c:pt idx="4">
                  <c:v>0.1506079324109556</c:v>
                </c:pt>
                <c:pt idx="5">
                  <c:v>0.31712002131259287</c:v>
                </c:pt>
                <c:pt idx="6">
                  <c:v>0.36396236366165702</c:v>
                </c:pt>
                <c:pt idx="7">
                  <c:v>0.3191685160211884</c:v>
                </c:pt>
                <c:pt idx="8">
                  <c:v>0.42301330718194463</c:v>
                </c:pt>
                <c:pt idx="9">
                  <c:v>0.5058659694244676</c:v>
                </c:pt>
                <c:pt idx="10">
                  <c:v>0.64716797360428979</c:v>
                </c:pt>
                <c:pt idx="11">
                  <c:v>0.66535288571729023</c:v>
                </c:pt>
                <c:pt idx="12">
                  <c:v>0.64098628755086007</c:v>
                </c:pt>
                <c:pt idx="13">
                  <c:v>0.69969035321397466</c:v>
                </c:pt>
                <c:pt idx="14">
                  <c:v>0.76757525245729974</c:v>
                </c:pt>
                <c:pt idx="15">
                  <c:v>0.80142038797393167</c:v>
                </c:pt>
                <c:pt idx="16">
                  <c:v>0.92117877906545753</c:v>
                </c:pt>
                <c:pt idx="17">
                  <c:v>0.97159850228350919</c:v>
                </c:pt>
                <c:pt idx="18">
                  <c:v>0.97391266084887562</c:v>
                </c:pt>
                <c:pt idx="19">
                  <c:v>0.88702984205650814</c:v>
                </c:pt>
              </c:numCache>
            </c:numRef>
          </c:val>
          <c:smooth val="0"/>
          <c:extLst>
            <c:ext xmlns:c16="http://schemas.microsoft.com/office/drawing/2014/chart" uri="{C3380CC4-5D6E-409C-BE32-E72D297353CC}">
              <c16:uniqueId val="{00000002-21E0-4850-8149-DBF36810B9F8}"/>
            </c:ext>
          </c:extLst>
        </c:ser>
        <c:ser>
          <c:idx val="3"/>
          <c:order val="3"/>
          <c:tx>
            <c:strRef>
              <c:f>'Index 2000-2019 '!$X$33</c:f>
              <c:strCache>
                <c:ptCount val="1"/>
                <c:pt idx="0">
                  <c:v>Banking and money</c:v>
                </c:pt>
              </c:strCache>
            </c:strRef>
          </c:tx>
          <c:spPr>
            <a:ln w="28575" cap="rnd">
              <a:solidFill>
                <a:schemeClr val="accent4"/>
              </a:solidFill>
              <a:round/>
            </a:ln>
            <a:effectLst/>
          </c:spPr>
          <c:marker>
            <c:symbol val="none"/>
          </c:marker>
          <c:cat>
            <c:numRef>
              <c:f>'Index 2000-2019 '!$T$34:$T$53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'Index 2000-2019 '!$X$34:$X$53</c:f>
              <c:numCache>
                <c:formatCode>0%</c:formatCode>
                <c:ptCount val="20"/>
                <c:pt idx="0">
                  <c:v>0.28417412914280238</c:v>
                </c:pt>
                <c:pt idx="1">
                  <c:v>0.19028515629808135</c:v>
                </c:pt>
                <c:pt idx="2">
                  <c:v>6.5080546632657443E-2</c:v>
                </c:pt>
                <c:pt idx="3">
                  <c:v>0.16254510489919299</c:v>
                </c:pt>
                <c:pt idx="4">
                  <c:v>0.34965318141286805</c:v>
                </c:pt>
                <c:pt idx="5">
                  <c:v>0</c:v>
                </c:pt>
                <c:pt idx="6">
                  <c:v>0.13030549407861436</c:v>
                </c:pt>
                <c:pt idx="7">
                  <c:v>0.21108951918062591</c:v>
                </c:pt>
                <c:pt idx="8">
                  <c:v>0.4234758382429743</c:v>
                </c:pt>
                <c:pt idx="9">
                  <c:v>0.39538391763216996</c:v>
                </c:pt>
                <c:pt idx="10">
                  <c:v>0.51681668391874969</c:v>
                </c:pt>
                <c:pt idx="11">
                  <c:v>0.32854471057584911</c:v>
                </c:pt>
                <c:pt idx="12">
                  <c:v>0.65382418379408769</c:v>
                </c:pt>
                <c:pt idx="13">
                  <c:v>0.67787249514521331</c:v>
                </c:pt>
                <c:pt idx="14">
                  <c:v>0.60135980741771355</c:v>
                </c:pt>
                <c:pt idx="15">
                  <c:v>0.70960447466202847</c:v>
                </c:pt>
                <c:pt idx="16">
                  <c:v>0.73230930394287586</c:v>
                </c:pt>
                <c:pt idx="17">
                  <c:v>0.85613916858145256</c:v>
                </c:pt>
                <c:pt idx="18">
                  <c:v>0.86163996204162574</c:v>
                </c:pt>
                <c:pt idx="19">
                  <c:v>1</c:v>
                </c:pt>
              </c:numCache>
            </c:numRef>
          </c:val>
          <c:smooth val="0"/>
          <c:extLst>
            <c:ext xmlns:c16="http://schemas.microsoft.com/office/drawing/2014/chart" uri="{C3380CC4-5D6E-409C-BE32-E72D297353CC}">
              <c16:uniqueId val="{00000003-21E0-4850-8149-DBF36810B9F8}"/>
            </c:ext>
          </c:extLst>
        </c:ser>
        <c:ser>
          <c:idx val="4"/>
          <c:order val="4"/>
          <c:tx>
            <c:strRef>
              <c:f>'Index 2000-2019 '!$Y$33</c:f>
              <c:strCache>
                <c:ptCount val="1"/>
                <c:pt idx="0">
                  <c:v> Wealth and Standard of living</c:v>
                </c:pt>
              </c:strCache>
            </c:strRef>
          </c:tx>
          <c:spPr>
            <a:ln w="28575" cap="rnd">
              <a:solidFill>
                <a:schemeClr val="accent5"/>
              </a:solidFill>
              <a:round/>
            </a:ln>
            <a:effectLst/>
          </c:spPr>
          <c:marker>
            <c:symbol val="none"/>
          </c:marker>
          <c:cat>
            <c:numRef>
              <c:f>'Index 2000-2019 '!$T$34:$T$53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'Index 2000-2019 '!$Y$34:$Y$53</c:f>
              <c:numCache>
                <c:formatCode>0%</c:formatCode>
                <c:ptCount val="20"/>
                <c:pt idx="0">
                  <c:v>0.49807577367128425</c:v>
                </c:pt>
                <c:pt idx="1">
                  <c:v>0.51992777641111199</c:v>
                </c:pt>
                <c:pt idx="2">
                  <c:v>0.49581779345077426</c:v>
                </c:pt>
                <c:pt idx="3">
                  <c:v>0.37473030410027913</c:v>
                </c:pt>
                <c:pt idx="4">
                  <c:v>0.45214325213752149</c:v>
                </c:pt>
                <c:pt idx="5">
                  <c:v>0.68384834040141507</c:v>
                </c:pt>
                <c:pt idx="6">
                  <c:v>0.47624081653745975</c:v>
                </c:pt>
                <c:pt idx="7">
                  <c:v>0.36758636943918116</c:v>
                </c:pt>
                <c:pt idx="8">
                  <c:v>0.47823213839297285</c:v>
                </c:pt>
                <c:pt idx="9">
                  <c:v>0.50042368315726726</c:v>
                </c:pt>
                <c:pt idx="10">
                  <c:v>0.4580733612855048</c:v>
                </c:pt>
                <c:pt idx="11">
                  <c:v>0.55868419487927745</c:v>
                </c:pt>
                <c:pt idx="12">
                  <c:v>0.57370764854590672</c:v>
                </c:pt>
                <c:pt idx="13">
                  <c:v>0.53350350318394879</c:v>
                </c:pt>
                <c:pt idx="14">
                  <c:v>0.42357660542010306</c:v>
                </c:pt>
                <c:pt idx="15">
                  <c:v>0.36265058247816817</c:v>
                </c:pt>
                <c:pt idx="16">
                  <c:v>0.41740878543115884</c:v>
                </c:pt>
                <c:pt idx="17">
                  <c:v>0.37871517840251817</c:v>
                </c:pt>
                <c:pt idx="18">
                  <c:v>0.39392603448808483</c:v>
                </c:pt>
                <c:pt idx="19">
                  <c:v>0.33580564980819705</c:v>
                </c:pt>
              </c:numCache>
            </c:numRef>
          </c:val>
          <c:smooth val="0"/>
          <c:extLst>
            <c:ext xmlns:c16="http://schemas.microsoft.com/office/drawing/2014/chart" uri="{C3380CC4-5D6E-409C-BE32-E72D297353CC}">
              <c16:uniqueId val="{00000004-21E0-4850-8149-DBF36810B9F8}"/>
            </c:ext>
          </c:extLst>
        </c:ser>
        <c:dLbls>
          <c:showLegendKey val="0"/>
          <c:showVal val="0"/>
          <c:showCatName val="0"/>
          <c:showSerName val="0"/>
          <c:showPercent val="0"/>
          <c:showBubbleSize val="0"/>
        </c:dLbls>
        <c:smooth val="0"/>
        <c:axId val="1796796608"/>
        <c:axId val="1796802016"/>
      </c:lineChart>
      <c:catAx>
        <c:axId val="179679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796802016"/>
        <c:crosses val="autoZero"/>
        <c:auto val="1"/>
        <c:lblAlgn val="ctr"/>
        <c:lblOffset val="100"/>
        <c:noMultiLvlLbl val="0"/>
      </c:catAx>
      <c:valAx>
        <c:axId val="17968020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79679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'Index 2000-2019 '!$AB$33</c:f>
              <c:strCache>
                <c:ptCount val="1"/>
                <c:pt idx="0">
                  <c:v>Trade, employment and taxes</c:v>
                </c:pt>
              </c:strCache>
            </c:strRef>
          </c:tx>
          <c:spPr>
            <a:solidFill>
              <a:schemeClr val="accent1"/>
            </a:solidFill>
            <a:ln>
              <a:noFill/>
            </a:ln>
            <a:effectLst/>
          </c:spPr>
          <c:invertIfNegative val="0"/>
          <c:cat>
            <c:numRef>
              <c:f>'Index 2000-2019 '!$AA$34:$AA$53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'Index 2000-2019 '!$AB$34:$AB$53</c:f>
              <c:numCache>
                <c:formatCode>0%</c:formatCode>
                <c:ptCount val="20"/>
                <c:pt idx="0">
                  <c:v>0.24356980365677641</c:v>
                </c:pt>
                <c:pt idx="1">
                  <c:v>0.12527844581739392</c:v>
                </c:pt>
                <c:pt idx="2">
                  <c:v>0.10603625972002192</c:v>
                </c:pt>
                <c:pt idx="3">
                  <c:v>0.14069847324451185</c:v>
                </c:pt>
                <c:pt idx="4">
                  <c:v>0.1457913583743892</c:v>
                </c:pt>
                <c:pt idx="5">
                  <c:v>0.1424394108985747</c:v>
                </c:pt>
                <c:pt idx="6">
                  <c:v>0.1301696833456161</c:v>
                </c:pt>
                <c:pt idx="7">
                  <c:v>0.16077691990017404</c:v>
                </c:pt>
                <c:pt idx="8">
                  <c:v>0.16898974316517026</c:v>
                </c:pt>
                <c:pt idx="9">
                  <c:v>0.15262222420790647</c:v>
                </c:pt>
                <c:pt idx="10">
                  <c:v>0.13297400492556807</c:v>
                </c:pt>
                <c:pt idx="11">
                  <c:v>0.14348156198139173</c:v>
                </c:pt>
                <c:pt idx="12">
                  <c:v>0.12594659348313719</c:v>
                </c:pt>
                <c:pt idx="13">
                  <c:v>0.16496041610446957</c:v>
                </c:pt>
                <c:pt idx="14">
                  <c:v>0.16861608432464592</c:v>
                </c:pt>
                <c:pt idx="15">
                  <c:v>0.16536009689881104</c:v>
                </c:pt>
                <c:pt idx="16">
                  <c:v>0.16979174163632207</c:v>
                </c:pt>
                <c:pt idx="17">
                  <c:v>0.17122936395816007</c:v>
                </c:pt>
                <c:pt idx="18">
                  <c:v>0.17414684838606487</c:v>
                </c:pt>
                <c:pt idx="19">
                  <c:v>0.16975997467979811</c:v>
                </c:pt>
              </c:numCache>
            </c:numRef>
          </c:val>
          <c:extLst>
            <c:ext xmlns:c16="http://schemas.microsoft.com/office/drawing/2014/chart" uri="{C3380CC4-5D6E-409C-BE32-E72D297353CC}">
              <c16:uniqueId val="{00000000-CD30-4D7E-94DB-D7930CDB7AA4}"/>
            </c:ext>
          </c:extLst>
        </c:ser>
        <c:ser>
          <c:idx val="1"/>
          <c:order val="1"/>
          <c:tx>
            <c:strRef>
              <c:f>'Index 2000-2019 '!$AC$33</c:f>
              <c:strCache>
                <c:ptCount val="1"/>
                <c:pt idx="0">
                  <c:v>Movement of people and Services</c:v>
                </c:pt>
              </c:strCache>
            </c:strRef>
          </c:tx>
          <c:spPr>
            <a:solidFill>
              <a:schemeClr val="accent2"/>
            </a:solidFill>
            <a:ln>
              <a:noFill/>
            </a:ln>
            <a:effectLst/>
          </c:spPr>
          <c:invertIfNegative val="0"/>
          <c:cat>
            <c:numRef>
              <c:f>'Index 2000-2019 '!$AA$34:$AA$53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'Index 2000-2019 '!$AC$34:$AC$53</c:f>
              <c:numCache>
                <c:formatCode>0%</c:formatCode>
                <c:ptCount val="20"/>
                <c:pt idx="0">
                  <c:v>4.9042145593869733E-2</c:v>
                </c:pt>
                <c:pt idx="1">
                  <c:v>1.8390804597701146E-2</c:v>
                </c:pt>
                <c:pt idx="2">
                  <c:v>1.0727969348659E-2</c:v>
                </c:pt>
                <c:pt idx="3">
                  <c:v>4.2145593869731802E-2</c:v>
                </c:pt>
                <c:pt idx="4">
                  <c:v>4.4444444444444432E-2</c:v>
                </c:pt>
                <c:pt idx="5">
                  <c:v>4.4444444444444432E-2</c:v>
                </c:pt>
                <c:pt idx="6">
                  <c:v>6.6666666666666666E-2</c:v>
                </c:pt>
                <c:pt idx="7">
                  <c:v>5.4406130268199231E-2</c:v>
                </c:pt>
                <c:pt idx="8">
                  <c:v>9.9616858237547897E-3</c:v>
                </c:pt>
                <c:pt idx="9">
                  <c:v>3.6781609195402298E-2</c:v>
                </c:pt>
                <c:pt idx="10">
                  <c:v>2.3754789272030643E-2</c:v>
                </c:pt>
                <c:pt idx="11">
                  <c:v>2.298850574712643E-2</c:v>
                </c:pt>
                <c:pt idx="12">
                  <c:v>4.2145593869731802E-2</c:v>
                </c:pt>
                <c:pt idx="13">
                  <c:v>5.134099616858237E-2</c:v>
                </c:pt>
                <c:pt idx="14">
                  <c:v>4.5977011494252866E-2</c:v>
                </c:pt>
                <c:pt idx="15">
                  <c:v>0</c:v>
                </c:pt>
                <c:pt idx="16">
                  <c:v>6.5900383141762456E-2</c:v>
                </c:pt>
                <c:pt idx="17">
                  <c:v>4.5210727969348656E-2</c:v>
                </c:pt>
                <c:pt idx="18">
                  <c:v>3.6015325670498081E-2</c:v>
                </c:pt>
                <c:pt idx="19">
                  <c:v>2.7586206896551724E-2</c:v>
                </c:pt>
              </c:numCache>
            </c:numRef>
          </c:val>
          <c:extLst>
            <c:ext xmlns:c16="http://schemas.microsoft.com/office/drawing/2014/chart" uri="{C3380CC4-5D6E-409C-BE32-E72D297353CC}">
              <c16:uniqueId val="{00000001-CD30-4D7E-94DB-D7930CDB7AA4}"/>
            </c:ext>
          </c:extLst>
        </c:ser>
        <c:ser>
          <c:idx val="2"/>
          <c:order val="2"/>
          <c:tx>
            <c:strRef>
              <c:f>'Index 2000-2019 '!$AD$33</c:f>
              <c:strCache>
                <c:ptCount val="1"/>
                <c:pt idx="0">
                  <c:v>Resources and infrastructure</c:v>
                </c:pt>
              </c:strCache>
            </c:strRef>
          </c:tx>
          <c:spPr>
            <a:solidFill>
              <a:schemeClr val="accent3"/>
            </a:solidFill>
            <a:ln>
              <a:noFill/>
            </a:ln>
            <a:effectLst/>
          </c:spPr>
          <c:invertIfNegative val="0"/>
          <c:cat>
            <c:numRef>
              <c:f>'Index 2000-2019 '!$AA$34:$AA$53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'Index 2000-2019 '!$AD$34:$AD$53</c:f>
              <c:numCache>
                <c:formatCode>0%</c:formatCode>
                <c:ptCount val="20"/>
                <c:pt idx="0">
                  <c:v>2.7259158947465288E-3</c:v>
                </c:pt>
                <c:pt idx="1">
                  <c:v>2.3441741426146499E-2</c:v>
                </c:pt>
                <c:pt idx="2">
                  <c:v>1.9843771009003659E-2</c:v>
                </c:pt>
                <c:pt idx="3">
                  <c:v>2.5555320744441556E-2</c:v>
                </c:pt>
                <c:pt idx="4">
                  <c:v>3.0121586482191123E-2</c:v>
                </c:pt>
                <c:pt idx="5">
                  <c:v>6.3424004262518582E-2</c:v>
                </c:pt>
                <c:pt idx="6">
                  <c:v>7.2792472732331401E-2</c:v>
                </c:pt>
                <c:pt idx="7">
                  <c:v>6.3833703204237688E-2</c:v>
                </c:pt>
                <c:pt idx="8">
                  <c:v>8.4602661436388935E-2</c:v>
                </c:pt>
                <c:pt idx="9">
                  <c:v>0.10117319388489353</c:v>
                </c:pt>
                <c:pt idx="10">
                  <c:v>0.12943359472085797</c:v>
                </c:pt>
                <c:pt idx="11">
                  <c:v>0.13307057714345805</c:v>
                </c:pt>
                <c:pt idx="12">
                  <c:v>0.12819725751017202</c:v>
                </c:pt>
                <c:pt idx="13">
                  <c:v>0.13993807064279493</c:v>
                </c:pt>
                <c:pt idx="14">
                  <c:v>0.15351505049145997</c:v>
                </c:pt>
                <c:pt idx="15">
                  <c:v>0.16028407759478636</c:v>
                </c:pt>
                <c:pt idx="16">
                  <c:v>0.18423575581309151</c:v>
                </c:pt>
                <c:pt idx="17">
                  <c:v>0.19431970045670185</c:v>
                </c:pt>
                <c:pt idx="18">
                  <c:v>0.19478253216977515</c:v>
                </c:pt>
                <c:pt idx="19">
                  <c:v>0.17740596841130163</c:v>
                </c:pt>
              </c:numCache>
            </c:numRef>
          </c:val>
          <c:extLst>
            <c:ext xmlns:c16="http://schemas.microsoft.com/office/drawing/2014/chart" uri="{C3380CC4-5D6E-409C-BE32-E72D297353CC}">
              <c16:uniqueId val="{00000002-CD30-4D7E-94DB-D7930CDB7AA4}"/>
            </c:ext>
          </c:extLst>
        </c:ser>
        <c:ser>
          <c:idx val="3"/>
          <c:order val="3"/>
          <c:tx>
            <c:strRef>
              <c:f>'Index 2000-2019 '!$AE$33</c:f>
              <c:strCache>
                <c:ptCount val="1"/>
                <c:pt idx="0">
                  <c:v>Banking and money</c:v>
                </c:pt>
              </c:strCache>
            </c:strRef>
          </c:tx>
          <c:spPr>
            <a:solidFill>
              <a:schemeClr val="accent4"/>
            </a:solidFill>
            <a:ln>
              <a:noFill/>
            </a:ln>
            <a:effectLst/>
          </c:spPr>
          <c:invertIfNegative val="0"/>
          <c:cat>
            <c:numRef>
              <c:f>'Index 2000-2019 '!$AA$34:$AA$53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'Index 2000-2019 '!$AE$34:$AE$53</c:f>
              <c:numCache>
                <c:formatCode>0%</c:formatCode>
                <c:ptCount val="20"/>
                <c:pt idx="0">
                  <c:v>3.7889883885706986E-2</c:v>
                </c:pt>
                <c:pt idx="1">
                  <c:v>2.5371354173077513E-2</c:v>
                </c:pt>
                <c:pt idx="2">
                  <c:v>8.6774062176876582E-3</c:v>
                </c:pt>
                <c:pt idx="3">
                  <c:v>2.1672680653225734E-2</c:v>
                </c:pt>
                <c:pt idx="4">
                  <c:v>4.6620424188382407E-2</c:v>
                </c:pt>
                <c:pt idx="5">
                  <c:v>0</c:v>
                </c:pt>
                <c:pt idx="6">
                  <c:v>1.7374065877148581E-2</c:v>
                </c:pt>
                <c:pt idx="7">
                  <c:v>2.8145269224083454E-2</c:v>
                </c:pt>
                <c:pt idx="8">
                  <c:v>5.6463445099063238E-2</c:v>
                </c:pt>
                <c:pt idx="9">
                  <c:v>5.2717855684289328E-2</c:v>
                </c:pt>
                <c:pt idx="10">
                  <c:v>6.8908891189166627E-2</c:v>
                </c:pt>
                <c:pt idx="11">
                  <c:v>4.3805961410113212E-2</c:v>
                </c:pt>
                <c:pt idx="12">
                  <c:v>8.7176557839211688E-2</c:v>
                </c:pt>
                <c:pt idx="13">
                  <c:v>9.0382999352695101E-2</c:v>
                </c:pt>
                <c:pt idx="14">
                  <c:v>8.0181307655695144E-2</c:v>
                </c:pt>
                <c:pt idx="15">
                  <c:v>9.4613929954937129E-2</c:v>
                </c:pt>
                <c:pt idx="16">
                  <c:v>9.764124052571678E-2</c:v>
                </c:pt>
                <c:pt idx="17">
                  <c:v>0.11415188914419368</c:v>
                </c:pt>
                <c:pt idx="18">
                  <c:v>0.11488532827221676</c:v>
                </c:pt>
                <c:pt idx="19">
                  <c:v>0.13333333333333333</c:v>
                </c:pt>
              </c:numCache>
            </c:numRef>
          </c:val>
          <c:extLst>
            <c:ext xmlns:c16="http://schemas.microsoft.com/office/drawing/2014/chart" uri="{C3380CC4-5D6E-409C-BE32-E72D297353CC}">
              <c16:uniqueId val="{00000003-CD30-4D7E-94DB-D7930CDB7AA4}"/>
            </c:ext>
          </c:extLst>
        </c:ser>
        <c:ser>
          <c:idx val="4"/>
          <c:order val="4"/>
          <c:tx>
            <c:strRef>
              <c:f>'Index 2000-2019 '!$AF$33</c:f>
              <c:strCache>
                <c:ptCount val="1"/>
                <c:pt idx="0">
                  <c:v> Wealth and Standard of living</c:v>
                </c:pt>
              </c:strCache>
            </c:strRef>
          </c:tx>
          <c:spPr>
            <a:solidFill>
              <a:schemeClr val="accent5"/>
            </a:solidFill>
            <a:ln>
              <a:noFill/>
            </a:ln>
            <a:effectLst/>
          </c:spPr>
          <c:invertIfNegative val="0"/>
          <c:cat>
            <c:numRef>
              <c:f>'Index 2000-2019 '!$AA$34:$AA$53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'Index 2000-2019 '!$AF$34:$AF$53</c:f>
              <c:numCache>
                <c:formatCode>0%</c:formatCode>
                <c:ptCount val="20"/>
                <c:pt idx="0">
                  <c:v>0.13282020631234245</c:v>
                </c:pt>
                <c:pt idx="1">
                  <c:v>0.13864740704296319</c:v>
                </c:pt>
                <c:pt idx="2">
                  <c:v>0.13221807825353979</c:v>
                </c:pt>
                <c:pt idx="3">
                  <c:v>9.992808109340777E-2</c:v>
                </c:pt>
                <c:pt idx="4">
                  <c:v>0.12057153390333906</c:v>
                </c:pt>
                <c:pt idx="5">
                  <c:v>0.18235955744037735</c:v>
                </c:pt>
                <c:pt idx="6">
                  <c:v>0.12699755107665595</c:v>
                </c:pt>
                <c:pt idx="7">
                  <c:v>9.8023031850448306E-2</c:v>
                </c:pt>
                <c:pt idx="8">
                  <c:v>0.12752857023812608</c:v>
                </c:pt>
                <c:pt idx="9">
                  <c:v>0.13344631550860461</c:v>
                </c:pt>
                <c:pt idx="10">
                  <c:v>0.12215289634280128</c:v>
                </c:pt>
                <c:pt idx="11">
                  <c:v>0.14898245196780732</c:v>
                </c:pt>
                <c:pt idx="12">
                  <c:v>0.15298870627890845</c:v>
                </c:pt>
                <c:pt idx="13">
                  <c:v>0.14226760084905302</c:v>
                </c:pt>
                <c:pt idx="14">
                  <c:v>0.11295376144536082</c:v>
                </c:pt>
                <c:pt idx="15">
                  <c:v>9.6706821994178183E-2</c:v>
                </c:pt>
                <c:pt idx="16">
                  <c:v>0.11130900944830902</c:v>
                </c:pt>
                <c:pt idx="17">
                  <c:v>0.10099071424067151</c:v>
                </c:pt>
                <c:pt idx="18">
                  <c:v>0.10504694253015595</c:v>
                </c:pt>
                <c:pt idx="19">
                  <c:v>8.9548173282185881E-2</c:v>
                </c:pt>
              </c:numCache>
            </c:numRef>
          </c:val>
          <c:extLst>
            <c:ext xmlns:c16="http://schemas.microsoft.com/office/drawing/2014/chart" uri="{C3380CC4-5D6E-409C-BE32-E72D297353CC}">
              <c16:uniqueId val="{00000004-CD30-4D7E-94DB-D7930CDB7AA4}"/>
            </c:ext>
          </c:extLst>
        </c:ser>
        <c:dLbls>
          <c:showLegendKey val="0"/>
          <c:showVal val="0"/>
          <c:showCatName val="0"/>
          <c:showSerName val="0"/>
          <c:showPercent val="0"/>
          <c:showBubbleSize val="0"/>
        </c:dLbls>
        <c:gapWidth val="150"/>
        <c:overlap val="100"/>
        <c:axId val="2030759328"/>
        <c:axId val="2030759744"/>
      </c:barChart>
      <c:catAx>
        <c:axId val="203075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030759744"/>
        <c:crosses val="autoZero"/>
        <c:auto val="1"/>
        <c:lblAlgn val="ctr"/>
        <c:lblOffset val="100"/>
        <c:noMultiLvlLbl val="0"/>
      </c:catAx>
      <c:valAx>
        <c:axId val="20307597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03075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'Index 2010-2019'!$H$32</c:f>
              <c:strCache>
                <c:ptCount val="1"/>
                <c:pt idx="0">
                  <c:v>ISWBGII - PCA</c:v>
                </c:pt>
              </c:strCache>
            </c:strRef>
          </c:tx>
          <c:spPr>
            <a:ln w="28575" cap="rnd">
              <a:solidFill>
                <a:schemeClr val="accent1"/>
              </a:solidFill>
              <a:round/>
            </a:ln>
            <a:effectLst/>
          </c:spPr>
          <c:marker>
            <c:symbol val="none"/>
          </c:marker>
          <c:cat>
            <c:numRef>
              <c:f>'Index 2010-2019'!$B$33:$B$42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2010-2019'!$H$33:$H$42</c:f>
              <c:numCache>
                <c:formatCode>0.00%</c:formatCode>
                <c:ptCount val="10"/>
                <c:pt idx="0">
                  <c:v>0.30440993652366682</c:v>
                </c:pt>
                <c:pt idx="1">
                  <c:v>0.32943676676593614</c:v>
                </c:pt>
                <c:pt idx="2">
                  <c:v>0.42024280702719863</c:v>
                </c:pt>
                <c:pt idx="3">
                  <c:v>0.48749995917906941</c:v>
                </c:pt>
                <c:pt idx="4">
                  <c:v>0.48552662247113032</c:v>
                </c:pt>
                <c:pt idx="5">
                  <c:v>0.46512451735519567</c:v>
                </c:pt>
                <c:pt idx="6">
                  <c:v>0.65298272996109741</c:v>
                </c:pt>
                <c:pt idx="7">
                  <c:v>0.66943762349595015</c:v>
                </c:pt>
                <c:pt idx="8">
                  <c:v>0.6727711893280508</c:v>
                </c:pt>
                <c:pt idx="9">
                  <c:v>0.60078569411586269</c:v>
                </c:pt>
              </c:numCache>
            </c:numRef>
          </c:val>
          <c:smooth val="0"/>
          <c:extLst>
            <c:ext xmlns:c16="http://schemas.microsoft.com/office/drawing/2014/chart" uri="{C3380CC4-5D6E-409C-BE32-E72D297353CC}">
              <c16:uniqueId val="{00000000-3EF7-4ED0-BD0A-F2ED03E21712}"/>
            </c:ext>
          </c:extLst>
        </c:ser>
        <c:dLbls>
          <c:showLegendKey val="0"/>
          <c:showVal val="0"/>
          <c:showCatName val="0"/>
          <c:showSerName val="0"/>
          <c:showPercent val="0"/>
          <c:showBubbleSize val="0"/>
        </c:dLbls>
        <c:smooth val="0"/>
        <c:axId val="605835856"/>
        <c:axId val="605851664"/>
      </c:lineChart>
      <c:catAx>
        <c:axId val="60583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605851664"/>
        <c:crosses val="autoZero"/>
        <c:auto val="1"/>
        <c:lblAlgn val="ctr"/>
        <c:lblOffset val="100"/>
        <c:noMultiLvlLbl val="0"/>
      </c:catAx>
      <c:valAx>
        <c:axId val="6058516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605835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09050925925926"/>
          <c:y val="5.5436507936507937E-2"/>
          <c:w val="0.81957152777777775"/>
          <c:h val="0.62550634920634918"/>
        </c:manualLayout>
      </c:layout>
      <c:lineChart>
        <c:grouping val="standard"/>
        <c:varyColors val="0"/>
        <c:ser>
          <c:idx val="0"/>
          <c:order val="0"/>
          <c:tx>
            <c:strRef>
              <c:f>'Index 2010-2019'!$C$32</c:f>
              <c:strCache>
                <c:ptCount val="1"/>
                <c:pt idx="0">
                  <c:v>Trade, Employment and Taxes</c:v>
                </c:pt>
              </c:strCache>
            </c:strRef>
          </c:tx>
          <c:spPr>
            <a:ln w="28575" cap="rnd">
              <a:solidFill>
                <a:schemeClr val="accent1"/>
              </a:solidFill>
              <a:round/>
            </a:ln>
            <a:effectLst/>
          </c:spPr>
          <c:marker>
            <c:symbol val="none"/>
          </c:marker>
          <c:cat>
            <c:numRef>
              <c:f>'Index 2010-2019'!$B$33:$B$42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2010-2019'!$C$33:$C$42</c:f>
              <c:numCache>
                <c:formatCode>0.00%</c:formatCode>
                <c:ptCount val="10"/>
                <c:pt idx="0">
                  <c:v>0.37957090425664836</c:v>
                </c:pt>
                <c:pt idx="1">
                  <c:v>0.4779306387684546</c:v>
                </c:pt>
                <c:pt idx="2">
                  <c:v>0.30364613351094183</c:v>
                </c:pt>
                <c:pt idx="3">
                  <c:v>0.59630085672032562</c:v>
                </c:pt>
                <c:pt idx="4">
                  <c:v>0.60241409483493691</c:v>
                </c:pt>
                <c:pt idx="5">
                  <c:v>0.6343606574380416</c:v>
                </c:pt>
                <c:pt idx="6">
                  <c:v>0.65631279052216529</c:v>
                </c:pt>
                <c:pt idx="7">
                  <c:v>0.68640258081209549</c:v>
                </c:pt>
                <c:pt idx="8">
                  <c:v>0.67648434161857507</c:v>
                </c:pt>
                <c:pt idx="9">
                  <c:v>0.61857676976348375</c:v>
                </c:pt>
              </c:numCache>
            </c:numRef>
          </c:val>
          <c:smooth val="0"/>
          <c:extLst>
            <c:ext xmlns:c16="http://schemas.microsoft.com/office/drawing/2014/chart" uri="{C3380CC4-5D6E-409C-BE32-E72D297353CC}">
              <c16:uniqueId val="{00000000-58AA-42F7-9694-E86FBAC64B82}"/>
            </c:ext>
          </c:extLst>
        </c:ser>
        <c:ser>
          <c:idx val="1"/>
          <c:order val="1"/>
          <c:tx>
            <c:strRef>
              <c:f>'Index 2010-2019'!$D$32</c:f>
              <c:strCache>
                <c:ptCount val="1"/>
                <c:pt idx="0">
                  <c:v>Movement of people and Services</c:v>
                </c:pt>
              </c:strCache>
            </c:strRef>
          </c:tx>
          <c:spPr>
            <a:ln w="28575" cap="rnd">
              <a:solidFill>
                <a:schemeClr val="accent2"/>
              </a:solidFill>
              <a:round/>
            </a:ln>
            <a:effectLst/>
          </c:spPr>
          <c:marker>
            <c:symbol val="none"/>
          </c:marker>
          <c:cat>
            <c:numRef>
              <c:f>'Index 2010-2019'!$B$33:$B$42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2010-2019'!$D$33:$D$42</c:f>
              <c:numCache>
                <c:formatCode>0.00%</c:formatCode>
                <c:ptCount val="10"/>
                <c:pt idx="0">
                  <c:v>0.26344353802249232</c:v>
                </c:pt>
                <c:pt idx="1">
                  <c:v>0.22610130443087367</c:v>
                </c:pt>
                <c:pt idx="2">
                  <c:v>0.39639857046059068</c:v>
                </c:pt>
                <c:pt idx="3">
                  <c:v>0.3826486819359628</c:v>
                </c:pt>
                <c:pt idx="4">
                  <c:v>0.52169519594490876</c:v>
                </c:pt>
                <c:pt idx="5">
                  <c:v>0.39441817736262486</c:v>
                </c:pt>
                <c:pt idx="6">
                  <c:v>0.74491667086576974</c:v>
                </c:pt>
                <c:pt idx="7">
                  <c:v>0.68773737531576384</c:v>
                </c:pt>
                <c:pt idx="8">
                  <c:v>0.68777676115293418</c:v>
                </c:pt>
                <c:pt idx="9">
                  <c:v>0.61827442185944492</c:v>
                </c:pt>
              </c:numCache>
            </c:numRef>
          </c:val>
          <c:smooth val="0"/>
          <c:extLst>
            <c:ext xmlns:c16="http://schemas.microsoft.com/office/drawing/2014/chart" uri="{C3380CC4-5D6E-409C-BE32-E72D297353CC}">
              <c16:uniqueId val="{00000001-58AA-42F7-9694-E86FBAC64B82}"/>
            </c:ext>
          </c:extLst>
        </c:ser>
        <c:ser>
          <c:idx val="2"/>
          <c:order val="2"/>
          <c:tx>
            <c:strRef>
              <c:f>'Index 2010-2019'!$E$32</c:f>
              <c:strCache>
                <c:ptCount val="1"/>
                <c:pt idx="0">
                  <c:v>Resources and infrastructure</c:v>
                </c:pt>
              </c:strCache>
            </c:strRef>
          </c:tx>
          <c:spPr>
            <a:ln w="28575" cap="rnd">
              <a:solidFill>
                <a:schemeClr val="accent3"/>
              </a:solidFill>
              <a:round/>
            </a:ln>
            <a:effectLst/>
          </c:spPr>
          <c:marker>
            <c:symbol val="none"/>
          </c:marker>
          <c:cat>
            <c:numRef>
              <c:f>'Index 2010-2019'!$B$33:$B$42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2010-2019'!$E$33:$E$42</c:f>
              <c:numCache>
                <c:formatCode>0.00%</c:formatCode>
                <c:ptCount val="10"/>
                <c:pt idx="0">
                  <c:v>7.8821364481959338E-2</c:v>
                </c:pt>
                <c:pt idx="1">
                  <c:v>0.13288241536826317</c:v>
                </c:pt>
                <c:pt idx="2">
                  <c:v>0.25611489180747449</c:v>
                </c:pt>
                <c:pt idx="3">
                  <c:v>0.28478037396926231</c:v>
                </c:pt>
                <c:pt idx="4">
                  <c:v>0.48028693379796883</c:v>
                </c:pt>
                <c:pt idx="5">
                  <c:v>0.52757111800818191</c:v>
                </c:pt>
                <c:pt idx="6">
                  <c:v>0.73664769000148078</c:v>
                </c:pt>
                <c:pt idx="7">
                  <c:v>0.87787303082378743</c:v>
                </c:pt>
                <c:pt idx="8">
                  <c:v>0.94099747834240344</c:v>
                </c:pt>
                <c:pt idx="9">
                  <c:v>0.70654322397997182</c:v>
                </c:pt>
              </c:numCache>
            </c:numRef>
          </c:val>
          <c:smooth val="0"/>
          <c:extLst>
            <c:ext xmlns:c16="http://schemas.microsoft.com/office/drawing/2014/chart" uri="{C3380CC4-5D6E-409C-BE32-E72D297353CC}">
              <c16:uniqueId val="{00000002-58AA-42F7-9694-E86FBAC64B82}"/>
            </c:ext>
          </c:extLst>
        </c:ser>
        <c:ser>
          <c:idx val="3"/>
          <c:order val="3"/>
          <c:tx>
            <c:strRef>
              <c:f>'Index 2010-2019'!$F$32</c:f>
              <c:strCache>
                <c:ptCount val="1"/>
                <c:pt idx="0">
                  <c:v>Banking and money</c:v>
                </c:pt>
              </c:strCache>
            </c:strRef>
          </c:tx>
          <c:spPr>
            <a:ln w="28575" cap="rnd">
              <a:solidFill>
                <a:schemeClr val="accent4"/>
              </a:solidFill>
              <a:round/>
            </a:ln>
            <a:effectLst/>
          </c:spPr>
          <c:marker>
            <c:symbol val="none"/>
          </c:marker>
          <c:cat>
            <c:numRef>
              <c:f>'Index 2010-2019'!$B$33:$B$42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2010-2019'!$F$33:$F$42</c:f>
              <c:numCache>
                <c:formatCode>0.00%</c:formatCode>
                <c:ptCount val="10"/>
                <c:pt idx="0">
                  <c:v>0.32964030291945695</c:v>
                </c:pt>
                <c:pt idx="1">
                  <c:v>0.1475778784933377</c:v>
                </c:pt>
                <c:pt idx="2">
                  <c:v>0.37949973236555357</c:v>
                </c:pt>
                <c:pt idx="3">
                  <c:v>0.48152236443446056</c:v>
                </c:pt>
                <c:pt idx="4">
                  <c:v>0.41061277129139645</c:v>
                </c:pt>
                <c:pt idx="5">
                  <c:v>0.45402363772288379</c:v>
                </c:pt>
                <c:pt idx="6">
                  <c:v>0.58774369832516171</c:v>
                </c:pt>
                <c:pt idx="7">
                  <c:v>0.66650945740195711</c:v>
                </c:pt>
                <c:pt idx="8">
                  <c:v>0.65151532067700724</c:v>
                </c:pt>
                <c:pt idx="9">
                  <c:v>0.80355141571047461</c:v>
                </c:pt>
              </c:numCache>
            </c:numRef>
          </c:val>
          <c:smooth val="0"/>
          <c:extLst>
            <c:ext xmlns:c16="http://schemas.microsoft.com/office/drawing/2014/chart" uri="{C3380CC4-5D6E-409C-BE32-E72D297353CC}">
              <c16:uniqueId val="{00000003-58AA-42F7-9694-E86FBAC64B82}"/>
            </c:ext>
          </c:extLst>
        </c:ser>
        <c:ser>
          <c:idx val="4"/>
          <c:order val="4"/>
          <c:tx>
            <c:strRef>
              <c:f>'Index 2010-2019'!$G$32</c:f>
              <c:strCache>
                <c:ptCount val="1"/>
                <c:pt idx="0">
                  <c:v> Wealth and Standard of living</c:v>
                </c:pt>
              </c:strCache>
            </c:strRef>
          </c:tx>
          <c:spPr>
            <a:ln w="28575" cap="rnd">
              <a:solidFill>
                <a:schemeClr val="accent5"/>
              </a:solidFill>
              <a:round/>
            </a:ln>
            <a:effectLst/>
          </c:spPr>
          <c:marker>
            <c:symbol val="none"/>
          </c:marker>
          <c:cat>
            <c:numRef>
              <c:f>'Index 2010-2019'!$B$33:$B$42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2010-2019'!$G$33:$G$42</c:f>
              <c:numCache>
                <c:formatCode>0%</c:formatCode>
                <c:ptCount val="10"/>
                <c:pt idx="0">
                  <c:v>0.55116512247945937</c:v>
                </c:pt>
                <c:pt idx="1">
                  <c:v>0.78311976298566222</c:v>
                </c:pt>
                <c:pt idx="2">
                  <c:v>0.84495594289633091</c:v>
                </c:pt>
                <c:pt idx="3">
                  <c:v>0.78332333047368286</c:v>
                </c:pt>
                <c:pt idx="4">
                  <c:v>0.41361331360151132</c:v>
                </c:pt>
                <c:pt idx="5">
                  <c:v>0.30081744573384511</c:v>
                </c:pt>
                <c:pt idx="6">
                  <c:v>0.50078805246537572</c:v>
                </c:pt>
                <c:pt idx="7">
                  <c:v>0.34936323412027048</c:v>
                </c:pt>
                <c:pt idx="8">
                  <c:v>0.31152759923364021</c:v>
                </c:pt>
                <c:pt idx="9">
                  <c:v>0.17439233748303071</c:v>
                </c:pt>
              </c:numCache>
            </c:numRef>
          </c:val>
          <c:smooth val="0"/>
          <c:extLst>
            <c:ext xmlns:c16="http://schemas.microsoft.com/office/drawing/2014/chart" uri="{C3380CC4-5D6E-409C-BE32-E72D297353CC}">
              <c16:uniqueId val="{00000004-58AA-42F7-9694-E86FBAC64B82}"/>
            </c:ext>
          </c:extLst>
        </c:ser>
        <c:dLbls>
          <c:showLegendKey val="0"/>
          <c:showVal val="0"/>
          <c:showCatName val="0"/>
          <c:showSerName val="0"/>
          <c:showPercent val="0"/>
          <c:showBubbleSize val="0"/>
        </c:dLbls>
        <c:smooth val="0"/>
        <c:axId val="1497369632"/>
        <c:axId val="1497367968"/>
      </c:lineChart>
      <c:catAx>
        <c:axId val="149736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497367968"/>
        <c:crosses val="autoZero"/>
        <c:auto val="1"/>
        <c:lblAlgn val="ctr"/>
        <c:lblOffset val="100"/>
        <c:noMultiLvlLbl val="0"/>
      </c:catAx>
      <c:valAx>
        <c:axId val="1497367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497369632"/>
        <c:crosses val="autoZero"/>
        <c:crossBetween val="between"/>
        <c:majorUnit val="0.2"/>
      </c:valAx>
      <c:spPr>
        <a:noFill/>
        <a:ln>
          <a:noFill/>
        </a:ln>
        <a:effectLst/>
      </c:spPr>
    </c:plotArea>
    <c:legend>
      <c:legendPos val="b"/>
      <c:layout>
        <c:manualLayout>
          <c:xMode val="edge"/>
          <c:yMode val="edge"/>
          <c:x val="1.7546064814814816E-2"/>
          <c:y val="0.76943095238095227"/>
          <c:w val="0.92669027777777779"/>
          <c:h val="0.20033095238095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'Index 2010-2019'!$K$68</c:f>
              <c:strCache>
                <c:ptCount val="1"/>
                <c:pt idx="0">
                  <c:v>Trade, Employment and Taxes</c:v>
                </c:pt>
              </c:strCache>
            </c:strRef>
          </c:tx>
          <c:spPr>
            <a:solidFill>
              <a:schemeClr val="accent1"/>
            </a:solidFill>
            <a:ln>
              <a:noFill/>
            </a:ln>
            <a:effectLst/>
          </c:spPr>
          <c:invertIfNegative val="0"/>
          <c:cat>
            <c:numRef>
              <c:f>'Index 2010-2019'!$J$69:$J$78</c:f>
              <c:numCache>
                <c:formatCode>0_ ;\-0\ </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2010-2019'!$K$69:$K$78</c:f>
              <c:numCache>
                <c:formatCode>0%</c:formatCode>
                <c:ptCount val="10"/>
                <c:pt idx="0">
                  <c:v>6.8958289166917472E-2</c:v>
                </c:pt>
                <c:pt idx="1">
                  <c:v>8.6827727890440395E-2</c:v>
                </c:pt>
                <c:pt idx="2">
                  <c:v>5.5164707421583671E-2</c:v>
                </c:pt>
                <c:pt idx="3">
                  <c:v>0.10833255775684393</c:v>
                </c:pt>
                <c:pt idx="4">
                  <c:v>0.10944317618656568</c:v>
                </c:pt>
                <c:pt idx="5">
                  <c:v>0.11524704649687896</c:v>
                </c:pt>
                <c:pt idx="6">
                  <c:v>0.11923518553511807</c:v>
                </c:pt>
                <c:pt idx="7">
                  <c:v>0.12470172798217015</c:v>
                </c:pt>
                <c:pt idx="8">
                  <c:v>0.12289983853631584</c:v>
                </c:pt>
                <c:pt idx="9">
                  <c:v>0.11237951930173769</c:v>
                </c:pt>
              </c:numCache>
            </c:numRef>
          </c:val>
          <c:extLst>
            <c:ext xmlns:c16="http://schemas.microsoft.com/office/drawing/2014/chart" uri="{C3380CC4-5D6E-409C-BE32-E72D297353CC}">
              <c16:uniqueId val="{00000000-0BDE-4C8D-ABD8-176E0965D30A}"/>
            </c:ext>
          </c:extLst>
        </c:ser>
        <c:ser>
          <c:idx val="1"/>
          <c:order val="1"/>
          <c:tx>
            <c:strRef>
              <c:f>'Index 2010-2019'!$L$68</c:f>
              <c:strCache>
                <c:ptCount val="1"/>
                <c:pt idx="0">
                  <c:v>Movement of people and Services</c:v>
                </c:pt>
              </c:strCache>
            </c:strRef>
          </c:tx>
          <c:spPr>
            <a:solidFill>
              <a:schemeClr val="accent2"/>
            </a:solidFill>
            <a:ln>
              <a:noFill/>
            </a:ln>
            <a:effectLst/>
          </c:spPr>
          <c:invertIfNegative val="0"/>
          <c:cat>
            <c:numRef>
              <c:f>'Index 2010-2019'!$J$69:$J$78</c:f>
              <c:numCache>
                <c:formatCode>0_ ;\-0\ </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2010-2019'!$L$69:$L$78</c:f>
              <c:numCache>
                <c:formatCode>0%</c:formatCode>
                <c:ptCount val="10"/>
                <c:pt idx="0">
                  <c:v>5.5414402308444036E-2</c:v>
                </c:pt>
                <c:pt idx="1">
                  <c:v>4.7559597552651635E-2</c:v>
                </c:pt>
                <c:pt idx="2">
                  <c:v>8.3381015996375818E-2</c:v>
                </c:pt>
                <c:pt idx="3">
                  <c:v>8.0488776315268379E-2</c:v>
                </c:pt>
                <c:pt idx="4">
                  <c:v>0.10973671127968788</c:v>
                </c:pt>
                <c:pt idx="5">
                  <c:v>8.2964447418974713E-2</c:v>
                </c:pt>
                <c:pt idx="6">
                  <c:v>0.156690547035161</c:v>
                </c:pt>
                <c:pt idx="7">
                  <c:v>0.14466308752294124</c:v>
                </c:pt>
                <c:pt idx="8">
                  <c:v>0.14467137219237211</c:v>
                </c:pt>
                <c:pt idx="9">
                  <c:v>0.1300518046755611</c:v>
                </c:pt>
              </c:numCache>
            </c:numRef>
          </c:val>
          <c:extLst>
            <c:ext xmlns:c16="http://schemas.microsoft.com/office/drawing/2014/chart" uri="{C3380CC4-5D6E-409C-BE32-E72D297353CC}">
              <c16:uniqueId val="{00000001-0BDE-4C8D-ABD8-176E0965D30A}"/>
            </c:ext>
          </c:extLst>
        </c:ser>
        <c:ser>
          <c:idx val="2"/>
          <c:order val="2"/>
          <c:tx>
            <c:strRef>
              <c:f>'Index 2010-2019'!$M$68</c:f>
              <c:strCache>
                <c:ptCount val="1"/>
                <c:pt idx="0">
                  <c:v>Resources and infrastructure</c:v>
                </c:pt>
              </c:strCache>
            </c:strRef>
          </c:tx>
          <c:spPr>
            <a:solidFill>
              <a:schemeClr val="accent3"/>
            </a:solidFill>
            <a:ln>
              <a:noFill/>
            </a:ln>
            <a:effectLst/>
          </c:spPr>
          <c:invertIfNegative val="0"/>
          <c:cat>
            <c:numRef>
              <c:f>'Index 2010-2019'!$J$69:$J$78</c:f>
              <c:numCache>
                <c:formatCode>0_ ;\-0\ </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2010-2019'!$M$69:$M$78</c:f>
              <c:numCache>
                <c:formatCode>0%</c:formatCode>
                <c:ptCount val="10"/>
                <c:pt idx="0">
                  <c:v>1.8314718517939806E-2</c:v>
                </c:pt>
                <c:pt idx="1">
                  <c:v>3.0876197709197556E-2</c:v>
                </c:pt>
                <c:pt idx="2">
                  <c:v>5.9510161775746792E-2</c:v>
                </c:pt>
                <c:pt idx="3">
                  <c:v>6.6170795481146946E-2</c:v>
                </c:pt>
                <c:pt idx="4">
                  <c:v>0.11159816958468784</c:v>
                </c:pt>
                <c:pt idx="5">
                  <c:v>0.12258499441133336</c:v>
                </c:pt>
                <c:pt idx="6">
                  <c:v>0.17116545974480865</c:v>
                </c:pt>
                <c:pt idx="7">
                  <c:v>0.20398019698971714</c:v>
                </c:pt>
                <c:pt idx="8">
                  <c:v>0.21864762244602889</c:v>
                </c:pt>
                <c:pt idx="9">
                  <c:v>0.16417046765173196</c:v>
                </c:pt>
              </c:numCache>
            </c:numRef>
          </c:val>
          <c:extLst>
            <c:ext xmlns:c16="http://schemas.microsoft.com/office/drawing/2014/chart" uri="{C3380CC4-5D6E-409C-BE32-E72D297353CC}">
              <c16:uniqueId val="{00000002-0BDE-4C8D-ABD8-176E0965D30A}"/>
            </c:ext>
          </c:extLst>
        </c:ser>
        <c:ser>
          <c:idx val="3"/>
          <c:order val="3"/>
          <c:tx>
            <c:strRef>
              <c:f>'Index 2010-2019'!$N$68</c:f>
              <c:strCache>
                <c:ptCount val="1"/>
                <c:pt idx="0">
                  <c:v>Banking and money</c:v>
                </c:pt>
              </c:strCache>
            </c:strRef>
          </c:tx>
          <c:spPr>
            <a:solidFill>
              <a:schemeClr val="accent4"/>
            </a:solidFill>
            <a:ln>
              <a:noFill/>
            </a:ln>
            <a:effectLst/>
          </c:spPr>
          <c:invertIfNegative val="0"/>
          <c:cat>
            <c:numRef>
              <c:f>'Index 2010-2019'!$J$69:$J$78</c:f>
              <c:numCache>
                <c:formatCode>0_ ;\-0\ </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2010-2019'!$N$69:$N$78</c:f>
              <c:numCache>
                <c:formatCode>0%</c:formatCode>
                <c:ptCount val="10"/>
                <c:pt idx="0">
                  <c:v>6.7419446144365056E-2</c:v>
                </c:pt>
                <c:pt idx="1">
                  <c:v>3.0183259580404777E-2</c:v>
                </c:pt>
                <c:pt idx="2">
                  <c:v>7.7616910133321573E-2</c:v>
                </c:pt>
                <c:pt idx="3">
                  <c:v>9.8483015665194795E-2</c:v>
                </c:pt>
                <c:pt idx="4">
                  <c:v>8.3980282068339254E-2</c:v>
                </c:pt>
                <c:pt idx="5">
                  <c:v>9.2858858339314815E-2</c:v>
                </c:pt>
                <c:pt idx="6">
                  <c:v>0.12020785767086584</c:v>
                </c:pt>
                <c:pt idx="7">
                  <c:v>0.13631736796152819</c:v>
                </c:pt>
                <c:pt idx="8">
                  <c:v>0.13325070291949295</c:v>
                </c:pt>
                <c:pt idx="9">
                  <c:v>0.16434577603503037</c:v>
                </c:pt>
              </c:numCache>
            </c:numRef>
          </c:val>
          <c:extLst>
            <c:ext xmlns:c16="http://schemas.microsoft.com/office/drawing/2014/chart" uri="{C3380CC4-5D6E-409C-BE32-E72D297353CC}">
              <c16:uniqueId val="{00000003-0BDE-4C8D-ABD8-176E0965D30A}"/>
            </c:ext>
          </c:extLst>
        </c:ser>
        <c:ser>
          <c:idx val="4"/>
          <c:order val="4"/>
          <c:tx>
            <c:strRef>
              <c:f>'Index 2010-2019'!$O$68</c:f>
              <c:strCache>
                <c:ptCount val="1"/>
                <c:pt idx="0">
                  <c:v> Wealth and Standard of living</c:v>
                </c:pt>
              </c:strCache>
            </c:strRef>
          </c:tx>
          <c:spPr>
            <a:solidFill>
              <a:schemeClr val="accent5"/>
            </a:solidFill>
            <a:ln>
              <a:noFill/>
            </a:ln>
            <a:effectLst/>
          </c:spPr>
          <c:invertIfNegative val="0"/>
          <c:cat>
            <c:numRef>
              <c:f>'Index 2010-2019'!$J$69:$J$78</c:f>
              <c:numCache>
                <c:formatCode>0_ ;\-0\ </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2010-2019'!$O$69:$O$78</c:f>
              <c:numCache>
                <c:formatCode>0%</c:formatCode>
                <c:ptCount val="10"/>
                <c:pt idx="0">
                  <c:v>9.4303080386000451E-2</c:v>
                </c:pt>
                <c:pt idx="1">
                  <c:v>0.1339899840332418</c:v>
                </c:pt>
                <c:pt idx="2">
                  <c:v>0.14457001170017078</c:v>
                </c:pt>
                <c:pt idx="3">
                  <c:v>0.13402481396061536</c:v>
                </c:pt>
                <c:pt idx="4">
                  <c:v>7.0768283351849717E-2</c:v>
                </c:pt>
                <c:pt idx="5">
                  <c:v>5.1469170688693812E-2</c:v>
                </c:pt>
                <c:pt idx="6">
                  <c:v>8.5683679975143812E-2</c:v>
                </c:pt>
                <c:pt idx="7">
                  <c:v>5.9775243039593431E-2</c:v>
                </c:pt>
                <c:pt idx="8">
                  <c:v>5.3301653233841111E-2</c:v>
                </c:pt>
                <c:pt idx="9">
                  <c:v>2.9838126451801492E-2</c:v>
                </c:pt>
              </c:numCache>
            </c:numRef>
          </c:val>
          <c:extLst>
            <c:ext xmlns:c16="http://schemas.microsoft.com/office/drawing/2014/chart" uri="{C3380CC4-5D6E-409C-BE32-E72D297353CC}">
              <c16:uniqueId val="{00000004-0BDE-4C8D-ABD8-176E0965D30A}"/>
            </c:ext>
          </c:extLst>
        </c:ser>
        <c:dLbls>
          <c:showLegendKey val="0"/>
          <c:showVal val="0"/>
          <c:showCatName val="0"/>
          <c:showSerName val="0"/>
          <c:showPercent val="0"/>
          <c:showBubbleSize val="0"/>
        </c:dLbls>
        <c:gapWidth val="150"/>
        <c:overlap val="100"/>
        <c:axId val="353060543"/>
        <c:axId val="353050975"/>
      </c:barChart>
      <c:catAx>
        <c:axId val="353060543"/>
        <c:scaling>
          <c:orientation val="minMax"/>
        </c:scaling>
        <c:delete val="0"/>
        <c:axPos val="b"/>
        <c:numFmt formatCode="0_ ;\-0\ "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53050975"/>
        <c:crosses val="autoZero"/>
        <c:auto val="1"/>
        <c:lblAlgn val="ctr"/>
        <c:lblOffset val="100"/>
        <c:noMultiLvlLbl val="0"/>
      </c:catAx>
      <c:valAx>
        <c:axId val="3530509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53060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109407681655689"/>
          <c:y val="0.19844975363994993"/>
          <c:w val="0.3378116146077767"/>
          <c:h val="0.57732140876756599"/>
        </c:manualLayout>
      </c:layout>
      <c:radarChart>
        <c:radarStyle val="marker"/>
        <c:varyColors val="0"/>
        <c:ser>
          <c:idx val="0"/>
          <c:order val="0"/>
          <c:tx>
            <c:strRef>
              <c:f>'Index 2010-2019'!$G$69</c:f>
              <c:strCache>
                <c:ptCount val="1"/>
                <c:pt idx="0">
                  <c:v>2019</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'Index 2010-2019'!$F$70:$F$74</c:f>
              <c:strCache>
                <c:ptCount val="5"/>
                <c:pt idx="0">
                  <c:v>Trade, Employment and Taxes</c:v>
                </c:pt>
                <c:pt idx="1">
                  <c:v>Movement of people and Services</c:v>
                </c:pt>
                <c:pt idx="2">
                  <c:v>Resources and infrastructure</c:v>
                </c:pt>
                <c:pt idx="3">
                  <c:v>Banking and money</c:v>
                </c:pt>
                <c:pt idx="4">
                  <c:v> Wealth and Standard of living</c:v>
                </c:pt>
              </c:strCache>
            </c:strRef>
          </c:cat>
          <c:val>
            <c:numRef>
              <c:f>'Index 2010-2019'!$G$70:$G$74</c:f>
              <c:numCache>
                <c:formatCode>0%</c:formatCode>
                <c:ptCount val="5"/>
                <c:pt idx="0">
                  <c:v>0.61857676976348375</c:v>
                </c:pt>
                <c:pt idx="1">
                  <c:v>0.61827442185944492</c:v>
                </c:pt>
                <c:pt idx="2">
                  <c:v>0.70654322397997182</c:v>
                </c:pt>
                <c:pt idx="3">
                  <c:v>0.80355141571047461</c:v>
                </c:pt>
                <c:pt idx="4">
                  <c:v>0.17439233748303071</c:v>
                </c:pt>
              </c:numCache>
            </c:numRef>
          </c:val>
          <c:extLst>
            <c:ext xmlns:c16="http://schemas.microsoft.com/office/drawing/2014/chart" uri="{C3380CC4-5D6E-409C-BE32-E72D297353CC}">
              <c16:uniqueId val="{00000000-A135-4C67-A190-8FFF5F1029EA}"/>
            </c:ext>
          </c:extLst>
        </c:ser>
        <c:ser>
          <c:idx val="1"/>
          <c:order val="1"/>
          <c:tx>
            <c:strRef>
              <c:f>'Index 2010-2019'!$H$69</c:f>
              <c:strCache>
                <c:ptCount val="1"/>
                <c:pt idx="0">
                  <c:v>2015</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'Index 2010-2019'!$F$70:$F$74</c:f>
              <c:strCache>
                <c:ptCount val="5"/>
                <c:pt idx="0">
                  <c:v>Trade, Employment and Taxes</c:v>
                </c:pt>
                <c:pt idx="1">
                  <c:v>Movement of people and Services</c:v>
                </c:pt>
                <c:pt idx="2">
                  <c:v>Resources and infrastructure</c:v>
                </c:pt>
                <c:pt idx="3">
                  <c:v>Banking and money</c:v>
                </c:pt>
                <c:pt idx="4">
                  <c:v> Wealth and Standard of living</c:v>
                </c:pt>
              </c:strCache>
            </c:strRef>
          </c:cat>
          <c:val>
            <c:numRef>
              <c:f>'Index 2010-2019'!$H$70:$H$74</c:f>
              <c:numCache>
                <c:formatCode>0%</c:formatCode>
                <c:ptCount val="5"/>
                <c:pt idx="0">
                  <c:v>0.6343606574380416</c:v>
                </c:pt>
                <c:pt idx="1">
                  <c:v>0.39441817736262486</c:v>
                </c:pt>
                <c:pt idx="2">
                  <c:v>0.52757111800818191</c:v>
                </c:pt>
                <c:pt idx="3">
                  <c:v>0.45402363772288379</c:v>
                </c:pt>
                <c:pt idx="4">
                  <c:v>0.30081744573384511</c:v>
                </c:pt>
              </c:numCache>
            </c:numRef>
          </c:val>
          <c:extLst>
            <c:ext xmlns:c16="http://schemas.microsoft.com/office/drawing/2014/chart" uri="{C3380CC4-5D6E-409C-BE32-E72D297353CC}">
              <c16:uniqueId val="{00000001-A135-4C67-A190-8FFF5F1029EA}"/>
            </c:ext>
          </c:extLst>
        </c:ser>
        <c:ser>
          <c:idx val="2"/>
          <c:order val="2"/>
          <c:tx>
            <c:strRef>
              <c:f>'Index 2010-2019'!$I$69</c:f>
              <c:strCache>
                <c:ptCount val="1"/>
                <c:pt idx="0">
                  <c:v>2010</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'Index 2010-2019'!$F$70:$F$74</c:f>
              <c:strCache>
                <c:ptCount val="5"/>
                <c:pt idx="0">
                  <c:v>Trade, Employment and Taxes</c:v>
                </c:pt>
                <c:pt idx="1">
                  <c:v>Movement of people and Services</c:v>
                </c:pt>
                <c:pt idx="2">
                  <c:v>Resources and infrastructure</c:v>
                </c:pt>
                <c:pt idx="3">
                  <c:v>Banking and money</c:v>
                </c:pt>
                <c:pt idx="4">
                  <c:v> Wealth and Standard of living</c:v>
                </c:pt>
              </c:strCache>
            </c:strRef>
          </c:cat>
          <c:val>
            <c:numRef>
              <c:f>'Index 2010-2019'!$I$70:$I$74</c:f>
              <c:numCache>
                <c:formatCode>0%</c:formatCode>
                <c:ptCount val="5"/>
                <c:pt idx="0">
                  <c:v>0.37957090425664836</c:v>
                </c:pt>
                <c:pt idx="1">
                  <c:v>0.26344353802249232</c:v>
                </c:pt>
                <c:pt idx="2">
                  <c:v>7.8821364481959338E-2</c:v>
                </c:pt>
                <c:pt idx="3">
                  <c:v>0.32964030291945695</c:v>
                </c:pt>
                <c:pt idx="4">
                  <c:v>0.55116512247945937</c:v>
                </c:pt>
              </c:numCache>
            </c:numRef>
          </c:val>
          <c:extLst>
            <c:ext xmlns:c16="http://schemas.microsoft.com/office/drawing/2014/chart" uri="{C3380CC4-5D6E-409C-BE32-E72D297353CC}">
              <c16:uniqueId val="{00000002-A135-4C67-A190-8FFF5F1029EA}"/>
            </c:ext>
          </c:extLst>
        </c:ser>
        <c:dLbls>
          <c:showLegendKey val="0"/>
          <c:showVal val="0"/>
          <c:showCatName val="0"/>
          <c:showSerName val="0"/>
          <c:showPercent val="0"/>
          <c:showBubbleSize val="0"/>
        </c:dLbls>
        <c:axId val="1953500815"/>
        <c:axId val="1953487503"/>
      </c:radarChart>
      <c:catAx>
        <c:axId val="1953500815"/>
        <c:scaling>
          <c:orientation val="maxMin"/>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IL"/>
          </a:p>
        </c:txPr>
        <c:crossAx val="1953487503"/>
        <c:crosses val="autoZero"/>
        <c:auto val="1"/>
        <c:lblAlgn val="ctr"/>
        <c:lblOffset val="100"/>
        <c:noMultiLvlLbl val="0"/>
      </c:catAx>
      <c:valAx>
        <c:axId val="19534875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953500815"/>
        <c:crosses val="autoZero"/>
        <c:crossBetween val="between"/>
        <c:majorUnit val="0.2"/>
      </c:valAx>
      <c:spPr>
        <a:noFill/>
        <a:ln>
          <a:noFill/>
        </a:ln>
        <a:effectLst/>
      </c:spPr>
    </c:plotArea>
    <c:legend>
      <c:legendPos val="t"/>
      <c:layout>
        <c:manualLayout>
          <c:xMode val="edge"/>
          <c:yMode val="edge"/>
          <c:x val="0.22997734554703841"/>
          <c:y val="0.85512880432199478"/>
          <c:w val="0.46639678327547968"/>
          <c:h val="8.48834206536428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'I-WBG-II'!$C$4:$C$5</c:f>
              <c:strCache>
                <c:ptCount val="2"/>
                <c:pt idx="1">
                  <c:v>IS-WBG-II 1968</c:v>
                </c:pt>
              </c:strCache>
            </c:strRef>
          </c:tx>
          <c:spPr>
            <a:ln w="28575" cap="rnd">
              <a:solidFill>
                <a:schemeClr val="accent1"/>
              </a:solidFill>
              <a:round/>
            </a:ln>
            <a:effectLst/>
          </c:spPr>
          <c:marker>
            <c:symbol val="none"/>
          </c:marker>
          <c:cat>
            <c:numRef>
              <c:f>'I-WBG-II'!$B$6:$B$57</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'I-WBG-II'!$C$6:$C$57</c:f>
              <c:numCache>
                <c:formatCode>0.00%</c:formatCode>
                <c:ptCount val="52"/>
                <c:pt idx="0">
                  <c:v>0.16473381560878195</c:v>
                </c:pt>
                <c:pt idx="1">
                  <c:v>0.1964906378150672</c:v>
                </c:pt>
                <c:pt idx="2">
                  <c:v>0.29651778671004414</c:v>
                </c:pt>
                <c:pt idx="3">
                  <c:v>0.37336949944054371</c:v>
                </c:pt>
                <c:pt idx="4">
                  <c:v>0.50333532273375303</c:v>
                </c:pt>
                <c:pt idx="5">
                  <c:v>0.59045585451193916</c:v>
                </c:pt>
                <c:pt idx="6">
                  <c:v>0.62669921499772729</c:v>
                </c:pt>
                <c:pt idx="7">
                  <c:v>0.65572793964103726</c:v>
                </c:pt>
                <c:pt idx="8">
                  <c:v>0.68670292427761892</c:v>
                </c:pt>
                <c:pt idx="9">
                  <c:v>0.6838581481898609</c:v>
                </c:pt>
                <c:pt idx="10">
                  <c:v>0.69421550350577066</c:v>
                </c:pt>
                <c:pt idx="11">
                  <c:v>0.68815538175483337</c:v>
                </c:pt>
                <c:pt idx="12">
                  <c:v>0.7505953011754094</c:v>
                </c:pt>
                <c:pt idx="13">
                  <c:v>0.76182361934912235</c:v>
                </c:pt>
                <c:pt idx="14">
                  <c:v>0.77366364343847915</c:v>
                </c:pt>
                <c:pt idx="15">
                  <c:v>0.80180558686213721</c:v>
                </c:pt>
                <c:pt idx="16">
                  <c:v>0.80505201598509846</c:v>
                </c:pt>
                <c:pt idx="17">
                  <c:v>0.77028901851804332</c:v>
                </c:pt>
                <c:pt idx="18">
                  <c:v>0.78886852826843734</c:v>
                </c:pt>
                <c:pt idx="19">
                  <c:v>0.80924939349255864</c:v>
                </c:pt>
                <c:pt idx="20">
                  <c:v>0.72073787572680204</c:v>
                </c:pt>
                <c:pt idx="21">
                  <c:v>0.65118894655415582</c:v>
                </c:pt>
                <c:pt idx="22">
                  <c:v>0.72106060174554887</c:v>
                </c:pt>
                <c:pt idx="23">
                  <c:v>0.68619644120525236</c:v>
                </c:pt>
                <c:pt idx="24">
                  <c:v>0.75227857619418925</c:v>
                </c:pt>
                <c:pt idx="25">
                  <c:v>0.6730119138859666</c:v>
                </c:pt>
                <c:pt idx="26">
                  <c:v>0.60532633354531573</c:v>
                </c:pt>
                <c:pt idx="27">
                  <c:v>0.57983070951264304</c:v>
                </c:pt>
                <c:pt idx="28">
                  <c:v>0.52186240249160143</c:v>
                </c:pt>
                <c:pt idx="29">
                  <c:v>0.54260488970153442</c:v>
                </c:pt>
                <c:pt idx="30">
                  <c:v>0.60423612374077162</c:v>
                </c:pt>
                <c:pt idx="31">
                  <c:v>0.5555086168910901</c:v>
                </c:pt>
                <c:pt idx="32">
                  <c:v>0.49379654003712792</c:v>
                </c:pt>
                <c:pt idx="33">
                  <c:v>0.38030544360591922</c:v>
                </c:pt>
                <c:pt idx="34">
                  <c:v>0.34301845040531931</c:v>
                </c:pt>
                <c:pt idx="35">
                  <c:v>0.37083113466002993</c:v>
                </c:pt>
                <c:pt idx="36">
                  <c:v>0.41152276290287559</c:v>
                </c:pt>
                <c:pt idx="37">
                  <c:v>0.43664685056521058</c:v>
                </c:pt>
                <c:pt idx="38">
                  <c:v>0.43057434175488157</c:v>
                </c:pt>
                <c:pt idx="39">
                  <c:v>0.42538155341302086</c:v>
                </c:pt>
                <c:pt idx="40">
                  <c:v>0.4721687113271808</c:v>
                </c:pt>
                <c:pt idx="41">
                  <c:v>0.45936054418316263</c:v>
                </c:pt>
                <c:pt idx="42">
                  <c:v>0.42976831270012528</c:v>
                </c:pt>
                <c:pt idx="43">
                  <c:v>0.43565905556128015</c:v>
                </c:pt>
                <c:pt idx="44">
                  <c:v>0.44583315082544717</c:v>
                </c:pt>
                <c:pt idx="45">
                  <c:v>0.46709492333417668</c:v>
                </c:pt>
                <c:pt idx="46">
                  <c:v>0.44638863505217063</c:v>
                </c:pt>
                <c:pt idx="47">
                  <c:v>0.41217907553434652</c:v>
                </c:pt>
                <c:pt idx="48">
                  <c:v>0.42896216852320534</c:v>
                </c:pt>
                <c:pt idx="49">
                  <c:v>0.41143896338935182</c:v>
                </c:pt>
                <c:pt idx="50">
                  <c:v>0.40386468452850299</c:v>
                </c:pt>
                <c:pt idx="51">
                  <c:v>0.39275202571519863</c:v>
                </c:pt>
              </c:numCache>
            </c:numRef>
          </c:val>
          <c:smooth val="0"/>
          <c:extLst>
            <c:ext xmlns:c16="http://schemas.microsoft.com/office/drawing/2014/chart" uri="{C3380CC4-5D6E-409C-BE32-E72D297353CC}">
              <c16:uniqueId val="{00000000-A143-44A2-BB2C-54AA4D6AFC31}"/>
            </c:ext>
          </c:extLst>
        </c:ser>
        <c:ser>
          <c:idx val="1"/>
          <c:order val="1"/>
          <c:tx>
            <c:strRef>
              <c:f>'I-WBG-II'!$D$4:$D$5</c:f>
              <c:strCache>
                <c:ptCount val="2"/>
                <c:pt idx="1">
                  <c:v>ISR-WBG-II 1996</c:v>
                </c:pt>
              </c:strCache>
            </c:strRef>
          </c:tx>
          <c:spPr>
            <a:ln w="28575" cap="rnd">
              <a:solidFill>
                <a:schemeClr val="accent2"/>
              </a:solidFill>
              <a:round/>
            </a:ln>
            <a:effectLst/>
          </c:spPr>
          <c:marker>
            <c:symbol val="none"/>
          </c:marker>
          <c:cat>
            <c:numRef>
              <c:f>'I-WBG-II'!$B$6:$B$57</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'I-WBG-II'!$D$6:$D$57</c:f>
              <c:numCache>
                <c:formatCode>General</c:formatCode>
                <c:ptCount val="52"/>
                <c:pt idx="28" formatCode="0%">
                  <c:v>0.55574329731777483</c:v>
                </c:pt>
                <c:pt idx="29" formatCode="0%">
                  <c:v>0.58364640754424224</c:v>
                </c:pt>
                <c:pt idx="30" formatCode="0%">
                  <c:v>0.67895507515585019</c:v>
                </c:pt>
                <c:pt idx="31" formatCode="0%">
                  <c:v>0.70224578386055247</c:v>
                </c:pt>
                <c:pt idx="32" formatCode="0%">
                  <c:v>0.62015382554374965</c:v>
                </c:pt>
                <c:pt idx="33" formatCode="0%">
                  <c:v>0.40410454708347182</c:v>
                </c:pt>
                <c:pt idx="34" formatCode="0%">
                  <c:v>0.34945361702288413</c:v>
                </c:pt>
                <c:pt idx="35" formatCode="0%">
                  <c:v>0.43815329043996698</c:v>
                </c:pt>
                <c:pt idx="36" formatCode="0%">
                  <c:v>0.49436725124837411</c:v>
                </c:pt>
                <c:pt idx="37" formatCode="0%">
                  <c:v>0.44140939819996561</c:v>
                </c:pt>
                <c:pt idx="38" formatCode="0%">
                  <c:v>0.44564409847202779</c:v>
                </c:pt>
                <c:pt idx="39" formatCode="0%">
                  <c:v>0.46300682507914437</c:v>
                </c:pt>
                <c:pt idx="40" formatCode="0%">
                  <c:v>0.42530515042401357</c:v>
                </c:pt>
                <c:pt idx="41" formatCode="0%">
                  <c:v>0.47458103363451498</c:v>
                </c:pt>
                <c:pt idx="42" formatCode="0%">
                  <c:v>0.43628934805103647</c:v>
                </c:pt>
                <c:pt idx="43" formatCode="0%">
                  <c:v>0.43221032644982726</c:v>
                </c:pt>
                <c:pt idx="44" formatCode="0%">
                  <c:v>0.47530042843776216</c:v>
                </c:pt>
                <c:pt idx="45" formatCode="0%">
                  <c:v>0.53825203017494794</c:v>
                </c:pt>
                <c:pt idx="46" formatCode="0%">
                  <c:v>0.471329286396175</c:v>
                </c:pt>
                <c:pt idx="47" formatCode="0%">
                  <c:v>0.40767588285975465</c:v>
                </c:pt>
                <c:pt idx="48" formatCode="0%">
                  <c:v>0.52743319616834983</c:v>
                </c:pt>
                <c:pt idx="49" formatCode="0%">
                  <c:v>0.49249727658585701</c:v>
                </c:pt>
                <c:pt idx="50" formatCode="0%">
                  <c:v>0.45816002475778905</c:v>
                </c:pt>
                <c:pt idx="51" formatCode="0%">
                  <c:v>0.45221107302203323</c:v>
                </c:pt>
              </c:numCache>
            </c:numRef>
          </c:val>
          <c:smooth val="0"/>
          <c:extLst>
            <c:ext xmlns:c16="http://schemas.microsoft.com/office/drawing/2014/chart" uri="{C3380CC4-5D6E-409C-BE32-E72D297353CC}">
              <c16:uniqueId val="{00000001-A143-44A2-BB2C-54AA4D6AFC31}"/>
            </c:ext>
          </c:extLst>
        </c:ser>
        <c:ser>
          <c:idx val="2"/>
          <c:order val="2"/>
          <c:tx>
            <c:strRef>
              <c:f>'I-WBG-II'!$E$4:$E$5</c:f>
              <c:strCache>
                <c:ptCount val="2"/>
                <c:pt idx="1">
                  <c:v>ISR-WBG-II 2000</c:v>
                </c:pt>
              </c:strCache>
            </c:strRef>
          </c:tx>
          <c:spPr>
            <a:ln w="28575" cap="rnd">
              <a:solidFill>
                <a:schemeClr val="accent3"/>
              </a:solidFill>
              <a:round/>
            </a:ln>
            <a:effectLst/>
          </c:spPr>
          <c:marker>
            <c:symbol val="none"/>
          </c:marker>
          <c:cat>
            <c:numRef>
              <c:f>'I-WBG-II'!$B$6:$B$57</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'I-WBG-II'!$E$6:$E$57</c:f>
              <c:numCache>
                <c:formatCode>General</c:formatCode>
                <c:ptCount val="52"/>
                <c:pt idx="32" formatCode="0.00%">
                  <c:v>0.46604795534344212</c:v>
                </c:pt>
                <c:pt idx="33" formatCode="0.00%">
                  <c:v>0.33112975305728226</c:v>
                </c:pt>
                <c:pt idx="34" formatCode="0.00%">
                  <c:v>0.27750348454891205</c:v>
                </c:pt>
                <c:pt idx="35" formatCode="0.00%">
                  <c:v>0.3300001496053187</c:v>
                </c:pt>
                <c:pt idx="36" formatCode="0.00%">
                  <c:v>0.38754934739274621</c:v>
                </c:pt>
                <c:pt idx="37" formatCode="0.00%">
                  <c:v>0.43266741704591505</c:v>
                </c:pt>
                <c:pt idx="38" formatCode="0.00%">
                  <c:v>0.41400043969841871</c:v>
                </c:pt>
                <c:pt idx="39" formatCode="0.00%">
                  <c:v>0.4051850544471427</c:v>
                </c:pt>
                <c:pt idx="40" formatCode="0.00%">
                  <c:v>0.44754610576250331</c:v>
                </c:pt>
                <c:pt idx="41" formatCode="0.00%">
                  <c:v>0.4767411984810962</c:v>
                </c:pt>
                <c:pt idx="42" formatCode="0.00%">
                  <c:v>0.47722417645042464</c:v>
                </c:pt>
                <c:pt idx="43" formatCode="0.00%">
                  <c:v>0.4923290582498967</c:v>
                </c:pt>
                <c:pt idx="44" formatCode="0.00%">
                  <c:v>0.5364547089811611</c:v>
                </c:pt>
                <c:pt idx="45" formatCode="0.00%">
                  <c:v>0.58889008311759494</c:v>
                </c:pt>
                <c:pt idx="46" formatCode="0.00%">
                  <c:v>0.56124321541141475</c:v>
                </c:pt>
                <c:pt idx="47" formatCode="0.00%">
                  <c:v>0.51696492644271275</c:v>
                </c:pt>
                <c:pt idx="48" formatCode="0.00%">
                  <c:v>0.62887813056520181</c:v>
                </c:pt>
                <c:pt idx="49" formatCode="0.00%">
                  <c:v>0.6259023957690758</c:v>
                </c:pt>
                <c:pt idx="50" formatCode="0.00%">
                  <c:v>0.62487697702871081</c:v>
                </c:pt>
                <c:pt idx="51" formatCode="0.00%">
                  <c:v>0.59763365660317069</c:v>
                </c:pt>
              </c:numCache>
            </c:numRef>
          </c:val>
          <c:smooth val="0"/>
          <c:extLst>
            <c:ext xmlns:c16="http://schemas.microsoft.com/office/drawing/2014/chart" uri="{C3380CC4-5D6E-409C-BE32-E72D297353CC}">
              <c16:uniqueId val="{00000002-A143-44A2-BB2C-54AA4D6AFC31}"/>
            </c:ext>
          </c:extLst>
        </c:ser>
        <c:ser>
          <c:idx val="3"/>
          <c:order val="3"/>
          <c:tx>
            <c:strRef>
              <c:f>'I-WBG-II'!$F$4:$F$5</c:f>
              <c:strCache>
                <c:ptCount val="2"/>
                <c:pt idx="1">
                  <c:v>ISR-WBG-II 2010</c:v>
                </c:pt>
              </c:strCache>
            </c:strRef>
          </c:tx>
          <c:spPr>
            <a:ln w="28575" cap="rnd">
              <a:solidFill>
                <a:schemeClr val="accent4"/>
              </a:solidFill>
              <a:round/>
            </a:ln>
            <a:effectLst/>
          </c:spPr>
          <c:marker>
            <c:symbol val="none"/>
          </c:marker>
          <c:cat>
            <c:numRef>
              <c:f>'I-WBG-II'!$B$6:$B$57</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'I-WBG-II'!$F$6:$F$57</c:f>
              <c:numCache>
                <c:formatCode>General</c:formatCode>
                <c:ptCount val="52"/>
                <c:pt idx="42" formatCode="0%">
                  <c:v>0.30440993652366682</c:v>
                </c:pt>
                <c:pt idx="43" formatCode="0%">
                  <c:v>0.32943676676593614</c:v>
                </c:pt>
                <c:pt idx="44" formatCode="0%">
                  <c:v>0.42024280702719863</c:v>
                </c:pt>
                <c:pt idx="45" formatCode="0%">
                  <c:v>0.48749995917906941</c:v>
                </c:pt>
                <c:pt idx="46" formatCode="0%">
                  <c:v>0.48552662247113032</c:v>
                </c:pt>
                <c:pt idx="47" formatCode="0%">
                  <c:v>0.46512451735519567</c:v>
                </c:pt>
                <c:pt idx="48" formatCode="0%">
                  <c:v>0.65298272996109741</c:v>
                </c:pt>
                <c:pt idx="49" formatCode="0%">
                  <c:v>0.66943762349595015</c:v>
                </c:pt>
                <c:pt idx="50" formatCode="0%">
                  <c:v>0.6727711893280508</c:v>
                </c:pt>
                <c:pt idx="51" formatCode="0%">
                  <c:v>0.60078569411586269</c:v>
                </c:pt>
              </c:numCache>
            </c:numRef>
          </c:val>
          <c:smooth val="0"/>
          <c:extLst>
            <c:ext xmlns:c16="http://schemas.microsoft.com/office/drawing/2014/chart" uri="{C3380CC4-5D6E-409C-BE32-E72D297353CC}">
              <c16:uniqueId val="{00000003-A143-44A2-BB2C-54AA4D6AFC31}"/>
            </c:ext>
          </c:extLst>
        </c:ser>
        <c:dLbls>
          <c:showLegendKey val="0"/>
          <c:showVal val="0"/>
          <c:showCatName val="0"/>
          <c:showSerName val="0"/>
          <c:showPercent val="0"/>
          <c:showBubbleSize val="0"/>
        </c:dLbls>
        <c:smooth val="0"/>
        <c:axId val="289612864"/>
        <c:axId val="289615776"/>
      </c:lineChart>
      <c:catAx>
        <c:axId val="28961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89615776"/>
        <c:crosses val="autoZero"/>
        <c:auto val="1"/>
        <c:lblAlgn val="ctr"/>
        <c:lblOffset val="100"/>
        <c:noMultiLvlLbl val="0"/>
      </c:catAx>
      <c:valAx>
        <c:axId val="2896157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8961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'I-WBG-II'!$C$5</c:f>
              <c:strCache>
                <c:ptCount val="1"/>
                <c:pt idx="0">
                  <c:v>IS-WBG-II 1968</c:v>
                </c:pt>
              </c:strCache>
            </c:strRef>
          </c:tx>
          <c:spPr>
            <a:ln w="28575" cap="rnd">
              <a:solidFill>
                <a:schemeClr val="accent1"/>
              </a:solidFill>
              <a:round/>
            </a:ln>
            <a:effectLst/>
          </c:spPr>
          <c:marker>
            <c:symbol val="none"/>
          </c:marker>
          <c:cat>
            <c:numRef>
              <c:f>'I-WBG-II'!$B$6:$B$57</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'I-WBG-II'!$C$6:$C$33</c:f>
              <c:numCache>
                <c:formatCode>0.00%</c:formatCode>
                <c:ptCount val="28"/>
                <c:pt idx="0">
                  <c:v>0.16473381560878195</c:v>
                </c:pt>
                <c:pt idx="1">
                  <c:v>0.1964906378150672</c:v>
                </c:pt>
                <c:pt idx="2">
                  <c:v>0.29651778671004414</c:v>
                </c:pt>
                <c:pt idx="3">
                  <c:v>0.37336949944054371</c:v>
                </c:pt>
                <c:pt idx="4">
                  <c:v>0.50333532273375303</c:v>
                </c:pt>
                <c:pt idx="5">
                  <c:v>0.59045585451193916</c:v>
                </c:pt>
                <c:pt idx="6">
                  <c:v>0.62669921499772729</c:v>
                </c:pt>
                <c:pt idx="7">
                  <c:v>0.65572793964103726</c:v>
                </c:pt>
                <c:pt idx="8">
                  <c:v>0.68670292427761892</c:v>
                </c:pt>
                <c:pt idx="9">
                  <c:v>0.6838581481898609</c:v>
                </c:pt>
                <c:pt idx="10">
                  <c:v>0.69421550350577066</c:v>
                </c:pt>
                <c:pt idx="11">
                  <c:v>0.68815538175483337</c:v>
                </c:pt>
                <c:pt idx="12">
                  <c:v>0.7505953011754094</c:v>
                </c:pt>
                <c:pt idx="13">
                  <c:v>0.76182361934912235</c:v>
                </c:pt>
                <c:pt idx="14">
                  <c:v>0.77366364343847915</c:v>
                </c:pt>
                <c:pt idx="15">
                  <c:v>0.80180558686213721</c:v>
                </c:pt>
                <c:pt idx="16">
                  <c:v>0.80505201598509846</c:v>
                </c:pt>
                <c:pt idx="17">
                  <c:v>0.77028901851804332</c:v>
                </c:pt>
                <c:pt idx="18">
                  <c:v>0.78886852826843734</c:v>
                </c:pt>
                <c:pt idx="19">
                  <c:v>0.80924939349255864</c:v>
                </c:pt>
                <c:pt idx="20">
                  <c:v>0.72073787572680204</c:v>
                </c:pt>
                <c:pt idx="21">
                  <c:v>0.65118894655415582</c:v>
                </c:pt>
                <c:pt idx="22">
                  <c:v>0.72106060174554887</c:v>
                </c:pt>
                <c:pt idx="23">
                  <c:v>0.68619644120525236</c:v>
                </c:pt>
                <c:pt idx="24">
                  <c:v>0.75227857619418925</c:v>
                </c:pt>
                <c:pt idx="25">
                  <c:v>0.6730119138859666</c:v>
                </c:pt>
                <c:pt idx="26">
                  <c:v>0.60532633354531573</c:v>
                </c:pt>
                <c:pt idx="27">
                  <c:v>0.57983070951264304</c:v>
                </c:pt>
              </c:numCache>
            </c:numRef>
          </c:val>
          <c:smooth val="0"/>
          <c:extLst>
            <c:ext xmlns:c16="http://schemas.microsoft.com/office/drawing/2014/chart" uri="{C3380CC4-5D6E-409C-BE32-E72D297353CC}">
              <c16:uniqueId val="{00000000-3519-4ABB-9090-44049E4C07DD}"/>
            </c:ext>
          </c:extLst>
        </c:ser>
        <c:ser>
          <c:idx val="1"/>
          <c:order val="1"/>
          <c:tx>
            <c:strRef>
              <c:f>'I-WBG-II'!$D$5</c:f>
              <c:strCache>
                <c:ptCount val="1"/>
                <c:pt idx="0">
                  <c:v>ISR-WBG-II 1996</c:v>
                </c:pt>
              </c:strCache>
            </c:strRef>
          </c:tx>
          <c:spPr>
            <a:ln w="28575" cap="rnd">
              <a:solidFill>
                <a:schemeClr val="accent2"/>
              </a:solidFill>
              <a:round/>
            </a:ln>
            <a:effectLst/>
          </c:spPr>
          <c:marker>
            <c:symbol val="none"/>
          </c:marker>
          <c:cat>
            <c:numRef>
              <c:f>'I-WBG-II'!$B$6:$B$57</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'I-WBG-II'!$D$6:$D$37</c:f>
              <c:numCache>
                <c:formatCode>General</c:formatCode>
                <c:ptCount val="32"/>
                <c:pt idx="28" formatCode="0%">
                  <c:v>0.55574329731777483</c:v>
                </c:pt>
                <c:pt idx="29" formatCode="0%">
                  <c:v>0.58364640754424224</c:v>
                </c:pt>
                <c:pt idx="30" formatCode="0%">
                  <c:v>0.67895507515585019</c:v>
                </c:pt>
                <c:pt idx="31" formatCode="0%">
                  <c:v>0.70224578386055247</c:v>
                </c:pt>
              </c:numCache>
            </c:numRef>
          </c:val>
          <c:smooth val="0"/>
          <c:extLst>
            <c:ext xmlns:c16="http://schemas.microsoft.com/office/drawing/2014/chart" uri="{C3380CC4-5D6E-409C-BE32-E72D297353CC}">
              <c16:uniqueId val="{00000001-3519-4ABB-9090-44049E4C07DD}"/>
            </c:ext>
          </c:extLst>
        </c:ser>
        <c:ser>
          <c:idx val="2"/>
          <c:order val="2"/>
          <c:tx>
            <c:strRef>
              <c:f>'I-WBG-II'!$E$5</c:f>
              <c:strCache>
                <c:ptCount val="1"/>
                <c:pt idx="0">
                  <c:v>ISR-WBG-II 2000</c:v>
                </c:pt>
              </c:strCache>
            </c:strRef>
          </c:tx>
          <c:spPr>
            <a:ln w="28575" cap="rnd">
              <a:solidFill>
                <a:schemeClr val="accent3"/>
              </a:solidFill>
              <a:round/>
            </a:ln>
            <a:effectLst/>
          </c:spPr>
          <c:marker>
            <c:symbol val="none"/>
          </c:marker>
          <c:cat>
            <c:numRef>
              <c:f>'I-WBG-II'!$B$6:$B$57</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'I-WBG-II'!$E$6:$E$47</c:f>
              <c:numCache>
                <c:formatCode>General</c:formatCode>
                <c:ptCount val="42"/>
                <c:pt idx="32" formatCode="0.00%">
                  <c:v>0.46604795534344212</c:v>
                </c:pt>
                <c:pt idx="33" formatCode="0.00%">
                  <c:v>0.33112975305728226</c:v>
                </c:pt>
                <c:pt idx="34" formatCode="0.00%">
                  <c:v>0.27750348454891205</c:v>
                </c:pt>
                <c:pt idx="35" formatCode="0.00%">
                  <c:v>0.3300001496053187</c:v>
                </c:pt>
                <c:pt idx="36" formatCode="0.00%">
                  <c:v>0.38754934739274621</c:v>
                </c:pt>
                <c:pt idx="37" formatCode="0.00%">
                  <c:v>0.43266741704591505</c:v>
                </c:pt>
                <c:pt idx="38" formatCode="0.00%">
                  <c:v>0.41400043969841871</c:v>
                </c:pt>
                <c:pt idx="39" formatCode="0.00%">
                  <c:v>0.4051850544471427</c:v>
                </c:pt>
                <c:pt idx="40" formatCode="0.00%">
                  <c:v>0.44754610576250331</c:v>
                </c:pt>
                <c:pt idx="41" formatCode="0.00%">
                  <c:v>0.4767411984810962</c:v>
                </c:pt>
              </c:numCache>
            </c:numRef>
          </c:val>
          <c:smooth val="0"/>
          <c:extLst>
            <c:ext xmlns:c16="http://schemas.microsoft.com/office/drawing/2014/chart" uri="{C3380CC4-5D6E-409C-BE32-E72D297353CC}">
              <c16:uniqueId val="{00000002-3519-4ABB-9090-44049E4C07DD}"/>
            </c:ext>
          </c:extLst>
        </c:ser>
        <c:ser>
          <c:idx val="3"/>
          <c:order val="3"/>
          <c:tx>
            <c:strRef>
              <c:f>'I-WBG-II'!$F$5</c:f>
              <c:strCache>
                <c:ptCount val="1"/>
                <c:pt idx="0">
                  <c:v>ISR-WBG-II 2010</c:v>
                </c:pt>
              </c:strCache>
            </c:strRef>
          </c:tx>
          <c:spPr>
            <a:ln w="28575" cap="rnd">
              <a:solidFill>
                <a:schemeClr val="accent4"/>
              </a:solidFill>
              <a:round/>
            </a:ln>
            <a:effectLst/>
          </c:spPr>
          <c:marker>
            <c:symbol val="none"/>
          </c:marker>
          <c:cat>
            <c:numRef>
              <c:f>'I-WBG-II'!$B$6:$B$57</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'I-WBG-II'!$F$6:$F$57</c:f>
              <c:numCache>
                <c:formatCode>General</c:formatCode>
                <c:ptCount val="52"/>
                <c:pt idx="42" formatCode="0%">
                  <c:v>0.30440993652366682</c:v>
                </c:pt>
                <c:pt idx="43" formatCode="0%">
                  <c:v>0.32943676676593614</c:v>
                </c:pt>
                <c:pt idx="44" formatCode="0%">
                  <c:v>0.42024280702719863</c:v>
                </c:pt>
                <c:pt idx="45" formatCode="0%">
                  <c:v>0.48749995917906941</c:v>
                </c:pt>
                <c:pt idx="46" formatCode="0%">
                  <c:v>0.48552662247113032</c:v>
                </c:pt>
                <c:pt idx="47" formatCode="0%">
                  <c:v>0.46512451735519567</c:v>
                </c:pt>
                <c:pt idx="48" formatCode="0%">
                  <c:v>0.65298272996109741</c:v>
                </c:pt>
                <c:pt idx="49" formatCode="0%">
                  <c:v>0.66943762349595015</c:v>
                </c:pt>
                <c:pt idx="50" formatCode="0%">
                  <c:v>0.6727711893280508</c:v>
                </c:pt>
                <c:pt idx="51" formatCode="0%">
                  <c:v>0.60078569411586269</c:v>
                </c:pt>
              </c:numCache>
            </c:numRef>
          </c:val>
          <c:smooth val="0"/>
          <c:extLst>
            <c:ext xmlns:c16="http://schemas.microsoft.com/office/drawing/2014/chart" uri="{C3380CC4-5D6E-409C-BE32-E72D297353CC}">
              <c16:uniqueId val="{00000003-3519-4ABB-9090-44049E4C07DD}"/>
            </c:ext>
          </c:extLst>
        </c:ser>
        <c:dLbls>
          <c:showLegendKey val="0"/>
          <c:showVal val="0"/>
          <c:showCatName val="0"/>
          <c:showSerName val="0"/>
          <c:showPercent val="0"/>
          <c:showBubbleSize val="0"/>
        </c:dLbls>
        <c:smooth val="0"/>
        <c:axId val="289608288"/>
        <c:axId val="289611616"/>
      </c:lineChart>
      <c:catAx>
        <c:axId val="28960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89611616"/>
        <c:crosses val="autoZero"/>
        <c:auto val="1"/>
        <c:lblAlgn val="ctr"/>
        <c:lblOffset val="100"/>
        <c:noMultiLvlLbl val="0"/>
      </c:catAx>
      <c:valAx>
        <c:axId val="2896116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8960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Imports of goods from Israel </a:t>
            </a:r>
            <a:endParaRPr lang="he-I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 and SG data.xlsx]גרפים'!$D$238</c:f>
              <c:strCache>
                <c:ptCount val="1"/>
                <c:pt idx="0">
                  <c:v>WB</c:v>
                </c:pt>
              </c:strCache>
            </c:strRef>
          </c:tx>
          <c:spPr>
            <a:ln w="28575" cap="rnd">
              <a:solidFill>
                <a:schemeClr val="accent2"/>
              </a:solidFill>
              <a:round/>
            </a:ln>
            <a:effectLst/>
          </c:spPr>
          <c:marker>
            <c:symbol val="none"/>
          </c:marker>
          <c:cat>
            <c:numRef>
              <c:f>'[WB and SG data.xlsx]גרפים'!$C$239:$C$251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'[WB and SG data.xlsx]גרפים'!$D$239:$D$251</c:f>
              <c:numCache>
                <c:formatCode>0%</c:formatCode>
                <c:ptCount val="13"/>
                <c:pt idx="0">
                  <c:v>0.76965123185052509</c:v>
                </c:pt>
                <c:pt idx="1">
                  <c:v>0.71461251432138595</c:v>
                </c:pt>
                <c:pt idx="2">
                  <c:v>0.6963132724029466</c:v>
                </c:pt>
                <c:pt idx="3">
                  <c:v>0.68253081533976778</c:v>
                </c:pt>
                <c:pt idx="4">
                  <c:v>0.68725375270203792</c:v>
                </c:pt>
                <c:pt idx="5">
                  <c:v>0.68418721937244353</c:v>
                </c:pt>
                <c:pt idx="6">
                  <c:v>0.65708729656380294</c:v>
                </c:pt>
                <c:pt idx="7">
                  <c:v>0.52400130360168051</c:v>
                </c:pt>
                <c:pt idx="8">
                  <c:v>0.52244926195060803</c:v>
                </c:pt>
                <c:pt idx="9">
                  <c:v>0.50804193956813903</c:v>
                </c:pt>
                <c:pt idx="10">
                  <c:v>0.50271743038369288</c:v>
                </c:pt>
                <c:pt idx="11">
                  <c:v>0.49356347992961513</c:v>
                </c:pt>
                <c:pt idx="12">
                  <c:v>0.4759923897137649</c:v>
                </c:pt>
              </c:numCache>
            </c:numRef>
          </c:val>
          <c:smooth val="0"/>
          <c:extLst>
            <c:ext xmlns:c16="http://schemas.microsoft.com/office/drawing/2014/chart" uri="{C3380CC4-5D6E-409C-BE32-E72D297353CC}">
              <c16:uniqueId val="{00000000-F457-4E4B-93F4-299195752827}"/>
            </c:ext>
          </c:extLst>
        </c:ser>
        <c:ser>
          <c:idx val="1"/>
          <c:order val="1"/>
          <c:tx>
            <c:strRef>
              <c:f>'[WB and SG data.xlsx]גרפים'!$E$238</c:f>
              <c:strCache>
                <c:ptCount val="1"/>
                <c:pt idx="0">
                  <c:v>GS</c:v>
                </c:pt>
              </c:strCache>
            </c:strRef>
          </c:tx>
          <c:spPr>
            <a:ln w="28575" cap="rnd">
              <a:solidFill>
                <a:schemeClr val="accent1"/>
              </a:solidFill>
              <a:round/>
            </a:ln>
            <a:effectLst/>
          </c:spPr>
          <c:marker>
            <c:symbol val="none"/>
          </c:marker>
          <c:cat>
            <c:numRef>
              <c:f>'[WB and SG data.xlsx]גרפים'!$C$239:$C$251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'[WB and SG data.xlsx]גרפים'!$E$239:$E$251</c:f>
              <c:numCache>
                <c:formatCode>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c:ext xmlns:c16="http://schemas.microsoft.com/office/drawing/2014/chart" uri="{C3380CC4-5D6E-409C-BE32-E72D297353CC}">
              <c16:uniqueId val="{00000001-F457-4E4B-93F4-299195752827}"/>
            </c:ext>
          </c:extLst>
        </c:ser>
        <c:ser>
          <c:idx val="2"/>
          <c:order val="2"/>
          <c:tx>
            <c:strRef>
              <c:f>'[WB and SG data.xlsx]גרפים'!$F$238</c:f>
              <c:strCache>
                <c:ptCount val="1"/>
                <c:pt idx="0">
                  <c:v>WBG</c:v>
                </c:pt>
              </c:strCache>
            </c:strRef>
          </c:tx>
          <c:spPr>
            <a:ln w="28575" cap="rnd">
              <a:solidFill>
                <a:schemeClr val="accent6"/>
              </a:solidFill>
              <a:prstDash val="dash"/>
              <a:round/>
            </a:ln>
            <a:effectLst/>
          </c:spPr>
          <c:marker>
            <c:symbol val="none"/>
          </c:marker>
          <c:cat>
            <c:numRef>
              <c:f>'[WB and SG data.xlsx]גרפים'!$C$239:$C$251</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'[WB and SG data.xlsx]גרפים'!$F$239:$F$251</c:f>
              <c:numCache>
                <c:formatCode>0%</c:formatCode>
                <c:ptCount val="13"/>
                <c:pt idx="0">
                  <c:v>0.80672671162165288</c:v>
                </c:pt>
                <c:pt idx="1">
                  <c:v>0.73626406239126907</c:v>
                </c:pt>
                <c:pt idx="2">
                  <c:v>0.72586435562633966</c:v>
                </c:pt>
                <c:pt idx="3">
                  <c:v>0.70673797785438641</c:v>
                </c:pt>
                <c:pt idx="4">
                  <c:v>0.7133371994859099</c:v>
                </c:pt>
                <c:pt idx="5">
                  <c:v>0.71551006857581545</c:v>
                </c:pt>
                <c:pt idx="6">
                  <c:v>0.69648433044158964</c:v>
                </c:pt>
                <c:pt idx="7">
                  <c:v>0.58265162937029513</c:v>
                </c:pt>
                <c:pt idx="8">
                  <c:v>0.58227543212075494</c:v>
                </c:pt>
                <c:pt idx="9">
                  <c:v>0.55259091066715293</c:v>
                </c:pt>
                <c:pt idx="10">
                  <c:v>0.55138700596599144</c:v>
                </c:pt>
                <c:pt idx="11">
                  <c:v>0.54982202581715278</c:v>
                </c:pt>
                <c:pt idx="12">
                  <c:v>0.55128322002199903</c:v>
                </c:pt>
              </c:numCache>
            </c:numRef>
          </c:val>
          <c:smooth val="0"/>
          <c:extLst>
            <c:ext xmlns:c16="http://schemas.microsoft.com/office/drawing/2014/chart" uri="{C3380CC4-5D6E-409C-BE32-E72D297353CC}">
              <c16:uniqueId val="{00000002-F457-4E4B-93F4-299195752827}"/>
            </c:ext>
          </c:extLst>
        </c:ser>
        <c:dLbls>
          <c:showLegendKey val="0"/>
          <c:showVal val="0"/>
          <c:showCatName val="0"/>
          <c:showSerName val="0"/>
          <c:showPercent val="0"/>
          <c:showBubbleSize val="0"/>
        </c:dLbls>
        <c:smooth val="0"/>
        <c:axId val="1783220927"/>
        <c:axId val="1783214687"/>
      </c:lineChart>
      <c:catAx>
        <c:axId val="178322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783214687"/>
        <c:crosses val="autoZero"/>
        <c:auto val="1"/>
        <c:lblAlgn val="ctr"/>
        <c:lblOffset val="100"/>
        <c:noMultiLvlLbl val="0"/>
      </c:catAx>
      <c:valAx>
        <c:axId val="17832146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78322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'[14.1.2022 קובץ ראשי .xlsb]Per Capita'!$A$35</c:f>
              <c:strCache>
                <c:ptCount val="1"/>
                <c:pt idx="0">
                  <c:v>West Bank</c:v>
                </c:pt>
              </c:strCache>
            </c:strRef>
          </c:tx>
          <c:spPr>
            <a:ln w="28575" cap="rnd">
              <a:solidFill>
                <a:schemeClr val="accent1"/>
              </a:solidFill>
              <a:round/>
            </a:ln>
            <a:effectLst/>
          </c:spPr>
          <c:marker>
            <c:symbol val="none"/>
          </c:marker>
          <c:cat>
            <c:numRef>
              <c:f>'[14.1.2022 קובץ ראשי .xlsb]Per Capita'!$B$34:$AB$34</c:f>
              <c:numCache>
                <c:formatCode>General</c:formatCode>
                <c:ptCount val="27"/>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numCache>
            </c:numRef>
          </c:cat>
          <c:val>
            <c:numRef>
              <c:f>'[14.1.2022 קובץ ראשי .xlsb]Per Capita'!$B$35:$AB$35</c:f>
              <c:numCache>
                <c:formatCode>General</c:formatCode>
                <c:ptCount val="27"/>
                <c:pt idx="0">
                  <c:v>1566.2</c:v>
                </c:pt>
                <c:pt idx="1">
                  <c:v>1725.6</c:v>
                </c:pt>
                <c:pt idx="2">
                  <c:v>1688.8</c:v>
                </c:pt>
                <c:pt idx="3">
                  <c:v>1805.8</c:v>
                </c:pt>
                <c:pt idx="4">
                  <c:v>1963.9</c:v>
                </c:pt>
                <c:pt idx="5">
                  <c:v>2053.5</c:v>
                </c:pt>
                <c:pt idx="6">
                  <c:v>1928.9</c:v>
                </c:pt>
                <c:pt idx="7">
                  <c:v>1667.5</c:v>
                </c:pt>
                <c:pt idx="8">
                  <c:v>1385.8</c:v>
                </c:pt>
                <c:pt idx="9">
                  <c:v>1454.1</c:v>
                </c:pt>
                <c:pt idx="10">
                  <c:v>1667.6</c:v>
                </c:pt>
                <c:pt idx="11">
                  <c:v>1782.8</c:v>
                </c:pt>
                <c:pt idx="12">
                  <c:v>1984.9</c:v>
                </c:pt>
                <c:pt idx="13">
                  <c:v>2250.4</c:v>
                </c:pt>
                <c:pt idx="14">
                  <c:v>2931.8</c:v>
                </c:pt>
                <c:pt idx="15">
                  <c:v>3082.7</c:v>
                </c:pt>
                <c:pt idx="16">
                  <c:v>3575.1</c:v>
                </c:pt>
                <c:pt idx="17">
                  <c:v>4147.3</c:v>
                </c:pt>
                <c:pt idx="18">
                  <c:v>4455.3</c:v>
                </c:pt>
                <c:pt idx="19">
                  <c:v>4909.3999999999996</c:v>
                </c:pt>
                <c:pt idx="20">
                  <c:v>5176.8</c:v>
                </c:pt>
                <c:pt idx="21">
                  <c:v>5144.3</c:v>
                </c:pt>
                <c:pt idx="22">
                  <c:v>5561.4</c:v>
                </c:pt>
                <c:pt idx="23">
                  <c:v>5856.4</c:v>
                </c:pt>
                <c:pt idx="24">
                  <c:v>6084.2</c:v>
                </c:pt>
                <c:pt idx="25">
                  <c:v>6355.7</c:v>
                </c:pt>
                <c:pt idx="26">
                  <c:v>5532.6</c:v>
                </c:pt>
              </c:numCache>
            </c:numRef>
          </c:val>
          <c:smooth val="0"/>
          <c:extLst>
            <c:ext xmlns:c16="http://schemas.microsoft.com/office/drawing/2014/chart" uri="{C3380CC4-5D6E-409C-BE32-E72D297353CC}">
              <c16:uniqueId val="{00000000-7B18-4E7C-85A5-03F8855FDEA9}"/>
            </c:ext>
          </c:extLst>
        </c:ser>
        <c:ser>
          <c:idx val="1"/>
          <c:order val="1"/>
          <c:tx>
            <c:strRef>
              <c:f>'[14.1.2022 קובץ ראשי .xlsb]Per Capita'!$A$36</c:f>
              <c:strCache>
                <c:ptCount val="1"/>
                <c:pt idx="0">
                  <c:v>Gaza Strip</c:v>
                </c:pt>
              </c:strCache>
            </c:strRef>
          </c:tx>
          <c:spPr>
            <a:ln w="28575" cap="rnd">
              <a:solidFill>
                <a:schemeClr val="accent2"/>
              </a:solidFill>
              <a:round/>
            </a:ln>
            <a:effectLst/>
          </c:spPr>
          <c:marker>
            <c:symbol val="none"/>
          </c:marker>
          <c:cat>
            <c:numRef>
              <c:f>'[14.1.2022 קובץ ראשי .xlsb]Per Capita'!$B$34:$AB$34</c:f>
              <c:numCache>
                <c:formatCode>General</c:formatCode>
                <c:ptCount val="27"/>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numCache>
            </c:numRef>
          </c:cat>
          <c:val>
            <c:numRef>
              <c:f>'[14.1.2022 קובץ ראשי .xlsb]Per Capita'!$B$36:$AB$36</c:f>
              <c:numCache>
                <c:formatCode>General</c:formatCode>
                <c:ptCount val="27"/>
                <c:pt idx="0">
                  <c:v>1383.7</c:v>
                </c:pt>
                <c:pt idx="1">
                  <c:v>1446</c:v>
                </c:pt>
                <c:pt idx="2">
                  <c:v>1386.6</c:v>
                </c:pt>
                <c:pt idx="3">
                  <c:v>1434.9</c:v>
                </c:pt>
                <c:pt idx="4">
                  <c:v>1537.2</c:v>
                </c:pt>
                <c:pt idx="5">
                  <c:v>1471.7</c:v>
                </c:pt>
                <c:pt idx="6">
                  <c:v>1335.1</c:v>
                </c:pt>
                <c:pt idx="7">
                  <c:v>1185.4000000000001</c:v>
                </c:pt>
                <c:pt idx="8">
                  <c:v>1051.9000000000001</c:v>
                </c:pt>
                <c:pt idx="9">
                  <c:v>1216.5999999999999</c:v>
                </c:pt>
                <c:pt idx="10">
                  <c:v>1283.5</c:v>
                </c:pt>
                <c:pt idx="11">
                  <c:v>1487.8</c:v>
                </c:pt>
                <c:pt idx="12">
                  <c:v>1276.3</c:v>
                </c:pt>
                <c:pt idx="13">
                  <c:v>1178.8</c:v>
                </c:pt>
                <c:pt idx="14">
                  <c:v>1168.9000000000001</c:v>
                </c:pt>
                <c:pt idx="15">
                  <c:v>1241.4000000000001</c:v>
                </c:pt>
                <c:pt idx="16">
                  <c:v>1469.4</c:v>
                </c:pt>
                <c:pt idx="17">
                  <c:v>1533.8</c:v>
                </c:pt>
                <c:pt idx="18">
                  <c:v>1617.7</c:v>
                </c:pt>
                <c:pt idx="19">
                  <c:v>1757.4</c:v>
                </c:pt>
                <c:pt idx="20">
                  <c:v>1657</c:v>
                </c:pt>
                <c:pt idx="21">
                  <c:v>1637.7</c:v>
                </c:pt>
                <c:pt idx="22">
                  <c:v>1766.4</c:v>
                </c:pt>
                <c:pt idx="23">
                  <c:v>1683.5</c:v>
                </c:pt>
                <c:pt idx="24">
                  <c:v>1564.8</c:v>
                </c:pt>
                <c:pt idx="25">
                  <c:v>1524.2</c:v>
                </c:pt>
                <c:pt idx="26">
                  <c:v>1357.7</c:v>
                </c:pt>
              </c:numCache>
            </c:numRef>
          </c:val>
          <c:smooth val="0"/>
          <c:extLst>
            <c:ext xmlns:c16="http://schemas.microsoft.com/office/drawing/2014/chart" uri="{C3380CC4-5D6E-409C-BE32-E72D297353CC}">
              <c16:uniqueId val="{00000001-7B18-4E7C-85A5-03F8855FDEA9}"/>
            </c:ext>
          </c:extLst>
        </c:ser>
        <c:dLbls>
          <c:showLegendKey val="0"/>
          <c:showVal val="0"/>
          <c:showCatName val="0"/>
          <c:showSerName val="0"/>
          <c:showPercent val="0"/>
          <c:showBubbleSize val="0"/>
        </c:dLbls>
        <c:smooth val="0"/>
        <c:axId val="1190135119"/>
        <c:axId val="1190139279"/>
      </c:lineChart>
      <c:catAx>
        <c:axId val="119013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190139279"/>
        <c:crosses val="autoZero"/>
        <c:auto val="1"/>
        <c:lblAlgn val="ctr"/>
        <c:lblOffset val="100"/>
        <c:noMultiLvlLbl val="0"/>
      </c:catAx>
      <c:valAx>
        <c:axId val="1190139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19013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Exports of goods to Israel </a:t>
            </a:r>
            <a:endParaRPr lang="he-I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 and SG data.xlsx]גרפים'!$Z$213</c:f>
              <c:strCache>
                <c:ptCount val="1"/>
                <c:pt idx="0">
                  <c:v>GS</c:v>
                </c:pt>
              </c:strCache>
            </c:strRef>
          </c:tx>
          <c:spPr>
            <a:ln w="28575" cap="rnd">
              <a:solidFill>
                <a:schemeClr val="accent1"/>
              </a:solidFill>
              <a:round/>
            </a:ln>
            <a:effectLst/>
          </c:spPr>
          <c:marker>
            <c:symbol val="none"/>
          </c:marker>
          <c:cat>
            <c:numRef>
              <c:f>'[WB and SG data.xlsx]גרפים'!$Y$214:$Y$226</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'[WB and SG data.xlsx]גרפים'!$Z$214:$Z$226</c:f>
              <c:numCache>
                <c:formatCode>0%</c:formatCode>
                <c:ptCount val="13"/>
                <c:pt idx="0">
                  <c:v>0</c:v>
                </c:pt>
                <c:pt idx="1">
                  <c:v>0</c:v>
                </c:pt>
                <c:pt idx="2">
                  <c:v>0</c:v>
                </c:pt>
                <c:pt idx="3">
                  <c:v>0</c:v>
                </c:pt>
                <c:pt idx="4">
                  <c:v>0</c:v>
                </c:pt>
                <c:pt idx="5">
                  <c:v>0</c:v>
                </c:pt>
                <c:pt idx="6">
                  <c:v>0</c:v>
                </c:pt>
                <c:pt idx="7">
                  <c:v>0.48269581056466304</c:v>
                </c:pt>
                <c:pt idx="8">
                  <c:v>0.65242494226327941</c:v>
                </c:pt>
                <c:pt idx="9">
                  <c:v>0.64951321279554941</c:v>
                </c:pt>
                <c:pt idx="10">
                  <c:v>0.80202312138728327</c:v>
                </c:pt>
                <c:pt idx="11">
                  <c:v>0.62411347517730498</c:v>
                </c:pt>
                <c:pt idx="12">
                  <c:v>0.78658536585365857</c:v>
                </c:pt>
              </c:numCache>
            </c:numRef>
          </c:val>
          <c:smooth val="0"/>
          <c:extLst>
            <c:ext xmlns:c16="http://schemas.microsoft.com/office/drawing/2014/chart" uri="{C3380CC4-5D6E-409C-BE32-E72D297353CC}">
              <c16:uniqueId val="{00000000-2140-488B-B0F0-73BFA3678037}"/>
            </c:ext>
          </c:extLst>
        </c:ser>
        <c:ser>
          <c:idx val="1"/>
          <c:order val="1"/>
          <c:tx>
            <c:strRef>
              <c:f>'[WB and SG data.xlsx]גרפים'!$AA$213</c:f>
              <c:strCache>
                <c:ptCount val="1"/>
                <c:pt idx="0">
                  <c:v>WB</c:v>
                </c:pt>
              </c:strCache>
            </c:strRef>
          </c:tx>
          <c:spPr>
            <a:ln w="28575" cap="rnd">
              <a:solidFill>
                <a:schemeClr val="accent2"/>
              </a:solidFill>
              <a:round/>
            </a:ln>
            <a:effectLst/>
          </c:spPr>
          <c:marker>
            <c:symbol val="none"/>
          </c:marker>
          <c:cat>
            <c:numRef>
              <c:f>'[WB and SG data.xlsx]גרפים'!$Y$214:$Y$226</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'[WB and SG data.xlsx]גרפים'!$AA$214:$AA$226</c:f>
              <c:numCache>
                <c:formatCode>0%</c:formatCode>
                <c:ptCount val="13"/>
                <c:pt idx="0">
                  <c:v>0.89430842938306288</c:v>
                </c:pt>
                <c:pt idx="1">
                  <c:v>0.87506069437057943</c:v>
                </c:pt>
                <c:pt idx="2">
                  <c:v>0.85357621357487201</c:v>
                </c:pt>
                <c:pt idx="3">
                  <c:v>0.86770984304101184</c:v>
                </c:pt>
                <c:pt idx="4">
                  <c:v>0.82190086853925726</c:v>
                </c:pt>
                <c:pt idx="5">
                  <c:v>0.87463198562512978</c:v>
                </c:pt>
                <c:pt idx="6">
                  <c:v>0.84444297104205557</c:v>
                </c:pt>
                <c:pt idx="7">
                  <c:v>0.84051730949471282</c:v>
                </c:pt>
                <c:pt idx="8">
                  <c:v>0.83278861109434055</c:v>
                </c:pt>
                <c:pt idx="9">
                  <c:v>0.8264694356910619</c:v>
                </c:pt>
                <c:pt idx="10">
                  <c:v>0.83760395134688104</c:v>
                </c:pt>
                <c:pt idx="11">
                  <c:v>0.81506942058730847</c:v>
                </c:pt>
                <c:pt idx="12">
                  <c:v>0.84088443312512084</c:v>
                </c:pt>
              </c:numCache>
            </c:numRef>
          </c:val>
          <c:smooth val="0"/>
          <c:extLst>
            <c:ext xmlns:c16="http://schemas.microsoft.com/office/drawing/2014/chart" uri="{C3380CC4-5D6E-409C-BE32-E72D297353CC}">
              <c16:uniqueId val="{00000001-2140-488B-B0F0-73BFA3678037}"/>
            </c:ext>
          </c:extLst>
        </c:ser>
        <c:ser>
          <c:idx val="2"/>
          <c:order val="2"/>
          <c:tx>
            <c:strRef>
              <c:f>'[WB and SG data.xlsx]גרפים'!$AB$213</c:f>
              <c:strCache>
                <c:ptCount val="1"/>
                <c:pt idx="0">
                  <c:v>WBG</c:v>
                </c:pt>
              </c:strCache>
            </c:strRef>
          </c:tx>
          <c:spPr>
            <a:ln w="28575" cap="rnd">
              <a:solidFill>
                <a:schemeClr val="accent6"/>
              </a:solidFill>
              <a:prstDash val="dash"/>
              <a:round/>
            </a:ln>
            <a:effectLst/>
          </c:spPr>
          <c:marker>
            <c:symbol val="none"/>
          </c:marker>
          <c:cat>
            <c:numRef>
              <c:f>'[WB and SG data.xlsx]גרפים'!$Y$214:$Y$226</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'[WB and SG data.xlsx]גרפים'!$AB$214:$AB$226</c:f>
              <c:numCache>
                <c:formatCode>0%</c:formatCode>
                <c:ptCount val="13"/>
                <c:pt idx="0">
                  <c:v>0.89430842938306054</c:v>
                </c:pt>
                <c:pt idx="1">
                  <c:v>0.87487132158688963</c:v>
                </c:pt>
                <c:pt idx="2">
                  <c:v>0.84862639157533448</c:v>
                </c:pt>
                <c:pt idx="3">
                  <c:v>0.86346650085109466</c:v>
                </c:pt>
                <c:pt idx="4">
                  <c:v>0.81698093673699734</c:v>
                </c:pt>
                <c:pt idx="5">
                  <c:v>0.87312976330813552</c:v>
                </c:pt>
                <c:pt idx="6">
                  <c:v>0.83874711602091501</c:v>
                </c:pt>
                <c:pt idx="7">
                  <c:v>0.83902402803800169</c:v>
                </c:pt>
                <c:pt idx="8">
                  <c:v>0.83196194544836533</c:v>
                </c:pt>
                <c:pt idx="9">
                  <c:v>0.82508270827535335</c:v>
                </c:pt>
                <c:pt idx="10">
                  <c:v>0.83716978703256717</c:v>
                </c:pt>
                <c:pt idx="11">
                  <c:v>0.81315082835493446</c:v>
                </c:pt>
                <c:pt idx="12">
                  <c:v>0.84015986449885172</c:v>
                </c:pt>
              </c:numCache>
            </c:numRef>
          </c:val>
          <c:smooth val="0"/>
          <c:extLst>
            <c:ext xmlns:c16="http://schemas.microsoft.com/office/drawing/2014/chart" uri="{C3380CC4-5D6E-409C-BE32-E72D297353CC}">
              <c16:uniqueId val="{00000002-2140-488B-B0F0-73BFA3678037}"/>
            </c:ext>
          </c:extLst>
        </c:ser>
        <c:dLbls>
          <c:showLegendKey val="0"/>
          <c:showVal val="0"/>
          <c:showCatName val="0"/>
          <c:showSerName val="0"/>
          <c:showPercent val="0"/>
          <c:showBubbleSize val="0"/>
        </c:dLbls>
        <c:smooth val="0"/>
        <c:axId val="1919554079"/>
        <c:axId val="1919547007"/>
      </c:lineChart>
      <c:catAx>
        <c:axId val="191955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919547007"/>
        <c:crosses val="autoZero"/>
        <c:auto val="1"/>
        <c:lblAlgn val="ctr"/>
        <c:lblOffset val="100"/>
        <c:noMultiLvlLbl val="0"/>
      </c:catAx>
      <c:valAx>
        <c:axId val="19195470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919554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Palestinians employed in Israel </a:t>
            </a:r>
            <a:endParaRPr lang="he-I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 and SG data.xlsx]גרפים'!$M$64</c:f>
              <c:strCache>
                <c:ptCount val="1"/>
                <c:pt idx="0">
                  <c:v>GS</c:v>
                </c:pt>
              </c:strCache>
            </c:strRef>
          </c:tx>
          <c:spPr>
            <a:ln w="28575" cap="rnd">
              <a:solidFill>
                <a:schemeClr val="accent1"/>
              </a:solidFill>
              <a:round/>
            </a:ln>
            <a:effectLst/>
          </c:spPr>
          <c:marker>
            <c:symbol val="none"/>
          </c:marker>
          <c:cat>
            <c:numRef>
              <c:f>'[WB and SG data.xlsx]גרפים'!$L$65:$L$114</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cat>
          <c:val>
            <c:numRef>
              <c:f>'[WB and SG data.xlsx]גרפים'!$M$65:$M$114</c:f>
              <c:numCache>
                <c:formatCode>0%</c:formatCode>
                <c:ptCount val="50"/>
                <c:pt idx="0">
                  <c:v>9.8305084745762703E-2</c:v>
                </c:pt>
                <c:pt idx="1">
                  <c:v>0.13764510779436154</c:v>
                </c:pt>
                <c:pt idx="2">
                  <c:v>0.27527216174183516</c:v>
                </c:pt>
                <c:pt idx="3">
                  <c:v>0.32658959537572257</c:v>
                </c:pt>
                <c:pt idx="4">
                  <c:v>0.35579514824797842</c:v>
                </c:pt>
                <c:pt idx="5">
                  <c:v>0.35270270270270271</c:v>
                </c:pt>
                <c:pt idx="6">
                  <c:v>0.36118251928020567</c:v>
                </c:pt>
                <c:pt idx="7">
                  <c:v>0.35101010101010099</c:v>
                </c:pt>
                <c:pt idx="8">
                  <c:v>0.38452237001209189</c:v>
                </c:pt>
                <c:pt idx="9">
                  <c:v>0.42387332521315468</c:v>
                </c:pt>
                <c:pt idx="10">
                  <c:v>0.41816009557945039</c:v>
                </c:pt>
                <c:pt idx="11">
                  <c:v>0.42640186915887851</c:v>
                </c:pt>
                <c:pt idx="12">
                  <c:v>0.43024618991793673</c:v>
                </c:pt>
                <c:pt idx="13">
                  <c:v>0.45538818076477405</c:v>
                </c:pt>
                <c:pt idx="14">
                  <c:v>0.45073612684031711</c:v>
                </c:pt>
                <c:pt idx="15">
                  <c:v>0.4609460946094609</c:v>
                </c:pt>
                <c:pt idx="16">
                  <c:v>0.43313373253493009</c:v>
                </c:pt>
                <c:pt idx="17">
                  <c:v>0.45954045954045958</c:v>
                </c:pt>
                <c:pt idx="18">
                  <c:v>0.45904954499494433</c:v>
                </c:pt>
                <c:pt idx="19">
                  <c:v>0.40020263424518743</c:v>
                </c:pt>
                <c:pt idx="20">
                  <c:v>0.41482194417709334</c:v>
                </c:pt>
                <c:pt idx="21">
                  <c:v>0.38811513463324043</c:v>
                </c:pt>
                <c:pt idx="22">
                  <c:v>0.37576285963382738</c:v>
                </c:pt>
                <c:pt idx="23">
                  <c:v>0.26480836236933797</c:v>
                </c:pt>
                <c:pt idx="24">
                  <c:v>0.14890418118466897</c:v>
                </c:pt>
                <c:pt idx="25">
                  <c:v>3.3000000000000002E-2</c:v>
                </c:pt>
                <c:pt idx="26">
                  <c:v>8.1000000000000003E-2</c:v>
                </c:pt>
                <c:pt idx="27">
                  <c:v>0.11</c:v>
                </c:pt>
                <c:pt idx="28">
                  <c:v>0.16200000000000001</c:v>
                </c:pt>
                <c:pt idx="29">
                  <c:v>0.157</c:v>
                </c:pt>
                <c:pt idx="30">
                  <c:v>0.126</c:v>
                </c:pt>
                <c:pt idx="31">
                  <c:v>1.8000000000000002E-2</c:v>
                </c:pt>
                <c:pt idx="32">
                  <c:v>2.5000000000000001E-2</c:v>
                </c:pt>
                <c:pt idx="33">
                  <c:v>3.1E-2</c:v>
                </c:pt>
                <c:pt idx="34">
                  <c:v>1.1000000000000001E-2</c:v>
                </c:pt>
                <c:pt idx="35">
                  <c:v>4.0000000000000001E-3</c:v>
                </c:pt>
                <c:pt idx="36">
                  <c:v>1E-3</c:v>
                </c:pt>
                <c:pt idx="37">
                  <c:v>0</c:v>
                </c:pt>
                <c:pt idx="38">
                  <c:v>0</c:v>
                </c:pt>
                <c:pt idx="39">
                  <c:v>0</c:v>
                </c:pt>
                <c:pt idx="40">
                  <c:v>0</c:v>
                </c:pt>
                <c:pt idx="41">
                  <c:v>0</c:v>
                </c:pt>
                <c:pt idx="42">
                  <c:v>0</c:v>
                </c:pt>
                <c:pt idx="43">
                  <c:v>0</c:v>
                </c:pt>
                <c:pt idx="44">
                  <c:v>0</c:v>
                </c:pt>
                <c:pt idx="45">
                  <c:v>0</c:v>
                </c:pt>
                <c:pt idx="46">
                  <c:v>0</c:v>
                </c:pt>
                <c:pt idx="47">
                  <c:v>0</c:v>
                </c:pt>
                <c:pt idx="48">
                  <c:v>0</c:v>
                </c:pt>
                <c:pt idx="49">
                  <c:v>0</c:v>
                </c:pt>
              </c:numCache>
            </c:numRef>
          </c:val>
          <c:smooth val="0"/>
          <c:extLst>
            <c:ext xmlns:c16="http://schemas.microsoft.com/office/drawing/2014/chart" uri="{C3380CC4-5D6E-409C-BE32-E72D297353CC}">
              <c16:uniqueId val="{00000000-C0CC-4C5E-BA32-20F6DD7934CA}"/>
            </c:ext>
          </c:extLst>
        </c:ser>
        <c:ser>
          <c:idx val="1"/>
          <c:order val="1"/>
          <c:tx>
            <c:strRef>
              <c:f>'[WB and SG data.xlsx]גרפים'!$N$64</c:f>
              <c:strCache>
                <c:ptCount val="1"/>
                <c:pt idx="0">
                  <c:v>WB</c:v>
                </c:pt>
              </c:strCache>
            </c:strRef>
          </c:tx>
          <c:spPr>
            <a:ln w="28575" cap="rnd">
              <a:solidFill>
                <a:schemeClr val="accent2"/>
              </a:solidFill>
              <a:round/>
            </a:ln>
            <a:effectLst/>
          </c:spPr>
          <c:marker>
            <c:symbol val="none"/>
          </c:marker>
          <c:cat>
            <c:numRef>
              <c:f>'[WB and SG data.xlsx]גרפים'!$L$65:$L$114</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cat>
          <c:val>
            <c:numRef>
              <c:f>'[WB and SG data.xlsx]גרפים'!$N$65:$N$114</c:f>
              <c:numCache>
                <c:formatCode>0.00%</c:formatCode>
                <c:ptCount val="50"/>
                <c:pt idx="0">
                  <c:v>0.12948381452318461</c:v>
                </c:pt>
                <c:pt idx="1">
                  <c:v>0.22079037800687284</c:v>
                </c:pt>
                <c:pt idx="2">
                  <c:v>0.28032128514056226</c:v>
                </c:pt>
                <c:pt idx="3">
                  <c:v>0.30971337579617836</c:v>
                </c:pt>
                <c:pt idx="4">
                  <c:v>0.31617647058823528</c:v>
                </c:pt>
                <c:pt idx="5">
                  <c:v>0.31073876618431068</c:v>
                </c:pt>
                <c:pt idx="6">
                  <c:v>0.29127725856697817</c:v>
                </c:pt>
                <c:pt idx="7">
                  <c:v>0.284352660841938</c:v>
                </c:pt>
                <c:pt idx="8">
                  <c:v>0.2863741339491917</c:v>
                </c:pt>
                <c:pt idx="9">
                  <c:v>0.30687022900763361</c:v>
                </c:pt>
                <c:pt idx="10">
                  <c:v>0.3087349397590361</c:v>
                </c:pt>
                <c:pt idx="11">
                  <c:v>0.30769230769230765</c:v>
                </c:pt>
                <c:pt idx="12">
                  <c:v>0.31480144404332133</c:v>
                </c:pt>
                <c:pt idx="13">
                  <c:v>0.33640226628895187</c:v>
                </c:pt>
                <c:pt idx="14">
                  <c:v>0.33559322033898303</c:v>
                </c:pt>
                <c:pt idx="15">
                  <c:v>0.31415343915343918</c:v>
                </c:pt>
                <c:pt idx="16">
                  <c:v>0.37960168980084491</c:v>
                </c:pt>
                <c:pt idx="17">
                  <c:v>0.35416666666666669</c:v>
                </c:pt>
                <c:pt idx="18">
                  <c:v>0.34972677595628415</c:v>
                </c:pt>
                <c:pt idx="19">
                  <c:v>0.36172566371681419</c:v>
                </c:pt>
                <c:pt idx="20">
                  <c:v>0.33541017653167182</c:v>
                </c:pt>
                <c:pt idx="21">
                  <c:v>0.3110740122426266</c:v>
                </c:pt>
                <c:pt idx="22">
                  <c:v>0.35434995112414469</c:v>
                </c:pt>
                <c:pt idx="23">
                  <c:v>0.26626924987580725</c:v>
                </c:pt>
                <c:pt idx="24">
                  <c:v>0.23413462493790363</c:v>
                </c:pt>
                <c:pt idx="25">
                  <c:v>0.20200000000000001</c:v>
                </c:pt>
                <c:pt idx="26">
                  <c:v>0.16600000000000001</c:v>
                </c:pt>
                <c:pt idx="27">
                  <c:v>0.19500000000000001</c:v>
                </c:pt>
                <c:pt idx="28">
                  <c:v>0.24</c:v>
                </c:pt>
                <c:pt idx="29">
                  <c:v>0.25900000000000001</c:v>
                </c:pt>
                <c:pt idx="30">
                  <c:v>0.214</c:v>
                </c:pt>
                <c:pt idx="31">
                  <c:v>0.16399999999999998</c:v>
                </c:pt>
                <c:pt idx="32">
                  <c:v>0.12</c:v>
                </c:pt>
                <c:pt idx="33">
                  <c:v>0.11199999999999999</c:v>
                </c:pt>
                <c:pt idx="34">
                  <c:v>0.107</c:v>
                </c:pt>
                <c:pt idx="35">
                  <c:v>0.129</c:v>
                </c:pt>
                <c:pt idx="36">
                  <c:v>0.11699999999999999</c:v>
                </c:pt>
                <c:pt idx="37">
                  <c:v>0.125</c:v>
                </c:pt>
                <c:pt idx="38">
                  <c:v>0.13500000000000001</c:v>
                </c:pt>
                <c:pt idx="39">
                  <c:v>0.13800000000000001</c:v>
                </c:pt>
                <c:pt idx="40">
                  <c:v>0.14199999999999999</c:v>
                </c:pt>
                <c:pt idx="41">
                  <c:v>0.14000000000000001</c:v>
                </c:pt>
                <c:pt idx="42">
                  <c:v>0.13699999999999998</c:v>
                </c:pt>
                <c:pt idx="43">
                  <c:v>0.159</c:v>
                </c:pt>
                <c:pt idx="44">
                  <c:v>0.161</c:v>
                </c:pt>
                <c:pt idx="45">
                  <c:v>0.16399999999999998</c:v>
                </c:pt>
                <c:pt idx="46">
                  <c:v>0.16899999999999998</c:v>
                </c:pt>
                <c:pt idx="47">
                  <c:v>0.184</c:v>
                </c:pt>
                <c:pt idx="48">
                  <c:v>0.182</c:v>
                </c:pt>
                <c:pt idx="49">
                  <c:v>0.17799999999999999</c:v>
                </c:pt>
              </c:numCache>
            </c:numRef>
          </c:val>
          <c:smooth val="0"/>
          <c:extLst>
            <c:ext xmlns:c16="http://schemas.microsoft.com/office/drawing/2014/chart" uri="{C3380CC4-5D6E-409C-BE32-E72D297353CC}">
              <c16:uniqueId val="{00000001-C0CC-4C5E-BA32-20F6DD7934CA}"/>
            </c:ext>
          </c:extLst>
        </c:ser>
        <c:ser>
          <c:idx val="2"/>
          <c:order val="2"/>
          <c:tx>
            <c:strRef>
              <c:f>'[WB and SG data.xlsx]גרפים'!$O$64</c:f>
              <c:strCache>
                <c:ptCount val="1"/>
                <c:pt idx="0">
                  <c:v>WBG</c:v>
                </c:pt>
              </c:strCache>
            </c:strRef>
          </c:tx>
          <c:spPr>
            <a:ln w="28575" cap="rnd">
              <a:solidFill>
                <a:schemeClr val="accent6"/>
              </a:solidFill>
              <a:prstDash val="dash"/>
              <a:round/>
            </a:ln>
            <a:effectLst/>
          </c:spPr>
          <c:marker>
            <c:symbol val="none"/>
          </c:marker>
          <c:cat>
            <c:numRef>
              <c:f>'[WB and SG data.xlsx]גרפים'!$L$65:$L$114</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cat>
          <c:val>
            <c:numRef>
              <c:f>'[WB and SG data.xlsx]גרפים'!$O$65:$O$114</c:f>
              <c:numCache>
                <c:formatCode>0%</c:formatCode>
                <c:ptCount val="50"/>
                <c:pt idx="0">
                  <c:v>0.11886901327178304</c:v>
                </c:pt>
                <c:pt idx="1">
                  <c:v>0.19241652518392757</c:v>
                </c:pt>
                <c:pt idx="2">
                  <c:v>0.27860169491525422</c:v>
                </c:pt>
                <c:pt idx="3">
                  <c:v>0.31570841889117041</c:v>
                </c:pt>
                <c:pt idx="4">
                  <c:v>0.33016175071360615</c:v>
                </c:pt>
                <c:pt idx="5">
                  <c:v>0.325864588407209</c:v>
                </c:pt>
                <c:pt idx="6">
                  <c:v>0.31765276430649858</c:v>
                </c:pt>
                <c:pt idx="7">
                  <c:v>0.31009263773768897</c:v>
                </c:pt>
                <c:pt idx="8">
                  <c:v>0.32455315145813735</c:v>
                </c:pt>
                <c:pt idx="9">
                  <c:v>0.35194744251525106</c:v>
                </c:pt>
                <c:pt idx="10">
                  <c:v>0.3510392609699769</c:v>
                </c:pt>
                <c:pt idx="11">
                  <c:v>0.35454126325495622</c:v>
                </c:pt>
                <c:pt idx="12">
                  <c:v>0.35880250223413757</c:v>
                </c:pt>
                <c:pt idx="13">
                  <c:v>0.38153846153846155</c:v>
                </c:pt>
                <c:pt idx="14">
                  <c:v>0.3787107718405428</c:v>
                </c:pt>
                <c:pt idx="15">
                  <c:v>0.36926889714993805</c:v>
                </c:pt>
                <c:pt idx="16">
                  <c:v>0.36430223592906713</c:v>
                </c:pt>
                <c:pt idx="17">
                  <c:v>0.39214980194454452</c:v>
                </c:pt>
                <c:pt idx="18">
                  <c:v>0.38808087974459032</c:v>
                </c:pt>
                <c:pt idx="19">
                  <c:v>0.37531305903398926</c:v>
                </c:pt>
                <c:pt idx="20">
                  <c:v>0.36323777403035412</c:v>
                </c:pt>
                <c:pt idx="21">
                  <c:v>0.34017391304347827</c:v>
                </c:pt>
                <c:pt idx="22">
                  <c:v>0.36204196680238016</c:v>
                </c:pt>
                <c:pt idx="23">
                  <c:v>0.2653578214059531</c:v>
                </c:pt>
                <c:pt idx="24">
                  <c:v>0.21367891070297657</c:v>
                </c:pt>
                <c:pt idx="25">
                  <c:v>0.16200000000000001</c:v>
                </c:pt>
                <c:pt idx="26">
                  <c:v>0.14099999999999999</c:v>
                </c:pt>
                <c:pt idx="27">
                  <c:v>0.17100000000000001</c:v>
                </c:pt>
                <c:pt idx="28">
                  <c:v>0.217</c:v>
                </c:pt>
                <c:pt idx="29">
                  <c:v>0.22900000000000001</c:v>
                </c:pt>
                <c:pt idx="30">
                  <c:v>0.188</c:v>
                </c:pt>
                <c:pt idx="31">
                  <c:v>0.125</c:v>
                </c:pt>
                <c:pt idx="32">
                  <c:v>9.3000000000000013E-2</c:v>
                </c:pt>
                <c:pt idx="33">
                  <c:v>8.6999999999999994E-2</c:v>
                </c:pt>
                <c:pt idx="34">
                  <c:v>0.08</c:v>
                </c:pt>
                <c:pt idx="35">
                  <c:v>9.3000000000000013E-2</c:v>
                </c:pt>
                <c:pt idx="36">
                  <c:v>8.5999999999999993E-2</c:v>
                </c:pt>
                <c:pt idx="37">
                  <c:v>8.900000000000001E-2</c:v>
                </c:pt>
                <c:pt idx="38">
                  <c:v>9.9000000000000005E-2</c:v>
                </c:pt>
                <c:pt idx="39">
                  <c:v>0.10099999999999999</c:v>
                </c:pt>
                <c:pt idx="40">
                  <c:v>0.10400000000000001</c:v>
                </c:pt>
                <c:pt idx="41">
                  <c:v>9.8000000000000004E-2</c:v>
                </c:pt>
                <c:pt idx="42">
                  <c:v>9.5000000000000001E-2</c:v>
                </c:pt>
                <c:pt idx="43">
                  <c:v>0.11</c:v>
                </c:pt>
                <c:pt idx="44">
                  <c:v>0.11599999999999999</c:v>
                </c:pt>
                <c:pt idx="45">
                  <c:v>0.115</c:v>
                </c:pt>
                <c:pt idx="46">
                  <c:v>0.11800000000000001</c:v>
                </c:pt>
                <c:pt idx="47">
                  <c:v>0.13</c:v>
                </c:pt>
                <c:pt idx="48">
                  <c:v>0.13300000000000001</c:v>
                </c:pt>
                <c:pt idx="49">
                  <c:v>0.13200000000000001</c:v>
                </c:pt>
              </c:numCache>
            </c:numRef>
          </c:val>
          <c:smooth val="0"/>
          <c:extLst>
            <c:ext xmlns:c16="http://schemas.microsoft.com/office/drawing/2014/chart" uri="{C3380CC4-5D6E-409C-BE32-E72D297353CC}">
              <c16:uniqueId val="{00000002-C0CC-4C5E-BA32-20F6DD7934CA}"/>
            </c:ext>
          </c:extLst>
        </c:ser>
        <c:dLbls>
          <c:showLegendKey val="0"/>
          <c:showVal val="0"/>
          <c:showCatName val="0"/>
          <c:showSerName val="0"/>
          <c:showPercent val="0"/>
          <c:showBubbleSize val="0"/>
        </c:dLbls>
        <c:smooth val="0"/>
        <c:axId val="1871996639"/>
        <c:axId val="1871985407"/>
      </c:lineChart>
      <c:catAx>
        <c:axId val="1871996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71985407"/>
        <c:crosses val="autoZero"/>
        <c:auto val="1"/>
        <c:lblAlgn val="ctr"/>
        <c:lblOffset val="100"/>
        <c:noMultiLvlLbl val="0"/>
      </c:catAx>
      <c:valAx>
        <c:axId val="18719854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71996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Compensation of Employees out of GNI</a:t>
            </a:r>
            <a:endParaRPr lang="he-I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'[14.1.2022 קובץ ראשי .xlsb]GDP GNI GNDI'!$A$46</c:f>
              <c:strCache>
                <c:ptCount val="1"/>
                <c:pt idx="0">
                  <c:v>WBG</c:v>
                </c:pt>
              </c:strCache>
            </c:strRef>
          </c:tx>
          <c:spPr>
            <a:ln w="28575" cap="rnd">
              <a:solidFill>
                <a:schemeClr val="accent6"/>
              </a:solidFill>
              <a:prstDash val="dash"/>
              <a:round/>
            </a:ln>
            <a:effectLst/>
          </c:spPr>
          <c:marker>
            <c:symbol val="none"/>
          </c:marker>
          <c:cat>
            <c:numRef>
              <c:f>'[14.1.2022 קובץ ראשי .xlsb]GDP GNI GNDI'!$B$45:$AA$45</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'[14.1.2022 קובץ ראשי .xlsb]GDP GNI GNDI'!$B$46:$AA$46</c:f>
              <c:numCache>
                <c:formatCode>0%</c:formatCode>
                <c:ptCount val="26"/>
                <c:pt idx="0">
                  <c:v>8.9082969432314418E-2</c:v>
                </c:pt>
                <c:pt idx="1">
                  <c:v>9.5900714554343736E-2</c:v>
                </c:pt>
                <c:pt idx="2">
                  <c:v>8.758476786645801E-2</c:v>
                </c:pt>
                <c:pt idx="3">
                  <c:v>0.10067521786874138</c:v>
                </c:pt>
                <c:pt idx="4">
                  <c:v>0.1422542567638149</c:v>
                </c:pt>
                <c:pt idx="5">
                  <c:v>0.14029850746268657</c:v>
                </c:pt>
                <c:pt idx="6">
                  <c:v>9.4498972837251755E-2</c:v>
                </c:pt>
                <c:pt idx="7">
                  <c:v>4.4486085085710309E-2</c:v>
                </c:pt>
                <c:pt idx="8">
                  <c:v>3.5896892468275626E-2</c:v>
                </c:pt>
                <c:pt idx="9">
                  <c:v>4.6241128017660886E-2</c:v>
                </c:pt>
                <c:pt idx="10">
                  <c:v>4.181069277420156E-2</c:v>
                </c:pt>
                <c:pt idx="11">
                  <c:v>4.7582515936946311E-2</c:v>
                </c:pt>
                <c:pt idx="12">
                  <c:v>5.3544507789079696E-2</c:v>
                </c:pt>
                <c:pt idx="13">
                  <c:v>6.0392883501091343E-2</c:v>
                </c:pt>
                <c:pt idx="14">
                  <c:v>6.2330080058132981E-2</c:v>
                </c:pt>
                <c:pt idx="15">
                  <c:v>5.6394903571677216E-2</c:v>
                </c:pt>
                <c:pt idx="16">
                  <c:v>5.616403711845612E-2</c:v>
                </c:pt>
                <c:pt idx="17">
                  <c:v>6.1639129997654071E-2</c:v>
                </c:pt>
                <c:pt idx="18">
                  <c:v>6.2919508032359045E-2</c:v>
                </c:pt>
                <c:pt idx="19">
                  <c:v>7.7658458141975223E-2</c:v>
                </c:pt>
                <c:pt idx="20">
                  <c:v>9.3631845297725627E-2</c:v>
                </c:pt>
                <c:pt idx="21">
                  <c:v>0.10602621646434764</c:v>
                </c:pt>
                <c:pt idx="22">
                  <c:v>0.10944968817011637</c:v>
                </c:pt>
                <c:pt idx="23">
                  <c:v>0.11667853426083145</c:v>
                </c:pt>
                <c:pt idx="24">
                  <c:v>0.13986120363619198</c:v>
                </c:pt>
                <c:pt idx="25">
                  <c:v>0.14727717248458944</c:v>
                </c:pt>
              </c:numCache>
            </c:numRef>
          </c:val>
          <c:smooth val="0"/>
          <c:extLst>
            <c:ext xmlns:c16="http://schemas.microsoft.com/office/drawing/2014/chart" uri="{C3380CC4-5D6E-409C-BE32-E72D297353CC}">
              <c16:uniqueId val="{00000000-D0A7-4AA2-AE78-491E67BDAE41}"/>
            </c:ext>
          </c:extLst>
        </c:ser>
        <c:ser>
          <c:idx val="1"/>
          <c:order val="1"/>
          <c:tx>
            <c:strRef>
              <c:f>'[14.1.2022 קובץ ראשי .xlsb]GDP GNI GNDI'!$A$47</c:f>
              <c:strCache>
                <c:ptCount val="1"/>
                <c:pt idx="0">
                  <c:v>WB</c:v>
                </c:pt>
              </c:strCache>
            </c:strRef>
          </c:tx>
          <c:spPr>
            <a:ln w="28575" cap="rnd">
              <a:solidFill>
                <a:schemeClr val="accent2"/>
              </a:solidFill>
              <a:round/>
            </a:ln>
            <a:effectLst/>
          </c:spPr>
          <c:marker>
            <c:symbol val="none"/>
          </c:marker>
          <c:cat>
            <c:numRef>
              <c:f>'[14.1.2022 קובץ ראשי .xlsb]GDP GNI GNDI'!$B$45:$AA$45</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'[14.1.2022 קובץ ראשי .xlsb]GDP GNI GNDI'!$B$47:$AA$47</c:f>
              <c:numCache>
                <c:formatCode>0%</c:formatCode>
                <c:ptCount val="26"/>
                <c:pt idx="0">
                  <c:v>9.7808812906332768E-2</c:v>
                </c:pt>
                <c:pt idx="1">
                  <c:v>0.10094443763032013</c:v>
                </c:pt>
                <c:pt idx="2">
                  <c:v>9.466661403023964E-2</c:v>
                </c:pt>
                <c:pt idx="3">
                  <c:v>0.10769392621686072</c:v>
                </c:pt>
                <c:pt idx="4">
                  <c:v>0.14952014755072057</c:v>
                </c:pt>
                <c:pt idx="5">
                  <c:v>0.13764606953344738</c:v>
                </c:pt>
                <c:pt idx="6">
                  <c:v>9.1023489932885907E-2</c:v>
                </c:pt>
                <c:pt idx="7">
                  <c:v>5.6033464898964339E-2</c:v>
                </c:pt>
                <c:pt idx="8">
                  <c:v>3.9084729687006006E-2</c:v>
                </c:pt>
                <c:pt idx="9">
                  <c:v>4.8404840484048403E-2</c:v>
                </c:pt>
                <c:pt idx="10">
                  <c:v>4.8213396414342635E-2</c:v>
                </c:pt>
                <c:pt idx="11">
                  <c:v>6.0666081887892243E-2</c:v>
                </c:pt>
                <c:pt idx="12">
                  <c:v>6.5675401980882744E-2</c:v>
                </c:pt>
                <c:pt idx="13">
                  <c:v>7.2092481632825889E-2</c:v>
                </c:pt>
                <c:pt idx="14">
                  <c:v>7.0830486661688313E-2</c:v>
                </c:pt>
                <c:pt idx="15">
                  <c:v>6.2756806290460848E-2</c:v>
                </c:pt>
                <c:pt idx="16">
                  <c:v>6.6615944921173412E-2</c:v>
                </c:pt>
                <c:pt idx="17">
                  <c:v>7.0560865720661933E-2</c:v>
                </c:pt>
                <c:pt idx="18">
                  <c:v>7.3914462318117241E-2</c:v>
                </c:pt>
                <c:pt idx="19">
                  <c:v>9.2789224807524884E-2</c:v>
                </c:pt>
                <c:pt idx="20">
                  <c:v>0.11422177784126078</c:v>
                </c:pt>
                <c:pt idx="21">
                  <c:v>0.12958728169786202</c:v>
                </c:pt>
                <c:pt idx="22">
                  <c:v>0.13391987833218444</c:v>
                </c:pt>
                <c:pt idx="23">
                  <c:v>0.13861143493005509</c:v>
                </c:pt>
                <c:pt idx="24">
                  <c:v>0.16384335779438997</c:v>
                </c:pt>
                <c:pt idx="25">
                  <c:v>0.17228014056060803</c:v>
                </c:pt>
              </c:numCache>
            </c:numRef>
          </c:val>
          <c:smooth val="0"/>
          <c:extLst>
            <c:ext xmlns:c16="http://schemas.microsoft.com/office/drawing/2014/chart" uri="{C3380CC4-5D6E-409C-BE32-E72D297353CC}">
              <c16:uniqueId val="{00000001-D0A7-4AA2-AE78-491E67BDAE41}"/>
            </c:ext>
          </c:extLst>
        </c:ser>
        <c:ser>
          <c:idx val="2"/>
          <c:order val="2"/>
          <c:tx>
            <c:strRef>
              <c:f>'[14.1.2022 קובץ ראשי .xlsb]GDP GNI GNDI'!$A$48</c:f>
              <c:strCache>
                <c:ptCount val="1"/>
                <c:pt idx="0">
                  <c:v>GS</c:v>
                </c:pt>
              </c:strCache>
            </c:strRef>
          </c:tx>
          <c:spPr>
            <a:ln w="28575" cap="rnd">
              <a:solidFill>
                <a:schemeClr val="accent1"/>
              </a:solidFill>
              <a:round/>
            </a:ln>
            <a:effectLst/>
          </c:spPr>
          <c:marker>
            <c:symbol val="none"/>
          </c:marker>
          <c:cat>
            <c:numRef>
              <c:f>'[14.1.2022 קובץ ראשי .xlsb]GDP GNI GNDI'!$B$45:$AA$45</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'[14.1.2022 קובץ ראשי .xlsb]GDP GNI GNDI'!$B$48:$AA$48</c:f>
              <c:numCache>
                <c:formatCode>0%</c:formatCode>
                <c:ptCount val="26"/>
                <c:pt idx="0">
                  <c:v>7.3041168658698544E-2</c:v>
                </c:pt>
                <c:pt idx="1">
                  <c:v>8.623795723349259E-2</c:v>
                </c:pt>
                <c:pt idx="2">
                  <c:v>7.3795064955031131E-2</c:v>
                </c:pt>
                <c:pt idx="3">
                  <c:v>8.6664333216660824E-2</c:v>
                </c:pt>
                <c:pt idx="4">
                  <c:v>0.12761400856638952</c:v>
                </c:pt>
                <c:pt idx="5">
                  <c:v>0.14610163040030452</c:v>
                </c:pt>
                <c:pt idx="6">
                  <c:v>0.10232872089098886</c:v>
                </c:pt>
                <c:pt idx="7">
                  <c:v>1.9287396937573614E-2</c:v>
                </c:pt>
                <c:pt idx="8">
                  <c:v>2.9414128425620835E-2</c:v>
                </c:pt>
                <c:pt idx="9">
                  <c:v>4.2269637208050076E-2</c:v>
                </c:pt>
                <c:pt idx="10">
                  <c:v>2.9101019462465242E-2</c:v>
                </c:pt>
                <c:pt idx="11">
                  <c:v>2.3755539523858605E-2</c:v>
                </c:pt>
                <c:pt idx="12">
                  <c:v>2.5026129369411218E-2</c:v>
                </c:pt>
                <c:pt idx="13">
                  <c:v>2.6805251641137857E-2</c:v>
                </c:pt>
                <c:pt idx="14">
                  <c:v>3.0631591420784452E-2</c:v>
                </c:pt>
                <c:pt idx="15">
                  <c:v>3.3153347732181426E-2</c:v>
                </c:pt>
                <c:pt idx="16">
                  <c:v>1.9133893062306673E-2</c:v>
                </c:pt>
                <c:pt idx="17">
                  <c:v>2.6847290640394095E-2</c:v>
                </c:pt>
                <c:pt idx="18">
                  <c:v>1.9644138868950924E-2</c:v>
                </c:pt>
                <c:pt idx="19">
                  <c:v>1.7770270270270269E-2</c:v>
                </c:pt>
                <c:pt idx="20">
                  <c:v>3.239853684027173E-3</c:v>
                </c:pt>
                <c:pt idx="21">
                  <c:v>2.846560120721587E-3</c:v>
                </c:pt>
                <c:pt idx="22">
                  <c:v>2.8482972136222909E-3</c:v>
                </c:pt>
                <c:pt idx="23">
                  <c:v>1.1869342280179784E-2</c:v>
                </c:pt>
                <c:pt idx="24">
                  <c:v>1.2695054218460726E-2</c:v>
                </c:pt>
                <c:pt idx="25">
                  <c:v>6.0660007252826935E-3</c:v>
                </c:pt>
              </c:numCache>
            </c:numRef>
          </c:val>
          <c:smooth val="0"/>
          <c:extLst>
            <c:ext xmlns:c16="http://schemas.microsoft.com/office/drawing/2014/chart" uri="{C3380CC4-5D6E-409C-BE32-E72D297353CC}">
              <c16:uniqueId val="{00000002-D0A7-4AA2-AE78-491E67BDAE41}"/>
            </c:ext>
          </c:extLst>
        </c:ser>
        <c:dLbls>
          <c:showLegendKey val="0"/>
          <c:showVal val="0"/>
          <c:showCatName val="0"/>
          <c:showSerName val="0"/>
          <c:showPercent val="0"/>
          <c:showBubbleSize val="0"/>
        </c:dLbls>
        <c:smooth val="0"/>
        <c:axId val="1518069375"/>
        <c:axId val="1518074367"/>
      </c:lineChart>
      <c:catAx>
        <c:axId val="1518069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518074367"/>
        <c:crosses val="autoZero"/>
        <c:auto val="1"/>
        <c:lblAlgn val="ctr"/>
        <c:lblOffset val="100"/>
        <c:noMultiLvlLbl val="0"/>
      </c:catAx>
      <c:valAx>
        <c:axId val="15180743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518069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u="none" strike="noStrike" baseline="0">
                <a:effectLst/>
              </a:rPr>
              <a:t>Movement of people out of population</a:t>
            </a:r>
            <a:endParaRPr lang="he-IL"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'[14.1.2022 קובץ ראשי .xlsb]Movement of pepole '!$P$5</c:f>
              <c:strCache>
                <c:ptCount val="1"/>
                <c:pt idx="0">
                  <c:v>WBG</c:v>
                </c:pt>
              </c:strCache>
            </c:strRef>
          </c:tx>
          <c:spPr>
            <a:ln w="28575" cap="rnd">
              <a:solidFill>
                <a:schemeClr val="accent6"/>
              </a:solidFill>
              <a:prstDash val="dash"/>
              <a:round/>
            </a:ln>
            <a:effectLst/>
          </c:spPr>
          <c:marker>
            <c:symbol val="none"/>
          </c:marker>
          <c:cat>
            <c:numRef>
              <c:f>'[14.1.2022 קובץ ראשי .xlsb]Movement of pepole '!$O$6:$O$14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'[14.1.2022 קובץ ראשי .xlsb]Movement of pepole '!$P$6:$P$14</c:f>
              <c:numCache>
                <c:formatCode>0%</c:formatCode>
                <c:ptCount val="9"/>
                <c:pt idx="0">
                  <c:v>0.46707106453143743</c:v>
                </c:pt>
                <c:pt idx="1">
                  <c:v>0.55811291018517084</c:v>
                </c:pt>
                <c:pt idx="2">
                  <c:v>0.66845202936464654</c:v>
                </c:pt>
                <c:pt idx="3">
                  <c:v>0.80269489162360541</c:v>
                </c:pt>
                <c:pt idx="4">
                  <c:v>1.0439607138138509</c:v>
                </c:pt>
                <c:pt idx="5">
                  <c:v>1.1795800341969431</c:v>
                </c:pt>
                <c:pt idx="6">
                  <c:v>1.3390967833968221</c:v>
                </c:pt>
                <c:pt idx="7">
                  <c:v>1.4939607847645884</c:v>
                </c:pt>
                <c:pt idx="8">
                  <c:v>1.5739240538280663</c:v>
                </c:pt>
              </c:numCache>
            </c:numRef>
          </c:val>
          <c:smooth val="0"/>
          <c:extLst>
            <c:ext xmlns:c16="http://schemas.microsoft.com/office/drawing/2014/chart" uri="{C3380CC4-5D6E-409C-BE32-E72D297353CC}">
              <c16:uniqueId val="{00000000-E49A-410C-8828-E4026B6FB7BD}"/>
            </c:ext>
          </c:extLst>
        </c:ser>
        <c:ser>
          <c:idx val="1"/>
          <c:order val="1"/>
          <c:tx>
            <c:strRef>
              <c:f>'[14.1.2022 קובץ ראשי .xlsb]Movement of pepole '!$Q$5</c:f>
              <c:strCache>
                <c:ptCount val="1"/>
                <c:pt idx="0">
                  <c:v>WB</c:v>
                </c:pt>
              </c:strCache>
            </c:strRef>
          </c:tx>
          <c:spPr>
            <a:ln w="28575" cap="rnd">
              <a:solidFill>
                <a:schemeClr val="accent2"/>
              </a:solidFill>
              <a:round/>
            </a:ln>
            <a:effectLst/>
          </c:spPr>
          <c:marker>
            <c:symbol val="none"/>
          </c:marker>
          <c:cat>
            <c:numRef>
              <c:f>'[14.1.2022 קובץ ראשי .xlsb]Movement of pepole '!$O$6:$O$14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'[14.1.2022 קובץ ראשי .xlsb]Movement of pepole '!$Q$6:$Q$14</c:f>
              <c:numCache>
                <c:formatCode>0%</c:formatCode>
                <c:ptCount val="9"/>
                <c:pt idx="0">
                  <c:v>0.59484921064153073</c:v>
                </c:pt>
                <c:pt idx="1">
                  <c:v>0.7132995385879527</c:v>
                </c:pt>
                <c:pt idx="2">
                  <c:v>0.85676911432612846</c:v>
                </c:pt>
                <c:pt idx="3">
                  <c:v>1.0295789665875479</c:v>
                </c:pt>
                <c:pt idx="4">
                  <c:v>1.328497869953819</c:v>
                </c:pt>
                <c:pt idx="5">
                  <c:v>1.5081886262578983</c:v>
                </c:pt>
                <c:pt idx="6">
                  <c:v>1.724949215567007</c:v>
                </c:pt>
                <c:pt idx="7">
                  <c:v>1.9239429008871078</c:v>
                </c:pt>
                <c:pt idx="8">
                  <c:v>2.0203225093881159</c:v>
                </c:pt>
              </c:numCache>
            </c:numRef>
          </c:val>
          <c:smooth val="0"/>
          <c:extLst>
            <c:ext xmlns:c16="http://schemas.microsoft.com/office/drawing/2014/chart" uri="{C3380CC4-5D6E-409C-BE32-E72D297353CC}">
              <c16:uniqueId val="{00000001-E49A-410C-8828-E4026B6FB7BD}"/>
            </c:ext>
          </c:extLst>
        </c:ser>
        <c:ser>
          <c:idx val="2"/>
          <c:order val="2"/>
          <c:tx>
            <c:strRef>
              <c:f>'[14.1.2022 קובץ ראשי .xlsb]Movement of pepole '!$R$5</c:f>
              <c:strCache>
                <c:ptCount val="1"/>
                <c:pt idx="0">
                  <c:v>GS</c:v>
                </c:pt>
              </c:strCache>
            </c:strRef>
          </c:tx>
          <c:spPr>
            <a:ln w="28575" cap="rnd">
              <a:solidFill>
                <a:schemeClr val="accent1"/>
              </a:solidFill>
              <a:round/>
            </a:ln>
            <a:effectLst/>
          </c:spPr>
          <c:marker>
            <c:symbol val="none"/>
          </c:marker>
          <c:cat>
            <c:numRef>
              <c:f>'[14.1.2022 קובץ ראשי .xlsb]Movement of pepole '!$O$6:$O$14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'[14.1.2022 קובץ ראשי .xlsb]Movement of pepole '!$R$6:$R$14</c:f>
              <c:numCache>
                <c:formatCode>0%</c:formatCode>
                <c:ptCount val="9"/>
                <c:pt idx="0">
                  <c:v>9.6453681526693959E-3</c:v>
                </c:pt>
                <c:pt idx="1">
                  <c:v>9.4689336957208773E-3</c:v>
                </c:pt>
                <c:pt idx="2">
                  <c:v>9.2939921085936905E-3</c:v>
                </c:pt>
                <c:pt idx="3">
                  <c:v>1.0673361329194815E-2</c:v>
                </c:pt>
                <c:pt idx="4">
                  <c:v>2.4439207169365519E-2</c:v>
                </c:pt>
                <c:pt idx="5">
                  <c:v>2.0493564240580388E-2</c:v>
                </c:pt>
                <c:pt idx="6">
                  <c:v>1.0366910355433648E-2</c:v>
                </c:pt>
                <c:pt idx="7">
                  <c:v>1.3396676723555637E-2</c:v>
                </c:pt>
                <c:pt idx="8">
                  <c:v>2.2151866578307929E-2</c:v>
                </c:pt>
              </c:numCache>
            </c:numRef>
          </c:val>
          <c:smooth val="0"/>
          <c:extLst>
            <c:ext xmlns:c16="http://schemas.microsoft.com/office/drawing/2014/chart" uri="{C3380CC4-5D6E-409C-BE32-E72D297353CC}">
              <c16:uniqueId val="{00000002-E49A-410C-8828-E4026B6FB7BD}"/>
            </c:ext>
          </c:extLst>
        </c:ser>
        <c:dLbls>
          <c:showLegendKey val="0"/>
          <c:showVal val="0"/>
          <c:showCatName val="0"/>
          <c:showSerName val="0"/>
          <c:showPercent val="0"/>
          <c:showBubbleSize val="0"/>
        </c:dLbls>
        <c:smooth val="0"/>
        <c:axId val="1836545455"/>
        <c:axId val="1836545871"/>
      </c:lineChart>
      <c:catAx>
        <c:axId val="183654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36545871"/>
        <c:crosses val="autoZero"/>
        <c:auto val="1"/>
        <c:lblAlgn val="ctr"/>
        <c:lblOffset val="100"/>
        <c:noMultiLvlLbl val="0"/>
      </c:catAx>
      <c:valAx>
        <c:axId val="18365458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36545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Palestinians entered to Israel for medical treatment</a:t>
            </a:r>
            <a:endParaRPr lang="he-I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 and SG data.xlsx]גרפים'!$AL$141</c:f>
              <c:strCache>
                <c:ptCount val="1"/>
                <c:pt idx="0">
                  <c:v>GS</c:v>
                </c:pt>
              </c:strCache>
            </c:strRef>
          </c:tx>
          <c:spPr>
            <a:ln w="28575" cap="rnd">
              <a:solidFill>
                <a:schemeClr val="accent1"/>
              </a:solidFill>
              <a:round/>
            </a:ln>
            <a:effectLst/>
          </c:spPr>
          <c:marker>
            <c:symbol val="none"/>
          </c:marker>
          <c:cat>
            <c:numRef>
              <c:f>'[WB and SG data.xlsx]גרפים'!$AK$142:$AK$151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'[WB and SG data.xlsx]גרפים'!$AL$142:$AL$151</c:f>
              <c:numCache>
                <c:formatCode>0.00%</c:formatCode>
                <c:ptCount val="10"/>
                <c:pt idx="0">
                  <c:v>6.8428973533912231E-3</c:v>
                </c:pt>
                <c:pt idx="1">
                  <c:v>6.641373181979859E-3</c:v>
                </c:pt>
                <c:pt idx="2">
                  <c:v>6.4518772011902753E-3</c:v>
                </c:pt>
                <c:pt idx="3">
                  <c:v>7.1659056668032812E-3</c:v>
                </c:pt>
                <c:pt idx="4">
                  <c:v>7.1112194497272001E-3</c:v>
                </c:pt>
                <c:pt idx="5">
                  <c:v>7.206004110216809E-3</c:v>
                </c:pt>
                <c:pt idx="6">
                  <c:v>6.5531106760606311E-3</c:v>
                </c:pt>
                <c:pt idx="7">
                  <c:v>7.2137261019130884E-3</c:v>
                </c:pt>
                <c:pt idx="8">
                  <c:v>6.639296069789997E-3</c:v>
                </c:pt>
                <c:pt idx="9">
                  <c:v>2.4438846486445841E-3</c:v>
                </c:pt>
              </c:numCache>
            </c:numRef>
          </c:val>
          <c:smooth val="0"/>
          <c:extLst>
            <c:ext xmlns:c16="http://schemas.microsoft.com/office/drawing/2014/chart" uri="{C3380CC4-5D6E-409C-BE32-E72D297353CC}">
              <c16:uniqueId val="{00000000-D0FB-429B-A77F-F7D2C8E55DBC}"/>
            </c:ext>
          </c:extLst>
        </c:ser>
        <c:ser>
          <c:idx val="1"/>
          <c:order val="1"/>
          <c:tx>
            <c:strRef>
              <c:f>'[WB and SG data.xlsx]גרפים'!$AM$141</c:f>
              <c:strCache>
                <c:ptCount val="1"/>
                <c:pt idx="0">
                  <c:v>WB</c:v>
                </c:pt>
              </c:strCache>
            </c:strRef>
          </c:tx>
          <c:spPr>
            <a:ln w="28575" cap="rnd">
              <a:solidFill>
                <a:schemeClr val="accent2"/>
              </a:solidFill>
              <a:round/>
            </a:ln>
            <a:effectLst/>
          </c:spPr>
          <c:marker>
            <c:symbol val="none"/>
          </c:marker>
          <c:cat>
            <c:numRef>
              <c:f>'[WB and SG data.xlsx]גרפים'!$AK$142:$AK$151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'[WB and SG data.xlsx]גרפים'!$AM$142:$AM$151</c:f>
              <c:numCache>
                <c:formatCode>0.00%</c:formatCode>
                <c:ptCount val="10"/>
                <c:pt idx="0">
                  <c:v>4.1925966850055306E-2</c:v>
                </c:pt>
                <c:pt idx="1">
                  <c:v>4.5238368262273905E-2</c:v>
                </c:pt>
                <c:pt idx="2">
                  <c:v>4.0481675739628513E-2</c:v>
                </c:pt>
                <c:pt idx="3">
                  <c:v>4.4992629156494199E-2</c:v>
                </c:pt>
                <c:pt idx="4">
                  <c:v>3.8401423520786626E-2</c:v>
                </c:pt>
                <c:pt idx="5">
                  <c:v>3.711527566121519E-2</c:v>
                </c:pt>
                <c:pt idx="6">
                  <c:v>3.8271012481908673E-2</c:v>
                </c:pt>
                <c:pt idx="7">
                  <c:v>4.015409816985472E-2</c:v>
                </c:pt>
                <c:pt idx="8">
                  <c:v>3.9037429382509412E-2</c:v>
                </c:pt>
                <c:pt idx="9">
                  <c:v>2.6677810718586836E-2</c:v>
                </c:pt>
              </c:numCache>
            </c:numRef>
          </c:val>
          <c:smooth val="0"/>
          <c:extLst>
            <c:ext xmlns:c16="http://schemas.microsoft.com/office/drawing/2014/chart" uri="{C3380CC4-5D6E-409C-BE32-E72D297353CC}">
              <c16:uniqueId val="{00000001-D0FB-429B-A77F-F7D2C8E55DBC}"/>
            </c:ext>
          </c:extLst>
        </c:ser>
        <c:ser>
          <c:idx val="2"/>
          <c:order val="2"/>
          <c:tx>
            <c:strRef>
              <c:f>'[WB and SG data.xlsx]גרפים'!$AN$141</c:f>
              <c:strCache>
                <c:ptCount val="1"/>
                <c:pt idx="0">
                  <c:v>WBG</c:v>
                </c:pt>
              </c:strCache>
            </c:strRef>
          </c:tx>
          <c:spPr>
            <a:ln w="28575" cap="rnd">
              <a:solidFill>
                <a:schemeClr val="accent6"/>
              </a:solidFill>
              <a:prstDash val="dash"/>
              <a:round/>
            </a:ln>
            <a:effectLst/>
          </c:spPr>
          <c:marker>
            <c:symbol val="none"/>
          </c:marker>
          <c:cat>
            <c:numRef>
              <c:f>'[WB and SG data.xlsx]גרפים'!$AK$142:$AK$151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'[WB and SG data.xlsx]גרפים'!$AN$142:$AN$151</c:f>
              <c:numCache>
                <c:formatCode>0.00%</c:formatCode>
                <c:ptCount val="10"/>
                <c:pt idx="0">
                  <c:v>2.7540471909923418E-2</c:v>
                </c:pt>
                <c:pt idx="1">
                  <c:v>2.9330514908793737E-2</c:v>
                </c:pt>
                <c:pt idx="2">
                  <c:v>2.6388071314980326E-2</c:v>
                </c:pt>
                <c:pt idx="3">
                  <c:v>2.925442598082003E-2</c:v>
                </c:pt>
                <c:pt idx="4">
                  <c:v>2.5325968389786135E-2</c:v>
                </c:pt>
                <c:pt idx="5">
                  <c:v>2.4564909951648801E-2</c:v>
                </c:pt>
                <c:pt idx="6">
                  <c:v>2.490928186376877E-2</c:v>
                </c:pt>
                <c:pt idx="7">
                  <c:v>2.6219461403408386E-2</c:v>
                </c:pt>
                <c:pt idx="8">
                  <c:v>2.5277109483003886E-2</c:v>
                </c:pt>
                <c:pt idx="9" formatCode="0%">
                  <c:v>1.5435529329593307E-2</c:v>
                </c:pt>
              </c:numCache>
            </c:numRef>
          </c:val>
          <c:smooth val="0"/>
          <c:extLst>
            <c:ext xmlns:c16="http://schemas.microsoft.com/office/drawing/2014/chart" uri="{C3380CC4-5D6E-409C-BE32-E72D297353CC}">
              <c16:uniqueId val="{00000002-D0FB-429B-A77F-F7D2C8E55DBC}"/>
            </c:ext>
          </c:extLst>
        </c:ser>
        <c:dLbls>
          <c:showLegendKey val="0"/>
          <c:showVal val="0"/>
          <c:showCatName val="0"/>
          <c:showSerName val="0"/>
          <c:showPercent val="0"/>
          <c:showBubbleSize val="0"/>
        </c:dLbls>
        <c:smooth val="0"/>
        <c:axId val="1976377392"/>
        <c:axId val="1976375728"/>
      </c:lineChart>
      <c:catAx>
        <c:axId val="197637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976375728"/>
        <c:crosses val="autoZero"/>
        <c:auto val="1"/>
        <c:lblAlgn val="ctr"/>
        <c:lblOffset val="100"/>
        <c:noMultiLvlLbl val="0"/>
      </c:catAx>
      <c:valAx>
        <c:axId val="1976375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97637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NIS deposits in the Palestinian banking system</a:t>
            </a:r>
            <a:endParaRPr lang="he-I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 and SG data.xlsx]גרפים'!$AF$119</c:f>
              <c:strCache>
                <c:ptCount val="1"/>
                <c:pt idx="0">
                  <c:v>GS</c:v>
                </c:pt>
              </c:strCache>
            </c:strRef>
          </c:tx>
          <c:spPr>
            <a:ln w="28575" cap="rnd">
              <a:solidFill>
                <a:schemeClr val="accent1"/>
              </a:solidFill>
              <a:round/>
            </a:ln>
            <a:effectLst/>
          </c:spPr>
          <c:marker>
            <c:symbol val="none"/>
          </c:marker>
          <c:cat>
            <c:numRef>
              <c:f>'[WB and SG data.xlsx]גרפים'!$AE$120:$AE$133</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'[WB and SG data.xlsx]גרפים'!$AF$120:$AF$133</c:f>
              <c:numCache>
                <c:formatCode>0%</c:formatCode>
                <c:ptCount val="14"/>
                <c:pt idx="0">
                  <c:v>9.1581812573595836E-2</c:v>
                </c:pt>
                <c:pt idx="1">
                  <c:v>0.11421276749346948</c:v>
                </c:pt>
                <c:pt idx="2">
                  <c:v>0.15911292847573075</c:v>
                </c:pt>
                <c:pt idx="3">
                  <c:v>0.14125895733884677</c:v>
                </c:pt>
                <c:pt idx="4">
                  <c:v>0.15604025073708883</c:v>
                </c:pt>
                <c:pt idx="5">
                  <c:v>0.18421205504233107</c:v>
                </c:pt>
                <c:pt idx="6">
                  <c:v>0.17852888684913182</c:v>
                </c:pt>
                <c:pt idx="7">
                  <c:v>0.16685678239014787</c:v>
                </c:pt>
                <c:pt idx="8">
                  <c:v>0.17692927782592288</c:v>
                </c:pt>
                <c:pt idx="9">
                  <c:v>0.20028399197198446</c:v>
                </c:pt>
                <c:pt idx="10">
                  <c:v>0.21659132932658265</c:v>
                </c:pt>
                <c:pt idx="11">
                  <c:v>0.1999425128719613</c:v>
                </c:pt>
                <c:pt idx="12">
                  <c:v>0.21306613477519529</c:v>
                </c:pt>
                <c:pt idx="13">
                  <c:v>0.20338118160217897</c:v>
                </c:pt>
              </c:numCache>
            </c:numRef>
          </c:val>
          <c:smooth val="0"/>
          <c:extLst>
            <c:ext xmlns:c16="http://schemas.microsoft.com/office/drawing/2014/chart" uri="{C3380CC4-5D6E-409C-BE32-E72D297353CC}">
              <c16:uniqueId val="{00000000-609F-4165-8136-534814B30A30}"/>
            </c:ext>
          </c:extLst>
        </c:ser>
        <c:ser>
          <c:idx val="1"/>
          <c:order val="1"/>
          <c:tx>
            <c:strRef>
              <c:f>'[WB and SG data.xlsx]גרפים'!$AG$119</c:f>
              <c:strCache>
                <c:ptCount val="1"/>
                <c:pt idx="0">
                  <c:v>WB</c:v>
                </c:pt>
              </c:strCache>
            </c:strRef>
          </c:tx>
          <c:spPr>
            <a:ln w="28575" cap="rnd">
              <a:solidFill>
                <a:schemeClr val="accent2"/>
              </a:solidFill>
              <a:round/>
            </a:ln>
            <a:effectLst/>
          </c:spPr>
          <c:marker>
            <c:symbol val="none"/>
          </c:marker>
          <c:cat>
            <c:numRef>
              <c:f>'[WB and SG data.xlsx]גרפים'!$AE$120:$AE$133</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'[WB and SG data.xlsx]גרפים'!$AG$120:$AG$133</c:f>
              <c:numCache>
                <c:formatCode>0%</c:formatCode>
                <c:ptCount val="14"/>
                <c:pt idx="0">
                  <c:v>0.15798239192231081</c:v>
                </c:pt>
                <c:pt idx="1">
                  <c:v>0.19265163538547181</c:v>
                </c:pt>
                <c:pt idx="2">
                  <c:v>0.23185934180510245</c:v>
                </c:pt>
                <c:pt idx="3">
                  <c:v>0.24856291776546768</c:v>
                </c:pt>
                <c:pt idx="4">
                  <c:v>0.26691750188612556</c:v>
                </c:pt>
                <c:pt idx="5">
                  <c:v>0.31843226624498899</c:v>
                </c:pt>
                <c:pt idx="6">
                  <c:v>0.32598536169490983</c:v>
                </c:pt>
                <c:pt idx="7">
                  <c:v>0.30440642310380678</c:v>
                </c:pt>
                <c:pt idx="8">
                  <c:v>0.3242434519989878</c:v>
                </c:pt>
                <c:pt idx="9">
                  <c:v>0.35070706827315662</c:v>
                </c:pt>
                <c:pt idx="10">
                  <c:v>0.34385105147919182</c:v>
                </c:pt>
                <c:pt idx="11">
                  <c:v>0.35140888397628717</c:v>
                </c:pt>
                <c:pt idx="12">
                  <c:v>0.38073510956792006</c:v>
                </c:pt>
                <c:pt idx="13">
                  <c:v>0.37592017554755097</c:v>
                </c:pt>
              </c:numCache>
            </c:numRef>
          </c:val>
          <c:smooth val="0"/>
          <c:extLst>
            <c:ext xmlns:c16="http://schemas.microsoft.com/office/drawing/2014/chart" uri="{C3380CC4-5D6E-409C-BE32-E72D297353CC}">
              <c16:uniqueId val="{00000001-609F-4165-8136-534814B30A30}"/>
            </c:ext>
          </c:extLst>
        </c:ser>
        <c:ser>
          <c:idx val="2"/>
          <c:order val="2"/>
          <c:tx>
            <c:strRef>
              <c:f>'[WB and SG data.xlsx]גרפים'!$AH$119</c:f>
              <c:strCache>
                <c:ptCount val="1"/>
                <c:pt idx="0">
                  <c:v>WBG</c:v>
                </c:pt>
              </c:strCache>
            </c:strRef>
          </c:tx>
          <c:spPr>
            <a:ln w="28575" cap="rnd">
              <a:solidFill>
                <a:schemeClr val="accent6"/>
              </a:solidFill>
              <a:prstDash val="dash"/>
              <a:round/>
            </a:ln>
            <a:effectLst/>
          </c:spPr>
          <c:marker>
            <c:symbol val="none"/>
          </c:marker>
          <c:cat>
            <c:numRef>
              <c:f>'[WB and SG data.xlsx]גרפים'!$AE$120:$AE$133</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'[WB and SG data.xlsx]גרפים'!$AH$120:$AH$133</c:f>
              <c:numCache>
                <c:formatCode>0%</c:formatCode>
                <c:ptCount val="14"/>
                <c:pt idx="0">
                  <c:v>0.14350137545693084</c:v>
                </c:pt>
                <c:pt idx="1">
                  <c:v>0.1791625297263465</c:v>
                </c:pt>
                <c:pt idx="2">
                  <c:v>0.22077113551526745</c:v>
                </c:pt>
                <c:pt idx="3">
                  <c:v>0.23278484810822905</c:v>
                </c:pt>
                <c:pt idx="4">
                  <c:v>0.25415798765355541</c:v>
                </c:pt>
                <c:pt idx="5">
                  <c:v>0.30345025308503126</c:v>
                </c:pt>
                <c:pt idx="6">
                  <c:v>0.31046974735922339</c:v>
                </c:pt>
                <c:pt idx="7">
                  <c:v>0.29021664757846366</c:v>
                </c:pt>
                <c:pt idx="8">
                  <c:v>0.30785293344989373</c:v>
                </c:pt>
                <c:pt idx="9">
                  <c:v>0.33452443817382577</c:v>
                </c:pt>
                <c:pt idx="10">
                  <c:v>0.33063448954752372</c:v>
                </c:pt>
                <c:pt idx="11">
                  <c:v>0.33715241413900704</c:v>
                </c:pt>
                <c:pt idx="12">
                  <c:v>0.36460946980352943</c:v>
                </c:pt>
                <c:pt idx="13">
                  <c:v>0.3590562847523921</c:v>
                </c:pt>
              </c:numCache>
            </c:numRef>
          </c:val>
          <c:smooth val="0"/>
          <c:extLst>
            <c:ext xmlns:c16="http://schemas.microsoft.com/office/drawing/2014/chart" uri="{C3380CC4-5D6E-409C-BE32-E72D297353CC}">
              <c16:uniqueId val="{00000002-609F-4165-8136-534814B30A30}"/>
            </c:ext>
          </c:extLst>
        </c:ser>
        <c:dLbls>
          <c:showLegendKey val="0"/>
          <c:showVal val="0"/>
          <c:showCatName val="0"/>
          <c:showSerName val="0"/>
          <c:showPercent val="0"/>
          <c:showBubbleSize val="0"/>
        </c:dLbls>
        <c:smooth val="0"/>
        <c:axId val="1682444895"/>
        <c:axId val="1682446559"/>
      </c:lineChart>
      <c:catAx>
        <c:axId val="168244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682446559"/>
        <c:crosses val="autoZero"/>
        <c:auto val="1"/>
        <c:lblAlgn val="ctr"/>
        <c:lblOffset val="100"/>
        <c:noMultiLvlLbl val="0"/>
      </c:catAx>
      <c:valAx>
        <c:axId val="16824465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68244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NIS checks presented for clearing in the Palestinian banking system</a:t>
            </a:r>
            <a:endParaRPr lang="he-I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 and SG data.xlsx]גרפים'!$AG$90</c:f>
              <c:strCache>
                <c:ptCount val="1"/>
                <c:pt idx="0">
                  <c:v>WB</c:v>
                </c:pt>
              </c:strCache>
            </c:strRef>
          </c:tx>
          <c:spPr>
            <a:ln w="28575" cap="rnd">
              <a:solidFill>
                <a:schemeClr val="accent2"/>
              </a:solidFill>
              <a:round/>
            </a:ln>
            <a:effectLst/>
          </c:spPr>
          <c:marker>
            <c:symbol val="none"/>
          </c:marker>
          <c:cat>
            <c:numRef>
              <c:f>'[WB and SG data.xlsx]גרפים'!$AF$91:$AF$113</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cat>
          <c:val>
            <c:numRef>
              <c:f>'[WB and SG data.xlsx]גרפים'!$AG$91:$AG$113</c:f>
              <c:numCache>
                <c:formatCode>General</c:formatCode>
                <c:ptCount val="23"/>
                <c:pt idx="0">
                  <c:v>0.6819466449222864</c:v>
                </c:pt>
                <c:pt idx="1">
                  <c:v>0.66389607011290941</c:v>
                </c:pt>
                <c:pt idx="2">
                  <c:v>0.6542298499460617</c:v>
                </c:pt>
                <c:pt idx="3">
                  <c:v>0.65285429807640516</c:v>
                </c:pt>
                <c:pt idx="4">
                  <c:v>0.61554906917911945</c:v>
                </c:pt>
                <c:pt idx="5">
                  <c:v>0.61335893723983803</c:v>
                </c:pt>
                <c:pt idx="6">
                  <c:v>0.65629203361753652</c:v>
                </c:pt>
                <c:pt idx="7">
                  <c:v>0.59769784092913947</c:v>
                </c:pt>
                <c:pt idx="8">
                  <c:v>0.66091060198443097</c:v>
                </c:pt>
                <c:pt idx="9">
                  <c:v>0.69765919751486416</c:v>
                </c:pt>
                <c:pt idx="10">
                  <c:v>0.71822943771823233</c:v>
                </c:pt>
                <c:pt idx="11">
                  <c:v>0.71302876199460286</c:v>
                </c:pt>
                <c:pt idx="12">
                  <c:v>0.71623882611664635</c:v>
                </c:pt>
                <c:pt idx="13">
                  <c:v>0.6916603626634702</c:v>
                </c:pt>
                <c:pt idx="14">
                  <c:v>0.75031914309890768</c:v>
                </c:pt>
                <c:pt idx="15">
                  <c:v>0.75533231949571011</c:v>
                </c:pt>
                <c:pt idx="16">
                  <c:v>0.75122566493145992</c:v>
                </c:pt>
                <c:pt idx="17">
                  <c:v>0.75347742960220587</c:v>
                </c:pt>
                <c:pt idx="18">
                  <c:v>0.74348344605551286</c:v>
                </c:pt>
                <c:pt idx="19">
                  <c:v>0.76009987434081849</c:v>
                </c:pt>
                <c:pt idx="20">
                  <c:v>0.78734411193862874</c:v>
                </c:pt>
                <c:pt idx="21">
                  <c:v>0.81128688080314915</c:v>
                </c:pt>
                <c:pt idx="22">
                  <c:v>0.80775405436627401</c:v>
                </c:pt>
              </c:numCache>
            </c:numRef>
          </c:val>
          <c:smooth val="0"/>
          <c:extLst>
            <c:ext xmlns:c16="http://schemas.microsoft.com/office/drawing/2014/chart" uri="{C3380CC4-5D6E-409C-BE32-E72D297353CC}">
              <c16:uniqueId val="{00000000-4691-45D1-AF20-CF319A61E948}"/>
            </c:ext>
          </c:extLst>
        </c:ser>
        <c:ser>
          <c:idx val="1"/>
          <c:order val="1"/>
          <c:tx>
            <c:strRef>
              <c:f>'[WB and SG data.xlsx]גרפים'!$AH$90</c:f>
              <c:strCache>
                <c:ptCount val="1"/>
                <c:pt idx="0">
                  <c:v>GS</c:v>
                </c:pt>
              </c:strCache>
            </c:strRef>
          </c:tx>
          <c:spPr>
            <a:ln w="28575" cap="rnd">
              <a:solidFill>
                <a:schemeClr val="accent1"/>
              </a:solidFill>
              <a:round/>
            </a:ln>
            <a:effectLst/>
          </c:spPr>
          <c:marker>
            <c:symbol val="none"/>
          </c:marker>
          <c:cat>
            <c:numRef>
              <c:f>'[WB and SG data.xlsx]גרפים'!$AF$91:$AF$113</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cat>
          <c:val>
            <c:numRef>
              <c:f>'[WB and SG data.xlsx]גרפים'!$AH$91:$AH$113</c:f>
              <c:numCache>
                <c:formatCode>General</c:formatCode>
                <c:ptCount val="23"/>
                <c:pt idx="0">
                  <c:v>0.63331761300270373</c:v>
                </c:pt>
                <c:pt idx="1">
                  <c:v>0.66637956995636871</c:v>
                </c:pt>
                <c:pt idx="2">
                  <c:v>0.67963269693039086</c:v>
                </c:pt>
                <c:pt idx="3">
                  <c:v>0.6924078223057718</c:v>
                </c:pt>
                <c:pt idx="4">
                  <c:v>0.63659084057263982</c:v>
                </c:pt>
                <c:pt idx="5">
                  <c:v>0.63546242996099966</c:v>
                </c:pt>
                <c:pt idx="6">
                  <c:v>0.63956528029388737</c:v>
                </c:pt>
                <c:pt idx="7">
                  <c:v>0.6660497798362518</c:v>
                </c:pt>
                <c:pt idx="8">
                  <c:v>0.65942983431835189</c:v>
                </c:pt>
                <c:pt idx="9">
                  <c:v>0.65470665769126868</c:v>
                </c:pt>
                <c:pt idx="10">
                  <c:v>0.6063620872342772</c:v>
                </c:pt>
                <c:pt idx="11">
                  <c:v>0.52218985594976297</c:v>
                </c:pt>
                <c:pt idx="12">
                  <c:v>0.60930084644506011</c:v>
                </c:pt>
                <c:pt idx="13">
                  <c:v>0.61488953323892248</c:v>
                </c:pt>
                <c:pt idx="14">
                  <c:v>0.57167369010839297</c:v>
                </c:pt>
                <c:pt idx="15">
                  <c:v>0.65043684580433658</c:v>
                </c:pt>
                <c:pt idx="16">
                  <c:v>0.71014525220828428</c:v>
                </c:pt>
                <c:pt idx="17">
                  <c:v>0.66294388392329218</c:v>
                </c:pt>
                <c:pt idx="18">
                  <c:v>0.68576342333579043</c:v>
                </c:pt>
                <c:pt idx="19">
                  <c:v>0.69075213399486968</c:v>
                </c:pt>
                <c:pt idx="20">
                  <c:v>0.68116422475000094</c:v>
                </c:pt>
                <c:pt idx="21">
                  <c:v>0.66326970874834379</c:v>
                </c:pt>
                <c:pt idx="22">
                  <c:v>0.68841546911909179</c:v>
                </c:pt>
              </c:numCache>
            </c:numRef>
          </c:val>
          <c:smooth val="0"/>
          <c:extLst>
            <c:ext xmlns:c16="http://schemas.microsoft.com/office/drawing/2014/chart" uri="{C3380CC4-5D6E-409C-BE32-E72D297353CC}">
              <c16:uniqueId val="{00000001-4691-45D1-AF20-CF319A61E948}"/>
            </c:ext>
          </c:extLst>
        </c:ser>
        <c:ser>
          <c:idx val="2"/>
          <c:order val="2"/>
          <c:tx>
            <c:strRef>
              <c:f>'[WB and SG data.xlsx]גרפים'!$AI$90</c:f>
              <c:strCache>
                <c:ptCount val="1"/>
                <c:pt idx="0">
                  <c:v>WBG</c:v>
                </c:pt>
              </c:strCache>
            </c:strRef>
          </c:tx>
          <c:spPr>
            <a:ln w="28575" cap="rnd">
              <a:solidFill>
                <a:schemeClr val="accent6"/>
              </a:solidFill>
              <a:prstDash val="dash"/>
              <a:round/>
            </a:ln>
            <a:effectLst/>
          </c:spPr>
          <c:marker>
            <c:symbol val="none"/>
          </c:marker>
          <c:cat>
            <c:numRef>
              <c:f>'[WB and SG data.xlsx]גרפים'!$AF$91:$AF$113</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cat>
          <c:val>
            <c:numRef>
              <c:f>'[WB and SG data.xlsx]גרפים'!$AI$91:$AI$113</c:f>
              <c:numCache>
                <c:formatCode>0%</c:formatCode>
                <c:ptCount val="23"/>
                <c:pt idx="0" formatCode="General">
                  <c:v>0.66573752143100329</c:v>
                </c:pt>
                <c:pt idx="1">
                  <c:v>0.66559243223139797</c:v>
                </c:pt>
                <c:pt idx="2">
                  <c:v>0.66449981814583292</c:v>
                </c:pt>
                <c:pt idx="3">
                  <c:v>0.66276335187461777</c:v>
                </c:pt>
                <c:pt idx="4">
                  <c:v>0.62566153757024878</c:v>
                </c:pt>
                <c:pt idx="5">
                  <c:v>0.62101806080361188</c:v>
                </c:pt>
                <c:pt idx="6">
                  <c:v>0.65135256034562139</c:v>
                </c:pt>
                <c:pt idx="7">
                  <c:v>0.60726341780106818</c:v>
                </c:pt>
                <c:pt idx="8">
                  <c:v>0.65497163169527806</c:v>
                </c:pt>
                <c:pt idx="9">
                  <c:v>0.66469055707226676</c:v>
                </c:pt>
                <c:pt idx="10">
                  <c:v>0.69606192825820168</c:v>
                </c:pt>
                <c:pt idx="11">
                  <c:v>0.68544757459132433</c:v>
                </c:pt>
                <c:pt idx="12">
                  <c:v>0.69873773688670737</c:v>
                </c:pt>
                <c:pt idx="13">
                  <c:v>0.67263610392688178</c:v>
                </c:pt>
                <c:pt idx="14">
                  <c:v>0.73092509697357355</c:v>
                </c:pt>
                <c:pt idx="15">
                  <c:v>0.73080842957835046</c:v>
                </c:pt>
                <c:pt idx="16">
                  <c:v>0.73577341116967832</c:v>
                </c:pt>
                <c:pt idx="17">
                  <c:v>0.74018257404805032</c:v>
                </c:pt>
                <c:pt idx="18">
                  <c:v>0.73477063487248873</c:v>
                </c:pt>
                <c:pt idx="19">
                  <c:v>0.75122344369221206</c:v>
                </c:pt>
                <c:pt idx="20">
                  <c:v>0.77697988083013425</c:v>
                </c:pt>
                <c:pt idx="21">
                  <c:v>0.80016302914713067</c:v>
                </c:pt>
                <c:pt idx="22">
                  <c:v>0.79847856703302789</c:v>
                </c:pt>
              </c:numCache>
            </c:numRef>
          </c:val>
          <c:smooth val="0"/>
          <c:extLst>
            <c:ext xmlns:c16="http://schemas.microsoft.com/office/drawing/2014/chart" uri="{C3380CC4-5D6E-409C-BE32-E72D297353CC}">
              <c16:uniqueId val="{00000002-4691-45D1-AF20-CF319A61E948}"/>
            </c:ext>
          </c:extLst>
        </c:ser>
        <c:dLbls>
          <c:showLegendKey val="0"/>
          <c:showVal val="0"/>
          <c:showCatName val="0"/>
          <c:showSerName val="0"/>
          <c:showPercent val="0"/>
          <c:showBubbleSize val="0"/>
        </c:dLbls>
        <c:smooth val="0"/>
        <c:axId val="238484912"/>
        <c:axId val="238477424"/>
      </c:lineChart>
      <c:catAx>
        <c:axId val="23848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38477424"/>
        <c:crosses val="autoZero"/>
        <c:auto val="1"/>
        <c:lblAlgn val="ctr"/>
        <c:lblOffset val="100"/>
        <c:noMultiLvlLbl val="0"/>
      </c:catAx>
      <c:valAx>
        <c:axId val="2384774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3848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NIS gross credit in the Palestinian banking system</a:t>
            </a:r>
            <a:endParaRPr lang="he-IL"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 and SG data.xlsx]גרפים'!$X$90</c:f>
              <c:strCache>
                <c:ptCount val="1"/>
                <c:pt idx="0">
                  <c:v>WB</c:v>
                </c:pt>
              </c:strCache>
            </c:strRef>
          </c:tx>
          <c:spPr>
            <a:ln w="28575" cap="rnd">
              <a:solidFill>
                <a:schemeClr val="accent2"/>
              </a:solidFill>
              <a:round/>
            </a:ln>
            <a:effectLst/>
          </c:spPr>
          <c:marker>
            <c:symbol val="none"/>
          </c:marker>
          <c:cat>
            <c:numRef>
              <c:f>'[WB and SG data.xlsx]גרפים'!$W$91:$W$114</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'[WB and SG data.xlsx]גרפים'!$X$91:$X$114</c:f>
              <c:numCache>
                <c:formatCode>General</c:formatCode>
                <c:ptCount val="24"/>
                <c:pt idx="0">
                  <c:v>0.29799904404644761</c:v>
                </c:pt>
                <c:pt idx="1">
                  <c:v>0.29707182671467025</c:v>
                </c:pt>
                <c:pt idx="2">
                  <c:v>0.24201561517727352</c:v>
                </c:pt>
                <c:pt idx="3">
                  <c:v>0.20638598218634813</c:v>
                </c:pt>
                <c:pt idx="4">
                  <c:v>0.1772126824557711</c:v>
                </c:pt>
                <c:pt idx="5">
                  <c:v>0.147958272056297</c:v>
                </c:pt>
                <c:pt idx="6">
                  <c:v>0.16174066334001508</c:v>
                </c:pt>
                <c:pt idx="7">
                  <c:v>0.18277976150373912</c:v>
                </c:pt>
                <c:pt idx="8">
                  <c:v>0.19762392823293434</c:v>
                </c:pt>
                <c:pt idx="9">
                  <c:v>0.18997233168441352</c:v>
                </c:pt>
                <c:pt idx="10">
                  <c:v>0.17331880417900244</c:v>
                </c:pt>
                <c:pt idx="11">
                  <c:v>0.2103809325462932</c:v>
                </c:pt>
                <c:pt idx="12">
                  <c:v>0.27354324751930287</c:v>
                </c:pt>
                <c:pt idx="13">
                  <c:v>0.26145684452491602</c:v>
                </c:pt>
                <c:pt idx="14">
                  <c:v>0.29939866935369613</c:v>
                </c:pt>
                <c:pt idx="15">
                  <c:v>0.2511019117491986</c:v>
                </c:pt>
                <c:pt idx="16">
                  <c:v>0.35011893678332229</c:v>
                </c:pt>
                <c:pt idx="17">
                  <c:v>0.36075533015849087</c:v>
                </c:pt>
                <c:pt idx="18">
                  <c:v>0.31775086262622065</c:v>
                </c:pt>
                <c:pt idx="19">
                  <c:v>0.36883013067191939</c:v>
                </c:pt>
                <c:pt idx="20">
                  <c:v>0.37060775567229071</c:v>
                </c:pt>
                <c:pt idx="21">
                  <c:v>0.41249952715982025</c:v>
                </c:pt>
                <c:pt idx="22">
                  <c:v>0.37878450969546679</c:v>
                </c:pt>
                <c:pt idx="23">
                  <c:v>0.41524328787826903</c:v>
                </c:pt>
              </c:numCache>
            </c:numRef>
          </c:val>
          <c:smooth val="0"/>
          <c:extLst>
            <c:ext xmlns:c16="http://schemas.microsoft.com/office/drawing/2014/chart" uri="{C3380CC4-5D6E-409C-BE32-E72D297353CC}">
              <c16:uniqueId val="{00000000-D445-460D-884B-9F8E99BA909E}"/>
            </c:ext>
          </c:extLst>
        </c:ser>
        <c:ser>
          <c:idx val="1"/>
          <c:order val="1"/>
          <c:tx>
            <c:strRef>
              <c:f>'[WB and SG data.xlsx]גרפים'!$Y$90</c:f>
              <c:strCache>
                <c:ptCount val="1"/>
                <c:pt idx="0">
                  <c:v>GS</c:v>
                </c:pt>
              </c:strCache>
            </c:strRef>
          </c:tx>
          <c:spPr>
            <a:ln w="28575" cap="rnd">
              <a:solidFill>
                <a:schemeClr val="accent1"/>
              </a:solidFill>
              <a:round/>
            </a:ln>
            <a:effectLst/>
          </c:spPr>
          <c:marker>
            <c:symbol val="none"/>
          </c:marker>
          <c:cat>
            <c:numRef>
              <c:f>'[WB and SG data.xlsx]גרפים'!$W$91:$W$114</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'[WB and SG data.xlsx]גרפים'!$Y$91:$Y$114</c:f>
              <c:numCache>
                <c:formatCode>0%</c:formatCode>
                <c:ptCount val="24"/>
                <c:pt idx="0">
                  <c:v>0.26837565133628588</c:v>
                </c:pt>
                <c:pt idx="1">
                  <c:v>0.27349101225280137</c:v>
                </c:pt>
                <c:pt idx="2">
                  <c:v>0.20533199104986763</c:v>
                </c:pt>
                <c:pt idx="3">
                  <c:v>0.18831735748217149</c:v>
                </c:pt>
                <c:pt idx="4">
                  <c:v>0.29340161805091669</c:v>
                </c:pt>
                <c:pt idx="5">
                  <c:v>0.24068546831536416</c:v>
                </c:pt>
                <c:pt idx="6">
                  <c:v>0.20973531616109817</c:v>
                </c:pt>
                <c:pt idx="7">
                  <c:v>0.3235204947853505</c:v>
                </c:pt>
                <c:pt idx="8">
                  <c:v>0.41937839967709073</c:v>
                </c:pt>
                <c:pt idx="9">
                  <c:v>0.12239982483030436</c:v>
                </c:pt>
                <c:pt idx="10">
                  <c:v>0.16164878548962139</c:v>
                </c:pt>
                <c:pt idx="11">
                  <c:v>0.13498556750028259</c:v>
                </c:pt>
                <c:pt idx="12">
                  <c:v>0.1426459717343842</c:v>
                </c:pt>
                <c:pt idx="13">
                  <c:v>0.23171386590573262</c:v>
                </c:pt>
                <c:pt idx="14">
                  <c:v>0.31246341803826949</c:v>
                </c:pt>
                <c:pt idx="15">
                  <c:v>0.15785561368437753</c:v>
                </c:pt>
                <c:pt idx="16">
                  <c:v>0.1116487520872011</c:v>
                </c:pt>
                <c:pt idx="17">
                  <c:v>0.14717793985862679</c:v>
                </c:pt>
                <c:pt idx="18">
                  <c:v>0.12322768438471048</c:v>
                </c:pt>
                <c:pt idx="19">
                  <c:v>0.13133799199799259</c:v>
                </c:pt>
                <c:pt idx="20">
                  <c:v>0.27601251496438101</c:v>
                </c:pt>
                <c:pt idx="21">
                  <c:v>0.2826494793112897</c:v>
                </c:pt>
                <c:pt idx="22">
                  <c:v>0.27892873409481084</c:v>
                </c:pt>
                <c:pt idx="23">
                  <c:v>0.31242752822322106</c:v>
                </c:pt>
              </c:numCache>
            </c:numRef>
          </c:val>
          <c:smooth val="0"/>
          <c:extLst>
            <c:ext xmlns:c16="http://schemas.microsoft.com/office/drawing/2014/chart" uri="{C3380CC4-5D6E-409C-BE32-E72D297353CC}">
              <c16:uniqueId val="{00000001-D445-460D-884B-9F8E99BA909E}"/>
            </c:ext>
          </c:extLst>
        </c:ser>
        <c:ser>
          <c:idx val="2"/>
          <c:order val="2"/>
          <c:tx>
            <c:strRef>
              <c:f>'[WB and SG data.xlsx]גרפים'!$Z$90</c:f>
              <c:strCache>
                <c:ptCount val="1"/>
                <c:pt idx="0">
                  <c:v>WBG</c:v>
                </c:pt>
              </c:strCache>
            </c:strRef>
          </c:tx>
          <c:spPr>
            <a:ln w="28575" cap="rnd">
              <a:solidFill>
                <a:schemeClr val="accent6"/>
              </a:solidFill>
              <a:prstDash val="dash"/>
              <a:round/>
            </a:ln>
            <a:effectLst/>
          </c:spPr>
          <c:marker>
            <c:symbol val="none"/>
          </c:marker>
          <c:cat>
            <c:numRef>
              <c:f>'[WB and SG data.xlsx]גרפים'!$W$91:$W$114</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'[WB and SG data.xlsx]גרפים'!$Z$91:$Z$114</c:f>
              <c:numCache>
                <c:formatCode>0%</c:formatCode>
                <c:ptCount val="24"/>
                <c:pt idx="0">
                  <c:v>0.30301294136989104</c:v>
                </c:pt>
                <c:pt idx="1">
                  <c:v>0.30558175797217191</c:v>
                </c:pt>
                <c:pt idx="2">
                  <c:v>0.24680580148860648</c:v>
                </c:pt>
                <c:pt idx="3">
                  <c:v>0.20811678149267288</c:v>
                </c:pt>
                <c:pt idx="4">
                  <c:v>0.23220817787597869</c:v>
                </c:pt>
                <c:pt idx="5">
                  <c:v>0.18989629076370687</c:v>
                </c:pt>
                <c:pt idx="6">
                  <c:v>0.17615212566389807</c:v>
                </c:pt>
                <c:pt idx="7">
                  <c:v>0.22798429799465778</c:v>
                </c:pt>
                <c:pt idx="8">
                  <c:v>0.27933357713514118</c:v>
                </c:pt>
                <c:pt idx="9">
                  <c:v>0.16791950512880746</c:v>
                </c:pt>
                <c:pt idx="10">
                  <c:v>0.1710648089764861</c:v>
                </c:pt>
                <c:pt idx="11">
                  <c:v>0.19737949573701682</c:v>
                </c:pt>
                <c:pt idx="12">
                  <c:v>0.25942207622424518</c:v>
                </c:pt>
                <c:pt idx="13">
                  <c:v>0.25914787149975027</c:v>
                </c:pt>
                <c:pt idx="14">
                  <c:v>0.30032199435950369</c:v>
                </c:pt>
                <c:pt idx="15">
                  <c:v>0.24322832916994483</c:v>
                </c:pt>
                <c:pt idx="16">
                  <c:v>0.32568278552879648</c:v>
                </c:pt>
                <c:pt idx="17">
                  <c:v>0.33720921605011817</c:v>
                </c:pt>
                <c:pt idx="18">
                  <c:v>0.2949001624583778</c:v>
                </c:pt>
                <c:pt idx="19">
                  <c:v>0.34072810230518757</c:v>
                </c:pt>
                <c:pt idx="20">
                  <c:v>0.35811555182192306</c:v>
                </c:pt>
                <c:pt idx="21">
                  <c:v>0.39654397956535864</c:v>
                </c:pt>
                <c:pt idx="22">
                  <c:v>0.3675462956419262</c:v>
                </c:pt>
                <c:pt idx="23">
                  <c:v>0.40459489946763127</c:v>
                </c:pt>
              </c:numCache>
            </c:numRef>
          </c:val>
          <c:smooth val="0"/>
          <c:extLst>
            <c:ext xmlns:c16="http://schemas.microsoft.com/office/drawing/2014/chart" uri="{C3380CC4-5D6E-409C-BE32-E72D297353CC}">
              <c16:uniqueId val="{00000002-D445-460D-884B-9F8E99BA909E}"/>
            </c:ext>
          </c:extLst>
        </c:ser>
        <c:dLbls>
          <c:showLegendKey val="0"/>
          <c:showVal val="0"/>
          <c:showCatName val="0"/>
          <c:showSerName val="0"/>
          <c:showPercent val="0"/>
          <c:showBubbleSize val="0"/>
        </c:dLbls>
        <c:smooth val="0"/>
        <c:axId val="1871765791"/>
        <c:axId val="1871762047"/>
      </c:lineChart>
      <c:catAx>
        <c:axId val="187176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71762047"/>
        <c:crosses val="autoZero"/>
        <c:auto val="1"/>
        <c:lblAlgn val="ctr"/>
        <c:lblOffset val="100"/>
        <c:noMultiLvlLbl val="0"/>
      </c:catAx>
      <c:valAx>
        <c:axId val="1871762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71765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Electricity Imported from Israel out of total Available Electricity</a:t>
            </a:r>
            <a:endParaRPr lang="he-I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 and SG data.xlsx]גרפים'!$AQ$118</c:f>
              <c:strCache>
                <c:ptCount val="1"/>
                <c:pt idx="0">
                  <c:v>WB</c:v>
                </c:pt>
              </c:strCache>
            </c:strRef>
          </c:tx>
          <c:spPr>
            <a:ln w="28575" cap="rnd">
              <a:solidFill>
                <a:schemeClr val="accent2"/>
              </a:solidFill>
              <a:round/>
            </a:ln>
            <a:effectLst/>
          </c:spPr>
          <c:marker>
            <c:symbol val="none"/>
          </c:marker>
          <c:cat>
            <c:numRef>
              <c:f>'[WB and SG data.xlsx]גרפים'!$AP$119:$AP$134</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'[WB and SG data.xlsx]גרפים'!$AQ$119:$AQ$134</c:f>
              <c:numCache>
                <c:formatCode>0%</c:formatCode>
                <c:ptCount val="16"/>
                <c:pt idx="0">
                  <c:v>1</c:v>
                </c:pt>
                <c:pt idx="1">
                  <c:v>1</c:v>
                </c:pt>
                <c:pt idx="2">
                  <c:v>1</c:v>
                </c:pt>
                <c:pt idx="3">
                  <c:v>1</c:v>
                </c:pt>
                <c:pt idx="4">
                  <c:v>0.97702134322213197</c:v>
                </c:pt>
                <c:pt idx="5">
                  <c:v>0.97990633284430373</c:v>
                </c:pt>
                <c:pt idx="6">
                  <c:v>0.98342926502147765</c:v>
                </c:pt>
                <c:pt idx="7">
                  <c:v>0.97775286534615102</c:v>
                </c:pt>
                <c:pt idx="8">
                  <c:v>0.97750533319962196</c:v>
                </c:pt>
                <c:pt idx="9">
                  <c:v>0.98784824646213465</c:v>
                </c:pt>
                <c:pt idx="10">
                  <c:v>0.99052226070925686</c:v>
                </c:pt>
                <c:pt idx="11">
                  <c:v>0.99033308693098276</c:v>
                </c:pt>
                <c:pt idx="12">
                  <c:v>0.99045511225868632</c:v>
                </c:pt>
                <c:pt idx="13">
                  <c:v>0.98870597163757479</c:v>
                </c:pt>
                <c:pt idx="14">
                  <c:v>0.98188981233850192</c:v>
                </c:pt>
                <c:pt idx="15">
                  <c:v>0.9822008755010091</c:v>
                </c:pt>
              </c:numCache>
            </c:numRef>
          </c:val>
          <c:smooth val="0"/>
          <c:extLst>
            <c:ext xmlns:c16="http://schemas.microsoft.com/office/drawing/2014/chart" uri="{C3380CC4-5D6E-409C-BE32-E72D297353CC}">
              <c16:uniqueId val="{00000000-8F17-4BE8-ABC3-BA15C2F69844}"/>
            </c:ext>
          </c:extLst>
        </c:ser>
        <c:ser>
          <c:idx val="1"/>
          <c:order val="1"/>
          <c:tx>
            <c:strRef>
              <c:f>'[WB and SG data.xlsx]גרפים'!$AR$118</c:f>
              <c:strCache>
                <c:ptCount val="1"/>
                <c:pt idx="0">
                  <c:v>GS</c:v>
                </c:pt>
              </c:strCache>
            </c:strRef>
          </c:tx>
          <c:spPr>
            <a:ln w="28575" cap="rnd">
              <a:solidFill>
                <a:schemeClr val="accent1"/>
              </a:solidFill>
              <a:round/>
            </a:ln>
            <a:effectLst/>
          </c:spPr>
          <c:marker>
            <c:symbol val="none"/>
          </c:marker>
          <c:cat>
            <c:numRef>
              <c:f>'[WB and SG data.xlsx]גרפים'!$AP$119:$AP$134</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'[WB and SG data.xlsx]גרפים'!$AR$119:$AR$134</c:f>
              <c:numCache>
                <c:formatCode>0%</c:formatCode>
                <c:ptCount val="16"/>
                <c:pt idx="0">
                  <c:v>0.62951335851036916</c:v>
                </c:pt>
                <c:pt idx="1">
                  <c:v>0.59155461728850434</c:v>
                </c:pt>
                <c:pt idx="2">
                  <c:v>0.68908418048064546</c:v>
                </c:pt>
                <c:pt idx="3">
                  <c:v>0.64666744178372249</c:v>
                </c:pt>
                <c:pt idx="4">
                  <c:v>0.63075738306809159</c:v>
                </c:pt>
                <c:pt idx="5">
                  <c:v>0.87763104942488934</c:v>
                </c:pt>
                <c:pt idx="6">
                  <c:v>0.70865588936088086</c:v>
                </c:pt>
                <c:pt idx="7">
                  <c:v>0.62502701546731232</c:v>
                </c:pt>
                <c:pt idx="8">
                  <c:v>0.68537642779648922</c:v>
                </c:pt>
                <c:pt idx="9">
                  <c:v>0.6469940105083466</c:v>
                </c:pt>
                <c:pt idx="10">
                  <c:v>0.69470288622641707</c:v>
                </c:pt>
                <c:pt idx="11">
                  <c:v>0.6332445980101491</c:v>
                </c:pt>
                <c:pt idx="12">
                  <c:v>0.66630595230059952</c:v>
                </c:pt>
                <c:pt idx="13">
                  <c:v>0.62380113029108453</c:v>
                </c:pt>
                <c:pt idx="14">
                  <c:v>0.77768758915069136</c:v>
                </c:pt>
                <c:pt idx="15">
                  <c:v>0.64941329238139844</c:v>
                </c:pt>
              </c:numCache>
            </c:numRef>
          </c:val>
          <c:smooth val="0"/>
          <c:extLst>
            <c:ext xmlns:c16="http://schemas.microsoft.com/office/drawing/2014/chart" uri="{C3380CC4-5D6E-409C-BE32-E72D297353CC}">
              <c16:uniqueId val="{00000001-8F17-4BE8-ABC3-BA15C2F69844}"/>
            </c:ext>
          </c:extLst>
        </c:ser>
        <c:ser>
          <c:idx val="2"/>
          <c:order val="2"/>
          <c:tx>
            <c:strRef>
              <c:f>'[WB and SG data.xlsx]גרפים'!$AS$118</c:f>
              <c:strCache>
                <c:ptCount val="1"/>
                <c:pt idx="0">
                  <c:v>WBG</c:v>
                </c:pt>
              </c:strCache>
            </c:strRef>
          </c:tx>
          <c:spPr>
            <a:ln w="28575" cap="rnd">
              <a:solidFill>
                <a:schemeClr val="accent6"/>
              </a:solidFill>
              <a:prstDash val="dash"/>
              <a:round/>
            </a:ln>
            <a:effectLst/>
          </c:spPr>
          <c:marker>
            <c:symbol val="none"/>
          </c:marker>
          <c:cat>
            <c:numRef>
              <c:f>'[WB and SG data.xlsx]גרפים'!$AP$119:$AP$134</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'[WB and SG data.xlsx]גרפים'!$AS$119:$AS$134</c:f>
              <c:numCache>
                <c:formatCode>0%</c:formatCode>
                <c:ptCount val="16"/>
                <c:pt idx="0">
                  <c:v>0.8679574230739685</c:v>
                </c:pt>
                <c:pt idx="1">
                  <c:v>0.85118306962124113</c:v>
                </c:pt>
                <c:pt idx="2">
                  <c:v>0.89967167388209313</c:v>
                </c:pt>
                <c:pt idx="3">
                  <c:v>0.85308311635155898</c:v>
                </c:pt>
                <c:pt idx="4">
                  <c:v>0.85754287919068495</c:v>
                </c:pt>
                <c:pt idx="5">
                  <c:v>0.8436745374978728</c:v>
                </c:pt>
                <c:pt idx="6">
                  <c:v>0.85610024159308518</c:v>
                </c:pt>
                <c:pt idx="7">
                  <c:v>0.85290129989917196</c:v>
                </c:pt>
                <c:pt idx="8">
                  <c:v>0.87562221015601893</c:v>
                </c:pt>
                <c:pt idx="9">
                  <c:v>0.85127357687443372</c:v>
                </c:pt>
                <c:pt idx="10">
                  <c:v>0.88814941701410199</c:v>
                </c:pt>
                <c:pt idx="11">
                  <c:v>0.87411687997294063</c:v>
                </c:pt>
                <c:pt idx="12">
                  <c:v>0.88428988373783901</c:v>
                </c:pt>
                <c:pt idx="13">
                  <c:v>0.89194974909827596</c:v>
                </c:pt>
                <c:pt idx="14">
                  <c:v>0.91397883742346542</c:v>
                </c:pt>
                <c:pt idx="15">
                  <c:v>0.87210141432837285</c:v>
                </c:pt>
              </c:numCache>
            </c:numRef>
          </c:val>
          <c:smooth val="0"/>
          <c:extLst>
            <c:ext xmlns:c16="http://schemas.microsoft.com/office/drawing/2014/chart" uri="{C3380CC4-5D6E-409C-BE32-E72D297353CC}">
              <c16:uniqueId val="{00000002-8F17-4BE8-ABC3-BA15C2F69844}"/>
            </c:ext>
          </c:extLst>
        </c:ser>
        <c:dLbls>
          <c:showLegendKey val="0"/>
          <c:showVal val="0"/>
          <c:showCatName val="0"/>
          <c:showSerName val="0"/>
          <c:showPercent val="0"/>
          <c:showBubbleSize val="0"/>
        </c:dLbls>
        <c:smooth val="0"/>
        <c:axId val="1871786175"/>
        <c:axId val="1871784927"/>
      </c:lineChart>
      <c:catAx>
        <c:axId val="1871786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71784927"/>
        <c:crosses val="autoZero"/>
        <c:auto val="1"/>
        <c:lblAlgn val="ctr"/>
        <c:lblOffset val="100"/>
        <c:noMultiLvlLbl val="0"/>
      </c:catAx>
      <c:valAx>
        <c:axId val="1871784927"/>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7178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effectLst/>
              </a:rPr>
              <a:t>Quantity of Water Purchased from Israeli Water Company out of Available Water Quantity</a:t>
            </a:r>
            <a:r>
              <a:rPr lang="en-US" sz="1200" b="1" baseline="30000">
                <a:effectLst/>
              </a:rPr>
              <a:t>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 and SG data.xlsx]גרפים'!$AR$94</c:f>
              <c:strCache>
                <c:ptCount val="1"/>
                <c:pt idx="0">
                  <c:v>WB</c:v>
                </c:pt>
              </c:strCache>
            </c:strRef>
          </c:tx>
          <c:spPr>
            <a:ln w="28575" cap="rnd">
              <a:solidFill>
                <a:schemeClr val="accent2"/>
              </a:solidFill>
              <a:round/>
            </a:ln>
            <a:effectLst/>
          </c:spPr>
          <c:marker>
            <c:symbol val="none"/>
          </c:marker>
          <c:cat>
            <c:numRef>
              <c:f>'[WB and SG data.xlsx]גרפים'!$AQ$95:$AQ$114</c:f>
              <c:numCache>
                <c:formatCode>0_ ;\-0\ </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'[WB and SG data.xlsx]גרפים'!$AR$95:$AR$114</c:f>
              <c:numCache>
                <c:formatCode>0%</c:formatCode>
                <c:ptCount val="20"/>
                <c:pt idx="0">
                  <c:v>0.25016637425131588</c:v>
                </c:pt>
                <c:pt idx="1">
                  <c:v>0.27498116567358399</c:v>
                </c:pt>
                <c:pt idx="2">
                  <c:v>0.26805977739508324</c:v>
                </c:pt>
                <c:pt idx="3">
                  <c:v>0.25928615180188669</c:v>
                </c:pt>
                <c:pt idx="4">
                  <c:v>0.25716621755300084</c:v>
                </c:pt>
                <c:pt idx="5">
                  <c:v>0.25095787046740725</c:v>
                </c:pt>
                <c:pt idx="6">
                  <c:v>0.2611938344904135</c:v>
                </c:pt>
                <c:pt idx="7">
                  <c:v>0.28321472510427165</c:v>
                </c:pt>
                <c:pt idx="8">
                  <c:v>0.33246833812911786</c:v>
                </c:pt>
                <c:pt idx="9">
                  <c:v>0.32278477621018248</c:v>
                </c:pt>
                <c:pt idx="10">
                  <c:v>0.36020806241872561</c:v>
                </c:pt>
                <c:pt idx="11">
                  <c:v>0.37795275590551181</c:v>
                </c:pt>
                <c:pt idx="12">
                  <c:v>0.33674775928297057</c:v>
                </c:pt>
                <c:pt idx="13">
                  <c:v>0.36358062538320046</c:v>
                </c:pt>
                <c:pt idx="14">
                  <c:v>0.36630036630036628</c:v>
                </c:pt>
                <c:pt idx="15">
                  <c:v>0.33972310969116076</c:v>
                </c:pt>
                <c:pt idx="16">
                  <c:v>0.37828947368421051</c:v>
                </c:pt>
                <c:pt idx="17">
                  <c:v>0.39912039582188014</c:v>
                </c:pt>
                <c:pt idx="18">
                  <c:v>0.37640449438202245</c:v>
                </c:pt>
                <c:pt idx="19">
                  <c:v>0.37640449438202245</c:v>
                </c:pt>
              </c:numCache>
            </c:numRef>
          </c:val>
          <c:smooth val="0"/>
          <c:extLst>
            <c:ext xmlns:c16="http://schemas.microsoft.com/office/drawing/2014/chart" uri="{C3380CC4-5D6E-409C-BE32-E72D297353CC}">
              <c16:uniqueId val="{00000000-8319-4A2B-9905-EBEACCBF8709}"/>
            </c:ext>
          </c:extLst>
        </c:ser>
        <c:ser>
          <c:idx val="1"/>
          <c:order val="1"/>
          <c:tx>
            <c:strRef>
              <c:f>'[WB and SG data.xlsx]גרפים'!$AS$94</c:f>
              <c:strCache>
                <c:ptCount val="1"/>
                <c:pt idx="0">
                  <c:v>GS</c:v>
                </c:pt>
              </c:strCache>
            </c:strRef>
          </c:tx>
          <c:spPr>
            <a:ln w="28575" cap="rnd">
              <a:solidFill>
                <a:schemeClr val="accent1"/>
              </a:solidFill>
              <a:round/>
            </a:ln>
            <a:effectLst/>
          </c:spPr>
          <c:marker>
            <c:symbol val="none"/>
          </c:marker>
          <c:cat>
            <c:numRef>
              <c:f>'[WB and SG data.xlsx]גרפים'!$AQ$95:$AQ$114</c:f>
              <c:numCache>
                <c:formatCode>0_ ;\-0\ </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'[WB and SG data.xlsx]גרפים'!$AS$95:$AS$114</c:f>
              <c:numCache>
                <c:formatCode>0%</c:formatCode>
                <c:ptCount val="20"/>
                <c:pt idx="0">
                  <c:v>3.4482758620689655E-2</c:v>
                </c:pt>
                <c:pt idx="1">
                  <c:v>3.4482758620689655E-2</c:v>
                </c:pt>
                <c:pt idx="2">
                  <c:v>3.4482758620689655E-2</c:v>
                </c:pt>
                <c:pt idx="3">
                  <c:v>3.4482758620689655E-2</c:v>
                </c:pt>
                <c:pt idx="4">
                  <c:v>3.4482758620689655E-2</c:v>
                </c:pt>
                <c:pt idx="5">
                  <c:v>3.8491751767478398E-2</c:v>
                </c:pt>
                <c:pt idx="6">
                  <c:v>2.3984010659560292E-2</c:v>
                </c:pt>
                <c:pt idx="7">
                  <c:v>2.4749458942528047E-2</c:v>
                </c:pt>
                <c:pt idx="8">
                  <c:v>2.5814790546544713E-2</c:v>
                </c:pt>
                <c:pt idx="9">
                  <c:v>2.0282935808688611E-2</c:v>
                </c:pt>
                <c:pt idx="10">
                  <c:v>2.4052916416115455E-2</c:v>
                </c:pt>
                <c:pt idx="11">
                  <c:v>2.5968526078633983E-2</c:v>
                </c:pt>
                <c:pt idx="12">
                  <c:v>2.9227837079164813E-2</c:v>
                </c:pt>
                <c:pt idx="13">
                  <c:v>2.7695934001178549E-2</c:v>
                </c:pt>
                <c:pt idx="14">
                  <c:v>2.7636773829667231E-2</c:v>
                </c:pt>
                <c:pt idx="15">
                  <c:v>2.2801302931596094E-2</c:v>
                </c:pt>
                <c:pt idx="16">
                  <c:v>2.072538860103627E-2</c:v>
                </c:pt>
                <c:pt idx="17">
                  <c:v>1.9743336623889437E-2</c:v>
                </c:pt>
                <c:pt idx="18">
                  <c:v>1.9564002235885967E-2</c:v>
                </c:pt>
                <c:pt idx="19">
                  <c:v>3.6056338028169016E-2</c:v>
                </c:pt>
              </c:numCache>
            </c:numRef>
          </c:val>
          <c:smooth val="0"/>
          <c:extLst>
            <c:ext xmlns:c16="http://schemas.microsoft.com/office/drawing/2014/chart" uri="{C3380CC4-5D6E-409C-BE32-E72D297353CC}">
              <c16:uniqueId val="{00000001-8319-4A2B-9905-EBEACCBF8709}"/>
            </c:ext>
          </c:extLst>
        </c:ser>
        <c:ser>
          <c:idx val="2"/>
          <c:order val="2"/>
          <c:tx>
            <c:strRef>
              <c:f>'[WB and SG data.xlsx]גרפים'!$AT$94</c:f>
              <c:strCache>
                <c:ptCount val="1"/>
                <c:pt idx="0">
                  <c:v>WBG</c:v>
                </c:pt>
              </c:strCache>
            </c:strRef>
          </c:tx>
          <c:spPr>
            <a:ln w="28575" cap="rnd">
              <a:solidFill>
                <a:schemeClr val="accent6"/>
              </a:solidFill>
              <a:prstDash val="dash"/>
              <a:round/>
            </a:ln>
            <a:effectLst/>
          </c:spPr>
          <c:marker>
            <c:symbol val="none"/>
          </c:marker>
          <c:cat>
            <c:numRef>
              <c:f>'[WB and SG data.xlsx]גרפים'!$AQ$95:$AQ$114</c:f>
              <c:numCache>
                <c:formatCode>0_ ;\-0\ </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'[WB and SG data.xlsx]גרפים'!$AT$95:$AT$114</c:f>
              <c:numCache>
                <c:formatCode>0.00%</c:formatCode>
                <c:ptCount val="20"/>
                <c:pt idx="0">
                  <c:v>0.13735788076412536</c:v>
                </c:pt>
                <c:pt idx="1">
                  <c:v>0.15165915608357233</c:v>
                </c:pt>
                <c:pt idx="2">
                  <c:v>0.13715326902465166</c:v>
                </c:pt>
                <c:pt idx="3">
                  <c:v>0.1405037812330831</c:v>
                </c:pt>
                <c:pt idx="4">
                  <c:v>0.14385429344151451</c:v>
                </c:pt>
                <c:pt idx="5">
                  <c:v>0.13376015228426394</c:v>
                </c:pt>
                <c:pt idx="6">
                  <c:v>0.13760576621748666</c:v>
                </c:pt>
                <c:pt idx="7">
                  <c:v>0.14741264162194395</c:v>
                </c:pt>
                <c:pt idx="8">
                  <c:v>0.17110204081632652</c:v>
                </c:pt>
                <c:pt idx="9">
                  <c:v>0.16930379746835442</c:v>
                </c:pt>
                <c:pt idx="10">
                  <c:v>0.18212020537601931</c:v>
                </c:pt>
                <c:pt idx="11">
                  <c:v>0.17598024081506639</c:v>
                </c:pt>
                <c:pt idx="12">
                  <c:v>0.16208476517754869</c:v>
                </c:pt>
                <c:pt idx="13">
                  <c:v>0.17309269893355209</c:v>
                </c:pt>
                <c:pt idx="14">
                  <c:v>0.18529325941056318</c:v>
                </c:pt>
                <c:pt idx="15">
                  <c:v>0.19217081850533807</c:v>
                </c:pt>
                <c:pt idx="16">
                  <c:v>0.21754675467546752</c:v>
                </c:pt>
                <c:pt idx="17">
                  <c:v>0.22174840085287847</c:v>
                </c:pt>
                <c:pt idx="18">
                  <c:v>0.22002567394094993</c:v>
                </c:pt>
                <c:pt idx="19">
                  <c:v>0.20148360851878441</c:v>
                </c:pt>
              </c:numCache>
            </c:numRef>
          </c:val>
          <c:smooth val="0"/>
          <c:extLst>
            <c:ext xmlns:c16="http://schemas.microsoft.com/office/drawing/2014/chart" uri="{C3380CC4-5D6E-409C-BE32-E72D297353CC}">
              <c16:uniqueId val="{00000002-8319-4A2B-9905-EBEACCBF8709}"/>
            </c:ext>
          </c:extLst>
        </c:ser>
        <c:dLbls>
          <c:showLegendKey val="0"/>
          <c:showVal val="0"/>
          <c:showCatName val="0"/>
          <c:showSerName val="0"/>
          <c:showPercent val="0"/>
          <c:showBubbleSize val="0"/>
        </c:dLbls>
        <c:smooth val="0"/>
        <c:axId val="1841821311"/>
        <c:axId val="1841820063"/>
      </c:lineChart>
      <c:catAx>
        <c:axId val="1841821311"/>
        <c:scaling>
          <c:orientation val="minMax"/>
        </c:scaling>
        <c:delete val="0"/>
        <c:axPos val="b"/>
        <c:numFmt formatCode="0_ ;\-0\ "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41820063"/>
        <c:crosses val="autoZero"/>
        <c:auto val="1"/>
        <c:lblAlgn val="ctr"/>
        <c:lblOffset val="100"/>
        <c:noMultiLvlLbl val="0"/>
      </c:catAx>
      <c:valAx>
        <c:axId val="18418200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41821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257754071063699E-2"/>
          <c:y val="8.1157131064262117E-2"/>
          <c:w val="0.92102898428019075"/>
          <c:h val="0.69136795148590291"/>
        </c:manualLayout>
      </c:layout>
      <c:lineChart>
        <c:grouping val="standard"/>
        <c:varyColors val="0"/>
        <c:ser>
          <c:idx val="0"/>
          <c:order val="0"/>
          <c:tx>
            <c:strRef>
              <c:f>[distribution_of_labour_force_by_type.xlsx]Sheet2!$B$3</c:f>
              <c:strCache>
                <c:ptCount val="1"/>
                <c:pt idx="0">
                  <c:v> West Bank</c:v>
                </c:pt>
              </c:strCache>
            </c:strRef>
          </c:tx>
          <c:spPr>
            <a:ln w="28575" cap="rnd">
              <a:solidFill>
                <a:schemeClr val="accent1"/>
              </a:solidFill>
              <a:round/>
            </a:ln>
            <a:effectLst/>
          </c:spPr>
          <c:marker>
            <c:symbol val="none"/>
          </c:marker>
          <c:cat>
            <c:numRef>
              <c:f>[distribution_of_labour_force_by_type.xlsx]Sheet2!$O$2:$AA$2,[distribution_of_labour_force_by_type.xlsx]Sheet2!$AB$2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[distribution_of_labour_force_by_type.xlsx]Sheet2!$O$3:$AA$3,[distribution_of_labour_force_by_type.xlsx]Sheet2!$AB$3</c:f>
              <c:numCache>
                <c:formatCode>General</c:formatCode>
                <c:ptCount val="14"/>
                <c:pt idx="0">
                  <c:v>0.22899999999999998</c:v>
                </c:pt>
                <c:pt idx="1">
                  <c:v>0.20425000000000001</c:v>
                </c:pt>
                <c:pt idx="2">
                  <c:v>0.1885</c:v>
                </c:pt>
                <c:pt idx="3">
                  <c:v>0.17899999999999999</c:v>
                </c:pt>
                <c:pt idx="4">
                  <c:v>0.1895</c:v>
                </c:pt>
                <c:pt idx="5">
                  <c:v>0.17824999999999999</c:v>
                </c:pt>
                <c:pt idx="6">
                  <c:v>0.17175000000000001</c:v>
                </c:pt>
                <c:pt idx="7">
                  <c:v>0.17274999999999999</c:v>
                </c:pt>
                <c:pt idx="8">
                  <c:v>0.18975</c:v>
                </c:pt>
                <c:pt idx="9">
                  <c:v>0.182</c:v>
                </c:pt>
                <c:pt idx="10">
                  <c:v>0.184</c:v>
                </c:pt>
                <c:pt idx="11">
                  <c:v>0.188</c:v>
                </c:pt>
                <c:pt idx="12">
                  <c:v>0.14600000000000002</c:v>
                </c:pt>
                <c:pt idx="13">
                  <c:v>0.1565</c:v>
                </c:pt>
              </c:numCache>
            </c:numRef>
          </c:val>
          <c:smooth val="0"/>
          <c:extLst>
            <c:ext xmlns:c16="http://schemas.microsoft.com/office/drawing/2014/chart" uri="{C3380CC4-5D6E-409C-BE32-E72D297353CC}">
              <c16:uniqueId val="{00000000-A828-4130-91C8-E19B8F60575B}"/>
            </c:ext>
          </c:extLst>
        </c:ser>
        <c:ser>
          <c:idx val="1"/>
          <c:order val="1"/>
          <c:tx>
            <c:strRef>
              <c:f>[distribution_of_labour_force_by_type.xlsx]Sheet2!$B$4</c:f>
              <c:strCache>
                <c:ptCount val="1"/>
                <c:pt idx="0">
                  <c:v> Gaza Strip</c:v>
                </c:pt>
              </c:strCache>
            </c:strRef>
          </c:tx>
          <c:spPr>
            <a:ln w="28575" cap="rnd">
              <a:solidFill>
                <a:schemeClr val="accent2"/>
              </a:solidFill>
              <a:round/>
            </a:ln>
            <a:effectLst/>
          </c:spPr>
          <c:marker>
            <c:symbol val="none"/>
          </c:marker>
          <c:cat>
            <c:numRef>
              <c:f>[distribution_of_labour_force_by_type.xlsx]Sheet2!$O$2:$AA$2,[distribution_of_labour_force_by_type.xlsx]Sheet2!$AB$2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[distribution_of_labour_force_by_type.xlsx]Sheet2!$O$4:$AA$4,[distribution_of_labour_force_by_type.xlsx]Sheet2!$AB$4</c:f>
              <c:numCache>
                <c:formatCode>General</c:formatCode>
                <c:ptCount val="14"/>
                <c:pt idx="0">
                  <c:v>0.35399999999999998</c:v>
                </c:pt>
                <c:pt idx="1">
                  <c:v>0.30299999999999999</c:v>
                </c:pt>
                <c:pt idx="2">
                  <c:v>0.34749999999999998</c:v>
                </c:pt>
                <c:pt idx="3">
                  <c:v>0.29699999999999999</c:v>
                </c:pt>
                <c:pt idx="4">
                  <c:v>0.40500000000000003</c:v>
                </c:pt>
                <c:pt idx="5">
                  <c:v>0.38650000000000001</c:v>
                </c:pt>
                <c:pt idx="6">
                  <c:v>0.37774999999999997</c:v>
                </c:pt>
                <c:pt idx="7">
                  <c:v>0.28699999999999998</c:v>
                </c:pt>
                <c:pt idx="8">
                  <c:v>0.31</c:v>
                </c:pt>
                <c:pt idx="9">
                  <c:v>0.41675000000000006</c:v>
                </c:pt>
                <c:pt idx="10">
                  <c:v>0.38799999999999996</c:v>
                </c:pt>
                <c:pt idx="11">
                  <c:v>0.43099999999999999</c:v>
                </c:pt>
                <c:pt idx="12">
                  <c:v>0.45200000000000001</c:v>
                </c:pt>
                <c:pt idx="13">
                  <c:v>0.46574999999999994</c:v>
                </c:pt>
              </c:numCache>
            </c:numRef>
          </c:val>
          <c:smooth val="0"/>
          <c:extLst>
            <c:ext xmlns:c16="http://schemas.microsoft.com/office/drawing/2014/chart" uri="{C3380CC4-5D6E-409C-BE32-E72D297353CC}">
              <c16:uniqueId val="{00000001-A828-4130-91C8-E19B8F60575B}"/>
            </c:ext>
          </c:extLst>
        </c:ser>
        <c:dLbls>
          <c:showLegendKey val="0"/>
          <c:showVal val="0"/>
          <c:showCatName val="0"/>
          <c:showSerName val="0"/>
          <c:showPercent val="0"/>
          <c:showBubbleSize val="0"/>
        </c:dLbls>
        <c:smooth val="0"/>
        <c:axId val="464661456"/>
        <c:axId val="464661064"/>
      </c:lineChart>
      <c:catAx>
        <c:axId val="46466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64661064"/>
        <c:crosses val="autoZero"/>
        <c:auto val="1"/>
        <c:lblAlgn val="ctr"/>
        <c:lblOffset val="100"/>
        <c:noMultiLvlLbl val="0"/>
      </c:catAx>
      <c:valAx>
        <c:axId val="464661064"/>
        <c:scaling>
          <c:orientation val="minMax"/>
          <c:max val="0.5"/>
          <c:min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6466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t>GDP per Capita Ratio </a:t>
            </a:r>
            <a:endParaRPr lang="he-IL" sz="1200" b="1"/>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גרפים!$B$88</c:f>
              <c:strCache>
                <c:ptCount val="1"/>
                <c:pt idx="0">
                  <c:v>GS/ISR</c:v>
                </c:pt>
              </c:strCache>
            </c:strRef>
          </c:tx>
          <c:spPr>
            <a:ln w="28575" cap="rnd">
              <a:solidFill>
                <a:schemeClr val="accent1"/>
              </a:solidFill>
              <a:round/>
            </a:ln>
            <a:effectLst/>
          </c:spPr>
          <c:marker>
            <c:symbol val="none"/>
          </c:marker>
          <c:cat>
            <c:numRef>
              <c:f>גרפים!$A$89:$A$113</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גרפים!$B$89:$B$113</c:f>
              <c:numCache>
                <c:formatCode>0.0%</c:formatCode>
                <c:ptCount val="25"/>
                <c:pt idx="0">
                  <c:v>8.8734516559069707E-2</c:v>
                </c:pt>
                <c:pt idx="1">
                  <c:v>8.1372228161995575E-2</c:v>
                </c:pt>
                <c:pt idx="2">
                  <c:v>8.5529794008052815E-2</c:v>
                </c:pt>
                <c:pt idx="3">
                  <c:v>9.1467008588310916E-2</c:v>
                </c:pt>
                <c:pt idx="4">
                  <c:v>8.7492135565153117E-2</c:v>
                </c:pt>
                <c:pt idx="5">
                  <c:v>6.8592565400361655E-2</c:v>
                </c:pt>
                <c:pt idx="6">
                  <c:v>6.5958273975805851E-2</c:v>
                </c:pt>
                <c:pt idx="7">
                  <c:v>6.0315758379148092E-2</c:v>
                </c:pt>
                <c:pt idx="8">
                  <c:v>7.2074182745166609E-2</c:v>
                </c:pt>
                <c:pt idx="9">
                  <c:v>7.6753192840856577E-2</c:v>
                </c:pt>
                <c:pt idx="10">
                  <c:v>8.705765784842856E-2</c:v>
                </c:pt>
                <c:pt idx="11">
                  <c:v>6.6613366205812083E-2</c:v>
                </c:pt>
                <c:pt idx="12">
                  <c:v>5.4944945811896601E-2</c:v>
                </c:pt>
                <c:pt idx="13">
                  <c:v>4.7965714663977067E-2</c:v>
                </c:pt>
                <c:pt idx="14">
                  <c:v>5.0301194183240208E-2</c:v>
                </c:pt>
                <c:pt idx="15">
                  <c:v>5.1666353175831327E-2</c:v>
                </c:pt>
                <c:pt idx="16">
                  <c:v>5.311161642461458E-2</c:v>
                </c:pt>
                <c:pt idx="17">
                  <c:v>5.5310379297614273E-2</c:v>
                </c:pt>
                <c:pt idx="18">
                  <c:v>5.6391498930488532E-2</c:v>
                </c:pt>
                <c:pt idx="19">
                  <c:v>4.6240801408487131E-2</c:v>
                </c:pt>
                <c:pt idx="20">
                  <c:v>4.5489280249110572E-2</c:v>
                </c:pt>
                <c:pt idx="21">
                  <c:v>4.7186063247146665E-2</c:v>
                </c:pt>
                <c:pt idx="22">
                  <c:v>4.1453257924489346E-2</c:v>
                </c:pt>
                <c:pt idx="23">
                  <c:v>3.8074272923564745E-2</c:v>
                </c:pt>
                <c:pt idx="24">
                  <c:v>3.647112694284238E-2</c:v>
                </c:pt>
              </c:numCache>
            </c:numRef>
          </c:val>
          <c:smooth val="0"/>
          <c:extLst>
            <c:ext xmlns:c16="http://schemas.microsoft.com/office/drawing/2014/chart" uri="{C3380CC4-5D6E-409C-BE32-E72D297353CC}">
              <c16:uniqueId val="{00000000-516F-4E4E-BA2D-CB7D517345C5}"/>
            </c:ext>
          </c:extLst>
        </c:ser>
        <c:ser>
          <c:idx val="1"/>
          <c:order val="1"/>
          <c:tx>
            <c:strRef>
              <c:f>גרפים!$C$88</c:f>
              <c:strCache>
                <c:ptCount val="1"/>
                <c:pt idx="0">
                  <c:v>WB/ISR</c:v>
                </c:pt>
              </c:strCache>
            </c:strRef>
          </c:tx>
          <c:spPr>
            <a:ln w="28575" cap="rnd">
              <a:solidFill>
                <a:schemeClr val="accent2"/>
              </a:solidFill>
              <a:round/>
            </a:ln>
            <a:effectLst/>
          </c:spPr>
          <c:marker>
            <c:symbol val="none"/>
          </c:marker>
          <c:cat>
            <c:numRef>
              <c:f>גרפים!$A$89:$A$113</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גרפים!$C$89:$C$113</c:f>
              <c:numCache>
                <c:formatCode>0.0%</c:formatCode>
                <c:ptCount val="25"/>
                <c:pt idx="0">
                  <c:v>9.7683923448153367E-2</c:v>
                </c:pt>
                <c:pt idx="1">
                  <c:v>9.0726840484931973E-2</c:v>
                </c:pt>
                <c:pt idx="2">
                  <c:v>9.8209774039322142E-2</c:v>
                </c:pt>
                <c:pt idx="3">
                  <c:v>0.10753527256190115</c:v>
                </c:pt>
                <c:pt idx="4">
                  <c:v>0.116072865686837</c:v>
                </c:pt>
                <c:pt idx="5">
                  <c:v>9.9678021782632686E-2</c:v>
                </c:pt>
                <c:pt idx="6">
                  <c:v>8.7378776311036119E-2</c:v>
                </c:pt>
                <c:pt idx="7">
                  <c:v>7.4202962061491393E-2</c:v>
                </c:pt>
                <c:pt idx="8">
                  <c:v>7.9862991543775089E-2</c:v>
                </c:pt>
                <c:pt idx="9">
                  <c:v>9.4553454298973508E-2</c:v>
                </c:pt>
                <c:pt idx="10">
                  <c:v>9.5752663347025646E-2</c:v>
                </c:pt>
                <c:pt idx="11">
                  <c:v>9.7628795336737226E-2</c:v>
                </c:pt>
                <c:pt idx="12">
                  <c:v>0.10057485357193668</c:v>
                </c:pt>
                <c:pt idx="13">
                  <c:v>0.10942828909372815</c:v>
                </c:pt>
                <c:pt idx="14">
                  <c:v>0.11820908333478264</c:v>
                </c:pt>
                <c:pt idx="15">
                  <c:v>0.11654925114405108</c:v>
                </c:pt>
                <c:pt idx="16">
                  <c:v>0.12063317719476807</c:v>
                </c:pt>
                <c:pt idx="17">
                  <c:v>0.12339894759000791</c:v>
                </c:pt>
                <c:pt idx="18">
                  <c:v>0.12191604660990174</c:v>
                </c:pt>
                <c:pt idx="19">
                  <c:v>0.12205521776731838</c:v>
                </c:pt>
                <c:pt idx="20">
                  <c:v>0.12457399554007761</c:v>
                </c:pt>
                <c:pt idx="21">
                  <c:v>0.12979984153338919</c:v>
                </c:pt>
                <c:pt idx="22">
                  <c:v>0.12918524617223295</c:v>
                </c:pt>
                <c:pt idx="23">
                  <c:v>0.12674192585898147</c:v>
                </c:pt>
                <c:pt idx="24">
                  <c:v>0.12366897038521824</c:v>
                </c:pt>
              </c:numCache>
            </c:numRef>
          </c:val>
          <c:smooth val="0"/>
          <c:extLst>
            <c:ext xmlns:c16="http://schemas.microsoft.com/office/drawing/2014/chart" uri="{C3380CC4-5D6E-409C-BE32-E72D297353CC}">
              <c16:uniqueId val="{00000001-516F-4E4E-BA2D-CB7D517345C5}"/>
            </c:ext>
          </c:extLst>
        </c:ser>
        <c:ser>
          <c:idx val="2"/>
          <c:order val="2"/>
          <c:tx>
            <c:strRef>
              <c:f>גרפים!$D$88</c:f>
              <c:strCache>
                <c:ptCount val="1"/>
                <c:pt idx="0">
                  <c:v>WBG/SR</c:v>
                </c:pt>
              </c:strCache>
            </c:strRef>
          </c:tx>
          <c:spPr>
            <a:ln w="28575" cap="rnd">
              <a:solidFill>
                <a:schemeClr val="accent6"/>
              </a:solidFill>
              <a:prstDash val="dash"/>
              <a:round/>
            </a:ln>
            <a:effectLst/>
          </c:spPr>
          <c:marker>
            <c:symbol val="none"/>
          </c:marker>
          <c:cat>
            <c:numRef>
              <c:f>גרפים!$A$89:$A$113</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גרפים!$D$89:$D$113</c:f>
              <c:numCache>
                <c:formatCode>0.00%</c:formatCode>
                <c:ptCount val="25"/>
                <c:pt idx="0">
                  <c:v>9.3534155525343665E-2</c:v>
                </c:pt>
                <c:pt idx="1">
                  <c:v>8.647855308928605E-2</c:v>
                </c:pt>
                <c:pt idx="2">
                  <c:v>9.2639615921389099E-2</c:v>
                </c:pt>
                <c:pt idx="3">
                  <c:v>0.10060461112318334</c:v>
                </c:pt>
                <c:pt idx="4">
                  <c:v>0.10440829746064423</c:v>
                </c:pt>
                <c:pt idx="5">
                  <c:v>8.7189365880260189E-2</c:v>
                </c:pt>
                <c:pt idx="6">
                  <c:v>7.8558333877403907E-2</c:v>
                </c:pt>
                <c:pt idx="7">
                  <c:v>6.8295211750948825E-2</c:v>
                </c:pt>
                <c:pt idx="8">
                  <c:v>7.6162308404598547E-2</c:v>
                </c:pt>
                <c:pt idx="9">
                  <c:v>8.7512919832801531E-2</c:v>
                </c:pt>
                <c:pt idx="10">
                  <c:v>9.230242962822105E-2</c:v>
                </c:pt>
                <c:pt idx="11">
                  <c:v>8.5280740038758532E-2</c:v>
                </c:pt>
                <c:pt idx="12">
                  <c:v>8.2351729595016188E-2</c:v>
                </c:pt>
                <c:pt idx="13">
                  <c:v>8.4710844439752853E-2</c:v>
                </c:pt>
                <c:pt idx="14">
                  <c:v>9.0727953636297515E-2</c:v>
                </c:pt>
                <c:pt idx="15">
                  <c:v>9.0134620420716099E-2</c:v>
                </c:pt>
                <c:pt idx="16">
                  <c:v>9.2986156423840227E-2</c:v>
                </c:pt>
                <c:pt idx="17">
                  <c:v>9.5368707504544611E-2</c:v>
                </c:pt>
                <c:pt idx="18">
                  <c:v>9.4805794169467023E-2</c:v>
                </c:pt>
                <c:pt idx="19">
                  <c:v>9.0532617303723667E-2</c:v>
                </c:pt>
                <c:pt idx="20">
                  <c:v>9.153988073458133E-2</c:v>
                </c:pt>
                <c:pt idx="21">
                  <c:v>9.5140931083829691E-2</c:v>
                </c:pt>
                <c:pt idx="22">
                  <c:v>9.2224577616792411E-2</c:v>
                </c:pt>
                <c:pt idx="23">
                  <c:v>8.9231600199456362E-2</c:v>
                </c:pt>
                <c:pt idx="24">
                  <c:v>8.6633671882298133E-2</c:v>
                </c:pt>
              </c:numCache>
            </c:numRef>
          </c:val>
          <c:smooth val="0"/>
          <c:extLst>
            <c:ext xmlns:c16="http://schemas.microsoft.com/office/drawing/2014/chart" uri="{C3380CC4-5D6E-409C-BE32-E72D297353CC}">
              <c16:uniqueId val="{00000002-516F-4E4E-BA2D-CB7D517345C5}"/>
            </c:ext>
          </c:extLst>
        </c:ser>
        <c:dLbls>
          <c:showLegendKey val="0"/>
          <c:showVal val="0"/>
          <c:showCatName val="0"/>
          <c:showSerName val="0"/>
          <c:showPercent val="0"/>
          <c:showBubbleSize val="0"/>
        </c:dLbls>
        <c:smooth val="0"/>
        <c:axId val="1871997471"/>
        <c:axId val="1871983743"/>
      </c:lineChart>
      <c:catAx>
        <c:axId val="1871997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71983743"/>
        <c:crosses val="autoZero"/>
        <c:auto val="1"/>
        <c:lblAlgn val="ctr"/>
        <c:lblOffset val="100"/>
        <c:noMultiLvlLbl val="0"/>
      </c:catAx>
      <c:valAx>
        <c:axId val="1871983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71997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Daily Wage Ratio</a:t>
            </a:r>
            <a:endParaRPr lang="he-I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 and SG data.xlsx]גרפים'!$W$120</c:f>
              <c:strCache>
                <c:ptCount val="1"/>
                <c:pt idx="0">
                  <c:v>GS</c:v>
                </c:pt>
              </c:strCache>
            </c:strRef>
          </c:tx>
          <c:spPr>
            <a:ln w="28575" cap="rnd">
              <a:solidFill>
                <a:schemeClr val="accent1"/>
              </a:solidFill>
              <a:round/>
            </a:ln>
            <a:effectLst/>
          </c:spPr>
          <c:marker>
            <c:symbol val="none"/>
          </c:marker>
          <c:cat>
            <c:numRef>
              <c:f>'[WB and SG data.xlsx]גרפים'!$V$121:$V$170</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cat>
          <c:val>
            <c:numRef>
              <c:f>'[WB and SG data.xlsx]גרפים'!$W$121:$W$170</c:f>
              <c:numCache>
                <c:formatCode>0%</c:formatCode>
                <c:ptCount val="50"/>
                <c:pt idx="0">
                  <c:v>0.49664429530201343</c:v>
                </c:pt>
                <c:pt idx="1">
                  <c:v>0.54609929078014185</c:v>
                </c:pt>
                <c:pt idx="2">
                  <c:v>0.5864197530864198</c:v>
                </c:pt>
                <c:pt idx="3">
                  <c:v>0.65168539325842689</c:v>
                </c:pt>
                <c:pt idx="4">
                  <c:v>0.73913043478260865</c:v>
                </c:pt>
                <c:pt idx="5">
                  <c:v>0.85211267605633811</c:v>
                </c:pt>
                <c:pt idx="6">
                  <c:v>0.8601398601398601</c:v>
                </c:pt>
                <c:pt idx="7">
                  <c:v>0.88805970149253732</c:v>
                </c:pt>
                <c:pt idx="8">
                  <c:v>0.88275862068965516</c:v>
                </c:pt>
                <c:pt idx="9">
                  <c:v>0.73714285714285721</c:v>
                </c:pt>
                <c:pt idx="10">
                  <c:v>0.91503267973856195</c:v>
                </c:pt>
                <c:pt idx="11">
                  <c:v>0.9729729729729728</c:v>
                </c:pt>
                <c:pt idx="12">
                  <c:v>0.96363636363636362</c:v>
                </c:pt>
                <c:pt idx="13">
                  <c:v>0.96969696969696972</c:v>
                </c:pt>
                <c:pt idx="14">
                  <c:v>1.2446043165467626</c:v>
                </c:pt>
                <c:pt idx="15">
                  <c:v>1.1742424242424243</c:v>
                </c:pt>
                <c:pt idx="16">
                  <c:v>0.92934782608695676</c:v>
                </c:pt>
                <c:pt idx="17">
                  <c:v>0.8278388278388279</c:v>
                </c:pt>
                <c:pt idx="18">
                  <c:v>0.78197674418604646</c:v>
                </c:pt>
                <c:pt idx="19">
                  <c:v>0.72660098522167482</c:v>
                </c:pt>
                <c:pt idx="20">
                  <c:v>0.70065075921908881</c:v>
                </c:pt>
                <c:pt idx="21">
                  <c:v>0.62333151457886959</c:v>
                </c:pt>
                <c:pt idx="22">
                  <c:v>0.62333151457886959</c:v>
                </c:pt>
                <c:pt idx="23">
                  <c:v>0.62333151457886959</c:v>
                </c:pt>
                <c:pt idx="24">
                  <c:v>0.62333151457886959</c:v>
                </c:pt>
                <c:pt idx="25">
                  <c:v>0.54601226993865026</c:v>
                </c:pt>
                <c:pt idx="26">
                  <c:v>0.49069767441860468</c:v>
                </c:pt>
                <c:pt idx="27">
                  <c:v>0.47650273224043715</c:v>
                </c:pt>
                <c:pt idx="28">
                  <c:v>0.47500000000000003</c:v>
                </c:pt>
                <c:pt idx="29">
                  <c:v>0.48582230623818529</c:v>
                </c:pt>
                <c:pt idx="30">
                  <c:v>0.48278985507246369</c:v>
                </c:pt>
                <c:pt idx="31">
                  <c:v>0.50888681010289982</c:v>
                </c:pt>
                <c:pt idx="32">
                  <c:v>0.47500000000000003</c:v>
                </c:pt>
                <c:pt idx="33">
                  <c:v>0.43485342019543977</c:v>
                </c:pt>
                <c:pt idx="34">
                  <c:v>0.46528332003192335</c:v>
                </c:pt>
                <c:pt idx="35">
                  <c:v>0.49363057324840764</c:v>
                </c:pt>
                <c:pt idx="36">
                  <c:v>0.53158705701078579</c:v>
                </c:pt>
                <c:pt idx="37">
                  <c:v>0.43562928236566895</c:v>
                </c:pt>
                <c:pt idx="38">
                  <c:v>0.43562928236566895</c:v>
                </c:pt>
                <c:pt idx="39">
                  <c:v>0.4136639566395664</c:v>
                </c:pt>
                <c:pt idx="40">
                  <c:v>0.37001897533206835</c:v>
                </c:pt>
                <c:pt idx="41">
                  <c:v>0.3800350801612456</c:v>
                </c:pt>
                <c:pt idx="42">
                  <c:v>0.39244079924067271</c:v>
                </c:pt>
                <c:pt idx="43">
                  <c:v>0.36592338479130931</c:v>
                </c:pt>
                <c:pt idx="44">
                  <c:v>0.33991462113127002</c:v>
                </c:pt>
                <c:pt idx="45">
                  <c:v>0.28290884104443426</c:v>
                </c:pt>
                <c:pt idx="46">
                  <c:v>0.28290884104443426</c:v>
                </c:pt>
                <c:pt idx="47">
                  <c:v>0.2617893345085941</c:v>
                </c:pt>
                <c:pt idx="48">
                  <c:v>0.25956396544631838</c:v>
                </c:pt>
                <c:pt idx="49">
                  <c:v>0.24056603773584903</c:v>
                </c:pt>
              </c:numCache>
            </c:numRef>
          </c:val>
          <c:smooth val="0"/>
          <c:extLst>
            <c:ext xmlns:c16="http://schemas.microsoft.com/office/drawing/2014/chart" uri="{C3380CC4-5D6E-409C-BE32-E72D297353CC}">
              <c16:uniqueId val="{00000000-D0D8-46D4-A883-777116185D3D}"/>
            </c:ext>
          </c:extLst>
        </c:ser>
        <c:ser>
          <c:idx val="1"/>
          <c:order val="1"/>
          <c:tx>
            <c:strRef>
              <c:f>'[WB and SG data.xlsx]גרפים'!$X$120</c:f>
              <c:strCache>
                <c:ptCount val="1"/>
                <c:pt idx="0">
                  <c:v>WB</c:v>
                </c:pt>
              </c:strCache>
            </c:strRef>
          </c:tx>
          <c:spPr>
            <a:ln w="28575" cap="rnd">
              <a:solidFill>
                <a:schemeClr val="accent2"/>
              </a:solidFill>
              <a:round/>
            </a:ln>
            <a:effectLst/>
          </c:spPr>
          <c:marker>
            <c:symbol val="none"/>
          </c:marker>
          <c:cat>
            <c:numRef>
              <c:f>'[WB and SG data.xlsx]גרפים'!$V$121:$V$170</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cat>
          <c:val>
            <c:numRef>
              <c:f>'[WB and SG data.xlsx]גרפים'!$X$121:$X$170</c:f>
              <c:numCache>
                <c:formatCode>0%</c:formatCode>
                <c:ptCount val="50"/>
                <c:pt idx="0">
                  <c:v>0.57823129251700689</c:v>
                </c:pt>
                <c:pt idx="1">
                  <c:v>0.63636363636363624</c:v>
                </c:pt>
                <c:pt idx="2">
                  <c:v>0.67532467532467533</c:v>
                </c:pt>
                <c:pt idx="3">
                  <c:v>0.68789808917197459</c:v>
                </c:pt>
                <c:pt idx="4">
                  <c:v>0.71341463414634154</c:v>
                </c:pt>
                <c:pt idx="5">
                  <c:v>0.79220779220779214</c:v>
                </c:pt>
                <c:pt idx="6">
                  <c:v>0.87586206896551722</c:v>
                </c:pt>
                <c:pt idx="7">
                  <c:v>0.900709219858156</c:v>
                </c:pt>
                <c:pt idx="8">
                  <c:v>0.88275862068965516</c:v>
                </c:pt>
                <c:pt idx="9">
                  <c:v>0.84353741496598655</c:v>
                </c:pt>
                <c:pt idx="10">
                  <c:v>0.8896551724137931</c:v>
                </c:pt>
                <c:pt idx="11">
                  <c:v>0.85624999999999996</c:v>
                </c:pt>
                <c:pt idx="12">
                  <c:v>0.87283236994219648</c:v>
                </c:pt>
                <c:pt idx="13">
                  <c:v>0.86046511627906985</c:v>
                </c:pt>
                <c:pt idx="14">
                  <c:v>1.0205479452054795</c:v>
                </c:pt>
                <c:pt idx="15">
                  <c:v>1.0206896551724138</c:v>
                </c:pt>
                <c:pt idx="16">
                  <c:v>0.90659340659340659</c:v>
                </c:pt>
                <c:pt idx="17">
                  <c:v>0.85416666666666674</c:v>
                </c:pt>
                <c:pt idx="18">
                  <c:v>0.75471698113207553</c:v>
                </c:pt>
                <c:pt idx="19">
                  <c:v>0.65738161559888586</c:v>
                </c:pt>
                <c:pt idx="20">
                  <c:v>0.71989528795811519</c:v>
                </c:pt>
                <c:pt idx="21">
                  <c:v>0.74663370502840309</c:v>
                </c:pt>
                <c:pt idx="22">
                  <c:v>0.72716137593140751</c:v>
                </c:pt>
                <c:pt idx="23">
                  <c:v>0.75197840052136666</c:v>
                </c:pt>
                <c:pt idx="24">
                  <c:v>0.68912581843921439</c:v>
                </c:pt>
                <c:pt idx="25">
                  <c:v>0.69325153374233128</c:v>
                </c:pt>
                <c:pt idx="26">
                  <c:v>0.56511627906976747</c:v>
                </c:pt>
                <c:pt idx="27">
                  <c:v>0.56502732240437159</c:v>
                </c:pt>
                <c:pt idx="28">
                  <c:v>0.57599999999999996</c:v>
                </c:pt>
                <c:pt idx="29">
                  <c:v>0.62570888468809083</c:v>
                </c:pt>
                <c:pt idx="30">
                  <c:v>0.62952898550724634</c:v>
                </c:pt>
                <c:pt idx="31">
                  <c:v>0.64639850327408788</c:v>
                </c:pt>
                <c:pt idx="32">
                  <c:v>0.61120689655172422</c:v>
                </c:pt>
                <c:pt idx="33">
                  <c:v>0.58550488599348538</c:v>
                </c:pt>
                <c:pt idx="34">
                  <c:v>0.57621707901037511</c:v>
                </c:pt>
                <c:pt idx="35">
                  <c:v>0.58200636942675155</c:v>
                </c:pt>
                <c:pt idx="36">
                  <c:v>0.5901386748844375</c:v>
                </c:pt>
                <c:pt idx="37">
                  <c:v>0.60151460512080779</c:v>
                </c:pt>
                <c:pt idx="38">
                  <c:v>0.60151460512080779</c:v>
                </c:pt>
                <c:pt idx="39">
                  <c:v>0.5724932249322493</c:v>
                </c:pt>
                <c:pt idx="40">
                  <c:v>0.52497153583407696</c:v>
                </c:pt>
                <c:pt idx="41">
                  <c:v>0.52497153583407696</c:v>
                </c:pt>
                <c:pt idx="42">
                  <c:v>0.51000571755288737</c:v>
                </c:pt>
                <c:pt idx="43">
                  <c:v>0.51000571755288737</c:v>
                </c:pt>
                <c:pt idx="44">
                  <c:v>0.4861259338313767</c:v>
                </c:pt>
                <c:pt idx="45">
                  <c:v>0.47453634085213037</c:v>
                </c:pt>
                <c:pt idx="46">
                  <c:v>0.45107650022904255</c:v>
                </c:pt>
                <c:pt idx="47">
                  <c:v>0.44865579550462753</c:v>
                </c:pt>
                <c:pt idx="48">
                  <c:v>0.45002056766762655</c:v>
                </c:pt>
                <c:pt idx="49">
                  <c:v>0.46737421383647804</c:v>
                </c:pt>
              </c:numCache>
            </c:numRef>
          </c:val>
          <c:smooth val="0"/>
          <c:extLst>
            <c:ext xmlns:c16="http://schemas.microsoft.com/office/drawing/2014/chart" uri="{C3380CC4-5D6E-409C-BE32-E72D297353CC}">
              <c16:uniqueId val="{00000001-D0D8-46D4-A883-777116185D3D}"/>
            </c:ext>
          </c:extLst>
        </c:ser>
        <c:ser>
          <c:idx val="2"/>
          <c:order val="2"/>
          <c:tx>
            <c:strRef>
              <c:f>'[WB and SG data.xlsx]גרפים'!$Y$120</c:f>
              <c:strCache>
                <c:ptCount val="1"/>
                <c:pt idx="0">
                  <c:v>WBG</c:v>
                </c:pt>
              </c:strCache>
            </c:strRef>
          </c:tx>
          <c:spPr>
            <a:ln w="28575" cap="rnd">
              <a:solidFill>
                <a:schemeClr val="accent6"/>
              </a:solidFill>
              <a:prstDash val="dash"/>
              <a:round/>
            </a:ln>
            <a:effectLst/>
          </c:spPr>
          <c:marker>
            <c:symbol val="none"/>
          </c:marker>
          <c:cat>
            <c:numRef>
              <c:f>'[WB and SG data.xlsx]גרפים'!$V$121:$V$170</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cat>
          <c:val>
            <c:numRef>
              <c:f>'[WB and SG data.xlsx]גרפים'!$Y$121:$Y$170</c:f>
              <c:numCache>
                <c:formatCode>0%</c:formatCode>
                <c:ptCount val="50"/>
                <c:pt idx="0">
                  <c:v>0.55266891133940776</c:v>
                </c:pt>
                <c:pt idx="1">
                  <c:v>0.61168224299065421</c:v>
                </c:pt>
                <c:pt idx="2">
                  <c:v>0.64254473868955431</c:v>
                </c:pt>
                <c:pt idx="3">
                  <c:v>0.67413229327404134</c:v>
                </c:pt>
                <c:pt idx="4">
                  <c:v>0.72298330665638699</c:v>
                </c:pt>
                <c:pt idx="5">
                  <c:v>0.81454847959079657</c:v>
                </c:pt>
                <c:pt idx="6">
                  <c:v>0.86904727222445</c:v>
                </c:pt>
                <c:pt idx="7">
                  <c:v>0.89513596996652767</c:v>
                </c:pt>
                <c:pt idx="8">
                  <c:v>0.88275862068965516</c:v>
                </c:pt>
                <c:pt idx="9">
                  <c:v>0.7905908811796668</c:v>
                </c:pt>
                <c:pt idx="10">
                  <c:v>0.90116506192982049</c:v>
                </c:pt>
                <c:pt idx="11">
                  <c:v>0.90794917678602405</c:v>
                </c:pt>
                <c:pt idx="12">
                  <c:v>0.9121141804573879</c:v>
                </c:pt>
                <c:pt idx="13">
                  <c:v>0.9067089680824878</c:v>
                </c:pt>
                <c:pt idx="14">
                  <c:v>1.1095732761429751</c:v>
                </c:pt>
                <c:pt idx="15">
                  <c:v>1.0873300857861232</c:v>
                </c:pt>
                <c:pt idx="16">
                  <c:v>0.91574759240495351</c:v>
                </c:pt>
                <c:pt idx="17">
                  <c:v>0.84284405536439011</c:v>
                </c:pt>
                <c:pt idx="18">
                  <c:v>0.76579544508285469</c:v>
                </c:pt>
                <c:pt idx="19">
                  <c:v>0.68184046579009705</c:v>
                </c:pt>
                <c:pt idx="20">
                  <c:v>0.71206840273276317</c:v>
                </c:pt>
                <c:pt idx="21">
                  <c:v>0.68498260980363634</c:v>
                </c:pt>
                <c:pt idx="22">
                  <c:v>0.67524644525513855</c:v>
                </c:pt>
                <c:pt idx="23">
                  <c:v>0.68765495755011807</c:v>
                </c:pt>
                <c:pt idx="24">
                  <c:v>0.65622866650904199</c:v>
                </c:pt>
                <c:pt idx="25" formatCode="0.00%">
                  <c:v>0.62085889570552144</c:v>
                </c:pt>
                <c:pt idx="26" formatCode="0.00%">
                  <c:v>0.54418604651162783</c:v>
                </c:pt>
                <c:pt idx="27" formatCode="0.00%">
                  <c:v>0.53879781420765027</c:v>
                </c:pt>
                <c:pt idx="28" formatCode="0.00%">
                  <c:v>0.53400000000000003</c:v>
                </c:pt>
                <c:pt idx="29" formatCode="0.00%">
                  <c:v>0.57277882797731572</c:v>
                </c:pt>
                <c:pt idx="30" formatCode="0.00%">
                  <c:v>0.57556561085972857</c:v>
                </c:pt>
                <c:pt idx="31" formatCode="0.00%">
                  <c:v>0.60093896713615025</c:v>
                </c:pt>
                <c:pt idx="32" formatCode="0.00%">
                  <c:v>0.55948275862068975</c:v>
                </c:pt>
                <c:pt idx="33" formatCode="0.00%">
                  <c:v>0.52524429967426711</c:v>
                </c:pt>
                <c:pt idx="34" formatCode="0.00%">
                  <c:v>0.53312051077414202</c:v>
                </c:pt>
                <c:pt idx="35" formatCode="0.00%">
                  <c:v>0.54777070063694266</c:v>
                </c:pt>
                <c:pt idx="36" formatCode="0.00%">
                  <c:v>0.56779661016949146</c:v>
                </c:pt>
                <c:pt idx="37" formatCode="0.00%">
                  <c:v>0.56307692307692314</c:v>
                </c:pt>
                <c:pt idx="38" formatCode="0.00%">
                  <c:v>0.55242227042660885</c:v>
                </c:pt>
                <c:pt idx="39" formatCode="0.00%">
                  <c:v>0.53814989871708308</c:v>
                </c:pt>
                <c:pt idx="40" formatCode="0.00%">
                  <c:v>0.49303797468354432</c:v>
                </c:pt>
                <c:pt idx="41" formatCode="0.00%">
                  <c:v>0.47971384601986999</c:v>
                </c:pt>
                <c:pt idx="42" formatCode="0.00%">
                  <c:v>0.4862788195004073</c:v>
                </c:pt>
                <c:pt idx="43" formatCode="0.00%">
                  <c:v>0.45915894511760519</c:v>
                </c:pt>
                <c:pt idx="44" formatCode="0.00%">
                  <c:v>0.44519999999999998</c:v>
                </c:pt>
                <c:pt idx="45" formatCode="0.00%">
                  <c:v>0.41816429520545129</c:v>
                </c:pt>
                <c:pt idx="46" formatCode="0.00%">
                  <c:v>0.39213663457129755</c:v>
                </c:pt>
                <c:pt idx="47" formatCode="0.00%">
                  <c:v>0.38435261707988971</c:v>
                </c:pt>
                <c:pt idx="48" formatCode="0.00%">
                  <c:v>0.38987237546315362</c:v>
                </c:pt>
                <c:pt idx="49" formatCode="0.00%">
                  <c:v>0.39695181907571286</c:v>
                </c:pt>
              </c:numCache>
            </c:numRef>
          </c:val>
          <c:smooth val="0"/>
          <c:extLst>
            <c:ext xmlns:c16="http://schemas.microsoft.com/office/drawing/2014/chart" uri="{C3380CC4-5D6E-409C-BE32-E72D297353CC}">
              <c16:uniqueId val="{00000002-D0D8-46D4-A883-777116185D3D}"/>
            </c:ext>
          </c:extLst>
        </c:ser>
        <c:dLbls>
          <c:showLegendKey val="0"/>
          <c:showVal val="0"/>
          <c:showCatName val="0"/>
          <c:showSerName val="0"/>
          <c:showPercent val="0"/>
          <c:showBubbleSize val="0"/>
        </c:dLbls>
        <c:smooth val="0"/>
        <c:axId val="1871987487"/>
        <c:axId val="1871982079"/>
      </c:lineChart>
      <c:catAx>
        <c:axId val="1871987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71982079"/>
        <c:crosses val="autoZero"/>
        <c:auto val="1"/>
        <c:lblAlgn val="ctr"/>
        <c:lblOffset val="100"/>
        <c:noMultiLvlLbl val="0"/>
      </c:catAx>
      <c:valAx>
        <c:axId val="1871982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71987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WBG!$P$59</c:f>
              <c:strCache>
                <c:ptCount val="1"/>
                <c:pt idx="0">
                  <c:v>ISR-WBG-II</c:v>
                </c:pt>
              </c:strCache>
            </c:strRef>
          </c:tx>
          <c:spPr>
            <a:ln w="28575" cap="rnd">
              <a:solidFill>
                <a:schemeClr val="accent6"/>
              </a:solidFill>
              <a:prstDash val="dash"/>
              <a:round/>
            </a:ln>
            <a:effectLst/>
          </c:spPr>
          <c:marker>
            <c:symbol val="none"/>
          </c:marker>
          <c:cat>
            <c:numRef>
              <c:f>WBG!$O$60:$O$71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WBG!$P$60:$P$71</c:f>
              <c:numCache>
                <c:formatCode>0%</c:formatCode>
                <c:ptCount val="12"/>
                <c:pt idx="0">
                  <c:v>0.34069211770866958</c:v>
                </c:pt>
                <c:pt idx="1">
                  <c:v>0.31936828133150152</c:v>
                </c:pt>
                <c:pt idx="2">
                  <c:v>0.34384713862071858</c:v>
                </c:pt>
                <c:pt idx="3">
                  <c:v>0.3299405904622667</c:v>
                </c:pt>
                <c:pt idx="4">
                  <c:v>0.4246146027982598</c:v>
                </c:pt>
                <c:pt idx="5">
                  <c:v>0.44666589114828698</c:v>
                </c:pt>
                <c:pt idx="6">
                  <c:v>0.50234821096744087</c:v>
                </c:pt>
                <c:pt idx="7">
                  <c:v>0.45686926313841852</c:v>
                </c:pt>
                <c:pt idx="8">
                  <c:v>0.51685576196819161</c:v>
                </c:pt>
                <c:pt idx="9">
                  <c:v>0.56762827724824139</c:v>
                </c:pt>
                <c:pt idx="10">
                  <c:v>0.65422098632418824</c:v>
                </c:pt>
                <c:pt idx="11">
                  <c:v>0.56958391330040803</c:v>
                </c:pt>
              </c:numCache>
            </c:numRef>
          </c:val>
          <c:smooth val="0"/>
          <c:extLst>
            <c:ext xmlns:c16="http://schemas.microsoft.com/office/drawing/2014/chart" uri="{C3380CC4-5D6E-409C-BE32-E72D297353CC}">
              <c16:uniqueId val="{00000000-7438-4A5E-B259-4CB6827DF69B}"/>
            </c:ext>
          </c:extLst>
        </c:ser>
        <c:ser>
          <c:idx val="1"/>
          <c:order val="1"/>
          <c:tx>
            <c:strRef>
              <c:f>WBG!$Q$59</c:f>
              <c:strCache>
                <c:ptCount val="1"/>
                <c:pt idx="0">
                  <c:v>ISR-WB-II</c:v>
                </c:pt>
              </c:strCache>
            </c:strRef>
          </c:tx>
          <c:spPr>
            <a:ln w="28575" cap="rnd">
              <a:solidFill>
                <a:schemeClr val="accent2"/>
              </a:solidFill>
              <a:round/>
            </a:ln>
            <a:effectLst/>
          </c:spPr>
          <c:marker>
            <c:symbol val="none"/>
          </c:marker>
          <c:cat>
            <c:numRef>
              <c:f>WBG!$O$60:$O$71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WBG!$Q$60:$Q$71</c:f>
              <c:numCache>
                <c:formatCode>0%</c:formatCode>
                <c:ptCount val="12"/>
                <c:pt idx="0">
                  <c:v>0.34557891219187326</c:v>
                </c:pt>
                <c:pt idx="1">
                  <c:v>0.32141128711831213</c:v>
                </c:pt>
                <c:pt idx="2">
                  <c:v>0.34648282364599109</c:v>
                </c:pt>
                <c:pt idx="3">
                  <c:v>0.34441314898193026</c:v>
                </c:pt>
                <c:pt idx="4">
                  <c:v>0.38862684094188044</c:v>
                </c:pt>
                <c:pt idx="5">
                  <c:v>0.52815916189870127</c:v>
                </c:pt>
                <c:pt idx="6">
                  <c:v>0.55447094784251794</c:v>
                </c:pt>
                <c:pt idx="7">
                  <c:v>0.49997664933587976</c:v>
                </c:pt>
                <c:pt idx="8">
                  <c:v>0.52694133646362407</c:v>
                </c:pt>
                <c:pt idx="9">
                  <c:v>0.61029578255269823</c:v>
                </c:pt>
                <c:pt idx="10">
                  <c:v>0.61824333727935221</c:v>
                </c:pt>
                <c:pt idx="11">
                  <c:v>0.6145695445166327</c:v>
                </c:pt>
              </c:numCache>
            </c:numRef>
          </c:val>
          <c:smooth val="0"/>
          <c:extLst>
            <c:ext xmlns:c16="http://schemas.microsoft.com/office/drawing/2014/chart" uri="{C3380CC4-5D6E-409C-BE32-E72D297353CC}">
              <c16:uniqueId val="{00000001-7438-4A5E-B259-4CB6827DF69B}"/>
            </c:ext>
          </c:extLst>
        </c:ser>
        <c:ser>
          <c:idx val="2"/>
          <c:order val="2"/>
          <c:tx>
            <c:strRef>
              <c:f>WBG!$R$59</c:f>
              <c:strCache>
                <c:ptCount val="1"/>
                <c:pt idx="0">
                  <c:v>ISR-GS-II</c:v>
                </c:pt>
              </c:strCache>
            </c:strRef>
          </c:tx>
          <c:spPr>
            <a:ln w="28575" cap="rnd">
              <a:solidFill>
                <a:schemeClr val="accent1"/>
              </a:solidFill>
              <a:round/>
            </a:ln>
            <a:effectLst/>
          </c:spPr>
          <c:marker>
            <c:symbol val="none"/>
          </c:marker>
          <c:cat>
            <c:numRef>
              <c:f>WBG!$O$60:$O$71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WBG!$R$60:$R$71</c:f>
              <c:numCache>
                <c:formatCode>0%</c:formatCode>
                <c:ptCount val="12"/>
                <c:pt idx="0">
                  <c:v>0.3944114786037175</c:v>
                </c:pt>
                <c:pt idx="1">
                  <c:v>0.45464193030340094</c:v>
                </c:pt>
                <c:pt idx="2">
                  <c:v>0.43747968380996499</c:v>
                </c:pt>
                <c:pt idx="3">
                  <c:v>0.40429987735037387</c:v>
                </c:pt>
                <c:pt idx="4">
                  <c:v>0.35138622315770862</c:v>
                </c:pt>
                <c:pt idx="5">
                  <c:v>0.34074801310352826</c:v>
                </c:pt>
                <c:pt idx="6">
                  <c:v>0.37314256812185842</c:v>
                </c:pt>
                <c:pt idx="7">
                  <c:v>0.47644719615949926</c:v>
                </c:pt>
                <c:pt idx="8">
                  <c:v>0.61579617544495102</c:v>
                </c:pt>
                <c:pt idx="9">
                  <c:v>0.46356953439940313</c:v>
                </c:pt>
                <c:pt idx="10">
                  <c:v>0.61592123595722303</c:v>
                </c:pt>
                <c:pt idx="11">
                  <c:v>0.51125211053434494</c:v>
                </c:pt>
              </c:numCache>
            </c:numRef>
          </c:val>
          <c:smooth val="0"/>
          <c:extLst>
            <c:ext xmlns:c16="http://schemas.microsoft.com/office/drawing/2014/chart" uri="{C3380CC4-5D6E-409C-BE32-E72D297353CC}">
              <c16:uniqueId val="{00000002-7438-4A5E-B259-4CB6827DF69B}"/>
            </c:ext>
          </c:extLst>
        </c:ser>
        <c:dLbls>
          <c:showLegendKey val="0"/>
          <c:showVal val="0"/>
          <c:showCatName val="0"/>
          <c:showSerName val="0"/>
          <c:showPercent val="0"/>
          <c:showBubbleSize val="0"/>
        </c:dLbls>
        <c:smooth val="0"/>
        <c:axId val="99975968"/>
        <c:axId val="99977216"/>
      </c:lineChart>
      <c:catAx>
        <c:axId val="9997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99977216"/>
        <c:crosses val="autoZero"/>
        <c:auto val="1"/>
        <c:lblAlgn val="ctr"/>
        <c:lblOffset val="100"/>
        <c:noMultiLvlLbl val="0"/>
      </c:catAx>
      <c:valAx>
        <c:axId val="999772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9997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Trade and employment</a:t>
            </a:r>
            <a:endParaRPr lang="he-IL"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WBG!$D$94</c:f>
              <c:strCache>
                <c:ptCount val="1"/>
                <c:pt idx="0">
                  <c:v>Trade and employment</c:v>
                </c:pt>
              </c:strCache>
            </c:strRef>
          </c:tx>
          <c:spPr>
            <a:ln w="28575" cap="rnd">
              <a:solidFill>
                <a:schemeClr val="accent2"/>
              </a:solidFill>
              <a:round/>
            </a:ln>
            <a:effectLst/>
          </c:spPr>
          <c:marker>
            <c:symbol val="none"/>
          </c:marker>
          <c:cat>
            <c:numRef>
              <c:f>WBG!$C$95:$C$106</c:f>
              <c:numCache>
                <c:formatCode>General</c:formatCode>
                <c:ptCount val="12"/>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WBG!$D$95:$D$106</c:f>
              <c:numCache>
                <c:formatCode>0%</c:formatCode>
                <c:ptCount val="12"/>
                <c:pt idx="0" formatCode="General">
                  <c:v>0</c:v>
                </c:pt>
                <c:pt idx="1">
                  <c:v>0.60365672596070252</c:v>
                </c:pt>
                <c:pt idx="2">
                  <c:v>0.44433750318678705</c:v>
                </c:pt>
                <c:pt idx="3">
                  <c:v>0.34079547103796826</c:v>
                </c:pt>
                <c:pt idx="4">
                  <c:v>0.3693667241521435</c:v>
                </c:pt>
                <c:pt idx="5">
                  <c:v>0.23453796577409028</c:v>
                </c:pt>
                <c:pt idx="6">
                  <c:v>0.55784788294780996</c:v>
                </c:pt>
                <c:pt idx="7">
                  <c:v>0.49390396082841015</c:v>
                </c:pt>
                <c:pt idx="8">
                  <c:v>0.41680325095973614</c:v>
                </c:pt>
                <c:pt idx="9">
                  <c:v>0.38875311982642058</c:v>
                </c:pt>
                <c:pt idx="10">
                  <c:v>0.45250385891259937</c:v>
                </c:pt>
                <c:pt idx="11">
                  <c:v>0.55893247446850647</c:v>
                </c:pt>
              </c:numCache>
            </c:numRef>
          </c:val>
          <c:smooth val="0"/>
          <c:extLst>
            <c:ext xmlns:c16="http://schemas.microsoft.com/office/drawing/2014/chart" uri="{C3380CC4-5D6E-409C-BE32-E72D297353CC}">
              <c16:uniqueId val="{00000000-61E8-4650-B265-79EC82AF663E}"/>
            </c:ext>
          </c:extLst>
        </c:ser>
        <c:ser>
          <c:idx val="1"/>
          <c:order val="1"/>
          <c:tx>
            <c:strRef>
              <c:f>WBG!$E$94</c:f>
              <c:strCache>
                <c:ptCount val="1"/>
              </c:strCache>
            </c:strRef>
          </c:tx>
          <c:spPr>
            <a:ln w="28575" cap="rnd">
              <a:solidFill>
                <a:schemeClr val="accent1"/>
              </a:solidFill>
              <a:round/>
            </a:ln>
            <a:effectLst/>
          </c:spPr>
          <c:marker>
            <c:symbol val="none"/>
          </c:marker>
          <c:cat>
            <c:numRef>
              <c:f>WBG!$C$95:$C$106</c:f>
              <c:numCache>
                <c:formatCode>General</c:formatCode>
                <c:ptCount val="12"/>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WBG!$E$95:$E$106</c:f>
              <c:numCache>
                <c:formatCode>0%</c:formatCode>
                <c:ptCount val="12"/>
                <c:pt idx="0" formatCode="General">
                  <c:v>0</c:v>
                </c:pt>
                <c:pt idx="1">
                  <c:v>0.4791980896843433</c:v>
                </c:pt>
                <c:pt idx="2">
                  <c:v>0.5</c:v>
                </c:pt>
                <c:pt idx="3">
                  <c:v>0.38435383807740142</c:v>
                </c:pt>
                <c:pt idx="4">
                  <c:v>0.44798147883048123</c:v>
                </c:pt>
                <c:pt idx="5">
                  <c:v>0.3885628441026005</c:v>
                </c:pt>
                <c:pt idx="6">
                  <c:v>0.3731053447570406</c:v>
                </c:pt>
                <c:pt idx="7">
                  <c:v>0.25324426963645652</c:v>
                </c:pt>
                <c:pt idx="8">
                  <c:v>0.40046193734718327</c:v>
                </c:pt>
                <c:pt idx="9">
                  <c:v>0.45338282475603303</c:v>
                </c:pt>
                <c:pt idx="10">
                  <c:v>0.52688959965018678</c:v>
                </c:pt>
                <c:pt idx="11">
                  <c:v>0.58124000326262848</c:v>
                </c:pt>
              </c:numCache>
            </c:numRef>
          </c:val>
          <c:smooth val="0"/>
          <c:extLst>
            <c:ext xmlns:c16="http://schemas.microsoft.com/office/drawing/2014/chart" uri="{C3380CC4-5D6E-409C-BE32-E72D297353CC}">
              <c16:uniqueId val="{00000001-61E8-4650-B265-79EC82AF663E}"/>
            </c:ext>
          </c:extLst>
        </c:ser>
        <c:ser>
          <c:idx val="2"/>
          <c:order val="2"/>
          <c:tx>
            <c:strRef>
              <c:f>WBG!$F$94</c:f>
              <c:strCache>
                <c:ptCount val="1"/>
              </c:strCache>
            </c:strRef>
          </c:tx>
          <c:spPr>
            <a:ln w="28575" cap="rnd">
              <a:solidFill>
                <a:schemeClr val="accent6"/>
              </a:solidFill>
              <a:prstDash val="dash"/>
              <a:round/>
            </a:ln>
            <a:effectLst/>
          </c:spPr>
          <c:marker>
            <c:symbol val="none"/>
          </c:marker>
          <c:cat>
            <c:numRef>
              <c:f>WBG!$C$95:$C$106</c:f>
              <c:numCache>
                <c:formatCode>General</c:formatCode>
                <c:ptCount val="12"/>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WBG!$F$95:$F$106</c:f>
              <c:numCache>
                <c:formatCode>0%</c:formatCode>
                <c:ptCount val="12"/>
                <c:pt idx="0" formatCode="General">
                  <c:v>0</c:v>
                </c:pt>
                <c:pt idx="1">
                  <c:v>0.54304272268309661</c:v>
                </c:pt>
                <c:pt idx="2">
                  <c:v>0.41103024483198741</c:v>
                </c:pt>
                <c:pt idx="3">
                  <c:v>0.34672786318345944</c:v>
                </c:pt>
                <c:pt idx="4">
                  <c:v>0.34551481325073125</c:v>
                </c:pt>
                <c:pt idx="5">
                  <c:v>0.196302413245731</c:v>
                </c:pt>
                <c:pt idx="6">
                  <c:v>0.50898042871627913</c:v>
                </c:pt>
                <c:pt idx="7">
                  <c:v>0.4731695118399003</c:v>
                </c:pt>
                <c:pt idx="8">
                  <c:v>0.38862212396522811</c:v>
                </c:pt>
                <c:pt idx="9">
                  <c:v>0.39504581666343874</c:v>
                </c:pt>
                <c:pt idx="10">
                  <c:v>0.43798682611969858</c:v>
                </c:pt>
                <c:pt idx="11">
                  <c:v>0.55329364721898255</c:v>
                </c:pt>
              </c:numCache>
            </c:numRef>
          </c:val>
          <c:smooth val="0"/>
          <c:extLst>
            <c:ext xmlns:c16="http://schemas.microsoft.com/office/drawing/2014/chart" uri="{C3380CC4-5D6E-409C-BE32-E72D297353CC}">
              <c16:uniqueId val="{00000002-61E8-4650-B265-79EC82AF663E}"/>
            </c:ext>
          </c:extLst>
        </c:ser>
        <c:dLbls>
          <c:showLegendKey val="0"/>
          <c:showVal val="0"/>
          <c:showCatName val="0"/>
          <c:showSerName val="0"/>
          <c:showPercent val="0"/>
          <c:showBubbleSize val="0"/>
        </c:dLbls>
        <c:smooth val="0"/>
        <c:axId val="410181072"/>
        <c:axId val="248153920"/>
      </c:lineChart>
      <c:catAx>
        <c:axId val="41018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48153920"/>
        <c:crosses val="autoZero"/>
        <c:auto val="1"/>
        <c:lblAlgn val="ctr"/>
        <c:lblOffset val="100"/>
        <c:noMultiLvlLbl val="0"/>
      </c:catAx>
      <c:valAx>
        <c:axId val="24815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1018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Movement of people and services</a:t>
            </a:r>
            <a:endParaRPr lang="he-IL"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WBG!$D$110</c:f>
              <c:strCache>
                <c:ptCount val="1"/>
                <c:pt idx="0">
                  <c:v>WB</c:v>
                </c:pt>
              </c:strCache>
            </c:strRef>
          </c:tx>
          <c:spPr>
            <a:ln w="28575" cap="rnd">
              <a:solidFill>
                <a:schemeClr val="accent2"/>
              </a:solidFill>
              <a:round/>
            </a:ln>
            <a:effectLst/>
          </c:spPr>
          <c:marker>
            <c:symbol val="none"/>
          </c:marker>
          <c:cat>
            <c:numRef>
              <c:f>WBG!$C$111:$C$122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WBG!$D$111:$D$122</c:f>
              <c:numCache>
                <c:formatCode>0%</c:formatCode>
                <c:ptCount val="12"/>
                <c:pt idx="0">
                  <c:v>0.29611204901278115</c:v>
                </c:pt>
                <c:pt idx="1">
                  <c:v>0.29611204901278115</c:v>
                </c:pt>
                <c:pt idx="2">
                  <c:v>0.29611204901278115</c:v>
                </c:pt>
                <c:pt idx="3">
                  <c:v>0.29611204901278115</c:v>
                </c:pt>
                <c:pt idx="4">
                  <c:v>0.54112643979558106</c:v>
                </c:pt>
                <c:pt idx="5">
                  <c:v>0.29818178571946641</c:v>
                </c:pt>
                <c:pt idx="6">
                  <c:v>0.6364857879128627</c:v>
                </c:pt>
                <c:pt idx="7">
                  <c:v>0.33976518376163467</c:v>
                </c:pt>
                <c:pt idx="8">
                  <c:v>0.32186251315916997</c:v>
                </c:pt>
                <c:pt idx="9">
                  <c:v>0.465060167748992</c:v>
                </c:pt>
                <c:pt idx="10">
                  <c:v>0.65092647155702876</c:v>
                </c:pt>
                <c:pt idx="11">
                  <c:v>0.61831415790112376</c:v>
                </c:pt>
              </c:numCache>
            </c:numRef>
          </c:val>
          <c:smooth val="0"/>
          <c:extLst>
            <c:ext xmlns:c16="http://schemas.microsoft.com/office/drawing/2014/chart" uri="{C3380CC4-5D6E-409C-BE32-E72D297353CC}">
              <c16:uniqueId val="{00000000-853C-4824-9EA4-71407F5F1BDC}"/>
            </c:ext>
          </c:extLst>
        </c:ser>
        <c:ser>
          <c:idx val="1"/>
          <c:order val="1"/>
          <c:tx>
            <c:strRef>
              <c:f>WBG!$E$110</c:f>
              <c:strCache>
                <c:ptCount val="1"/>
                <c:pt idx="0">
                  <c:v>GS</c:v>
                </c:pt>
              </c:strCache>
            </c:strRef>
          </c:tx>
          <c:spPr>
            <a:ln w="28575" cap="rnd">
              <a:solidFill>
                <a:schemeClr val="accent1"/>
              </a:solidFill>
              <a:round/>
            </a:ln>
            <a:effectLst/>
          </c:spPr>
          <c:marker>
            <c:symbol val="none"/>
          </c:marker>
          <c:cat>
            <c:numRef>
              <c:f>WBG!$C$111:$C$122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WBG!$E$111:$E$122</c:f>
              <c:numCache>
                <c:formatCode>0%</c:formatCode>
                <c:ptCount val="12"/>
                <c:pt idx="0">
                  <c:v>0.26947302085126773</c:v>
                </c:pt>
                <c:pt idx="1">
                  <c:v>0.26947302085126773</c:v>
                </c:pt>
                <c:pt idx="2">
                  <c:v>0.26947302085126773</c:v>
                </c:pt>
                <c:pt idx="3">
                  <c:v>0.26947302085126773</c:v>
                </c:pt>
                <c:pt idx="4">
                  <c:v>0.13072539239850522</c:v>
                </c:pt>
                <c:pt idx="5">
                  <c:v>0</c:v>
                </c:pt>
                <c:pt idx="6">
                  <c:v>0.51381587698718023</c:v>
                </c:pt>
                <c:pt idx="7">
                  <c:v>0.93272507705357732</c:v>
                </c:pt>
                <c:pt idx="8">
                  <c:v>0.86359636200587375</c:v>
                </c:pt>
                <c:pt idx="9">
                  <c:v>0.1002165029597909</c:v>
                </c:pt>
                <c:pt idx="10">
                  <c:v>0.63293295125900406</c:v>
                </c:pt>
                <c:pt idx="11">
                  <c:v>0.54295318506654655</c:v>
                </c:pt>
              </c:numCache>
            </c:numRef>
          </c:val>
          <c:smooth val="0"/>
          <c:extLst>
            <c:ext xmlns:c16="http://schemas.microsoft.com/office/drawing/2014/chart" uri="{C3380CC4-5D6E-409C-BE32-E72D297353CC}">
              <c16:uniqueId val="{00000001-853C-4824-9EA4-71407F5F1BDC}"/>
            </c:ext>
          </c:extLst>
        </c:ser>
        <c:ser>
          <c:idx val="2"/>
          <c:order val="2"/>
          <c:tx>
            <c:strRef>
              <c:f>WBG!$F$110</c:f>
              <c:strCache>
                <c:ptCount val="1"/>
                <c:pt idx="0">
                  <c:v>WBG</c:v>
                </c:pt>
              </c:strCache>
            </c:strRef>
          </c:tx>
          <c:spPr>
            <a:ln w="28575" cap="rnd">
              <a:solidFill>
                <a:schemeClr val="accent6"/>
              </a:solidFill>
              <a:prstDash val="dash"/>
              <a:round/>
            </a:ln>
            <a:effectLst/>
          </c:spPr>
          <c:marker>
            <c:symbol val="none"/>
          </c:marker>
          <c:cat>
            <c:numRef>
              <c:f>WBG!$C$111:$C$122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WBG!$F$111:$F$122</c:f>
              <c:numCache>
                <c:formatCode>0%</c:formatCode>
                <c:ptCount val="12"/>
                <c:pt idx="0">
                  <c:v>0.31219142008544393</c:v>
                </c:pt>
                <c:pt idx="1">
                  <c:v>0.31219142008544393</c:v>
                </c:pt>
                <c:pt idx="2">
                  <c:v>0.31219142008544393</c:v>
                </c:pt>
                <c:pt idx="3">
                  <c:v>0.31219142008544393</c:v>
                </c:pt>
                <c:pt idx="4">
                  <c:v>0.54112643979558106</c:v>
                </c:pt>
                <c:pt idx="5">
                  <c:v>0.28225336778736559</c:v>
                </c:pt>
                <c:pt idx="6">
                  <c:v>0.64362861112899461</c:v>
                </c:pt>
                <c:pt idx="7">
                  <c:v>0.3404481283698898</c:v>
                </c:pt>
                <c:pt idx="8">
                  <c:v>0.32186251315916997</c:v>
                </c:pt>
                <c:pt idx="9">
                  <c:v>0.43005217702783499</c:v>
                </c:pt>
                <c:pt idx="10">
                  <c:v>0.63747111215661945</c:v>
                </c:pt>
                <c:pt idx="11">
                  <c:v>0.57472288804460225</c:v>
                </c:pt>
              </c:numCache>
            </c:numRef>
          </c:val>
          <c:smooth val="0"/>
          <c:extLst>
            <c:ext xmlns:c16="http://schemas.microsoft.com/office/drawing/2014/chart" uri="{C3380CC4-5D6E-409C-BE32-E72D297353CC}">
              <c16:uniqueId val="{00000002-853C-4824-9EA4-71407F5F1BDC}"/>
            </c:ext>
          </c:extLst>
        </c:ser>
        <c:dLbls>
          <c:showLegendKey val="0"/>
          <c:showVal val="0"/>
          <c:showCatName val="0"/>
          <c:showSerName val="0"/>
          <c:showPercent val="0"/>
          <c:showBubbleSize val="0"/>
        </c:dLbls>
        <c:smooth val="0"/>
        <c:axId val="410173584"/>
        <c:axId val="410178576"/>
      </c:lineChart>
      <c:catAx>
        <c:axId val="41017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10178576"/>
        <c:crosses val="autoZero"/>
        <c:auto val="1"/>
        <c:lblAlgn val="ctr"/>
        <c:lblOffset val="100"/>
        <c:noMultiLvlLbl val="0"/>
      </c:catAx>
      <c:valAx>
        <c:axId val="410178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1017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Resources and infrastructure</a:t>
            </a:r>
            <a:r>
              <a:rPr lang="en-US" sz="1200" b="1" i="0" u="none" strike="noStrike" baseline="0"/>
              <a:t> </a:t>
            </a:r>
            <a:endParaRPr lang="he-IL"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WBG!$D$125</c:f>
              <c:strCache>
                <c:ptCount val="1"/>
                <c:pt idx="0">
                  <c:v>WB</c:v>
                </c:pt>
              </c:strCache>
            </c:strRef>
          </c:tx>
          <c:spPr>
            <a:ln w="28575" cap="rnd">
              <a:solidFill>
                <a:schemeClr val="accent2"/>
              </a:solidFill>
              <a:round/>
            </a:ln>
            <a:effectLst/>
          </c:spPr>
          <c:marker>
            <c:symbol val="none"/>
          </c:marker>
          <c:cat>
            <c:numRef>
              <c:f>WBG!$C$126:$C$137</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WBG!$D$126:$D$137</c:f>
              <c:numCache>
                <c:formatCode>0%</c:formatCode>
                <c:ptCount val="12"/>
                <c:pt idx="0">
                  <c:v>6.3427545149914999E-2</c:v>
                </c:pt>
                <c:pt idx="1">
                  <c:v>0.10684420614091684</c:v>
                </c:pt>
                <c:pt idx="2">
                  <c:v>0.48243766259509369</c:v>
                </c:pt>
                <c:pt idx="3">
                  <c:v>0.38844306029096737</c:v>
                </c:pt>
                <c:pt idx="4">
                  <c:v>0.10938218508452395</c:v>
                </c:pt>
                <c:pt idx="5">
                  <c:v>0.66818288171670481</c:v>
                </c:pt>
                <c:pt idx="6">
                  <c:v>0.78502807936542562</c:v>
                </c:pt>
                <c:pt idx="7">
                  <c:v>0.60394049954865725</c:v>
                </c:pt>
                <c:pt idx="8">
                  <c:v>0.86107018775763866</c:v>
                </c:pt>
                <c:pt idx="9">
                  <c:v>0.93273460587348334</c:v>
                </c:pt>
                <c:pt idx="10">
                  <c:v>0.53151175953068308</c:v>
                </c:pt>
                <c:pt idx="11">
                  <c:v>0.54303183447387926</c:v>
                </c:pt>
              </c:numCache>
            </c:numRef>
          </c:val>
          <c:smooth val="0"/>
          <c:extLst>
            <c:ext xmlns:c16="http://schemas.microsoft.com/office/drawing/2014/chart" uri="{C3380CC4-5D6E-409C-BE32-E72D297353CC}">
              <c16:uniqueId val="{00000000-A7C5-4C15-A850-02A8F1B61CEB}"/>
            </c:ext>
          </c:extLst>
        </c:ser>
        <c:ser>
          <c:idx val="1"/>
          <c:order val="1"/>
          <c:tx>
            <c:strRef>
              <c:f>WBG!$E$125</c:f>
              <c:strCache>
                <c:ptCount val="1"/>
                <c:pt idx="0">
                  <c:v>GS</c:v>
                </c:pt>
              </c:strCache>
            </c:strRef>
          </c:tx>
          <c:spPr>
            <a:ln w="28575" cap="rnd">
              <a:solidFill>
                <a:schemeClr val="accent1"/>
              </a:solidFill>
              <a:round/>
            </a:ln>
            <a:effectLst/>
          </c:spPr>
          <c:marker>
            <c:symbol val="none"/>
          </c:marker>
          <c:cat>
            <c:numRef>
              <c:f>WBG!$C$126:$C$137</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WBG!$E$126:$E$137</c:f>
              <c:numCache>
                <c:formatCode>0%</c:formatCode>
                <c:ptCount val="12"/>
                <c:pt idx="0">
                  <c:v>0.1276965926796384</c:v>
                </c:pt>
                <c:pt idx="1">
                  <c:v>0.59592377105472316</c:v>
                </c:pt>
                <c:pt idx="2">
                  <c:v>0.26237477307718404</c:v>
                </c:pt>
                <c:pt idx="3">
                  <c:v>4.0601778284607988E-2</c:v>
                </c:pt>
                <c:pt idx="4">
                  <c:v>0.13499207687203585</c:v>
                </c:pt>
                <c:pt idx="5">
                  <c:v>4.780128522031362E-2</c:v>
                </c:pt>
                <c:pt idx="6">
                  <c:v>0.13966390600699269</c:v>
                </c:pt>
                <c:pt idx="7">
                  <c:v>0.21314454640824185</c:v>
                </c:pt>
                <c:pt idx="8">
                  <c:v>0.51045110803602256</c:v>
                </c:pt>
                <c:pt idx="9">
                  <c:v>0.41607861205861513</c:v>
                </c:pt>
                <c:pt idx="10">
                  <c:v>0.8031290782913707</c:v>
                </c:pt>
                <c:pt idx="11">
                  <c:v>0.55045142467388297</c:v>
                </c:pt>
              </c:numCache>
            </c:numRef>
          </c:val>
          <c:smooth val="0"/>
          <c:extLst>
            <c:ext xmlns:c16="http://schemas.microsoft.com/office/drawing/2014/chart" uri="{C3380CC4-5D6E-409C-BE32-E72D297353CC}">
              <c16:uniqueId val="{00000001-A7C5-4C15-A850-02A8F1B61CEB}"/>
            </c:ext>
          </c:extLst>
        </c:ser>
        <c:ser>
          <c:idx val="2"/>
          <c:order val="2"/>
          <c:tx>
            <c:strRef>
              <c:f>WBG!$F$125</c:f>
              <c:strCache>
                <c:ptCount val="1"/>
                <c:pt idx="0">
                  <c:v>WBG</c:v>
                </c:pt>
              </c:strCache>
            </c:strRef>
          </c:tx>
          <c:spPr>
            <a:ln w="28575" cap="rnd">
              <a:solidFill>
                <a:schemeClr val="accent6"/>
              </a:solidFill>
              <a:prstDash val="dash"/>
              <a:round/>
            </a:ln>
            <a:effectLst/>
          </c:spPr>
          <c:marker>
            <c:symbol val="none"/>
          </c:marker>
          <c:cat>
            <c:numRef>
              <c:f>WBG!$C$126:$C$137</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WBG!$F$126:$F$137</c:f>
              <c:numCache>
                <c:formatCode>0%</c:formatCode>
                <c:ptCount val="12"/>
                <c:pt idx="0">
                  <c:v>0.17419842242923958</c:v>
                </c:pt>
                <c:pt idx="1">
                  <c:v>6.0497757210852578E-2</c:v>
                </c:pt>
                <c:pt idx="2">
                  <c:v>0.25627414809656623</c:v>
                </c:pt>
                <c:pt idx="3">
                  <c:v>0.18206863418221997</c:v>
                </c:pt>
                <c:pt idx="4">
                  <c:v>0.22720994798297064</c:v>
                </c:pt>
                <c:pt idx="5">
                  <c:v>0.14629385724233873</c:v>
                </c:pt>
                <c:pt idx="6">
                  <c:v>0.51079716676973108</c:v>
                </c:pt>
                <c:pt idx="7">
                  <c:v>0.46863470247596378</c:v>
                </c:pt>
                <c:pt idx="8">
                  <c:v>0.75364281283201495</c:v>
                </c:pt>
                <c:pt idx="9">
                  <c:v>0.84333043392435303</c:v>
                </c:pt>
                <c:pt idx="10">
                  <c:v>0.98556300758050464</c:v>
                </c:pt>
                <c:pt idx="11">
                  <c:v>0.53234493499311508</c:v>
                </c:pt>
              </c:numCache>
            </c:numRef>
          </c:val>
          <c:smooth val="0"/>
          <c:extLst>
            <c:ext xmlns:c16="http://schemas.microsoft.com/office/drawing/2014/chart" uri="{C3380CC4-5D6E-409C-BE32-E72D297353CC}">
              <c16:uniqueId val="{00000002-A7C5-4C15-A850-02A8F1B61CEB}"/>
            </c:ext>
          </c:extLst>
        </c:ser>
        <c:dLbls>
          <c:showLegendKey val="0"/>
          <c:showVal val="0"/>
          <c:showCatName val="0"/>
          <c:showSerName val="0"/>
          <c:showPercent val="0"/>
          <c:showBubbleSize val="0"/>
        </c:dLbls>
        <c:smooth val="0"/>
        <c:axId val="540020576"/>
        <c:axId val="540043040"/>
      </c:lineChart>
      <c:catAx>
        <c:axId val="54002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40043040"/>
        <c:crosses val="autoZero"/>
        <c:auto val="1"/>
        <c:lblAlgn val="ctr"/>
        <c:lblOffset val="100"/>
        <c:noMultiLvlLbl val="0"/>
      </c:catAx>
      <c:valAx>
        <c:axId val="540043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4002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Banking and money</a:t>
            </a:r>
            <a:endParaRPr lang="he-IL"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WBG!$D$140</c:f>
              <c:strCache>
                <c:ptCount val="1"/>
                <c:pt idx="0">
                  <c:v>WB</c:v>
                </c:pt>
              </c:strCache>
            </c:strRef>
          </c:tx>
          <c:spPr>
            <a:ln w="28575" cap="rnd">
              <a:solidFill>
                <a:schemeClr val="accent2"/>
              </a:solidFill>
              <a:round/>
            </a:ln>
            <a:effectLst/>
          </c:spPr>
          <c:marker>
            <c:symbol val="none"/>
          </c:marker>
          <c:cat>
            <c:numRef>
              <c:f>WBG!$C$141:$C$152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WBG!$D$141:$D$152</c:f>
              <c:numCache>
                <c:formatCode>0%</c:formatCode>
                <c:ptCount val="12"/>
                <c:pt idx="0">
                  <c:v>0.11841052288762929</c:v>
                </c:pt>
                <c:pt idx="1">
                  <c:v>0.11679012717981432</c:v>
                </c:pt>
                <c:pt idx="2">
                  <c:v>0.24261097571508522</c:v>
                </c:pt>
                <c:pt idx="3">
                  <c:v>0.19189869173791632</c:v>
                </c:pt>
                <c:pt idx="4">
                  <c:v>0.56952622157518051</c:v>
                </c:pt>
                <c:pt idx="5">
                  <c:v>0.55690740165526686</c:v>
                </c:pt>
                <c:pt idx="6">
                  <c:v>0.50309101636579323</c:v>
                </c:pt>
                <c:pt idx="7">
                  <c:v>0.67065523232200952</c:v>
                </c:pt>
                <c:pt idx="8">
                  <c:v>0.63146268224120417</c:v>
                </c:pt>
                <c:pt idx="9">
                  <c:v>0.77827512991876113</c:v>
                </c:pt>
                <c:pt idx="10">
                  <c:v>0.85065283239782719</c:v>
                </c:pt>
                <c:pt idx="11">
                  <c:v>0.97932715343404175</c:v>
                </c:pt>
              </c:numCache>
            </c:numRef>
          </c:val>
          <c:smooth val="0"/>
          <c:extLst>
            <c:ext xmlns:c16="http://schemas.microsoft.com/office/drawing/2014/chart" uri="{C3380CC4-5D6E-409C-BE32-E72D297353CC}">
              <c16:uniqueId val="{00000000-A634-4686-A9FC-70ED783440D3}"/>
            </c:ext>
          </c:extLst>
        </c:ser>
        <c:ser>
          <c:idx val="1"/>
          <c:order val="1"/>
          <c:tx>
            <c:strRef>
              <c:f>WBG!$E$140</c:f>
              <c:strCache>
                <c:ptCount val="1"/>
                <c:pt idx="0">
                  <c:v>GS</c:v>
                </c:pt>
              </c:strCache>
            </c:strRef>
          </c:tx>
          <c:spPr>
            <a:ln w="28575" cap="rnd">
              <a:solidFill>
                <a:schemeClr val="accent1"/>
              </a:solidFill>
              <a:round/>
            </a:ln>
            <a:effectLst/>
          </c:spPr>
          <c:marker>
            <c:symbol val="none"/>
          </c:marker>
          <c:cat>
            <c:numRef>
              <c:f>WBG!$C$141:$C$152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WBG!$E$141:$E$152</c:f>
              <c:numCache>
                <c:formatCode>0%</c:formatCode>
                <c:ptCount val="12"/>
                <c:pt idx="0">
                  <c:v>0.27693298884593043</c:v>
                </c:pt>
                <c:pt idx="1">
                  <c:v>0.19730375454634272</c:v>
                </c:pt>
                <c:pt idx="2">
                  <c:v>0.5476946160944598</c:v>
                </c:pt>
                <c:pt idx="3">
                  <c:v>0.42684793468202736</c:v>
                </c:pt>
                <c:pt idx="4">
                  <c:v>0.25014469845971543</c:v>
                </c:pt>
                <c:pt idx="5">
                  <c:v>0.39568665258125479</c:v>
                </c:pt>
                <c:pt idx="6">
                  <c:v>0.50528466982017173</c:v>
                </c:pt>
                <c:pt idx="7">
                  <c:v>0.5380466158632794</c:v>
                </c:pt>
                <c:pt idx="8">
                  <c:v>0.88729195488669688</c:v>
                </c:pt>
                <c:pt idx="9">
                  <c:v>0.83402579059750526</c:v>
                </c:pt>
                <c:pt idx="10">
                  <c:v>0.86856679792170943</c:v>
                </c:pt>
                <c:pt idx="11">
                  <c:v>0.84977175699775664</c:v>
                </c:pt>
              </c:numCache>
            </c:numRef>
          </c:val>
          <c:smooth val="0"/>
          <c:extLst>
            <c:ext xmlns:c16="http://schemas.microsoft.com/office/drawing/2014/chart" uri="{C3380CC4-5D6E-409C-BE32-E72D297353CC}">
              <c16:uniqueId val="{00000001-A634-4686-A9FC-70ED783440D3}"/>
            </c:ext>
          </c:extLst>
        </c:ser>
        <c:ser>
          <c:idx val="2"/>
          <c:order val="2"/>
          <c:tx>
            <c:strRef>
              <c:f>WBG!$F$140</c:f>
              <c:strCache>
                <c:ptCount val="1"/>
                <c:pt idx="0">
                  <c:v>WBG</c:v>
                </c:pt>
              </c:strCache>
            </c:strRef>
          </c:tx>
          <c:spPr>
            <a:ln w="28575" cap="rnd">
              <a:solidFill>
                <a:schemeClr val="accent6"/>
              </a:solidFill>
              <a:prstDash val="dash"/>
              <a:round/>
            </a:ln>
            <a:effectLst/>
          </c:spPr>
          <c:marker>
            <c:symbol val="none"/>
          </c:marker>
          <c:cat>
            <c:numRef>
              <c:f>WBG!$C$141:$C$152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WBG!$F$141:$F$152</c:f>
              <c:numCache>
                <c:formatCode>0%</c:formatCode>
                <c:ptCount val="12"/>
                <c:pt idx="0">
                  <c:v>9.3735494968813615E-2</c:v>
                </c:pt>
                <c:pt idx="1">
                  <c:v>9.3270461136480964E-2</c:v>
                </c:pt>
                <c:pt idx="2">
                  <c:v>0.26089887770353215</c:v>
                </c:pt>
                <c:pt idx="3">
                  <c:v>0.18968593409419507</c:v>
                </c:pt>
                <c:pt idx="4">
                  <c:v>0.52524623548168015</c:v>
                </c:pt>
                <c:pt idx="5">
                  <c:v>0.5020507506083649</c:v>
                </c:pt>
                <c:pt idx="6">
                  <c:v>0.4688370712691553</c:v>
                </c:pt>
                <c:pt idx="7">
                  <c:v>0.63515716911810083</c:v>
                </c:pt>
                <c:pt idx="8">
                  <c:v>0.64778618184309056</c:v>
                </c:pt>
                <c:pt idx="9">
                  <c:v>0.78390204225412663</c:v>
                </c:pt>
                <c:pt idx="10">
                  <c:v>0.85424359974075692</c:v>
                </c:pt>
                <c:pt idx="11">
                  <c:v>0.97725964760407513</c:v>
                </c:pt>
              </c:numCache>
            </c:numRef>
          </c:val>
          <c:smooth val="0"/>
          <c:extLst>
            <c:ext xmlns:c16="http://schemas.microsoft.com/office/drawing/2014/chart" uri="{C3380CC4-5D6E-409C-BE32-E72D297353CC}">
              <c16:uniqueId val="{00000002-A634-4686-A9FC-70ED783440D3}"/>
            </c:ext>
          </c:extLst>
        </c:ser>
        <c:dLbls>
          <c:showLegendKey val="0"/>
          <c:showVal val="0"/>
          <c:showCatName val="0"/>
          <c:showSerName val="0"/>
          <c:showPercent val="0"/>
          <c:showBubbleSize val="0"/>
        </c:dLbls>
        <c:smooth val="0"/>
        <c:axId val="264450864"/>
        <c:axId val="264452112"/>
      </c:lineChart>
      <c:catAx>
        <c:axId val="26445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64452112"/>
        <c:crosses val="autoZero"/>
        <c:auto val="1"/>
        <c:lblAlgn val="ctr"/>
        <c:lblOffset val="100"/>
        <c:noMultiLvlLbl val="0"/>
      </c:catAx>
      <c:valAx>
        <c:axId val="26445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6445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 Wealth and Standard of living</a:t>
            </a:r>
            <a:endParaRPr lang="he-IL"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lineChart>
        <c:grouping val="standard"/>
        <c:varyColors val="0"/>
        <c:ser>
          <c:idx val="0"/>
          <c:order val="0"/>
          <c:tx>
            <c:strRef>
              <c:f>WBG!$D$155</c:f>
              <c:strCache>
                <c:ptCount val="1"/>
                <c:pt idx="0">
                  <c:v>WB</c:v>
                </c:pt>
              </c:strCache>
            </c:strRef>
          </c:tx>
          <c:spPr>
            <a:ln w="28575" cap="rnd">
              <a:solidFill>
                <a:schemeClr val="accent2"/>
              </a:solidFill>
              <a:round/>
            </a:ln>
            <a:effectLst/>
          </c:spPr>
          <c:marker>
            <c:symbol val="none"/>
          </c:marker>
          <c:cat>
            <c:numRef>
              <c:f>WBG!$C$156:$C$167</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WBG!$D$156:$D$167</c:f>
              <c:numCache>
                <c:formatCode>0%</c:formatCode>
                <c:ptCount val="12"/>
                <c:pt idx="0">
                  <c:v>0.5</c:v>
                </c:pt>
                <c:pt idx="1">
                  <c:v>0.6205873665905226</c:v>
                </c:pt>
                <c:pt idx="2">
                  <c:v>0.4244053125680316</c:v>
                </c:pt>
                <c:pt idx="3">
                  <c:v>0.52464131723221374</c:v>
                </c:pt>
                <c:pt idx="4">
                  <c:v>0.54357139215578432</c:v>
                </c:pt>
                <c:pt idx="5">
                  <c:v>0.50717502559269567</c:v>
                </c:pt>
                <c:pt idx="6">
                  <c:v>0.43248025633551057</c:v>
                </c:pt>
                <c:pt idx="7">
                  <c:v>0.45639174405647021</c:v>
                </c:pt>
                <c:pt idx="8">
                  <c:v>0.50791810668450599</c:v>
                </c:pt>
                <c:pt idx="9">
                  <c:v>0.48491535284371129</c:v>
                </c:pt>
                <c:pt idx="10">
                  <c:v>0.42941058441556784</c:v>
                </c:pt>
                <c:pt idx="11">
                  <c:v>0.41075151642441821</c:v>
                </c:pt>
              </c:numCache>
            </c:numRef>
          </c:val>
          <c:smooth val="0"/>
          <c:extLst>
            <c:ext xmlns:c16="http://schemas.microsoft.com/office/drawing/2014/chart" uri="{C3380CC4-5D6E-409C-BE32-E72D297353CC}">
              <c16:uniqueId val="{00000000-F06B-4978-9EFD-C4D267CD6A3E}"/>
            </c:ext>
          </c:extLst>
        </c:ser>
        <c:ser>
          <c:idx val="1"/>
          <c:order val="1"/>
          <c:tx>
            <c:strRef>
              <c:f>WBG!$E$155</c:f>
              <c:strCache>
                <c:ptCount val="1"/>
                <c:pt idx="0">
                  <c:v>GS</c:v>
                </c:pt>
              </c:strCache>
            </c:strRef>
          </c:tx>
          <c:spPr>
            <a:ln w="28575" cap="rnd">
              <a:solidFill>
                <a:schemeClr val="accent1"/>
              </a:solidFill>
              <a:round/>
            </a:ln>
            <a:effectLst/>
          </c:spPr>
          <c:marker>
            <c:symbol val="none"/>
          </c:marker>
          <c:cat>
            <c:numRef>
              <c:f>WBG!$C$156:$C$167</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WBG!$E$156:$E$167</c:f>
              <c:numCache>
                <c:formatCode>0%</c:formatCode>
                <c:ptCount val="12"/>
                <c:pt idx="0">
                  <c:v>0.78851338037922147</c:v>
                </c:pt>
                <c:pt idx="1">
                  <c:v>0.79083067242014127</c:v>
                </c:pt>
                <c:pt idx="2">
                  <c:v>0.71322214726566913</c:v>
                </c:pt>
                <c:pt idx="3">
                  <c:v>0.77517215100782333</c:v>
                </c:pt>
                <c:pt idx="4">
                  <c:v>0.86216017417100732</c:v>
                </c:pt>
                <c:pt idx="5">
                  <c:v>0.82132487925481912</c:v>
                </c:pt>
                <c:pt idx="6">
                  <c:v>0.4998755374641275</c:v>
                </c:pt>
                <c:pt idx="7">
                  <c:v>0.33489113163316675</c:v>
                </c:pt>
                <c:pt idx="8">
                  <c:v>0.37748027100989051</c:v>
                </c:pt>
                <c:pt idx="9">
                  <c:v>0.17945221897808999</c:v>
                </c:pt>
                <c:pt idx="10">
                  <c:v>8.8935697764940091E-2</c:v>
                </c:pt>
                <c:pt idx="11">
                  <c:v>0</c:v>
                </c:pt>
              </c:numCache>
            </c:numRef>
          </c:val>
          <c:smooth val="0"/>
          <c:extLst>
            <c:ext xmlns:c16="http://schemas.microsoft.com/office/drawing/2014/chart" uri="{C3380CC4-5D6E-409C-BE32-E72D297353CC}">
              <c16:uniqueId val="{00000001-F06B-4978-9EFD-C4D267CD6A3E}"/>
            </c:ext>
          </c:extLst>
        </c:ser>
        <c:ser>
          <c:idx val="2"/>
          <c:order val="2"/>
          <c:tx>
            <c:strRef>
              <c:f>WBG!$F$155</c:f>
              <c:strCache>
                <c:ptCount val="1"/>
                <c:pt idx="0">
                  <c:v>WBG</c:v>
                </c:pt>
              </c:strCache>
            </c:strRef>
          </c:tx>
          <c:spPr>
            <a:ln w="28575" cap="rnd">
              <a:solidFill>
                <a:schemeClr val="accent6"/>
              </a:solidFill>
              <a:prstDash val="dash"/>
              <a:round/>
            </a:ln>
            <a:effectLst/>
          </c:spPr>
          <c:marker>
            <c:symbol val="none"/>
          </c:marker>
          <c:cat>
            <c:numRef>
              <c:f>WBG!$C$156:$C$167</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WBG!$F$156:$F$167</c:f>
              <c:numCache>
                <c:formatCode>0%</c:formatCode>
                <c:ptCount val="12"/>
                <c:pt idx="0">
                  <c:v>0.5</c:v>
                </c:pt>
                <c:pt idx="1">
                  <c:v>0.73982528118466906</c:v>
                </c:pt>
                <c:pt idx="2">
                  <c:v>0.57778377663190494</c:v>
                </c:pt>
                <c:pt idx="3">
                  <c:v>0.67192122678985688</c:v>
                </c:pt>
                <c:pt idx="4">
                  <c:v>0.80322607440097771</c:v>
                </c:pt>
                <c:pt idx="5">
                  <c:v>0.69613725453438247</c:v>
                </c:pt>
                <c:pt idx="6">
                  <c:v>0.45413937081717981</c:v>
                </c:pt>
                <c:pt idx="7">
                  <c:v>0.42096378447477273</c:v>
                </c:pt>
                <c:pt idx="8">
                  <c:v>0.51247127856140973</c:v>
                </c:pt>
                <c:pt idx="9">
                  <c:v>0.35249717187027713</c:v>
                </c:pt>
                <c:pt idx="10">
                  <c:v>0.22850651247644113</c:v>
                </c:pt>
                <c:pt idx="11">
                  <c:v>0.12768907238802635</c:v>
                </c:pt>
              </c:numCache>
            </c:numRef>
          </c:val>
          <c:smooth val="0"/>
          <c:extLst>
            <c:ext xmlns:c16="http://schemas.microsoft.com/office/drawing/2014/chart" uri="{C3380CC4-5D6E-409C-BE32-E72D297353CC}">
              <c16:uniqueId val="{00000002-F06B-4978-9EFD-C4D267CD6A3E}"/>
            </c:ext>
          </c:extLst>
        </c:ser>
        <c:dLbls>
          <c:showLegendKey val="0"/>
          <c:showVal val="0"/>
          <c:showCatName val="0"/>
          <c:showSerName val="0"/>
          <c:showPercent val="0"/>
          <c:showBubbleSize val="0"/>
        </c:dLbls>
        <c:smooth val="0"/>
        <c:axId val="514086688"/>
        <c:axId val="514077120"/>
      </c:lineChart>
      <c:catAx>
        <c:axId val="51408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14077120"/>
        <c:crosses val="autoZero"/>
        <c:auto val="1"/>
        <c:lblAlgn val="ctr"/>
        <c:lblOffset val="100"/>
        <c:noMultiLvlLbl val="0"/>
      </c:catAx>
      <c:valAx>
        <c:axId val="51407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1408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Terrorism!$E$3</c:f>
              <c:strCache>
                <c:ptCount val="1"/>
                <c:pt idx="0">
                  <c:v>ISR-WBG-II 1968</c:v>
                </c:pt>
              </c:strCache>
            </c:strRef>
          </c:tx>
          <c:spPr>
            <a:ln w="28575" cap="rnd">
              <a:solidFill>
                <a:schemeClr val="accent1"/>
              </a:solidFill>
              <a:round/>
            </a:ln>
            <a:effectLst/>
          </c:spPr>
          <c:marker>
            <c:symbol val="none"/>
          </c:marker>
          <c:cat>
            <c:numRef>
              <c:f>Terrorism!$C$4:$C$55</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Terrorism!$E$4:$E$55</c:f>
              <c:numCache>
                <c:formatCode>0.00%</c:formatCode>
                <c:ptCount val="52"/>
                <c:pt idx="0">
                  <c:v>0.16473381560878195</c:v>
                </c:pt>
                <c:pt idx="1">
                  <c:v>0.1964906378150672</c:v>
                </c:pt>
                <c:pt idx="2">
                  <c:v>0.29651778671004414</c:v>
                </c:pt>
                <c:pt idx="3">
                  <c:v>0.37336949944054371</c:v>
                </c:pt>
                <c:pt idx="4">
                  <c:v>0.50333532273375303</c:v>
                </c:pt>
                <c:pt idx="5">
                  <c:v>0.59045585451193916</c:v>
                </c:pt>
                <c:pt idx="6">
                  <c:v>0.62669921499772729</c:v>
                </c:pt>
                <c:pt idx="7">
                  <c:v>0.65572793964103726</c:v>
                </c:pt>
                <c:pt idx="8">
                  <c:v>0.68670292427761892</c:v>
                </c:pt>
                <c:pt idx="9">
                  <c:v>0.6838581481898609</c:v>
                </c:pt>
                <c:pt idx="10">
                  <c:v>0.69421550350577066</c:v>
                </c:pt>
                <c:pt idx="11">
                  <c:v>0.68815538175483337</c:v>
                </c:pt>
                <c:pt idx="12">
                  <c:v>0.7505953011754094</c:v>
                </c:pt>
                <c:pt idx="13">
                  <c:v>0.76182361934912235</c:v>
                </c:pt>
                <c:pt idx="14">
                  <c:v>0.77366364343847915</c:v>
                </c:pt>
                <c:pt idx="15">
                  <c:v>0.80180558686213721</c:v>
                </c:pt>
                <c:pt idx="16">
                  <c:v>0.80505201598509846</c:v>
                </c:pt>
                <c:pt idx="17">
                  <c:v>0.77028901851804332</c:v>
                </c:pt>
                <c:pt idx="18">
                  <c:v>0.78886852826843734</c:v>
                </c:pt>
                <c:pt idx="19">
                  <c:v>0.80924939349255864</c:v>
                </c:pt>
                <c:pt idx="20">
                  <c:v>0.72073787572680204</c:v>
                </c:pt>
                <c:pt idx="21">
                  <c:v>0.65118894655415582</c:v>
                </c:pt>
                <c:pt idx="22">
                  <c:v>0.72106060174554887</c:v>
                </c:pt>
                <c:pt idx="23">
                  <c:v>0.68619644120525236</c:v>
                </c:pt>
                <c:pt idx="24">
                  <c:v>0.75227857619418925</c:v>
                </c:pt>
                <c:pt idx="25">
                  <c:v>0.6730119138859666</c:v>
                </c:pt>
                <c:pt idx="26">
                  <c:v>0.60532633354531573</c:v>
                </c:pt>
                <c:pt idx="27">
                  <c:v>0.57983070951264304</c:v>
                </c:pt>
                <c:pt idx="28">
                  <c:v>0.52186240249160143</c:v>
                </c:pt>
                <c:pt idx="29">
                  <c:v>0.54260488970153442</c:v>
                </c:pt>
                <c:pt idx="30">
                  <c:v>0.60423612374077162</c:v>
                </c:pt>
                <c:pt idx="31">
                  <c:v>0.5555086168910901</c:v>
                </c:pt>
                <c:pt idx="32">
                  <c:v>0.49379654003712792</c:v>
                </c:pt>
                <c:pt idx="33">
                  <c:v>0.38030544360591922</c:v>
                </c:pt>
                <c:pt idx="34">
                  <c:v>0.34301845040531931</c:v>
                </c:pt>
                <c:pt idx="35">
                  <c:v>0.37083113466002993</c:v>
                </c:pt>
                <c:pt idx="36">
                  <c:v>0.41152276290287559</c:v>
                </c:pt>
                <c:pt idx="37">
                  <c:v>0.43664685056521058</c:v>
                </c:pt>
                <c:pt idx="38">
                  <c:v>0.43057434175488157</c:v>
                </c:pt>
                <c:pt idx="39">
                  <c:v>0.42538155341302086</c:v>
                </c:pt>
                <c:pt idx="40">
                  <c:v>0.4721687113271808</c:v>
                </c:pt>
                <c:pt idx="41">
                  <c:v>0.45936054418316263</c:v>
                </c:pt>
                <c:pt idx="42">
                  <c:v>0.42976831270012528</c:v>
                </c:pt>
                <c:pt idx="43">
                  <c:v>0.43565905556128015</c:v>
                </c:pt>
                <c:pt idx="44">
                  <c:v>0.44583315082544717</c:v>
                </c:pt>
                <c:pt idx="45">
                  <c:v>0.46709492333417668</c:v>
                </c:pt>
                <c:pt idx="46">
                  <c:v>0.44638863505217063</c:v>
                </c:pt>
                <c:pt idx="47">
                  <c:v>0.41217907553434652</c:v>
                </c:pt>
                <c:pt idx="48">
                  <c:v>0.42896216852320534</c:v>
                </c:pt>
                <c:pt idx="49">
                  <c:v>0.41143896338935182</c:v>
                </c:pt>
                <c:pt idx="50">
                  <c:v>0.40386468452850299</c:v>
                </c:pt>
                <c:pt idx="51">
                  <c:v>0.39275202571519863</c:v>
                </c:pt>
              </c:numCache>
            </c:numRef>
          </c:val>
          <c:smooth val="0"/>
          <c:extLst>
            <c:ext xmlns:c16="http://schemas.microsoft.com/office/drawing/2014/chart" uri="{C3380CC4-5D6E-409C-BE32-E72D297353CC}">
              <c16:uniqueId val="{00000000-6A58-4D10-AA1D-2A85AC305870}"/>
            </c:ext>
          </c:extLst>
        </c:ser>
        <c:dLbls>
          <c:showLegendKey val="0"/>
          <c:showVal val="0"/>
          <c:showCatName val="0"/>
          <c:showSerName val="0"/>
          <c:showPercent val="0"/>
          <c:showBubbleSize val="0"/>
        </c:dLbls>
        <c:marker val="1"/>
        <c:smooth val="0"/>
        <c:axId val="468287024"/>
        <c:axId val="468285296"/>
      </c:lineChart>
      <c:lineChart>
        <c:grouping val="standard"/>
        <c:varyColors val="0"/>
        <c:ser>
          <c:idx val="1"/>
          <c:order val="1"/>
          <c:tx>
            <c:strRef>
              <c:f>Terrorism!$F$3</c:f>
              <c:strCache>
                <c:ptCount val="1"/>
                <c:pt idx="0">
                  <c:v>Number of Terrorism Fatalities in Israel</c:v>
                </c:pt>
              </c:strCache>
            </c:strRef>
          </c:tx>
          <c:spPr>
            <a:ln w="28575" cap="rnd">
              <a:solidFill>
                <a:schemeClr val="accent2"/>
              </a:solidFill>
              <a:round/>
            </a:ln>
            <a:effectLst/>
          </c:spPr>
          <c:marker>
            <c:symbol val="none"/>
          </c:marker>
          <c:cat>
            <c:numRef>
              <c:f>Terrorism!$C$4:$C$55</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Terrorism!$F$4:$F$55</c:f>
              <c:numCache>
                <c:formatCode>General</c:formatCode>
                <c:ptCount val="52"/>
                <c:pt idx="0">
                  <c:v>55</c:v>
                </c:pt>
                <c:pt idx="1">
                  <c:v>33</c:v>
                </c:pt>
                <c:pt idx="2">
                  <c:v>74</c:v>
                </c:pt>
                <c:pt idx="3">
                  <c:v>18</c:v>
                </c:pt>
                <c:pt idx="4">
                  <c:v>46</c:v>
                </c:pt>
                <c:pt idx="5">
                  <c:v>27</c:v>
                </c:pt>
                <c:pt idx="6">
                  <c:v>67</c:v>
                </c:pt>
                <c:pt idx="7">
                  <c:v>39</c:v>
                </c:pt>
                <c:pt idx="8">
                  <c:v>14</c:v>
                </c:pt>
                <c:pt idx="9">
                  <c:v>9</c:v>
                </c:pt>
                <c:pt idx="10">
                  <c:v>57</c:v>
                </c:pt>
                <c:pt idx="11">
                  <c:v>10</c:v>
                </c:pt>
                <c:pt idx="12">
                  <c:v>16</c:v>
                </c:pt>
                <c:pt idx="13">
                  <c:v>14</c:v>
                </c:pt>
                <c:pt idx="14">
                  <c:v>6</c:v>
                </c:pt>
                <c:pt idx="15">
                  <c:v>21</c:v>
                </c:pt>
                <c:pt idx="16">
                  <c:v>9</c:v>
                </c:pt>
                <c:pt idx="17">
                  <c:v>27</c:v>
                </c:pt>
                <c:pt idx="18">
                  <c:v>14</c:v>
                </c:pt>
                <c:pt idx="19">
                  <c:v>11</c:v>
                </c:pt>
                <c:pt idx="20">
                  <c:v>16</c:v>
                </c:pt>
                <c:pt idx="21">
                  <c:v>40</c:v>
                </c:pt>
                <c:pt idx="22">
                  <c:v>33</c:v>
                </c:pt>
                <c:pt idx="23">
                  <c:v>21</c:v>
                </c:pt>
                <c:pt idx="24">
                  <c:v>34</c:v>
                </c:pt>
                <c:pt idx="25">
                  <c:v>45</c:v>
                </c:pt>
                <c:pt idx="26">
                  <c:v>65</c:v>
                </c:pt>
                <c:pt idx="27">
                  <c:v>29</c:v>
                </c:pt>
                <c:pt idx="28">
                  <c:v>56</c:v>
                </c:pt>
                <c:pt idx="29">
                  <c:v>41</c:v>
                </c:pt>
                <c:pt idx="30">
                  <c:v>16</c:v>
                </c:pt>
                <c:pt idx="31">
                  <c:v>8</c:v>
                </c:pt>
                <c:pt idx="32">
                  <c:v>43</c:v>
                </c:pt>
                <c:pt idx="33">
                  <c:v>207</c:v>
                </c:pt>
                <c:pt idx="34">
                  <c:v>457</c:v>
                </c:pt>
                <c:pt idx="35">
                  <c:v>213</c:v>
                </c:pt>
                <c:pt idx="36">
                  <c:v>124</c:v>
                </c:pt>
                <c:pt idx="37">
                  <c:v>53</c:v>
                </c:pt>
                <c:pt idx="38">
                  <c:v>29</c:v>
                </c:pt>
                <c:pt idx="39">
                  <c:v>13</c:v>
                </c:pt>
                <c:pt idx="40">
                  <c:v>36</c:v>
                </c:pt>
                <c:pt idx="41">
                  <c:v>6</c:v>
                </c:pt>
                <c:pt idx="42">
                  <c:v>10</c:v>
                </c:pt>
                <c:pt idx="43">
                  <c:v>21</c:v>
                </c:pt>
                <c:pt idx="44">
                  <c:v>9</c:v>
                </c:pt>
                <c:pt idx="45">
                  <c:v>7</c:v>
                </c:pt>
                <c:pt idx="46">
                  <c:v>24</c:v>
                </c:pt>
                <c:pt idx="47">
                  <c:v>36</c:v>
                </c:pt>
                <c:pt idx="48">
                  <c:v>16</c:v>
                </c:pt>
                <c:pt idx="49">
                  <c:v>13</c:v>
                </c:pt>
                <c:pt idx="50">
                  <c:v>14</c:v>
                </c:pt>
                <c:pt idx="51">
                  <c:v>9</c:v>
                </c:pt>
              </c:numCache>
            </c:numRef>
          </c:val>
          <c:smooth val="0"/>
          <c:extLst>
            <c:ext xmlns:c16="http://schemas.microsoft.com/office/drawing/2014/chart" uri="{C3380CC4-5D6E-409C-BE32-E72D297353CC}">
              <c16:uniqueId val="{00000001-6A58-4D10-AA1D-2A85AC305870}"/>
            </c:ext>
          </c:extLst>
        </c:ser>
        <c:dLbls>
          <c:showLegendKey val="0"/>
          <c:showVal val="0"/>
          <c:showCatName val="0"/>
          <c:showSerName val="0"/>
          <c:showPercent val="0"/>
          <c:showBubbleSize val="0"/>
        </c:dLbls>
        <c:marker val="1"/>
        <c:smooth val="0"/>
        <c:axId val="1375468256"/>
        <c:axId val="1375467392"/>
      </c:lineChart>
      <c:catAx>
        <c:axId val="46828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68285296"/>
        <c:crosses val="autoZero"/>
        <c:auto val="1"/>
        <c:lblAlgn val="ctr"/>
        <c:lblOffset val="100"/>
        <c:noMultiLvlLbl val="0"/>
      </c:catAx>
      <c:valAx>
        <c:axId val="4682852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468287024"/>
        <c:crosses val="autoZero"/>
        <c:crossBetween val="between"/>
      </c:valAx>
      <c:valAx>
        <c:axId val="137546739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375468256"/>
        <c:crosses val="max"/>
        <c:crossBetween val="between"/>
      </c:valAx>
      <c:catAx>
        <c:axId val="1375468256"/>
        <c:scaling>
          <c:orientation val="minMax"/>
        </c:scaling>
        <c:delete val="1"/>
        <c:axPos val="b"/>
        <c:numFmt formatCode="General" sourceLinked="1"/>
        <c:majorTickMark val="out"/>
        <c:minorTickMark val="none"/>
        <c:tickLblPos val="nextTo"/>
        <c:crossAx val="13754673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Terrorism!$K$54</c:f>
              <c:strCache>
                <c:ptCount val="1"/>
                <c:pt idx="0">
                  <c:v>ISR-WBG-II 2010</c:v>
                </c:pt>
              </c:strCache>
            </c:strRef>
          </c:tx>
          <c:spPr>
            <a:ln w="28575" cap="rnd">
              <a:solidFill>
                <a:schemeClr val="accent1"/>
              </a:solidFill>
              <a:round/>
            </a:ln>
            <a:effectLst/>
          </c:spPr>
          <c:marker>
            <c:symbol val="none"/>
          </c:marker>
          <c:cat>
            <c:numRef>
              <c:f>Terrorism!$J$55:$J$64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Terrorism!$K$55:$K$64</c:f>
              <c:numCache>
                <c:formatCode>0%</c:formatCode>
                <c:ptCount val="10"/>
                <c:pt idx="0">
                  <c:v>0.30175637437672803</c:v>
                </c:pt>
                <c:pt idx="1">
                  <c:v>0.3202544430105323</c:v>
                </c:pt>
                <c:pt idx="2">
                  <c:v>0.42638582123112467</c:v>
                </c:pt>
                <c:pt idx="3">
                  <c:v>0.48289555146490692</c:v>
                </c:pt>
                <c:pt idx="4">
                  <c:v>0.47483665518453322</c:v>
                </c:pt>
                <c:pt idx="5">
                  <c:v>0.43918917934989082</c:v>
                </c:pt>
                <c:pt idx="6">
                  <c:v>0.62553308956186726</c:v>
                </c:pt>
                <c:pt idx="7">
                  <c:v>0.64396009161929635</c:v>
                </c:pt>
                <c:pt idx="8">
                  <c:v>0.66173426976289551</c:v>
                </c:pt>
                <c:pt idx="9">
                  <c:v>0.59588868244965332</c:v>
                </c:pt>
              </c:numCache>
            </c:numRef>
          </c:val>
          <c:smooth val="0"/>
          <c:extLst>
            <c:ext xmlns:c16="http://schemas.microsoft.com/office/drawing/2014/chart" uri="{C3380CC4-5D6E-409C-BE32-E72D297353CC}">
              <c16:uniqueId val="{00000000-1D4B-4992-B523-33BAEC7445AA}"/>
            </c:ext>
          </c:extLst>
        </c:ser>
        <c:dLbls>
          <c:showLegendKey val="0"/>
          <c:showVal val="0"/>
          <c:showCatName val="0"/>
          <c:showSerName val="0"/>
          <c:showPercent val="0"/>
          <c:showBubbleSize val="0"/>
        </c:dLbls>
        <c:marker val="1"/>
        <c:smooth val="0"/>
        <c:axId val="950117968"/>
        <c:axId val="950118800"/>
      </c:lineChart>
      <c:lineChart>
        <c:grouping val="standard"/>
        <c:varyColors val="0"/>
        <c:ser>
          <c:idx val="1"/>
          <c:order val="1"/>
          <c:tx>
            <c:strRef>
              <c:f>Terrorism!$L$54</c:f>
              <c:strCache>
                <c:ptCount val="1"/>
                <c:pt idx="0">
                  <c:v>Number of Terrorism Fatalities in Israel</c:v>
                </c:pt>
              </c:strCache>
            </c:strRef>
          </c:tx>
          <c:spPr>
            <a:ln w="28575" cap="rnd">
              <a:solidFill>
                <a:schemeClr val="accent2"/>
              </a:solidFill>
              <a:round/>
            </a:ln>
            <a:effectLst/>
          </c:spPr>
          <c:marker>
            <c:symbol val="none"/>
          </c:marker>
          <c:cat>
            <c:numRef>
              <c:f>Terrorism!$J$55:$J$64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Terrorism!$L$55:$L$64</c:f>
              <c:numCache>
                <c:formatCode>General</c:formatCode>
                <c:ptCount val="10"/>
                <c:pt idx="0">
                  <c:v>10</c:v>
                </c:pt>
                <c:pt idx="1">
                  <c:v>21</c:v>
                </c:pt>
                <c:pt idx="2">
                  <c:v>9</c:v>
                </c:pt>
                <c:pt idx="3">
                  <c:v>7</c:v>
                </c:pt>
                <c:pt idx="4">
                  <c:v>24</c:v>
                </c:pt>
                <c:pt idx="5">
                  <c:v>36</c:v>
                </c:pt>
                <c:pt idx="6">
                  <c:v>16</c:v>
                </c:pt>
                <c:pt idx="7">
                  <c:v>13</c:v>
                </c:pt>
                <c:pt idx="8">
                  <c:v>14</c:v>
                </c:pt>
                <c:pt idx="9">
                  <c:v>9</c:v>
                </c:pt>
              </c:numCache>
            </c:numRef>
          </c:val>
          <c:smooth val="0"/>
          <c:extLst>
            <c:ext xmlns:c16="http://schemas.microsoft.com/office/drawing/2014/chart" uri="{C3380CC4-5D6E-409C-BE32-E72D297353CC}">
              <c16:uniqueId val="{00000001-1D4B-4992-B523-33BAEC7445AA}"/>
            </c:ext>
          </c:extLst>
        </c:ser>
        <c:dLbls>
          <c:showLegendKey val="0"/>
          <c:showVal val="0"/>
          <c:showCatName val="0"/>
          <c:showSerName val="0"/>
          <c:showPercent val="0"/>
          <c:showBubbleSize val="0"/>
        </c:dLbls>
        <c:marker val="1"/>
        <c:smooth val="0"/>
        <c:axId val="1986070544"/>
        <c:axId val="1986076368"/>
      </c:lineChart>
      <c:catAx>
        <c:axId val="95011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950118800"/>
        <c:crosses val="autoZero"/>
        <c:auto val="1"/>
        <c:lblAlgn val="ctr"/>
        <c:lblOffset val="100"/>
        <c:noMultiLvlLbl val="0"/>
      </c:catAx>
      <c:valAx>
        <c:axId val="9501188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950117968"/>
        <c:crosses val="autoZero"/>
        <c:crossBetween val="between"/>
      </c:valAx>
      <c:valAx>
        <c:axId val="19860763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986070544"/>
        <c:crosses val="max"/>
        <c:crossBetween val="between"/>
      </c:valAx>
      <c:catAx>
        <c:axId val="1986070544"/>
        <c:scaling>
          <c:orientation val="minMax"/>
        </c:scaling>
        <c:delete val="1"/>
        <c:axPos val="b"/>
        <c:numFmt formatCode="General" sourceLinked="1"/>
        <c:majorTickMark val="out"/>
        <c:minorTickMark val="none"/>
        <c:tickLblPos val="nextTo"/>
        <c:crossAx val="1986076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'[10.1_West_Bank_deposits_by_interest_and_currency.xlsx]גיליון3'!$B$69</c:f>
              <c:strCache>
                <c:ptCount val="1"/>
                <c:pt idx="0">
                  <c:v>NIS</c:v>
                </c:pt>
              </c:strCache>
            </c:strRef>
          </c:tx>
          <c:spPr>
            <a:ln w="28575" cap="rnd">
              <a:solidFill>
                <a:schemeClr val="accent1"/>
              </a:solidFill>
              <a:round/>
            </a:ln>
            <a:effectLst/>
          </c:spPr>
          <c:marker>
            <c:symbol val="none"/>
          </c:marker>
          <c:cat>
            <c:numRef>
              <c:f>'[10.1_West_Bank_deposits_by_interest_and_currency.xlsx]גיליון3'!$C$68:$P$68</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'[10.1_West_Bank_deposits_by_interest_and_currency.xlsx]גיליון3'!$C$69:$P$69</c:f>
              <c:numCache>
                <c:formatCode>_ * #,##0_ ;_ * \-#,##0_ ;_ * "-"??_ ;_ @_ </c:formatCode>
                <c:ptCount val="14"/>
                <c:pt idx="0">
                  <c:v>603.11348699999996</c:v>
                </c:pt>
                <c:pt idx="1">
                  <c:v>916.89526499999999</c:v>
                </c:pt>
                <c:pt idx="2">
                  <c:v>1290.822073</c:v>
                </c:pt>
                <c:pt idx="3">
                  <c:v>1465.7993350000002</c:v>
                </c:pt>
                <c:pt idx="4">
                  <c:v>1728.890578</c:v>
                </c:pt>
                <c:pt idx="5">
                  <c:v>2115.804635</c:v>
                </c:pt>
                <c:pt idx="6">
                  <c:v>2323.5957100000001</c:v>
                </c:pt>
                <c:pt idx="7">
                  <c:v>2409.880674</c:v>
                </c:pt>
                <c:pt idx="8">
                  <c:v>2750.5197290000001</c:v>
                </c:pt>
                <c:pt idx="9">
                  <c:v>3229.5785579999997</c:v>
                </c:pt>
                <c:pt idx="10">
                  <c:v>3506.2632740000004</c:v>
                </c:pt>
                <c:pt idx="11">
                  <c:v>4039.926058</c:v>
                </c:pt>
                <c:pt idx="12">
                  <c:v>4458.1992</c:v>
                </c:pt>
                <c:pt idx="13">
                  <c:v>4805.8766959999994</c:v>
                </c:pt>
              </c:numCache>
            </c:numRef>
          </c:val>
          <c:smooth val="0"/>
          <c:extLst>
            <c:ext xmlns:c16="http://schemas.microsoft.com/office/drawing/2014/chart" uri="{C3380CC4-5D6E-409C-BE32-E72D297353CC}">
              <c16:uniqueId val="{00000000-6191-44C7-A61D-29E5EAE65D11}"/>
            </c:ext>
          </c:extLst>
        </c:ser>
        <c:ser>
          <c:idx val="1"/>
          <c:order val="1"/>
          <c:tx>
            <c:strRef>
              <c:f>'[10.1_West_Bank_deposits_by_interest_and_currency.xlsx]גיליון3'!$B$70</c:f>
              <c:strCache>
                <c:ptCount val="1"/>
                <c:pt idx="0">
                  <c:v>JD</c:v>
                </c:pt>
              </c:strCache>
            </c:strRef>
          </c:tx>
          <c:spPr>
            <a:ln w="28575" cap="rnd">
              <a:solidFill>
                <a:schemeClr val="accent2"/>
              </a:solidFill>
              <a:round/>
            </a:ln>
            <a:effectLst/>
          </c:spPr>
          <c:marker>
            <c:symbol val="none"/>
          </c:marker>
          <c:cat>
            <c:numRef>
              <c:f>'[10.1_West_Bank_deposits_by_interest_and_currency.xlsx]גיליון3'!$C$68:$P$68</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'[10.1_West_Bank_deposits_by_interest_and_currency.xlsx]גיליון3'!$C$70:$P$70</c:f>
              <c:numCache>
                <c:formatCode>_ * #,##0_ ;_ * \-#,##0_ ;_ * "-"??_ ;_ @_ </c:formatCode>
                <c:ptCount val="14"/>
                <c:pt idx="0">
                  <c:v>1076.1700969999999</c:v>
                </c:pt>
                <c:pt idx="1">
                  <c:v>1261.402441</c:v>
                </c:pt>
                <c:pt idx="2">
                  <c:v>1587.9631210000002</c:v>
                </c:pt>
                <c:pt idx="3">
                  <c:v>1786.6784910000001</c:v>
                </c:pt>
                <c:pt idx="4">
                  <c:v>1852.53108</c:v>
                </c:pt>
                <c:pt idx="5">
                  <c:v>1801.4410600000001</c:v>
                </c:pt>
                <c:pt idx="6">
                  <c:v>1740.432264</c:v>
                </c:pt>
                <c:pt idx="7">
                  <c:v>2106.0274799999997</c:v>
                </c:pt>
                <c:pt idx="8">
                  <c:v>2299.387565</c:v>
                </c:pt>
                <c:pt idx="9">
                  <c:v>2477.1920150000001</c:v>
                </c:pt>
                <c:pt idx="10">
                  <c:v>2643.6512160000002</c:v>
                </c:pt>
                <c:pt idx="11">
                  <c:v>2805.1890210000001</c:v>
                </c:pt>
                <c:pt idx="12">
                  <c:v>2814.838307</c:v>
                </c:pt>
                <c:pt idx="13">
                  <c:v>2995.7359110000002</c:v>
                </c:pt>
              </c:numCache>
            </c:numRef>
          </c:val>
          <c:smooth val="0"/>
          <c:extLst>
            <c:ext xmlns:c16="http://schemas.microsoft.com/office/drawing/2014/chart" uri="{C3380CC4-5D6E-409C-BE32-E72D297353CC}">
              <c16:uniqueId val="{00000001-6191-44C7-A61D-29E5EAE65D11}"/>
            </c:ext>
          </c:extLst>
        </c:ser>
        <c:ser>
          <c:idx val="2"/>
          <c:order val="2"/>
          <c:tx>
            <c:strRef>
              <c:f>'[10.1_West_Bank_deposits_by_interest_and_currency.xlsx]גיליון3'!$B$71</c:f>
              <c:strCache>
                <c:ptCount val="1"/>
                <c:pt idx="0">
                  <c:v>USD</c:v>
                </c:pt>
              </c:strCache>
            </c:strRef>
          </c:tx>
          <c:spPr>
            <a:ln w="28575" cap="rnd">
              <a:solidFill>
                <a:schemeClr val="accent3"/>
              </a:solidFill>
              <a:round/>
            </a:ln>
            <a:effectLst/>
          </c:spPr>
          <c:marker>
            <c:symbol val="none"/>
          </c:marker>
          <c:cat>
            <c:numRef>
              <c:f>'[10.1_West_Bank_deposits_by_interest_and_currency.xlsx]גיליון3'!$C$68:$P$68</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'[10.1_West_Bank_deposits_by_interest_and_currency.xlsx]גיליון3'!$C$71:$P$71</c:f>
              <c:numCache>
                <c:formatCode>_ * #,##0_ ;_ * \-#,##0_ ;_ * "-"??_ ;_ @_ </c:formatCode>
                <c:ptCount val="14"/>
                <c:pt idx="0">
                  <c:v>2306.764858</c:v>
                </c:pt>
                <c:pt idx="1">
                  <c:v>2636.9913649999999</c:v>
                </c:pt>
                <c:pt idx="2">
                  <c:v>2600.4987209999999</c:v>
                </c:pt>
                <c:pt idx="3">
                  <c:v>2697.3865289999999</c:v>
                </c:pt>
                <c:pt idx="4">
                  <c:v>2853.3969340000003</c:v>
                </c:pt>
                <c:pt idx="5">
                  <c:v>2718.491254</c:v>
                </c:pt>
                <c:pt idx="6">
                  <c:v>3062.9792349999998</c:v>
                </c:pt>
                <c:pt idx="7">
                  <c:v>3460.6155189999999</c:v>
                </c:pt>
                <c:pt idx="8">
                  <c:v>3550.4014779999998</c:v>
                </c:pt>
                <c:pt idx="9">
                  <c:v>3578.6093830000004</c:v>
                </c:pt>
                <c:pt idx="10">
                  <c:v>3956.0629829999998</c:v>
                </c:pt>
                <c:pt idx="11">
                  <c:v>4732.3570799999998</c:v>
                </c:pt>
                <c:pt idx="12">
                  <c:v>4597.3346299999994</c:v>
                </c:pt>
                <c:pt idx="13">
                  <c:v>5186.5529939999997</c:v>
                </c:pt>
              </c:numCache>
            </c:numRef>
          </c:val>
          <c:smooth val="0"/>
          <c:extLst>
            <c:ext xmlns:c16="http://schemas.microsoft.com/office/drawing/2014/chart" uri="{C3380CC4-5D6E-409C-BE32-E72D297353CC}">
              <c16:uniqueId val="{00000002-6191-44C7-A61D-29E5EAE65D11}"/>
            </c:ext>
          </c:extLst>
        </c:ser>
        <c:ser>
          <c:idx val="3"/>
          <c:order val="3"/>
          <c:tx>
            <c:strRef>
              <c:f>'[10.1_West_Bank_deposits_by_interest_and_currency.xlsx]גיליון3'!$B$72</c:f>
              <c:strCache>
                <c:ptCount val="1"/>
                <c:pt idx="0">
                  <c:v>Others</c:v>
                </c:pt>
              </c:strCache>
            </c:strRef>
          </c:tx>
          <c:spPr>
            <a:ln w="28575" cap="rnd">
              <a:solidFill>
                <a:schemeClr val="accent4"/>
              </a:solidFill>
              <a:round/>
            </a:ln>
            <a:effectLst/>
          </c:spPr>
          <c:marker>
            <c:symbol val="none"/>
          </c:marker>
          <c:cat>
            <c:numRef>
              <c:f>'[10.1_West_Bank_deposits_by_interest_and_currency.xlsx]גיליון3'!$C$68:$P$68</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'[10.1_West_Bank_deposits_by_interest_and_currency.xlsx]גיליון3'!$C$72:$P$72</c:f>
              <c:numCache>
                <c:formatCode>_ * #,##0_ ;_ * \-#,##0_ ;_ * "-"??_ ;_ @_ </c:formatCode>
                <c:ptCount val="14"/>
                <c:pt idx="0">
                  <c:v>216.79271599999998</c:v>
                </c:pt>
                <c:pt idx="1">
                  <c:v>302.38406299999997</c:v>
                </c:pt>
                <c:pt idx="2">
                  <c:v>367.59488999999996</c:v>
                </c:pt>
                <c:pt idx="3">
                  <c:v>346.93437099999994</c:v>
                </c:pt>
                <c:pt idx="4">
                  <c:v>367.60612800000001</c:v>
                </c:pt>
                <c:pt idx="5">
                  <c:v>336.75562100000002</c:v>
                </c:pt>
                <c:pt idx="6">
                  <c:v>357.12201700000003</c:v>
                </c:pt>
                <c:pt idx="7">
                  <c:v>327.20629600000001</c:v>
                </c:pt>
                <c:pt idx="8">
                  <c:v>334.21622400000001</c:v>
                </c:pt>
                <c:pt idx="9">
                  <c:v>368.85808899999995</c:v>
                </c:pt>
                <c:pt idx="10">
                  <c:v>498.67323599999997</c:v>
                </c:pt>
                <c:pt idx="11">
                  <c:v>405.019701</c:v>
                </c:pt>
                <c:pt idx="12">
                  <c:v>356.95482299999998</c:v>
                </c:pt>
                <c:pt idx="13">
                  <c:v>396.54304400000001</c:v>
                </c:pt>
              </c:numCache>
            </c:numRef>
          </c:val>
          <c:smooth val="0"/>
          <c:extLst>
            <c:ext xmlns:c16="http://schemas.microsoft.com/office/drawing/2014/chart" uri="{C3380CC4-5D6E-409C-BE32-E72D297353CC}">
              <c16:uniqueId val="{00000003-6191-44C7-A61D-29E5EAE65D11}"/>
            </c:ext>
          </c:extLst>
        </c:ser>
        <c:dLbls>
          <c:showLegendKey val="0"/>
          <c:showVal val="0"/>
          <c:showCatName val="0"/>
          <c:showSerName val="0"/>
          <c:showPercent val="0"/>
          <c:showBubbleSize val="0"/>
        </c:dLbls>
        <c:smooth val="0"/>
        <c:axId val="1788128080"/>
        <c:axId val="1804298448"/>
      </c:lineChart>
      <c:dateAx>
        <c:axId val="178812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04298448"/>
        <c:crosses val="autoZero"/>
        <c:auto val="0"/>
        <c:lblOffset val="100"/>
        <c:baseTimeUnit val="days"/>
        <c:majorUnit val="1"/>
        <c:majorTimeUnit val="days"/>
      </c:dateAx>
      <c:valAx>
        <c:axId val="1804298448"/>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78812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Terrorism!$E$3</c:f>
              <c:strCache>
                <c:ptCount val="1"/>
                <c:pt idx="0">
                  <c:v>ISR-WBG-II 1968</c:v>
                </c:pt>
              </c:strCache>
            </c:strRef>
          </c:tx>
          <c:spPr>
            <a:ln w="28575" cap="rnd">
              <a:solidFill>
                <a:schemeClr val="accent1"/>
              </a:solidFill>
              <a:round/>
            </a:ln>
            <a:effectLst/>
          </c:spPr>
          <c:marker>
            <c:symbol val="none"/>
          </c:marker>
          <c:cat>
            <c:numRef>
              <c:f>Terrorism!$C$4:$C$55</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Terrorism!$E$4:$E$55</c:f>
              <c:numCache>
                <c:formatCode>0.00%</c:formatCode>
                <c:ptCount val="52"/>
                <c:pt idx="0">
                  <c:v>0.16473381560878195</c:v>
                </c:pt>
                <c:pt idx="1">
                  <c:v>0.1964906378150672</c:v>
                </c:pt>
                <c:pt idx="2">
                  <c:v>0.29651778671004414</c:v>
                </c:pt>
                <c:pt idx="3">
                  <c:v>0.37336949944054371</c:v>
                </c:pt>
                <c:pt idx="4">
                  <c:v>0.50333532273375303</c:v>
                </c:pt>
                <c:pt idx="5">
                  <c:v>0.59045585451193916</c:v>
                </c:pt>
                <c:pt idx="6">
                  <c:v>0.62669921499772729</c:v>
                </c:pt>
                <c:pt idx="7">
                  <c:v>0.65572793964103726</c:v>
                </c:pt>
                <c:pt idx="8">
                  <c:v>0.68670292427761892</c:v>
                </c:pt>
                <c:pt idx="9">
                  <c:v>0.6838581481898609</c:v>
                </c:pt>
                <c:pt idx="10">
                  <c:v>0.69421550350577066</c:v>
                </c:pt>
                <c:pt idx="11">
                  <c:v>0.68815538175483337</c:v>
                </c:pt>
                <c:pt idx="12">
                  <c:v>0.7505953011754094</c:v>
                </c:pt>
                <c:pt idx="13">
                  <c:v>0.76182361934912235</c:v>
                </c:pt>
                <c:pt idx="14">
                  <c:v>0.77366364343847915</c:v>
                </c:pt>
                <c:pt idx="15">
                  <c:v>0.80180558686213721</c:v>
                </c:pt>
                <c:pt idx="16">
                  <c:v>0.80505201598509846</c:v>
                </c:pt>
                <c:pt idx="17">
                  <c:v>0.77028901851804332</c:v>
                </c:pt>
                <c:pt idx="18">
                  <c:v>0.78886852826843734</c:v>
                </c:pt>
                <c:pt idx="19">
                  <c:v>0.80924939349255864</c:v>
                </c:pt>
                <c:pt idx="20">
                  <c:v>0.72073787572680204</c:v>
                </c:pt>
                <c:pt idx="21">
                  <c:v>0.65118894655415582</c:v>
                </c:pt>
                <c:pt idx="22">
                  <c:v>0.72106060174554887</c:v>
                </c:pt>
                <c:pt idx="23">
                  <c:v>0.68619644120525236</c:v>
                </c:pt>
                <c:pt idx="24">
                  <c:v>0.75227857619418925</c:v>
                </c:pt>
                <c:pt idx="25">
                  <c:v>0.6730119138859666</c:v>
                </c:pt>
                <c:pt idx="26">
                  <c:v>0.60532633354531573</c:v>
                </c:pt>
                <c:pt idx="27">
                  <c:v>0.57983070951264304</c:v>
                </c:pt>
                <c:pt idx="28">
                  <c:v>0.52186240249160143</c:v>
                </c:pt>
                <c:pt idx="29">
                  <c:v>0.54260488970153442</c:v>
                </c:pt>
                <c:pt idx="30">
                  <c:v>0.60423612374077162</c:v>
                </c:pt>
                <c:pt idx="31">
                  <c:v>0.5555086168910901</c:v>
                </c:pt>
                <c:pt idx="32">
                  <c:v>0.49379654003712792</c:v>
                </c:pt>
                <c:pt idx="33">
                  <c:v>0.38030544360591922</c:v>
                </c:pt>
                <c:pt idx="34">
                  <c:v>0.34301845040531931</c:v>
                </c:pt>
                <c:pt idx="35">
                  <c:v>0.37083113466002993</c:v>
                </c:pt>
                <c:pt idx="36">
                  <c:v>0.41152276290287559</c:v>
                </c:pt>
                <c:pt idx="37">
                  <c:v>0.43664685056521058</c:v>
                </c:pt>
                <c:pt idx="38">
                  <c:v>0.43057434175488157</c:v>
                </c:pt>
                <c:pt idx="39">
                  <c:v>0.42538155341302086</c:v>
                </c:pt>
                <c:pt idx="40">
                  <c:v>0.4721687113271808</c:v>
                </c:pt>
                <c:pt idx="41">
                  <c:v>0.45936054418316263</c:v>
                </c:pt>
                <c:pt idx="42">
                  <c:v>0.42976831270012528</c:v>
                </c:pt>
                <c:pt idx="43">
                  <c:v>0.43565905556128015</c:v>
                </c:pt>
                <c:pt idx="44">
                  <c:v>0.44583315082544717</c:v>
                </c:pt>
                <c:pt idx="45">
                  <c:v>0.46709492333417668</c:v>
                </c:pt>
                <c:pt idx="46">
                  <c:v>0.44638863505217063</c:v>
                </c:pt>
                <c:pt idx="47">
                  <c:v>0.41217907553434652</c:v>
                </c:pt>
                <c:pt idx="48">
                  <c:v>0.42896216852320534</c:v>
                </c:pt>
                <c:pt idx="49">
                  <c:v>0.41143896338935182</c:v>
                </c:pt>
                <c:pt idx="50">
                  <c:v>0.40386468452850299</c:v>
                </c:pt>
                <c:pt idx="51">
                  <c:v>0.39275202571519863</c:v>
                </c:pt>
              </c:numCache>
            </c:numRef>
          </c:val>
          <c:smooth val="0"/>
          <c:extLst>
            <c:ext xmlns:c16="http://schemas.microsoft.com/office/drawing/2014/chart" uri="{C3380CC4-5D6E-409C-BE32-E72D297353CC}">
              <c16:uniqueId val="{00000000-2E95-4D2A-89C4-8E75ADEA87CC}"/>
            </c:ext>
          </c:extLst>
        </c:ser>
        <c:ser>
          <c:idx val="1"/>
          <c:order val="1"/>
          <c:tx>
            <c:strRef>
              <c:f>Terrorism!$H$3</c:f>
              <c:strCache>
                <c:ptCount val="1"/>
                <c:pt idx="0">
                  <c:v>Unemployment rate in the WBG</c:v>
                </c:pt>
              </c:strCache>
            </c:strRef>
          </c:tx>
          <c:spPr>
            <a:ln w="28575" cap="rnd">
              <a:solidFill>
                <a:schemeClr val="accent2"/>
              </a:solidFill>
              <a:round/>
            </a:ln>
            <a:effectLst/>
          </c:spPr>
          <c:marker>
            <c:symbol val="none"/>
          </c:marker>
          <c:cat>
            <c:numRef>
              <c:f>Terrorism!$C$4:$C$55</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Terrorism!$H$4:$H$55</c:f>
              <c:numCache>
                <c:formatCode>0%</c:formatCode>
                <c:ptCount val="52"/>
                <c:pt idx="0">
                  <c:v>0.13400000000000001</c:v>
                </c:pt>
                <c:pt idx="1">
                  <c:v>6.0000000000000053E-2</c:v>
                </c:pt>
                <c:pt idx="2">
                  <c:v>4.3000000000000038E-2</c:v>
                </c:pt>
                <c:pt idx="3">
                  <c:v>2.9000000000000026E-2</c:v>
                </c:pt>
                <c:pt idx="4">
                  <c:v>1.4000000000000012E-2</c:v>
                </c:pt>
                <c:pt idx="5">
                  <c:v>1.0000000000000009E-2</c:v>
                </c:pt>
                <c:pt idx="6">
                  <c:v>1.0000000000000009E-2</c:v>
                </c:pt>
                <c:pt idx="7">
                  <c:v>1.0000000000000009E-2</c:v>
                </c:pt>
                <c:pt idx="8">
                  <c:v>1.100000000000001E-2</c:v>
                </c:pt>
                <c:pt idx="9">
                  <c:v>1.0000000000000009E-2</c:v>
                </c:pt>
                <c:pt idx="10">
                  <c:v>1.100000000000001E-2</c:v>
                </c:pt>
                <c:pt idx="11">
                  <c:v>1.0000000000000009E-2</c:v>
                </c:pt>
                <c:pt idx="12">
                  <c:v>1.5000000000000013E-2</c:v>
                </c:pt>
                <c:pt idx="13">
                  <c:v>1.3000000000000012E-2</c:v>
                </c:pt>
                <c:pt idx="14">
                  <c:v>1.3000000000000012E-2</c:v>
                </c:pt>
                <c:pt idx="15">
                  <c:v>1.7000000000000015E-2</c:v>
                </c:pt>
                <c:pt idx="16">
                  <c:v>2.9000000000000026E-2</c:v>
                </c:pt>
                <c:pt idx="17">
                  <c:v>3.6000000000000032E-2</c:v>
                </c:pt>
                <c:pt idx="18">
                  <c:v>2.9000000000000026E-2</c:v>
                </c:pt>
                <c:pt idx="19">
                  <c:v>2.200000000000002E-2</c:v>
                </c:pt>
                <c:pt idx="20">
                  <c:v>2.6000000000000023E-2</c:v>
                </c:pt>
                <c:pt idx="21">
                  <c:v>3.7000000000000033E-2</c:v>
                </c:pt>
                <c:pt idx="22">
                  <c:v>3.7000000000000033E-2</c:v>
                </c:pt>
                <c:pt idx="23">
                  <c:v>7.8999999999999959E-2</c:v>
                </c:pt>
                <c:pt idx="24">
                  <c:v>4.2000000000000037E-2</c:v>
                </c:pt>
                <c:pt idx="25">
                  <c:v>6.6999999999999948E-2</c:v>
                </c:pt>
                <c:pt idx="26">
                  <c:v>0.12449999999999997</c:v>
                </c:pt>
                <c:pt idx="27">
                  <c:v>0.182</c:v>
                </c:pt>
                <c:pt idx="28">
                  <c:v>0.23800000000000002</c:v>
                </c:pt>
                <c:pt idx="29">
                  <c:v>0.20300000000000001</c:v>
                </c:pt>
                <c:pt idx="30">
                  <c:v>0.14400000000000002</c:v>
                </c:pt>
                <c:pt idx="31">
                  <c:v>0.11800000000000001</c:v>
                </c:pt>
                <c:pt idx="32">
                  <c:v>0.14300000000000002</c:v>
                </c:pt>
                <c:pt idx="33">
                  <c:v>0.252</c:v>
                </c:pt>
                <c:pt idx="34">
                  <c:v>0.313</c:v>
                </c:pt>
                <c:pt idx="35">
                  <c:v>0.25600000000000001</c:v>
                </c:pt>
                <c:pt idx="36">
                  <c:v>0.26800000000000002</c:v>
                </c:pt>
                <c:pt idx="37">
                  <c:v>0.23549999999999996</c:v>
                </c:pt>
                <c:pt idx="38">
                  <c:v>0.23774999999999999</c:v>
                </c:pt>
                <c:pt idx="39">
                  <c:v>0.21700000000000003</c:v>
                </c:pt>
                <c:pt idx="40">
                  <c:v>0.25950000000000001</c:v>
                </c:pt>
                <c:pt idx="41">
                  <c:v>0.2455</c:v>
                </c:pt>
                <c:pt idx="42">
                  <c:v>0.23725000000000002</c:v>
                </c:pt>
                <c:pt idx="43">
                  <c:v>0.20949999999999999</c:v>
                </c:pt>
                <c:pt idx="44">
                  <c:v>0.23</c:v>
                </c:pt>
                <c:pt idx="45">
                  <c:v>0.23350000000000001</c:v>
                </c:pt>
                <c:pt idx="46">
                  <c:v>0.26899999999999996</c:v>
                </c:pt>
                <c:pt idx="47">
                  <c:v>0.25900000000000001</c:v>
                </c:pt>
                <c:pt idx="48">
                  <c:v>0.26900000000000002</c:v>
                </c:pt>
                <c:pt idx="49">
                  <c:v>0.25700000000000001</c:v>
                </c:pt>
                <c:pt idx="50">
                  <c:v>0.26200000000000001</c:v>
                </c:pt>
                <c:pt idx="51">
                  <c:v>0.2535</c:v>
                </c:pt>
              </c:numCache>
            </c:numRef>
          </c:val>
          <c:smooth val="0"/>
          <c:extLst>
            <c:ext xmlns:c16="http://schemas.microsoft.com/office/drawing/2014/chart" uri="{C3380CC4-5D6E-409C-BE32-E72D297353CC}">
              <c16:uniqueId val="{00000001-2E95-4D2A-89C4-8E75ADEA87CC}"/>
            </c:ext>
          </c:extLst>
        </c:ser>
        <c:dLbls>
          <c:showLegendKey val="0"/>
          <c:showVal val="0"/>
          <c:showCatName val="0"/>
          <c:showSerName val="0"/>
          <c:showPercent val="0"/>
          <c:showBubbleSize val="0"/>
        </c:dLbls>
        <c:smooth val="0"/>
        <c:axId val="1647217344"/>
        <c:axId val="1647220672"/>
      </c:lineChart>
      <c:catAx>
        <c:axId val="164721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647220672"/>
        <c:crosses val="autoZero"/>
        <c:auto val="1"/>
        <c:lblAlgn val="ctr"/>
        <c:lblOffset val="100"/>
        <c:noMultiLvlLbl val="0"/>
      </c:catAx>
      <c:valAx>
        <c:axId val="16472206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64721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49402098668419"/>
          <c:y val="6.1213619935324336E-2"/>
          <c:w val="0.85663496747224321"/>
          <c:h val="0.44105272460116929"/>
        </c:manualLayout>
      </c:layout>
      <c:lineChart>
        <c:grouping val="standard"/>
        <c:varyColors val="0"/>
        <c:ser>
          <c:idx val="0"/>
          <c:order val="0"/>
          <c:tx>
            <c:strRef>
              <c:f>Data!$C$2</c:f>
              <c:strCache>
                <c:ptCount val="1"/>
                <c:pt idx="0">
                  <c:v>Palestinian exports of goods and services to Israel out of total Palestinian exports</c:v>
                </c:pt>
              </c:strCache>
            </c:strRef>
          </c:tx>
          <c:spPr>
            <a:ln w="28575" cap="rnd">
              <a:solidFill>
                <a:schemeClr val="accent1"/>
              </a:solidFill>
              <a:round/>
            </a:ln>
            <a:effectLst/>
          </c:spPr>
          <c:marker>
            <c:symbol val="none"/>
          </c:marker>
          <c:cat>
            <c:numRef>
              <c:f>Data!$B$3:$B$54</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Data!$C$3:$C$54</c:f>
              <c:numCache>
                <c:formatCode>0.0%</c:formatCode>
                <c:ptCount val="52"/>
                <c:pt idx="0">
                  <c:v>0.43098591549295778</c:v>
                </c:pt>
                <c:pt idx="1">
                  <c:v>0.36585365853658536</c:v>
                </c:pt>
                <c:pt idx="2">
                  <c:v>0.46238938053097339</c:v>
                </c:pt>
                <c:pt idx="3">
                  <c:v>0.4457478005865102</c:v>
                </c:pt>
                <c:pt idx="4">
                  <c:v>0.48862275449101794</c:v>
                </c:pt>
                <c:pt idx="5">
                  <c:v>0.66105054509415262</c:v>
                </c:pt>
                <c:pt idx="6">
                  <c:v>0.66984343090537779</c:v>
                </c:pt>
                <c:pt idx="7">
                  <c:v>0.63919129082426129</c:v>
                </c:pt>
                <c:pt idx="8">
                  <c:v>0.63000439947206333</c:v>
                </c:pt>
                <c:pt idx="9">
                  <c:v>0.60360360360360354</c:v>
                </c:pt>
                <c:pt idx="10">
                  <c:v>0.59977194982896231</c:v>
                </c:pt>
                <c:pt idx="11">
                  <c:v>0.62246777163904232</c:v>
                </c:pt>
                <c:pt idx="12">
                  <c:v>0.65384615384615385</c:v>
                </c:pt>
                <c:pt idx="13">
                  <c:v>0.71637717121588085</c:v>
                </c:pt>
                <c:pt idx="14">
                  <c:v>0.66180235535074239</c:v>
                </c:pt>
                <c:pt idx="15">
                  <c:v>0.7471174004192872</c:v>
                </c:pt>
                <c:pt idx="16">
                  <c:v>0.64117647058823535</c:v>
                </c:pt>
                <c:pt idx="17">
                  <c:v>0.6655653450807637</c:v>
                </c:pt>
                <c:pt idx="18">
                  <c:v>0.72301211163770407</c:v>
                </c:pt>
                <c:pt idx="19">
                  <c:v>0.78821697378665967</c:v>
                </c:pt>
                <c:pt idx="20">
                  <c:v>0.70813397129186606</c:v>
                </c:pt>
                <c:pt idx="21">
                  <c:v>0.69565217391304346</c:v>
                </c:pt>
                <c:pt idx="22">
                  <c:v>0.79525483304042177</c:v>
                </c:pt>
                <c:pt idx="23">
                  <c:v>0.77554370127205585</c:v>
                </c:pt>
                <c:pt idx="24">
                  <c:v>0.85</c:v>
                </c:pt>
                <c:pt idx="25">
                  <c:v>0.85</c:v>
                </c:pt>
                <c:pt idx="26">
                  <c:v>0.85</c:v>
                </c:pt>
                <c:pt idx="27">
                  <c:v>0.9235216666624384</c:v>
                </c:pt>
                <c:pt idx="28">
                  <c:v>0.9404354841634619</c:v>
                </c:pt>
                <c:pt idx="29">
                  <c:v>0.93709584674182966</c:v>
                </c:pt>
                <c:pt idx="30">
                  <c:v>0.96117726704651052</c:v>
                </c:pt>
                <c:pt idx="31">
                  <c:v>0.96859965350969257</c:v>
                </c:pt>
                <c:pt idx="32">
                  <c:v>0.95535356152419371</c:v>
                </c:pt>
                <c:pt idx="33">
                  <c:v>0.96806175514852733</c:v>
                </c:pt>
                <c:pt idx="34">
                  <c:v>0.94046626140456169</c:v>
                </c:pt>
                <c:pt idx="35">
                  <c:v>0.94086036009710006</c:v>
                </c:pt>
                <c:pt idx="36">
                  <c:v>0.93195032666972655</c:v>
                </c:pt>
                <c:pt idx="37">
                  <c:v>0.92827998500718167</c:v>
                </c:pt>
                <c:pt idx="38">
                  <c:v>0.94165337919339043</c:v>
                </c:pt>
                <c:pt idx="39">
                  <c:v>0.93783764876921372</c:v>
                </c:pt>
                <c:pt idx="40">
                  <c:v>0.93704620022189733</c:v>
                </c:pt>
                <c:pt idx="41">
                  <c:v>0.92995187471100049</c:v>
                </c:pt>
                <c:pt idx="42">
                  <c:v>0.9069147200296237</c:v>
                </c:pt>
                <c:pt idx="43">
                  <c:v>0.91586792521190785</c:v>
                </c:pt>
                <c:pt idx="44">
                  <c:v>0.88907554673425504</c:v>
                </c:pt>
                <c:pt idx="45">
                  <c:v>0.91729630685719032</c:v>
                </c:pt>
                <c:pt idx="46">
                  <c:v>0.90584537140522281</c:v>
                </c:pt>
                <c:pt idx="47">
                  <c:v>0.91467086533146136</c:v>
                </c:pt>
                <c:pt idx="48">
                  <c:v>0.91556491230468284</c:v>
                </c:pt>
                <c:pt idx="49">
                  <c:v>0.91145766038454856</c:v>
                </c:pt>
                <c:pt idx="50">
                  <c:v>0.90836414597658521</c:v>
                </c:pt>
                <c:pt idx="51">
                  <c:v>0.89420318436870339</c:v>
                </c:pt>
              </c:numCache>
            </c:numRef>
          </c:val>
          <c:smooth val="0"/>
          <c:extLst>
            <c:ext xmlns:c16="http://schemas.microsoft.com/office/drawing/2014/chart" uri="{C3380CC4-5D6E-409C-BE32-E72D297353CC}">
              <c16:uniqueId val="{00000000-77A8-40D0-81FA-EBC6C08260BD}"/>
            </c:ext>
          </c:extLst>
        </c:ser>
        <c:ser>
          <c:idx val="1"/>
          <c:order val="1"/>
          <c:tx>
            <c:strRef>
              <c:f>Data!$D$2</c:f>
              <c:strCache>
                <c:ptCount val="1"/>
                <c:pt idx="0">
                  <c:v>Palestinian imports of goods and services from Israel out of total Palestinian imports</c:v>
                </c:pt>
              </c:strCache>
            </c:strRef>
          </c:tx>
          <c:spPr>
            <a:ln w="28575" cap="rnd">
              <a:solidFill>
                <a:schemeClr val="accent2"/>
              </a:solidFill>
              <a:round/>
            </a:ln>
            <a:effectLst/>
          </c:spPr>
          <c:marker>
            <c:symbol val="none"/>
          </c:marker>
          <c:cat>
            <c:numRef>
              <c:f>Data!$B$3:$B$54</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Data!$D$3:$D$54</c:f>
              <c:numCache>
                <c:formatCode>0.0%</c:formatCode>
                <c:ptCount val="52"/>
                <c:pt idx="0">
                  <c:v>0.76537911301859796</c:v>
                </c:pt>
                <c:pt idx="1">
                  <c:v>0.80176211453744495</c:v>
                </c:pt>
                <c:pt idx="2">
                  <c:v>0.83618090452261307</c:v>
                </c:pt>
                <c:pt idx="3">
                  <c:v>0.81665332265812651</c:v>
                </c:pt>
                <c:pt idx="4">
                  <c:v>0.84950859950859947</c:v>
                </c:pt>
                <c:pt idx="5">
                  <c:v>0.90083410565338273</c:v>
                </c:pt>
                <c:pt idx="6">
                  <c:v>0.89223602484472053</c:v>
                </c:pt>
                <c:pt idx="7">
                  <c:v>0.91226345539444587</c:v>
                </c:pt>
                <c:pt idx="8">
                  <c:v>0.90320350311131592</c:v>
                </c:pt>
                <c:pt idx="9">
                  <c:v>0.91382370341155583</c:v>
                </c:pt>
                <c:pt idx="10">
                  <c:v>0.88591487494515142</c:v>
                </c:pt>
                <c:pt idx="11">
                  <c:v>0.86808735470235998</c:v>
                </c:pt>
                <c:pt idx="12">
                  <c:v>0.87631658140234725</c:v>
                </c:pt>
                <c:pt idx="13">
                  <c:v>0.90124796527400963</c:v>
                </c:pt>
                <c:pt idx="14">
                  <c:v>0.8895596103717931</c:v>
                </c:pt>
                <c:pt idx="15">
                  <c:v>0.90800203873598373</c:v>
                </c:pt>
                <c:pt idx="16">
                  <c:v>0.90338093850189438</c:v>
                </c:pt>
                <c:pt idx="17">
                  <c:v>0.89534361431352005</c:v>
                </c:pt>
                <c:pt idx="18">
                  <c:v>0.89640449438202241</c:v>
                </c:pt>
                <c:pt idx="19">
                  <c:v>0.91439307458143071</c:v>
                </c:pt>
                <c:pt idx="20">
                  <c:v>0.88165680473372776</c:v>
                </c:pt>
                <c:pt idx="21">
                  <c:v>0.81613924050632902</c:v>
                </c:pt>
                <c:pt idx="22">
                  <c:v>0.84168051269878952</c:v>
                </c:pt>
                <c:pt idx="23">
                  <c:v>0.86223949134581412</c:v>
                </c:pt>
                <c:pt idx="24">
                  <c:v>0.87139999999999995</c:v>
                </c:pt>
                <c:pt idx="25">
                  <c:v>0.87139999999999995</c:v>
                </c:pt>
                <c:pt idx="26">
                  <c:v>0.87139999999999995</c:v>
                </c:pt>
                <c:pt idx="27">
                  <c:v>0.8807061430197124</c:v>
                </c:pt>
                <c:pt idx="28">
                  <c:v>0.86465356173487762</c:v>
                </c:pt>
                <c:pt idx="29">
                  <c:v>0.82748649855107437</c:v>
                </c:pt>
                <c:pt idx="30">
                  <c:v>0.77180811564134466</c:v>
                </c:pt>
                <c:pt idx="31">
                  <c:v>0.61639774067882158</c:v>
                </c:pt>
                <c:pt idx="32">
                  <c:v>0.73819993886914781</c:v>
                </c:pt>
                <c:pt idx="33">
                  <c:v>0.68388226316604339</c:v>
                </c:pt>
                <c:pt idx="34">
                  <c:v>0.76296625077885383</c:v>
                </c:pt>
                <c:pt idx="35">
                  <c:v>0.7664115842653163</c:v>
                </c:pt>
                <c:pt idx="36">
                  <c:v>0.76997505880338235</c:v>
                </c:pt>
                <c:pt idx="37">
                  <c:v>0.75465190088522771</c:v>
                </c:pt>
                <c:pt idx="38">
                  <c:v>0.77390222608393511</c:v>
                </c:pt>
                <c:pt idx="39">
                  <c:v>0.77567601481751813</c:v>
                </c:pt>
                <c:pt idx="40">
                  <c:v>0.8337530300534427</c:v>
                </c:pt>
                <c:pt idx="41">
                  <c:v>0.77954711083246375</c:v>
                </c:pt>
                <c:pt idx="42">
                  <c:v>0.75347374483781981</c:v>
                </c:pt>
                <c:pt idx="43">
                  <c:v>0.74133790373676756</c:v>
                </c:pt>
                <c:pt idx="44">
                  <c:v>0.75017279375701174</c:v>
                </c:pt>
                <c:pt idx="45">
                  <c:v>0.75576182906968303</c:v>
                </c:pt>
                <c:pt idx="46">
                  <c:v>0.73161685036814961</c:v>
                </c:pt>
                <c:pt idx="47">
                  <c:v>0.65468483399470045</c:v>
                </c:pt>
                <c:pt idx="48">
                  <c:v>0.66022030072953553</c:v>
                </c:pt>
                <c:pt idx="49">
                  <c:v>0.62978327342425844</c:v>
                </c:pt>
                <c:pt idx="50">
                  <c:v>0.60585953799456105</c:v>
                </c:pt>
                <c:pt idx="51">
                  <c:v>0.60151368660305526</c:v>
                </c:pt>
              </c:numCache>
            </c:numRef>
          </c:val>
          <c:smooth val="0"/>
          <c:extLst>
            <c:ext xmlns:c16="http://schemas.microsoft.com/office/drawing/2014/chart" uri="{C3380CC4-5D6E-409C-BE32-E72D297353CC}">
              <c16:uniqueId val="{00000001-77A8-40D0-81FA-EBC6C08260BD}"/>
            </c:ext>
          </c:extLst>
        </c:ser>
        <c:ser>
          <c:idx val="2"/>
          <c:order val="2"/>
          <c:tx>
            <c:strRef>
              <c:f>Data!$E$2</c:f>
              <c:strCache>
                <c:ptCount val="1"/>
                <c:pt idx="0">
                  <c:v>Share of Gross clearance revenues out of Total PA net revenues and grants</c:v>
                </c:pt>
              </c:strCache>
            </c:strRef>
          </c:tx>
          <c:spPr>
            <a:ln w="28575" cap="rnd">
              <a:solidFill>
                <a:schemeClr val="accent3"/>
              </a:solidFill>
              <a:round/>
            </a:ln>
            <a:effectLst/>
          </c:spPr>
          <c:marker>
            <c:symbol val="none"/>
          </c:marker>
          <c:cat>
            <c:numRef>
              <c:f>Data!$B$3:$B$54</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Data!$E$3:$E$54</c:f>
              <c:numCache>
                <c:formatCode>General</c:formatCode>
                <c:ptCount val="52"/>
                <c:pt idx="28" formatCode="0%">
                  <c:v>0.37537638006022084</c:v>
                </c:pt>
                <c:pt idx="29" formatCode="0%">
                  <c:v>0.44258760107816708</c:v>
                </c:pt>
                <c:pt idx="30" formatCode="0%">
                  <c:v>0.49237732253454025</c:v>
                </c:pt>
                <c:pt idx="31" formatCode="0%">
                  <c:v>0.48859934853420195</c:v>
                </c:pt>
                <c:pt idx="32" formatCode="0%">
                  <c:v>0.4051069703243616</c:v>
                </c:pt>
                <c:pt idx="33" formatCode="0%">
                  <c:v>0</c:v>
                </c:pt>
                <c:pt idx="34" formatCode="0%">
                  <c:v>7.29483282674772E-2</c:v>
                </c:pt>
                <c:pt idx="35" formatCode="0%">
                  <c:v>0.34528163862472566</c:v>
                </c:pt>
                <c:pt idx="36" formatCode="0%">
                  <c:v>0.50819672131147542</c:v>
                </c:pt>
                <c:pt idx="37" formatCode="0%">
                  <c:v>0.4456630109670987</c:v>
                </c:pt>
                <c:pt idx="38" formatCode="0%">
                  <c:v>0.19758759333716255</c:v>
                </c:pt>
                <c:pt idx="39" formatCode="0%">
                  <c:v>0.44860449285228049</c:v>
                </c:pt>
                <c:pt idx="40" formatCode="0%">
                  <c:v>0.3025706530416733</c:v>
                </c:pt>
                <c:pt idx="41" formatCode="0%">
                  <c:v>0.36944141914854195</c:v>
                </c:pt>
                <c:pt idx="42" formatCode="0%">
                  <c:v>0.40390090650260174</c:v>
                </c:pt>
                <c:pt idx="43" formatCode="0%">
                  <c:v>0.4716704119274347</c:v>
                </c:pt>
                <c:pt idx="44" formatCode="0%">
                  <c:v>0.49631448768794351</c:v>
                </c:pt>
                <c:pt idx="45" formatCode="0%">
                  <c:v>0.45963662408663936</c:v>
                </c:pt>
                <c:pt idx="46" formatCode="0%">
                  <c:v>0.51081392202123199</c:v>
                </c:pt>
                <c:pt idx="47" formatCode="0%">
                  <c:v>0.55497632956650456</c:v>
                </c:pt>
                <c:pt idx="48" formatCode="0%">
                  <c:v>0.54012915614571522</c:v>
                </c:pt>
                <c:pt idx="49" formatCode="0%">
                  <c:v>0.56794641325385264</c:v>
                </c:pt>
                <c:pt idx="50" formatCode="0%">
                  <c:v>0.54637179000552683</c:v>
                </c:pt>
                <c:pt idx="51" formatCode="0%">
                  <c:v>0.5866581612753935</c:v>
                </c:pt>
              </c:numCache>
            </c:numRef>
          </c:val>
          <c:smooth val="0"/>
          <c:extLst>
            <c:ext xmlns:c16="http://schemas.microsoft.com/office/drawing/2014/chart" uri="{C3380CC4-5D6E-409C-BE32-E72D297353CC}">
              <c16:uniqueId val="{00000002-77A8-40D0-81FA-EBC6C08260BD}"/>
            </c:ext>
          </c:extLst>
        </c:ser>
        <c:ser>
          <c:idx val="3"/>
          <c:order val="3"/>
          <c:tx>
            <c:strRef>
              <c:f>Data!$F$2</c:f>
              <c:strCache>
                <c:ptCount val="1"/>
                <c:pt idx="0">
                  <c:v>Palestinians employed in Israel out of total Palestinian employed Individuals</c:v>
                </c:pt>
              </c:strCache>
            </c:strRef>
          </c:tx>
          <c:spPr>
            <a:ln w="28575" cap="rnd">
              <a:solidFill>
                <a:schemeClr val="accent4"/>
              </a:solidFill>
              <a:round/>
            </a:ln>
            <a:effectLst/>
          </c:spPr>
          <c:marker>
            <c:symbol val="none"/>
          </c:marker>
          <c:cat>
            <c:numRef>
              <c:f>Data!$B$3:$B$54</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Data!$F$3:$F$54</c:f>
              <c:numCache>
                <c:formatCode>0%</c:formatCode>
                <c:ptCount val="52"/>
                <c:pt idx="0">
                  <c:v>0.11886901327178304</c:v>
                </c:pt>
                <c:pt idx="1">
                  <c:v>0.11886901327178304</c:v>
                </c:pt>
                <c:pt idx="2">
                  <c:v>0.11886901327178304</c:v>
                </c:pt>
                <c:pt idx="3">
                  <c:v>0.19241652518392757</c:v>
                </c:pt>
                <c:pt idx="4">
                  <c:v>0.27860169491525422</c:v>
                </c:pt>
                <c:pt idx="5">
                  <c:v>0.31570841889117041</c:v>
                </c:pt>
                <c:pt idx="6">
                  <c:v>0.33016175071360615</c:v>
                </c:pt>
                <c:pt idx="7">
                  <c:v>0.325864588407209</c:v>
                </c:pt>
                <c:pt idx="8">
                  <c:v>0.31765276430649858</c:v>
                </c:pt>
                <c:pt idx="9">
                  <c:v>0.31009263773768897</c:v>
                </c:pt>
                <c:pt idx="10">
                  <c:v>0.32455315145813735</c:v>
                </c:pt>
                <c:pt idx="11">
                  <c:v>0.35194744251525106</c:v>
                </c:pt>
                <c:pt idx="12">
                  <c:v>0.3510392609699769</c:v>
                </c:pt>
                <c:pt idx="13">
                  <c:v>0.35454126325495622</c:v>
                </c:pt>
                <c:pt idx="14">
                  <c:v>0.35880250223413757</c:v>
                </c:pt>
                <c:pt idx="15">
                  <c:v>0.38153846153846155</c:v>
                </c:pt>
                <c:pt idx="16">
                  <c:v>0.3787107718405428</c:v>
                </c:pt>
                <c:pt idx="17">
                  <c:v>0.36926889714993805</c:v>
                </c:pt>
                <c:pt idx="18">
                  <c:v>0.36430223592906713</c:v>
                </c:pt>
                <c:pt idx="19">
                  <c:v>0.39214980194454452</c:v>
                </c:pt>
                <c:pt idx="20">
                  <c:v>0.38808087974459032</c:v>
                </c:pt>
                <c:pt idx="21">
                  <c:v>0.37531305903398926</c:v>
                </c:pt>
                <c:pt idx="22">
                  <c:v>0.36323777403035412</c:v>
                </c:pt>
                <c:pt idx="23">
                  <c:v>0.34017391304347827</c:v>
                </c:pt>
                <c:pt idx="24">
                  <c:v>0.36204196680238016</c:v>
                </c:pt>
                <c:pt idx="25">
                  <c:v>0.2653578214059531</c:v>
                </c:pt>
                <c:pt idx="26">
                  <c:v>0.21367891070297657</c:v>
                </c:pt>
                <c:pt idx="27">
                  <c:v>0.16200000000000001</c:v>
                </c:pt>
                <c:pt idx="28">
                  <c:v>0.14099999999999999</c:v>
                </c:pt>
                <c:pt idx="29">
                  <c:v>0.17100000000000001</c:v>
                </c:pt>
                <c:pt idx="30">
                  <c:v>0.217</c:v>
                </c:pt>
                <c:pt idx="31">
                  <c:v>0.22900000000000001</c:v>
                </c:pt>
                <c:pt idx="32">
                  <c:v>0.188</c:v>
                </c:pt>
                <c:pt idx="33">
                  <c:v>0.125</c:v>
                </c:pt>
                <c:pt idx="34">
                  <c:v>9.3000000000000013E-2</c:v>
                </c:pt>
                <c:pt idx="35">
                  <c:v>8.6999999999999994E-2</c:v>
                </c:pt>
                <c:pt idx="36">
                  <c:v>0.08</c:v>
                </c:pt>
                <c:pt idx="37">
                  <c:v>9.3000000000000013E-2</c:v>
                </c:pt>
                <c:pt idx="38">
                  <c:v>8.5999999999999993E-2</c:v>
                </c:pt>
                <c:pt idx="39">
                  <c:v>8.900000000000001E-2</c:v>
                </c:pt>
                <c:pt idx="40">
                  <c:v>9.9000000000000005E-2</c:v>
                </c:pt>
                <c:pt idx="41">
                  <c:v>0.10099999999999999</c:v>
                </c:pt>
                <c:pt idx="42">
                  <c:v>0.10400000000000001</c:v>
                </c:pt>
                <c:pt idx="43">
                  <c:v>9.8000000000000004E-2</c:v>
                </c:pt>
                <c:pt idx="44">
                  <c:v>9.5000000000000001E-2</c:v>
                </c:pt>
                <c:pt idx="45">
                  <c:v>0.11</c:v>
                </c:pt>
                <c:pt idx="46">
                  <c:v>0.11599999999999999</c:v>
                </c:pt>
                <c:pt idx="47">
                  <c:v>0.115</c:v>
                </c:pt>
                <c:pt idx="48">
                  <c:v>0.11800000000000001</c:v>
                </c:pt>
                <c:pt idx="49">
                  <c:v>0.13</c:v>
                </c:pt>
                <c:pt idx="50">
                  <c:v>0.13300000000000001</c:v>
                </c:pt>
                <c:pt idx="51">
                  <c:v>0.13200000000000001</c:v>
                </c:pt>
              </c:numCache>
            </c:numRef>
          </c:val>
          <c:smooth val="0"/>
          <c:extLst>
            <c:ext xmlns:c16="http://schemas.microsoft.com/office/drawing/2014/chart" uri="{C3380CC4-5D6E-409C-BE32-E72D297353CC}">
              <c16:uniqueId val="{00000003-77A8-40D0-81FA-EBC6C08260BD}"/>
            </c:ext>
          </c:extLst>
        </c:ser>
        <c:ser>
          <c:idx val="4"/>
          <c:order val="4"/>
          <c:tx>
            <c:strRef>
              <c:f>Data!$G$2</c:f>
              <c:strCache>
                <c:ptCount val="1"/>
                <c:pt idx="0">
                  <c:v>Remittances of Palestinians workers in Israel out of WBG GNI</c:v>
                </c:pt>
              </c:strCache>
            </c:strRef>
          </c:tx>
          <c:spPr>
            <a:ln w="28575" cap="rnd">
              <a:solidFill>
                <a:schemeClr val="accent5"/>
              </a:solidFill>
              <a:round/>
            </a:ln>
            <a:effectLst/>
          </c:spPr>
          <c:marker>
            <c:symbol val="none"/>
          </c:marker>
          <c:cat>
            <c:numRef>
              <c:f>Data!$B$3:$B$54</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Data!$G$3:$G$54</c:f>
              <c:numCache>
                <c:formatCode>0%</c:formatCode>
                <c:ptCount val="52"/>
                <c:pt idx="0">
                  <c:v>9.5999999999999992E-3</c:v>
                </c:pt>
                <c:pt idx="1">
                  <c:v>5.9799999999999999E-2</c:v>
                </c:pt>
                <c:pt idx="2">
                  <c:v>0.1096</c:v>
                </c:pt>
                <c:pt idx="3">
                  <c:v>0.16309999999999999</c:v>
                </c:pt>
                <c:pt idx="4">
                  <c:v>0.2258</c:v>
                </c:pt>
                <c:pt idx="5">
                  <c:v>0.24229999999999999</c:v>
                </c:pt>
                <c:pt idx="6">
                  <c:v>0.20880000000000001</c:v>
                </c:pt>
                <c:pt idx="7">
                  <c:v>0.2379</c:v>
                </c:pt>
                <c:pt idx="8">
                  <c:v>0.214</c:v>
                </c:pt>
                <c:pt idx="9">
                  <c:v>0.2185</c:v>
                </c:pt>
                <c:pt idx="10">
                  <c:v>0.2175</c:v>
                </c:pt>
                <c:pt idx="11">
                  <c:v>0.24679999999999999</c:v>
                </c:pt>
                <c:pt idx="12">
                  <c:v>0.2089</c:v>
                </c:pt>
                <c:pt idx="13">
                  <c:v>0.23719999999999999</c:v>
                </c:pt>
                <c:pt idx="14">
                  <c:v>0.26169999999999999</c:v>
                </c:pt>
                <c:pt idx="15">
                  <c:v>0.28149999999999997</c:v>
                </c:pt>
                <c:pt idx="16">
                  <c:v>0.251</c:v>
                </c:pt>
                <c:pt idx="17">
                  <c:v>0.23619999999999999</c:v>
                </c:pt>
                <c:pt idx="18">
                  <c:v>0.24740000000000001</c:v>
                </c:pt>
                <c:pt idx="19">
                  <c:v>0.29959999999999998</c:v>
                </c:pt>
                <c:pt idx="20">
                  <c:v>0.27200000000000002</c:v>
                </c:pt>
                <c:pt idx="21">
                  <c:v>0.26790000000000003</c:v>
                </c:pt>
                <c:pt idx="22">
                  <c:v>0.2631</c:v>
                </c:pt>
                <c:pt idx="23">
                  <c:v>0.26490000000000002</c:v>
                </c:pt>
                <c:pt idx="24">
                  <c:v>0.25979999999999998</c:v>
                </c:pt>
                <c:pt idx="25">
                  <c:v>0.17849999999999999</c:v>
                </c:pt>
                <c:pt idx="26">
                  <c:v>0.1158</c:v>
                </c:pt>
                <c:pt idx="27">
                  <c:v>0.13194659248815699</c:v>
                </c:pt>
                <c:pt idx="28">
                  <c:v>0.11826347455880433</c:v>
                </c:pt>
                <c:pt idx="29">
                  <c:v>0.12147436088143267</c:v>
                </c:pt>
                <c:pt idx="30">
                  <c:v>0.17223285446808623</c:v>
                </c:pt>
                <c:pt idx="31">
                  <c:v>0.16986423873898135</c:v>
                </c:pt>
                <c:pt idx="32">
                  <c:v>9.0701583283185658E-2</c:v>
                </c:pt>
                <c:pt idx="33">
                  <c:v>3.9743678719318942E-2</c:v>
                </c:pt>
                <c:pt idx="34">
                  <c:v>2.6889554136752591E-2</c:v>
                </c:pt>
                <c:pt idx="35">
                  <c:v>3.7790490659197186E-2</c:v>
                </c:pt>
                <c:pt idx="36">
                  <c:v>3.3138078777968663E-2</c:v>
                </c:pt>
                <c:pt idx="37">
                  <c:v>3.8906241437887006E-2</c:v>
                </c:pt>
                <c:pt idx="38">
                  <c:v>4.5036302829714603E-2</c:v>
                </c:pt>
                <c:pt idx="39">
                  <c:v>5.0295997361933326E-2</c:v>
                </c:pt>
                <c:pt idx="40">
                  <c:v>5.5000814362855033E-2</c:v>
                </c:pt>
                <c:pt idx="41">
                  <c:v>4.8469446958620523E-2</c:v>
                </c:pt>
                <c:pt idx="42">
                  <c:v>5.1174055988950064E-2</c:v>
                </c:pt>
                <c:pt idx="43">
                  <c:v>5.5531351586849423E-2</c:v>
                </c:pt>
                <c:pt idx="44">
                  <c:v>5.8380976434841837E-2</c:v>
                </c:pt>
                <c:pt idx="45">
                  <c:v>7.3576908924896767E-2</c:v>
                </c:pt>
                <c:pt idx="46">
                  <c:v>9.2765781428746877E-2</c:v>
                </c:pt>
                <c:pt idx="47">
                  <c:v>0.10524201774966846</c:v>
                </c:pt>
                <c:pt idx="48">
                  <c:v>0.10868095092219571</c:v>
                </c:pt>
                <c:pt idx="49">
                  <c:v>0.11417538478391849</c:v>
                </c:pt>
                <c:pt idx="50">
                  <c:v>0.13741154747979165</c:v>
                </c:pt>
                <c:pt idx="51" formatCode="0.00%">
                  <c:v>0.14608697377099586</c:v>
                </c:pt>
              </c:numCache>
            </c:numRef>
          </c:val>
          <c:smooth val="0"/>
          <c:extLst>
            <c:ext xmlns:c16="http://schemas.microsoft.com/office/drawing/2014/chart" uri="{C3380CC4-5D6E-409C-BE32-E72D297353CC}">
              <c16:uniqueId val="{00000004-77A8-40D0-81FA-EBC6C08260BD}"/>
            </c:ext>
          </c:extLst>
        </c:ser>
        <c:dLbls>
          <c:showLegendKey val="0"/>
          <c:showVal val="0"/>
          <c:showCatName val="0"/>
          <c:showSerName val="0"/>
          <c:showPercent val="0"/>
          <c:showBubbleSize val="0"/>
        </c:dLbls>
        <c:smooth val="0"/>
        <c:axId val="1670424191"/>
        <c:axId val="1670425023"/>
      </c:lineChart>
      <c:catAx>
        <c:axId val="167042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670425023"/>
        <c:crosses val="autoZero"/>
        <c:auto val="1"/>
        <c:lblAlgn val="ctr"/>
        <c:lblOffset val="100"/>
        <c:noMultiLvlLbl val="0"/>
      </c:catAx>
      <c:valAx>
        <c:axId val="167042502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670424191"/>
        <c:crosses val="autoZero"/>
        <c:crossBetween val="between"/>
      </c:valAx>
      <c:spPr>
        <a:noFill/>
        <a:ln>
          <a:noFill/>
        </a:ln>
        <a:effectLst/>
      </c:spPr>
    </c:plotArea>
    <c:legend>
      <c:legendPos val="b"/>
      <c:layout>
        <c:manualLayout>
          <c:xMode val="edge"/>
          <c:yMode val="edge"/>
          <c:x val="9.1842297457930214E-3"/>
          <c:y val="0.61812416590402897"/>
          <c:w val="0.97869189253004407"/>
          <c:h val="0.381875834095971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6338895063881"/>
          <c:y val="5.9081708788417592E-2"/>
          <c:w val="0.77087635193272852"/>
          <c:h val="0.47411707409550147"/>
        </c:manualLayout>
      </c:layout>
      <c:lineChart>
        <c:grouping val="standard"/>
        <c:varyColors val="0"/>
        <c:ser>
          <c:idx val="0"/>
          <c:order val="0"/>
          <c:tx>
            <c:strRef>
              <c:f>Data!$I$2</c:f>
              <c:strCache>
                <c:ptCount val="1"/>
                <c:pt idx="0">
                  <c:v>Movement of people between Israel and the WB </c:v>
                </c:pt>
              </c:strCache>
            </c:strRef>
          </c:tx>
          <c:spPr>
            <a:ln w="28575" cap="rnd">
              <a:solidFill>
                <a:schemeClr val="accent1"/>
              </a:solidFill>
              <a:round/>
            </a:ln>
            <a:effectLst/>
          </c:spPr>
          <c:marker>
            <c:symbol val="none"/>
          </c:marker>
          <c:cat>
            <c:numRef>
              <c:f>Data!$B$31:$B$54</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Data!$I$45:$I$54</c:f>
              <c:numCache>
                <c:formatCode>0%</c:formatCode>
                <c:ptCount val="10"/>
                <c:pt idx="0" formatCode="0.00%">
                  <c:v>0.46707106453143743</c:v>
                </c:pt>
                <c:pt idx="1">
                  <c:v>0.46707106453143743</c:v>
                </c:pt>
                <c:pt idx="2">
                  <c:v>0.55811291018517084</c:v>
                </c:pt>
                <c:pt idx="3">
                  <c:v>0.66845202936464654</c:v>
                </c:pt>
                <c:pt idx="4">
                  <c:v>0.80269489162360541</c:v>
                </c:pt>
                <c:pt idx="5">
                  <c:v>1.0439607138138509</c:v>
                </c:pt>
                <c:pt idx="6">
                  <c:v>1.1795800341969431</c:v>
                </c:pt>
                <c:pt idx="7">
                  <c:v>1.3390967833968221</c:v>
                </c:pt>
                <c:pt idx="8">
                  <c:v>1.4939607847645884</c:v>
                </c:pt>
                <c:pt idx="9">
                  <c:v>1.5739240538280663</c:v>
                </c:pt>
              </c:numCache>
            </c:numRef>
          </c:val>
          <c:smooth val="0"/>
          <c:extLst>
            <c:ext xmlns:c16="http://schemas.microsoft.com/office/drawing/2014/chart" uri="{C3380CC4-5D6E-409C-BE32-E72D297353CC}">
              <c16:uniqueId val="{00000000-9C4E-4920-8522-3AC211508B3E}"/>
            </c:ext>
          </c:extLst>
        </c:ser>
        <c:dLbls>
          <c:showLegendKey val="0"/>
          <c:showVal val="0"/>
          <c:showCatName val="0"/>
          <c:showSerName val="0"/>
          <c:showPercent val="0"/>
          <c:showBubbleSize val="0"/>
        </c:dLbls>
        <c:marker val="1"/>
        <c:smooth val="0"/>
        <c:axId val="136111904"/>
        <c:axId val="136112320"/>
      </c:lineChart>
      <c:lineChart>
        <c:grouping val="standard"/>
        <c:varyColors val="0"/>
        <c:ser>
          <c:idx val="1"/>
          <c:order val="2"/>
          <c:tx>
            <c:strRef>
              <c:f>Data!$H$2</c:f>
              <c:strCache>
                <c:ptCount val="1"/>
                <c:pt idx="0">
                  <c:v>Number of Israeli cars entered the WB </c:v>
                </c:pt>
              </c:strCache>
            </c:strRef>
          </c:tx>
          <c:spPr>
            <a:ln w="28575" cap="rnd">
              <a:solidFill>
                <a:schemeClr val="accent2"/>
              </a:solidFill>
              <a:round/>
            </a:ln>
            <a:effectLst/>
          </c:spPr>
          <c:marker>
            <c:symbol val="none"/>
          </c:marker>
          <c:val>
            <c:numRef>
              <c:f>Data!$H$45:$H$54</c:f>
              <c:numCache>
                <c:formatCode>0%</c:formatCode>
                <c:ptCount val="10"/>
                <c:pt idx="0">
                  <c:v>0.54177102304842051</c:v>
                </c:pt>
                <c:pt idx="1">
                  <c:v>0.54177102304842051</c:v>
                </c:pt>
                <c:pt idx="2">
                  <c:v>0.67248265274792751</c:v>
                </c:pt>
                <c:pt idx="3">
                  <c:v>0.7506299543598367</c:v>
                </c:pt>
                <c:pt idx="4">
                  <c:v>0.77158958688370449</c:v>
                </c:pt>
                <c:pt idx="5">
                  <c:v>0.89263312248418636</c:v>
                </c:pt>
                <c:pt idx="6">
                  <c:v>1.0087465541490859</c:v>
                </c:pt>
                <c:pt idx="7">
                  <c:v>1.0181394069428398</c:v>
                </c:pt>
                <c:pt idx="8">
                  <c:v>0.98638540601625146</c:v>
                </c:pt>
                <c:pt idx="9">
                  <c:v>0.94222362669194715</c:v>
                </c:pt>
              </c:numCache>
            </c:numRef>
          </c:val>
          <c:smooth val="0"/>
          <c:extLst>
            <c:ext xmlns:c16="http://schemas.microsoft.com/office/drawing/2014/chart" uri="{C3380CC4-5D6E-409C-BE32-E72D297353CC}">
              <c16:uniqueId val="{00000001-9C4E-4920-8522-3AC211508B3E}"/>
            </c:ext>
          </c:extLst>
        </c:ser>
        <c:dLbls>
          <c:showLegendKey val="0"/>
          <c:showVal val="0"/>
          <c:showCatName val="0"/>
          <c:showSerName val="0"/>
          <c:showPercent val="0"/>
          <c:showBubbleSize val="0"/>
        </c:dLbls>
        <c:marker val="1"/>
        <c:smooth val="0"/>
        <c:axId val="136111904"/>
        <c:axId val="136112320"/>
      </c:lineChart>
      <c:lineChart>
        <c:grouping val="standard"/>
        <c:varyColors val="0"/>
        <c:ser>
          <c:idx val="2"/>
          <c:order val="1"/>
          <c:tx>
            <c:strRef>
              <c:f>Data!$L$2</c:f>
              <c:strCache>
                <c:ptCount val="1"/>
                <c:pt idx="0">
                  <c:v>Percentage of Israeli guests’ nights in WB Hotels </c:v>
                </c:pt>
              </c:strCache>
            </c:strRef>
          </c:tx>
          <c:spPr>
            <a:ln w="28575" cap="rnd">
              <a:solidFill>
                <a:schemeClr val="accent3"/>
              </a:solidFill>
              <a:round/>
            </a:ln>
            <a:effectLst/>
          </c:spPr>
          <c:marker>
            <c:symbol val="none"/>
          </c:marker>
          <c:cat>
            <c:numRef>
              <c:f>Data!$B$31:$B$54</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Data!$L$45:$L$54</c:f>
              <c:numCache>
                <c:formatCode>0.00%</c:formatCode>
                <c:ptCount val="10"/>
                <c:pt idx="0">
                  <c:v>0.06</c:v>
                </c:pt>
                <c:pt idx="1">
                  <c:v>5.8999999999999997E-2</c:v>
                </c:pt>
                <c:pt idx="2">
                  <c:v>8.4000000000000005E-2</c:v>
                </c:pt>
                <c:pt idx="3">
                  <c:v>9.6000000000000002E-2</c:v>
                </c:pt>
                <c:pt idx="4">
                  <c:v>8.8999999999999996E-2</c:v>
                </c:pt>
                <c:pt idx="5">
                  <c:v>2.9000000000000001E-2</c:v>
                </c:pt>
                <c:pt idx="6">
                  <c:v>0.115</c:v>
                </c:pt>
                <c:pt idx="7">
                  <c:v>8.7999999999999995E-2</c:v>
                </c:pt>
                <c:pt idx="8">
                  <c:v>7.5999999999999998E-2</c:v>
                </c:pt>
                <c:pt idx="9">
                  <c:v>6.5000000000000002E-2</c:v>
                </c:pt>
              </c:numCache>
            </c:numRef>
          </c:val>
          <c:smooth val="0"/>
          <c:extLst>
            <c:ext xmlns:c16="http://schemas.microsoft.com/office/drawing/2014/chart" uri="{C3380CC4-5D6E-409C-BE32-E72D297353CC}">
              <c16:uniqueId val="{00000002-9C4E-4920-8522-3AC211508B3E}"/>
            </c:ext>
          </c:extLst>
        </c:ser>
        <c:ser>
          <c:idx val="3"/>
          <c:order val="3"/>
          <c:tx>
            <c:strRef>
              <c:f>Data!$K$2</c:f>
              <c:strCache>
                <c:ptCount val="1"/>
                <c:pt idx="0">
                  <c:v>Percentage of Palestinian households that conducted Outbound Trips to Israel</c:v>
                </c:pt>
              </c:strCache>
            </c:strRef>
          </c:tx>
          <c:spPr>
            <a:ln w="28575" cap="rnd">
              <a:solidFill>
                <a:schemeClr val="accent4"/>
              </a:solidFill>
              <a:round/>
            </a:ln>
            <a:effectLst/>
          </c:spPr>
          <c:marker>
            <c:symbol val="none"/>
          </c:marker>
          <c:val>
            <c:numRef>
              <c:f>Data!$K$45:$K$54</c:f>
              <c:numCache>
                <c:formatCode>0.00%</c:formatCode>
                <c:ptCount val="10"/>
                <c:pt idx="0">
                  <c:v>0.158</c:v>
                </c:pt>
                <c:pt idx="1">
                  <c:v>0.128</c:v>
                </c:pt>
                <c:pt idx="2">
                  <c:v>9.8000000000000004E-2</c:v>
                </c:pt>
                <c:pt idx="3">
                  <c:v>0.111</c:v>
                </c:pt>
                <c:pt idx="4">
                  <c:v>0.124</c:v>
                </c:pt>
                <c:pt idx="5">
                  <c:v>0.19650000000000001</c:v>
                </c:pt>
                <c:pt idx="6">
                  <c:v>0.26900000000000002</c:v>
                </c:pt>
                <c:pt idx="7">
                  <c:v>0.24099999999999999</c:v>
                </c:pt>
                <c:pt idx="8">
                  <c:v>0.21299999999999999</c:v>
                </c:pt>
                <c:pt idx="9">
                  <c:v>0.21299999999999999</c:v>
                </c:pt>
              </c:numCache>
            </c:numRef>
          </c:val>
          <c:smooth val="0"/>
          <c:extLst>
            <c:ext xmlns:c16="http://schemas.microsoft.com/office/drawing/2014/chart" uri="{C3380CC4-5D6E-409C-BE32-E72D297353CC}">
              <c16:uniqueId val="{00000003-9C4E-4920-8522-3AC211508B3E}"/>
            </c:ext>
          </c:extLst>
        </c:ser>
        <c:ser>
          <c:idx val="4"/>
          <c:order val="4"/>
          <c:tx>
            <c:strRef>
              <c:f>Data!$J$2</c:f>
              <c:strCache>
                <c:ptCount val="1"/>
                <c:pt idx="0">
                  <c:v>Percentage of Palestinians entered to Israel for medical treatment</c:v>
                </c:pt>
              </c:strCache>
            </c:strRef>
          </c:tx>
          <c:spPr>
            <a:ln w="28575" cap="rnd">
              <a:solidFill>
                <a:schemeClr val="accent5"/>
              </a:solidFill>
              <a:round/>
            </a:ln>
            <a:effectLst/>
          </c:spPr>
          <c:marker>
            <c:symbol val="none"/>
          </c:marker>
          <c:val>
            <c:numRef>
              <c:f>Data!$J$45:$J$54</c:f>
              <c:numCache>
                <c:formatCode>0.00%</c:formatCode>
                <c:ptCount val="10"/>
                <c:pt idx="0">
                  <c:v>2.7540471909923418E-2</c:v>
                </c:pt>
                <c:pt idx="1">
                  <c:v>2.7540471909923418E-2</c:v>
                </c:pt>
                <c:pt idx="2">
                  <c:v>2.9330514908793737E-2</c:v>
                </c:pt>
                <c:pt idx="3">
                  <c:v>2.6388071314980326E-2</c:v>
                </c:pt>
                <c:pt idx="4">
                  <c:v>2.925442598082003E-2</c:v>
                </c:pt>
                <c:pt idx="5">
                  <c:v>2.5325968389786135E-2</c:v>
                </c:pt>
                <c:pt idx="6">
                  <c:v>2.4564909951648801E-2</c:v>
                </c:pt>
                <c:pt idx="7">
                  <c:v>2.490928186376877E-2</c:v>
                </c:pt>
                <c:pt idx="8">
                  <c:v>2.6219461403408386E-2</c:v>
                </c:pt>
                <c:pt idx="9">
                  <c:v>2.5277109483003886E-2</c:v>
                </c:pt>
              </c:numCache>
            </c:numRef>
          </c:val>
          <c:smooth val="0"/>
          <c:extLst>
            <c:ext xmlns:c16="http://schemas.microsoft.com/office/drawing/2014/chart" uri="{C3380CC4-5D6E-409C-BE32-E72D297353CC}">
              <c16:uniqueId val="{00000004-9C4E-4920-8522-3AC211508B3E}"/>
            </c:ext>
          </c:extLst>
        </c:ser>
        <c:dLbls>
          <c:showLegendKey val="0"/>
          <c:showVal val="0"/>
          <c:showCatName val="0"/>
          <c:showSerName val="0"/>
          <c:showPercent val="0"/>
          <c:showBubbleSize val="0"/>
        </c:dLbls>
        <c:marker val="1"/>
        <c:smooth val="0"/>
        <c:axId val="1754140015"/>
        <c:axId val="1754141679"/>
      </c:lineChart>
      <c:catAx>
        <c:axId val="13611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36112320"/>
        <c:crosses val="autoZero"/>
        <c:auto val="1"/>
        <c:lblAlgn val="ctr"/>
        <c:lblOffset val="100"/>
        <c:noMultiLvlLbl val="0"/>
      </c:catAx>
      <c:valAx>
        <c:axId val="136112320"/>
        <c:scaling>
          <c:orientation val="minMax"/>
          <c:max val="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36111904"/>
        <c:crosses val="autoZero"/>
        <c:crossBetween val="between"/>
        <c:majorUnit val="0.25"/>
      </c:valAx>
      <c:valAx>
        <c:axId val="1754141679"/>
        <c:scaling>
          <c:orientation val="minMax"/>
          <c:max val="0.30000000000000004"/>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754140015"/>
        <c:crosses val="max"/>
        <c:crossBetween val="between"/>
        <c:majorUnit val="5.000000000000001E-2"/>
      </c:valAx>
      <c:catAx>
        <c:axId val="1754140015"/>
        <c:scaling>
          <c:orientation val="minMax"/>
        </c:scaling>
        <c:delete val="1"/>
        <c:axPos val="b"/>
        <c:numFmt formatCode="General" sourceLinked="1"/>
        <c:majorTickMark val="out"/>
        <c:minorTickMark val="none"/>
        <c:tickLblPos val="nextTo"/>
        <c:crossAx val="1754141679"/>
        <c:crosses val="autoZero"/>
        <c:auto val="1"/>
        <c:lblAlgn val="ctr"/>
        <c:lblOffset val="100"/>
        <c:noMultiLvlLbl val="0"/>
      </c:catAx>
      <c:spPr>
        <a:noFill/>
        <a:ln>
          <a:noFill/>
        </a:ln>
        <a:effectLst/>
      </c:spPr>
    </c:plotArea>
    <c:legend>
      <c:legendPos val="b"/>
      <c:layout>
        <c:manualLayout>
          <c:xMode val="edge"/>
          <c:yMode val="edge"/>
          <c:x val="9.4763657997108744E-3"/>
          <c:y val="0.63366672876973806"/>
          <c:w val="0.97977687009320802"/>
          <c:h val="0.3583951912611172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113735783027"/>
          <c:y val="9.7834456280804033E-2"/>
          <c:w val="0.86426640419947509"/>
          <c:h val="0.4487085977827911"/>
        </c:manualLayout>
      </c:layout>
      <c:lineChart>
        <c:grouping val="standard"/>
        <c:varyColors val="0"/>
        <c:ser>
          <c:idx val="0"/>
          <c:order val="0"/>
          <c:tx>
            <c:strRef>
              <c:f>Data!$M$2</c:f>
              <c:strCache>
                <c:ptCount val="1"/>
                <c:pt idx="0">
                  <c:v>Mobile cellular subscriptions ratio </c:v>
                </c:pt>
              </c:strCache>
            </c:strRef>
          </c:tx>
          <c:spPr>
            <a:ln w="28575" cap="rnd">
              <a:solidFill>
                <a:schemeClr val="accent1"/>
              </a:solidFill>
              <a:round/>
            </a:ln>
            <a:effectLst/>
          </c:spPr>
          <c:marker>
            <c:symbol val="none"/>
          </c:marker>
          <c:cat>
            <c:numRef>
              <c:f>Data!$B$35:$B$54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Data!$M$35:$M$54</c:f>
              <c:numCache>
                <c:formatCode>0%</c:formatCode>
                <c:ptCount val="20"/>
                <c:pt idx="0">
                  <c:v>2.9659304544755599E-3</c:v>
                </c:pt>
                <c:pt idx="1">
                  <c:v>5.8567976021917982E-2</c:v>
                </c:pt>
                <c:pt idx="2">
                  <c:v>7.2890683164597722E-2</c:v>
                </c:pt>
                <c:pt idx="3">
                  <c:v>7.2787383164710409E-2</c:v>
                </c:pt>
                <c:pt idx="4">
                  <c:v>0.11032453781315726</c:v>
                </c:pt>
                <c:pt idx="5">
                  <c:v>0.13353013249254811</c:v>
                </c:pt>
                <c:pt idx="6">
                  <c:v>0.17837817966690508</c:v>
                </c:pt>
                <c:pt idx="7">
                  <c:v>0.20915738606710996</c:v>
                </c:pt>
                <c:pt idx="8">
                  <c:v>0.26639852591646718</c:v>
                </c:pt>
                <c:pt idx="9">
                  <c:v>0.362460802509947</c:v>
                </c:pt>
                <c:pt idx="10">
                  <c:v>0.5176355204964973</c:v>
                </c:pt>
                <c:pt idx="11">
                  <c:v>0.56578944480019522</c:v>
                </c:pt>
                <c:pt idx="12">
                  <c:v>0.61005618310757881</c:v>
                </c:pt>
                <c:pt idx="13">
                  <c:v>0.59938943347181339</c:v>
                </c:pt>
                <c:pt idx="14">
                  <c:v>0.59693374930656395</c:v>
                </c:pt>
                <c:pt idx="15">
                  <c:v>0.58847117766601231</c:v>
                </c:pt>
                <c:pt idx="16">
                  <c:v>0.6145081803053235</c:v>
                </c:pt>
                <c:pt idx="17">
                  <c:v>0.65841123538306989</c:v>
                </c:pt>
                <c:pt idx="18">
                  <c:v>0.70479739990772627</c:v>
                </c:pt>
                <c:pt idx="19">
                  <c:v>0.62857991506717059</c:v>
                </c:pt>
              </c:numCache>
            </c:numRef>
          </c:val>
          <c:smooth val="0"/>
          <c:extLst>
            <c:ext xmlns:c16="http://schemas.microsoft.com/office/drawing/2014/chart" uri="{C3380CC4-5D6E-409C-BE32-E72D297353CC}">
              <c16:uniqueId val="{00000000-E6CD-4CD1-A857-B7AD9AC6E3A2}"/>
            </c:ext>
          </c:extLst>
        </c:ser>
        <c:ser>
          <c:idx val="1"/>
          <c:order val="1"/>
          <c:tx>
            <c:strRef>
              <c:f>Data!$N$2</c:f>
              <c:strCache>
                <c:ptCount val="1"/>
                <c:pt idx="0">
                  <c:v>Individuals using the Internet ratio </c:v>
                </c:pt>
              </c:strCache>
            </c:strRef>
          </c:tx>
          <c:spPr>
            <a:ln w="28575" cap="rnd">
              <a:solidFill>
                <a:schemeClr val="accent2"/>
              </a:solidFill>
              <a:round/>
            </a:ln>
            <a:effectLst/>
          </c:spPr>
          <c:marker>
            <c:symbol val="none"/>
          </c:marker>
          <c:cat>
            <c:numRef>
              <c:f>Data!$B$35:$B$54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Data!$N$35:$N$54</c:f>
              <c:numCache>
                <c:formatCode>0%</c:formatCode>
                <c:ptCount val="20"/>
                <c:pt idx="0">
                  <c:v>5.3239311452304539E-2</c:v>
                </c:pt>
                <c:pt idx="1">
                  <c:v>0.10569621932078573</c:v>
                </c:pt>
                <c:pt idx="2">
                  <c:v>0.17450955265184578</c:v>
                </c:pt>
                <c:pt idx="3">
                  <c:v>0.21081678996899203</c:v>
                </c:pt>
                <c:pt idx="4">
                  <c:v>0.19327233142226283</c:v>
                </c:pt>
                <c:pt idx="5">
                  <c:v>0.63526923282841719</c:v>
                </c:pt>
                <c:pt idx="6">
                  <c:v>0.66030453834955971</c:v>
                </c:pt>
                <c:pt idx="7">
                  <c:v>0.43999278251431295</c:v>
                </c:pt>
                <c:pt idx="8">
                  <c:v>0.41013638659707025</c:v>
                </c:pt>
                <c:pt idx="9">
                  <c:v>0.51061470215462612</c:v>
                </c:pt>
                <c:pt idx="10">
                  <c:v>0.55407407407407405</c:v>
                </c:pt>
                <c:pt idx="11">
                  <c:v>0.59645254774189604</c:v>
                </c:pt>
                <c:pt idx="12">
                  <c:v>0.61299435028248583</c:v>
                </c:pt>
                <c:pt idx="13">
                  <c:v>0.66334225011224313</c:v>
                </c:pt>
                <c:pt idx="14">
                  <c:v>0.71543065126905492</c:v>
                </c:pt>
                <c:pt idx="15">
                  <c:v>0.74237415773002657</c:v>
                </c:pt>
                <c:pt idx="16">
                  <c:v>0.76806007874530047</c:v>
                </c:pt>
                <c:pt idx="17">
                  <c:v>0.79920389887542698</c:v>
                </c:pt>
                <c:pt idx="18">
                  <c:v>0.76910982516477189</c:v>
                </c:pt>
                <c:pt idx="19">
                  <c:v>0.8137381485375238</c:v>
                </c:pt>
              </c:numCache>
            </c:numRef>
          </c:val>
          <c:smooth val="0"/>
          <c:extLst>
            <c:ext xmlns:c16="http://schemas.microsoft.com/office/drawing/2014/chart" uri="{C3380CC4-5D6E-409C-BE32-E72D297353CC}">
              <c16:uniqueId val="{00000001-E6CD-4CD1-A857-B7AD9AC6E3A2}"/>
            </c:ext>
          </c:extLst>
        </c:ser>
        <c:ser>
          <c:idx val="2"/>
          <c:order val="2"/>
          <c:tx>
            <c:strRef>
              <c:f>Data!$O$2</c:f>
              <c:strCache>
                <c:ptCount val="1"/>
                <c:pt idx="0">
                  <c:v>Fixed broadband subscriptions ratio </c:v>
                </c:pt>
              </c:strCache>
            </c:strRef>
          </c:tx>
          <c:spPr>
            <a:ln w="28575" cap="rnd">
              <a:solidFill>
                <a:schemeClr val="accent3"/>
              </a:solidFill>
              <a:round/>
            </a:ln>
            <a:effectLst/>
          </c:spPr>
          <c:marker>
            <c:symbol val="none"/>
          </c:marker>
          <c:cat>
            <c:numRef>
              <c:f>Data!$B$35:$B$54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Data!$O$35:$O$54</c:f>
              <c:numCache>
                <c:formatCode>General</c:formatCode>
                <c:ptCount val="20"/>
                <c:pt idx="10" formatCode="0.00%">
                  <c:v>0.14975907623187198</c:v>
                </c:pt>
                <c:pt idx="11" formatCode="0%">
                  <c:v>0.14975907623187198</c:v>
                </c:pt>
                <c:pt idx="12" formatCode="0%">
                  <c:v>0.17274676014604046</c:v>
                </c:pt>
                <c:pt idx="13" formatCode="0%">
                  <c:v>0.18986348573293516</c:v>
                </c:pt>
                <c:pt idx="14" formatCode="0%">
                  <c:v>0.1956947400489962</c:v>
                </c:pt>
                <c:pt idx="15" formatCode="0%">
                  <c:v>0.22252821743434176</c:v>
                </c:pt>
                <c:pt idx="16" formatCode="0%">
                  <c:v>0.24843274515362487</c:v>
                </c:pt>
                <c:pt idx="17" formatCode="0%">
                  <c:v>0.26684012990060096</c:v>
                </c:pt>
                <c:pt idx="18" formatCode="0%">
                  <c:v>0.25770639655602207</c:v>
                </c:pt>
                <c:pt idx="19" formatCode="0%">
                  <c:v>0.25152384430980212</c:v>
                </c:pt>
              </c:numCache>
            </c:numRef>
          </c:val>
          <c:smooth val="0"/>
          <c:extLst>
            <c:ext xmlns:c16="http://schemas.microsoft.com/office/drawing/2014/chart" uri="{C3380CC4-5D6E-409C-BE32-E72D297353CC}">
              <c16:uniqueId val="{00000002-E6CD-4CD1-A857-B7AD9AC6E3A2}"/>
            </c:ext>
          </c:extLst>
        </c:ser>
        <c:ser>
          <c:idx val="3"/>
          <c:order val="3"/>
          <c:tx>
            <c:strRef>
              <c:f>Data!$P$2</c:f>
              <c:strCache>
                <c:ptCount val="1"/>
                <c:pt idx="0">
                  <c:v>Electricity imported from Israel out of total available electricity in the WBG</c:v>
                </c:pt>
              </c:strCache>
            </c:strRef>
          </c:tx>
          <c:spPr>
            <a:ln w="28575" cap="rnd">
              <a:solidFill>
                <a:schemeClr val="accent4"/>
              </a:solidFill>
              <a:round/>
            </a:ln>
            <a:effectLst/>
          </c:spPr>
          <c:marker>
            <c:symbol val="none"/>
          </c:marker>
          <c:cat>
            <c:numRef>
              <c:f>Data!$B$35:$B$54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Data!$P$35:$P$54</c:f>
              <c:numCache>
                <c:formatCode>General</c:formatCode>
                <c:ptCount val="20"/>
                <c:pt idx="4" formatCode="0%">
                  <c:v>0.8679574230739685</c:v>
                </c:pt>
                <c:pt idx="5" formatCode="0%">
                  <c:v>0.85118306962124113</c:v>
                </c:pt>
                <c:pt idx="6" formatCode="0%">
                  <c:v>0.89967167388209313</c:v>
                </c:pt>
                <c:pt idx="7" formatCode="0%">
                  <c:v>0.85308311635155898</c:v>
                </c:pt>
                <c:pt idx="8" formatCode="0%">
                  <c:v>0.85754287919068495</c:v>
                </c:pt>
                <c:pt idx="9" formatCode="0%">
                  <c:v>0.8436745374978728</c:v>
                </c:pt>
                <c:pt idx="10" formatCode="0%">
                  <c:v>0.85610024159308518</c:v>
                </c:pt>
                <c:pt idx="11" formatCode="0%">
                  <c:v>0.85290129989917196</c:v>
                </c:pt>
                <c:pt idx="12" formatCode="0%">
                  <c:v>0.87562221015601893</c:v>
                </c:pt>
                <c:pt idx="13" formatCode="0%">
                  <c:v>0.85127357687443372</c:v>
                </c:pt>
                <c:pt idx="14" formatCode="0%">
                  <c:v>0.88814941701410199</c:v>
                </c:pt>
                <c:pt idx="15" formatCode="0%">
                  <c:v>0.87411687997294063</c:v>
                </c:pt>
                <c:pt idx="16" formatCode="0%">
                  <c:v>0.88428988373783901</c:v>
                </c:pt>
                <c:pt idx="17" formatCode="0%">
                  <c:v>0.89194974909827596</c:v>
                </c:pt>
                <c:pt idx="18" formatCode="0%">
                  <c:v>0.91397883742346542</c:v>
                </c:pt>
                <c:pt idx="19" formatCode="0%">
                  <c:v>0.87210141432837285</c:v>
                </c:pt>
              </c:numCache>
            </c:numRef>
          </c:val>
          <c:smooth val="0"/>
          <c:extLst>
            <c:ext xmlns:c16="http://schemas.microsoft.com/office/drawing/2014/chart" uri="{C3380CC4-5D6E-409C-BE32-E72D297353CC}">
              <c16:uniqueId val="{00000003-E6CD-4CD1-A857-B7AD9AC6E3A2}"/>
            </c:ext>
          </c:extLst>
        </c:ser>
        <c:ser>
          <c:idx val="4"/>
          <c:order val="4"/>
          <c:tx>
            <c:strRef>
              <c:f>Data!$Q$2</c:f>
              <c:strCache>
                <c:ptCount val="1"/>
                <c:pt idx="0">
                  <c:v>Water Purchased from Israel out of available water quantity in the WBG</c:v>
                </c:pt>
              </c:strCache>
            </c:strRef>
          </c:tx>
          <c:spPr>
            <a:ln w="28575" cap="rnd">
              <a:solidFill>
                <a:schemeClr val="accent5"/>
              </a:solidFill>
              <a:round/>
            </a:ln>
            <a:effectLst/>
          </c:spPr>
          <c:marker>
            <c:symbol val="none"/>
          </c:marker>
          <c:cat>
            <c:numRef>
              <c:f>Data!$B$35:$B$54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Data!$Q$35:$Q$54</c:f>
              <c:numCache>
                <c:formatCode>0.00%</c:formatCode>
                <c:ptCount val="20"/>
                <c:pt idx="0">
                  <c:v>0.13735788076412536</c:v>
                </c:pt>
                <c:pt idx="1">
                  <c:v>0.15165915608357233</c:v>
                </c:pt>
                <c:pt idx="2">
                  <c:v>0.13715326902465166</c:v>
                </c:pt>
                <c:pt idx="3">
                  <c:v>0.1405037812330831</c:v>
                </c:pt>
                <c:pt idx="4">
                  <c:v>0.14385429344151451</c:v>
                </c:pt>
                <c:pt idx="5">
                  <c:v>0.13376015228426394</c:v>
                </c:pt>
                <c:pt idx="6">
                  <c:v>0.13760576621748666</c:v>
                </c:pt>
                <c:pt idx="7">
                  <c:v>0.14741264162194395</c:v>
                </c:pt>
                <c:pt idx="8">
                  <c:v>0.17110204081632652</c:v>
                </c:pt>
                <c:pt idx="9">
                  <c:v>0.16930379746835442</c:v>
                </c:pt>
                <c:pt idx="10">
                  <c:v>0.18212020537601931</c:v>
                </c:pt>
                <c:pt idx="11">
                  <c:v>0.17598024081506639</c:v>
                </c:pt>
                <c:pt idx="12">
                  <c:v>0.16208476517754869</c:v>
                </c:pt>
                <c:pt idx="13">
                  <c:v>0.17309269893355209</c:v>
                </c:pt>
                <c:pt idx="14">
                  <c:v>0.18529325941056318</c:v>
                </c:pt>
                <c:pt idx="15">
                  <c:v>0.19217081850533807</c:v>
                </c:pt>
                <c:pt idx="16">
                  <c:v>0.21754675467546752</c:v>
                </c:pt>
                <c:pt idx="17">
                  <c:v>0.22174840085287847</c:v>
                </c:pt>
                <c:pt idx="18">
                  <c:v>0.22002567394094993</c:v>
                </c:pt>
                <c:pt idx="19">
                  <c:v>0.20148360851878441</c:v>
                </c:pt>
              </c:numCache>
            </c:numRef>
          </c:val>
          <c:smooth val="0"/>
          <c:extLst>
            <c:ext xmlns:c16="http://schemas.microsoft.com/office/drawing/2014/chart" uri="{C3380CC4-5D6E-409C-BE32-E72D297353CC}">
              <c16:uniqueId val="{00000004-E6CD-4CD1-A857-B7AD9AC6E3A2}"/>
            </c:ext>
          </c:extLst>
        </c:ser>
        <c:dLbls>
          <c:showLegendKey val="0"/>
          <c:showVal val="0"/>
          <c:showCatName val="0"/>
          <c:showSerName val="0"/>
          <c:showPercent val="0"/>
          <c:showBubbleSize val="0"/>
        </c:dLbls>
        <c:smooth val="0"/>
        <c:axId val="136151008"/>
        <c:axId val="136143936"/>
      </c:lineChart>
      <c:catAx>
        <c:axId val="13615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36143936"/>
        <c:crosses val="autoZero"/>
        <c:auto val="1"/>
        <c:lblAlgn val="ctr"/>
        <c:lblOffset val="100"/>
        <c:noMultiLvlLbl val="0"/>
      </c:catAx>
      <c:valAx>
        <c:axId val="136143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36151008"/>
        <c:crosses val="autoZero"/>
        <c:crossBetween val="between"/>
      </c:valAx>
      <c:spPr>
        <a:noFill/>
        <a:ln>
          <a:noFill/>
        </a:ln>
        <a:effectLst/>
      </c:spPr>
    </c:plotArea>
    <c:legend>
      <c:legendPos val="b"/>
      <c:layout>
        <c:manualLayout>
          <c:xMode val="edge"/>
          <c:yMode val="edge"/>
          <c:x val="8.0486566451920788E-2"/>
          <c:y val="0.6952625386474367"/>
          <c:w val="0.87212541159627777"/>
          <c:h val="0.29646139524699655"/>
        </c:manualLayout>
      </c:layout>
      <c:overlay val="1"/>
      <c:spPr>
        <a:noFill/>
        <a:ln>
          <a:noFill/>
        </a:ln>
        <a:effectLst/>
      </c:spPr>
      <c:txPr>
        <a:bodyPr rot="0" spcFirstLastPara="1" vertOverflow="ellipsis" vert="horz" wrap="square" anchor="b" anchorCtr="0"/>
        <a:lstStyle/>
        <a:p>
          <a:pPr>
            <a:defRPr lang="en-US"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150481189851261E-2"/>
          <c:y val="8.7220903893862584E-2"/>
          <c:w val="0.89768132108486431"/>
          <c:h val="0.5163502678603531"/>
        </c:manualLayout>
      </c:layout>
      <c:lineChart>
        <c:grouping val="standard"/>
        <c:varyColors val="0"/>
        <c:ser>
          <c:idx val="0"/>
          <c:order val="0"/>
          <c:tx>
            <c:strRef>
              <c:f>Data!$S$2</c:f>
              <c:strCache>
                <c:ptCount val="1"/>
                <c:pt idx="0">
                  <c:v>Share of NIS credit in the Palestinian banking system</c:v>
                </c:pt>
              </c:strCache>
            </c:strRef>
          </c:tx>
          <c:spPr>
            <a:ln w="28575" cap="rnd">
              <a:solidFill>
                <a:schemeClr val="accent1"/>
              </a:solidFill>
              <a:round/>
            </a:ln>
            <a:effectLst/>
          </c:spPr>
          <c:marker>
            <c:symbol val="none"/>
          </c:marker>
          <c:cat>
            <c:numRef>
              <c:f>Data!$B$31:$B$54</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Data!$S$31:$S$54</c:f>
              <c:numCache>
                <c:formatCode>0%</c:formatCode>
                <c:ptCount val="24"/>
                <c:pt idx="0">
                  <c:v>0.30301294136989104</c:v>
                </c:pt>
                <c:pt idx="1">
                  <c:v>0.30558175797217191</c:v>
                </c:pt>
                <c:pt idx="2">
                  <c:v>0.24680580148860648</c:v>
                </c:pt>
                <c:pt idx="3">
                  <c:v>0.20811678149267288</c:v>
                </c:pt>
                <c:pt idx="4">
                  <c:v>0.23220817787597869</c:v>
                </c:pt>
                <c:pt idx="5">
                  <c:v>0.18989629076370687</c:v>
                </c:pt>
                <c:pt idx="6">
                  <c:v>0.17615212566389807</c:v>
                </c:pt>
                <c:pt idx="7">
                  <c:v>0.22798429799465778</c:v>
                </c:pt>
                <c:pt idx="8">
                  <c:v>0.27933357713514118</c:v>
                </c:pt>
                <c:pt idx="9">
                  <c:v>0.16791950512880746</c:v>
                </c:pt>
                <c:pt idx="10">
                  <c:v>0.1710648089764861</c:v>
                </c:pt>
                <c:pt idx="11">
                  <c:v>0.19737949573701682</c:v>
                </c:pt>
                <c:pt idx="12">
                  <c:v>0.25942207622424518</c:v>
                </c:pt>
                <c:pt idx="13">
                  <c:v>0.25914787149975027</c:v>
                </c:pt>
                <c:pt idx="14">
                  <c:v>0.30032199435950369</c:v>
                </c:pt>
                <c:pt idx="15">
                  <c:v>0.24322832916994483</c:v>
                </c:pt>
                <c:pt idx="16">
                  <c:v>0.32568278552879648</c:v>
                </c:pt>
                <c:pt idx="17">
                  <c:v>0.33720921605011817</c:v>
                </c:pt>
                <c:pt idx="18">
                  <c:v>0.2949001624583778</c:v>
                </c:pt>
                <c:pt idx="19">
                  <c:v>0.34072810230518757</c:v>
                </c:pt>
                <c:pt idx="20">
                  <c:v>0.35811555182192306</c:v>
                </c:pt>
                <c:pt idx="21">
                  <c:v>0.39654397956535864</c:v>
                </c:pt>
                <c:pt idx="22">
                  <c:v>0.3675462956419262</c:v>
                </c:pt>
                <c:pt idx="23">
                  <c:v>0.40459489946763127</c:v>
                </c:pt>
              </c:numCache>
            </c:numRef>
          </c:val>
          <c:smooth val="0"/>
          <c:extLst>
            <c:ext xmlns:c16="http://schemas.microsoft.com/office/drawing/2014/chart" uri="{C3380CC4-5D6E-409C-BE32-E72D297353CC}">
              <c16:uniqueId val="{00000000-5253-4561-B646-AF4B13F1500F}"/>
            </c:ext>
          </c:extLst>
        </c:ser>
        <c:ser>
          <c:idx val="1"/>
          <c:order val="1"/>
          <c:tx>
            <c:strRef>
              <c:f>Data!$U$2</c:f>
              <c:strCache>
                <c:ptCount val="1"/>
                <c:pt idx="0">
                  <c:v>Checks and Money transfers volume out of WBG GNI </c:v>
                </c:pt>
              </c:strCache>
            </c:strRef>
          </c:tx>
          <c:spPr>
            <a:ln w="28575" cap="rnd">
              <a:solidFill>
                <a:schemeClr val="accent2"/>
              </a:solidFill>
              <a:round/>
            </a:ln>
            <a:effectLst/>
          </c:spPr>
          <c:marker>
            <c:symbol val="none"/>
          </c:marker>
          <c:cat>
            <c:numRef>
              <c:f>Data!$B$31:$B$54</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Data!$U$31:$U$54</c:f>
              <c:numCache>
                <c:formatCode>General</c:formatCode>
                <c:ptCount val="24"/>
                <c:pt idx="14" formatCode="0%">
                  <c:v>0.86608919676130658</c:v>
                </c:pt>
                <c:pt idx="15" formatCode="0%">
                  <c:v>0.60518448921977408</c:v>
                </c:pt>
                <c:pt idx="16" formatCode="0%">
                  <c:v>0.64582259281668508</c:v>
                </c:pt>
                <c:pt idx="17" formatCode="0%">
                  <c:v>0.66352960079558221</c:v>
                </c:pt>
                <c:pt idx="18" formatCode="0%">
                  <c:v>0.6448206022416022</c:v>
                </c:pt>
                <c:pt idx="19" formatCode="0%">
                  <c:v>0.60455452161554946</c:v>
                </c:pt>
                <c:pt idx="20" formatCode="0%">
                  <c:v>0.67195078037199296</c:v>
                </c:pt>
                <c:pt idx="21" formatCode="0%">
                  <c:v>0.6840764491610577</c:v>
                </c:pt>
                <c:pt idx="22" formatCode="0%">
                  <c:v>0.53602795603840747</c:v>
                </c:pt>
                <c:pt idx="23" formatCode="0%">
                  <c:v>0.58115171562185408</c:v>
                </c:pt>
              </c:numCache>
            </c:numRef>
          </c:val>
          <c:smooth val="0"/>
          <c:extLst>
            <c:ext xmlns:c16="http://schemas.microsoft.com/office/drawing/2014/chart" uri="{C3380CC4-5D6E-409C-BE32-E72D297353CC}">
              <c16:uniqueId val="{00000001-5253-4561-B646-AF4B13F1500F}"/>
            </c:ext>
          </c:extLst>
        </c:ser>
        <c:ser>
          <c:idx val="2"/>
          <c:order val="2"/>
          <c:tx>
            <c:strRef>
              <c:f>Data!$V$2</c:f>
              <c:strCache>
                <c:ptCount val="1"/>
                <c:pt idx="0">
                  <c:v>Share of NIS checks presented for clearing in the Palestinian banking system </c:v>
                </c:pt>
              </c:strCache>
            </c:strRef>
          </c:tx>
          <c:spPr>
            <a:ln w="28575" cap="rnd">
              <a:solidFill>
                <a:schemeClr val="accent3"/>
              </a:solidFill>
              <a:round/>
            </a:ln>
            <a:effectLst/>
          </c:spPr>
          <c:marker>
            <c:symbol val="none"/>
          </c:marker>
          <c:cat>
            <c:numRef>
              <c:f>Data!$B$31:$B$54</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Data!$V$31:$V$54</c:f>
              <c:numCache>
                <c:formatCode>General</c:formatCode>
                <c:ptCount val="24"/>
                <c:pt idx="2" formatCode="0%">
                  <c:v>0.57198433649786529</c:v>
                </c:pt>
                <c:pt idx="3" formatCode="0%">
                  <c:v>0.66559243223139797</c:v>
                </c:pt>
                <c:pt idx="4" formatCode="0%">
                  <c:v>0.66449981814583292</c:v>
                </c:pt>
                <c:pt idx="5" formatCode="0%">
                  <c:v>0.66276335187461777</c:v>
                </c:pt>
                <c:pt idx="6" formatCode="0%">
                  <c:v>0.62566153757024878</c:v>
                </c:pt>
                <c:pt idx="7" formatCode="0%">
                  <c:v>0.62101806080361188</c:v>
                </c:pt>
                <c:pt idx="8" formatCode="0%">
                  <c:v>0.65135256034562139</c:v>
                </c:pt>
                <c:pt idx="9" formatCode="0%">
                  <c:v>0.60726341780106818</c:v>
                </c:pt>
                <c:pt idx="10" formatCode="0%">
                  <c:v>0.65497163169527806</c:v>
                </c:pt>
                <c:pt idx="11" formatCode="0%">
                  <c:v>0.66469055707226676</c:v>
                </c:pt>
                <c:pt idx="12" formatCode="0%">
                  <c:v>0.69606192825820168</c:v>
                </c:pt>
                <c:pt idx="13" formatCode="0%">
                  <c:v>0.68544757459132433</c:v>
                </c:pt>
                <c:pt idx="14" formatCode="0%">
                  <c:v>0.69873773688670737</c:v>
                </c:pt>
                <c:pt idx="15" formatCode="0%">
                  <c:v>0.67263610392688178</c:v>
                </c:pt>
                <c:pt idx="16" formatCode="0%">
                  <c:v>0.73092509697357355</c:v>
                </c:pt>
                <c:pt idx="17" formatCode="0%">
                  <c:v>0.73080842957835046</c:v>
                </c:pt>
                <c:pt idx="18" formatCode="0%">
                  <c:v>0.73577341116967832</c:v>
                </c:pt>
                <c:pt idx="19" formatCode="0%">
                  <c:v>0.74018257404805032</c:v>
                </c:pt>
                <c:pt idx="20" formatCode="0%">
                  <c:v>0.73477063487248873</c:v>
                </c:pt>
                <c:pt idx="21" formatCode="0%">
                  <c:v>0.75122344369221206</c:v>
                </c:pt>
                <c:pt idx="22" formatCode="0%">
                  <c:v>0.77697988083013425</c:v>
                </c:pt>
                <c:pt idx="23" formatCode="0%">
                  <c:v>0.80016302914713067</c:v>
                </c:pt>
              </c:numCache>
            </c:numRef>
          </c:val>
          <c:smooth val="0"/>
          <c:extLst>
            <c:ext xmlns:c16="http://schemas.microsoft.com/office/drawing/2014/chart" uri="{C3380CC4-5D6E-409C-BE32-E72D297353CC}">
              <c16:uniqueId val="{00000002-5253-4561-B646-AF4B13F1500F}"/>
            </c:ext>
          </c:extLst>
        </c:ser>
        <c:ser>
          <c:idx val="3"/>
          <c:order val="3"/>
          <c:tx>
            <c:strRef>
              <c:f>Data!$T$2</c:f>
              <c:strCache>
                <c:ptCount val="1"/>
                <c:pt idx="0">
                  <c:v>Excess NIS cash deposited in Israel out of total NIS circulation</c:v>
                </c:pt>
              </c:strCache>
            </c:strRef>
          </c:tx>
          <c:spPr>
            <a:ln w="28575" cap="rnd">
              <a:solidFill>
                <a:schemeClr val="accent4"/>
              </a:solidFill>
              <a:round/>
            </a:ln>
            <a:effectLst/>
          </c:spPr>
          <c:marker>
            <c:symbol val="none"/>
          </c:marker>
          <c:val>
            <c:numRef>
              <c:f>Data!$T$31:$T$54</c:f>
              <c:numCache>
                <c:formatCode>General</c:formatCode>
                <c:ptCount val="24"/>
                <c:pt idx="14" formatCode="0%">
                  <c:v>0.10260299333080543</c:v>
                </c:pt>
                <c:pt idx="15" formatCode="0%">
                  <c:v>0.10862783528306895</c:v>
                </c:pt>
                <c:pt idx="16" formatCode="0%">
                  <c:v>0.10594818615011044</c:v>
                </c:pt>
                <c:pt idx="17" formatCode="0%">
                  <c:v>0.16685205784204671</c:v>
                </c:pt>
                <c:pt idx="18" formatCode="0%">
                  <c:v>0.14241858404278887</c:v>
                </c:pt>
                <c:pt idx="19" formatCode="0%">
                  <c:v>0.11838828636357451</c:v>
                </c:pt>
                <c:pt idx="20" formatCode="0%">
                  <c:v>0.16316726432003126</c:v>
                </c:pt>
                <c:pt idx="21" formatCode="0%">
                  <c:v>0.15449745748278629</c:v>
                </c:pt>
                <c:pt idx="22" formatCode="0%">
                  <c:v>0.16886187098953057</c:v>
                </c:pt>
                <c:pt idx="23" formatCode="0%">
                  <c:v>0.19511986969189474</c:v>
                </c:pt>
              </c:numCache>
            </c:numRef>
          </c:val>
          <c:smooth val="0"/>
          <c:extLst>
            <c:ext xmlns:c16="http://schemas.microsoft.com/office/drawing/2014/chart" uri="{C3380CC4-5D6E-409C-BE32-E72D297353CC}">
              <c16:uniqueId val="{00000003-5253-4561-B646-AF4B13F1500F}"/>
            </c:ext>
          </c:extLst>
        </c:ser>
        <c:ser>
          <c:idx val="4"/>
          <c:order val="4"/>
          <c:tx>
            <c:strRef>
              <c:f>Data!$R$2</c:f>
              <c:strCache>
                <c:ptCount val="1"/>
                <c:pt idx="0">
                  <c:v>Share of NIS deposits in the Palestinian banking system</c:v>
                </c:pt>
              </c:strCache>
            </c:strRef>
          </c:tx>
          <c:spPr>
            <a:ln w="28575" cap="rnd">
              <a:solidFill>
                <a:schemeClr val="accent5"/>
              </a:solidFill>
              <a:round/>
            </a:ln>
            <a:effectLst/>
          </c:spPr>
          <c:marker>
            <c:symbol val="none"/>
          </c:marker>
          <c:val>
            <c:numRef>
              <c:f>Data!$R$31:$R$54</c:f>
              <c:numCache>
                <c:formatCode>General</c:formatCode>
                <c:ptCount val="24"/>
                <c:pt idx="10" formatCode="0%">
                  <c:v>0.14350137545693084</c:v>
                </c:pt>
                <c:pt idx="11" formatCode="0%">
                  <c:v>0.1791625297263465</c:v>
                </c:pt>
                <c:pt idx="12" formatCode="0%">
                  <c:v>0.22077113551526745</c:v>
                </c:pt>
                <c:pt idx="13" formatCode="0%">
                  <c:v>0.23278484810822905</c:v>
                </c:pt>
                <c:pt idx="14" formatCode="0%">
                  <c:v>0.25415798765355541</c:v>
                </c:pt>
                <c:pt idx="15" formatCode="0%">
                  <c:v>0.30345025308503126</c:v>
                </c:pt>
                <c:pt idx="16" formatCode="0%">
                  <c:v>0.31046974735922339</c:v>
                </c:pt>
                <c:pt idx="17" formatCode="0%">
                  <c:v>0.29021664757846366</c:v>
                </c:pt>
                <c:pt idx="18" formatCode="0%">
                  <c:v>0.30785293344989373</c:v>
                </c:pt>
                <c:pt idx="19" formatCode="0%">
                  <c:v>0.33452443817382577</c:v>
                </c:pt>
                <c:pt idx="20" formatCode="0%">
                  <c:v>0.33063448954752372</c:v>
                </c:pt>
                <c:pt idx="21" formatCode="0%">
                  <c:v>0.33715241413900704</c:v>
                </c:pt>
                <c:pt idx="22" formatCode="0%">
                  <c:v>0.36460946980352943</c:v>
                </c:pt>
                <c:pt idx="23" formatCode="0%">
                  <c:v>0.3590562847523921</c:v>
                </c:pt>
              </c:numCache>
            </c:numRef>
          </c:val>
          <c:smooth val="0"/>
          <c:extLst>
            <c:ext xmlns:c16="http://schemas.microsoft.com/office/drawing/2014/chart" uri="{C3380CC4-5D6E-409C-BE32-E72D297353CC}">
              <c16:uniqueId val="{00000004-5253-4561-B646-AF4B13F1500F}"/>
            </c:ext>
          </c:extLst>
        </c:ser>
        <c:dLbls>
          <c:showLegendKey val="0"/>
          <c:showVal val="0"/>
          <c:showCatName val="0"/>
          <c:showSerName val="0"/>
          <c:showPercent val="0"/>
          <c:showBubbleSize val="0"/>
        </c:dLbls>
        <c:smooth val="0"/>
        <c:axId val="1632719935"/>
        <c:axId val="1632724511"/>
      </c:lineChart>
      <c:catAx>
        <c:axId val="1632719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632724511"/>
        <c:crosses val="autoZero"/>
        <c:auto val="1"/>
        <c:lblAlgn val="ctr"/>
        <c:lblOffset val="100"/>
        <c:noMultiLvlLbl val="0"/>
      </c:catAx>
      <c:valAx>
        <c:axId val="1632724511"/>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632719935"/>
        <c:crosses val="autoZero"/>
        <c:crossBetween val="between"/>
        <c:majorUnit val="0.2"/>
        <c:minorUnit val="0.2"/>
      </c:valAx>
      <c:spPr>
        <a:noFill/>
        <a:ln>
          <a:noFill/>
        </a:ln>
        <a:effectLst/>
      </c:spPr>
    </c:plotArea>
    <c:legend>
      <c:legendPos val="b"/>
      <c:layout>
        <c:manualLayout>
          <c:xMode val="edge"/>
          <c:yMode val="edge"/>
          <c:x val="8.3813510652940529E-2"/>
          <c:y val="0.71923594112068823"/>
          <c:w val="0.83237297869411897"/>
          <c:h val="0.256127010772727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Data!$W$2</c:f>
              <c:strCache>
                <c:ptCount val="1"/>
                <c:pt idx="0">
                  <c:v>GDP per Capita Ratio </c:v>
                </c:pt>
              </c:strCache>
            </c:strRef>
          </c:tx>
          <c:spPr>
            <a:ln w="28575" cap="rnd">
              <a:solidFill>
                <a:schemeClr val="accent1"/>
              </a:solidFill>
              <a:round/>
            </a:ln>
            <a:effectLst/>
          </c:spPr>
          <c:marker>
            <c:symbol val="none"/>
          </c:marker>
          <c:cat>
            <c:numRef>
              <c:f>Data!$B$3:$B$54</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Data!$W$3:$W$54</c:f>
              <c:numCache>
                <c:formatCode>0.00%</c:formatCode>
                <c:ptCount val="52"/>
                <c:pt idx="0">
                  <c:v>5.0624450978225009E-2</c:v>
                </c:pt>
                <c:pt idx="1">
                  <c:v>5.0989358125178678E-2</c:v>
                </c:pt>
                <c:pt idx="2">
                  <c:v>5.7258684005893137E-2</c:v>
                </c:pt>
                <c:pt idx="3">
                  <c:v>5.922579072422731E-2</c:v>
                </c:pt>
                <c:pt idx="4">
                  <c:v>6.1950551943390296E-2</c:v>
                </c:pt>
                <c:pt idx="5">
                  <c:v>5.6138953466801825E-2</c:v>
                </c:pt>
                <c:pt idx="6">
                  <c:v>6.5336911090350391E-2</c:v>
                </c:pt>
                <c:pt idx="7">
                  <c:v>6.3284252537899113E-2</c:v>
                </c:pt>
                <c:pt idx="8">
                  <c:v>7.3726568864484143E-2</c:v>
                </c:pt>
                <c:pt idx="9">
                  <c:v>7.2360686942051167E-2</c:v>
                </c:pt>
                <c:pt idx="10">
                  <c:v>7.7585015316708375E-2</c:v>
                </c:pt>
                <c:pt idx="11">
                  <c:v>7.4465996666475728E-2</c:v>
                </c:pt>
                <c:pt idx="12">
                  <c:v>8.5454418146876515E-2</c:v>
                </c:pt>
                <c:pt idx="13">
                  <c:v>7.6176843024664001E-2</c:v>
                </c:pt>
                <c:pt idx="14">
                  <c:v>7.9942426415266582E-2</c:v>
                </c:pt>
                <c:pt idx="15">
                  <c:v>7.3394890859206738E-2</c:v>
                </c:pt>
                <c:pt idx="16">
                  <c:v>7.5158192419774769E-2</c:v>
                </c:pt>
                <c:pt idx="17">
                  <c:v>7.0745551023928946E-2</c:v>
                </c:pt>
                <c:pt idx="18">
                  <c:v>7.9723857643997045E-2</c:v>
                </c:pt>
                <c:pt idx="19">
                  <c:v>7.1323379990092625E-2</c:v>
                </c:pt>
                <c:pt idx="20">
                  <c:v>6.8189068330206104E-2</c:v>
                </c:pt>
                <c:pt idx="21">
                  <c:v>6.7540325591603861E-2</c:v>
                </c:pt>
                <c:pt idx="22">
                  <c:v>7.4904162219637041E-2</c:v>
                </c:pt>
                <c:pt idx="23">
                  <c:v>6.6103656823440438E-2</c:v>
                </c:pt>
                <c:pt idx="24">
                  <c:v>7.4741486455714171E-2</c:v>
                </c:pt>
                <c:pt idx="25">
                  <c:v>7.7920715856427208E-2</c:v>
                </c:pt>
                <c:pt idx="26">
                  <c:v>8.0389206546284717E-2</c:v>
                </c:pt>
                <c:pt idx="27">
                  <c:v>7.6401075415845704E-2</c:v>
                </c:pt>
                <c:pt idx="28">
                  <c:v>7.2266355201821092E-2</c:v>
                </c:pt>
                <c:pt idx="29">
                  <c:v>7.8169824540276531E-2</c:v>
                </c:pt>
                <c:pt idx="30">
                  <c:v>8.577555691112293E-2</c:v>
                </c:pt>
                <c:pt idx="31">
                  <c:v>9.0064781295973159E-2</c:v>
                </c:pt>
                <c:pt idx="32">
                  <c:v>7.6711456940689329E-2</c:v>
                </c:pt>
                <c:pt idx="33">
                  <c:v>6.9349013681044389E-2</c:v>
                </c:pt>
                <c:pt idx="34">
                  <c:v>6.0369282118377464E-2</c:v>
                </c:pt>
                <c:pt idx="35">
                  <c:v>6.7659837533479067E-2</c:v>
                </c:pt>
                <c:pt idx="36">
                  <c:v>7.8558821716930932E-2</c:v>
                </c:pt>
                <c:pt idx="37">
                  <c:v>8.3473385207076506E-2</c:v>
                </c:pt>
                <c:pt idx="38">
                  <c:v>7.767134688068128E-2</c:v>
                </c:pt>
                <c:pt idx="39">
                  <c:v>7.5622066985429517E-2</c:v>
                </c:pt>
                <c:pt idx="40">
                  <c:v>7.8111504687220015E-2</c:v>
                </c:pt>
                <c:pt idx="41">
                  <c:v>8.3814081223698308E-2</c:v>
                </c:pt>
                <c:pt idx="42">
                  <c:v>8.3309751914044688E-2</c:v>
                </c:pt>
                <c:pt idx="43">
                  <c:v>8.6551791521162449E-2</c:v>
                </c:pt>
                <c:pt idx="44">
                  <c:v>8.9244937372383995E-2</c:v>
                </c:pt>
                <c:pt idx="45">
                  <c:v>8.923815647907947E-2</c:v>
                </c:pt>
                <c:pt idx="46">
                  <c:v>8.5506334043813331E-2</c:v>
                </c:pt>
                <c:pt idx="47">
                  <c:v>8.6435046016019562E-2</c:v>
                </c:pt>
                <c:pt idx="48">
                  <c:v>9.0235460619074823E-2</c:v>
                </c:pt>
                <c:pt idx="49">
                  <c:v>8.8345987430787851E-2</c:v>
                </c:pt>
                <c:pt idx="50">
                  <c:v>8.5921920658068932E-2</c:v>
                </c:pt>
                <c:pt idx="51">
                  <c:v>8.3316884199913371E-2</c:v>
                </c:pt>
              </c:numCache>
            </c:numRef>
          </c:val>
          <c:smooth val="0"/>
          <c:extLst>
            <c:ext xmlns:c16="http://schemas.microsoft.com/office/drawing/2014/chart" uri="{C3380CC4-5D6E-409C-BE32-E72D297353CC}">
              <c16:uniqueId val="{00000000-AE2E-4B55-A268-0DF2766E12AA}"/>
            </c:ext>
          </c:extLst>
        </c:ser>
        <c:ser>
          <c:idx val="1"/>
          <c:order val="1"/>
          <c:tx>
            <c:strRef>
              <c:f>Data!$X$2</c:f>
              <c:strCache>
                <c:ptCount val="1"/>
                <c:pt idx="0">
                  <c:v>Price level ratio </c:v>
                </c:pt>
              </c:strCache>
            </c:strRef>
          </c:tx>
          <c:spPr>
            <a:ln w="28575" cap="rnd">
              <a:solidFill>
                <a:schemeClr val="accent2"/>
              </a:solidFill>
              <a:round/>
            </a:ln>
            <a:effectLst/>
          </c:spPr>
          <c:marker>
            <c:symbol val="none"/>
          </c:marker>
          <c:cat>
            <c:numRef>
              <c:f>Data!$B$3:$B$54</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Data!$X$3:$X$54</c:f>
              <c:numCache>
                <c:formatCode>General</c:formatCode>
                <c:ptCount val="52"/>
                <c:pt idx="26" formatCode="0.00%">
                  <c:v>0.67141267241303393</c:v>
                </c:pt>
                <c:pt idx="27" formatCode="0.00%">
                  <c:v>0.6635493433243882</c:v>
                </c:pt>
                <c:pt idx="28" formatCode="0.00%">
                  <c:v>0.65274042938111076</c:v>
                </c:pt>
                <c:pt idx="29" formatCode="0.00%">
                  <c:v>0.62638123614061858</c:v>
                </c:pt>
                <c:pt idx="30" formatCode="0.00%">
                  <c:v>0.6110098656314662</c:v>
                </c:pt>
                <c:pt idx="31" formatCode="0.00%">
                  <c:v>0.60760856967076182</c:v>
                </c:pt>
                <c:pt idx="32" formatCode="0.00%">
                  <c:v>0.65832108891133934</c:v>
                </c:pt>
                <c:pt idx="33" formatCode="0.00%">
                  <c:v>0.68288034416896193</c:v>
                </c:pt>
                <c:pt idx="34" formatCode="0.00%">
                  <c:v>0.76074330497404807</c:v>
                </c:pt>
                <c:pt idx="35" formatCode="0.00%">
                  <c:v>0.67047641254095303</c:v>
                </c:pt>
                <c:pt idx="36" formatCode="0.00%">
                  <c:v>0.62712596785665742</c:v>
                </c:pt>
                <c:pt idx="37" formatCode="0.00%">
                  <c:v>0.57990887987785256</c:v>
                </c:pt>
                <c:pt idx="38" formatCode="0.00%">
                  <c:v>0.57793846442613184</c:v>
                </c:pt>
                <c:pt idx="39" formatCode="0.00%">
                  <c:v>0.5527692447460687</c:v>
                </c:pt>
                <c:pt idx="40" formatCode="0.00%">
                  <c:v>0.53384703704968361</c:v>
                </c:pt>
                <c:pt idx="41" formatCode="0.00%">
                  <c:v>0.57681449283959596</c:v>
                </c:pt>
                <c:pt idx="42" formatCode="0.00%">
                  <c:v>0.61116730830344124</c:v>
                </c:pt>
                <c:pt idx="43" formatCode="0.00%">
                  <c:v>0.60955906592507791</c:v>
                </c:pt>
                <c:pt idx="44" formatCode="0.00%">
                  <c:v>0.59655283794236302</c:v>
                </c:pt>
                <c:pt idx="45" formatCode="0.00%">
                  <c:v>0.6085547164797166</c:v>
                </c:pt>
                <c:pt idx="46" formatCode="0.00%">
                  <c:v>0.55239390338254113</c:v>
                </c:pt>
                <c:pt idx="47" formatCode="0.00%">
                  <c:v>0.54434086051730113</c:v>
                </c:pt>
                <c:pt idx="48" formatCode="0.00%">
                  <c:v>0.56714709732007929</c:v>
                </c:pt>
                <c:pt idx="49" formatCode="0.00%">
                  <c:v>0.5426030826286925</c:v>
                </c:pt>
                <c:pt idx="50" formatCode="0.00%">
                  <c:v>0.53262184902131049</c:v>
                </c:pt>
                <c:pt idx="51" formatCode="0.00%">
                  <c:v>0.54061601191794917</c:v>
                </c:pt>
              </c:numCache>
            </c:numRef>
          </c:val>
          <c:smooth val="0"/>
          <c:extLst>
            <c:ext xmlns:c16="http://schemas.microsoft.com/office/drawing/2014/chart" uri="{C3380CC4-5D6E-409C-BE32-E72D297353CC}">
              <c16:uniqueId val="{00000001-AE2E-4B55-A268-0DF2766E12AA}"/>
            </c:ext>
          </c:extLst>
        </c:ser>
        <c:ser>
          <c:idx val="2"/>
          <c:order val="2"/>
          <c:tx>
            <c:strRef>
              <c:f>Data!$Y$2</c:f>
              <c:strCache>
                <c:ptCount val="1"/>
                <c:pt idx="0">
                  <c:v>Market capitilazation Ratio </c:v>
                </c:pt>
              </c:strCache>
            </c:strRef>
          </c:tx>
          <c:spPr>
            <a:ln w="28575" cap="rnd">
              <a:solidFill>
                <a:schemeClr val="accent3"/>
              </a:solidFill>
              <a:round/>
            </a:ln>
            <a:effectLst/>
          </c:spPr>
          <c:marker>
            <c:symbol val="none"/>
          </c:marker>
          <c:cat>
            <c:numRef>
              <c:f>Data!$B$3:$B$54</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Data!$Y$3:$Y$54</c:f>
              <c:numCache>
                <c:formatCode>General</c:formatCode>
                <c:ptCount val="52"/>
                <c:pt idx="31" formatCode="0.00%">
                  <c:v>9.2293920403082579E-3</c:v>
                </c:pt>
                <c:pt idx="32" formatCode="0.00%">
                  <c:v>6.7887350448556944E-3</c:v>
                </c:pt>
                <c:pt idx="33" formatCode="0.00%">
                  <c:v>8.8858147139739638E-3</c:v>
                </c:pt>
                <c:pt idx="34" formatCode="0.00%">
                  <c:v>9.9296321728152368E-3</c:v>
                </c:pt>
                <c:pt idx="35" formatCode="0.00%">
                  <c:v>6.5724123994250457E-3</c:v>
                </c:pt>
                <c:pt idx="36" formatCode="0.00%">
                  <c:v>8.4634415186772803E-3</c:v>
                </c:pt>
                <c:pt idx="37" formatCode="0.00%">
                  <c:v>2.5791837078664975E-2</c:v>
                </c:pt>
                <c:pt idx="38" formatCode="0.00%">
                  <c:v>1.1954116118456402E-2</c:v>
                </c:pt>
                <c:pt idx="39" formatCode="0.00%">
                  <c:v>7.4591040668625973E-3</c:v>
                </c:pt>
                <c:pt idx="40" formatCode="0.00%">
                  <c:v>1.6902981845839486E-2</c:v>
                </c:pt>
                <c:pt idx="41" formatCode="0.00%">
                  <c:v>1.2585762282239704E-2</c:v>
                </c:pt>
                <c:pt idx="42" formatCode="0.00%">
                  <c:v>1.0763397209161247E-2</c:v>
                </c:pt>
                <c:pt idx="43" formatCode="0.00%">
                  <c:v>1.7729666974961235E-2</c:v>
                </c:pt>
                <c:pt idx="44" formatCode="0.00%">
                  <c:v>1.7664771066138757E-2</c:v>
                </c:pt>
                <c:pt idx="45" formatCode="0.00%">
                  <c:v>1.5973725703247912E-2</c:v>
                </c:pt>
                <c:pt idx="46" formatCode="0.00%">
                  <c:v>1.5894577528715998E-2</c:v>
                </c:pt>
                <c:pt idx="47" formatCode="0.00%">
                  <c:v>1.3690650341971059E-2</c:v>
                </c:pt>
                <c:pt idx="48" formatCode="0.00%">
                  <c:v>1.58428957281086E-2</c:v>
                </c:pt>
                <c:pt idx="49" formatCode="0.00%">
                  <c:v>1.6842721856633207E-2</c:v>
                </c:pt>
                <c:pt idx="50" formatCode="0.00%">
                  <c:v>1.9923143560659405E-2</c:v>
                </c:pt>
                <c:pt idx="51" formatCode="0.00%">
                  <c:v>1.582963996131628E-2</c:v>
                </c:pt>
              </c:numCache>
            </c:numRef>
          </c:val>
          <c:smooth val="0"/>
          <c:extLst>
            <c:ext xmlns:c16="http://schemas.microsoft.com/office/drawing/2014/chart" uri="{C3380CC4-5D6E-409C-BE32-E72D297353CC}">
              <c16:uniqueId val="{00000002-AE2E-4B55-A268-0DF2766E12AA}"/>
            </c:ext>
          </c:extLst>
        </c:ser>
        <c:ser>
          <c:idx val="3"/>
          <c:order val="3"/>
          <c:tx>
            <c:strRef>
              <c:f>Data!$Z$2</c:f>
              <c:strCache>
                <c:ptCount val="1"/>
                <c:pt idx="0">
                  <c:v>Daily Wage Ratio</c:v>
                </c:pt>
              </c:strCache>
            </c:strRef>
          </c:tx>
          <c:spPr>
            <a:ln w="28575" cap="rnd">
              <a:solidFill>
                <a:schemeClr val="accent4"/>
              </a:solidFill>
              <a:round/>
            </a:ln>
            <a:effectLst/>
          </c:spPr>
          <c:marker>
            <c:symbol val="none"/>
          </c:marker>
          <c:cat>
            <c:numRef>
              <c:f>Data!$B$3:$B$54</c:f>
              <c:numCache>
                <c:formatCode>General</c:formatCode>
                <c:ptCount val="52"/>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pt idx="47">
                  <c:v>2015</c:v>
                </c:pt>
                <c:pt idx="48">
                  <c:v>2016</c:v>
                </c:pt>
                <c:pt idx="49">
                  <c:v>2017</c:v>
                </c:pt>
                <c:pt idx="50">
                  <c:v>2018</c:v>
                </c:pt>
                <c:pt idx="51">
                  <c:v>2019</c:v>
                </c:pt>
              </c:numCache>
            </c:numRef>
          </c:cat>
          <c:val>
            <c:numRef>
              <c:f>Data!$Z$3:$Z$54</c:f>
              <c:numCache>
                <c:formatCode>0%</c:formatCode>
                <c:ptCount val="52"/>
                <c:pt idx="0">
                  <c:v>0.55266891133940776</c:v>
                </c:pt>
                <c:pt idx="1">
                  <c:v>0.55266891133940776</c:v>
                </c:pt>
                <c:pt idx="2">
                  <c:v>0.55266891133940776</c:v>
                </c:pt>
                <c:pt idx="3">
                  <c:v>0.61168224299065421</c:v>
                </c:pt>
                <c:pt idx="4">
                  <c:v>0.64254473868955431</c:v>
                </c:pt>
                <c:pt idx="5">
                  <c:v>0.67413229327404134</c:v>
                </c:pt>
                <c:pt idx="6">
                  <c:v>0.72298330665638699</c:v>
                </c:pt>
                <c:pt idx="7">
                  <c:v>0.81454847959079657</c:v>
                </c:pt>
                <c:pt idx="8">
                  <c:v>0.86904727222445</c:v>
                </c:pt>
                <c:pt idx="9">
                  <c:v>0.89513596996652767</c:v>
                </c:pt>
                <c:pt idx="10">
                  <c:v>0.88275862068965516</c:v>
                </c:pt>
                <c:pt idx="11">
                  <c:v>0.7905908811796668</c:v>
                </c:pt>
                <c:pt idx="12">
                  <c:v>0.90116506192982049</c:v>
                </c:pt>
                <c:pt idx="13">
                  <c:v>0.90794917678602405</c:v>
                </c:pt>
                <c:pt idx="14">
                  <c:v>0.9121141804573879</c:v>
                </c:pt>
                <c:pt idx="15">
                  <c:v>0.9067089680824878</c:v>
                </c:pt>
                <c:pt idx="16">
                  <c:v>1.1095732761429751</c:v>
                </c:pt>
                <c:pt idx="17">
                  <c:v>1.0873300857861232</c:v>
                </c:pt>
                <c:pt idx="18">
                  <c:v>0.91574759240495351</c:v>
                </c:pt>
                <c:pt idx="19">
                  <c:v>0.84284405536439011</c:v>
                </c:pt>
                <c:pt idx="20">
                  <c:v>0.76579544508285469</c:v>
                </c:pt>
                <c:pt idx="21">
                  <c:v>0.68184046579009705</c:v>
                </c:pt>
                <c:pt idx="22">
                  <c:v>0.71206840273276317</c:v>
                </c:pt>
                <c:pt idx="23">
                  <c:v>0.74663370502840309</c:v>
                </c:pt>
                <c:pt idx="24">
                  <c:v>0.72716137593140751</c:v>
                </c:pt>
                <c:pt idx="25">
                  <c:v>0.75197840052136666</c:v>
                </c:pt>
                <c:pt idx="26">
                  <c:v>0.68912581843921439</c:v>
                </c:pt>
                <c:pt idx="27" formatCode="0.00%">
                  <c:v>0.62085889570552144</c:v>
                </c:pt>
                <c:pt idx="28" formatCode="0.00%">
                  <c:v>0.54418604651162783</c:v>
                </c:pt>
                <c:pt idx="29" formatCode="0.00%">
                  <c:v>0.53879781420765027</c:v>
                </c:pt>
                <c:pt idx="30" formatCode="0.00%">
                  <c:v>0.53400000000000003</c:v>
                </c:pt>
                <c:pt idx="31" formatCode="0.00%">
                  <c:v>0.57277882797731572</c:v>
                </c:pt>
                <c:pt idx="32" formatCode="0.00%">
                  <c:v>0.57556561085972857</c:v>
                </c:pt>
                <c:pt idx="33" formatCode="0.00%">
                  <c:v>0.60093896713615025</c:v>
                </c:pt>
                <c:pt idx="34" formatCode="0.00%">
                  <c:v>0.55948275862068975</c:v>
                </c:pt>
                <c:pt idx="35" formatCode="0.00%">
                  <c:v>0.52524429967426711</c:v>
                </c:pt>
                <c:pt idx="36" formatCode="0.00%">
                  <c:v>0.53312051077414202</c:v>
                </c:pt>
                <c:pt idx="37" formatCode="0.00%">
                  <c:v>0.54777070063694266</c:v>
                </c:pt>
                <c:pt idx="38" formatCode="0.00%">
                  <c:v>0.56779661016949146</c:v>
                </c:pt>
                <c:pt idx="39" formatCode="0.00%">
                  <c:v>0.56307692307692314</c:v>
                </c:pt>
                <c:pt idx="40" formatCode="0.00%">
                  <c:v>0.55242227042660885</c:v>
                </c:pt>
                <c:pt idx="41" formatCode="0.00%">
                  <c:v>0.53814989871708308</c:v>
                </c:pt>
                <c:pt idx="42" formatCode="0.00%">
                  <c:v>0.49303797468354432</c:v>
                </c:pt>
                <c:pt idx="43" formatCode="0.00%">
                  <c:v>0.47971384601986999</c:v>
                </c:pt>
                <c:pt idx="44" formatCode="0.00%">
                  <c:v>0.4862788195004073</c:v>
                </c:pt>
                <c:pt idx="45" formatCode="0.00%">
                  <c:v>0.45915894511760519</c:v>
                </c:pt>
                <c:pt idx="46" formatCode="0.00%">
                  <c:v>0.44519999999999998</c:v>
                </c:pt>
                <c:pt idx="47" formatCode="0.00%">
                  <c:v>0.41816429520545129</c:v>
                </c:pt>
                <c:pt idx="48" formatCode="0.00%">
                  <c:v>0.39213663457129755</c:v>
                </c:pt>
                <c:pt idx="49" formatCode="0.00%">
                  <c:v>0.38435261707988971</c:v>
                </c:pt>
                <c:pt idx="50" formatCode="0.00%">
                  <c:v>0.38987237546315362</c:v>
                </c:pt>
                <c:pt idx="51" formatCode="0.00%">
                  <c:v>0.39695181907571286</c:v>
                </c:pt>
              </c:numCache>
            </c:numRef>
          </c:val>
          <c:smooth val="0"/>
          <c:extLst>
            <c:ext xmlns:c16="http://schemas.microsoft.com/office/drawing/2014/chart" uri="{C3380CC4-5D6E-409C-BE32-E72D297353CC}">
              <c16:uniqueId val="{00000003-AE2E-4B55-A268-0DF2766E12AA}"/>
            </c:ext>
          </c:extLst>
        </c:ser>
        <c:dLbls>
          <c:showLegendKey val="0"/>
          <c:showVal val="0"/>
          <c:showCatName val="0"/>
          <c:showSerName val="0"/>
          <c:showPercent val="0"/>
          <c:showBubbleSize val="0"/>
        </c:dLbls>
        <c:smooth val="0"/>
        <c:axId val="902351856"/>
        <c:axId val="902340624"/>
      </c:lineChart>
      <c:catAx>
        <c:axId val="90235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902340624"/>
        <c:crosses val="autoZero"/>
        <c:auto val="1"/>
        <c:lblAlgn val="ctr"/>
        <c:lblOffset val="100"/>
        <c:noMultiLvlLbl val="0"/>
      </c:catAx>
      <c:valAx>
        <c:axId val="902340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90235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Trade, employment and taxes</a:t>
            </a:r>
            <a:r>
              <a:rPr lang="en-US" sz="1400" b="0" i="0" u="none" strike="noStrike" baseline="0"/>
              <a:t> </a:t>
            </a: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barChart>
        <c:barDir val="col"/>
        <c:grouping val="percentStacked"/>
        <c:varyColors val="0"/>
        <c:ser>
          <c:idx val="0"/>
          <c:order val="0"/>
          <c:tx>
            <c:strRef>
              <c:f>'Index 2010-2019'!$T$50</c:f>
              <c:strCache>
                <c:ptCount val="1"/>
                <c:pt idx="0">
                  <c:v>Palestinian exports of goods and services to Israel out of total Palestinian exports</c:v>
                </c:pt>
              </c:strCache>
            </c:strRef>
          </c:tx>
          <c:spPr>
            <a:solidFill>
              <a:schemeClr val="accent1"/>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2010-2019'!$T$51:$T$60</c:f>
              <c:numCache>
                <c:formatCode>0%</c:formatCode>
                <c:ptCount val="10"/>
                <c:pt idx="0">
                  <c:v>0.13421800674459294</c:v>
                </c:pt>
                <c:pt idx="1">
                  <c:v>0.20157994855910039</c:v>
                </c:pt>
                <c:pt idx="2">
                  <c:v>0</c:v>
                </c:pt>
                <c:pt idx="3">
                  <c:v>0.21232677713271753</c:v>
                </c:pt>
                <c:pt idx="4">
                  <c:v>0.12617246346151817</c:v>
                </c:pt>
                <c:pt idx="5">
                  <c:v>0.19257353394294996</c:v>
                </c:pt>
                <c:pt idx="6">
                  <c:v>0.1993001462525561</c:v>
                </c:pt>
                <c:pt idx="7">
                  <c:v>0.16839808836058845</c:v>
                </c:pt>
                <c:pt idx="8">
                  <c:v>0.1451231680042559</c:v>
                </c:pt>
                <c:pt idx="9">
                  <c:v>3.8579215034751077E-2</c:v>
                </c:pt>
              </c:numCache>
            </c:numRef>
          </c:val>
          <c:extLst>
            <c:ext xmlns:c16="http://schemas.microsoft.com/office/drawing/2014/chart" uri="{C3380CC4-5D6E-409C-BE32-E72D297353CC}">
              <c16:uniqueId val="{00000000-3563-454C-809B-107E1BD4E348}"/>
            </c:ext>
          </c:extLst>
        </c:ser>
        <c:ser>
          <c:idx val="1"/>
          <c:order val="1"/>
          <c:tx>
            <c:strRef>
              <c:f>'Index 2010-2019'!$U$50</c:f>
              <c:strCache>
                <c:ptCount val="1"/>
                <c:pt idx="0">
                  <c:v>Palestinian imports of goods and services from Israel out of total Palestinian imports</c:v>
                </c:pt>
              </c:strCache>
            </c:strRef>
          </c:tx>
          <c:spPr>
            <a:solidFill>
              <a:schemeClr val="accent2"/>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2010-2019'!$U$51:$U$60</c:f>
              <c:numCache>
                <c:formatCode>0%</c:formatCode>
                <c:ptCount val="10"/>
                <c:pt idx="0">
                  <c:v>0.19958518411744486</c:v>
                </c:pt>
                <c:pt idx="1">
                  <c:v>0.18364590304115314</c:v>
                </c:pt>
                <c:pt idx="2">
                  <c:v>0.19524969664212458</c:v>
                </c:pt>
                <c:pt idx="3">
                  <c:v>0.2025903666502597</c:v>
                </c:pt>
                <c:pt idx="4">
                  <c:v>0.17087821757874219</c:v>
                </c:pt>
                <c:pt idx="5">
                  <c:v>6.9835280172783662E-2</c:v>
                </c:pt>
                <c:pt idx="6">
                  <c:v>7.7105592913393667E-2</c:v>
                </c:pt>
                <c:pt idx="7">
                  <c:v>3.7129432274349707E-2</c:v>
                </c:pt>
                <c:pt idx="8">
                  <c:v>5.7078653443310172E-3</c:v>
                </c:pt>
                <c:pt idx="9">
                  <c:v>0</c:v>
                </c:pt>
              </c:numCache>
            </c:numRef>
          </c:val>
          <c:extLst>
            <c:ext xmlns:c16="http://schemas.microsoft.com/office/drawing/2014/chart" uri="{C3380CC4-5D6E-409C-BE32-E72D297353CC}">
              <c16:uniqueId val="{00000001-3563-454C-809B-107E1BD4E348}"/>
            </c:ext>
          </c:extLst>
        </c:ser>
        <c:ser>
          <c:idx val="2"/>
          <c:order val="2"/>
          <c:tx>
            <c:strRef>
              <c:f>'Index 2010-2019'!$V$50</c:f>
              <c:strCache>
                <c:ptCount val="1"/>
                <c:pt idx="0">
                  <c:v>Share of Gross clearance revenues out of Total PA net revenues and grants</c:v>
                </c:pt>
              </c:strCache>
            </c:strRef>
          </c:tx>
          <c:spPr>
            <a:solidFill>
              <a:schemeClr val="accent3"/>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2010-2019'!$V$51:$V$60</c:f>
              <c:numCache>
                <c:formatCode>0%</c:formatCode>
                <c:ptCount val="10"/>
                <c:pt idx="0">
                  <c:v>0</c:v>
                </c:pt>
                <c:pt idx="1">
                  <c:v>6.7861572470980555E-2</c:v>
                </c:pt>
                <c:pt idx="2">
                  <c:v>9.2539127998621878E-2</c:v>
                </c:pt>
                <c:pt idx="3">
                  <c:v>5.5811436343540306E-2</c:v>
                </c:pt>
                <c:pt idx="4">
                  <c:v>0.10705826027837621</c:v>
                </c:pt>
                <c:pt idx="5">
                  <c:v>0.15128066387036584</c:v>
                </c:pt>
                <c:pt idx="6">
                  <c:v>0.13641332008841001</c:v>
                </c:pt>
                <c:pt idx="7">
                  <c:v>0.16426836783228868</c:v>
                </c:pt>
                <c:pt idx="8">
                  <c:v>0.1426644347664901</c:v>
                </c:pt>
                <c:pt idx="9">
                  <c:v>0.18300553636350866</c:v>
                </c:pt>
              </c:numCache>
            </c:numRef>
          </c:val>
          <c:extLst>
            <c:ext xmlns:c16="http://schemas.microsoft.com/office/drawing/2014/chart" uri="{C3380CC4-5D6E-409C-BE32-E72D297353CC}">
              <c16:uniqueId val="{00000002-3563-454C-809B-107E1BD4E348}"/>
            </c:ext>
          </c:extLst>
        </c:ser>
        <c:ser>
          <c:idx val="3"/>
          <c:order val="3"/>
          <c:tx>
            <c:strRef>
              <c:f>'Index 2010-2019'!$W$50</c:f>
              <c:strCache>
                <c:ptCount val="1"/>
                <c:pt idx="0">
                  <c:v>Palestinians employed in Israel out of total Palestinian employed Individuals</c:v>
                </c:pt>
              </c:strCache>
            </c:strRef>
          </c:tx>
          <c:spPr>
            <a:solidFill>
              <a:schemeClr val="accent4"/>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2010-2019'!$W$51:$W$60</c:f>
              <c:numCache>
                <c:formatCode>0%</c:formatCode>
                <c:ptCount val="10"/>
                <c:pt idx="0">
                  <c:v>4.5767713394610575E-2</c:v>
                </c:pt>
                <c:pt idx="1">
                  <c:v>1.525590446487019E-2</c:v>
                </c:pt>
                <c:pt idx="2">
                  <c:v>0</c:v>
                </c:pt>
                <c:pt idx="3">
                  <c:v>7.6279522324350896E-2</c:v>
                </c:pt>
                <c:pt idx="4">
                  <c:v>0.10679133125409121</c:v>
                </c:pt>
                <c:pt idx="5">
                  <c:v>0.10170602976580119</c:v>
                </c:pt>
                <c:pt idx="6">
                  <c:v>0.1169619342306714</c:v>
                </c:pt>
                <c:pt idx="7">
                  <c:v>0.1779855520901521</c:v>
                </c:pt>
                <c:pt idx="8">
                  <c:v>0.19324145655502228</c:v>
                </c:pt>
                <c:pt idx="9">
                  <c:v>0.18815615506673222</c:v>
                </c:pt>
              </c:numCache>
            </c:numRef>
          </c:val>
          <c:extLst>
            <c:ext xmlns:c16="http://schemas.microsoft.com/office/drawing/2014/chart" uri="{C3380CC4-5D6E-409C-BE32-E72D297353CC}">
              <c16:uniqueId val="{00000003-3563-454C-809B-107E1BD4E348}"/>
            </c:ext>
          </c:extLst>
        </c:ser>
        <c:ser>
          <c:idx val="4"/>
          <c:order val="4"/>
          <c:tx>
            <c:strRef>
              <c:f>'Index 2010-2019'!$X$50</c:f>
              <c:strCache>
                <c:ptCount val="1"/>
                <c:pt idx="0">
                  <c:v>Remittances of Palestinians workers in Israel out of WBG GNI</c:v>
                </c:pt>
              </c:strCache>
            </c:strRef>
          </c:tx>
          <c:spPr>
            <a:solidFill>
              <a:schemeClr val="accent5"/>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2010-2019'!$X$51:$X$60</c:f>
              <c:numCache>
                <c:formatCode>0%</c:formatCode>
                <c:ptCount val="10"/>
                <c:pt idx="0">
                  <c:v>0</c:v>
                </c:pt>
                <c:pt idx="1">
                  <c:v>9.5873102323503021E-3</c:v>
                </c:pt>
                <c:pt idx="2">
                  <c:v>1.5857308870195385E-2</c:v>
                </c:pt>
                <c:pt idx="3">
                  <c:v>4.9292754269457235E-2</c:v>
                </c:pt>
                <c:pt idx="4">
                  <c:v>9.151382226220918E-2</c:v>
                </c:pt>
                <c:pt idx="5">
                  <c:v>0.11896514968614097</c:v>
                </c:pt>
                <c:pt idx="6">
                  <c:v>0.12653179703713413</c:v>
                </c:pt>
                <c:pt idx="7">
                  <c:v>0.13862114025471664</c:v>
                </c:pt>
                <c:pt idx="8">
                  <c:v>0.18974741694847577</c:v>
                </c:pt>
                <c:pt idx="9">
                  <c:v>0.20883586329849183</c:v>
                </c:pt>
              </c:numCache>
            </c:numRef>
          </c:val>
          <c:extLst>
            <c:ext xmlns:c16="http://schemas.microsoft.com/office/drawing/2014/chart" uri="{C3380CC4-5D6E-409C-BE32-E72D297353CC}">
              <c16:uniqueId val="{00000004-3563-454C-809B-107E1BD4E348}"/>
            </c:ext>
          </c:extLst>
        </c:ser>
        <c:dLbls>
          <c:showLegendKey val="0"/>
          <c:showVal val="0"/>
          <c:showCatName val="0"/>
          <c:showSerName val="0"/>
          <c:showPercent val="0"/>
          <c:showBubbleSize val="0"/>
        </c:dLbls>
        <c:gapWidth val="150"/>
        <c:overlap val="100"/>
        <c:axId val="588083695"/>
        <c:axId val="588085359"/>
      </c:barChart>
      <c:catAx>
        <c:axId val="58808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88085359"/>
        <c:crosses val="autoZero"/>
        <c:auto val="1"/>
        <c:lblAlgn val="ctr"/>
        <c:lblOffset val="100"/>
        <c:noMultiLvlLbl val="0"/>
      </c:catAx>
      <c:valAx>
        <c:axId val="5880853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88083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Movement of people and Services</a:t>
            </a:r>
            <a:r>
              <a:rPr lang="en-US" sz="1400" b="0" i="0" u="none" strike="noStrike" baseline="0"/>
              <a:t> </a:t>
            </a: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barChart>
        <c:barDir val="col"/>
        <c:grouping val="percentStacked"/>
        <c:varyColors val="0"/>
        <c:ser>
          <c:idx val="0"/>
          <c:order val="0"/>
          <c:tx>
            <c:strRef>
              <c:f>'Index 2010-2019'!$Y$50</c:f>
              <c:strCache>
                <c:ptCount val="1"/>
                <c:pt idx="0">
                  <c:v>Number of Israeli cars entered the WB </c:v>
                </c:pt>
              </c:strCache>
            </c:strRef>
          </c:tx>
          <c:spPr>
            <a:solidFill>
              <a:schemeClr val="accent1"/>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2010-2019'!$Y$51:$Y$60</c:f>
              <c:numCache>
                <c:formatCode>0.00%</c:formatCode>
                <c:ptCount val="10"/>
                <c:pt idx="0">
                  <c:v>0</c:v>
                </c:pt>
                <c:pt idx="1">
                  <c:v>0</c:v>
                </c:pt>
                <c:pt idx="2" formatCode="0%">
                  <c:v>5.613003327921836E-2</c:v>
                </c:pt>
                <c:pt idx="3" formatCode="0%">
                  <c:v>8.9687955020699969E-2</c:v>
                </c:pt>
                <c:pt idx="4" formatCode="0%">
                  <c:v>9.8688415605496141E-2</c:v>
                </c:pt>
                <c:pt idx="5" formatCode="0%">
                  <c:v>0.15066678736253442</c:v>
                </c:pt>
                <c:pt idx="6" formatCode="0%">
                  <c:v>0.20052807972418599</c:v>
                </c:pt>
                <c:pt idx="7" formatCode="0%">
                  <c:v>0.20456154745090804</c:v>
                </c:pt>
                <c:pt idx="8" formatCode="0%">
                  <c:v>0.19092578196580787</c:v>
                </c:pt>
                <c:pt idx="9" formatCode="0%">
                  <c:v>0.17196188297042991</c:v>
                </c:pt>
              </c:numCache>
            </c:numRef>
          </c:val>
          <c:extLst>
            <c:ext xmlns:c16="http://schemas.microsoft.com/office/drawing/2014/chart" uri="{C3380CC4-5D6E-409C-BE32-E72D297353CC}">
              <c16:uniqueId val="{00000000-41A2-47D6-A6D5-6F498D278AB5}"/>
            </c:ext>
          </c:extLst>
        </c:ser>
        <c:ser>
          <c:idx val="1"/>
          <c:order val="1"/>
          <c:tx>
            <c:strRef>
              <c:f>'Index 2010-2019'!$Z$50</c:f>
              <c:strCache>
                <c:ptCount val="1"/>
                <c:pt idx="0">
                  <c:v>Movement of people between Israel and the WB </c:v>
                </c:pt>
              </c:strCache>
            </c:strRef>
          </c:tx>
          <c:spPr>
            <a:solidFill>
              <a:schemeClr val="accent2"/>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2010-2019'!$Z$51:$Z$60</c:f>
              <c:numCache>
                <c:formatCode>0.00%</c:formatCode>
                <c:ptCount val="10"/>
                <c:pt idx="0">
                  <c:v>0</c:v>
                </c:pt>
                <c:pt idx="1">
                  <c:v>0</c:v>
                </c:pt>
                <c:pt idx="2" formatCode="0%">
                  <c:v>1.5861072007222549E-2</c:v>
                </c:pt>
                <c:pt idx="3" formatCode="0%">
                  <c:v>3.5084064488893611E-2</c:v>
                </c:pt>
                <c:pt idx="4" formatCode="0%">
                  <c:v>5.8471504511180661E-2</c:v>
                </c:pt>
                <c:pt idx="5" formatCode="0%">
                  <c:v>0.10050420443244276</c:v>
                </c:pt>
                <c:pt idx="6" formatCode="0%">
                  <c:v>0.12413144738562427</c:v>
                </c:pt>
                <c:pt idx="7" formatCode="0%">
                  <c:v>0.15192203782510519</c:v>
                </c:pt>
                <c:pt idx="8" formatCode="0%">
                  <c:v>0.17890203871791469</c:v>
                </c:pt>
                <c:pt idx="9" formatCode="0%">
                  <c:v>0.19283303011469033</c:v>
                </c:pt>
              </c:numCache>
            </c:numRef>
          </c:val>
          <c:extLst>
            <c:ext xmlns:c16="http://schemas.microsoft.com/office/drawing/2014/chart" uri="{C3380CC4-5D6E-409C-BE32-E72D297353CC}">
              <c16:uniqueId val="{00000001-41A2-47D6-A6D5-6F498D278AB5}"/>
            </c:ext>
          </c:extLst>
        </c:ser>
        <c:ser>
          <c:idx val="2"/>
          <c:order val="2"/>
          <c:tx>
            <c:strRef>
              <c:f>'Index 2010-2019'!$AA$50</c:f>
              <c:strCache>
                <c:ptCount val="1"/>
                <c:pt idx="0">
                  <c:v>Percentage of Palestinians entered to Israel for medical treatment</c:v>
                </c:pt>
              </c:strCache>
            </c:strRef>
          </c:tx>
          <c:spPr>
            <a:solidFill>
              <a:schemeClr val="accent3"/>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2010-2019'!$AA$51:$AA$60</c:f>
              <c:numCache>
                <c:formatCode>0%</c:formatCode>
                <c:ptCount val="10"/>
                <c:pt idx="0">
                  <c:v>0.11385513614151835</c:v>
                </c:pt>
                <c:pt idx="1">
                  <c:v>0.11385513614151835</c:v>
                </c:pt>
                <c:pt idx="2">
                  <c:v>0.18234827867844228</c:v>
                </c:pt>
                <c:pt idx="3">
                  <c:v>6.9760363971863068E-2</c:v>
                </c:pt>
                <c:pt idx="4">
                  <c:v>0.17943685711344423</c:v>
                </c:pt>
                <c:pt idx="5">
                  <c:v>2.9120688226576805E-2</c:v>
                </c:pt>
                <c:pt idx="6">
                  <c:v>0</c:v>
                </c:pt>
                <c:pt idx="7">
                  <c:v>1.3176842387267648E-2</c:v>
                </c:pt>
                <c:pt idx="8">
                  <c:v>6.3308774421375599E-2</c:v>
                </c:pt>
                <c:pt idx="9">
                  <c:v>2.7251180025630348E-2</c:v>
                </c:pt>
              </c:numCache>
            </c:numRef>
          </c:val>
          <c:extLst>
            <c:ext xmlns:c16="http://schemas.microsoft.com/office/drawing/2014/chart" uri="{C3380CC4-5D6E-409C-BE32-E72D297353CC}">
              <c16:uniqueId val="{00000002-41A2-47D6-A6D5-6F498D278AB5}"/>
            </c:ext>
          </c:extLst>
        </c:ser>
        <c:ser>
          <c:idx val="3"/>
          <c:order val="3"/>
          <c:tx>
            <c:strRef>
              <c:f>'Index 2010-2019'!$AB$50</c:f>
              <c:strCache>
                <c:ptCount val="1"/>
                <c:pt idx="0">
                  <c:v>Percentage of Palestinian households that conducted Outbound Trips to Israel</c:v>
                </c:pt>
              </c:strCache>
            </c:strRef>
          </c:tx>
          <c:spPr>
            <a:solidFill>
              <a:schemeClr val="accent4"/>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2010-2019'!$AB$51:$AB$60</c:f>
              <c:numCache>
                <c:formatCode>0%</c:formatCode>
                <c:ptCount val="10"/>
                <c:pt idx="0">
                  <c:v>6.9518678583393445E-2</c:v>
                </c:pt>
                <c:pt idx="1">
                  <c:v>3.4759339291696723E-2</c:v>
                </c:pt>
                <c:pt idx="2">
                  <c:v>0</c:v>
                </c:pt>
                <c:pt idx="3">
                  <c:v>1.5062380359735244E-2</c:v>
                </c:pt>
                <c:pt idx="4">
                  <c:v>3.0124760719470487E-2</c:v>
                </c:pt>
                <c:pt idx="5">
                  <c:v>0.11412649734107089</c:v>
                </c:pt>
                <c:pt idx="6">
                  <c:v>0.19812823396267132</c:v>
                </c:pt>
                <c:pt idx="7">
                  <c:v>0.1656861839570877</c:v>
                </c:pt>
                <c:pt idx="8">
                  <c:v>0.13324413395150408</c:v>
                </c:pt>
                <c:pt idx="9">
                  <c:v>0.13324413395150408</c:v>
                </c:pt>
              </c:numCache>
            </c:numRef>
          </c:val>
          <c:extLst>
            <c:ext xmlns:c16="http://schemas.microsoft.com/office/drawing/2014/chart" uri="{C3380CC4-5D6E-409C-BE32-E72D297353CC}">
              <c16:uniqueId val="{00000003-41A2-47D6-A6D5-6F498D278AB5}"/>
            </c:ext>
          </c:extLst>
        </c:ser>
        <c:ser>
          <c:idx val="4"/>
          <c:order val="4"/>
          <c:tx>
            <c:strRef>
              <c:f>'Index 2010-2019'!$AC$50</c:f>
              <c:strCache>
                <c:ptCount val="1"/>
                <c:pt idx="0">
                  <c:v>Percentage of Israeli guests’ nights in WB Hotels </c:v>
                </c:pt>
              </c:strCache>
            </c:strRef>
          </c:tx>
          <c:spPr>
            <a:solidFill>
              <a:schemeClr val="accent5"/>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2010-2019'!$AC$51:$AC$60</c:f>
              <c:numCache>
                <c:formatCode>0%</c:formatCode>
                <c:ptCount val="10"/>
                <c:pt idx="0">
                  <c:v>8.0069723297580567E-2</c:v>
                </c:pt>
                <c:pt idx="1">
                  <c:v>7.7486828997658616E-2</c:v>
                </c:pt>
                <c:pt idx="2">
                  <c:v>0.14205918649570751</c:v>
                </c:pt>
                <c:pt idx="3">
                  <c:v>0.17305391809477094</c:v>
                </c:pt>
                <c:pt idx="4">
                  <c:v>0.15497365799531726</c:v>
                </c:pt>
                <c:pt idx="5">
                  <c:v>0</c:v>
                </c:pt>
                <c:pt idx="6">
                  <c:v>0.22212890979328809</c:v>
                </c:pt>
                <c:pt idx="7">
                  <c:v>0.15239076369539528</c:v>
                </c:pt>
                <c:pt idx="8">
                  <c:v>0.12139603209633186</c:v>
                </c:pt>
                <c:pt idx="9">
                  <c:v>9.2984194797190362E-2</c:v>
                </c:pt>
              </c:numCache>
            </c:numRef>
          </c:val>
          <c:extLst>
            <c:ext xmlns:c16="http://schemas.microsoft.com/office/drawing/2014/chart" uri="{C3380CC4-5D6E-409C-BE32-E72D297353CC}">
              <c16:uniqueId val="{00000004-41A2-47D6-A6D5-6F498D278AB5}"/>
            </c:ext>
          </c:extLst>
        </c:ser>
        <c:dLbls>
          <c:showLegendKey val="0"/>
          <c:showVal val="0"/>
          <c:showCatName val="0"/>
          <c:showSerName val="0"/>
          <c:showPercent val="0"/>
          <c:showBubbleSize val="0"/>
        </c:dLbls>
        <c:gapWidth val="150"/>
        <c:overlap val="100"/>
        <c:axId val="2055935311"/>
        <c:axId val="2055936143"/>
      </c:barChart>
      <c:catAx>
        <c:axId val="2055935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055936143"/>
        <c:crosses val="autoZero"/>
        <c:auto val="1"/>
        <c:lblAlgn val="ctr"/>
        <c:lblOffset val="100"/>
        <c:noMultiLvlLbl val="0"/>
      </c:catAx>
      <c:valAx>
        <c:axId val="2055936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2055935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Resources and infrastrucure</a:t>
            </a:r>
            <a:r>
              <a:rPr lang="en-US" sz="1400" b="0" i="0" u="none" strike="noStrike" baseline="0"/>
              <a:t> </a:t>
            </a: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manualLayout>
          <c:layoutTarget val="inner"/>
          <c:xMode val="edge"/>
          <c:yMode val="edge"/>
          <c:x val="0.10517804024496938"/>
          <c:y val="0.13467592592592595"/>
          <c:w val="0.86426640419947509"/>
          <c:h val="0.31007254301545645"/>
        </c:manualLayout>
      </c:layout>
      <c:barChart>
        <c:barDir val="col"/>
        <c:grouping val="percentStacked"/>
        <c:varyColors val="0"/>
        <c:ser>
          <c:idx val="0"/>
          <c:order val="0"/>
          <c:tx>
            <c:strRef>
              <c:f>'Index 2010-2019'!$AD$50</c:f>
              <c:strCache>
                <c:ptCount val="1"/>
                <c:pt idx="0">
                  <c:v>Mobile cellular subscriptions ratio </c:v>
                </c:pt>
              </c:strCache>
            </c:strRef>
          </c:tx>
          <c:spPr>
            <a:solidFill>
              <a:schemeClr val="accent1"/>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2010-2019'!$AD$51:$AD$60</c:f>
              <c:numCache>
                <c:formatCode>0%</c:formatCode>
                <c:ptCount val="10"/>
                <c:pt idx="0">
                  <c:v>0</c:v>
                </c:pt>
                <c:pt idx="1">
                  <c:v>4.9313560558042487E-2</c:v>
                </c:pt>
                <c:pt idx="2">
                  <c:v>9.4646324435410267E-2</c:v>
                </c:pt>
                <c:pt idx="3">
                  <c:v>8.3722699585993779E-2</c:v>
                </c:pt>
                <c:pt idx="4">
                  <c:v>8.1207877968741807E-2</c:v>
                </c:pt>
                <c:pt idx="5">
                  <c:v>7.2541511829169084E-2</c:v>
                </c:pt>
                <c:pt idx="6">
                  <c:v>9.9205534024032704E-2</c:v>
                </c:pt>
                <c:pt idx="7">
                  <c:v>0.14416585650170172</c:v>
                </c:pt>
                <c:pt idx="8">
                  <c:v>0.19166908633018531</c:v>
                </c:pt>
                <c:pt idx="9">
                  <c:v>0.11361614238813168</c:v>
                </c:pt>
              </c:numCache>
            </c:numRef>
          </c:val>
          <c:extLst>
            <c:ext xmlns:c16="http://schemas.microsoft.com/office/drawing/2014/chart" uri="{C3380CC4-5D6E-409C-BE32-E72D297353CC}">
              <c16:uniqueId val="{00000000-CA72-4123-A56F-02B3E372DEB9}"/>
            </c:ext>
          </c:extLst>
        </c:ser>
        <c:ser>
          <c:idx val="1"/>
          <c:order val="1"/>
          <c:tx>
            <c:strRef>
              <c:f>'Index 2010-2019'!$AE$50</c:f>
              <c:strCache>
                <c:ptCount val="1"/>
                <c:pt idx="0">
                  <c:v>Individuals using the Internet ratio </c:v>
                </c:pt>
              </c:strCache>
            </c:strRef>
          </c:tx>
          <c:spPr>
            <a:solidFill>
              <a:schemeClr val="accent2"/>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2010-2019'!$AE$51:$AE$60</c:f>
              <c:numCache>
                <c:formatCode>0%</c:formatCode>
                <c:ptCount val="10"/>
                <c:pt idx="0">
                  <c:v>0</c:v>
                </c:pt>
                <c:pt idx="1">
                  <c:v>3.3822895951165062E-2</c:v>
                </c:pt>
                <c:pt idx="2">
                  <c:v>4.702515685750603E-2</c:v>
                </c:pt>
                <c:pt idx="3">
                  <c:v>8.7208571452604688E-2</c:v>
                </c:pt>
                <c:pt idx="4">
                  <c:v>0.12878110628240702</c:v>
                </c:pt>
                <c:pt idx="5">
                  <c:v>0.15028512322110449</c:v>
                </c:pt>
                <c:pt idx="6">
                  <c:v>0.17078544233875859</c:v>
                </c:pt>
                <c:pt idx="7">
                  <c:v>0.19564179266510121</c:v>
                </c:pt>
                <c:pt idx="8">
                  <c:v>0.17162326071322848</c:v>
                </c:pt>
                <c:pt idx="9">
                  <c:v>0.20724179548499091</c:v>
                </c:pt>
              </c:numCache>
            </c:numRef>
          </c:val>
          <c:extLst>
            <c:ext xmlns:c16="http://schemas.microsoft.com/office/drawing/2014/chart" uri="{C3380CC4-5D6E-409C-BE32-E72D297353CC}">
              <c16:uniqueId val="{00000001-CA72-4123-A56F-02B3E372DEB9}"/>
            </c:ext>
          </c:extLst>
        </c:ser>
        <c:ser>
          <c:idx val="2"/>
          <c:order val="2"/>
          <c:tx>
            <c:strRef>
              <c:f>'Index 2010-2019'!$AF$50</c:f>
              <c:strCache>
                <c:ptCount val="1"/>
                <c:pt idx="0">
                  <c:v>Fixed broadband subscriptions ratio </c:v>
                </c:pt>
              </c:strCache>
            </c:strRef>
          </c:tx>
          <c:spPr>
            <a:solidFill>
              <a:schemeClr val="accent3"/>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2010-2019'!$AF$51:$AF$60</c:f>
              <c:numCache>
                <c:formatCode>0%</c:formatCode>
                <c:ptCount val="10"/>
                <c:pt idx="0">
                  <c:v>0</c:v>
                </c:pt>
                <c:pt idx="1">
                  <c:v>0</c:v>
                </c:pt>
                <c:pt idx="2">
                  <c:v>4.4783612246968862E-2</c:v>
                </c:pt>
                <c:pt idx="3">
                  <c:v>7.8129677230435943E-2</c:v>
                </c:pt>
                <c:pt idx="4">
                  <c:v>8.9489874855346943E-2</c:v>
                </c:pt>
                <c:pt idx="5">
                  <c:v>0.14176569572316627</c:v>
                </c:pt>
                <c:pt idx="6">
                  <c:v>0.19223177700185501</c:v>
                </c:pt>
                <c:pt idx="7">
                  <c:v>0.22809224837719258</c:v>
                </c:pt>
                <c:pt idx="8">
                  <c:v>0.21029830384593345</c:v>
                </c:pt>
                <c:pt idx="9">
                  <c:v>0.19825372277699477</c:v>
                </c:pt>
              </c:numCache>
            </c:numRef>
          </c:val>
          <c:extLst>
            <c:ext xmlns:c16="http://schemas.microsoft.com/office/drawing/2014/chart" uri="{C3380CC4-5D6E-409C-BE32-E72D297353CC}">
              <c16:uniqueId val="{00000002-CA72-4123-A56F-02B3E372DEB9}"/>
            </c:ext>
          </c:extLst>
        </c:ser>
        <c:ser>
          <c:idx val="3"/>
          <c:order val="3"/>
          <c:tx>
            <c:strRef>
              <c:f>'Index 2010-2019'!$AG$50</c:f>
              <c:strCache>
                <c:ptCount val="1"/>
                <c:pt idx="0">
                  <c:v>Electricity imported from Israel out of total available electricity in the WBG</c:v>
                </c:pt>
              </c:strCache>
            </c:strRef>
          </c:tx>
          <c:spPr>
            <a:solidFill>
              <a:schemeClr val="accent4"/>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2010-2019'!$AG$51:$AG$60</c:f>
              <c:numCache>
                <c:formatCode>0%</c:formatCode>
                <c:ptCount val="10"/>
                <c:pt idx="0">
                  <c:v>1.3808762353032628E-2</c:v>
                </c:pt>
                <c:pt idx="1">
                  <c:v>4.6568058349513216E-3</c:v>
                </c:pt>
                <c:pt idx="2">
                  <c:v>6.9659798267589348E-2</c:v>
                </c:pt>
                <c:pt idx="3">
                  <c:v>0</c:v>
                </c:pt>
                <c:pt idx="4">
                  <c:v>0.1054992925216839</c:v>
                </c:pt>
                <c:pt idx="5">
                  <c:v>6.5353150101071775E-2</c:v>
                </c:pt>
                <c:pt idx="6">
                  <c:v>9.4457428022666545E-2</c:v>
                </c:pt>
                <c:pt idx="7">
                  <c:v>0.11637178640139664</c:v>
                </c:pt>
                <c:pt idx="8">
                  <c:v>0.17939552292923597</c:v>
                </c:pt>
                <c:pt idx="9">
                  <c:v>5.9587038771856823E-2</c:v>
                </c:pt>
              </c:numCache>
            </c:numRef>
          </c:val>
          <c:extLst>
            <c:ext xmlns:c16="http://schemas.microsoft.com/office/drawing/2014/chart" uri="{C3380CC4-5D6E-409C-BE32-E72D297353CC}">
              <c16:uniqueId val="{00000003-CA72-4123-A56F-02B3E372DEB9}"/>
            </c:ext>
          </c:extLst>
        </c:ser>
        <c:ser>
          <c:idx val="4"/>
          <c:order val="4"/>
          <c:tx>
            <c:strRef>
              <c:f>'Index 2010-2019'!$AH$50</c:f>
              <c:strCache>
                <c:ptCount val="1"/>
                <c:pt idx="0">
                  <c:v>Water Purchased from Israel out of available water quantity in the WBG</c:v>
                </c:pt>
              </c:strCache>
            </c:strRef>
          </c:tx>
          <c:spPr>
            <a:solidFill>
              <a:schemeClr val="accent5"/>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2010-2019'!$AH$51:$AH$60</c:f>
              <c:numCache>
                <c:formatCode>0%</c:formatCode>
                <c:ptCount val="10"/>
                <c:pt idx="0">
                  <c:v>6.5012602128926705E-2</c:v>
                </c:pt>
                <c:pt idx="1">
                  <c:v>4.5089153024104302E-2</c:v>
                </c:pt>
                <c:pt idx="2">
                  <c:v>0</c:v>
                </c:pt>
                <c:pt idx="3">
                  <c:v>3.5719425700227903E-2</c:v>
                </c:pt>
                <c:pt idx="4">
                  <c:v>7.5308782169789187E-2</c:v>
                </c:pt>
                <c:pt idx="5">
                  <c:v>9.7625637133670243E-2</c:v>
                </c:pt>
                <c:pt idx="6">
                  <c:v>0.17996750861416802</c:v>
                </c:pt>
                <c:pt idx="7">
                  <c:v>0.1936013468783952</c:v>
                </c:pt>
                <c:pt idx="8">
                  <c:v>0.18801130452382023</c:v>
                </c:pt>
                <c:pt idx="9">
                  <c:v>0.12784452455799772</c:v>
                </c:pt>
              </c:numCache>
            </c:numRef>
          </c:val>
          <c:extLst>
            <c:ext xmlns:c16="http://schemas.microsoft.com/office/drawing/2014/chart" uri="{C3380CC4-5D6E-409C-BE32-E72D297353CC}">
              <c16:uniqueId val="{00000004-CA72-4123-A56F-02B3E372DEB9}"/>
            </c:ext>
          </c:extLst>
        </c:ser>
        <c:dLbls>
          <c:showLegendKey val="0"/>
          <c:showVal val="0"/>
          <c:showCatName val="0"/>
          <c:showSerName val="0"/>
          <c:showPercent val="0"/>
          <c:showBubbleSize val="0"/>
        </c:dLbls>
        <c:gapWidth val="150"/>
        <c:overlap val="100"/>
        <c:axId val="345548143"/>
        <c:axId val="345560623"/>
      </c:barChart>
      <c:catAx>
        <c:axId val="34554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45560623"/>
        <c:crosses val="autoZero"/>
        <c:auto val="1"/>
        <c:lblAlgn val="ctr"/>
        <c:lblOffset val="100"/>
        <c:noMultiLvlLbl val="0"/>
      </c:catAx>
      <c:valAx>
        <c:axId val="345560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345548143"/>
        <c:crosses val="autoZero"/>
        <c:crossBetween val="between"/>
        <c:majorUnit val="0.2"/>
      </c:valAx>
      <c:spPr>
        <a:noFill/>
        <a:ln>
          <a:noFill/>
        </a:ln>
        <a:effectLst/>
      </c:spPr>
    </c:plotArea>
    <c:legend>
      <c:legendPos val="b"/>
      <c:layout>
        <c:manualLayout>
          <c:xMode val="edge"/>
          <c:yMode val="edge"/>
          <c:x val="5.742607174103237E-2"/>
          <c:y val="0.51677748614756491"/>
          <c:w val="0.89070319335083126"/>
          <c:h val="0.483222513852435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Banking and money</a:t>
            </a:r>
            <a:r>
              <a:rPr lang="en-US" sz="1400" b="0" i="0" u="none" strike="noStrike" baseline="0"/>
              <a:t> </a:t>
            </a: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barChart>
        <c:barDir val="col"/>
        <c:grouping val="percentStacked"/>
        <c:varyColors val="0"/>
        <c:ser>
          <c:idx val="0"/>
          <c:order val="0"/>
          <c:tx>
            <c:strRef>
              <c:f>'Index 2010-2019'!$AI$50</c:f>
              <c:strCache>
                <c:ptCount val="1"/>
                <c:pt idx="0">
                  <c:v>Share of NIS deposits in the Palestinian banking system</c:v>
                </c:pt>
              </c:strCache>
            </c:strRef>
          </c:tx>
          <c:spPr>
            <a:solidFill>
              <a:schemeClr val="accent1"/>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2010-2019'!$AI$51:$AI$60</c:f>
              <c:numCache>
                <c:formatCode>0%</c:formatCode>
                <c:ptCount val="10"/>
                <c:pt idx="0">
                  <c:v>0</c:v>
                </c:pt>
                <c:pt idx="1">
                  <c:v>9.1165976665759138E-2</c:v>
                </c:pt>
                <c:pt idx="2">
                  <c:v>0.10414852160673059</c:v>
                </c:pt>
                <c:pt idx="3">
                  <c:v>6.6690441604527903E-2</c:v>
                </c:pt>
                <c:pt idx="4">
                  <c:v>9.9308727904649202E-2</c:v>
                </c:pt>
                <c:pt idx="5">
                  <c:v>0.14863763896236662</c:v>
                </c:pt>
                <c:pt idx="6">
                  <c:v>0.14144318436401901</c:v>
                </c:pt>
                <c:pt idx="7">
                  <c:v>0.15349807687129069</c:v>
                </c:pt>
                <c:pt idx="8">
                  <c:v>0.20427986330596118</c:v>
                </c:pt>
                <c:pt idx="9">
                  <c:v>0.1940092552427872</c:v>
                </c:pt>
              </c:numCache>
            </c:numRef>
          </c:val>
          <c:extLst>
            <c:ext xmlns:c16="http://schemas.microsoft.com/office/drawing/2014/chart" uri="{C3380CC4-5D6E-409C-BE32-E72D297353CC}">
              <c16:uniqueId val="{00000000-B309-402A-9F90-FE4F13082BF9}"/>
            </c:ext>
          </c:extLst>
        </c:ser>
        <c:ser>
          <c:idx val="1"/>
          <c:order val="1"/>
          <c:tx>
            <c:strRef>
              <c:f>'Index 2010-2019'!$AJ$50</c:f>
              <c:strCache>
                <c:ptCount val="1"/>
                <c:pt idx="0">
                  <c:v>Share of NIS credit in the Palestinian banking system</c:v>
                </c:pt>
              </c:strCache>
            </c:strRef>
          </c:tx>
          <c:spPr>
            <a:solidFill>
              <a:schemeClr val="accent2"/>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2010-2019'!$AJ$51:$AJ$60</c:f>
              <c:numCache>
                <c:formatCode>0%</c:formatCode>
                <c:ptCount val="10"/>
                <c:pt idx="0">
                  <c:v>7.2440672509988938E-2</c:v>
                </c:pt>
                <c:pt idx="1">
                  <c:v>0</c:v>
                </c:pt>
                <c:pt idx="2">
                  <c:v>0.10461854656290456</c:v>
                </c:pt>
                <c:pt idx="3">
                  <c:v>0.1192433280659303</c:v>
                </c:pt>
                <c:pt idx="4">
                  <c:v>6.5561430341008364E-2</c:v>
                </c:pt>
                <c:pt idx="5">
                  <c:v>0.12370810512932336</c:v>
                </c:pt>
                <c:pt idx="6">
                  <c:v>0.14576937115671698</c:v>
                </c:pt>
                <c:pt idx="7">
                  <c:v>0.19452751516434816</c:v>
                </c:pt>
                <c:pt idx="8">
                  <c:v>0.15773513692639093</c:v>
                </c:pt>
                <c:pt idx="9">
                  <c:v>0.20474255478579009</c:v>
                </c:pt>
              </c:numCache>
            </c:numRef>
          </c:val>
          <c:extLst>
            <c:ext xmlns:c16="http://schemas.microsoft.com/office/drawing/2014/chart" uri="{C3380CC4-5D6E-409C-BE32-E72D297353CC}">
              <c16:uniqueId val="{00000001-B309-402A-9F90-FE4F13082BF9}"/>
            </c:ext>
          </c:extLst>
        </c:ser>
        <c:ser>
          <c:idx val="2"/>
          <c:order val="2"/>
          <c:tx>
            <c:strRef>
              <c:f>'Index 2010-2019'!$AK$50</c:f>
              <c:strCache>
                <c:ptCount val="1"/>
                <c:pt idx="0">
                  <c:v>Excess NIS cash deposited in Israel out of total NIS circulation</c:v>
                </c:pt>
              </c:strCache>
            </c:strRef>
          </c:tx>
          <c:spPr>
            <a:solidFill>
              <a:schemeClr val="accent3"/>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2010-2019'!$AK$51:$AK$60</c:f>
              <c:numCache>
                <c:formatCode>0%</c:formatCode>
                <c:ptCount val="10"/>
                <c:pt idx="0">
                  <c:v>0</c:v>
                </c:pt>
                <c:pt idx="1">
                  <c:v>1.1225065265926143E-2</c:v>
                </c:pt>
                <c:pt idx="2">
                  <c:v>6.232529918846875E-3</c:v>
                </c:pt>
                <c:pt idx="3">
                  <c:v>0.11970437533924508</c:v>
                </c:pt>
                <c:pt idx="4">
                  <c:v>7.4181631299972156E-2</c:v>
                </c:pt>
                <c:pt idx="5">
                  <c:v>2.9410056884236094E-2</c:v>
                </c:pt>
                <c:pt idx="6">
                  <c:v>0.11283912507976804</c:v>
                </c:pt>
                <c:pt idx="7">
                  <c:v>9.6686145738212881E-2</c:v>
                </c:pt>
                <c:pt idx="8">
                  <c:v>0.12344891900222811</c:v>
                </c:pt>
                <c:pt idx="9">
                  <c:v>0.17237099057223929</c:v>
                </c:pt>
              </c:numCache>
            </c:numRef>
          </c:val>
          <c:extLst>
            <c:ext xmlns:c16="http://schemas.microsoft.com/office/drawing/2014/chart" uri="{C3380CC4-5D6E-409C-BE32-E72D297353CC}">
              <c16:uniqueId val="{00000002-B309-402A-9F90-FE4F13082BF9}"/>
            </c:ext>
          </c:extLst>
        </c:ser>
        <c:ser>
          <c:idx val="3"/>
          <c:order val="3"/>
          <c:tx>
            <c:strRef>
              <c:f>'Index 2010-2019'!$AL$50</c:f>
              <c:strCache>
                <c:ptCount val="1"/>
                <c:pt idx="0">
                  <c:v>Checks and Money transfers volume out of WBG GNI </c:v>
                </c:pt>
              </c:strCache>
            </c:strRef>
          </c:tx>
          <c:spPr>
            <a:solidFill>
              <a:schemeClr val="accent4"/>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2010-2019'!$AL$51:$AL$60</c:f>
              <c:numCache>
                <c:formatCode>0%</c:formatCode>
                <c:ptCount val="10"/>
                <c:pt idx="0">
                  <c:v>0.21566181319077982</c:v>
                </c:pt>
                <c:pt idx="1">
                  <c:v>4.5186836561652399E-2</c:v>
                </c:pt>
                <c:pt idx="2">
                  <c:v>7.1739748642905873E-2</c:v>
                </c:pt>
                <c:pt idx="3">
                  <c:v>8.3309496846447742E-2</c:v>
                </c:pt>
                <c:pt idx="4">
                  <c:v>7.1085048612847312E-2</c:v>
                </c:pt>
                <c:pt idx="5">
                  <c:v>4.477521611363805E-2</c:v>
                </c:pt>
                <c:pt idx="6">
                  <c:v>8.8811890440667493E-2</c:v>
                </c:pt>
                <c:pt idx="7">
                  <c:v>9.6734795024898859E-2</c:v>
                </c:pt>
                <c:pt idx="8">
                  <c:v>0</c:v>
                </c:pt>
                <c:pt idx="9">
                  <c:v>2.9483836964428432E-2</c:v>
                </c:pt>
              </c:numCache>
            </c:numRef>
          </c:val>
          <c:extLst>
            <c:ext xmlns:c16="http://schemas.microsoft.com/office/drawing/2014/chart" uri="{C3380CC4-5D6E-409C-BE32-E72D297353CC}">
              <c16:uniqueId val="{00000003-B309-402A-9F90-FE4F13082BF9}"/>
            </c:ext>
          </c:extLst>
        </c:ser>
        <c:ser>
          <c:idx val="4"/>
          <c:order val="4"/>
          <c:tx>
            <c:strRef>
              <c:f>'Index 2010-2019'!$AM$50</c:f>
              <c:strCache>
                <c:ptCount val="1"/>
                <c:pt idx="0">
                  <c:v>Share of NIS checks presented for clearing in the Palestinian banking system </c:v>
                </c:pt>
              </c:strCache>
            </c:strRef>
          </c:tx>
          <c:spPr>
            <a:solidFill>
              <a:schemeClr val="accent5"/>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2010-2019'!$AM$51:$AM$60</c:f>
              <c:numCache>
                <c:formatCode>0%</c:formatCode>
                <c:ptCount val="10"/>
                <c:pt idx="0">
                  <c:v>4.1537817218688218E-2</c:v>
                </c:pt>
                <c:pt idx="1">
                  <c:v>0</c:v>
                </c:pt>
                <c:pt idx="2">
                  <c:v>9.2760385634165679E-2</c:v>
                </c:pt>
                <c:pt idx="3">
                  <c:v>9.257472257830951E-2</c:v>
                </c:pt>
                <c:pt idx="4">
                  <c:v>0.10047593313291943</c:v>
                </c:pt>
                <c:pt idx="5">
                  <c:v>0.10749262063331963</c:v>
                </c:pt>
                <c:pt idx="6">
                  <c:v>9.8880127283990191E-2</c:v>
                </c:pt>
                <c:pt idx="7">
                  <c:v>0.12506292460320648</c:v>
                </c:pt>
                <c:pt idx="8">
                  <c:v>0.16605140144242697</c:v>
                </c:pt>
                <c:pt idx="9">
                  <c:v>0.20294477814522965</c:v>
                </c:pt>
              </c:numCache>
            </c:numRef>
          </c:val>
          <c:extLst>
            <c:ext xmlns:c16="http://schemas.microsoft.com/office/drawing/2014/chart" uri="{C3380CC4-5D6E-409C-BE32-E72D297353CC}">
              <c16:uniqueId val="{00000004-B309-402A-9F90-FE4F13082BF9}"/>
            </c:ext>
          </c:extLst>
        </c:ser>
        <c:dLbls>
          <c:showLegendKey val="0"/>
          <c:showVal val="0"/>
          <c:showCatName val="0"/>
          <c:showSerName val="0"/>
          <c:showPercent val="0"/>
          <c:showBubbleSize val="0"/>
        </c:dLbls>
        <c:gapWidth val="150"/>
        <c:overlap val="100"/>
        <c:axId val="1228055055"/>
        <c:axId val="1228056719"/>
      </c:barChart>
      <c:catAx>
        <c:axId val="1228055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228056719"/>
        <c:crosses val="autoZero"/>
        <c:auto val="1"/>
        <c:lblAlgn val="ctr"/>
        <c:lblOffset val="100"/>
        <c:noMultiLvlLbl val="0"/>
      </c:catAx>
      <c:valAx>
        <c:axId val="12280567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228055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גיליון3!$B$62</c:f>
              <c:strCache>
                <c:ptCount val="1"/>
                <c:pt idx="0">
                  <c:v>NIS</c:v>
                </c:pt>
              </c:strCache>
            </c:strRef>
          </c:tx>
          <c:spPr>
            <a:ln w="28575" cap="rnd">
              <a:solidFill>
                <a:schemeClr val="accent1"/>
              </a:solidFill>
              <a:round/>
            </a:ln>
            <a:effectLst/>
          </c:spPr>
          <c:marker>
            <c:symbol val="none"/>
          </c:marker>
          <c:cat>
            <c:numRef>
              <c:f>גיליון3!$C$61:$P$61</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גיליון3!$C$62:$P$62</c:f>
              <c:numCache>
                <c:formatCode>0%</c:formatCode>
                <c:ptCount val="14"/>
                <c:pt idx="0">
                  <c:v>0.14350137545693084</c:v>
                </c:pt>
                <c:pt idx="1">
                  <c:v>0.1791625297263465</c:v>
                </c:pt>
                <c:pt idx="2">
                  <c:v>0.22077113551526745</c:v>
                </c:pt>
                <c:pt idx="3">
                  <c:v>0.23278484810822905</c:v>
                </c:pt>
                <c:pt idx="4">
                  <c:v>0.25415798765355541</c:v>
                </c:pt>
                <c:pt idx="5">
                  <c:v>0.30345025308503126</c:v>
                </c:pt>
                <c:pt idx="6">
                  <c:v>0.31046974735922339</c:v>
                </c:pt>
                <c:pt idx="7">
                  <c:v>0.29021664757846366</c:v>
                </c:pt>
                <c:pt idx="8">
                  <c:v>0.30785293344989373</c:v>
                </c:pt>
                <c:pt idx="9">
                  <c:v>0.33452443817382577</c:v>
                </c:pt>
                <c:pt idx="10">
                  <c:v>0.33063448954752372</c:v>
                </c:pt>
                <c:pt idx="11">
                  <c:v>0.33715241413900704</c:v>
                </c:pt>
                <c:pt idx="12">
                  <c:v>0.36460946980352943</c:v>
                </c:pt>
                <c:pt idx="13">
                  <c:v>0.35905725133548466</c:v>
                </c:pt>
              </c:numCache>
            </c:numRef>
          </c:val>
          <c:smooth val="0"/>
          <c:extLst>
            <c:ext xmlns:c16="http://schemas.microsoft.com/office/drawing/2014/chart" uri="{C3380CC4-5D6E-409C-BE32-E72D297353CC}">
              <c16:uniqueId val="{00000000-8693-439A-9A75-8249B0C2C825}"/>
            </c:ext>
          </c:extLst>
        </c:ser>
        <c:ser>
          <c:idx val="1"/>
          <c:order val="1"/>
          <c:tx>
            <c:strRef>
              <c:f>גיליון3!$B$63</c:f>
              <c:strCache>
                <c:ptCount val="1"/>
                <c:pt idx="0">
                  <c:v>JD</c:v>
                </c:pt>
              </c:strCache>
            </c:strRef>
          </c:tx>
          <c:spPr>
            <a:ln w="28575" cap="rnd">
              <a:solidFill>
                <a:schemeClr val="accent2"/>
              </a:solidFill>
              <a:round/>
            </a:ln>
            <a:effectLst/>
          </c:spPr>
          <c:marker>
            <c:symbol val="none"/>
          </c:marker>
          <c:cat>
            <c:numRef>
              <c:f>גיליון3!$C$61:$P$61</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גיליון3!$C$63:$P$63</c:f>
              <c:numCache>
                <c:formatCode>0%</c:formatCode>
                <c:ptCount val="14"/>
                <c:pt idx="0">
                  <c:v>0.25605776105802569</c:v>
                </c:pt>
                <c:pt idx="1">
                  <c:v>0.24647968089632194</c:v>
                </c:pt>
                <c:pt idx="2">
                  <c:v>0.27159159167828861</c:v>
                </c:pt>
                <c:pt idx="3">
                  <c:v>0.28374394176244788</c:v>
                </c:pt>
                <c:pt idx="4">
                  <c:v>0.27233393330371175</c:v>
                </c:pt>
                <c:pt idx="5">
                  <c:v>0.25836399851480951</c:v>
                </c:pt>
                <c:pt idx="6">
                  <c:v>0.23254973443720173</c:v>
                </c:pt>
                <c:pt idx="7">
                  <c:v>0.25362427341235233</c:v>
                </c:pt>
                <c:pt idx="8">
                  <c:v>0.25735979988073671</c:v>
                </c:pt>
                <c:pt idx="9">
                  <c:v>0.25659114716805181</c:v>
                </c:pt>
                <c:pt idx="10">
                  <c:v>0.24929168235181712</c:v>
                </c:pt>
                <c:pt idx="11">
                  <c:v>0.23410731705683802</c:v>
                </c:pt>
                <c:pt idx="12">
                  <c:v>0.23020880329841126</c:v>
                </c:pt>
                <c:pt idx="13">
                  <c:v>0.22381779017050843</c:v>
                </c:pt>
              </c:numCache>
            </c:numRef>
          </c:val>
          <c:smooth val="0"/>
          <c:extLst>
            <c:ext xmlns:c16="http://schemas.microsoft.com/office/drawing/2014/chart" uri="{C3380CC4-5D6E-409C-BE32-E72D297353CC}">
              <c16:uniqueId val="{00000001-8693-439A-9A75-8249B0C2C825}"/>
            </c:ext>
          </c:extLst>
        </c:ser>
        <c:ser>
          <c:idx val="2"/>
          <c:order val="2"/>
          <c:tx>
            <c:strRef>
              <c:f>גיליון3!$B$64</c:f>
              <c:strCache>
                <c:ptCount val="1"/>
                <c:pt idx="0">
                  <c:v>USD</c:v>
                </c:pt>
              </c:strCache>
            </c:strRef>
          </c:tx>
          <c:spPr>
            <a:ln w="28575" cap="rnd">
              <a:solidFill>
                <a:schemeClr val="accent3"/>
              </a:solidFill>
              <a:round/>
            </a:ln>
            <a:effectLst/>
          </c:spPr>
          <c:marker>
            <c:symbol val="none"/>
          </c:marker>
          <c:cat>
            <c:numRef>
              <c:f>גיליון3!$C$61:$P$61</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גיליון3!$C$64:$P$64</c:f>
              <c:numCache>
                <c:formatCode>0%</c:formatCode>
                <c:ptCount val="14"/>
                <c:pt idx="0">
                  <c:v>0.5488584439145725</c:v>
                </c:pt>
                <c:pt idx="1">
                  <c:v>0.51527154938457609</c:v>
                </c:pt>
                <c:pt idx="2">
                  <c:v>0.44476699581598389</c:v>
                </c:pt>
                <c:pt idx="3">
                  <c:v>0.42837426546004542</c:v>
                </c:pt>
                <c:pt idx="4">
                  <c:v>0.41946762389161735</c:v>
                </c:pt>
                <c:pt idx="5">
                  <c:v>0.38988801016391766</c:v>
                </c:pt>
                <c:pt idx="6">
                  <c:v>0.40926327465848061</c:v>
                </c:pt>
                <c:pt idx="7">
                  <c:v>0.41675434195468597</c:v>
                </c:pt>
                <c:pt idx="8">
                  <c:v>0.39737999273487057</c:v>
                </c:pt>
                <c:pt idx="9">
                  <c:v>0.37067755801333152</c:v>
                </c:pt>
                <c:pt idx="10">
                  <c:v>0.37304981479894966</c:v>
                </c:pt>
                <c:pt idx="11">
                  <c:v>0.39493931106246549</c:v>
                </c:pt>
                <c:pt idx="12">
                  <c:v>0.37598852513223385</c:v>
                </c:pt>
                <c:pt idx="13">
                  <c:v>0.38749838577453766</c:v>
                </c:pt>
              </c:numCache>
            </c:numRef>
          </c:val>
          <c:smooth val="0"/>
          <c:extLst>
            <c:ext xmlns:c16="http://schemas.microsoft.com/office/drawing/2014/chart" uri="{C3380CC4-5D6E-409C-BE32-E72D297353CC}">
              <c16:uniqueId val="{00000002-8693-439A-9A75-8249B0C2C825}"/>
            </c:ext>
          </c:extLst>
        </c:ser>
        <c:ser>
          <c:idx val="3"/>
          <c:order val="3"/>
          <c:tx>
            <c:strRef>
              <c:f>גיליון3!$B$65</c:f>
              <c:strCache>
                <c:ptCount val="1"/>
                <c:pt idx="0">
                  <c:v>Others</c:v>
                </c:pt>
              </c:strCache>
            </c:strRef>
          </c:tx>
          <c:spPr>
            <a:ln w="28575" cap="rnd">
              <a:solidFill>
                <a:schemeClr val="accent4"/>
              </a:solidFill>
              <a:round/>
            </a:ln>
            <a:effectLst/>
          </c:spPr>
          <c:marker>
            <c:symbol val="none"/>
          </c:marker>
          <c:cat>
            <c:numRef>
              <c:f>גיליון3!$C$61:$P$61</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גיליון3!$C$65:$P$65</c:f>
              <c:numCache>
                <c:formatCode>0%</c:formatCode>
                <c:ptCount val="14"/>
                <c:pt idx="0">
                  <c:v>5.1582419570470946E-2</c:v>
                </c:pt>
                <c:pt idx="1">
                  <c:v>5.9086239992755259E-2</c:v>
                </c:pt>
                <c:pt idx="2">
                  <c:v>6.2870276990460036E-2</c:v>
                </c:pt>
                <c:pt idx="3">
                  <c:v>5.5096944669277642E-2</c:v>
                </c:pt>
                <c:pt idx="4">
                  <c:v>5.4040455151115586E-2</c:v>
                </c:pt>
                <c:pt idx="5">
                  <c:v>4.8297738236241686E-2</c:v>
                </c:pt>
                <c:pt idx="6">
                  <c:v>4.7717243545094289E-2</c:v>
                </c:pt>
                <c:pt idx="7">
                  <c:v>3.9404737054498019E-2</c:v>
                </c:pt>
                <c:pt idx="8">
                  <c:v>3.7407273934498934E-2</c:v>
                </c:pt>
                <c:pt idx="9">
                  <c:v>3.8206856644790746E-2</c:v>
                </c:pt>
                <c:pt idx="10">
                  <c:v>4.7024013301709584E-2</c:v>
                </c:pt>
                <c:pt idx="11">
                  <c:v>3.380095774168964E-2</c:v>
                </c:pt>
                <c:pt idx="12">
                  <c:v>2.919320176582569E-2</c:v>
                </c:pt>
                <c:pt idx="13">
                  <c:v>2.9626572719469158E-2</c:v>
                </c:pt>
              </c:numCache>
            </c:numRef>
          </c:val>
          <c:smooth val="0"/>
          <c:extLst>
            <c:ext xmlns:c16="http://schemas.microsoft.com/office/drawing/2014/chart" uri="{C3380CC4-5D6E-409C-BE32-E72D297353CC}">
              <c16:uniqueId val="{00000003-8693-439A-9A75-8249B0C2C825}"/>
            </c:ext>
          </c:extLst>
        </c:ser>
        <c:dLbls>
          <c:showLegendKey val="0"/>
          <c:showVal val="0"/>
          <c:showCatName val="0"/>
          <c:showSerName val="0"/>
          <c:showPercent val="0"/>
          <c:showBubbleSize val="0"/>
        </c:dLbls>
        <c:smooth val="0"/>
        <c:axId val="1804611120"/>
        <c:axId val="1792848656"/>
      </c:lineChart>
      <c:dateAx>
        <c:axId val="180461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792848656"/>
        <c:crosses val="autoZero"/>
        <c:auto val="0"/>
        <c:lblOffset val="100"/>
        <c:baseTimeUnit val="days"/>
        <c:majorUnit val="1"/>
        <c:majorTimeUnit val="days"/>
      </c:dateAx>
      <c:valAx>
        <c:axId val="179284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0461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 Wealth and standard of living</a:t>
            </a:r>
            <a:r>
              <a:rPr lang="en-US" sz="1400" b="0" i="0" u="none" strike="noStrike" baseline="0"/>
              <a:t> </a:t>
            </a: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L"/>
        </a:p>
      </c:txPr>
    </c:title>
    <c:autoTitleDeleted val="0"/>
    <c:plotArea>
      <c:layout>
        <c:manualLayout>
          <c:layoutTarget val="inner"/>
          <c:xMode val="edge"/>
          <c:yMode val="edge"/>
          <c:x val="3.0555555555555555E-2"/>
          <c:y val="0.13009259259259259"/>
          <c:w val="0.86426640419947509"/>
          <c:h val="0.51675485201028071"/>
        </c:manualLayout>
      </c:layout>
      <c:barChart>
        <c:barDir val="col"/>
        <c:grouping val="percentStacked"/>
        <c:varyColors val="0"/>
        <c:ser>
          <c:idx val="0"/>
          <c:order val="0"/>
          <c:tx>
            <c:strRef>
              <c:f>'Index 2010-2019'!$AN$50</c:f>
              <c:strCache>
                <c:ptCount val="1"/>
                <c:pt idx="0">
                  <c:v>GDP per Capita Ratio </c:v>
                </c:pt>
              </c:strCache>
            </c:strRef>
          </c:tx>
          <c:spPr>
            <a:solidFill>
              <a:schemeClr val="accent1"/>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2010-2019'!$AN$51:$AN$60</c:f>
              <c:numCache>
                <c:formatCode>0%</c:formatCode>
                <c:ptCount val="10"/>
                <c:pt idx="0">
                  <c:v>0</c:v>
                </c:pt>
                <c:pt idx="1">
                  <c:v>0.11339616802389138</c:v>
                </c:pt>
                <c:pt idx="2">
                  <c:v>0.20759378941861101</c:v>
                </c:pt>
                <c:pt idx="3">
                  <c:v>0.20735661547575604</c:v>
                </c:pt>
                <c:pt idx="4">
                  <c:v>7.6829411867353134E-2</c:v>
                </c:pt>
                <c:pt idx="5">
                  <c:v>0.10931278394426683</c:v>
                </c:pt>
                <c:pt idx="6">
                  <c:v>0.24223912202550646</c:v>
                </c:pt>
                <c:pt idx="7">
                  <c:v>0.17615139790725984</c:v>
                </c:pt>
                <c:pt idx="8">
                  <c:v>9.1365301384293399E-2</c:v>
                </c:pt>
                <c:pt idx="9">
                  <c:v>2.49464529977968E-4</c:v>
                </c:pt>
              </c:numCache>
            </c:numRef>
          </c:val>
          <c:extLst>
            <c:ext xmlns:c16="http://schemas.microsoft.com/office/drawing/2014/chart" uri="{C3380CC4-5D6E-409C-BE32-E72D297353CC}">
              <c16:uniqueId val="{00000000-47BB-4559-9C1A-CAE295B4EB10}"/>
            </c:ext>
          </c:extLst>
        </c:ser>
        <c:ser>
          <c:idx val="1"/>
          <c:order val="1"/>
          <c:tx>
            <c:strRef>
              <c:f>'Index 2010-2019'!$AO$50</c:f>
              <c:strCache>
                <c:ptCount val="1"/>
                <c:pt idx="0">
                  <c:v>Price level ratio </c:v>
                </c:pt>
              </c:strCache>
            </c:strRef>
          </c:tx>
          <c:spPr>
            <a:solidFill>
              <a:schemeClr val="accent2"/>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2010-2019'!$AO$51:$AO$60</c:f>
              <c:numCache>
                <c:formatCode>0%</c:formatCode>
                <c:ptCount val="10"/>
                <c:pt idx="0">
                  <c:v>0.2840366714055349</c:v>
                </c:pt>
                <c:pt idx="1">
                  <c:v>0.27822093340949311</c:v>
                </c:pt>
                <c:pt idx="2">
                  <c:v>0.23118771548046754</c:v>
                </c:pt>
                <c:pt idx="3">
                  <c:v>0.27458899750898813</c:v>
                </c:pt>
                <c:pt idx="4">
                  <c:v>7.1499849373099139E-2</c:v>
                </c:pt>
                <c:pt idx="5">
                  <c:v>4.2378376139200313E-2</c:v>
                </c:pt>
                <c:pt idx="6">
                  <c:v>0.12485045852246839</c:v>
                </c:pt>
                <c:pt idx="7">
                  <c:v>3.6094210871930349E-2</c:v>
                </c:pt>
                <c:pt idx="8">
                  <c:v>0</c:v>
                </c:pt>
                <c:pt idx="9">
                  <c:v>2.8908551055496261E-2</c:v>
                </c:pt>
              </c:numCache>
            </c:numRef>
          </c:val>
          <c:extLst>
            <c:ext xmlns:c16="http://schemas.microsoft.com/office/drawing/2014/chart" uri="{C3380CC4-5D6E-409C-BE32-E72D297353CC}">
              <c16:uniqueId val="{00000001-47BB-4559-9C1A-CAE295B4EB10}"/>
            </c:ext>
          </c:extLst>
        </c:ser>
        <c:ser>
          <c:idx val="2"/>
          <c:order val="2"/>
          <c:tx>
            <c:strRef>
              <c:f>'Index 2010-2019'!$AP$50</c:f>
              <c:strCache>
                <c:ptCount val="1"/>
                <c:pt idx="0">
                  <c:v>Market capitilazation Ratio </c:v>
                </c:pt>
              </c:strCache>
            </c:strRef>
          </c:tx>
          <c:spPr>
            <a:solidFill>
              <a:schemeClr val="accent3"/>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2010-2019'!$AP$51:$AP$60</c:f>
              <c:numCache>
                <c:formatCode>0%</c:formatCode>
                <c:ptCount val="10"/>
                <c:pt idx="0">
                  <c:v>0</c:v>
                </c:pt>
                <c:pt idx="1">
                  <c:v>0.15712244750230109</c:v>
                </c:pt>
                <c:pt idx="2">
                  <c:v>0.15565873674031871</c:v>
                </c:pt>
                <c:pt idx="3">
                  <c:v>0.11751763753120503</c:v>
                </c:pt>
                <c:pt idx="4">
                  <c:v>0.11573247053137875</c:v>
                </c:pt>
                <c:pt idx="5">
                  <c:v>6.6023451882937276E-2</c:v>
                </c:pt>
                <c:pt idx="6">
                  <c:v>0.1145668006282943</c:v>
                </c:pt>
                <c:pt idx="7">
                  <c:v>0.13711762534108032</c:v>
                </c:pt>
                <c:pt idx="8">
                  <c:v>0.20659575549503417</c:v>
                </c:pt>
                <c:pt idx="9">
                  <c:v>0.11426782017075383</c:v>
                </c:pt>
              </c:numCache>
            </c:numRef>
          </c:val>
          <c:extLst>
            <c:ext xmlns:c16="http://schemas.microsoft.com/office/drawing/2014/chart" uri="{C3380CC4-5D6E-409C-BE32-E72D297353CC}">
              <c16:uniqueId val="{00000002-47BB-4559-9C1A-CAE295B4EB10}"/>
            </c:ext>
          </c:extLst>
        </c:ser>
        <c:ser>
          <c:idx val="3"/>
          <c:order val="3"/>
          <c:tx>
            <c:strRef>
              <c:f>'Index 2010-2019'!$AQ$50</c:f>
              <c:strCache>
                <c:ptCount val="1"/>
                <c:pt idx="0">
                  <c:v>Daily Wage Ratio</c:v>
                </c:pt>
              </c:strCache>
            </c:strRef>
          </c:tx>
          <c:spPr>
            <a:solidFill>
              <a:schemeClr val="accent4"/>
            </a:solidFill>
            <a:ln>
              <a:noFill/>
            </a:ln>
            <a:effectLst/>
          </c:spPr>
          <c:invertIfNegative val="0"/>
          <c:cat>
            <c:numRef>
              <c:f>'Index 2010-2019'!$S$51:$S$60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'Index 2010-2019'!$AQ$51:$AQ$60</c:f>
              <c:numCache>
                <c:formatCode>0%</c:formatCode>
                <c:ptCount val="10"/>
                <c:pt idx="0">
                  <c:v>0.26712845107392441</c:v>
                </c:pt>
                <c:pt idx="1">
                  <c:v>0.23438021404997669</c:v>
                </c:pt>
                <c:pt idx="2">
                  <c:v>0.25051570125693373</c:v>
                </c:pt>
                <c:pt idx="3">
                  <c:v>0.18386007995773371</c:v>
                </c:pt>
                <c:pt idx="4">
                  <c:v>0.14955158182968031</c:v>
                </c:pt>
                <c:pt idx="5">
                  <c:v>8.3102833767440695E-2</c:v>
                </c:pt>
                <c:pt idx="6">
                  <c:v>1.9131671289106481E-2</c:v>
                </c:pt>
                <c:pt idx="7">
                  <c:v>0</c:v>
                </c:pt>
                <c:pt idx="8">
                  <c:v>1.3566542354312648E-2</c:v>
                </c:pt>
                <c:pt idx="9">
                  <c:v>3.0966501726802664E-2</c:v>
                </c:pt>
              </c:numCache>
            </c:numRef>
          </c:val>
          <c:extLst>
            <c:ext xmlns:c16="http://schemas.microsoft.com/office/drawing/2014/chart" uri="{C3380CC4-5D6E-409C-BE32-E72D297353CC}">
              <c16:uniqueId val="{00000003-47BB-4559-9C1A-CAE295B4EB10}"/>
            </c:ext>
          </c:extLst>
        </c:ser>
        <c:dLbls>
          <c:showLegendKey val="0"/>
          <c:showVal val="0"/>
          <c:showCatName val="0"/>
          <c:showSerName val="0"/>
          <c:showPercent val="0"/>
          <c:showBubbleSize val="0"/>
        </c:dLbls>
        <c:gapWidth val="150"/>
        <c:overlap val="100"/>
        <c:axId val="588092015"/>
        <c:axId val="588094927"/>
      </c:barChart>
      <c:catAx>
        <c:axId val="588092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88094927"/>
        <c:crosses val="autoZero"/>
        <c:auto val="1"/>
        <c:lblAlgn val="ctr"/>
        <c:lblOffset val="100"/>
        <c:noMultiLvlLbl val="0"/>
      </c:catAx>
      <c:valAx>
        <c:axId val="5880949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88092015"/>
        <c:crosses val="autoZero"/>
        <c:crossBetween val="between"/>
        <c:majorUnit val="0.2"/>
      </c:valAx>
      <c:spPr>
        <a:noFill/>
        <a:ln>
          <a:noFill/>
        </a:ln>
        <a:effectLst/>
      </c:spPr>
    </c:plotArea>
    <c:legend>
      <c:legendPos val="b"/>
      <c:layout>
        <c:manualLayout>
          <c:xMode val="edge"/>
          <c:yMode val="edge"/>
          <c:x val="6.5405074365704294E-2"/>
          <c:y val="0.79737169532009189"/>
          <c:w val="0.86918985126859127"/>
          <c:h val="0.202628304679908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גיליון2!$A$6</c:f>
              <c:strCache>
                <c:ptCount val="1"/>
                <c:pt idx="0">
                  <c:v>NIS</c:v>
                </c:pt>
              </c:strCache>
            </c:strRef>
          </c:tx>
          <c:spPr>
            <a:ln w="28575" cap="rnd">
              <a:solidFill>
                <a:schemeClr val="accent1"/>
              </a:solidFill>
              <a:round/>
            </a:ln>
            <a:effectLst/>
          </c:spPr>
          <c:marker>
            <c:symbol val="none"/>
          </c:marker>
          <c:cat>
            <c:numRef>
              <c:f>גיליון2!$B$5:$Y$5</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גיליון2!$B$6:$Y$6</c:f>
              <c:numCache>
                <c:formatCode>_(* #,##0_);_(* \(#,##0\);_(* "-"??_);_(@_)</c:formatCode>
                <c:ptCount val="24"/>
                <c:pt idx="0">
                  <c:v>121.72022631</c:v>
                </c:pt>
                <c:pt idx="1">
                  <c:v>176.68345412000002</c:v>
                </c:pt>
                <c:pt idx="2">
                  <c:v>191.69723212</c:v>
                </c:pt>
                <c:pt idx="3">
                  <c:v>201.27471555099999</c:v>
                </c:pt>
                <c:pt idx="4">
                  <c:v>297.27460028000007</c:v>
                </c:pt>
                <c:pt idx="5">
                  <c:v>224.99863178999999</c:v>
                </c:pt>
                <c:pt idx="6">
                  <c:v>166.41503133999998</c:v>
                </c:pt>
                <c:pt idx="7">
                  <c:v>242.161</c:v>
                </c:pt>
                <c:pt idx="8">
                  <c:v>397.19</c:v>
                </c:pt>
                <c:pt idx="9">
                  <c:v>300.23</c:v>
                </c:pt>
                <c:pt idx="10">
                  <c:v>315.33774299999999</c:v>
                </c:pt>
                <c:pt idx="11">
                  <c:v>336.56519900000001</c:v>
                </c:pt>
                <c:pt idx="12">
                  <c:v>474.27087600000004</c:v>
                </c:pt>
                <c:pt idx="13">
                  <c:v>578.99098600000002</c:v>
                </c:pt>
                <c:pt idx="14">
                  <c:v>866.70444600000008</c:v>
                </c:pt>
                <c:pt idx="15">
                  <c:v>863.63003400000002</c:v>
                </c:pt>
                <c:pt idx="16">
                  <c:v>1367.6242090000001</c:v>
                </c:pt>
                <c:pt idx="17">
                  <c:v>1510.73317</c:v>
                </c:pt>
                <c:pt idx="18">
                  <c:v>1443.5630529999999</c:v>
                </c:pt>
                <c:pt idx="19">
                  <c:v>1984.659167</c:v>
                </c:pt>
                <c:pt idx="20">
                  <c:v>2460.9366559999999</c:v>
                </c:pt>
                <c:pt idx="21">
                  <c:v>3182.6536029999997</c:v>
                </c:pt>
                <c:pt idx="22">
                  <c:v>3099.248689</c:v>
                </c:pt>
                <c:pt idx="23">
                  <c:v>3657.1758710000004</c:v>
                </c:pt>
              </c:numCache>
            </c:numRef>
          </c:val>
          <c:smooth val="0"/>
          <c:extLst>
            <c:ext xmlns:c16="http://schemas.microsoft.com/office/drawing/2014/chart" uri="{C3380CC4-5D6E-409C-BE32-E72D297353CC}">
              <c16:uniqueId val="{00000000-0DF7-4448-92F0-556605C0C6AA}"/>
            </c:ext>
          </c:extLst>
        </c:ser>
        <c:ser>
          <c:idx val="1"/>
          <c:order val="1"/>
          <c:tx>
            <c:strRef>
              <c:f>גיליון2!$A$7</c:f>
              <c:strCache>
                <c:ptCount val="1"/>
                <c:pt idx="0">
                  <c:v>J.D.</c:v>
                </c:pt>
              </c:strCache>
            </c:strRef>
          </c:tx>
          <c:spPr>
            <a:ln w="28575" cap="rnd">
              <a:solidFill>
                <a:schemeClr val="accent2"/>
              </a:solidFill>
              <a:round/>
            </a:ln>
            <a:effectLst/>
          </c:spPr>
          <c:marker>
            <c:symbol val="none"/>
          </c:marker>
          <c:cat>
            <c:numRef>
              <c:f>גיליון2!$B$5:$Y$5</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גיליון2!$B$7:$Y$7</c:f>
              <c:numCache>
                <c:formatCode>_(* #,##0_);_(* \(#,##0\);_(* "-"??_);_(@_)</c:formatCode>
                <c:ptCount val="24"/>
                <c:pt idx="0">
                  <c:v>174.22578031</c:v>
                </c:pt>
                <c:pt idx="1">
                  <c:v>166.47455005</c:v>
                </c:pt>
                <c:pt idx="2">
                  <c:v>200.25553482000001</c:v>
                </c:pt>
                <c:pt idx="3">
                  <c:v>206.15834799999999</c:v>
                </c:pt>
                <c:pt idx="4">
                  <c:v>209.03483735999998</c:v>
                </c:pt>
                <c:pt idx="5">
                  <c:v>170.73945051999999</c:v>
                </c:pt>
                <c:pt idx="6">
                  <c:v>136.39940712999999</c:v>
                </c:pt>
                <c:pt idx="7">
                  <c:v>143.541</c:v>
                </c:pt>
                <c:pt idx="8">
                  <c:v>172.32</c:v>
                </c:pt>
                <c:pt idx="9">
                  <c:v>222.09</c:v>
                </c:pt>
                <c:pt idx="10">
                  <c:v>196.61224299999998</c:v>
                </c:pt>
                <c:pt idx="11">
                  <c:v>186.16772700000001</c:v>
                </c:pt>
                <c:pt idx="12">
                  <c:v>147.536834</c:v>
                </c:pt>
                <c:pt idx="13">
                  <c:v>218.73774800000001</c:v>
                </c:pt>
                <c:pt idx="14">
                  <c:v>246.21316399999998</c:v>
                </c:pt>
                <c:pt idx="15">
                  <c:v>420.922282</c:v>
                </c:pt>
                <c:pt idx="16">
                  <c:v>549.67602199999999</c:v>
                </c:pt>
                <c:pt idx="17">
                  <c:v>471.061892</c:v>
                </c:pt>
                <c:pt idx="18">
                  <c:v>582.65337499999998</c:v>
                </c:pt>
                <c:pt idx="19">
                  <c:v>863.17100800000003</c:v>
                </c:pt>
                <c:pt idx="20">
                  <c:v>972.00927799999988</c:v>
                </c:pt>
                <c:pt idx="21">
                  <c:v>1129.442599</c:v>
                </c:pt>
                <c:pt idx="22">
                  <c:v>1299.3713029999999</c:v>
                </c:pt>
                <c:pt idx="23">
                  <c:v>1349.5533190000001</c:v>
                </c:pt>
              </c:numCache>
            </c:numRef>
          </c:val>
          <c:smooth val="0"/>
          <c:extLst>
            <c:ext xmlns:c16="http://schemas.microsoft.com/office/drawing/2014/chart" uri="{C3380CC4-5D6E-409C-BE32-E72D297353CC}">
              <c16:uniqueId val="{00000001-0DF7-4448-92F0-556605C0C6AA}"/>
            </c:ext>
          </c:extLst>
        </c:ser>
        <c:ser>
          <c:idx val="2"/>
          <c:order val="2"/>
          <c:tx>
            <c:strRef>
              <c:f>גיליון2!$A$8</c:f>
              <c:strCache>
                <c:ptCount val="1"/>
                <c:pt idx="0">
                  <c:v>USD</c:v>
                </c:pt>
              </c:strCache>
            </c:strRef>
          </c:tx>
          <c:spPr>
            <a:ln w="28575" cap="rnd">
              <a:solidFill>
                <a:schemeClr val="accent3"/>
              </a:solidFill>
              <a:round/>
            </a:ln>
            <a:effectLst/>
          </c:spPr>
          <c:marker>
            <c:symbol val="none"/>
          </c:marker>
          <c:cat>
            <c:numRef>
              <c:f>גיליון2!$B$5:$Y$5</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גיליון2!$B$8:$Y$8</c:f>
              <c:numCache>
                <c:formatCode>_(* #,##0_);_(* \(#,##0\);_(* "-"??_);_(@_)</c:formatCode>
                <c:ptCount val="24"/>
                <c:pt idx="0">
                  <c:v>105.19103200000001</c:v>
                </c:pt>
                <c:pt idx="1">
                  <c:v>229.11994827999999</c:v>
                </c:pt>
                <c:pt idx="2">
                  <c:v>373.8211</c:v>
                </c:pt>
                <c:pt idx="3">
                  <c:v>544.57289880000008</c:v>
                </c:pt>
                <c:pt idx="4">
                  <c:v>763.29092639999999</c:v>
                </c:pt>
                <c:pt idx="5">
                  <c:v>783.49389760000008</c:v>
                </c:pt>
                <c:pt idx="6">
                  <c:v>634.88457100000005</c:v>
                </c:pt>
                <c:pt idx="7">
                  <c:v>667.58299999999997</c:v>
                </c:pt>
                <c:pt idx="8">
                  <c:v>839.72</c:v>
                </c:pt>
                <c:pt idx="9">
                  <c:v>1255.02</c:v>
                </c:pt>
                <c:pt idx="10">
                  <c:v>1317.3138469999999</c:v>
                </c:pt>
                <c:pt idx="11">
                  <c:v>1167.0282550000002</c:v>
                </c:pt>
                <c:pt idx="12">
                  <c:v>1190.1710679999999</c:v>
                </c:pt>
                <c:pt idx="13">
                  <c:v>1427.0217519999999</c:v>
                </c:pt>
                <c:pt idx="14">
                  <c:v>1756.565619</c:v>
                </c:pt>
                <c:pt idx="15">
                  <c:v>2245.9321439999999</c:v>
                </c:pt>
                <c:pt idx="16">
                  <c:v>2255.1025509999999</c:v>
                </c:pt>
                <c:pt idx="17">
                  <c:v>2464.0567690000003</c:v>
                </c:pt>
                <c:pt idx="18">
                  <c:v>2838.6665190000003</c:v>
                </c:pt>
                <c:pt idx="19">
                  <c:v>2929.3877929999999</c:v>
                </c:pt>
                <c:pt idx="20">
                  <c:v>3375.0662350000002</c:v>
                </c:pt>
                <c:pt idx="21">
                  <c:v>3589.5077780000001</c:v>
                </c:pt>
                <c:pt idx="22">
                  <c:v>3890.5901220000001</c:v>
                </c:pt>
                <c:pt idx="23">
                  <c:v>3882.2853479999999</c:v>
                </c:pt>
              </c:numCache>
            </c:numRef>
          </c:val>
          <c:smooth val="0"/>
          <c:extLst>
            <c:ext xmlns:c16="http://schemas.microsoft.com/office/drawing/2014/chart" uri="{C3380CC4-5D6E-409C-BE32-E72D297353CC}">
              <c16:uniqueId val="{00000002-0DF7-4448-92F0-556605C0C6AA}"/>
            </c:ext>
          </c:extLst>
        </c:ser>
        <c:ser>
          <c:idx val="3"/>
          <c:order val="3"/>
          <c:tx>
            <c:strRef>
              <c:f>גיליון2!$A$9</c:f>
              <c:strCache>
                <c:ptCount val="1"/>
                <c:pt idx="0">
                  <c:v>Others</c:v>
                </c:pt>
              </c:strCache>
            </c:strRef>
          </c:tx>
          <c:spPr>
            <a:ln w="28575" cap="rnd">
              <a:solidFill>
                <a:schemeClr val="accent4"/>
              </a:solidFill>
              <a:round/>
            </a:ln>
            <a:effectLst/>
          </c:spPr>
          <c:marker>
            <c:symbol val="none"/>
          </c:marker>
          <c:cat>
            <c:numRef>
              <c:f>גיליון2!$B$5:$Y$5</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גיליון2!$B$9:$Y$9</c:f>
              <c:numCache>
                <c:formatCode>_(* #,##0_);_(* \(#,##0\);_(* "-"??_);_(@_)</c:formatCode>
                <c:ptCount val="24"/>
                <c:pt idx="0">
                  <c:v>0.56272299999999997</c:v>
                </c:pt>
                <c:pt idx="1">
                  <c:v>5.9092249930000005</c:v>
                </c:pt>
                <c:pt idx="2">
                  <c:v>10.93896138</c:v>
                </c:pt>
                <c:pt idx="3">
                  <c:v>15.117948116000001</c:v>
                </c:pt>
                <c:pt idx="4">
                  <c:v>10.606917505</c:v>
                </c:pt>
                <c:pt idx="5">
                  <c:v>5.6180813000000001</c:v>
                </c:pt>
                <c:pt idx="6">
                  <c:v>7.0243692599999994</c:v>
                </c:pt>
                <c:pt idx="7">
                  <c:v>8.8978000000000002</c:v>
                </c:pt>
                <c:pt idx="8">
                  <c:v>12.690000000000001</c:v>
                </c:pt>
                <c:pt idx="9">
                  <c:v>10.6</c:v>
                </c:pt>
                <c:pt idx="10">
                  <c:v>14.117894</c:v>
                </c:pt>
                <c:pt idx="11">
                  <c:v>15.406814000000001</c:v>
                </c:pt>
                <c:pt idx="12">
                  <c:v>16.20363</c:v>
                </c:pt>
                <c:pt idx="13">
                  <c:v>9.460363000000001</c:v>
                </c:pt>
                <c:pt idx="14">
                  <c:v>16.434093999999998</c:v>
                </c:pt>
                <c:pt idx="15">
                  <c:v>20.212274000000001</c:v>
                </c:pt>
                <c:pt idx="16">
                  <c:v>26.849588000000001</c:v>
                </c:pt>
                <c:pt idx="17">
                  <c:v>34.254578000000002</c:v>
                </c:pt>
                <c:pt idx="18">
                  <c:v>30.207788000000001</c:v>
                </c:pt>
                <c:pt idx="19">
                  <c:v>47.541285999999999</c:v>
                </c:pt>
                <c:pt idx="20">
                  <c:v>63.89452</c:v>
                </c:pt>
                <c:pt idx="21">
                  <c:v>124.374895</c:v>
                </c:pt>
                <c:pt idx="22">
                  <c:v>143.057401</c:v>
                </c:pt>
                <c:pt idx="23">
                  <c:v>150.09069</c:v>
                </c:pt>
              </c:numCache>
            </c:numRef>
          </c:val>
          <c:smooth val="0"/>
          <c:extLst>
            <c:ext xmlns:c16="http://schemas.microsoft.com/office/drawing/2014/chart" uri="{C3380CC4-5D6E-409C-BE32-E72D297353CC}">
              <c16:uniqueId val="{00000003-0DF7-4448-92F0-556605C0C6AA}"/>
            </c:ext>
          </c:extLst>
        </c:ser>
        <c:dLbls>
          <c:showLegendKey val="0"/>
          <c:showVal val="0"/>
          <c:showCatName val="0"/>
          <c:showSerName val="0"/>
          <c:showPercent val="0"/>
          <c:showBubbleSize val="0"/>
        </c:dLbls>
        <c:smooth val="0"/>
        <c:axId val="1890899040"/>
        <c:axId val="1804297616"/>
        <c:extLst>
          <c:ext xmlns:c15="http://schemas.microsoft.com/office/drawing/2012/chart" uri="{02D57815-91ED-43cb-92C2-25804820EDAC}">
            <c15:filteredLineSeries>
              <c15:ser>
                <c:idx val="5"/>
                <c:order val="4"/>
                <c:tx>
                  <c:strRef>
                    <c:extLst>
                      <c:ext uri="{02D57815-91ED-43cb-92C2-25804820EDAC}">
                        <c15:formulaRef>
                          <c15:sqref>גיליון2!$A$11</c15:sqref>
                        </c15:formulaRef>
                      </c:ext>
                    </c:extLst>
                    <c:strCache>
                      <c:ptCount val="1"/>
                    </c:strCache>
                  </c:strRef>
                </c:tx>
                <c:spPr>
                  <a:ln w="28575" cap="rnd">
                    <a:solidFill>
                      <a:schemeClr val="accent6"/>
                    </a:solidFill>
                    <a:round/>
                  </a:ln>
                  <a:effectLst/>
                </c:spPr>
                <c:marker>
                  <c:symbol val="none"/>
                </c:marker>
                <c:cat>
                  <c:numRef>
                    <c:extLst>
                      <c:ext uri="{02D57815-91ED-43cb-92C2-25804820EDAC}">
                        <c15:formulaRef>
                          <c15:sqref>גיליון2!$B$5:$Y$5</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c:ext uri="{02D57815-91ED-43cb-92C2-25804820EDAC}">
                        <c15:formulaRef>
                          <c15:sqref>גיליון2!$B$11:$Y$11</c15:sqref>
                        </c15:formulaRef>
                      </c:ext>
                    </c:extLst>
                    <c:numCache>
                      <c:formatCode>General</c:formatCode>
                      <c:ptCount val="24"/>
                    </c:numCache>
                  </c:numRef>
                </c:val>
                <c:smooth val="0"/>
                <c:extLst>
                  <c:ext xmlns:c16="http://schemas.microsoft.com/office/drawing/2014/chart" uri="{C3380CC4-5D6E-409C-BE32-E72D297353CC}">
                    <c16:uniqueId val="{00000004-0DF7-4448-92F0-556605C0C6AA}"/>
                  </c:ext>
                </c:extLst>
              </c15:ser>
            </c15:filteredLineSeries>
          </c:ext>
        </c:extLst>
      </c:lineChart>
      <c:dateAx>
        <c:axId val="189089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04297616"/>
        <c:crosses val="autoZero"/>
        <c:auto val="0"/>
        <c:lblOffset val="100"/>
        <c:baseTimeUnit val="days"/>
        <c:majorUnit val="2"/>
        <c:majorTimeUnit val="days"/>
      </c:dateAx>
      <c:valAx>
        <c:axId val="180429761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90899040"/>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גיליון2!$A$15</c:f>
              <c:strCache>
                <c:ptCount val="1"/>
                <c:pt idx="0">
                  <c:v>NIS</c:v>
                </c:pt>
              </c:strCache>
            </c:strRef>
          </c:tx>
          <c:spPr>
            <a:ln w="28575" cap="rnd">
              <a:solidFill>
                <a:schemeClr val="accent1"/>
              </a:solidFill>
              <a:round/>
            </a:ln>
            <a:effectLst/>
          </c:spPr>
          <c:marker>
            <c:symbol val="none"/>
          </c:marker>
          <c:cat>
            <c:numRef>
              <c:f>גיליון2!$B$14:$Y$14</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גיליון2!$B$15:$Y$15</c:f>
              <c:numCache>
                <c:formatCode>0%</c:formatCode>
                <c:ptCount val="24"/>
                <c:pt idx="0">
                  <c:v>0.30301294136989104</c:v>
                </c:pt>
                <c:pt idx="1">
                  <c:v>0.30558175797217191</c:v>
                </c:pt>
                <c:pt idx="2">
                  <c:v>0.24680580148860648</c:v>
                </c:pt>
                <c:pt idx="3">
                  <c:v>0.20811678149267288</c:v>
                </c:pt>
                <c:pt idx="4">
                  <c:v>0.23220817787597869</c:v>
                </c:pt>
                <c:pt idx="5">
                  <c:v>0.18989629076370687</c:v>
                </c:pt>
                <c:pt idx="6">
                  <c:v>0.17615212566389807</c:v>
                </c:pt>
                <c:pt idx="7">
                  <c:v>0.22798429799465778</c:v>
                </c:pt>
                <c:pt idx="8">
                  <c:v>0.27933357713514118</c:v>
                </c:pt>
                <c:pt idx="9">
                  <c:v>0.16791950512880746</c:v>
                </c:pt>
                <c:pt idx="10">
                  <c:v>0.1710648089764861</c:v>
                </c:pt>
                <c:pt idx="11">
                  <c:v>0.19737949573701682</c:v>
                </c:pt>
                <c:pt idx="12">
                  <c:v>0.25942207622424518</c:v>
                </c:pt>
                <c:pt idx="13">
                  <c:v>0.25914787149975027</c:v>
                </c:pt>
                <c:pt idx="14">
                  <c:v>0.30032199435950369</c:v>
                </c:pt>
                <c:pt idx="15">
                  <c:v>0.24322832916994483</c:v>
                </c:pt>
                <c:pt idx="16">
                  <c:v>0.32568278552879648</c:v>
                </c:pt>
                <c:pt idx="17">
                  <c:v>0.33720921605011817</c:v>
                </c:pt>
                <c:pt idx="18">
                  <c:v>0.2949001624583778</c:v>
                </c:pt>
                <c:pt idx="19">
                  <c:v>0.34072810230518757</c:v>
                </c:pt>
                <c:pt idx="20">
                  <c:v>0.35811555182192306</c:v>
                </c:pt>
                <c:pt idx="21">
                  <c:v>0.39654397956535864</c:v>
                </c:pt>
                <c:pt idx="22">
                  <c:v>0.3675462956419262</c:v>
                </c:pt>
                <c:pt idx="23">
                  <c:v>0.40459489946763127</c:v>
                </c:pt>
              </c:numCache>
            </c:numRef>
          </c:val>
          <c:smooth val="0"/>
          <c:extLst>
            <c:ext xmlns:c16="http://schemas.microsoft.com/office/drawing/2014/chart" uri="{C3380CC4-5D6E-409C-BE32-E72D297353CC}">
              <c16:uniqueId val="{00000000-21A3-4441-83E8-2C6E405B092B}"/>
            </c:ext>
          </c:extLst>
        </c:ser>
        <c:ser>
          <c:idx val="1"/>
          <c:order val="1"/>
          <c:tx>
            <c:strRef>
              <c:f>גיליון2!$A$16</c:f>
              <c:strCache>
                <c:ptCount val="1"/>
                <c:pt idx="0">
                  <c:v>J.D.</c:v>
                </c:pt>
              </c:strCache>
            </c:strRef>
          </c:tx>
          <c:spPr>
            <a:ln w="28575" cap="rnd">
              <a:solidFill>
                <a:schemeClr val="accent2"/>
              </a:solidFill>
              <a:round/>
            </a:ln>
            <a:effectLst/>
          </c:spPr>
          <c:marker>
            <c:symbol val="none"/>
          </c:marker>
          <c:cat>
            <c:numRef>
              <c:f>גיליון2!$B$14:$Y$14</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גיליון2!$B$16:$Y$16</c:f>
              <c:numCache>
                <c:formatCode>0%</c:formatCode>
                <c:ptCount val="24"/>
                <c:pt idx="0">
                  <c:v>0.43372139335120785</c:v>
                </c:pt>
                <c:pt idx="1">
                  <c:v>0.2879250120803859</c:v>
                </c:pt>
                <c:pt idx="2">
                  <c:v>0.25782442045298137</c:v>
                </c:pt>
                <c:pt idx="3">
                  <c:v>0.21316642652382697</c:v>
                </c:pt>
                <c:pt idx="4">
                  <c:v>0.16328202493670221</c:v>
                </c:pt>
                <c:pt idx="5">
                  <c:v>0.144102157790199</c:v>
                </c:pt>
                <c:pt idx="6">
                  <c:v>0.14438026007491875</c:v>
                </c:pt>
                <c:pt idx="7">
                  <c:v>0.13513775594935259</c:v>
                </c:pt>
                <c:pt idx="8">
                  <c:v>0.12118825250365702</c:v>
                </c:pt>
                <c:pt idx="9">
                  <c:v>0.12421557770394979</c:v>
                </c:pt>
                <c:pt idx="10">
                  <c:v>0.10665845284252404</c:v>
                </c:pt>
                <c:pt idx="11">
                  <c:v>0.10917852525140788</c:v>
                </c:pt>
                <c:pt idx="12">
                  <c:v>8.0701374958203842E-2</c:v>
                </c:pt>
                <c:pt idx="13">
                  <c:v>9.7903807108404212E-2</c:v>
                </c:pt>
                <c:pt idx="14">
                  <c:v>8.5315390720914278E-2</c:v>
                </c:pt>
                <c:pt idx="15">
                  <c:v>0.11854639061945862</c:v>
                </c:pt>
                <c:pt idx="16">
                  <c:v>0.1308985442091922</c:v>
                </c:pt>
                <c:pt idx="17">
                  <c:v>0.10514524633917016</c:v>
                </c:pt>
                <c:pt idx="18">
                  <c:v>0.11902810520630727</c:v>
                </c:pt>
                <c:pt idx="19">
                  <c:v>0.1481899886947671</c:v>
                </c:pt>
                <c:pt idx="20">
                  <c:v>0.14144680974145277</c:v>
                </c:pt>
                <c:pt idx="21">
                  <c:v>0.14072334559938648</c:v>
                </c:pt>
                <c:pt idx="22">
                  <c:v>0.15409512336848577</c:v>
                </c:pt>
                <c:pt idx="23">
                  <c:v>0.14930164932913426</c:v>
                </c:pt>
              </c:numCache>
            </c:numRef>
          </c:val>
          <c:smooth val="0"/>
          <c:extLst>
            <c:ext xmlns:c16="http://schemas.microsoft.com/office/drawing/2014/chart" uri="{C3380CC4-5D6E-409C-BE32-E72D297353CC}">
              <c16:uniqueId val="{00000001-21A3-4441-83E8-2C6E405B092B}"/>
            </c:ext>
          </c:extLst>
        </c:ser>
        <c:ser>
          <c:idx val="2"/>
          <c:order val="2"/>
          <c:tx>
            <c:strRef>
              <c:f>גיליון2!$A$17</c:f>
              <c:strCache>
                <c:ptCount val="1"/>
                <c:pt idx="0">
                  <c:v>USD</c:v>
                </c:pt>
              </c:strCache>
            </c:strRef>
          </c:tx>
          <c:spPr>
            <a:ln w="28575" cap="rnd">
              <a:solidFill>
                <a:schemeClr val="accent3"/>
              </a:solidFill>
              <a:round/>
            </a:ln>
            <a:effectLst/>
          </c:spPr>
          <c:marker>
            <c:symbol val="none"/>
          </c:marker>
          <c:cat>
            <c:numRef>
              <c:f>גיליון2!$B$14:$Y$14</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גיליון2!$B$17:$Y$17</c:f>
              <c:numCache>
                <c:formatCode>0%</c:formatCode>
                <c:ptCount val="24"/>
                <c:pt idx="0">
                  <c:v>0.26186481062626554</c:v>
                </c:pt>
                <c:pt idx="1">
                  <c:v>0.39627296698842401</c:v>
                </c:pt>
                <c:pt idx="2">
                  <c:v>0.48128611549851791</c:v>
                </c:pt>
                <c:pt idx="3">
                  <c:v>0.56308492935206134</c:v>
                </c:pt>
                <c:pt idx="4">
                  <c:v>0.59622448416941398</c:v>
                </c:pt>
                <c:pt idx="5">
                  <c:v>0.66125995436765228</c:v>
                </c:pt>
                <c:pt idx="6">
                  <c:v>0.67203224271472861</c:v>
                </c:pt>
                <c:pt idx="7">
                  <c:v>0.62850104520615468</c:v>
                </c:pt>
                <c:pt idx="8">
                  <c:v>0.59055361764374925</c:v>
                </c:pt>
                <c:pt idx="9">
                  <c:v>0.70193630658746931</c:v>
                </c:pt>
                <c:pt idx="10">
                  <c:v>0.71461804557640607</c:v>
                </c:pt>
                <c:pt idx="11">
                  <c:v>0.68440661472771802</c:v>
                </c:pt>
                <c:pt idx="12">
                  <c:v>0.65101330304453953</c:v>
                </c:pt>
                <c:pt idx="13">
                  <c:v>0.63871400169716031</c:v>
                </c:pt>
                <c:pt idx="14">
                  <c:v>0.60866803251799184</c:v>
                </c:pt>
                <c:pt idx="15">
                  <c:v>0.63253279912471394</c:v>
                </c:pt>
                <c:pt idx="16">
                  <c:v>0.53702477305501894</c:v>
                </c:pt>
                <c:pt idx="17">
                  <c:v>0.54999960805618453</c:v>
                </c:pt>
                <c:pt idx="18">
                  <c:v>0.57990069493573959</c:v>
                </c:pt>
                <c:pt idx="19">
                  <c:v>0.50291997750607809</c:v>
                </c:pt>
                <c:pt idx="20">
                  <c:v>0.49113970659737516</c:v>
                </c:pt>
                <c:pt idx="21">
                  <c:v>0.44723613579159849</c:v>
                </c:pt>
                <c:pt idx="22">
                  <c:v>0.46139310868388644</c:v>
                </c:pt>
                <c:pt idx="23">
                  <c:v>0.42949885525992459</c:v>
                </c:pt>
              </c:numCache>
            </c:numRef>
          </c:val>
          <c:smooth val="0"/>
          <c:extLst>
            <c:ext xmlns:c16="http://schemas.microsoft.com/office/drawing/2014/chart" uri="{C3380CC4-5D6E-409C-BE32-E72D297353CC}">
              <c16:uniqueId val="{00000002-21A3-4441-83E8-2C6E405B092B}"/>
            </c:ext>
          </c:extLst>
        </c:ser>
        <c:ser>
          <c:idx val="3"/>
          <c:order val="3"/>
          <c:tx>
            <c:strRef>
              <c:f>גיליון2!$A$18</c:f>
              <c:strCache>
                <c:ptCount val="1"/>
                <c:pt idx="0">
                  <c:v>Others</c:v>
                </c:pt>
              </c:strCache>
            </c:strRef>
          </c:tx>
          <c:spPr>
            <a:ln w="28575" cap="rnd">
              <a:solidFill>
                <a:schemeClr val="accent4"/>
              </a:solidFill>
              <a:round/>
            </a:ln>
            <a:effectLst/>
          </c:spPr>
          <c:marker>
            <c:symbol val="none"/>
          </c:marker>
          <c:cat>
            <c:numRef>
              <c:f>גיליון2!$B$14:$Y$14</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גיליון2!$B$18:$Y$18</c:f>
              <c:numCache>
                <c:formatCode>0%</c:formatCode>
                <c:ptCount val="24"/>
                <c:pt idx="0">
                  <c:v>1.4008547024241002E-3</c:v>
                </c:pt>
                <c:pt idx="1">
                  <c:v>1.0220262959018242E-2</c:v>
                </c:pt>
                <c:pt idx="2">
                  <c:v>1.408366255989431E-2</c:v>
                </c:pt>
                <c:pt idx="3">
                  <c:v>1.5631862631438738E-2</c:v>
                </c:pt>
                <c:pt idx="4">
                  <c:v>8.2853125843815253E-3</c:v>
                </c:pt>
                <c:pt idx="5">
                  <c:v>4.7415968336851034E-3</c:v>
                </c:pt>
                <c:pt idx="6">
                  <c:v>7.4353714723588669E-3</c:v>
                </c:pt>
                <c:pt idx="7">
                  <c:v>8.3769008498348878E-3</c:v>
                </c:pt>
                <c:pt idx="8">
                  <c:v>8.9245527174524591E-3</c:v>
                </c:pt>
                <c:pt idx="9">
                  <c:v>5.9286105797733699E-3</c:v>
                </c:pt>
                <c:pt idx="10">
                  <c:v>7.658692604583902E-3</c:v>
                </c:pt>
                <c:pt idx="11">
                  <c:v>9.0353642838575578E-3</c:v>
                </c:pt>
                <c:pt idx="12">
                  <c:v>8.8632457730115095E-3</c:v>
                </c:pt>
                <c:pt idx="13">
                  <c:v>4.2343196946851821E-3</c:v>
                </c:pt>
                <c:pt idx="14">
                  <c:v>5.694582401590164E-3</c:v>
                </c:pt>
                <c:pt idx="15">
                  <c:v>5.6924810858825659E-3</c:v>
                </c:pt>
                <c:pt idx="16">
                  <c:v>6.3938972069925879E-3</c:v>
                </c:pt>
                <c:pt idx="17">
                  <c:v>7.6459295545272402E-3</c:v>
                </c:pt>
                <c:pt idx="18">
                  <c:v>6.1710373995753935E-3</c:v>
                </c:pt>
                <c:pt idx="19">
                  <c:v>8.161931493967288E-3</c:v>
                </c:pt>
                <c:pt idx="20">
                  <c:v>9.2979318392488134E-3</c:v>
                </c:pt>
                <c:pt idx="21">
                  <c:v>1.549653904365653E-2</c:v>
                </c:pt>
                <c:pt idx="22">
                  <c:v>1.6965472305701629E-2</c:v>
                </c:pt>
                <c:pt idx="23">
                  <c:v>1.6604595943309888E-2</c:v>
                </c:pt>
              </c:numCache>
            </c:numRef>
          </c:val>
          <c:smooth val="0"/>
          <c:extLst>
            <c:ext xmlns:c16="http://schemas.microsoft.com/office/drawing/2014/chart" uri="{C3380CC4-5D6E-409C-BE32-E72D297353CC}">
              <c16:uniqueId val="{00000003-21A3-4441-83E8-2C6E405B092B}"/>
            </c:ext>
          </c:extLst>
        </c:ser>
        <c:dLbls>
          <c:showLegendKey val="0"/>
          <c:showVal val="0"/>
          <c:showCatName val="0"/>
          <c:showSerName val="0"/>
          <c:showPercent val="0"/>
          <c:showBubbleSize val="0"/>
        </c:dLbls>
        <c:smooth val="0"/>
        <c:axId val="1791750992"/>
        <c:axId val="1877354480"/>
      </c:lineChart>
      <c:catAx>
        <c:axId val="179175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877354480"/>
        <c:crosses val="autoZero"/>
        <c:auto val="1"/>
        <c:lblAlgn val="ctr"/>
        <c:lblOffset val="100"/>
        <c:noMultiLvlLbl val="0"/>
      </c:catAx>
      <c:valAx>
        <c:axId val="187735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179175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0DDBEE-075E-45FB-9A46-85EB3351C05F}"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pPr rtl="1"/>
          <a:endParaRPr lang="he-IL"/>
        </a:p>
      </dgm:t>
    </dgm:pt>
    <dgm:pt modelId="{3E48EA86-E193-4604-BB45-757C0833D72C}">
      <dgm:prSet phldrT="[טקסט]" custT="1"/>
      <dgm:spPr/>
      <dgm:t>
        <a:bodyPr/>
        <a:lstStyle/>
        <a:p>
          <a:pPr rtl="0"/>
          <a:r>
            <a:rPr lang="en-US" sz="1000" b="1">
              <a:cs typeface="+mj-cs"/>
            </a:rPr>
            <a:t>1948</a:t>
          </a:r>
          <a:endParaRPr lang="en-US" sz="1000">
            <a:cs typeface="+mj-cs"/>
          </a:endParaRPr>
        </a:p>
        <a:p>
          <a:pPr rtl="0"/>
          <a:r>
            <a:rPr lang="en-US" sz="1000">
              <a:cs typeface="+mj-cs"/>
            </a:rPr>
            <a:t>Israel </a:t>
          </a:r>
          <a:r>
            <a:rPr lang="en-US" sz="1000" b="0" i="0">
              <a:cs typeface="+mj-cs"/>
            </a:rPr>
            <a:t>independence and t</a:t>
          </a:r>
          <a:r>
            <a:rPr lang="en-US" sz="1000">
              <a:cs typeface="+mj-cs"/>
            </a:rPr>
            <a:t>he first Arab-Israeli war: Jordan annexed West Bank and Egypt occupied Gaza Strip.                       </a:t>
          </a:r>
          <a:endParaRPr lang="he-IL" sz="1000" b="1">
            <a:cs typeface="+mj-cs"/>
          </a:endParaRPr>
        </a:p>
      </dgm:t>
    </dgm:pt>
    <dgm:pt modelId="{8E2C7CF7-991E-48B4-862E-9568013BBDB4}" type="parTrans" cxnId="{A8635E27-7E06-458C-9804-E9DF9673840D}">
      <dgm:prSet/>
      <dgm:spPr/>
      <dgm:t>
        <a:bodyPr/>
        <a:lstStyle/>
        <a:p>
          <a:pPr rtl="1"/>
          <a:endParaRPr lang="he-IL" sz="3200">
            <a:cs typeface="+mj-cs"/>
          </a:endParaRPr>
        </a:p>
      </dgm:t>
    </dgm:pt>
    <dgm:pt modelId="{EE2B4DDC-B906-401B-9500-597868EAFC5F}" type="sibTrans" cxnId="{A8635E27-7E06-458C-9804-E9DF9673840D}">
      <dgm:prSet/>
      <dgm:spPr/>
      <dgm:t>
        <a:bodyPr/>
        <a:lstStyle/>
        <a:p>
          <a:pPr rtl="1"/>
          <a:endParaRPr lang="he-IL" sz="3200">
            <a:cs typeface="+mj-cs"/>
          </a:endParaRPr>
        </a:p>
      </dgm:t>
    </dgm:pt>
    <dgm:pt modelId="{BE4D5C7B-AFD9-43D8-BD14-45305A3A518E}">
      <dgm:prSet phldrT="[טקסט]" custT="1"/>
      <dgm:spPr/>
      <dgm:t>
        <a:bodyPr/>
        <a:lstStyle/>
        <a:p>
          <a:pPr rtl="0"/>
          <a:r>
            <a:rPr lang="en-US" sz="1000">
              <a:cs typeface="+mj-cs"/>
            </a:rPr>
            <a:t>The WBG came under Israeli control during the Six-Day War                        </a:t>
          </a:r>
          <a:r>
            <a:rPr lang="en-US" sz="1000" b="1">
              <a:cs typeface="+mj-cs"/>
            </a:rPr>
            <a:t>1967</a:t>
          </a:r>
          <a:endParaRPr lang="he-IL" sz="1000" b="1">
            <a:cs typeface="+mj-cs"/>
          </a:endParaRPr>
        </a:p>
      </dgm:t>
    </dgm:pt>
    <dgm:pt modelId="{34D450F7-A2B5-451D-81A3-71480CD024AE}" type="parTrans" cxnId="{410A5341-0BC5-494C-9C0E-B94500253A79}">
      <dgm:prSet/>
      <dgm:spPr/>
      <dgm:t>
        <a:bodyPr/>
        <a:lstStyle/>
        <a:p>
          <a:pPr rtl="1"/>
          <a:endParaRPr lang="he-IL" sz="3200">
            <a:cs typeface="+mj-cs"/>
          </a:endParaRPr>
        </a:p>
      </dgm:t>
    </dgm:pt>
    <dgm:pt modelId="{D1946897-557F-464B-868E-895821F17840}" type="sibTrans" cxnId="{410A5341-0BC5-494C-9C0E-B94500253A79}">
      <dgm:prSet/>
      <dgm:spPr/>
      <dgm:t>
        <a:bodyPr/>
        <a:lstStyle/>
        <a:p>
          <a:pPr rtl="1"/>
          <a:endParaRPr lang="he-IL" sz="3200">
            <a:cs typeface="+mj-cs"/>
          </a:endParaRPr>
        </a:p>
      </dgm:t>
    </dgm:pt>
    <dgm:pt modelId="{827EA19C-9545-4781-A1B7-833432051BA0}">
      <dgm:prSet phldrT="[טקסט]" custT="1"/>
      <dgm:spPr/>
      <dgm:t>
        <a:bodyPr/>
        <a:lstStyle/>
        <a:p>
          <a:pPr rtl="0"/>
          <a:r>
            <a:rPr lang="en-US" sz="1000" b="1">
              <a:cs typeface="+mj-cs"/>
            </a:rPr>
            <a:t>1993</a:t>
          </a:r>
          <a:endParaRPr lang="en-US" sz="1000">
            <a:cs typeface="+mj-cs"/>
          </a:endParaRPr>
        </a:p>
        <a:p>
          <a:pPr rtl="0"/>
          <a:r>
            <a:rPr lang="en-US" sz="1000">
              <a:cs typeface="+mj-cs"/>
            </a:rPr>
            <a:t>The Oslo Accords and the creation of the Palestinian National Authority</a:t>
          </a:r>
          <a:endParaRPr lang="he-IL" sz="1000" b="1">
            <a:cs typeface="+mj-cs"/>
          </a:endParaRPr>
        </a:p>
      </dgm:t>
    </dgm:pt>
    <dgm:pt modelId="{55D77106-5920-4A44-B282-3EAFD36EA17C}" type="parTrans" cxnId="{EFCF7515-3296-4B0A-B308-F609A47ACCC2}">
      <dgm:prSet/>
      <dgm:spPr/>
      <dgm:t>
        <a:bodyPr/>
        <a:lstStyle/>
        <a:p>
          <a:pPr rtl="1"/>
          <a:endParaRPr lang="he-IL" sz="3200">
            <a:cs typeface="+mj-cs"/>
          </a:endParaRPr>
        </a:p>
      </dgm:t>
    </dgm:pt>
    <dgm:pt modelId="{3B62943E-9616-4FC2-8BAB-ACD1C3C23AC0}" type="sibTrans" cxnId="{EFCF7515-3296-4B0A-B308-F609A47ACCC2}">
      <dgm:prSet/>
      <dgm:spPr/>
      <dgm:t>
        <a:bodyPr/>
        <a:lstStyle/>
        <a:p>
          <a:pPr rtl="1"/>
          <a:endParaRPr lang="he-IL" sz="3200">
            <a:cs typeface="+mj-cs"/>
          </a:endParaRPr>
        </a:p>
      </dgm:t>
    </dgm:pt>
    <dgm:pt modelId="{B57E1F64-8940-410F-981D-AA35A05349EA}">
      <dgm:prSet custT="1"/>
      <dgm:spPr/>
      <dgm:t>
        <a:bodyPr/>
        <a:lstStyle/>
        <a:p>
          <a:pPr rtl="0"/>
          <a:r>
            <a:rPr lang="en-US" sz="1000">
              <a:cs typeface="+mj-cs"/>
            </a:rPr>
            <a:t>Israel disengages from Gaza Strip and Hamas </a:t>
          </a:r>
          <a:r>
            <a:rPr lang="en-US" sz="1000" b="0">
              <a:cs typeface="+mj-cs"/>
            </a:rPr>
            <a:t>electoral victory</a:t>
          </a:r>
        </a:p>
        <a:p>
          <a:pPr rtl="0"/>
          <a:r>
            <a:rPr lang="en-US" sz="1000" b="1">
              <a:cs typeface="+mj-cs"/>
            </a:rPr>
            <a:t>2005</a:t>
          </a:r>
          <a:r>
            <a:rPr lang="en-US" sz="1000">
              <a:cs typeface="+mj-cs"/>
            </a:rPr>
            <a:t> </a:t>
          </a:r>
          <a:endParaRPr lang="he-IL" sz="1000">
            <a:cs typeface="+mj-cs"/>
          </a:endParaRPr>
        </a:p>
      </dgm:t>
    </dgm:pt>
    <dgm:pt modelId="{50B71B2B-B967-4CE9-A4C1-A89AF16167DE}" type="parTrans" cxnId="{E1B83707-3D6B-41FE-BF2D-CEE973FB54B3}">
      <dgm:prSet/>
      <dgm:spPr/>
      <dgm:t>
        <a:bodyPr/>
        <a:lstStyle/>
        <a:p>
          <a:pPr rtl="1"/>
          <a:endParaRPr lang="he-IL" sz="3200">
            <a:cs typeface="+mj-cs"/>
          </a:endParaRPr>
        </a:p>
      </dgm:t>
    </dgm:pt>
    <dgm:pt modelId="{376609E3-A9CB-4D77-AA83-B754EC9BB397}" type="sibTrans" cxnId="{E1B83707-3D6B-41FE-BF2D-CEE973FB54B3}">
      <dgm:prSet/>
      <dgm:spPr/>
      <dgm:t>
        <a:bodyPr/>
        <a:lstStyle/>
        <a:p>
          <a:pPr rtl="1"/>
          <a:endParaRPr lang="he-IL" sz="3200">
            <a:cs typeface="+mj-cs"/>
          </a:endParaRPr>
        </a:p>
      </dgm:t>
    </dgm:pt>
    <dgm:pt modelId="{1438E9CB-CFD3-4AC7-B5C2-542033701FFF}">
      <dgm:prSet custT="1"/>
      <dgm:spPr/>
      <dgm:t>
        <a:bodyPr/>
        <a:lstStyle/>
        <a:p>
          <a:pPr rtl="0"/>
          <a:r>
            <a:rPr lang="he-IL" sz="1000" b="0">
              <a:cs typeface="+mj-cs"/>
            </a:rPr>
            <a:t> </a:t>
          </a:r>
          <a:r>
            <a:rPr lang="en-US" sz="1000">
              <a:cs typeface="+mj-cs"/>
            </a:rPr>
            <a:t>League of Nations entrusted Great Britain with the Mandate for Palestine</a:t>
          </a:r>
        </a:p>
        <a:p>
          <a:pPr rtl="0"/>
          <a:r>
            <a:rPr lang="en-US" sz="1000" b="1">
              <a:cs typeface="+mj-cs"/>
            </a:rPr>
            <a:t>1922</a:t>
          </a:r>
          <a:endParaRPr lang="he-IL" sz="1000" b="1">
            <a:cs typeface="+mj-cs"/>
          </a:endParaRPr>
        </a:p>
      </dgm:t>
    </dgm:pt>
    <dgm:pt modelId="{01527FB6-7C37-4755-8E21-EE764847B503}" type="parTrans" cxnId="{8D6AD2AB-21FE-41E1-950B-FBCB7567766F}">
      <dgm:prSet/>
      <dgm:spPr/>
      <dgm:t>
        <a:bodyPr/>
        <a:lstStyle/>
        <a:p>
          <a:pPr rtl="1"/>
          <a:endParaRPr lang="he-IL" sz="3200">
            <a:cs typeface="+mj-cs"/>
          </a:endParaRPr>
        </a:p>
      </dgm:t>
    </dgm:pt>
    <dgm:pt modelId="{C36A8D6F-24F2-4278-9AAF-62D3D9671F73}" type="sibTrans" cxnId="{8D6AD2AB-21FE-41E1-950B-FBCB7567766F}">
      <dgm:prSet/>
      <dgm:spPr/>
      <dgm:t>
        <a:bodyPr/>
        <a:lstStyle/>
        <a:p>
          <a:pPr rtl="1"/>
          <a:endParaRPr lang="he-IL" sz="3200">
            <a:cs typeface="+mj-cs"/>
          </a:endParaRPr>
        </a:p>
      </dgm:t>
    </dgm:pt>
    <dgm:pt modelId="{D15D93D9-D145-41CA-B6FB-68AEC31373F0}" type="pres">
      <dgm:prSet presAssocID="{600DDBEE-075E-45FB-9A46-85EB3351C05F}" presName="Name0" presStyleCnt="0">
        <dgm:presLayoutVars>
          <dgm:dir/>
          <dgm:resizeHandles val="exact"/>
        </dgm:presLayoutVars>
      </dgm:prSet>
      <dgm:spPr/>
    </dgm:pt>
    <dgm:pt modelId="{CCCAD106-B6D6-4AF2-86DB-82DBD26D918A}" type="pres">
      <dgm:prSet presAssocID="{600DDBEE-075E-45FB-9A46-85EB3351C05F}" presName="arrow" presStyleLbl="bgShp" presStyleIdx="0" presStyleCnt="1"/>
      <dgm:spPr/>
    </dgm:pt>
    <dgm:pt modelId="{6D2AF8AD-4953-4983-8AAB-BAC58AAAD2AE}" type="pres">
      <dgm:prSet presAssocID="{600DDBEE-075E-45FB-9A46-85EB3351C05F}" presName="points" presStyleCnt="0"/>
      <dgm:spPr/>
    </dgm:pt>
    <dgm:pt modelId="{2DD841CD-CF31-4D41-AB22-2F823470FA49}" type="pres">
      <dgm:prSet presAssocID="{1438E9CB-CFD3-4AC7-B5C2-542033701FFF}" presName="compositeA" presStyleCnt="0"/>
      <dgm:spPr/>
    </dgm:pt>
    <dgm:pt modelId="{463E00D1-6BDB-486F-98DC-5BD7539A734C}" type="pres">
      <dgm:prSet presAssocID="{1438E9CB-CFD3-4AC7-B5C2-542033701FFF}" presName="textA" presStyleLbl="revTx" presStyleIdx="0" presStyleCnt="5" custScaleX="199113">
        <dgm:presLayoutVars>
          <dgm:bulletEnabled val="1"/>
        </dgm:presLayoutVars>
      </dgm:prSet>
      <dgm:spPr/>
    </dgm:pt>
    <dgm:pt modelId="{850E09D3-64C2-4E37-BB56-1F7D8720B57E}" type="pres">
      <dgm:prSet presAssocID="{1438E9CB-CFD3-4AC7-B5C2-542033701FFF}" presName="circleA" presStyleLbl="node1" presStyleIdx="0" presStyleCnt="5"/>
      <dgm:spPr/>
    </dgm:pt>
    <dgm:pt modelId="{D068D52F-381F-49CF-AA23-422431B041F7}" type="pres">
      <dgm:prSet presAssocID="{1438E9CB-CFD3-4AC7-B5C2-542033701FFF}" presName="spaceA" presStyleCnt="0"/>
      <dgm:spPr/>
    </dgm:pt>
    <dgm:pt modelId="{CC0B00FC-2FA4-47A2-9C00-58E4C8EAC357}" type="pres">
      <dgm:prSet presAssocID="{C36A8D6F-24F2-4278-9AAF-62D3D9671F73}" presName="space" presStyleCnt="0"/>
      <dgm:spPr/>
    </dgm:pt>
    <dgm:pt modelId="{AE577C65-39B9-40FE-957B-AE9ABB2A7E4F}" type="pres">
      <dgm:prSet presAssocID="{3E48EA86-E193-4604-BB45-757C0833D72C}" presName="compositeB" presStyleCnt="0"/>
      <dgm:spPr/>
    </dgm:pt>
    <dgm:pt modelId="{F022612E-88B5-41F9-9518-18025559E2FD}" type="pres">
      <dgm:prSet presAssocID="{3E48EA86-E193-4604-BB45-757C0833D72C}" presName="textB" presStyleLbl="revTx" presStyleIdx="1" presStyleCnt="5" custScaleX="206901">
        <dgm:presLayoutVars>
          <dgm:bulletEnabled val="1"/>
        </dgm:presLayoutVars>
      </dgm:prSet>
      <dgm:spPr/>
    </dgm:pt>
    <dgm:pt modelId="{644092F2-A5C8-4746-9C58-D34A85B7E378}" type="pres">
      <dgm:prSet presAssocID="{3E48EA86-E193-4604-BB45-757C0833D72C}" presName="circleB" presStyleLbl="node1" presStyleIdx="1" presStyleCnt="5"/>
      <dgm:spPr/>
    </dgm:pt>
    <dgm:pt modelId="{1F0E7237-7A76-40AC-A737-D0FC88797416}" type="pres">
      <dgm:prSet presAssocID="{3E48EA86-E193-4604-BB45-757C0833D72C}" presName="spaceB" presStyleCnt="0"/>
      <dgm:spPr/>
    </dgm:pt>
    <dgm:pt modelId="{E581170F-0626-4BFF-BCA2-DED421BACF8D}" type="pres">
      <dgm:prSet presAssocID="{EE2B4DDC-B906-401B-9500-597868EAFC5F}" presName="space" presStyleCnt="0"/>
      <dgm:spPr/>
    </dgm:pt>
    <dgm:pt modelId="{8DFEB70D-C327-494E-BCFD-D7DE340A7CEA}" type="pres">
      <dgm:prSet presAssocID="{BE4D5C7B-AFD9-43D8-BD14-45305A3A518E}" presName="compositeA" presStyleCnt="0"/>
      <dgm:spPr/>
    </dgm:pt>
    <dgm:pt modelId="{4BAE3F64-588F-4EBF-B122-F74B691F9BCD}" type="pres">
      <dgm:prSet presAssocID="{BE4D5C7B-AFD9-43D8-BD14-45305A3A518E}" presName="textA" presStyleLbl="revTx" presStyleIdx="2" presStyleCnt="5" custScaleX="169219" custLinFactNeighborX="1371" custLinFactNeighborY="1683">
        <dgm:presLayoutVars>
          <dgm:bulletEnabled val="1"/>
        </dgm:presLayoutVars>
      </dgm:prSet>
      <dgm:spPr/>
    </dgm:pt>
    <dgm:pt modelId="{CF85CC75-BC29-431D-BBC0-D14F1D7DDA76}" type="pres">
      <dgm:prSet presAssocID="{BE4D5C7B-AFD9-43D8-BD14-45305A3A518E}" presName="circleA" presStyleLbl="node1" presStyleIdx="2" presStyleCnt="5"/>
      <dgm:spPr/>
    </dgm:pt>
    <dgm:pt modelId="{88891670-E8DE-4405-8756-76068BF06DF8}" type="pres">
      <dgm:prSet presAssocID="{BE4D5C7B-AFD9-43D8-BD14-45305A3A518E}" presName="spaceA" presStyleCnt="0"/>
      <dgm:spPr/>
    </dgm:pt>
    <dgm:pt modelId="{8314C8F4-2C53-4E9C-A766-A88DB160A02E}" type="pres">
      <dgm:prSet presAssocID="{D1946897-557F-464B-868E-895821F17840}" presName="space" presStyleCnt="0"/>
      <dgm:spPr/>
    </dgm:pt>
    <dgm:pt modelId="{06963501-2441-4BAE-A581-AA0E2314E218}" type="pres">
      <dgm:prSet presAssocID="{827EA19C-9545-4781-A1B7-833432051BA0}" presName="compositeB" presStyleCnt="0"/>
      <dgm:spPr/>
    </dgm:pt>
    <dgm:pt modelId="{B6178D9C-098B-46D0-B976-490B4C17D2C7}" type="pres">
      <dgm:prSet presAssocID="{827EA19C-9545-4781-A1B7-833432051BA0}" presName="textB" presStyleLbl="revTx" presStyleIdx="3" presStyleCnt="5" custScaleX="176514">
        <dgm:presLayoutVars>
          <dgm:bulletEnabled val="1"/>
        </dgm:presLayoutVars>
      </dgm:prSet>
      <dgm:spPr/>
    </dgm:pt>
    <dgm:pt modelId="{36F34B44-B0EF-4C9D-ACDA-0DE56E38EA1A}" type="pres">
      <dgm:prSet presAssocID="{827EA19C-9545-4781-A1B7-833432051BA0}" presName="circleB" presStyleLbl="node1" presStyleIdx="3" presStyleCnt="5"/>
      <dgm:spPr/>
    </dgm:pt>
    <dgm:pt modelId="{C61A401C-65DB-451E-BED7-611DDFBEBB38}" type="pres">
      <dgm:prSet presAssocID="{827EA19C-9545-4781-A1B7-833432051BA0}" presName="spaceB" presStyleCnt="0"/>
      <dgm:spPr/>
    </dgm:pt>
    <dgm:pt modelId="{BB4EFC6F-F45A-4509-BB82-674C2A72BE48}" type="pres">
      <dgm:prSet presAssocID="{3B62943E-9616-4FC2-8BAB-ACD1C3C23AC0}" presName="space" presStyleCnt="0"/>
      <dgm:spPr/>
    </dgm:pt>
    <dgm:pt modelId="{CAC4FFBC-F870-4864-AA00-FC0508B4E992}" type="pres">
      <dgm:prSet presAssocID="{B57E1F64-8940-410F-981D-AA35A05349EA}" presName="compositeA" presStyleCnt="0"/>
      <dgm:spPr/>
    </dgm:pt>
    <dgm:pt modelId="{594B32AB-70D6-4544-926F-E2689DAFEB13}" type="pres">
      <dgm:prSet presAssocID="{B57E1F64-8940-410F-981D-AA35A05349EA}" presName="textA" presStyleLbl="revTx" presStyleIdx="4" presStyleCnt="5" custScaleX="187233">
        <dgm:presLayoutVars>
          <dgm:bulletEnabled val="1"/>
        </dgm:presLayoutVars>
      </dgm:prSet>
      <dgm:spPr/>
    </dgm:pt>
    <dgm:pt modelId="{2B5DA891-B5F7-4E84-A247-CF8D15AF7F0A}" type="pres">
      <dgm:prSet presAssocID="{B57E1F64-8940-410F-981D-AA35A05349EA}" presName="circleA" presStyleLbl="node1" presStyleIdx="4" presStyleCnt="5"/>
      <dgm:spPr/>
    </dgm:pt>
    <dgm:pt modelId="{36787398-F022-432E-8828-EDD6C06D623B}" type="pres">
      <dgm:prSet presAssocID="{B57E1F64-8940-410F-981D-AA35A05349EA}" presName="spaceA" presStyleCnt="0"/>
      <dgm:spPr/>
    </dgm:pt>
  </dgm:ptLst>
  <dgm:cxnLst>
    <dgm:cxn modelId="{E1B83707-3D6B-41FE-BF2D-CEE973FB54B3}" srcId="{600DDBEE-075E-45FB-9A46-85EB3351C05F}" destId="{B57E1F64-8940-410F-981D-AA35A05349EA}" srcOrd="4" destOrd="0" parTransId="{50B71B2B-B967-4CE9-A4C1-A89AF16167DE}" sibTransId="{376609E3-A9CB-4D77-AA83-B754EC9BB397}"/>
    <dgm:cxn modelId="{1FECCD07-CAC7-479F-B46A-EBC178F6A884}" type="presOf" srcId="{B57E1F64-8940-410F-981D-AA35A05349EA}" destId="{594B32AB-70D6-4544-926F-E2689DAFEB13}" srcOrd="0" destOrd="0" presId="urn:microsoft.com/office/officeart/2005/8/layout/hProcess11"/>
    <dgm:cxn modelId="{EFCF7515-3296-4B0A-B308-F609A47ACCC2}" srcId="{600DDBEE-075E-45FB-9A46-85EB3351C05F}" destId="{827EA19C-9545-4781-A1B7-833432051BA0}" srcOrd="3" destOrd="0" parTransId="{55D77106-5920-4A44-B282-3EAFD36EA17C}" sibTransId="{3B62943E-9616-4FC2-8BAB-ACD1C3C23AC0}"/>
    <dgm:cxn modelId="{A8635E27-7E06-458C-9804-E9DF9673840D}" srcId="{600DDBEE-075E-45FB-9A46-85EB3351C05F}" destId="{3E48EA86-E193-4604-BB45-757C0833D72C}" srcOrd="1" destOrd="0" parTransId="{8E2C7CF7-991E-48B4-862E-9568013BBDB4}" sibTransId="{EE2B4DDC-B906-401B-9500-597868EAFC5F}"/>
    <dgm:cxn modelId="{410A5341-0BC5-494C-9C0E-B94500253A79}" srcId="{600DDBEE-075E-45FB-9A46-85EB3351C05F}" destId="{BE4D5C7B-AFD9-43D8-BD14-45305A3A518E}" srcOrd="2" destOrd="0" parTransId="{34D450F7-A2B5-451D-81A3-71480CD024AE}" sibTransId="{D1946897-557F-464B-868E-895821F17840}"/>
    <dgm:cxn modelId="{D1D00382-8370-4CB8-8105-0BDD1A06B854}" type="presOf" srcId="{827EA19C-9545-4781-A1B7-833432051BA0}" destId="{B6178D9C-098B-46D0-B976-490B4C17D2C7}" srcOrd="0" destOrd="0" presId="urn:microsoft.com/office/officeart/2005/8/layout/hProcess11"/>
    <dgm:cxn modelId="{A945DAA6-BB3F-4A58-9439-C0C9ED8242FD}" type="presOf" srcId="{1438E9CB-CFD3-4AC7-B5C2-542033701FFF}" destId="{463E00D1-6BDB-486F-98DC-5BD7539A734C}" srcOrd="0" destOrd="0" presId="urn:microsoft.com/office/officeart/2005/8/layout/hProcess11"/>
    <dgm:cxn modelId="{8D6AD2AB-21FE-41E1-950B-FBCB7567766F}" srcId="{600DDBEE-075E-45FB-9A46-85EB3351C05F}" destId="{1438E9CB-CFD3-4AC7-B5C2-542033701FFF}" srcOrd="0" destOrd="0" parTransId="{01527FB6-7C37-4755-8E21-EE764847B503}" sibTransId="{C36A8D6F-24F2-4278-9AAF-62D3D9671F73}"/>
    <dgm:cxn modelId="{448042D9-EA36-468A-9243-79A6DBB04976}" type="presOf" srcId="{BE4D5C7B-AFD9-43D8-BD14-45305A3A518E}" destId="{4BAE3F64-588F-4EBF-B122-F74B691F9BCD}" srcOrd="0" destOrd="0" presId="urn:microsoft.com/office/officeart/2005/8/layout/hProcess11"/>
    <dgm:cxn modelId="{D1BE93EA-123B-473D-83EC-B8EDCD08A6BC}" type="presOf" srcId="{3E48EA86-E193-4604-BB45-757C0833D72C}" destId="{F022612E-88B5-41F9-9518-18025559E2FD}" srcOrd="0" destOrd="0" presId="urn:microsoft.com/office/officeart/2005/8/layout/hProcess11"/>
    <dgm:cxn modelId="{BE74F8F8-B4B5-4D2F-9AD4-114C9F3487DF}" type="presOf" srcId="{600DDBEE-075E-45FB-9A46-85EB3351C05F}" destId="{D15D93D9-D145-41CA-B6FB-68AEC31373F0}" srcOrd="0" destOrd="0" presId="urn:microsoft.com/office/officeart/2005/8/layout/hProcess11"/>
    <dgm:cxn modelId="{91B9348C-1CAC-4993-AF02-78B2A3BE1691}" type="presParOf" srcId="{D15D93D9-D145-41CA-B6FB-68AEC31373F0}" destId="{CCCAD106-B6D6-4AF2-86DB-82DBD26D918A}" srcOrd="0" destOrd="0" presId="urn:microsoft.com/office/officeart/2005/8/layout/hProcess11"/>
    <dgm:cxn modelId="{9227C07E-6048-4DBD-B34D-B0F5204F46CE}" type="presParOf" srcId="{D15D93D9-D145-41CA-B6FB-68AEC31373F0}" destId="{6D2AF8AD-4953-4983-8AAB-BAC58AAAD2AE}" srcOrd="1" destOrd="0" presId="urn:microsoft.com/office/officeart/2005/8/layout/hProcess11"/>
    <dgm:cxn modelId="{27E1916C-ADF6-48D7-8274-CB9F53DCAC42}" type="presParOf" srcId="{6D2AF8AD-4953-4983-8AAB-BAC58AAAD2AE}" destId="{2DD841CD-CF31-4D41-AB22-2F823470FA49}" srcOrd="0" destOrd="0" presId="urn:microsoft.com/office/officeart/2005/8/layout/hProcess11"/>
    <dgm:cxn modelId="{9C07D69E-5808-46C0-B5F9-110409F7D09E}" type="presParOf" srcId="{2DD841CD-CF31-4D41-AB22-2F823470FA49}" destId="{463E00D1-6BDB-486F-98DC-5BD7539A734C}" srcOrd="0" destOrd="0" presId="urn:microsoft.com/office/officeart/2005/8/layout/hProcess11"/>
    <dgm:cxn modelId="{741380C7-52F2-43C4-8FEF-73BCCBB9C479}" type="presParOf" srcId="{2DD841CD-CF31-4D41-AB22-2F823470FA49}" destId="{850E09D3-64C2-4E37-BB56-1F7D8720B57E}" srcOrd="1" destOrd="0" presId="urn:microsoft.com/office/officeart/2005/8/layout/hProcess11"/>
    <dgm:cxn modelId="{0867F506-A768-4432-9F4B-08A1B591DC11}" type="presParOf" srcId="{2DD841CD-CF31-4D41-AB22-2F823470FA49}" destId="{D068D52F-381F-49CF-AA23-422431B041F7}" srcOrd="2" destOrd="0" presId="urn:microsoft.com/office/officeart/2005/8/layout/hProcess11"/>
    <dgm:cxn modelId="{7CA80683-1641-49B2-9FE0-0599A8240796}" type="presParOf" srcId="{6D2AF8AD-4953-4983-8AAB-BAC58AAAD2AE}" destId="{CC0B00FC-2FA4-47A2-9C00-58E4C8EAC357}" srcOrd="1" destOrd="0" presId="urn:microsoft.com/office/officeart/2005/8/layout/hProcess11"/>
    <dgm:cxn modelId="{D8F990DA-81FD-4A45-A25C-939A2E3100FB}" type="presParOf" srcId="{6D2AF8AD-4953-4983-8AAB-BAC58AAAD2AE}" destId="{AE577C65-39B9-40FE-957B-AE9ABB2A7E4F}" srcOrd="2" destOrd="0" presId="urn:microsoft.com/office/officeart/2005/8/layout/hProcess11"/>
    <dgm:cxn modelId="{EDE8BC4E-9D4A-4696-BB5C-E68AB787523F}" type="presParOf" srcId="{AE577C65-39B9-40FE-957B-AE9ABB2A7E4F}" destId="{F022612E-88B5-41F9-9518-18025559E2FD}" srcOrd="0" destOrd="0" presId="urn:microsoft.com/office/officeart/2005/8/layout/hProcess11"/>
    <dgm:cxn modelId="{788E7F34-6077-420B-B642-F027BA5D9330}" type="presParOf" srcId="{AE577C65-39B9-40FE-957B-AE9ABB2A7E4F}" destId="{644092F2-A5C8-4746-9C58-D34A85B7E378}" srcOrd="1" destOrd="0" presId="urn:microsoft.com/office/officeart/2005/8/layout/hProcess11"/>
    <dgm:cxn modelId="{1FADF2A0-4229-4D3D-83CD-5205BE002925}" type="presParOf" srcId="{AE577C65-39B9-40FE-957B-AE9ABB2A7E4F}" destId="{1F0E7237-7A76-40AC-A737-D0FC88797416}" srcOrd="2" destOrd="0" presId="urn:microsoft.com/office/officeart/2005/8/layout/hProcess11"/>
    <dgm:cxn modelId="{0ABA852C-0909-44D7-8A7B-A9DF98B5F60A}" type="presParOf" srcId="{6D2AF8AD-4953-4983-8AAB-BAC58AAAD2AE}" destId="{E581170F-0626-4BFF-BCA2-DED421BACF8D}" srcOrd="3" destOrd="0" presId="urn:microsoft.com/office/officeart/2005/8/layout/hProcess11"/>
    <dgm:cxn modelId="{8F744CA7-A9AE-4923-8722-6F52F52BE486}" type="presParOf" srcId="{6D2AF8AD-4953-4983-8AAB-BAC58AAAD2AE}" destId="{8DFEB70D-C327-494E-BCFD-D7DE340A7CEA}" srcOrd="4" destOrd="0" presId="urn:microsoft.com/office/officeart/2005/8/layout/hProcess11"/>
    <dgm:cxn modelId="{AE7368F9-7102-447B-90EB-731CBF1DF9AB}" type="presParOf" srcId="{8DFEB70D-C327-494E-BCFD-D7DE340A7CEA}" destId="{4BAE3F64-588F-4EBF-B122-F74B691F9BCD}" srcOrd="0" destOrd="0" presId="urn:microsoft.com/office/officeart/2005/8/layout/hProcess11"/>
    <dgm:cxn modelId="{551DF23C-2AC4-4C1D-8DB6-999FAF6CA948}" type="presParOf" srcId="{8DFEB70D-C327-494E-BCFD-D7DE340A7CEA}" destId="{CF85CC75-BC29-431D-BBC0-D14F1D7DDA76}" srcOrd="1" destOrd="0" presId="urn:microsoft.com/office/officeart/2005/8/layout/hProcess11"/>
    <dgm:cxn modelId="{236A4475-FA72-4207-B0F0-1984EFE6FE4A}" type="presParOf" srcId="{8DFEB70D-C327-494E-BCFD-D7DE340A7CEA}" destId="{88891670-E8DE-4405-8756-76068BF06DF8}" srcOrd="2" destOrd="0" presId="urn:microsoft.com/office/officeart/2005/8/layout/hProcess11"/>
    <dgm:cxn modelId="{6482E0AF-888D-40A6-9C82-60F659A7111B}" type="presParOf" srcId="{6D2AF8AD-4953-4983-8AAB-BAC58AAAD2AE}" destId="{8314C8F4-2C53-4E9C-A766-A88DB160A02E}" srcOrd="5" destOrd="0" presId="urn:microsoft.com/office/officeart/2005/8/layout/hProcess11"/>
    <dgm:cxn modelId="{4C7099F4-B139-4F8A-B416-A62A6C404278}" type="presParOf" srcId="{6D2AF8AD-4953-4983-8AAB-BAC58AAAD2AE}" destId="{06963501-2441-4BAE-A581-AA0E2314E218}" srcOrd="6" destOrd="0" presId="urn:microsoft.com/office/officeart/2005/8/layout/hProcess11"/>
    <dgm:cxn modelId="{9632BFC2-13AE-4328-A424-E041BBE924D8}" type="presParOf" srcId="{06963501-2441-4BAE-A581-AA0E2314E218}" destId="{B6178D9C-098B-46D0-B976-490B4C17D2C7}" srcOrd="0" destOrd="0" presId="urn:microsoft.com/office/officeart/2005/8/layout/hProcess11"/>
    <dgm:cxn modelId="{FFB4B13C-560C-4708-BBE8-4A831E56440C}" type="presParOf" srcId="{06963501-2441-4BAE-A581-AA0E2314E218}" destId="{36F34B44-B0EF-4C9D-ACDA-0DE56E38EA1A}" srcOrd="1" destOrd="0" presId="urn:microsoft.com/office/officeart/2005/8/layout/hProcess11"/>
    <dgm:cxn modelId="{095DBA83-3764-47D5-A5B4-D58AF1AF5EAF}" type="presParOf" srcId="{06963501-2441-4BAE-A581-AA0E2314E218}" destId="{C61A401C-65DB-451E-BED7-611DDFBEBB38}" srcOrd="2" destOrd="0" presId="urn:microsoft.com/office/officeart/2005/8/layout/hProcess11"/>
    <dgm:cxn modelId="{B14C9571-46C5-4B7A-B28D-7065650C3532}" type="presParOf" srcId="{6D2AF8AD-4953-4983-8AAB-BAC58AAAD2AE}" destId="{BB4EFC6F-F45A-4509-BB82-674C2A72BE48}" srcOrd="7" destOrd="0" presId="urn:microsoft.com/office/officeart/2005/8/layout/hProcess11"/>
    <dgm:cxn modelId="{B4FD24A3-2C2C-4342-AB2C-FD76FF1ACB7D}" type="presParOf" srcId="{6D2AF8AD-4953-4983-8AAB-BAC58AAAD2AE}" destId="{CAC4FFBC-F870-4864-AA00-FC0508B4E992}" srcOrd="8" destOrd="0" presId="urn:microsoft.com/office/officeart/2005/8/layout/hProcess11"/>
    <dgm:cxn modelId="{506CA030-F901-4077-AB39-DC9336452D9C}" type="presParOf" srcId="{CAC4FFBC-F870-4864-AA00-FC0508B4E992}" destId="{594B32AB-70D6-4544-926F-E2689DAFEB13}" srcOrd="0" destOrd="0" presId="urn:microsoft.com/office/officeart/2005/8/layout/hProcess11"/>
    <dgm:cxn modelId="{7EF6C5B9-8C90-4422-B67C-D7B1439D93B2}" type="presParOf" srcId="{CAC4FFBC-F870-4864-AA00-FC0508B4E992}" destId="{2B5DA891-B5F7-4E84-A247-CF8D15AF7F0A}" srcOrd="1" destOrd="0" presId="urn:microsoft.com/office/officeart/2005/8/layout/hProcess11"/>
    <dgm:cxn modelId="{00343148-27DC-477A-A12A-A272F62FAB75}" type="presParOf" srcId="{CAC4FFBC-F870-4864-AA00-FC0508B4E992}" destId="{36787398-F022-432E-8828-EDD6C06D623B}" srcOrd="2" destOrd="0" presId="urn:microsoft.com/office/officeart/2005/8/layout/hProcess1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CAD106-B6D6-4AF2-86DB-82DBD26D918A}">
      <dsp:nvSpPr>
        <dsp:cNvPr id="0" name=""/>
        <dsp:cNvSpPr/>
      </dsp:nvSpPr>
      <dsp:spPr>
        <a:xfrm>
          <a:off x="0" y="925258"/>
          <a:ext cx="5577205" cy="1233678"/>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63E00D1-6BDB-486F-98DC-5BD7539A734C}">
      <dsp:nvSpPr>
        <dsp:cNvPr id="0" name=""/>
        <dsp:cNvSpPr/>
      </dsp:nvSpPr>
      <dsp:spPr>
        <a:xfrm>
          <a:off x="707" y="0"/>
          <a:ext cx="1041901" cy="12336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rtl="0">
            <a:lnSpc>
              <a:spcPct val="90000"/>
            </a:lnSpc>
            <a:spcBef>
              <a:spcPct val="0"/>
            </a:spcBef>
            <a:spcAft>
              <a:spcPct val="35000"/>
            </a:spcAft>
            <a:buNone/>
          </a:pPr>
          <a:r>
            <a:rPr lang="he-IL" sz="1000" b="0" kern="1200">
              <a:cs typeface="+mj-cs"/>
            </a:rPr>
            <a:t> </a:t>
          </a:r>
          <a:r>
            <a:rPr lang="en-US" sz="1000" kern="1200">
              <a:cs typeface="+mj-cs"/>
            </a:rPr>
            <a:t>League of Nations entrusted Great Britain with the Mandate for Palestine</a:t>
          </a:r>
        </a:p>
        <a:p>
          <a:pPr marL="0" lvl="0" indent="0" algn="ctr" defTabSz="444500" rtl="0">
            <a:lnSpc>
              <a:spcPct val="90000"/>
            </a:lnSpc>
            <a:spcBef>
              <a:spcPct val="0"/>
            </a:spcBef>
            <a:spcAft>
              <a:spcPct val="35000"/>
            </a:spcAft>
            <a:buNone/>
          </a:pPr>
          <a:r>
            <a:rPr lang="en-US" sz="1000" b="1" kern="1200">
              <a:cs typeface="+mj-cs"/>
            </a:rPr>
            <a:t>1922</a:t>
          </a:r>
          <a:endParaRPr lang="he-IL" sz="1000" b="1" kern="1200">
            <a:cs typeface="+mj-cs"/>
          </a:endParaRPr>
        </a:p>
      </dsp:txBody>
      <dsp:txXfrm>
        <a:off x="707" y="0"/>
        <a:ext cx="1041901" cy="1233678"/>
      </dsp:txXfrm>
    </dsp:sp>
    <dsp:sp modelId="{850E09D3-64C2-4E37-BB56-1F7D8720B57E}">
      <dsp:nvSpPr>
        <dsp:cNvPr id="0" name=""/>
        <dsp:cNvSpPr/>
      </dsp:nvSpPr>
      <dsp:spPr>
        <a:xfrm>
          <a:off x="367448" y="1387887"/>
          <a:ext cx="308419" cy="3084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22612E-88B5-41F9-9518-18025559E2FD}">
      <dsp:nvSpPr>
        <dsp:cNvPr id="0" name=""/>
        <dsp:cNvSpPr/>
      </dsp:nvSpPr>
      <dsp:spPr>
        <a:xfrm>
          <a:off x="1068773" y="1850517"/>
          <a:ext cx="1082653" cy="12336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rtl="0">
            <a:lnSpc>
              <a:spcPct val="90000"/>
            </a:lnSpc>
            <a:spcBef>
              <a:spcPct val="0"/>
            </a:spcBef>
            <a:spcAft>
              <a:spcPct val="35000"/>
            </a:spcAft>
            <a:buNone/>
          </a:pPr>
          <a:r>
            <a:rPr lang="en-US" sz="1000" b="1" kern="1200">
              <a:cs typeface="+mj-cs"/>
            </a:rPr>
            <a:t>1948</a:t>
          </a:r>
          <a:endParaRPr lang="en-US" sz="1000" kern="1200">
            <a:cs typeface="+mj-cs"/>
          </a:endParaRPr>
        </a:p>
        <a:p>
          <a:pPr marL="0" lvl="0" indent="0" algn="ctr" defTabSz="444500" rtl="0">
            <a:lnSpc>
              <a:spcPct val="90000"/>
            </a:lnSpc>
            <a:spcBef>
              <a:spcPct val="0"/>
            </a:spcBef>
            <a:spcAft>
              <a:spcPct val="35000"/>
            </a:spcAft>
            <a:buNone/>
          </a:pPr>
          <a:r>
            <a:rPr lang="en-US" sz="1000" kern="1200">
              <a:cs typeface="+mj-cs"/>
            </a:rPr>
            <a:t>Israel </a:t>
          </a:r>
          <a:r>
            <a:rPr lang="en-US" sz="1000" b="0" i="0" kern="1200">
              <a:cs typeface="+mj-cs"/>
            </a:rPr>
            <a:t>independence and t</a:t>
          </a:r>
          <a:r>
            <a:rPr lang="en-US" sz="1000" kern="1200">
              <a:cs typeface="+mj-cs"/>
            </a:rPr>
            <a:t>he first Arab-Israeli war: Jordan annexed West Bank and Egypt occupied Gaza Strip.                       </a:t>
          </a:r>
          <a:endParaRPr lang="he-IL" sz="1000" b="1" kern="1200">
            <a:cs typeface="+mj-cs"/>
          </a:endParaRPr>
        </a:p>
      </dsp:txBody>
      <dsp:txXfrm>
        <a:off x="1068773" y="1850517"/>
        <a:ext cx="1082653" cy="1233678"/>
      </dsp:txXfrm>
    </dsp:sp>
    <dsp:sp modelId="{644092F2-A5C8-4746-9C58-D34A85B7E378}">
      <dsp:nvSpPr>
        <dsp:cNvPr id="0" name=""/>
        <dsp:cNvSpPr/>
      </dsp:nvSpPr>
      <dsp:spPr>
        <a:xfrm>
          <a:off x="1455890" y="1387887"/>
          <a:ext cx="308419" cy="3084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AE3F64-588F-4EBF-B122-F74B691F9BCD}">
      <dsp:nvSpPr>
        <dsp:cNvPr id="0" name=""/>
        <dsp:cNvSpPr/>
      </dsp:nvSpPr>
      <dsp:spPr>
        <a:xfrm>
          <a:off x="2184764" y="20762"/>
          <a:ext cx="885474" cy="12336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rtl="0">
            <a:lnSpc>
              <a:spcPct val="90000"/>
            </a:lnSpc>
            <a:spcBef>
              <a:spcPct val="0"/>
            </a:spcBef>
            <a:spcAft>
              <a:spcPct val="35000"/>
            </a:spcAft>
            <a:buNone/>
          </a:pPr>
          <a:r>
            <a:rPr lang="en-US" sz="1000" kern="1200">
              <a:cs typeface="+mj-cs"/>
            </a:rPr>
            <a:t>The WBG came under Israeli control during the Six-Day War                        </a:t>
          </a:r>
          <a:r>
            <a:rPr lang="en-US" sz="1000" b="1" kern="1200">
              <a:cs typeface="+mj-cs"/>
            </a:rPr>
            <a:t>1967</a:t>
          </a:r>
          <a:endParaRPr lang="he-IL" sz="1000" b="1" kern="1200">
            <a:cs typeface="+mj-cs"/>
          </a:endParaRPr>
        </a:p>
      </dsp:txBody>
      <dsp:txXfrm>
        <a:off x="2184764" y="20762"/>
        <a:ext cx="885474" cy="1233678"/>
      </dsp:txXfrm>
    </dsp:sp>
    <dsp:sp modelId="{CF85CC75-BC29-431D-BBC0-D14F1D7DDA76}">
      <dsp:nvSpPr>
        <dsp:cNvPr id="0" name=""/>
        <dsp:cNvSpPr/>
      </dsp:nvSpPr>
      <dsp:spPr>
        <a:xfrm>
          <a:off x="2466118" y="1387887"/>
          <a:ext cx="308419" cy="3084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178D9C-098B-46D0-B976-490B4C17D2C7}">
      <dsp:nvSpPr>
        <dsp:cNvPr id="0" name=""/>
        <dsp:cNvSpPr/>
      </dsp:nvSpPr>
      <dsp:spPr>
        <a:xfrm>
          <a:off x="3089228" y="1850517"/>
          <a:ext cx="923647" cy="12336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rtl="0">
            <a:lnSpc>
              <a:spcPct val="90000"/>
            </a:lnSpc>
            <a:spcBef>
              <a:spcPct val="0"/>
            </a:spcBef>
            <a:spcAft>
              <a:spcPct val="35000"/>
            </a:spcAft>
            <a:buNone/>
          </a:pPr>
          <a:r>
            <a:rPr lang="en-US" sz="1000" b="1" kern="1200">
              <a:cs typeface="+mj-cs"/>
            </a:rPr>
            <a:t>1993</a:t>
          </a:r>
          <a:endParaRPr lang="en-US" sz="1000" kern="1200">
            <a:cs typeface="+mj-cs"/>
          </a:endParaRPr>
        </a:p>
        <a:p>
          <a:pPr marL="0" lvl="0" indent="0" algn="ctr" defTabSz="444500" rtl="0">
            <a:lnSpc>
              <a:spcPct val="90000"/>
            </a:lnSpc>
            <a:spcBef>
              <a:spcPct val="0"/>
            </a:spcBef>
            <a:spcAft>
              <a:spcPct val="35000"/>
            </a:spcAft>
            <a:buNone/>
          </a:pPr>
          <a:r>
            <a:rPr lang="en-US" sz="1000" kern="1200">
              <a:cs typeface="+mj-cs"/>
            </a:rPr>
            <a:t>The Oslo Accords and the creation of the Palestinian National Authority</a:t>
          </a:r>
          <a:endParaRPr lang="he-IL" sz="1000" b="1" kern="1200">
            <a:cs typeface="+mj-cs"/>
          </a:endParaRPr>
        </a:p>
      </dsp:txBody>
      <dsp:txXfrm>
        <a:off x="3089228" y="1850517"/>
        <a:ext cx="923647" cy="1233678"/>
      </dsp:txXfrm>
    </dsp:sp>
    <dsp:sp modelId="{36F34B44-B0EF-4C9D-ACDA-0DE56E38EA1A}">
      <dsp:nvSpPr>
        <dsp:cNvPr id="0" name=""/>
        <dsp:cNvSpPr/>
      </dsp:nvSpPr>
      <dsp:spPr>
        <a:xfrm>
          <a:off x="3396842" y="1387887"/>
          <a:ext cx="308419" cy="3084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4B32AB-70D6-4544-926F-E2689DAFEB13}">
      <dsp:nvSpPr>
        <dsp:cNvPr id="0" name=""/>
        <dsp:cNvSpPr/>
      </dsp:nvSpPr>
      <dsp:spPr>
        <a:xfrm>
          <a:off x="4039039" y="0"/>
          <a:ext cx="979736" cy="12336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rtl="0">
            <a:lnSpc>
              <a:spcPct val="90000"/>
            </a:lnSpc>
            <a:spcBef>
              <a:spcPct val="0"/>
            </a:spcBef>
            <a:spcAft>
              <a:spcPct val="35000"/>
            </a:spcAft>
            <a:buNone/>
          </a:pPr>
          <a:r>
            <a:rPr lang="en-US" sz="1000" kern="1200">
              <a:cs typeface="+mj-cs"/>
            </a:rPr>
            <a:t>Israel disengages from Gaza Strip and Hamas </a:t>
          </a:r>
          <a:r>
            <a:rPr lang="en-US" sz="1000" b="0" kern="1200">
              <a:cs typeface="+mj-cs"/>
            </a:rPr>
            <a:t>electoral victory</a:t>
          </a:r>
        </a:p>
        <a:p>
          <a:pPr marL="0" lvl="0" indent="0" algn="ctr" defTabSz="444500" rtl="0">
            <a:lnSpc>
              <a:spcPct val="90000"/>
            </a:lnSpc>
            <a:spcBef>
              <a:spcPct val="0"/>
            </a:spcBef>
            <a:spcAft>
              <a:spcPct val="35000"/>
            </a:spcAft>
            <a:buNone/>
          </a:pPr>
          <a:r>
            <a:rPr lang="en-US" sz="1000" b="1" kern="1200">
              <a:cs typeface="+mj-cs"/>
            </a:rPr>
            <a:t>2005</a:t>
          </a:r>
          <a:r>
            <a:rPr lang="en-US" sz="1000" kern="1200">
              <a:cs typeface="+mj-cs"/>
            </a:rPr>
            <a:t> </a:t>
          </a:r>
          <a:endParaRPr lang="he-IL" sz="1000" kern="1200">
            <a:cs typeface="+mj-cs"/>
          </a:endParaRPr>
        </a:p>
      </dsp:txBody>
      <dsp:txXfrm>
        <a:off x="4039039" y="0"/>
        <a:ext cx="979736" cy="1233678"/>
      </dsp:txXfrm>
    </dsp:sp>
    <dsp:sp modelId="{2B5DA891-B5F7-4E84-A247-CF8D15AF7F0A}">
      <dsp:nvSpPr>
        <dsp:cNvPr id="0" name=""/>
        <dsp:cNvSpPr/>
      </dsp:nvSpPr>
      <dsp:spPr>
        <a:xfrm>
          <a:off x="4374698" y="1387887"/>
          <a:ext cx="308419" cy="3084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0.17608</cdr:x>
      <cdr:y>0.00174</cdr:y>
    </cdr:from>
    <cdr:to>
      <cdr:x>0.79032</cdr:x>
      <cdr:y>0.19271</cdr:y>
    </cdr:to>
    <cdr:sp macro="" textlink="">
      <cdr:nvSpPr>
        <cdr:cNvPr id="2" name="TextBox 1"/>
        <cdr:cNvSpPr txBox="1"/>
      </cdr:nvSpPr>
      <cdr:spPr>
        <a:xfrm xmlns:a="http://schemas.openxmlformats.org/drawingml/2006/main">
          <a:off x="1247774" y="4764"/>
          <a:ext cx="4352925" cy="52387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en-US" sz="1000" b="1">
            <a:solidFill>
              <a:srgbClr val="0000E1"/>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A5E00-9AC7-4753-8035-B772B8536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26454</Words>
  <Characters>144439</Characters>
  <Application>Microsoft Office Word</Application>
  <DocSecurity>0</DocSecurity>
  <Lines>3139</Lines>
  <Paragraphs>1345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169548</CharactersWithSpaces>
  <SharedDoc>false</SharedDoc>
  <HLinks>
    <vt:vector size="156" baseType="variant">
      <vt:variant>
        <vt:i4>8126522</vt:i4>
      </vt:variant>
      <vt:variant>
        <vt:i4>12</vt:i4>
      </vt:variant>
      <vt:variant>
        <vt:i4>0</vt:i4>
      </vt:variant>
      <vt:variant>
        <vt:i4>5</vt:i4>
      </vt:variant>
      <vt:variant>
        <vt:lpwstr>http://cm.mkt.lcap.cd/</vt:lpwstr>
      </vt:variant>
      <vt:variant>
        <vt:lpwstr/>
      </vt:variant>
      <vt:variant>
        <vt:i4>7798905</vt:i4>
      </vt:variant>
      <vt:variant>
        <vt:i4>9</vt:i4>
      </vt:variant>
      <vt:variant>
        <vt:i4>0</vt:i4>
      </vt:variant>
      <vt:variant>
        <vt:i4>5</vt:i4>
      </vt:variant>
      <vt:variant>
        <vt:lpwstr>https://data.worldbank.org/indicator/IT.NET.BBND.P2?locations=IL-PS</vt:lpwstr>
      </vt:variant>
      <vt:variant>
        <vt:lpwstr/>
      </vt:variant>
      <vt:variant>
        <vt:i4>7995428</vt:i4>
      </vt:variant>
      <vt:variant>
        <vt:i4>6</vt:i4>
      </vt:variant>
      <vt:variant>
        <vt:i4>0</vt:i4>
      </vt:variant>
      <vt:variant>
        <vt:i4>5</vt:i4>
      </vt:variant>
      <vt:variant>
        <vt:lpwstr>https://data.worldbank.org/indicator/IT.NET.USER.ZS?locations=IL-PS</vt:lpwstr>
      </vt:variant>
      <vt:variant>
        <vt:lpwstr/>
      </vt:variant>
      <vt:variant>
        <vt:i4>6750311</vt:i4>
      </vt:variant>
      <vt:variant>
        <vt:i4>3</vt:i4>
      </vt:variant>
      <vt:variant>
        <vt:i4>0</vt:i4>
      </vt:variant>
      <vt:variant>
        <vt:i4>5</vt:i4>
      </vt:variant>
      <vt:variant>
        <vt:lpwstr>https://data.worldbank.org/indicator/IT.CEL.SETS.P2?locations=IL-PS</vt:lpwstr>
      </vt:variant>
      <vt:variant>
        <vt:lpwstr/>
      </vt:variant>
      <vt:variant>
        <vt:i4>4522032</vt:i4>
      </vt:variant>
      <vt:variant>
        <vt:i4>0</vt:i4>
      </vt:variant>
      <vt:variant>
        <vt:i4>0</vt:i4>
      </vt:variant>
      <vt:variant>
        <vt:i4>5</vt:i4>
      </vt:variant>
      <vt:variant>
        <vt:lpwstr>https://fs.knesset.gov.il/globaldocs/MMM/302ae8cf-a7b3-e511-80d0-00155d0acb9e/2_302ae8cf-a7b3-e511-80d0-00155d0acb9e_11_10394.pdf</vt:lpwstr>
      </vt:variant>
      <vt:variant>
        <vt:lpwstr/>
      </vt:variant>
      <vt:variant>
        <vt:i4>7667814</vt:i4>
      </vt:variant>
      <vt:variant>
        <vt:i4>66</vt:i4>
      </vt:variant>
      <vt:variant>
        <vt:i4>0</vt:i4>
      </vt:variant>
      <vt:variant>
        <vt:i4>5</vt:i4>
      </vt:variant>
      <vt:variant>
        <vt:lpwstr>mailto:https://www.pma.ps/ar/%D8%A7%D9%84%D8%A5%D8%B9%D9%84%D8%A7%D9%85/%D8%A8%D9%8A%D8%A7%D9%86%D8%A7%D8%AA-%D8%B5%D8%AD%D9%81%D9%8A%D8%A9/%D9%85%D8%AD%D8%A7%D9%81%D8%B8-%D8%B3%D9%84%D8%B7%D8%A9-%D8%A7%D9%84%D9%86%D9%82%D8%AF-%D8%A5%D9%86%D8%B4%D8%A7%D8%A1-%D8%A7%D9%84%D8%B4%D8%B1%D9%83%D8%A9-%D8%A7%D9%84%D9%81%D9%84%D8%B3%D8%B7%D9%8A%D9%86%D9%8A%D8%A9-%D8%A7%D9%84%D9%85%D8%B1%D8%A7%D8%B3%D9%84%D8%A9-%D9%84%D8%AA%D8%B3%D9%87%D9%8A%D9%84-%D8%AA%D9%86%D9%81%D9%8A%D8%B0-%D8%A7%D9%84%D9%85%D8%B9%D8%A7%D9%85%D9%84%D8%A7%D8%AA-%D8%A7%D9%84%D9%85%D8%A7%D9%84%D9%8A%D8%A9</vt:lpwstr>
      </vt:variant>
      <vt:variant>
        <vt:lpwstr/>
      </vt:variant>
      <vt:variant>
        <vt:i4>327739</vt:i4>
      </vt:variant>
      <vt:variant>
        <vt:i4>63</vt:i4>
      </vt:variant>
      <vt:variant>
        <vt:i4>0</vt:i4>
      </vt:variant>
      <vt:variant>
        <vt:i4>5</vt:i4>
      </vt:variant>
      <vt:variant>
        <vt:lpwstr>mailto:https://www.gov.il/he/departments/policies/dec4207_2018</vt:lpwstr>
      </vt:variant>
      <vt:variant>
        <vt:lpwstr/>
      </vt:variant>
      <vt:variant>
        <vt:i4>393287</vt:i4>
      </vt:variant>
      <vt:variant>
        <vt:i4>60</vt:i4>
      </vt:variant>
      <vt:variant>
        <vt:i4>0</vt:i4>
      </vt:variant>
      <vt:variant>
        <vt:i4>5</vt:i4>
      </vt:variant>
      <vt:variant>
        <vt:lpwstr>mailto:https://www.haaretz.co.il/news/politics/1.3425881</vt:lpwstr>
      </vt:variant>
      <vt:variant>
        <vt:lpwstr/>
      </vt:variant>
      <vt:variant>
        <vt:i4>458764</vt:i4>
      </vt:variant>
      <vt:variant>
        <vt:i4>57</vt:i4>
      </vt:variant>
      <vt:variant>
        <vt:i4>0</vt:i4>
      </vt:variant>
      <vt:variant>
        <vt:i4>5</vt:i4>
      </vt:variant>
      <vt:variant>
        <vt:lpwstr>mailto:https://www.globes.co.il/news/article.aspx?did=1001236634</vt:lpwstr>
      </vt:variant>
      <vt:variant>
        <vt:lpwstr/>
      </vt:variant>
      <vt:variant>
        <vt:i4>4980826</vt:i4>
      </vt:variant>
      <vt:variant>
        <vt:i4>54</vt:i4>
      </vt:variant>
      <vt:variant>
        <vt:i4>0</vt:i4>
      </vt:variant>
      <vt:variant>
        <vt:i4>5</vt:i4>
      </vt:variant>
      <vt:variant>
        <vt:lpwstr>mailto:http://www.fatf-gafi.org/media/fatf/documents/reports/Guidance-Correspondent-Banking-Services.pdf</vt:lpwstr>
      </vt:variant>
      <vt:variant>
        <vt:lpwstr/>
      </vt:variant>
      <vt:variant>
        <vt:i4>6160411</vt:i4>
      </vt:variant>
      <vt:variant>
        <vt:i4>51</vt:i4>
      </vt:variant>
      <vt:variant>
        <vt:i4>0</vt:i4>
      </vt:variant>
      <vt:variant>
        <vt:i4>5</vt:i4>
      </vt:variant>
      <vt:variant>
        <vt:lpwstr>https://www.imf.org/en/Countries/ResRep/WBG/News-Archive</vt:lpwstr>
      </vt:variant>
      <vt:variant>
        <vt:lpwstr/>
      </vt:variant>
      <vt:variant>
        <vt:i4>2752556</vt:i4>
      </vt:variant>
      <vt:variant>
        <vt:i4>48</vt:i4>
      </vt:variant>
      <vt:variant>
        <vt:i4>0</vt:i4>
      </vt:variant>
      <vt:variant>
        <vt:i4>5</vt:i4>
      </vt:variant>
      <vt:variant>
        <vt:lpwstr>mailto:https://www.imf.org/en/Publications/Policy-Papers/Issues/2017/04/21/recent-trends-in-correspondent-banking-relationships-further-considerations</vt:lpwstr>
      </vt:variant>
      <vt:variant>
        <vt:lpwstr/>
      </vt:variant>
      <vt:variant>
        <vt:i4>8192099</vt:i4>
      </vt:variant>
      <vt:variant>
        <vt:i4>45</vt:i4>
      </vt:variant>
      <vt:variant>
        <vt:i4>0</vt:i4>
      </vt:variant>
      <vt:variant>
        <vt:i4>5</vt:i4>
      </vt:variant>
      <vt:variant>
        <vt:lpwstr>https://www.timesofisrael.com/israel-authorizes-3000-additional-entry-permits-for-gaza-workers/</vt:lpwstr>
      </vt:variant>
      <vt:variant>
        <vt:lpwstr/>
      </vt:variant>
      <vt:variant>
        <vt:i4>8126502</vt:i4>
      </vt:variant>
      <vt:variant>
        <vt:i4>42</vt:i4>
      </vt:variant>
      <vt:variant>
        <vt:i4>0</vt:i4>
      </vt:variant>
      <vt:variant>
        <vt:i4>5</vt:i4>
      </vt:variant>
      <vt:variant>
        <vt:lpwstr>https://www.gov.il/en/departments/news/exportingfoodmanufacturedfromthegazastripheb</vt:lpwstr>
      </vt:variant>
      <vt:variant>
        <vt:lpwstr/>
      </vt:variant>
      <vt:variant>
        <vt:i4>5832797</vt:i4>
      </vt:variant>
      <vt:variant>
        <vt:i4>39</vt:i4>
      </vt:variant>
      <vt:variant>
        <vt:i4>0</vt:i4>
      </vt:variant>
      <vt:variant>
        <vt:i4>5</vt:i4>
      </vt:variant>
      <vt:variant>
        <vt:lpwstr>https://www.gov.il/en/departments/news/1standards</vt:lpwstr>
      </vt:variant>
      <vt:variant>
        <vt:lpwstr/>
      </vt:variant>
      <vt:variant>
        <vt:i4>393305</vt:i4>
      </vt:variant>
      <vt:variant>
        <vt:i4>36</vt:i4>
      </vt:variant>
      <vt:variant>
        <vt:i4>0</vt:i4>
      </vt:variant>
      <vt:variant>
        <vt:i4>5</vt:i4>
      </vt:variant>
      <vt:variant>
        <vt:lpwstr>https://www.timesofisrael.com/in-first-government-approves-small-quota-of-tech-work-permits-for-palestinians/</vt:lpwstr>
      </vt:variant>
      <vt:variant>
        <vt:lpwstr/>
      </vt:variant>
      <vt:variant>
        <vt:i4>4390992</vt:i4>
      </vt:variant>
      <vt:variant>
        <vt:i4>33</vt:i4>
      </vt:variant>
      <vt:variant>
        <vt:i4>0</vt:i4>
      </vt:variant>
      <vt:variant>
        <vt:i4>5</vt:i4>
      </vt:variant>
      <vt:variant>
        <vt:lpwstr>https://www.globes.co.il/news/article.aspx?did=1001272325</vt:lpwstr>
      </vt:variant>
      <vt:variant>
        <vt:lpwstr/>
      </vt:variant>
      <vt:variant>
        <vt:i4>8257568</vt:i4>
      </vt:variant>
      <vt:variant>
        <vt:i4>30</vt:i4>
      </vt:variant>
      <vt:variant>
        <vt:i4>0</vt:i4>
      </vt:variant>
      <vt:variant>
        <vt:i4>5</vt:i4>
      </vt:variant>
      <vt:variant>
        <vt:lpwstr>https://www.idf.il/en/minisites/wars-and-operations/operation-guardian-of-the-walls/operation-guardian-of-the-walls-1/</vt:lpwstr>
      </vt:variant>
      <vt:variant>
        <vt:lpwstr/>
      </vt:variant>
      <vt:variant>
        <vt:i4>3407981</vt:i4>
      </vt:variant>
      <vt:variant>
        <vt:i4>27</vt:i4>
      </vt:variant>
      <vt:variant>
        <vt:i4>0</vt:i4>
      </vt:variant>
      <vt:variant>
        <vt:i4>5</vt:i4>
      </vt:variant>
      <vt:variant>
        <vt:lpwstr>https://www.gov.il/en/Departments/General/operation-protective-edge-full-report</vt:lpwstr>
      </vt:variant>
      <vt:variant>
        <vt:lpwstr/>
      </vt:variant>
      <vt:variant>
        <vt:i4>4390929</vt:i4>
      </vt:variant>
      <vt:variant>
        <vt:i4>24</vt:i4>
      </vt:variant>
      <vt:variant>
        <vt:i4>0</vt:i4>
      </vt:variant>
      <vt:variant>
        <vt:i4>5</vt:i4>
      </vt:variant>
      <vt:variant>
        <vt:lpwstr>https://www.idf.il/en/minisites/wars-and-operations/operation-pillar-of-defence/operation-pillar-of-defense/</vt:lpwstr>
      </vt:variant>
      <vt:variant>
        <vt:lpwstr/>
      </vt:variant>
      <vt:variant>
        <vt:i4>7077923</vt:i4>
      </vt:variant>
      <vt:variant>
        <vt:i4>21</vt:i4>
      </vt:variant>
      <vt:variant>
        <vt:i4>0</vt:i4>
      </vt:variant>
      <vt:variant>
        <vt:i4>5</vt:i4>
      </vt:variant>
      <vt:variant>
        <vt:lpwstr>https://mfa.gov.il/MFA/AboutIsrael/Maps/Pages/Operation-Cast-Lead.aspx</vt:lpwstr>
      </vt:variant>
      <vt:variant>
        <vt:lpwstr/>
      </vt:variant>
      <vt:variant>
        <vt:i4>1245205</vt:i4>
      </vt:variant>
      <vt:variant>
        <vt:i4>18</vt:i4>
      </vt:variant>
      <vt:variant>
        <vt:i4>0</vt:i4>
      </vt:variant>
      <vt:variant>
        <vt:i4>5</vt:i4>
      </vt:variant>
      <vt:variant>
        <vt:lpwstr>https://mfa.gov.il/MFA/ForeignPolicy/Issues/Pages/Gaza designated a %E2%80%9CHostile Territory%E2%80%9D 24-Sep-2007.aspx</vt:lpwstr>
      </vt:variant>
      <vt:variant>
        <vt:lpwstr>:~:text=Due%20to%20continued%20terrorist%20attacks,supplies%20which%20go%20beyond%20that</vt:lpwstr>
      </vt:variant>
      <vt:variant>
        <vt:i4>7143479</vt:i4>
      </vt:variant>
      <vt:variant>
        <vt:i4>15</vt:i4>
      </vt:variant>
      <vt:variant>
        <vt:i4>0</vt:i4>
      </vt:variant>
      <vt:variant>
        <vt:i4>5</vt:i4>
      </vt:variant>
      <vt:variant>
        <vt:lpwstr>https://mfa.gov.il/mfa/foreignpolicy/terrorism/palestinian/pages/the hamas terror organization -  2006 update 15-mar-2007.aspx</vt:lpwstr>
      </vt:variant>
      <vt:variant>
        <vt:lpwstr/>
      </vt:variant>
      <vt:variant>
        <vt:i4>2490414</vt:i4>
      </vt:variant>
      <vt:variant>
        <vt:i4>12</vt:i4>
      </vt:variant>
      <vt:variant>
        <vt:i4>0</vt:i4>
      </vt:variant>
      <vt:variant>
        <vt:i4>5</vt:i4>
      </vt:variant>
      <vt:variant>
        <vt:lpwstr>https://www.mfa.gov.il/mfa/foreignpolicy/peace/guide/pages/israels disengagement plan- renewing the peace process apr 2005.aspx</vt:lpwstr>
      </vt:variant>
      <vt:variant>
        <vt:lpwstr/>
      </vt:variant>
      <vt:variant>
        <vt:i4>11</vt:i4>
      </vt:variant>
      <vt:variant>
        <vt:i4>3</vt:i4>
      </vt:variant>
      <vt:variant>
        <vt:i4>0</vt:i4>
      </vt:variant>
      <vt:variant>
        <vt:i4>5</vt:i4>
      </vt:variant>
      <vt:variant>
        <vt:lpwstr>https://web.archive.org/web/20120524094913/http:/domino.un.org/unispal.nsf/0/7f0af2bd897689b785256c330061d253</vt:lpwstr>
      </vt:variant>
      <vt:variant>
        <vt:lpwstr/>
      </vt:variant>
      <vt:variant>
        <vt:i4>2818147</vt:i4>
      </vt:variant>
      <vt:variant>
        <vt:i4>0</vt:i4>
      </vt:variant>
      <vt:variant>
        <vt:i4>0</vt:i4>
      </vt:variant>
      <vt:variant>
        <vt:i4>5</vt:i4>
      </vt:variant>
      <vt:variant>
        <vt:lpwstr>https://www.nli.org.il/en/newspapers/plb/1928/12/10/01/article/4/?e=-------en-20--1--img-txIN%7ctxTI--------------1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 Frayberg</dc:creator>
  <cp:keywords/>
  <dc:description/>
  <cp:lastModifiedBy>Susan</cp:lastModifiedBy>
  <cp:revision>2</cp:revision>
  <dcterms:created xsi:type="dcterms:W3CDTF">2022-05-10T15:15:00Z</dcterms:created>
  <dcterms:modified xsi:type="dcterms:W3CDTF">2022-05-10T15:15:00Z</dcterms:modified>
</cp:coreProperties>
</file>