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A679" w14:textId="18F64746" w:rsidR="00553135" w:rsidRPr="00637B2A" w:rsidRDefault="00553135" w:rsidP="00637B2A">
      <w:pPr>
        <w:spacing w:line="480" w:lineRule="auto"/>
        <w:jc w:val="both"/>
        <w:rPr>
          <w:rFonts w:asciiTheme="majorBidi" w:hAnsiTheme="majorBidi"/>
          <w:u w:val="single"/>
          <w:rtl/>
        </w:rPr>
      </w:pPr>
    </w:p>
    <w:p w14:paraId="3B190A84" w14:textId="71DA7B39" w:rsidR="00F81D59" w:rsidRPr="00637B2A" w:rsidRDefault="00F81D59" w:rsidP="00637B2A">
      <w:pPr>
        <w:spacing w:line="480" w:lineRule="auto"/>
        <w:jc w:val="both"/>
        <w:rPr>
          <w:rFonts w:asciiTheme="majorBidi" w:hAnsiTheme="majorBidi"/>
          <w:u w:val="single"/>
        </w:rPr>
      </w:pPr>
    </w:p>
    <w:p w14:paraId="65B62C46" w14:textId="77777777" w:rsidR="001D0D4C" w:rsidRPr="00637B2A" w:rsidRDefault="001D0D4C" w:rsidP="00637B2A">
      <w:pPr>
        <w:spacing w:line="480" w:lineRule="auto"/>
        <w:jc w:val="both"/>
        <w:rPr>
          <w:rFonts w:asciiTheme="majorBidi" w:hAnsiTheme="majorBidi"/>
          <w:u w:val="single"/>
        </w:rPr>
      </w:pPr>
    </w:p>
    <w:p w14:paraId="282746B6" w14:textId="3656642C" w:rsidR="00F81D59" w:rsidRDefault="00F81D59" w:rsidP="00637B2A">
      <w:pPr>
        <w:spacing w:line="480" w:lineRule="auto"/>
        <w:jc w:val="both"/>
        <w:rPr>
          <w:rFonts w:asciiTheme="majorBidi" w:hAnsiTheme="majorBidi"/>
          <w:u w:val="single"/>
        </w:rPr>
      </w:pPr>
    </w:p>
    <w:p w14:paraId="2B4DCCF1" w14:textId="77777777" w:rsidR="009E42ED" w:rsidRPr="00637B2A" w:rsidRDefault="009E42ED" w:rsidP="00637B2A">
      <w:pPr>
        <w:spacing w:line="480" w:lineRule="auto"/>
        <w:jc w:val="both"/>
        <w:rPr>
          <w:rFonts w:asciiTheme="majorBidi" w:hAnsiTheme="majorBidi"/>
          <w:u w:val="single"/>
        </w:rPr>
      </w:pPr>
    </w:p>
    <w:p w14:paraId="70823481" w14:textId="708A6640" w:rsidR="00F00D74" w:rsidRPr="00AD2F6D" w:rsidRDefault="001233D9" w:rsidP="00637B2A">
      <w:pPr>
        <w:spacing w:line="480" w:lineRule="auto"/>
        <w:jc w:val="center"/>
        <w:rPr>
          <w:rFonts w:asciiTheme="majorBidi" w:hAnsiTheme="majorBidi"/>
          <w:sz w:val="32"/>
          <w:szCs w:val="32"/>
        </w:rPr>
      </w:pPr>
      <w:r w:rsidRPr="00AD2F6D">
        <w:rPr>
          <w:rFonts w:asciiTheme="majorBidi" w:hAnsiTheme="majorBidi"/>
          <w:sz w:val="32"/>
          <w:szCs w:val="32"/>
        </w:rPr>
        <w:t xml:space="preserve">Competing </w:t>
      </w:r>
      <w:r w:rsidR="00255212" w:rsidRPr="00AD2F6D">
        <w:rPr>
          <w:rFonts w:asciiTheme="majorBidi" w:hAnsiTheme="majorBidi"/>
          <w:sz w:val="32"/>
          <w:szCs w:val="32"/>
        </w:rPr>
        <w:t>Views on the Economic Structure of Corporate Law</w:t>
      </w:r>
    </w:p>
    <w:p w14:paraId="15BD69D5" w14:textId="77777777" w:rsidR="00553135" w:rsidRPr="00637B2A" w:rsidRDefault="00553135" w:rsidP="00637B2A">
      <w:pPr>
        <w:spacing w:line="480" w:lineRule="auto"/>
        <w:jc w:val="center"/>
        <w:rPr>
          <w:rFonts w:asciiTheme="majorBidi" w:hAnsiTheme="majorBidi"/>
          <w:lang w:val="it-IT"/>
        </w:rPr>
      </w:pPr>
      <w:bookmarkStart w:id="0" w:name="_Hlk33969535"/>
      <w:r w:rsidRPr="00637B2A">
        <w:rPr>
          <w:rFonts w:asciiTheme="majorBidi" w:hAnsiTheme="majorBidi"/>
          <w:lang w:val="it-IT"/>
        </w:rPr>
        <w:t>Lucian A. Bebchuk</w:t>
      </w:r>
      <w:r w:rsidRPr="00637B2A">
        <w:rPr>
          <w:rFonts w:asciiTheme="majorBidi" w:hAnsiTheme="majorBidi"/>
          <w:iCs/>
        </w:rPr>
        <w:footnoteReference w:customMarkFollows="1" w:id="1"/>
        <w:t>†</w:t>
      </w:r>
    </w:p>
    <w:bookmarkEnd w:id="0"/>
    <w:p w14:paraId="1E91BD43" w14:textId="77777777" w:rsidR="00553135" w:rsidRPr="00637B2A" w:rsidRDefault="00553135" w:rsidP="00637B2A">
      <w:pPr>
        <w:spacing w:line="480" w:lineRule="auto"/>
        <w:jc w:val="both"/>
        <w:rPr>
          <w:rFonts w:asciiTheme="majorBidi" w:hAnsiTheme="majorBidi"/>
          <w:rtl/>
          <w:lang w:val="it-IT"/>
        </w:rPr>
      </w:pPr>
    </w:p>
    <w:p w14:paraId="7CAE678F" w14:textId="49C7C333" w:rsidR="00553135" w:rsidRPr="00637B2A" w:rsidRDefault="00553135" w:rsidP="00637B2A">
      <w:pPr>
        <w:spacing w:line="480" w:lineRule="auto"/>
        <w:ind w:firstLine="720"/>
        <w:jc w:val="both"/>
        <w:rPr>
          <w:rFonts w:asciiTheme="majorBidi" w:hAnsiTheme="majorBidi"/>
        </w:rPr>
      </w:pPr>
    </w:p>
    <w:p w14:paraId="0F9844E3" w14:textId="5F976545" w:rsidR="00553135" w:rsidRPr="00637B2A" w:rsidRDefault="00553135" w:rsidP="00637B2A">
      <w:pPr>
        <w:spacing w:line="480" w:lineRule="auto"/>
        <w:ind w:firstLine="720"/>
        <w:jc w:val="both"/>
        <w:rPr>
          <w:rFonts w:asciiTheme="majorBidi" w:hAnsiTheme="majorBidi"/>
        </w:rPr>
      </w:pPr>
    </w:p>
    <w:p w14:paraId="4E14F9BB" w14:textId="77777777" w:rsidR="00553135" w:rsidRPr="00637B2A" w:rsidRDefault="00553135" w:rsidP="00637B2A">
      <w:pPr>
        <w:spacing w:line="480" w:lineRule="auto"/>
        <w:ind w:firstLine="720"/>
        <w:jc w:val="both"/>
        <w:rPr>
          <w:rFonts w:asciiTheme="majorBidi" w:hAnsiTheme="majorBidi"/>
        </w:rPr>
      </w:pPr>
    </w:p>
    <w:p w14:paraId="192C2246" w14:textId="77777777" w:rsidR="00553135" w:rsidRPr="00637B2A" w:rsidRDefault="00553135" w:rsidP="00637B2A">
      <w:pPr>
        <w:spacing w:line="480" w:lineRule="auto"/>
        <w:jc w:val="both"/>
        <w:rPr>
          <w:rFonts w:asciiTheme="majorBidi" w:hAnsiTheme="majorBidi"/>
        </w:rPr>
      </w:pPr>
      <w:r w:rsidRPr="00637B2A">
        <w:rPr>
          <w:rFonts w:asciiTheme="majorBidi" w:hAnsiTheme="majorBidi"/>
        </w:rPr>
        <w:br w:type="page"/>
      </w:r>
    </w:p>
    <w:p w14:paraId="781775DD" w14:textId="47AF99F8" w:rsidR="00507D4C" w:rsidRPr="00637B2A" w:rsidRDefault="00092653" w:rsidP="00637B2A">
      <w:pPr>
        <w:spacing w:line="480" w:lineRule="auto"/>
        <w:ind w:firstLine="720"/>
        <w:jc w:val="both"/>
        <w:rPr>
          <w:rFonts w:asciiTheme="majorBidi" w:hAnsiTheme="majorBidi"/>
        </w:rPr>
      </w:pPr>
      <w:r w:rsidRPr="00637B2A">
        <w:rPr>
          <w:rFonts w:asciiTheme="majorBidi" w:hAnsiTheme="majorBidi"/>
        </w:rPr>
        <w:lastRenderedPageBreak/>
        <w:t xml:space="preserve">This essay </w:t>
      </w:r>
      <w:r w:rsidR="00075273" w:rsidRPr="00637B2A">
        <w:rPr>
          <w:rFonts w:asciiTheme="majorBidi" w:hAnsiTheme="majorBidi"/>
        </w:rPr>
        <w:t xml:space="preserve">was written for </w:t>
      </w:r>
      <w:r w:rsidR="00E32984">
        <w:rPr>
          <w:rFonts w:asciiTheme="majorBidi" w:hAnsiTheme="majorBidi"/>
        </w:rPr>
        <w:t xml:space="preserve">the </w:t>
      </w:r>
      <w:r w:rsidR="00075273" w:rsidRPr="00637B2A">
        <w:rPr>
          <w:rFonts w:asciiTheme="majorBidi" w:hAnsiTheme="majorBidi"/>
        </w:rPr>
        <w:t xml:space="preserve">symposium issue </w:t>
      </w:r>
      <w:r w:rsidR="00F81D59" w:rsidRPr="00637B2A">
        <w:rPr>
          <w:rFonts w:asciiTheme="majorBidi" w:hAnsiTheme="majorBidi"/>
        </w:rPr>
        <w:t xml:space="preserve">celebrating </w:t>
      </w:r>
      <w:r w:rsidRPr="00637B2A">
        <w:rPr>
          <w:rFonts w:asciiTheme="majorBidi" w:hAnsiTheme="majorBidi"/>
        </w:rPr>
        <w:t xml:space="preserve">the twenty-fifth anniversary of the publication </w:t>
      </w:r>
      <w:r w:rsidR="005A7A61">
        <w:rPr>
          <w:rFonts w:asciiTheme="majorBidi" w:hAnsiTheme="majorBidi"/>
        </w:rPr>
        <w:t xml:space="preserve">by </w:t>
      </w:r>
      <w:r w:rsidR="002020F6" w:rsidRPr="00637B2A">
        <w:rPr>
          <w:rFonts w:asciiTheme="majorBidi" w:hAnsiTheme="majorBidi"/>
        </w:rPr>
        <w:t xml:space="preserve">Frank Easterbrook and </w:t>
      </w:r>
      <w:r w:rsidR="00F81D59" w:rsidRPr="00637B2A">
        <w:rPr>
          <w:rFonts w:asciiTheme="majorBidi" w:hAnsiTheme="majorBidi"/>
        </w:rPr>
        <w:t xml:space="preserve">Daniel </w:t>
      </w:r>
      <w:r w:rsidR="002020F6" w:rsidRPr="00637B2A">
        <w:rPr>
          <w:rFonts w:asciiTheme="majorBidi" w:hAnsiTheme="majorBidi"/>
        </w:rPr>
        <w:t>Fischel</w:t>
      </w:r>
      <w:r w:rsidR="005A7A61">
        <w:rPr>
          <w:rFonts w:asciiTheme="majorBidi" w:hAnsiTheme="majorBidi"/>
        </w:rPr>
        <w:t xml:space="preserve"> (“E&amp;F”) of their </w:t>
      </w:r>
      <w:r w:rsidR="00C031CE" w:rsidRPr="00637B2A">
        <w:rPr>
          <w:rFonts w:asciiTheme="majorBidi" w:hAnsiTheme="majorBidi"/>
        </w:rPr>
        <w:t xml:space="preserve">influential book, </w:t>
      </w:r>
      <w:r w:rsidR="00C031CE" w:rsidRPr="00637B2A">
        <w:rPr>
          <w:rFonts w:asciiTheme="majorBidi" w:hAnsiTheme="majorBidi"/>
          <w:i/>
          <w:iCs/>
        </w:rPr>
        <w:t>The Economic Structure of Corporate Law</w:t>
      </w:r>
      <w:r w:rsidR="0025170B">
        <w:rPr>
          <w:rFonts w:asciiTheme="majorBidi" w:hAnsiTheme="majorBidi"/>
        </w:rPr>
        <w:t xml:space="preserve"> </w:t>
      </w:r>
      <w:proofErr w:type="gramStart"/>
      <w:r w:rsidR="0025170B">
        <w:rPr>
          <w:rFonts w:asciiTheme="majorBidi" w:hAnsiTheme="majorBidi"/>
        </w:rPr>
        <w:t>( “</w:t>
      </w:r>
      <w:proofErr w:type="gramEnd"/>
      <w:r w:rsidR="0025170B">
        <w:rPr>
          <w:rFonts w:asciiTheme="majorBidi" w:hAnsiTheme="majorBidi"/>
        </w:rPr>
        <w:t xml:space="preserve">the </w:t>
      </w:r>
      <w:r w:rsidR="00851AB9">
        <w:rPr>
          <w:rFonts w:asciiTheme="majorBidi" w:hAnsiTheme="majorBidi"/>
        </w:rPr>
        <w:t>E&amp;F Book</w:t>
      </w:r>
      <w:r w:rsidR="0025170B">
        <w:rPr>
          <w:rFonts w:asciiTheme="majorBidi" w:hAnsiTheme="majorBidi"/>
        </w:rPr>
        <w:t>”)</w:t>
      </w:r>
      <w:r w:rsidR="00C031CE" w:rsidRPr="00637B2A">
        <w:rPr>
          <w:rFonts w:asciiTheme="majorBidi" w:hAnsiTheme="majorBidi"/>
        </w:rPr>
        <w:t>.</w:t>
      </w:r>
      <w:r w:rsidR="00075273" w:rsidRPr="00637B2A">
        <w:rPr>
          <w:rStyle w:val="FootnoteReference"/>
          <w:rFonts w:asciiTheme="majorBidi" w:hAnsiTheme="majorBidi"/>
        </w:rPr>
        <w:footnoteReference w:id="2"/>
      </w:r>
      <w:r w:rsidR="00C031CE" w:rsidRPr="00637B2A">
        <w:rPr>
          <w:rFonts w:asciiTheme="majorBidi" w:hAnsiTheme="majorBidi"/>
        </w:rPr>
        <w:t xml:space="preserve"> </w:t>
      </w:r>
      <w:r w:rsidR="00507D4C" w:rsidRPr="00637B2A">
        <w:rPr>
          <w:rFonts w:asciiTheme="majorBidi" w:hAnsiTheme="majorBidi"/>
        </w:rPr>
        <w:t xml:space="preserve">As other articles in this issue </w:t>
      </w:r>
      <w:r w:rsidR="00EC4C79">
        <w:rPr>
          <w:rFonts w:asciiTheme="majorBidi" w:hAnsiTheme="majorBidi"/>
        </w:rPr>
        <w:t xml:space="preserve">highlight, </w:t>
      </w:r>
      <w:r w:rsidR="00507D4C" w:rsidRPr="00637B2A">
        <w:rPr>
          <w:rFonts w:asciiTheme="majorBidi" w:hAnsiTheme="majorBidi"/>
        </w:rPr>
        <w:t xml:space="preserve">the book has had significant influence on </w:t>
      </w:r>
      <w:r w:rsidR="00497072" w:rsidRPr="00637B2A">
        <w:rPr>
          <w:rFonts w:asciiTheme="majorBidi" w:hAnsiTheme="majorBidi"/>
        </w:rPr>
        <w:t xml:space="preserve">the </w:t>
      </w:r>
      <w:r w:rsidR="00507D4C" w:rsidRPr="00637B2A">
        <w:rPr>
          <w:rFonts w:asciiTheme="majorBidi" w:hAnsiTheme="majorBidi"/>
        </w:rPr>
        <w:t xml:space="preserve">corporate field. </w:t>
      </w:r>
      <w:r w:rsidR="0018482F">
        <w:rPr>
          <w:rFonts w:asciiTheme="majorBidi" w:hAnsiTheme="majorBidi"/>
        </w:rPr>
        <w:t xml:space="preserve">This essay offers </w:t>
      </w:r>
      <w:r w:rsidR="00394D30" w:rsidRPr="00637B2A">
        <w:rPr>
          <w:rFonts w:asciiTheme="majorBidi" w:hAnsiTheme="majorBidi"/>
        </w:rPr>
        <w:t>my personal perspective on this subject</w:t>
      </w:r>
      <w:r w:rsidR="00E32984">
        <w:rPr>
          <w:rFonts w:asciiTheme="majorBidi" w:hAnsiTheme="majorBidi"/>
        </w:rPr>
        <w:t xml:space="preserve">; </w:t>
      </w:r>
      <w:r w:rsidR="00394D30" w:rsidRPr="00637B2A">
        <w:rPr>
          <w:rFonts w:asciiTheme="majorBidi" w:hAnsiTheme="majorBidi"/>
        </w:rPr>
        <w:t xml:space="preserve">I discuss </w:t>
      </w:r>
      <w:r w:rsidR="00E66C2A" w:rsidRPr="00637B2A">
        <w:rPr>
          <w:rFonts w:asciiTheme="majorBidi" w:hAnsiTheme="majorBidi"/>
        </w:rPr>
        <w:t xml:space="preserve">the </w:t>
      </w:r>
      <w:r w:rsidR="00E32984">
        <w:rPr>
          <w:rFonts w:asciiTheme="majorBidi" w:hAnsiTheme="majorBidi"/>
        </w:rPr>
        <w:t xml:space="preserve">significance that </w:t>
      </w:r>
      <w:r w:rsidR="0072342F" w:rsidRPr="00637B2A">
        <w:rPr>
          <w:rFonts w:asciiTheme="majorBidi" w:hAnsiTheme="majorBidi"/>
        </w:rPr>
        <w:t xml:space="preserve">EF’s writings </w:t>
      </w:r>
      <w:r w:rsidR="00EC4C79">
        <w:rPr>
          <w:rFonts w:asciiTheme="majorBidi" w:hAnsiTheme="majorBidi"/>
        </w:rPr>
        <w:t xml:space="preserve">have </w:t>
      </w:r>
      <w:r w:rsidR="0072342F" w:rsidRPr="00637B2A">
        <w:rPr>
          <w:rFonts w:asciiTheme="majorBidi" w:hAnsiTheme="majorBidi"/>
        </w:rPr>
        <w:t xml:space="preserve">had </w:t>
      </w:r>
      <w:r w:rsidR="00F422BB">
        <w:rPr>
          <w:rFonts w:asciiTheme="majorBidi" w:hAnsiTheme="majorBidi"/>
        </w:rPr>
        <w:t xml:space="preserve">over the years </w:t>
      </w:r>
      <w:r w:rsidR="0072342F" w:rsidRPr="00637B2A">
        <w:rPr>
          <w:rFonts w:asciiTheme="majorBidi" w:hAnsiTheme="majorBidi"/>
        </w:rPr>
        <w:t xml:space="preserve">for </w:t>
      </w:r>
      <w:r w:rsidR="00F422BB">
        <w:rPr>
          <w:rFonts w:asciiTheme="majorBidi" w:hAnsiTheme="majorBidi"/>
        </w:rPr>
        <w:t>my own work on the economics of corporate governance</w:t>
      </w:r>
      <w:r w:rsidR="005D0468">
        <w:rPr>
          <w:rFonts w:asciiTheme="majorBidi" w:hAnsiTheme="majorBidi"/>
        </w:rPr>
        <w:t xml:space="preserve">. </w:t>
      </w:r>
    </w:p>
    <w:p w14:paraId="7102D4BF" w14:textId="0DB66714" w:rsidR="00A61E0E" w:rsidRDefault="00F4353A" w:rsidP="005C49EF">
      <w:pPr>
        <w:spacing w:line="480" w:lineRule="auto"/>
        <w:ind w:firstLine="720"/>
        <w:jc w:val="both"/>
        <w:rPr>
          <w:rFonts w:asciiTheme="majorBidi" w:hAnsiTheme="majorBidi"/>
        </w:rPr>
      </w:pPr>
      <w:r w:rsidRPr="00637B2A">
        <w:rPr>
          <w:rFonts w:asciiTheme="majorBidi" w:hAnsiTheme="majorBidi"/>
        </w:rPr>
        <w:t xml:space="preserve">The </w:t>
      </w:r>
      <w:r w:rsidR="005A7A61">
        <w:rPr>
          <w:rFonts w:asciiTheme="majorBidi" w:hAnsiTheme="majorBidi"/>
        </w:rPr>
        <w:t>E&amp;F B</w:t>
      </w:r>
      <w:r w:rsidRPr="00637B2A">
        <w:rPr>
          <w:rFonts w:asciiTheme="majorBidi" w:hAnsiTheme="majorBidi"/>
        </w:rPr>
        <w:t xml:space="preserve">ook, and the </w:t>
      </w:r>
      <w:r w:rsidR="005E157D" w:rsidRPr="00637B2A">
        <w:rPr>
          <w:rFonts w:asciiTheme="majorBidi" w:hAnsiTheme="majorBidi"/>
        </w:rPr>
        <w:t xml:space="preserve">prior </w:t>
      </w:r>
      <w:r w:rsidRPr="00637B2A">
        <w:rPr>
          <w:rFonts w:asciiTheme="majorBidi" w:hAnsiTheme="majorBidi"/>
        </w:rPr>
        <w:t xml:space="preserve">articles </w:t>
      </w:r>
      <w:r w:rsidR="005E157D" w:rsidRPr="00637B2A">
        <w:rPr>
          <w:rFonts w:asciiTheme="majorBidi" w:hAnsiTheme="majorBidi"/>
        </w:rPr>
        <w:t xml:space="preserve">that the </w:t>
      </w:r>
      <w:r w:rsidR="005A7A61">
        <w:rPr>
          <w:rFonts w:asciiTheme="majorBidi" w:hAnsiTheme="majorBidi"/>
        </w:rPr>
        <w:t>B</w:t>
      </w:r>
      <w:r w:rsidR="005E157D" w:rsidRPr="00637B2A">
        <w:rPr>
          <w:rFonts w:asciiTheme="majorBidi" w:hAnsiTheme="majorBidi"/>
        </w:rPr>
        <w:t xml:space="preserve">ook integrated, </w:t>
      </w:r>
      <w:r w:rsidR="008C1E0D" w:rsidRPr="00637B2A">
        <w:rPr>
          <w:rFonts w:asciiTheme="majorBidi" w:hAnsiTheme="majorBidi"/>
        </w:rPr>
        <w:t>are ones to which I have paid significant attention and studied carefully</w:t>
      </w:r>
      <w:r w:rsidR="0072342F" w:rsidRPr="00637B2A">
        <w:rPr>
          <w:rFonts w:asciiTheme="majorBidi" w:hAnsiTheme="majorBidi"/>
        </w:rPr>
        <w:t xml:space="preserve"> over </w:t>
      </w:r>
      <w:proofErr w:type="gramStart"/>
      <w:r w:rsidR="0072342F" w:rsidRPr="00637B2A">
        <w:rPr>
          <w:rFonts w:asciiTheme="majorBidi" w:hAnsiTheme="majorBidi"/>
        </w:rPr>
        <w:t>many</w:t>
      </w:r>
      <w:proofErr w:type="gramEnd"/>
      <w:r w:rsidR="0072342F" w:rsidRPr="00637B2A">
        <w:rPr>
          <w:rFonts w:asciiTheme="majorBidi" w:hAnsiTheme="majorBidi"/>
        </w:rPr>
        <w:t xml:space="preserve"> years</w:t>
      </w:r>
      <w:r w:rsidR="008C1E0D" w:rsidRPr="00637B2A">
        <w:rPr>
          <w:rFonts w:asciiTheme="majorBidi" w:hAnsiTheme="majorBidi"/>
        </w:rPr>
        <w:t>. During the period in which the articles and the book were published</w:t>
      </w:r>
      <w:r w:rsidR="0072342F" w:rsidRPr="00637B2A">
        <w:rPr>
          <w:rFonts w:asciiTheme="majorBidi" w:hAnsiTheme="majorBidi"/>
        </w:rPr>
        <w:t xml:space="preserve">, as well as in the </w:t>
      </w:r>
      <w:r w:rsidR="00F422BB">
        <w:rPr>
          <w:rFonts w:asciiTheme="majorBidi" w:hAnsiTheme="majorBidi"/>
        </w:rPr>
        <w:t xml:space="preserve">many years since then, </w:t>
      </w:r>
      <w:r w:rsidR="008C1E0D" w:rsidRPr="00637B2A">
        <w:rPr>
          <w:rFonts w:asciiTheme="majorBidi" w:hAnsiTheme="majorBidi"/>
        </w:rPr>
        <w:t>I have</w:t>
      </w:r>
      <w:r w:rsidR="001E0FD4" w:rsidRPr="00637B2A">
        <w:rPr>
          <w:rFonts w:asciiTheme="majorBidi" w:hAnsiTheme="majorBidi"/>
        </w:rPr>
        <w:t xml:space="preserve"> </w:t>
      </w:r>
      <w:proofErr w:type="gramStart"/>
      <w:r w:rsidR="00EC4C79">
        <w:rPr>
          <w:rFonts w:asciiTheme="majorBidi" w:hAnsiTheme="majorBidi"/>
        </w:rPr>
        <w:t xml:space="preserve">worked on </w:t>
      </w:r>
      <w:r w:rsidR="008C1E0D" w:rsidRPr="00637B2A">
        <w:rPr>
          <w:rFonts w:asciiTheme="majorBidi" w:hAnsiTheme="majorBidi"/>
        </w:rPr>
        <w:t>develop</w:t>
      </w:r>
      <w:r w:rsidR="00EC4C79">
        <w:rPr>
          <w:rFonts w:asciiTheme="majorBidi" w:hAnsiTheme="majorBidi"/>
        </w:rPr>
        <w:t>ing</w:t>
      </w:r>
      <w:proofErr w:type="gramEnd"/>
      <w:r w:rsidR="008C1E0D" w:rsidRPr="00637B2A">
        <w:rPr>
          <w:rFonts w:asciiTheme="majorBidi" w:hAnsiTheme="majorBidi"/>
        </w:rPr>
        <w:t xml:space="preserve"> </w:t>
      </w:r>
      <w:r w:rsidR="00C85E82" w:rsidRPr="00637B2A">
        <w:rPr>
          <w:rFonts w:asciiTheme="majorBidi" w:hAnsiTheme="majorBidi"/>
        </w:rPr>
        <w:t xml:space="preserve">and </w:t>
      </w:r>
      <w:r w:rsidR="005D0468">
        <w:rPr>
          <w:rFonts w:asciiTheme="majorBidi" w:hAnsiTheme="majorBidi"/>
        </w:rPr>
        <w:t>implement</w:t>
      </w:r>
      <w:r w:rsidR="00EC4C79">
        <w:rPr>
          <w:rFonts w:asciiTheme="majorBidi" w:hAnsiTheme="majorBidi"/>
        </w:rPr>
        <w:t>ing</w:t>
      </w:r>
      <w:r w:rsidR="005D0468">
        <w:rPr>
          <w:rFonts w:asciiTheme="majorBidi" w:hAnsiTheme="majorBidi"/>
        </w:rPr>
        <w:t xml:space="preserve"> </w:t>
      </w:r>
      <w:r w:rsidR="00760D6C" w:rsidRPr="00637B2A">
        <w:rPr>
          <w:rFonts w:asciiTheme="majorBidi" w:hAnsiTheme="majorBidi"/>
        </w:rPr>
        <w:t>a</w:t>
      </w:r>
      <w:r w:rsidR="00C85E82" w:rsidRPr="00637B2A">
        <w:rPr>
          <w:rFonts w:asciiTheme="majorBidi" w:hAnsiTheme="majorBidi"/>
        </w:rPr>
        <w:t>n</w:t>
      </w:r>
      <w:r w:rsidR="00760D6C" w:rsidRPr="00637B2A">
        <w:rPr>
          <w:rFonts w:asciiTheme="majorBidi" w:hAnsiTheme="majorBidi"/>
        </w:rPr>
        <w:t xml:space="preserve"> </w:t>
      </w:r>
      <w:r w:rsidR="00433626" w:rsidRPr="00637B2A">
        <w:rPr>
          <w:rFonts w:asciiTheme="majorBidi" w:hAnsiTheme="majorBidi"/>
        </w:rPr>
        <w:t xml:space="preserve">economic </w:t>
      </w:r>
      <w:r w:rsidR="00F422BB">
        <w:rPr>
          <w:rFonts w:asciiTheme="majorBidi" w:hAnsiTheme="majorBidi"/>
        </w:rPr>
        <w:t xml:space="preserve">approach to </w:t>
      </w:r>
      <w:r w:rsidR="00C85E82" w:rsidRPr="00637B2A">
        <w:rPr>
          <w:rFonts w:asciiTheme="majorBidi" w:hAnsiTheme="majorBidi"/>
        </w:rPr>
        <w:t xml:space="preserve">the analysis of </w:t>
      </w:r>
      <w:r w:rsidR="00433626" w:rsidRPr="00637B2A">
        <w:rPr>
          <w:rFonts w:asciiTheme="majorBidi" w:hAnsiTheme="majorBidi"/>
        </w:rPr>
        <w:t>corporate governa</w:t>
      </w:r>
      <w:r w:rsidR="00C24B79" w:rsidRPr="00637B2A">
        <w:rPr>
          <w:rFonts w:asciiTheme="majorBidi" w:hAnsiTheme="majorBidi"/>
        </w:rPr>
        <w:t>n</w:t>
      </w:r>
      <w:r w:rsidR="00433626" w:rsidRPr="00637B2A">
        <w:rPr>
          <w:rFonts w:asciiTheme="majorBidi" w:hAnsiTheme="majorBidi"/>
        </w:rPr>
        <w:t>ce</w:t>
      </w:r>
      <w:r w:rsidR="00F422BB">
        <w:rPr>
          <w:rFonts w:asciiTheme="majorBidi" w:hAnsiTheme="majorBidi"/>
        </w:rPr>
        <w:t xml:space="preserve"> issues</w:t>
      </w:r>
      <w:r w:rsidR="003A3137">
        <w:rPr>
          <w:rFonts w:asciiTheme="majorBidi" w:hAnsiTheme="majorBidi"/>
        </w:rPr>
        <w:t xml:space="preserve">. </w:t>
      </w:r>
      <w:proofErr w:type="gramStart"/>
      <w:r w:rsidR="003A3137">
        <w:rPr>
          <w:rFonts w:asciiTheme="majorBidi" w:hAnsiTheme="majorBidi"/>
        </w:rPr>
        <w:t>I</w:t>
      </w:r>
      <w:r w:rsidR="001E68B5" w:rsidRPr="00637B2A">
        <w:rPr>
          <w:rFonts w:asciiTheme="majorBidi" w:hAnsiTheme="majorBidi"/>
        </w:rPr>
        <w:t>n the course of</w:t>
      </w:r>
      <w:proofErr w:type="gramEnd"/>
      <w:r w:rsidR="001E68B5" w:rsidRPr="00637B2A">
        <w:rPr>
          <w:rFonts w:asciiTheme="majorBidi" w:hAnsiTheme="majorBidi"/>
        </w:rPr>
        <w:t xml:space="preserve"> </w:t>
      </w:r>
      <w:r w:rsidR="00F422BB">
        <w:rPr>
          <w:rFonts w:asciiTheme="majorBidi" w:hAnsiTheme="majorBidi"/>
        </w:rPr>
        <w:t xml:space="preserve">this </w:t>
      </w:r>
      <w:r w:rsidR="0018481A">
        <w:rPr>
          <w:rFonts w:asciiTheme="majorBidi" w:hAnsiTheme="majorBidi"/>
        </w:rPr>
        <w:t xml:space="preserve">multi-decade work, </w:t>
      </w:r>
      <w:r w:rsidR="001E68B5" w:rsidRPr="00637B2A">
        <w:rPr>
          <w:rFonts w:asciiTheme="majorBidi" w:hAnsiTheme="majorBidi"/>
        </w:rPr>
        <w:t>I carefully</w:t>
      </w:r>
      <w:r w:rsidR="00E32984">
        <w:rPr>
          <w:rFonts w:asciiTheme="majorBidi" w:hAnsiTheme="majorBidi"/>
        </w:rPr>
        <w:t xml:space="preserve"> studied, paid </w:t>
      </w:r>
      <w:r w:rsidR="001E68B5" w:rsidRPr="00637B2A">
        <w:rPr>
          <w:rFonts w:asciiTheme="majorBidi" w:hAnsiTheme="majorBidi"/>
        </w:rPr>
        <w:t>close attention to</w:t>
      </w:r>
      <w:r w:rsidR="005C49EF">
        <w:rPr>
          <w:rFonts w:asciiTheme="majorBidi" w:hAnsiTheme="majorBidi"/>
        </w:rPr>
        <w:t xml:space="preserve">, and often engaged with </w:t>
      </w:r>
      <w:r w:rsidR="0066590F">
        <w:rPr>
          <w:rFonts w:asciiTheme="majorBidi" w:hAnsiTheme="majorBidi"/>
        </w:rPr>
        <w:t xml:space="preserve">analyses </w:t>
      </w:r>
      <w:r w:rsidR="005C49EF">
        <w:rPr>
          <w:rFonts w:asciiTheme="majorBidi" w:hAnsiTheme="majorBidi"/>
        </w:rPr>
        <w:t xml:space="preserve">and arguments </w:t>
      </w:r>
      <w:r w:rsidR="00E32984">
        <w:rPr>
          <w:rFonts w:asciiTheme="majorBidi" w:hAnsiTheme="majorBidi"/>
        </w:rPr>
        <w:t xml:space="preserve">that E&amp;F </w:t>
      </w:r>
      <w:r w:rsidR="005C49EF">
        <w:rPr>
          <w:rFonts w:asciiTheme="majorBidi" w:hAnsiTheme="majorBidi"/>
        </w:rPr>
        <w:t xml:space="preserve">put forward. </w:t>
      </w:r>
      <w:r w:rsidR="00A61E0E" w:rsidRPr="00637B2A">
        <w:rPr>
          <w:rFonts w:asciiTheme="majorBidi" w:hAnsiTheme="majorBidi"/>
        </w:rPr>
        <w:t>Below I discuss these po</w:t>
      </w:r>
      <w:r w:rsidR="005C49EF">
        <w:rPr>
          <w:rFonts w:asciiTheme="majorBidi" w:hAnsiTheme="majorBidi"/>
        </w:rPr>
        <w:t xml:space="preserve">ints </w:t>
      </w:r>
      <w:r w:rsidR="00A61E0E" w:rsidRPr="00637B2A">
        <w:rPr>
          <w:rFonts w:asciiTheme="majorBidi" w:hAnsiTheme="majorBidi"/>
        </w:rPr>
        <w:t xml:space="preserve">in the context of </w:t>
      </w:r>
      <w:r w:rsidR="001A22A0">
        <w:rPr>
          <w:rFonts w:asciiTheme="majorBidi" w:hAnsiTheme="majorBidi"/>
        </w:rPr>
        <w:t xml:space="preserve">five </w:t>
      </w:r>
      <w:r w:rsidR="003A3137">
        <w:rPr>
          <w:rFonts w:asciiTheme="majorBidi" w:hAnsiTheme="majorBidi"/>
        </w:rPr>
        <w:t xml:space="preserve">corporate </w:t>
      </w:r>
      <w:r w:rsidR="0018481A">
        <w:rPr>
          <w:rFonts w:asciiTheme="majorBidi" w:hAnsiTheme="majorBidi"/>
        </w:rPr>
        <w:t xml:space="preserve">research area to which </w:t>
      </w:r>
      <w:r w:rsidR="00A61E0E" w:rsidRPr="00637B2A">
        <w:rPr>
          <w:rFonts w:asciiTheme="majorBidi" w:hAnsiTheme="majorBidi"/>
        </w:rPr>
        <w:t>E</w:t>
      </w:r>
      <w:r w:rsidR="00A2162D">
        <w:rPr>
          <w:rFonts w:asciiTheme="majorBidi" w:hAnsiTheme="majorBidi"/>
        </w:rPr>
        <w:t xml:space="preserve">&amp;F and </w:t>
      </w:r>
      <w:r w:rsidR="003E2400">
        <w:rPr>
          <w:rFonts w:asciiTheme="majorBidi" w:hAnsiTheme="majorBidi"/>
        </w:rPr>
        <w:t xml:space="preserve">myself </w:t>
      </w:r>
      <w:r w:rsidR="00E32984">
        <w:rPr>
          <w:rFonts w:asciiTheme="majorBidi" w:hAnsiTheme="majorBidi"/>
        </w:rPr>
        <w:t xml:space="preserve">contributed and </w:t>
      </w:r>
      <w:r w:rsidR="005E60C6">
        <w:rPr>
          <w:rFonts w:asciiTheme="majorBidi" w:hAnsiTheme="majorBidi"/>
        </w:rPr>
        <w:t xml:space="preserve">offered </w:t>
      </w:r>
      <w:r w:rsidR="00A61E0E" w:rsidRPr="00637B2A">
        <w:rPr>
          <w:rFonts w:asciiTheme="majorBidi" w:hAnsiTheme="majorBidi"/>
        </w:rPr>
        <w:t xml:space="preserve">opposing or at least </w:t>
      </w:r>
      <w:r w:rsidR="00302DA3">
        <w:rPr>
          <w:rFonts w:asciiTheme="majorBidi" w:hAnsiTheme="majorBidi"/>
        </w:rPr>
        <w:t xml:space="preserve">substantially </w:t>
      </w:r>
      <w:r w:rsidR="00A61E0E" w:rsidRPr="00637B2A">
        <w:rPr>
          <w:rFonts w:asciiTheme="majorBidi" w:hAnsiTheme="majorBidi"/>
        </w:rPr>
        <w:t xml:space="preserve">different </w:t>
      </w:r>
      <w:r w:rsidR="00B628C3">
        <w:rPr>
          <w:rFonts w:asciiTheme="majorBidi" w:hAnsiTheme="majorBidi"/>
        </w:rPr>
        <w:t>approaches</w:t>
      </w:r>
      <w:r w:rsidR="005E60C6">
        <w:rPr>
          <w:rFonts w:asciiTheme="majorBidi" w:hAnsiTheme="majorBidi"/>
        </w:rPr>
        <w:t>.</w:t>
      </w:r>
      <w:r w:rsidR="00C67EA9">
        <w:rPr>
          <w:rStyle w:val="FootnoteReference"/>
          <w:rFonts w:asciiTheme="majorBidi" w:hAnsiTheme="majorBidi"/>
        </w:rPr>
        <w:footnoteReference w:id="3"/>
      </w:r>
      <w:r w:rsidR="005E60C6">
        <w:rPr>
          <w:rFonts w:asciiTheme="majorBidi" w:hAnsiTheme="majorBidi"/>
        </w:rPr>
        <w:t xml:space="preserve"> </w:t>
      </w:r>
    </w:p>
    <w:p w14:paraId="2FE8F5F6" w14:textId="19E3ADD8" w:rsidR="00302DA3" w:rsidRDefault="00302DA3" w:rsidP="00302DA3">
      <w:pPr>
        <w:spacing w:line="480" w:lineRule="auto"/>
        <w:ind w:firstLine="720"/>
        <w:jc w:val="center"/>
        <w:rPr>
          <w:rFonts w:asciiTheme="majorBidi" w:hAnsiTheme="majorBidi"/>
        </w:rPr>
      </w:pPr>
    </w:p>
    <w:p w14:paraId="4E910535" w14:textId="2C819A42" w:rsidR="00A952B5" w:rsidRDefault="00A952B5" w:rsidP="00302DA3">
      <w:pPr>
        <w:spacing w:line="480" w:lineRule="auto"/>
        <w:ind w:firstLine="720"/>
        <w:jc w:val="center"/>
        <w:rPr>
          <w:rFonts w:asciiTheme="majorBidi" w:hAnsiTheme="majorBidi"/>
        </w:rPr>
      </w:pPr>
    </w:p>
    <w:p w14:paraId="0307A99A" w14:textId="58022155" w:rsidR="00A952B5" w:rsidRDefault="00A952B5" w:rsidP="00302DA3">
      <w:pPr>
        <w:spacing w:line="480" w:lineRule="auto"/>
        <w:ind w:firstLine="720"/>
        <w:jc w:val="center"/>
        <w:rPr>
          <w:rFonts w:asciiTheme="majorBidi" w:hAnsiTheme="majorBidi"/>
        </w:rPr>
      </w:pPr>
    </w:p>
    <w:p w14:paraId="64C5900C" w14:textId="0A3408DC" w:rsidR="00A952B5" w:rsidRDefault="00A952B5" w:rsidP="00302DA3">
      <w:pPr>
        <w:spacing w:line="480" w:lineRule="auto"/>
        <w:ind w:firstLine="720"/>
        <w:jc w:val="center"/>
        <w:rPr>
          <w:rFonts w:asciiTheme="majorBidi" w:hAnsiTheme="majorBidi"/>
        </w:rPr>
      </w:pPr>
    </w:p>
    <w:p w14:paraId="09449400" w14:textId="77777777" w:rsidR="00A952B5" w:rsidRPr="00637B2A" w:rsidRDefault="00A952B5" w:rsidP="00302DA3">
      <w:pPr>
        <w:spacing w:line="480" w:lineRule="auto"/>
        <w:ind w:firstLine="720"/>
        <w:jc w:val="center"/>
        <w:rPr>
          <w:rFonts w:asciiTheme="majorBidi" w:hAnsiTheme="majorBidi"/>
        </w:rPr>
      </w:pPr>
    </w:p>
    <w:p w14:paraId="55606990" w14:textId="2D6A023E" w:rsidR="00050CDE" w:rsidRPr="00637B2A" w:rsidRDefault="00050CDE" w:rsidP="00302DA3">
      <w:pPr>
        <w:pStyle w:val="ListParagraph"/>
        <w:numPr>
          <w:ilvl w:val="0"/>
          <w:numId w:val="6"/>
        </w:numPr>
        <w:spacing w:line="480" w:lineRule="auto"/>
        <w:jc w:val="center"/>
        <w:rPr>
          <w:rFonts w:asciiTheme="majorBidi" w:hAnsiTheme="majorBidi"/>
        </w:rPr>
      </w:pPr>
      <w:r w:rsidRPr="00637B2A">
        <w:rPr>
          <w:rFonts w:asciiTheme="majorBidi" w:hAnsiTheme="majorBidi"/>
        </w:rPr>
        <w:t>The Takeover Debates</w:t>
      </w:r>
      <w:r w:rsidR="00347805" w:rsidRPr="00637B2A">
        <w:rPr>
          <w:rFonts w:asciiTheme="majorBidi" w:hAnsiTheme="majorBidi"/>
        </w:rPr>
        <w:t>,</w:t>
      </w:r>
      <w:r w:rsidRPr="00637B2A">
        <w:rPr>
          <w:rFonts w:asciiTheme="majorBidi" w:hAnsiTheme="majorBidi"/>
        </w:rPr>
        <w:t xml:space="preserve"> or How I </w:t>
      </w:r>
      <w:r w:rsidR="00347805" w:rsidRPr="00637B2A">
        <w:rPr>
          <w:rFonts w:asciiTheme="majorBidi" w:hAnsiTheme="majorBidi"/>
        </w:rPr>
        <w:t xml:space="preserve">Got into </w:t>
      </w:r>
      <w:r w:rsidR="00CB3F55" w:rsidRPr="00637B2A">
        <w:rPr>
          <w:rFonts w:asciiTheme="majorBidi" w:hAnsiTheme="majorBidi"/>
        </w:rPr>
        <w:t>Corporate Law</w:t>
      </w:r>
    </w:p>
    <w:p w14:paraId="11818E65" w14:textId="382D4867" w:rsidR="007D54F4" w:rsidRPr="00637B2A" w:rsidRDefault="00302DA3" w:rsidP="00637B2A">
      <w:pPr>
        <w:tabs>
          <w:tab w:val="num" w:pos="1440"/>
        </w:tabs>
        <w:spacing w:line="480" w:lineRule="auto"/>
        <w:jc w:val="both"/>
        <w:rPr>
          <w:rFonts w:asciiTheme="majorBidi" w:hAnsiTheme="majorBidi"/>
        </w:rPr>
      </w:pPr>
      <w:r>
        <w:rPr>
          <w:rFonts w:asciiTheme="majorBidi" w:hAnsiTheme="majorBidi"/>
        </w:rPr>
        <w:t xml:space="preserve">        </w:t>
      </w:r>
      <w:r w:rsidR="00E9780A" w:rsidRPr="00637B2A">
        <w:rPr>
          <w:rFonts w:asciiTheme="majorBidi" w:hAnsiTheme="majorBidi"/>
        </w:rPr>
        <w:t xml:space="preserve">I first </w:t>
      </w:r>
      <w:r>
        <w:rPr>
          <w:rFonts w:asciiTheme="majorBidi" w:hAnsiTheme="majorBidi"/>
        </w:rPr>
        <w:t xml:space="preserve">encountered the work of </w:t>
      </w:r>
      <w:r w:rsidR="00E9780A" w:rsidRPr="00637B2A">
        <w:rPr>
          <w:rFonts w:asciiTheme="majorBidi" w:hAnsiTheme="majorBidi"/>
        </w:rPr>
        <w:t>E</w:t>
      </w:r>
      <w:r>
        <w:rPr>
          <w:rFonts w:asciiTheme="majorBidi" w:hAnsiTheme="majorBidi"/>
        </w:rPr>
        <w:t xml:space="preserve">&amp;F </w:t>
      </w:r>
      <w:r w:rsidR="00E9780A" w:rsidRPr="00637B2A">
        <w:rPr>
          <w:rFonts w:asciiTheme="majorBidi" w:hAnsiTheme="majorBidi"/>
        </w:rPr>
        <w:t xml:space="preserve">in 1981. </w:t>
      </w:r>
      <w:r w:rsidR="007271D6" w:rsidRPr="00637B2A">
        <w:rPr>
          <w:rFonts w:asciiTheme="majorBidi" w:hAnsiTheme="majorBidi"/>
        </w:rPr>
        <w:t xml:space="preserve">I was </w:t>
      </w:r>
      <w:r>
        <w:rPr>
          <w:rFonts w:asciiTheme="majorBidi" w:hAnsiTheme="majorBidi"/>
        </w:rPr>
        <w:t xml:space="preserve">a </w:t>
      </w:r>
      <w:r w:rsidR="007271D6" w:rsidRPr="00637B2A">
        <w:rPr>
          <w:rFonts w:asciiTheme="majorBidi" w:hAnsiTheme="majorBidi"/>
        </w:rPr>
        <w:t>twenty-five</w:t>
      </w:r>
      <w:r w:rsidR="009A6BBA">
        <w:rPr>
          <w:rFonts w:asciiTheme="majorBidi" w:hAnsiTheme="majorBidi"/>
        </w:rPr>
        <w:t>-</w:t>
      </w:r>
      <w:r w:rsidR="007271D6" w:rsidRPr="00637B2A">
        <w:rPr>
          <w:rFonts w:asciiTheme="majorBidi" w:hAnsiTheme="majorBidi"/>
        </w:rPr>
        <w:t>year</w:t>
      </w:r>
      <w:r w:rsidR="009A6BBA">
        <w:rPr>
          <w:rFonts w:asciiTheme="majorBidi" w:hAnsiTheme="majorBidi"/>
        </w:rPr>
        <w:t xml:space="preserve">s </w:t>
      </w:r>
      <w:r w:rsidR="007271D6" w:rsidRPr="00637B2A">
        <w:rPr>
          <w:rFonts w:asciiTheme="majorBidi" w:hAnsiTheme="majorBidi"/>
        </w:rPr>
        <w:t>old</w:t>
      </w:r>
      <w:r w:rsidR="00E85F98" w:rsidRPr="00637B2A">
        <w:rPr>
          <w:rFonts w:asciiTheme="majorBidi" w:hAnsiTheme="majorBidi"/>
        </w:rPr>
        <w:t xml:space="preserve"> graduate </w:t>
      </w:r>
      <w:r w:rsidR="007271D6" w:rsidRPr="00637B2A">
        <w:rPr>
          <w:rFonts w:asciiTheme="majorBidi" w:hAnsiTheme="majorBidi"/>
        </w:rPr>
        <w:t>student at Harvard</w:t>
      </w:r>
      <w:r w:rsidR="00BB204C">
        <w:rPr>
          <w:rFonts w:asciiTheme="majorBidi" w:hAnsiTheme="majorBidi"/>
        </w:rPr>
        <w:t>,</w:t>
      </w:r>
      <w:r w:rsidR="004E749C">
        <w:rPr>
          <w:rFonts w:asciiTheme="majorBidi" w:hAnsiTheme="majorBidi"/>
        </w:rPr>
        <w:t xml:space="preserve"> </w:t>
      </w:r>
      <w:r w:rsidR="007271D6" w:rsidRPr="00637B2A">
        <w:rPr>
          <w:rFonts w:asciiTheme="majorBidi" w:hAnsiTheme="majorBidi"/>
        </w:rPr>
        <w:t xml:space="preserve">studying for </w:t>
      </w:r>
      <w:r w:rsidR="004E749C">
        <w:rPr>
          <w:rFonts w:asciiTheme="majorBidi" w:hAnsiTheme="majorBidi"/>
        </w:rPr>
        <w:t xml:space="preserve">an </w:t>
      </w:r>
      <w:r w:rsidR="001C3FFC" w:rsidRPr="001C3FFC">
        <w:rPr>
          <w:rFonts w:asciiTheme="majorBidi" w:hAnsiTheme="majorBidi"/>
        </w:rPr>
        <w:t>SJD (</w:t>
      </w:r>
      <w:r w:rsidR="007271D6" w:rsidRPr="00637B2A">
        <w:rPr>
          <w:rFonts w:asciiTheme="majorBidi" w:hAnsiTheme="majorBidi"/>
        </w:rPr>
        <w:t xml:space="preserve">doctorate in law) and for a Ph.D. </w:t>
      </w:r>
      <w:r w:rsidR="001B31CC" w:rsidRPr="00637B2A">
        <w:rPr>
          <w:rFonts w:asciiTheme="majorBidi" w:hAnsiTheme="majorBidi"/>
        </w:rPr>
        <w:t>in Economics.</w:t>
      </w:r>
      <w:r w:rsidR="00BB204C">
        <w:rPr>
          <w:rStyle w:val="FootnoteReference"/>
          <w:rFonts w:asciiTheme="majorBidi" w:hAnsiTheme="majorBidi"/>
        </w:rPr>
        <w:footnoteReference w:id="4"/>
      </w:r>
      <w:r w:rsidR="001B31CC" w:rsidRPr="00637B2A">
        <w:rPr>
          <w:rFonts w:asciiTheme="majorBidi" w:hAnsiTheme="majorBidi"/>
        </w:rPr>
        <w:t xml:space="preserve"> </w:t>
      </w:r>
      <w:r w:rsidR="001C3FFC" w:rsidRPr="001C3FFC">
        <w:rPr>
          <w:rFonts w:asciiTheme="majorBidi" w:hAnsiTheme="majorBidi"/>
        </w:rPr>
        <w:t xml:space="preserve">My main </w:t>
      </w:r>
      <w:r w:rsidR="001C3FFC" w:rsidRPr="001C3FFC">
        <w:rPr>
          <w:rFonts w:asciiTheme="majorBidi" w:hAnsiTheme="majorBidi"/>
        </w:rPr>
        <w:lastRenderedPageBreak/>
        <w:t>interest</w:t>
      </w:r>
      <w:r w:rsidR="001B31CC" w:rsidRPr="00637B2A">
        <w:rPr>
          <w:rFonts w:asciiTheme="majorBidi" w:hAnsiTheme="majorBidi"/>
        </w:rPr>
        <w:t>s l</w:t>
      </w:r>
      <w:r w:rsidR="00E85F98" w:rsidRPr="00637B2A">
        <w:rPr>
          <w:rFonts w:asciiTheme="majorBidi" w:hAnsiTheme="majorBidi"/>
        </w:rPr>
        <w:t xml:space="preserve">ay </w:t>
      </w:r>
      <w:r w:rsidR="001B31CC" w:rsidRPr="00637B2A">
        <w:rPr>
          <w:rFonts w:asciiTheme="majorBidi" w:hAnsiTheme="majorBidi"/>
        </w:rPr>
        <w:t xml:space="preserve">in </w:t>
      </w:r>
      <w:r w:rsidR="001C3FFC" w:rsidRPr="001C3FFC">
        <w:rPr>
          <w:rFonts w:asciiTheme="majorBidi" w:hAnsiTheme="majorBidi"/>
        </w:rPr>
        <w:t>economic theory and in moral philosophy</w:t>
      </w:r>
      <w:r w:rsidR="00525194" w:rsidRPr="00637B2A">
        <w:rPr>
          <w:rFonts w:asciiTheme="majorBidi" w:hAnsiTheme="majorBidi"/>
        </w:rPr>
        <w:t xml:space="preserve">, and the research that I did </w:t>
      </w:r>
      <w:r w:rsidR="007D54F4" w:rsidRPr="00637B2A">
        <w:rPr>
          <w:rFonts w:asciiTheme="majorBidi" w:hAnsiTheme="majorBidi"/>
        </w:rPr>
        <w:t>up to that p</w:t>
      </w:r>
      <w:r w:rsidR="00E85F98" w:rsidRPr="00637B2A">
        <w:rPr>
          <w:rFonts w:asciiTheme="majorBidi" w:hAnsiTheme="majorBidi"/>
        </w:rPr>
        <w:t>o</w:t>
      </w:r>
      <w:r w:rsidR="007D54F4" w:rsidRPr="00637B2A">
        <w:rPr>
          <w:rFonts w:asciiTheme="majorBidi" w:hAnsiTheme="majorBidi"/>
        </w:rPr>
        <w:t xml:space="preserve">int was in those areas, including </w:t>
      </w:r>
      <w:r w:rsidR="00505590">
        <w:rPr>
          <w:rFonts w:asciiTheme="majorBidi" w:hAnsiTheme="majorBidi"/>
        </w:rPr>
        <w:t xml:space="preserve">papers </w:t>
      </w:r>
      <w:r w:rsidR="007D54F4" w:rsidRPr="00637B2A">
        <w:rPr>
          <w:rFonts w:asciiTheme="majorBidi" w:hAnsiTheme="majorBidi"/>
        </w:rPr>
        <w:t xml:space="preserve">on the normative foundations of </w:t>
      </w:r>
      <w:r w:rsidR="00550F74" w:rsidRPr="00637B2A">
        <w:rPr>
          <w:rFonts w:asciiTheme="majorBidi" w:hAnsiTheme="majorBidi"/>
        </w:rPr>
        <w:t>economic analysis of law</w:t>
      </w:r>
      <w:r w:rsidR="00E85F98" w:rsidRPr="00637B2A">
        <w:rPr>
          <w:rFonts w:asciiTheme="majorBidi" w:hAnsiTheme="majorBidi"/>
        </w:rPr>
        <w:t>,</w:t>
      </w:r>
      <w:r w:rsidR="00550F74" w:rsidRPr="00637B2A">
        <w:rPr>
          <w:rFonts w:asciiTheme="majorBidi" w:hAnsiTheme="majorBidi"/>
        </w:rPr>
        <w:t xml:space="preserve"> </w:t>
      </w:r>
      <w:r w:rsidR="00E32984">
        <w:rPr>
          <w:rFonts w:asciiTheme="majorBidi" w:hAnsiTheme="majorBidi"/>
        </w:rPr>
        <w:t xml:space="preserve">on </w:t>
      </w:r>
      <w:r w:rsidR="00E85F98" w:rsidRPr="00637B2A">
        <w:rPr>
          <w:rFonts w:asciiTheme="majorBidi" w:hAnsiTheme="majorBidi"/>
        </w:rPr>
        <w:t>social choice</w:t>
      </w:r>
      <w:r w:rsidR="00FB4C80" w:rsidRPr="00637B2A">
        <w:rPr>
          <w:rFonts w:asciiTheme="majorBidi" w:hAnsiTheme="majorBidi"/>
        </w:rPr>
        <w:t xml:space="preserve">, </w:t>
      </w:r>
      <w:r w:rsidR="00E32984">
        <w:rPr>
          <w:rFonts w:asciiTheme="majorBidi" w:hAnsiTheme="majorBidi"/>
        </w:rPr>
        <w:t xml:space="preserve">on </w:t>
      </w:r>
      <w:r w:rsidR="00FB4C80" w:rsidRPr="00637B2A">
        <w:rPr>
          <w:rFonts w:asciiTheme="majorBidi" w:hAnsiTheme="majorBidi"/>
        </w:rPr>
        <w:t>distributive justice</w:t>
      </w:r>
      <w:r w:rsidR="00505590">
        <w:rPr>
          <w:rFonts w:asciiTheme="majorBidi" w:hAnsiTheme="majorBidi"/>
        </w:rPr>
        <w:t>,</w:t>
      </w:r>
      <w:r w:rsidR="00B87BD1">
        <w:rPr>
          <w:rFonts w:asciiTheme="majorBidi" w:hAnsiTheme="majorBidi"/>
        </w:rPr>
        <w:t xml:space="preserve"> and </w:t>
      </w:r>
      <w:r w:rsidR="00E32984">
        <w:rPr>
          <w:rFonts w:asciiTheme="majorBidi" w:hAnsiTheme="majorBidi"/>
        </w:rPr>
        <w:t xml:space="preserve">on </w:t>
      </w:r>
      <w:r w:rsidR="00B87BD1">
        <w:rPr>
          <w:rFonts w:asciiTheme="majorBidi" w:hAnsiTheme="majorBidi"/>
        </w:rPr>
        <w:t>the jurispruden</w:t>
      </w:r>
      <w:r w:rsidR="00B63B42">
        <w:rPr>
          <w:rFonts w:asciiTheme="majorBidi" w:hAnsiTheme="majorBidi"/>
        </w:rPr>
        <w:t xml:space="preserve">tial </w:t>
      </w:r>
      <w:r w:rsidR="00B87BD1">
        <w:rPr>
          <w:rFonts w:asciiTheme="majorBidi" w:hAnsiTheme="majorBidi"/>
        </w:rPr>
        <w:t>significance of settlements.</w:t>
      </w:r>
      <w:r w:rsidR="00FB4C80" w:rsidRPr="00637B2A">
        <w:rPr>
          <w:rFonts w:asciiTheme="majorBidi" w:hAnsiTheme="majorBidi"/>
        </w:rPr>
        <w:t xml:space="preserve"> </w:t>
      </w:r>
    </w:p>
    <w:p w14:paraId="6577195C" w14:textId="66E98828" w:rsidR="00706C53" w:rsidRPr="00637B2A" w:rsidRDefault="00B87BD1" w:rsidP="008B4E34">
      <w:pPr>
        <w:tabs>
          <w:tab w:val="num" w:pos="1440"/>
        </w:tabs>
        <w:spacing w:line="480" w:lineRule="auto"/>
        <w:jc w:val="both"/>
        <w:rPr>
          <w:rFonts w:asciiTheme="majorBidi" w:hAnsiTheme="majorBidi"/>
        </w:rPr>
      </w:pPr>
      <w:r>
        <w:rPr>
          <w:rFonts w:asciiTheme="majorBidi" w:hAnsiTheme="majorBidi"/>
        </w:rPr>
        <w:t xml:space="preserve">     </w:t>
      </w:r>
      <w:r w:rsidR="001B31CC" w:rsidRPr="00637B2A">
        <w:rPr>
          <w:rFonts w:asciiTheme="majorBidi" w:hAnsiTheme="majorBidi"/>
        </w:rPr>
        <w:t xml:space="preserve">At the time I had no knowledge </w:t>
      </w:r>
      <w:r w:rsidR="00B63B42">
        <w:rPr>
          <w:rFonts w:asciiTheme="majorBidi" w:hAnsiTheme="majorBidi"/>
        </w:rPr>
        <w:t xml:space="preserve">about </w:t>
      </w:r>
      <w:r w:rsidR="001B31CC" w:rsidRPr="00637B2A">
        <w:rPr>
          <w:rFonts w:asciiTheme="majorBidi" w:hAnsiTheme="majorBidi"/>
        </w:rPr>
        <w:t>or interest in corporate law</w:t>
      </w:r>
      <w:r w:rsidR="00505590">
        <w:rPr>
          <w:rFonts w:asciiTheme="majorBidi" w:hAnsiTheme="majorBidi"/>
        </w:rPr>
        <w:t>,</w:t>
      </w:r>
      <w:r w:rsidR="001B31CC" w:rsidRPr="00637B2A">
        <w:rPr>
          <w:rFonts w:asciiTheme="majorBidi" w:hAnsiTheme="majorBidi"/>
        </w:rPr>
        <w:t xml:space="preserve"> and </w:t>
      </w:r>
      <w:r w:rsidR="00505590">
        <w:rPr>
          <w:rFonts w:asciiTheme="majorBidi" w:hAnsiTheme="majorBidi"/>
        </w:rPr>
        <w:t xml:space="preserve">I had not </w:t>
      </w:r>
      <w:r w:rsidR="002D053E" w:rsidRPr="00637B2A">
        <w:rPr>
          <w:rFonts w:asciiTheme="majorBidi" w:hAnsiTheme="majorBidi"/>
        </w:rPr>
        <w:t>even tak</w:t>
      </w:r>
      <w:r w:rsidR="00650658">
        <w:rPr>
          <w:rFonts w:asciiTheme="majorBidi" w:hAnsiTheme="majorBidi"/>
        </w:rPr>
        <w:t xml:space="preserve">en </w:t>
      </w:r>
      <w:r w:rsidR="002D053E" w:rsidRPr="00637B2A">
        <w:rPr>
          <w:rFonts w:asciiTheme="majorBidi" w:hAnsiTheme="majorBidi"/>
        </w:rPr>
        <w:t xml:space="preserve">the corporations course during the </w:t>
      </w:r>
      <w:r w:rsidR="00650658">
        <w:rPr>
          <w:rFonts w:asciiTheme="majorBidi" w:hAnsiTheme="majorBidi"/>
        </w:rPr>
        <w:t xml:space="preserve">earlier </w:t>
      </w:r>
      <w:r w:rsidR="008B4E34">
        <w:rPr>
          <w:rFonts w:asciiTheme="majorBidi" w:hAnsiTheme="majorBidi"/>
        </w:rPr>
        <w:t xml:space="preserve">period in which </w:t>
      </w:r>
      <w:r w:rsidR="002D053E" w:rsidRPr="00637B2A">
        <w:rPr>
          <w:rFonts w:asciiTheme="majorBidi" w:hAnsiTheme="majorBidi"/>
        </w:rPr>
        <w:t>I was taking courses at Harvard Law School.</w:t>
      </w:r>
      <w:r w:rsidR="008B4E34">
        <w:rPr>
          <w:rFonts w:asciiTheme="majorBidi" w:hAnsiTheme="majorBidi"/>
        </w:rPr>
        <w:t xml:space="preserve"> </w:t>
      </w:r>
      <w:r w:rsidR="00516C55" w:rsidRPr="00637B2A">
        <w:rPr>
          <w:rFonts w:asciiTheme="majorBidi" w:hAnsiTheme="majorBidi"/>
        </w:rPr>
        <w:t>But I had the good fo</w:t>
      </w:r>
      <w:r w:rsidR="008B4E34">
        <w:rPr>
          <w:rFonts w:asciiTheme="majorBidi" w:hAnsiTheme="majorBidi"/>
        </w:rPr>
        <w:t xml:space="preserve">rtune of getting to know </w:t>
      </w:r>
      <w:r w:rsidR="00516C55" w:rsidRPr="00637B2A">
        <w:rPr>
          <w:rFonts w:asciiTheme="majorBidi" w:hAnsiTheme="majorBidi"/>
        </w:rPr>
        <w:t>Victor Brudney</w:t>
      </w:r>
      <w:r w:rsidR="009A4636">
        <w:rPr>
          <w:rFonts w:asciiTheme="majorBidi" w:hAnsiTheme="majorBidi"/>
        </w:rPr>
        <w:t xml:space="preserve"> who was teaching corporate law and corporate finance</w:t>
      </w:r>
      <w:r w:rsidR="00650658">
        <w:rPr>
          <w:rFonts w:asciiTheme="majorBidi" w:hAnsiTheme="majorBidi"/>
        </w:rPr>
        <w:t xml:space="preserve"> at Harvard</w:t>
      </w:r>
      <w:r w:rsidR="00516C55" w:rsidRPr="00637B2A">
        <w:rPr>
          <w:rFonts w:asciiTheme="majorBidi" w:hAnsiTheme="majorBidi"/>
        </w:rPr>
        <w:t>.</w:t>
      </w:r>
      <w:r w:rsidR="008B4E34">
        <w:rPr>
          <w:rFonts w:asciiTheme="majorBidi" w:hAnsiTheme="majorBidi"/>
        </w:rPr>
        <w:t xml:space="preserve"> </w:t>
      </w:r>
      <w:r w:rsidR="00880BE0" w:rsidRPr="00637B2A">
        <w:rPr>
          <w:rFonts w:asciiTheme="majorBidi" w:hAnsiTheme="majorBidi"/>
        </w:rPr>
        <w:t>I audited a c</w:t>
      </w:r>
      <w:r w:rsidR="008B4E34">
        <w:rPr>
          <w:rFonts w:asciiTheme="majorBidi" w:hAnsiTheme="majorBidi"/>
        </w:rPr>
        <w:t xml:space="preserve">ourse on </w:t>
      </w:r>
      <w:r w:rsidR="00880BE0" w:rsidRPr="00637B2A">
        <w:rPr>
          <w:rFonts w:asciiTheme="majorBidi" w:hAnsiTheme="majorBidi"/>
        </w:rPr>
        <w:t>theories of the firm</w:t>
      </w:r>
      <w:r w:rsidR="008B4E34">
        <w:rPr>
          <w:rFonts w:asciiTheme="majorBidi" w:hAnsiTheme="majorBidi"/>
        </w:rPr>
        <w:t xml:space="preserve"> that </w:t>
      </w:r>
      <w:r w:rsidR="00A22930">
        <w:rPr>
          <w:rFonts w:asciiTheme="majorBidi" w:hAnsiTheme="majorBidi"/>
        </w:rPr>
        <w:t xml:space="preserve">Victor </w:t>
      </w:r>
      <w:r w:rsidR="00650658">
        <w:rPr>
          <w:rFonts w:asciiTheme="majorBidi" w:hAnsiTheme="majorBidi"/>
        </w:rPr>
        <w:t xml:space="preserve">taught </w:t>
      </w:r>
      <w:r w:rsidR="00A22930">
        <w:rPr>
          <w:rFonts w:asciiTheme="majorBidi" w:hAnsiTheme="majorBidi"/>
        </w:rPr>
        <w:t xml:space="preserve">during </w:t>
      </w:r>
      <w:r w:rsidR="008B4E34">
        <w:rPr>
          <w:rFonts w:asciiTheme="majorBidi" w:hAnsiTheme="majorBidi"/>
        </w:rPr>
        <w:t>the prior year</w:t>
      </w:r>
      <w:r w:rsidR="00880BE0" w:rsidRPr="00637B2A">
        <w:rPr>
          <w:rFonts w:asciiTheme="majorBidi" w:hAnsiTheme="majorBidi"/>
        </w:rPr>
        <w:t>, and he took a liking to me</w:t>
      </w:r>
      <w:r w:rsidR="0054151D">
        <w:rPr>
          <w:rFonts w:asciiTheme="majorBidi" w:hAnsiTheme="majorBidi"/>
        </w:rPr>
        <w:t xml:space="preserve"> and </w:t>
      </w:r>
      <w:r w:rsidR="00880BE0" w:rsidRPr="00637B2A">
        <w:rPr>
          <w:rFonts w:asciiTheme="majorBidi" w:hAnsiTheme="majorBidi"/>
        </w:rPr>
        <w:t>would invite me to lunch with him</w:t>
      </w:r>
      <w:r w:rsidR="008B4E34">
        <w:rPr>
          <w:rFonts w:asciiTheme="majorBidi" w:hAnsiTheme="majorBidi"/>
        </w:rPr>
        <w:t xml:space="preserve"> f</w:t>
      </w:r>
      <w:r w:rsidR="00A22930">
        <w:rPr>
          <w:rFonts w:asciiTheme="majorBidi" w:hAnsiTheme="majorBidi"/>
        </w:rPr>
        <w:t>r</w:t>
      </w:r>
      <w:r w:rsidR="008B4E34">
        <w:rPr>
          <w:rFonts w:asciiTheme="majorBidi" w:hAnsiTheme="majorBidi"/>
        </w:rPr>
        <w:t xml:space="preserve">om time to time. </w:t>
      </w:r>
      <w:r w:rsidR="007149F4" w:rsidRPr="00637B2A">
        <w:rPr>
          <w:rFonts w:asciiTheme="majorBidi" w:hAnsiTheme="majorBidi"/>
        </w:rPr>
        <w:t xml:space="preserve">He </w:t>
      </w:r>
      <w:r w:rsidR="006E6BF1">
        <w:rPr>
          <w:rFonts w:asciiTheme="majorBidi" w:hAnsiTheme="majorBidi"/>
        </w:rPr>
        <w:t xml:space="preserve">was skeptical of </w:t>
      </w:r>
      <w:r w:rsidR="00BD7849" w:rsidRPr="00637B2A">
        <w:rPr>
          <w:rFonts w:asciiTheme="majorBidi" w:hAnsiTheme="majorBidi"/>
        </w:rPr>
        <w:t xml:space="preserve">economic arguments against regulation he was encountering, and </w:t>
      </w:r>
      <w:r w:rsidR="006E6BF1">
        <w:rPr>
          <w:rFonts w:asciiTheme="majorBidi" w:hAnsiTheme="majorBidi"/>
        </w:rPr>
        <w:t xml:space="preserve">often </w:t>
      </w:r>
      <w:r w:rsidR="005C45AC" w:rsidRPr="00637B2A">
        <w:rPr>
          <w:rFonts w:asciiTheme="majorBidi" w:hAnsiTheme="majorBidi"/>
        </w:rPr>
        <w:t>ask</w:t>
      </w:r>
      <w:r w:rsidR="006E6BF1">
        <w:rPr>
          <w:rFonts w:asciiTheme="majorBidi" w:hAnsiTheme="majorBidi"/>
        </w:rPr>
        <w:t xml:space="preserve">ed </w:t>
      </w:r>
      <w:r w:rsidR="005C45AC" w:rsidRPr="00637B2A">
        <w:rPr>
          <w:rFonts w:asciiTheme="majorBidi" w:hAnsiTheme="majorBidi"/>
        </w:rPr>
        <w:t xml:space="preserve">me </w:t>
      </w:r>
      <w:r w:rsidR="00706C53" w:rsidRPr="00637B2A">
        <w:rPr>
          <w:rFonts w:asciiTheme="majorBidi" w:hAnsiTheme="majorBidi"/>
        </w:rPr>
        <w:t xml:space="preserve">to discuss </w:t>
      </w:r>
      <w:r w:rsidR="006E6BF1">
        <w:rPr>
          <w:rFonts w:asciiTheme="majorBidi" w:hAnsiTheme="majorBidi"/>
        </w:rPr>
        <w:t xml:space="preserve">them with </w:t>
      </w:r>
      <w:r w:rsidR="00706C53" w:rsidRPr="00637B2A">
        <w:rPr>
          <w:rFonts w:asciiTheme="majorBidi" w:hAnsiTheme="majorBidi"/>
        </w:rPr>
        <w:t xml:space="preserve">him </w:t>
      </w:r>
      <w:r w:rsidR="005C45AC" w:rsidRPr="00637B2A">
        <w:rPr>
          <w:rFonts w:asciiTheme="majorBidi" w:hAnsiTheme="majorBidi"/>
        </w:rPr>
        <w:t>given my economic training</w:t>
      </w:r>
      <w:r w:rsidR="00C8728B" w:rsidRPr="00637B2A">
        <w:rPr>
          <w:rFonts w:asciiTheme="majorBidi" w:hAnsiTheme="majorBidi"/>
        </w:rPr>
        <w:t xml:space="preserve">. </w:t>
      </w:r>
    </w:p>
    <w:p w14:paraId="4F9A87CC" w14:textId="045919C2" w:rsidR="00A43F88" w:rsidRDefault="00F64596" w:rsidP="006926E1">
      <w:pPr>
        <w:tabs>
          <w:tab w:val="num" w:pos="1440"/>
        </w:tabs>
        <w:spacing w:line="480" w:lineRule="auto"/>
        <w:jc w:val="both"/>
        <w:rPr>
          <w:rFonts w:asciiTheme="majorBidi" w:hAnsiTheme="majorBidi"/>
        </w:rPr>
      </w:pPr>
      <w:r>
        <w:rPr>
          <w:rFonts w:asciiTheme="majorBidi" w:hAnsiTheme="majorBidi"/>
        </w:rPr>
        <w:t xml:space="preserve">       </w:t>
      </w:r>
      <w:r w:rsidR="007149F4" w:rsidRPr="00637B2A">
        <w:rPr>
          <w:rFonts w:asciiTheme="majorBidi" w:hAnsiTheme="majorBidi"/>
        </w:rPr>
        <w:t xml:space="preserve">One day </w:t>
      </w:r>
      <w:r>
        <w:rPr>
          <w:rFonts w:asciiTheme="majorBidi" w:hAnsiTheme="majorBidi"/>
        </w:rPr>
        <w:t xml:space="preserve">I ran into </w:t>
      </w:r>
      <w:r w:rsidR="0054151D">
        <w:rPr>
          <w:rFonts w:asciiTheme="majorBidi" w:hAnsiTheme="majorBidi"/>
        </w:rPr>
        <w:t xml:space="preserve">Victor </w:t>
      </w:r>
      <w:r w:rsidR="001B249B">
        <w:rPr>
          <w:rFonts w:asciiTheme="majorBidi" w:hAnsiTheme="majorBidi"/>
        </w:rPr>
        <w:t xml:space="preserve">in the corridor, </w:t>
      </w:r>
      <w:r>
        <w:rPr>
          <w:rFonts w:asciiTheme="majorBidi" w:hAnsiTheme="majorBidi"/>
        </w:rPr>
        <w:t xml:space="preserve">and he called me into his office </w:t>
      </w:r>
      <w:r w:rsidR="007149F4" w:rsidRPr="00637B2A">
        <w:rPr>
          <w:rFonts w:asciiTheme="majorBidi" w:hAnsiTheme="majorBidi"/>
        </w:rPr>
        <w:t xml:space="preserve">and </w:t>
      </w:r>
      <w:r>
        <w:rPr>
          <w:rFonts w:asciiTheme="majorBidi" w:hAnsiTheme="majorBidi"/>
        </w:rPr>
        <w:t xml:space="preserve">handed me </w:t>
      </w:r>
      <w:r w:rsidR="007149F4" w:rsidRPr="00637B2A">
        <w:rPr>
          <w:rFonts w:asciiTheme="majorBidi" w:hAnsiTheme="majorBidi"/>
        </w:rPr>
        <w:t>a draft of E</w:t>
      </w:r>
      <w:r>
        <w:rPr>
          <w:rFonts w:asciiTheme="majorBidi" w:hAnsiTheme="majorBidi"/>
        </w:rPr>
        <w:t xml:space="preserve">&amp;F’s </w:t>
      </w:r>
      <w:r w:rsidR="00BD32AC">
        <w:rPr>
          <w:rFonts w:asciiTheme="majorBidi" w:hAnsiTheme="majorBidi"/>
        </w:rPr>
        <w:t xml:space="preserve">paper </w:t>
      </w:r>
      <w:r w:rsidR="0001350F">
        <w:rPr>
          <w:rFonts w:asciiTheme="majorBidi" w:hAnsiTheme="majorBidi"/>
        </w:rPr>
        <w:t xml:space="preserve">on tender offer that </w:t>
      </w:r>
      <w:r w:rsidR="00706C53" w:rsidRPr="00637B2A">
        <w:rPr>
          <w:rFonts w:asciiTheme="majorBidi" w:hAnsiTheme="majorBidi"/>
        </w:rPr>
        <w:t xml:space="preserve">was scheduled to be published in the </w:t>
      </w:r>
      <w:r w:rsidR="00706C53" w:rsidRPr="00E76FB6">
        <w:rPr>
          <w:rFonts w:asciiTheme="majorBidi" w:hAnsiTheme="majorBidi"/>
          <w:i/>
          <w:iCs/>
        </w:rPr>
        <w:t xml:space="preserve">Harvard </w:t>
      </w:r>
      <w:r w:rsidR="00E76FB6" w:rsidRPr="00E76FB6">
        <w:rPr>
          <w:rFonts w:asciiTheme="majorBidi" w:hAnsiTheme="majorBidi"/>
          <w:i/>
          <w:iCs/>
        </w:rPr>
        <w:t>L</w:t>
      </w:r>
      <w:r w:rsidR="00706C53" w:rsidRPr="00E76FB6">
        <w:rPr>
          <w:rFonts w:asciiTheme="majorBidi" w:hAnsiTheme="majorBidi"/>
          <w:i/>
          <w:iCs/>
        </w:rPr>
        <w:t>aw Review</w:t>
      </w:r>
      <w:r w:rsidR="00706C53" w:rsidRPr="00637B2A">
        <w:rPr>
          <w:rFonts w:asciiTheme="majorBidi" w:hAnsiTheme="majorBidi"/>
        </w:rPr>
        <w:t xml:space="preserve"> later that year</w:t>
      </w:r>
      <w:r w:rsidR="00A21B3E">
        <w:rPr>
          <w:rFonts w:asciiTheme="majorBidi" w:hAnsiTheme="majorBidi"/>
        </w:rPr>
        <w:t>.</w:t>
      </w:r>
      <w:r w:rsidR="00BD32AC">
        <w:rPr>
          <w:rStyle w:val="FootnoteReference"/>
          <w:rFonts w:asciiTheme="majorBidi" w:hAnsiTheme="majorBidi"/>
        </w:rPr>
        <w:footnoteReference w:id="5"/>
      </w:r>
      <w:r w:rsidR="00706C53" w:rsidRPr="00637B2A">
        <w:rPr>
          <w:rFonts w:asciiTheme="majorBidi" w:hAnsiTheme="majorBidi"/>
        </w:rPr>
        <w:t xml:space="preserve"> </w:t>
      </w:r>
      <w:r w:rsidR="00044C8E" w:rsidRPr="00637B2A">
        <w:rPr>
          <w:rFonts w:asciiTheme="majorBidi" w:hAnsiTheme="majorBidi"/>
        </w:rPr>
        <w:t>In th</w:t>
      </w:r>
      <w:r w:rsidR="003F462C">
        <w:rPr>
          <w:rFonts w:asciiTheme="majorBidi" w:hAnsiTheme="majorBidi"/>
        </w:rPr>
        <w:t xml:space="preserve">eir </w:t>
      </w:r>
      <w:r w:rsidR="0001350F">
        <w:rPr>
          <w:rFonts w:asciiTheme="majorBidi" w:hAnsiTheme="majorBidi"/>
        </w:rPr>
        <w:t xml:space="preserve">paper, E&amp;F </w:t>
      </w:r>
      <w:r w:rsidR="003F462C">
        <w:rPr>
          <w:rFonts w:asciiTheme="majorBidi" w:hAnsiTheme="majorBidi"/>
        </w:rPr>
        <w:t xml:space="preserve">argued </w:t>
      </w:r>
      <w:r w:rsidR="00130DFF">
        <w:rPr>
          <w:rFonts w:asciiTheme="majorBidi" w:hAnsiTheme="majorBidi"/>
        </w:rPr>
        <w:t xml:space="preserve">that the goal of takeovers rules should be </w:t>
      </w:r>
      <w:r w:rsidR="009C05D6">
        <w:rPr>
          <w:rFonts w:asciiTheme="majorBidi" w:hAnsiTheme="majorBidi"/>
        </w:rPr>
        <w:t xml:space="preserve">to facilitate </w:t>
      </w:r>
      <w:r w:rsidR="00044C8E" w:rsidRPr="00637B2A">
        <w:rPr>
          <w:rFonts w:asciiTheme="majorBidi" w:hAnsiTheme="majorBidi"/>
        </w:rPr>
        <w:t>takeover</w:t>
      </w:r>
      <w:r w:rsidR="00D6457D">
        <w:rPr>
          <w:rFonts w:asciiTheme="majorBidi" w:hAnsiTheme="majorBidi"/>
        </w:rPr>
        <w:t>s</w:t>
      </w:r>
      <w:r w:rsidR="00130DFF">
        <w:rPr>
          <w:rFonts w:asciiTheme="majorBidi" w:hAnsiTheme="majorBidi"/>
        </w:rPr>
        <w:t xml:space="preserve"> to the fullest extent possible</w:t>
      </w:r>
      <w:r w:rsidR="009C05D6">
        <w:rPr>
          <w:rFonts w:asciiTheme="majorBidi" w:hAnsiTheme="majorBidi"/>
        </w:rPr>
        <w:t xml:space="preserve">, even those at a low </w:t>
      </w:r>
      <w:r w:rsidR="00D6457D">
        <w:rPr>
          <w:rFonts w:asciiTheme="majorBidi" w:hAnsiTheme="majorBidi"/>
        </w:rPr>
        <w:t>premium o</w:t>
      </w:r>
      <w:r w:rsidR="009C05D6">
        <w:rPr>
          <w:rFonts w:asciiTheme="majorBidi" w:hAnsiTheme="majorBidi"/>
        </w:rPr>
        <w:t xml:space="preserve">ver </w:t>
      </w:r>
      <w:r w:rsidR="00D6457D">
        <w:rPr>
          <w:rFonts w:asciiTheme="majorBidi" w:hAnsiTheme="majorBidi"/>
        </w:rPr>
        <w:t xml:space="preserve">the preceding </w:t>
      </w:r>
      <w:r w:rsidR="00130DFF">
        <w:rPr>
          <w:rFonts w:asciiTheme="majorBidi" w:hAnsiTheme="majorBidi"/>
        </w:rPr>
        <w:t xml:space="preserve">stock market </w:t>
      </w:r>
      <w:r w:rsidR="00D6457D">
        <w:rPr>
          <w:rFonts w:asciiTheme="majorBidi" w:hAnsiTheme="majorBidi"/>
        </w:rPr>
        <w:t>price</w:t>
      </w:r>
      <w:r w:rsidR="009C05D6">
        <w:rPr>
          <w:rFonts w:asciiTheme="majorBidi" w:hAnsiTheme="majorBidi"/>
        </w:rPr>
        <w:t>,</w:t>
      </w:r>
      <w:r w:rsidR="00D6457D">
        <w:rPr>
          <w:rFonts w:asciiTheme="majorBidi" w:hAnsiTheme="majorBidi"/>
        </w:rPr>
        <w:t xml:space="preserve"> </w:t>
      </w:r>
      <w:r w:rsidR="00130DFF">
        <w:rPr>
          <w:rFonts w:asciiTheme="majorBidi" w:hAnsiTheme="majorBidi"/>
        </w:rPr>
        <w:t xml:space="preserve">in order to enhance as much as possible </w:t>
      </w:r>
      <w:r w:rsidR="00044C8E" w:rsidRPr="00637B2A">
        <w:rPr>
          <w:rFonts w:asciiTheme="majorBidi" w:hAnsiTheme="majorBidi"/>
        </w:rPr>
        <w:t>the disc</w:t>
      </w:r>
      <w:r w:rsidR="006926E1">
        <w:rPr>
          <w:rFonts w:asciiTheme="majorBidi" w:hAnsiTheme="majorBidi"/>
        </w:rPr>
        <w:t>i</w:t>
      </w:r>
      <w:r w:rsidR="00044C8E" w:rsidRPr="00637B2A">
        <w:rPr>
          <w:rFonts w:asciiTheme="majorBidi" w:hAnsiTheme="majorBidi"/>
        </w:rPr>
        <w:t>plinary force of takeover</w:t>
      </w:r>
      <w:r w:rsidR="00130DFF">
        <w:rPr>
          <w:rFonts w:asciiTheme="majorBidi" w:hAnsiTheme="majorBidi"/>
        </w:rPr>
        <w:t xml:space="preserve"> bids. </w:t>
      </w:r>
      <w:r w:rsidR="00044C8E" w:rsidRPr="00637B2A">
        <w:rPr>
          <w:rFonts w:asciiTheme="majorBidi" w:hAnsiTheme="majorBidi"/>
        </w:rPr>
        <w:t xml:space="preserve"> </w:t>
      </w:r>
      <w:r w:rsidR="00F625BE" w:rsidRPr="00637B2A">
        <w:rPr>
          <w:rFonts w:asciiTheme="majorBidi" w:hAnsiTheme="majorBidi"/>
        </w:rPr>
        <w:t xml:space="preserve">Victor </w:t>
      </w:r>
      <w:r w:rsidR="00586FD2">
        <w:rPr>
          <w:rFonts w:asciiTheme="majorBidi" w:hAnsiTheme="majorBidi"/>
        </w:rPr>
        <w:t xml:space="preserve">heard Frank present the paper, and he </w:t>
      </w:r>
      <w:r w:rsidR="002C6974" w:rsidRPr="00637B2A">
        <w:rPr>
          <w:rFonts w:asciiTheme="majorBidi" w:hAnsiTheme="majorBidi"/>
        </w:rPr>
        <w:t xml:space="preserve">asked me to read the paper and </w:t>
      </w:r>
      <w:r w:rsidR="00381EBB">
        <w:rPr>
          <w:rFonts w:asciiTheme="majorBidi" w:hAnsiTheme="majorBidi"/>
        </w:rPr>
        <w:t xml:space="preserve">let him know what I thought. </w:t>
      </w:r>
      <w:r w:rsidR="00E01D84" w:rsidRPr="00637B2A">
        <w:rPr>
          <w:rFonts w:asciiTheme="majorBidi" w:hAnsiTheme="majorBidi"/>
        </w:rPr>
        <w:t xml:space="preserve">When I </w:t>
      </w:r>
      <w:r w:rsidR="00ED00BA">
        <w:rPr>
          <w:rFonts w:asciiTheme="majorBidi" w:hAnsiTheme="majorBidi"/>
        </w:rPr>
        <w:t xml:space="preserve">told him </w:t>
      </w:r>
      <w:r w:rsidR="00586FD2">
        <w:rPr>
          <w:rFonts w:asciiTheme="majorBidi" w:hAnsiTheme="majorBidi"/>
        </w:rPr>
        <w:t xml:space="preserve">over lunch </w:t>
      </w:r>
      <w:r w:rsidR="00381EBB">
        <w:rPr>
          <w:rFonts w:asciiTheme="majorBidi" w:hAnsiTheme="majorBidi"/>
        </w:rPr>
        <w:t>my views on what E&amp;F</w:t>
      </w:r>
      <w:r w:rsidR="004142EE">
        <w:rPr>
          <w:rFonts w:asciiTheme="majorBidi" w:hAnsiTheme="majorBidi"/>
        </w:rPr>
        <w:t>’s</w:t>
      </w:r>
      <w:r w:rsidR="00381EBB">
        <w:rPr>
          <w:rFonts w:asciiTheme="majorBidi" w:hAnsiTheme="majorBidi"/>
        </w:rPr>
        <w:t xml:space="preserve"> </w:t>
      </w:r>
      <w:r w:rsidR="002C6974" w:rsidRPr="00637B2A">
        <w:rPr>
          <w:rFonts w:asciiTheme="majorBidi" w:hAnsiTheme="majorBidi"/>
        </w:rPr>
        <w:t xml:space="preserve">economic analysis </w:t>
      </w:r>
      <w:r w:rsidR="004142EE">
        <w:rPr>
          <w:rFonts w:asciiTheme="majorBidi" w:hAnsiTheme="majorBidi"/>
        </w:rPr>
        <w:t xml:space="preserve">did not </w:t>
      </w:r>
      <w:proofErr w:type="gramStart"/>
      <w:r w:rsidR="004142EE">
        <w:rPr>
          <w:rFonts w:asciiTheme="majorBidi" w:hAnsiTheme="majorBidi"/>
        </w:rPr>
        <w:t>take into account</w:t>
      </w:r>
      <w:proofErr w:type="gramEnd"/>
      <w:r w:rsidR="004142EE">
        <w:rPr>
          <w:rFonts w:asciiTheme="majorBidi" w:hAnsiTheme="majorBidi"/>
        </w:rPr>
        <w:t xml:space="preserve">, </w:t>
      </w:r>
      <w:r w:rsidR="00DA6E49" w:rsidRPr="00637B2A">
        <w:rPr>
          <w:rFonts w:asciiTheme="majorBidi" w:hAnsiTheme="majorBidi"/>
        </w:rPr>
        <w:t xml:space="preserve">he </w:t>
      </w:r>
      <w:r w:rsidR="00ED00BA">
        <w:rPr>
          <w:rFonts w:asciiTheme="majorBidi" w:hAnsiTheme="majorBidi"/>
        </w:rPr>
        <w:t xml:space="preserve">suggested to me that I </w:t>
      </w:r>
      <w:r w:rsidR="00DA6E49" w:rsidRPr="00637B2A">
        <w:rPr>
          <w:rFonts w:asciiTheme="majorBidi" w:hAnsiTheme="majorBidi"/>
        </w:rPr>
        <w:t xml:space="preserve">write up a </w:t>
      </w:r>
      <w:r w:rsidR="00A3698F">
        <w:rPr>
          <w:rFonts w:asciiTheme="majorBidi" w:hAnsiTheme="majorBidi"/>
        </w:rPr>
        <w:t xml:space="preserve">paper on the subject. </w:t>
      </w:r>
    </w:p>
    <w:p w14:paraId="0DB0D8FF" w14:textId="269C5EB0" w:rsidR="00717AD6" w:rsidRDefault="00A43F88" w:rsidP="00DA5583">
      <w:pPr>
        <w:tabs>
          <w:tab w:val="num" w:pos="1440"/>
        </w:tabs>
        <w:spacing w:line="480" w:lineRule="auto"/>
        <w:jc w:val="both"/>
        <w:rPr>
          <w:rFonts w:asciiTheme="majorBidi" w:hAnsiTheme="majorBidi"/>
        </w:rPr>
      </w:pPr>
      <w:r>
        <w:rPr>
          <w:rFonts w:asciiTheme="majorBidi" w:hAnsiTheme="majorBidi"/>
        </w:rPr>
        <w:t xml:space="preserve">       </w:t>
      </w:r>
      <w:r w:rsidR="00DA6E49" w:rsidRPr="00637B2A">
        <w:rPr>
          <w:rFonts w:asciiTheme="majorBidi" w:hAnsiTheme="majorBidi"/>
        </w:rPr>
        <w:t xml:space="preserve">I </w:t>
      </w:r>
      <w:r w:rsidR="00ED00BA">
        <w:rPr>
          <w:rFonts w:asciiTheme="majorBidi" w:hAnsiTheme="majorBidi"/>
        </w:rPr>
        <w:t xml:space="preserve">did, and I </w:t>
      </w:r>
      <w:r w:rsidR="00DA6E49" w:rsidRPr="00637B2A">
        <w:rPr>
          <w:rFonts w:asciiTheme="majorBidi" w:hAnsiTheme="majorBidi"/>
        </w:rPr>
        <w:t xml:space="preserve">was </w:t>
      </w:r>
      <w:r w:rsidR="00630E53">
        <w:rPr>
          <w:rFonts w:asciiTheme="majorBidi" w:hAnsiTheme="majorBidi"/>
        </w:rPr>
        <w:t>fortunate that</w:t>
      </w:r>
      <w:r w:rsidR="00A3698F">
        <w:rPr>
          <w:rFonts w:asciiTheme="majorBidi" w:hAnsiTheme="majorBidi"/>
        </w:rPr>
        <w:t xml:space="preserve">, even though </w:t>
      </w:r>
      <w:r w:rsidR="008F682E">
        <w:rPr>
          <w:rFonts w:asciiTheme="majorBidi" w:hAnsiTheme="majorBidi"/>
        </w:rPr>
        <w:t>the</w:t>
      </w:r>
      <w:r w:rsidR="004142EE">
        <w:rPr>
          <w:rFonts w:asciiTheme="majorBidi" w:hAnsiTheme="majorBidi"/>
        </w:rPr>
        <w:t xml:space="preserve"> </w:t>
      </w:r>
      <w:r w:rsidR="004142EE" w:rsidRPr="00EC0048">
        <w:rPr>
          <w:rFonts w:asciiTheme="majorBidi" w:hAnsiTheme="majorBidi"/>
          <w:i/>
          <w:iCs/>
        </w:rPr>
        <w:t>Harvard Law Review</w:t>
      </w:r>
      <w:r w:rsidR="004142EE">
        <w:rPr>
          <w:rFonts w:asciiTheme="majorBidi" w:hAnsiTheme="majorBidi"/>
        </w:rPr>
        <w:t xml:space="preserve"> </w:t>
      </w:r>
      <w:r>
        <w:rPr>
          <w:rFonts w:asciiTheme="majorBidi" w:hAnsiTheme="majorBidi"/>
        </w:rPr>
        <w:t xml:space="preserve">generally did not publish articles by students, </w:t>
      </w:r>
      <w:r w:rsidR="00DA6E49" w:rsidRPr="00637B2A">
        <w:rPr>
          <w:rFonts w:asciiTheme="majorBidi" w:hAnsiTheme="majorBidi"/>
        </w:rPr>
        <w:t>the</w:t>
      </w:r>
      <w:r w:rsidR="004142EE">
        <w:rPr>
          <w:rFonts w:asciiTheme="majorBidi" w:hAnsiTheme="majorBidi"/>
        </w:rPr>
        <w:t xml:space="preserve">y </w:t>
      </w:r>
      <w:r w:rsidR="00FD7A3E">
        <w:rPr>
          <w:rFonts w:asciiTheme="majorBidi" w:hAnsiTheme="majorBidi"/>
        </w:rPr>
        <w:t>accept</w:t>
      </w:r>
      <w:r w:rsidR="00EC0048">
        <w:rPr>
          <w:rFonts w:asciiTheme="majorBidi" w:hAnsiTheme="majorBidi"/>
        </w:rPr>
        <w:t>ed</w:t>
      </w:r>
      <w:r w:rsidR="00FD7A3E">
        <w:rPr>
          <w:rFonts w:asciiTheme="majorBidi" w:hAnsiTheme="majorBidi"/>
        </w:rPr>
        <w:t xml:space="preserve"> my submission </w:t>
      </w:r>
      <w:r>
        <w:rPr>
          <w:rFonts w:asciiTheme="majorBidi" w:hAnsiTheme="majorBidi"/>
        </w:rPr>
        <w:t>and published my article</w:t>
      </w:r>
      <w:r w:rsidR="0025112A">
        <w:rPr>
          <w:rFonts w:asciiTheme="majorBidi" w:hAnsiTheme="majorBidi"/>
        </w:rPr>
        <w:t xml:space="preserve"> </w:t>
      </w:r>
      <w:r>
        <w:rPr>
          <w:rFonts w:asciiTheme="majorBidi" w:hAnsiTheme="majorBidi"/>
        </w:rPr>
        <w:t xml:space="preserve">on the case for </w:t>
      </w:r>
      <w:r>
        <w:rPr>
          <w:rFonts w:asciiTheme="majorBidi" w:hAnsiTheme="majorBidi"/>
        </w:rPr>
        <w:lastRenderedPageBreak/>
        <w:t>facilitating competing</w:t>
      </w:r>
      <w:r w:rsidR="0025112A">
        <w:rPr>
          <w:rFonts w:asciiTheme="majorBidi" w:hAnsiTheme="majorBidi"/>
        </w:rPr>
        <w:t xml:space="preserve"> tender offers</w:t>
      </w:r>
      <w:r w:rsidR="00273573">
        <w:rPr>
          <w:rFonts w:asciiTheme="majorBidi" w:hAnsiTheme="majorBidi"/>
        </w:rPr>
        <w:t>.</w:t>
      </w:r>
      <w:r w:rsidR="00ED00BA">
        <w:rPr>
          <w:rStyle w:val="FootnoteReference"/>
          <w:rFonts w:asciiTheme="majorBidi" w:hAnsiTheme="majorBidi"/>
        </w:rPr>
        <w:footnoteReference w:id="6"/>
      </w:r>
      <w:r w:rsidR="00781DA0" w:rsidRPr="00637B2A">
        <w:rPr>
          <w:rFonts w:asciiTheme="majorBidi" w:hAnsiTheme="majorBidi"/>
        </w:rPr>
        <w:t xml:space="preserve"> </w:t>
      </w:r>
      <w:r w:rsidR="008F682E">
        <w:rPr>
          <w:rFonts w:asciiTheme="majorBidi" w:hAnsiTheme="majorBidi"/>
        </w:rPr>
        <w:t xml:space="preserve">My </w:t>
      </w:r>
      <w:r w:rsidR="000F345F">
        <w:rPr>
          <w:rFonts w:asciiTheme="majorBidi" w:hAnsiTheme="majorBidi"/>
        </w:rPr>
        <w:t xml:space="preserve">article </w:t>
      </w:r>
      <w:r w:rsidR="00844C96">
        <w:rPr>
          <w:rFonts w:asciiTheme="majorBidi" w:hAnsiTheme="majorBidi"/>
        </w:rPr>
        <w:t xml:space="preserve">explained </w:t>
      </w:r>
      <w:r w:rsidR="00A379EA">
        <w:rPr>
          <w:rFonts w:asciiTheme="majorBidi" w:hAnsiTheme="majorBidi"/>
        </w:rPr>
        <w:t xml:space="preserve">that </w:t>
      </w:r>
      <w:r w:rsidR="000F345F">
        <w:rPr>
          <w:rFonts w:asciiTheme="majorBidi" w:hAnsiTheme="majorBidi"/>
        </w:rPr>
        <w:t xml:space="preserve">facilitating competing tender offers in the event </w:t>
      </w:r>
      <w:r w:rsidR="00CC4C14">
        <w:rPr>
          <w:rFonts w:asciiTheme="majorBidi" w:hAnsiTheme="majorBidi"/>
        </w:rPr>
        <w:t xml:space="preserve">that </w:t>
      </w:r>
      <w:r w:rsidR="000F345F">
        <w:rPr>
          <w:rFonts w:asciiTheme="majorBidi" w:hAnsiTheme="majorBidi"/>
        </w:rPr>
        <w:t xml:space="preserve">a bid is made </w:t>
      </w:r>
      <w:r w:rsidR="00A379EA">
        <w:rPr>
          <w:rFonts w:asciiTheme="majorBidi" w:hAnsiTheme="majorBidi"/>
        </w:rPr>
        <w:t>would ensure that targets are allocated to the buyer that values them most highly</w:t>
      </w:r>
      <w:r w:rsidR="002B3328">
        <w:rPr>
          <w:rFonts w:asciiTheme="majorBidi" w:hAnsiTheme="majorBidi"/>
        </w:rPr>
        <w:t>,</w:t>
      </w:r>
      <w:r w:rsidR="00A379EA">
        <w:rPr>
          <w:rFonts w:asciiTheme="majorBidi" w:hAnsiTheme="majorBidi"/>
        </w:rPr>
        <w:t xml:space="preserve"> thereby benefitting both target shareholders and society</w:t>
      </w:r>
      <w:r w:rsidR="002B3328">
        <w:rPr>
          <w:rFonts w:asciiTheme="majorBidi" w:hAnsiTheme="majorBidi"/>
        </w:rPr>
        <w:t xml:space="preserve">; therefore, the analysis suggested, </w:t>
      </w:r>
      <w:r w:rsidR="00807B3A">
        <w:rPr>
          <w:rFonts w:asciiTheme="majorBidi" w:hAnsiTheme="majorBidi"/>
        </w:rPr>
        <w:t xml:space="preserve">takeover laws should facilitate competing offers by providing time and allowing target managements to solicit such offers. </w:t>
      </w:r>
    </w:p>
    <w:p w14:paraId="7ED53458" w14:textId="23322D28" w:rsidR="00781DA0" w:rsidRDefault="00717AD6" w:rsidP="00DA5583">
      <w:pPr>
        <w:tabs>
          <w:tab w:val="num" w:pos="1440"/>
        </w:tabs>
        <w:spacing w:line="480" w:lineRule="auto"/>
        <w:jc w:val="both"/>
        <w:rPr>
          <w:rFonts w:asciiTheme="majorBidi" w:hAnsiTheme="majorBidi"/>
        </w:rPr>
      </w:pPr>
      <w:r>
        <w:rPr>
          <w:rFonts w:asciiTheme="majorBidi" w:hAnsiTheme="majorBidi"/>
        </w:rPr>
        <w:t xml:space="preserve">            </w:t>
      </w:r>
      <w:r w:rsidR="00A67787">
        <w:rPr>
          <w:rFonts w:asciiTheme="majorBidi" w:hAnsiTheme="majorBidi"/>
        </w:rPr>
        <w:t xml:space="preserve">I </w:t>
      </w:r>
      <w:r>
        <w:rPr>
          <w:rFonts w:asciiTheme="majorBidi" w:hAnsiTheme="majorBidi"/>
        </w:rPr>
        <w:t xml:space="preserve">subsequently </w:t>
      </w:r>
      <w:r w:rsidR="00807B3A">
        <w:rPr>
          <w:rFonts w:asciiTheme="majorBidi" w:hAnsiTheme="majorBidi"/>
        </w:rPr>
        <w:t xml:space="preserve">was </w:t>
      </w:r>
      <w:r w:rsidR="00A67787">
        <w:rPr>
          <w:rFonts w:asciiTheme="majorBidi" w:hAnsiTheme="majorBidi"/>
        </w:rPr>
        <w:t xml:space="preserve">also fortunate that </w:t>
      </w:r>
      <w:r w:rsidR="00DA5583">
        <w:rPr>
          <w:rFonts w:asciiTheme="majorBidi" w:hAnsiTheme="majorBidi"/>
        </w:rPr>
        <w:t xml:space="preserve">E&amp;F </w:t>
      </w:r>
      <w:r w:rsidR="00807B3A">
        <w:rPr>
          <w:rFonts w:asciiTheme="majorBidi" w:hAnsiTheme="majorBidi"/>
        </w:rPr>
        <w:t xml:space="preserve">decided to </w:t>
      </w:r>
      <w:proofErr w:type="gramStart"/>
      <w:r w:rsidR="00DA5583">
        <w:rPr>
          <w:rFonts w:asciiTheme="majorBidi" w:hAnsiTheme="majorBidi"/>
        </w:rPr>
        <w:t>write</w:t>
      </w:r>
      <w:proofErr w:type="gramEnd"/>
      <w:r w:rsidR="00DA5583">
        <w:rPr>
          <w:rFonts w:asciiTheme="majorBidi" w:hAnsiTheme="majorBidi"/>
        </w:rPr>
        <w:t xml:space="preserve"> a paper engaging with my position,</w:t>
      </w:r>
      <w:r w:rsidR="004B3DC9">
        <w:rPr>
          <w:rStyle w:val="FootnoteReference"/>
          <w:rFonts w:asciiTheme="majorBidi" w:hAnsiTheme="majorBidi"/>
        </w:rPr>
        <w:footnoteReference w:id="7"/>
      </w:r>
      <w:r w:rsidR="00DA5583">
        <w:rPr>
          <w:rFonts w:asciiTheme="majorBidi" w:hAnsiTheme="majorBidi"/>
        </w:rPr>
        <w:t xml:space="preserve"> and that the </w:t>
      </w:r>
      <w:r w:rsidR="00781DA0" w:rsidRPr="00FD7A3E">
        <w:rPr>
          <w:rFonts w:asciiTheme="majorBidi" w:hAnsiTheme="majorBidi"/>
          <w:i/>
          <w:iCs/>
        </w:rPr>
        <w:t>Stanford Law Review</w:t>
      </w:r>
      <w:r w:rsidR="00781DA0" w:rsidRPr="00637B2A">
        <w:rPr>
          <w:rFonts w:asciiTheme="majorBidi" w:hAnsiTheme="majorBidi"/>
        </w:rPr>
        <w:t xml:space="preserve"> </w:t>
      </w:r>
      <w:r w:rsidR="006448FF">
        <w:rPr>
          <w:rFonts w:asciiTheme="majorBidi" w:hAnsiTheme="majorBidi"/>
        </w:rPr>
        <w:t xml:space="preserve">invited </w:t>
      </w:r>
      <w:r w:rsidR="00DE4B0E">
        <w:rPr>
          <w:rFonts w:asciiTheme="majorBidi" w:hAnsiTheme="majorBidi"/>
        </w:rPr>
        <w:t xml:space="preserve">me to participate in an exchange on the subject with E&amp;F </w:t>
      </w:r>
      <w:r>
        <w:rPr>
          <w:rFonts w:asciiTheme="majorBidi" w:hAnsiTheme="majorBidi"/>
        </w:rPr>
        <w:t xml:space="preserve">and </w:t>
      </w:r>
      <w:r w:rsidR="00B96FA5">
        <w:rPr>
          <w:rFonts w:asciiTheme="majorBidi" w:hAnsiTheme="majorBidi"/>
        </w:rPr>
        <w:t xml:space="preserve">Stanford Professor </w:t>
      </w:r>
      <w:r>
        <w:rPr>
          <w:rFonts w:asciiTheme="majorBidi" w:hAnsiTheme="majorBidi"/>
        </w:rPr>
        <w:t>R</w:t>
      </w:r>
      <w:r w:rsidR="00B96FA5">
        <w:rPr>
          <w:rFonts w:asciiTheme="majorBidi" w:hAnsiTheme="majorBidi"/>
        </w:rPr>
        <w:t>on Gilson</w:t>
      </w:r>
      <w:r w:rsidR="00DE4B0E">
        <w:rPr>
          <w:rFonts w:asciiTheme="majorBidi" w:hAnsiTheme="majorBidi"/>
        </w:rPr>
        <w:t xml:space="preserve">. This </w:t>
      </w:r>
      <w:r w:rsidR="00DA5583">
        <w:rPr>
          <w:rFonts w:asciiTheme="majorBidi" w:hAnsiTheme="majorBidi"/>
        </w:rPr>
        <w:t xml:space="preserve">provided me with an opportunity to </w:t>
      </w:r>
      <w:r w:rsidR="00FC653E">
        <w:rPr>
          <w:rFonts w:asciiTheme="majorBidi" w:hAnsiTheme="majorBidi"/>
        </w:rPr>
        <w:t xml:space="preserve">publish an article </w:t>
      </w:r>
      <w:r w:rsidR="00DA5583">
        <w:rPr>
          <w:rFonts w:asciiTheme="majorBidi" w:hAnsiTheme="majorBidi"/>
        </w:rPr>
        <w:t>reply</w:t>
      </w:r>
      <w:r w:rsidR="00FC653E">
        <w:rPr>
          <w:rFonts w:asciiTheme="majorBidi" w:hAnsiTheme="majorBidi"/>
        </w:rPr>
        <w:t>ing</w:t>
      </w:r>
      <w:r w:rsidR="00DA5583">
        <w:rPr>
          <w:rFonts w:asciiTheme="majorBidi" w:hAnsiTheme="majorBidi"/>
        </w:rPr>
        <w:t xml:space="preserve"> to E&amp;F</w:t>
      </w:r>
      <w:r w:rsidR="00FC653E">
        <w:rPr>
          <w:rFonts w:asciiTheme="majorBidi" w:hAnsiTheme="majorBidi"/>
        </w:rPr>
        <w:t xml:space="preserve">’s critique </w:t>
      </w:r>
      <w:r w:rsidR="00A23CA6">
        <w:rPr>
          <w:rFonts w:asciiTheme="majorBidi" w:hAnsiTheme="majorBidi"/>
        </w:rPr>
        <w:t>and develop</w:t>
      </w:r>
      <w:r w:rsidR="00FC653E">
        <w:rPr>
          <w:rFonts w:asciiTheme="majorBidi" w:hAnsiTheme="majorBidi"/>
        </w:rPr>
        <w:t>ing</w:t>
      </w:r>
      <w:r w:rsidR="00A23CA6">
        <w:rPr>
          <w:rFonts w:asciiTheme="majorBidi" w:hAnsiTheme="majorBidi"/>
        </w:rPr>
        <w:t xml:space="preserve"> further my view on the value of auction in takeovers.</w:t>
      </w:r>
      <w:r w:rsidR="004B3DC9">
        <w:rPr>
          <w:rStyle w:val="FootnoteReference"/>
          <w:rFonts w:asciiTheme="majorBidi" w:hAnsiTheme="majorBidi"/>
        </w:rPr>
        <w:footnoteReference w:id="8"/>
      </w:r>
      <w:r w:rsidR="00A23CA6">
        <w:rPr>
          <w:rFonts w:asciiTheme="majorBidi" w:hAnsiTheme="majorBidi"/>
        </w:rPr>
        <w:t xml:space="preserve"> </w:t>
      </w:r>
    </w:p>
    <w:p w14:paraId="6958E252" w14:textId="2F354A9F" w:rsidR="003F5F12" w:rsidRPr="000853EF" w:rsidRDefault="00CD095E" w:rsidP="003305F5">
      <w:pPr>
        <w:tabs>
          <w:tab w:val="num" w:pos="1440"/>
        </w:tabs>
        <w:spacing w:line="480" w:lineRule="auto"/>
        <w:jc w:val="both"/>
        <w:rPr>
          <w:rFonts w:asciiTheme="majorBidi" w:hAnsiTheme="majorBidi"/>
        </w:rPr>
      </w:pPr>
      <w:r>
        <w:rPr>
          <w:rFonts w:asciiTheme="majorBidi" w:hAnsiTheme="majorBidi"/>
        </w:rPr>
        <w:t xml:space="preserve">                </w:t>
      </w:r>
      <w:r w:rsidR="000E26DB">
        <w:rPr>
          <w:rFonts w:asciiTheme="majorBidi" w:hAnsiTheme="majorBidi"/>
        </w:rPr>
        <w:t xml:space="preserve">This engagement with E&amp;F led me to </w:t>
      </w:r>
      <w:proofErr w:type="gramStart"/>
      <w:r w:rsidR="00256B7A">
        <w:rPr>
          <w:rFonts w:asciiTheme="majorBidi" w:hAnsiTheme="majorBidi"/>
        </w:rPr>
        <w:t>write</w:t>
      </w:r>
      <w:proofErr w:type="gramEnd"/>
      <w:r w:rsidR="00256B7A">
        <w:rPr>
          <w:rFonts w:asciiTheme="majorBidi" w:hAnsiTheme="majorBidi"/>
        </w:rPr>
        <w:t xml:space="preserve"> a subsequent article </w:t>
      </w:r>
      <w:r w:rsidR="00490F06">
        <w:rPr>
          <w:rFonts w:asciiTheme="majorBidi" w:hAnsiTheme="majorBidi"/>
        </w:rPr>
        <w:t xml:space="preserve">analyzing how </w:t>
      </w:r>
      <w:r w:rsidR="00256B7A">
        <w:rPr>
          <w:rFonts w:asciiTheme="majorBidi" w:hAnsiTheme="majorBidi"/>
        </w:rPr>
        <w:t xml:space="preserve">takeover </w:t>
      </w:r>
      <w:r w:rsidR="00490F06">
        <w:rPr>
          <w:rFonts w:asciiTheme="majorBidi" w:hAnsiTheme="majorBidi"/>
        </w:rPr>
        <w:t>reg</w:t>
      </w:r>
      <w:r w:rsidR="00340426">
        <w:rPr>
          <w:rFonts w:asciiTheme="majorBidi" w:hAnsiTheme="majorBidi"/>
        </w:rPr>
        <w:t>ulation</w:t>
      </w:r>
      <w:r w:rsidR="000E26DB">
        <w:rPr>
          <w:rFonts w:asciiTheme="majorBidi" w:hAnsiTheme="majorBidi"/>
        </w:rPr>
        <w:t>s</w:t>
      </w:r>
      <w:r w:rsidR="00340426">
        <w:rPr>
          <w:rFonts w:asciiTheme="majorBidi" w:hAnsiTheme="majorBidi"/>
        </w:rPr>
        <w:t xml:space="preserve"> </w:t>
      </w:r>
      <w:r w:rsidR="00490F06">
        <w:rPr>
          <w:rFonts w:asciiTheme="majorBidi" w:hAnsiTheme="majorBidi"/>
        </w:rPr>
        <w:t xml:space="preserve">should seek to secure undistorted choice by </w:t>
      </w:r>
      <w:r w:rsidR="00340426">
        <w:rPr>
          <w:rFonts w:asciiTheme="majorBidi" w:hAnsiTheme="majorBidi"/>
        </w:rPr>
        <w:t>target shareholders.</w:t>
      </w:r>
      <w:r w:rsidR="007C394A">
        <w:rPr>
          <w:rStyle w:val="FootnoteReference"/>
          <w:rFonts w:asciiTheme="majorBidi" w:hAnsiTheme="majorBidi"/>
        </w:rPr>
        <w:footnoteReference w:id="9"/>
      </w:r>
      <w:r w:rsidR="00A40EBD">
        <w:rPr>
          <w:rFonts w:asciiTheme="majorBidi" w:hAnsiTheme="majorBidi"/>
        </w:rPr>
        <w:t xml:space="preserve"> </w:t>
      </w:r>
      <w:r w:rsidR="003305F5">
        <w:rPr>
          <w:rFonts w:asciiTheme="majorBidi" w:hAnsiTheme="majorBidi"/>
        </w:rPr>
        <w:t xml:space="preserve">This </w:t>
      </w:r>
      <w:r w:rsidR="00A77E92">
        <w:rPr>
          <w:rFonts w:asciiTheme="majorBidi" w:hAnsiTheme="majorBidi"/>
        </w:rPr>
        <w:t xml:space="preserve">in turn </w:t>
      </w:r>
      <w:r w:rsidR="00256B7A">
        <w:rPr>
          <w:rFonts w:asciiTheme="majorBidi" w:hAnsiTheme="majorBidi"/>
        </w:rPr>
        <w:t xml:space="preserve">resulted in </w:t>
      </w:r>
      <w:r w:rsidR="003305F5">
        <w:rPr>
          <w:rFonts w:asciiTheme="majorBidi" w:hAnsiTheme="majorBidi"/>
        </w:rPr>
        <w:t xml:space="preserve">my being asked to </w:t>
      </w:r>
      <w:r w:rsidR="000302CC">
        <w:rPr>
          <w:rFonts w:asciiTheme="majorBidi" w:hAnsiTheme="majorBidi"/>
        </w:rPr>
        <w:t xml:space="preserve">teach </w:t>
      </w:r>
      <w:r w:rsidR="009A7FA5">
        <w:rPr>
          <w:rFonts w:asciiTheme="majorBidi" w:hAnsiTheme="majorBidi"/>
        </w:rPr>
        <w:t>corporate courses</w:t>
      </w:r>
      <w:r w:rsidR="003305F5">
        <w:rPr>
          <w:rFonts w:asciiTheme="majorBidi" w:hAnsiTheme="majorBidi"/>
        </w:rPr>
        <w:t xml:space="preserve"> </w:t>
      </w:r>
      <w:r w:rsidR="000E26DB">
        <w:rPr>
          <w:rFonts w:asciiTheme="majorBidi" w:hAnsiTheme="majorBidi"/>
        </w:rPr>
        <w:t xml:space="preserve">after </w:t>
      </w:r>
      <w:r w:rsidR="003305F5">
        <w:rPr>
          <w:rFonts w:asciiTheme="majorBidi" w:hAnsiTheme="majorBidi"/>
        </w:rPr>
        <w:t>I joined the Harvard Law School faculty</w:t>
      </w:r>
      <w:r w:rsidR="000302CC">
        <w:rPr>
          <w:rFonts w:asciiTheme="majorBidi" w:hAnsiTheme="majorBidi"/>
        </w:rPr>
        <w:t xml:space="preserve">, and I started thinking about the </w:t>
      </w:r>
      <w:r w:rsidR="008541F4">
        <w:rPr>
          <w:rFonts w:asciiTheme="majorBidi" w:hAnsiTheme="majorBidi"/>
        </w:rPr>
        <w:t xml:space="preserve">corporate </w:t>
      </w:r>
      <w:r w:rsidR="000302CC">
        <w:rPr>
          <w:rFonts w:asciiTheme="majorBidi" w:hAnsiTheme="majorBidi"/>
        </w:rPr>
        <w:t>field more broadly</w:t>
      </w:r>
      <w:r w:rsidR="00A3168C">
        <w:rPr>
          <w:rFonts w:asciiTheme="majorBidi" w:hAnsiTheme="majorBidi"/>
        </w:rPr>
        <w:t xml:space="preserve">. </w:t>
      </w:r>
      <w:r w:rsidR="008541F4">
        <w:rPr>
          <w:rFonts w:asciiTheme="majorBidi" w:hAnsiTheme="majorBidi"/>
        </w:rPr>
        <w:t>While t</w:t>
      </w:r>
      <w:r w:rsidR="00C10C08">
        <w:rPr>
          <w:rFonts w:asciiTheme="majorBidi" w:hAnsiTheme="majorBidi"/>
        </w:rPr>
        <w:t>h</w:t>
      </w:r>
      <w:r w:rsidR="008541F4">
        <w:rPr>
          <w:rFonts w:asciiTheme="majorBidi" w:hAnsiTheme="majorBidi"/>
        </w:rPr>
        <w:t xml:space="preserve">is field </w:t>
      </w:r>
      <w:r w:rsidR="00A220BD">
        <w:rPr>
          <w:rFonts w:asciiTheme="majorBidi" w:hAnsiTheme="majorBidi"/>
        </w:rPr>
        <w:t xml:space="preserve">was </w:t>
      </w:r>
      <w:r w:rsidR="00C10C08">
        <w:rPr>
          <w:rFonts w:asciiTheme="majorBidi" w:hAnsiTheme="majorBidi"/>
        </w:rPr>
        <w:t xml:space="preserve">initially </w:t>
      </w:r>
      <w:r w:rsidR="00A220BD">
        <w:rPr>
          <w:rFonts w:asciiTheme="majorBidi" w:hAnsiTheme="majorBidi"/>
        </w:rPr>
        <w:t xml:space="preserve">one of </w:t>
      </w:r>
      <w:proofErr w:type="gramStart"/>
      <w:r w:rsidR="00A220BD">
        <w:rPr>
          <w:rFonts w:asciiTheme="majorBidi" w:hAnsiTheme="majorBidi"/>
        </w:rPr>
        <w:t>several</w:t>
      </w:r>
      <w:proofErr w:type="gramEnd"/>
      <w:r w:rsidR="00A220BD">
        <w:rPr>
          <w:rFonts w:asciiTheme="majorBidi" w:hAnsiTheme="majorBidi"/>
        </w:rPr>
        <w:t xml:space="preserve"> in which I did research, over time</w:t>
      </w:r>
      <w:r w:rsidR="00DB3DD5">
        <w:rPr>
          <w:rFonts w:asciiTheme="majorBidi" w:hAnsiTheme="majorBidi"/>
        </w:rPr>
        <w:t xml:space="preserve"> </w:t>
      </w:r>
      <w:r w:rsidR="008541F4">
        <w:rPr>
          <w:rFonts w:asciiTheme="majorBidi" w:hAnsiTheme="majorBidi"/>
        </w:rPr>
        <w:t xml:space="preserve">it became </w:t>
      </w:r>
      <w:r w:rsidR="00DB3DD5">
        <w:rPr>
          <w:rFonts w:asciiTheme="majorBidi" w:hAnsiTheme="majorBidi"/>
        </w:rPr>
        <w:t xml:space="preserve">my focus. </w:t>
      </w:r>
      <w:r w:rsidR="00A220BD">
        <w:rPr>
          <w:rFonts w:asciiTheme="majorBidi" w:hAnsiTheme="majorBidi"/>
        </w:rPr>
        <w:t xml:space="preserve">E&amp;F were </w:t>
      </w:r>
      <w:r w:rsidR="00D35D0B">
        <w:rPr>
          <w:rFonts w:asciiTheme="majorBidi" w:hAnsiTheme="majorBidi"/>
        </w:rPr>
        <w:t xml:space="preserve">a </w:t>
      </w:r>
      <w:r w:rsidR="00283FF6">
        <w:rPr>
          <w:rFonts w:asciiTheme="majorBidi" w:hAnsiTheme="majorBidi"/>
        </w:rPr>
        <w:t>“</w:t>
      </w:r>
      <w:r w:rsidR="00D35D0B">
        <w:rPr>
          <w:rFonts w:asciiTheme="majorBidi" w:hAnsiTheme="majorBidi"/>
        </w:rPr>
        <w:t>but-for cause</w:t>
      </w:r>
      <w:r w:rsidR="00283FF6">
        <w:rPr>
          <w:rFonts w:asciiTheme="majorBidi" w:hAnsiTheme="majorBidi"/>
        </w:rPr>
        <w:t xml:space="preserve">,” </w:t>
      </w:r>
      <w:r w:rsidR="00F55308">
        <w:rPr>
          <w:rFonts w:asciiTheme="majorBidi" w:hAnsiTheme="majorBidi"/>
        </w:rPr>
        <w:t xml:space="preserve">and I am thus indebted to them, </w:t>
      </w:r>
      <w:r w:rsidR="00D35D0B">
        <w:rPr>
          <w:rFonts w:asciiTheme="majorBidi" w:hAnsiTheme="majorBidi"/>
        </w:rPr>
        <w:t xml:space="preserve">for </w:t>
      </w:r>
      <w:r w:rsidR="00186170">
        <w:rPr>
          <w:rFonts w:asciiTheme="majorBidi" w:hAnsiTheme="majorBidi"/>
        </w:rPr>
        <w:t xml:space="preserve">my </w:t>
      </w:r>
      <w:r w:rsidR="00DF1818">
        <w:rPr>
          <w:rFonts w:asciiTheme="majorBidi" w:hAnsiTheme="majorBidi"/>
        </w:rPr>
        <w:t xml:space="preserve">entry into </w:t>
      </w:r>
      <w:r w:rsidR="00253502">
        <w:rPr>
          <w:rFonts w:asciiTheme="majorBidi" w:hAnsiTheme="majorBidi"/>
        </w:rPr>
        <w:t xml:space="preserve">the </w:t>
      </w:r>
      <w:r w:rsidR="00DB3DD5">
        <w:rPr>
          <w:rFonts w:asciiTheme="majorBidi" w:hAnsiTheme="majorBidi"/>
        </w:rPr>
        <w:t xml:space="preserve">field which eventually became my professional home. </w:t>
      </w:r>
    </w:p>
    <w:p w14:paraId="7C17926A" w14:textId="5961E164" w:rsidR="00D86F1B" w:rsidRDefault="00CD095E" w:rsidP="00691FE7">
      <w:pPr>
        <w:spacing w:line="480" w:lineRule="auto"/>
        <w:ind w:firstLine="720"/>
        <w:jc w:val="both"/>
        <w:rPr>
          <w:rFonts w:asciiTheme="majorBidi" w:hAnsiTheme="majorBidi"/>
        </w:rPr>
      </w:pPr>
      <w:r w:rsidRPr="000853EF">
        <w:rPr>
          <w:rFonts w:asciiTheme="majorBidi" w:hAnsiTheme="majorBidi"/>
        </w:rPr>
        <w:lastRenderedPageBreak/>
        <w:t xml:space="preserve">Before </w:t>
      </w:r>
      <w:r w:rsidR="000853EF" w:rsidRPr="000853EF">
        <w:rPr>
          <w:rFonts w:asciiTheme="majorBidi" w:hAnsiTheme="majorBidi"/>
        </w:rPr>
        <w:t>proceeding, I should note that</w:t>
      </w:r>
      <w:r w:rsidR="000853EF">
        <w:rPr>
          <w:rFonts w:asciiTheme="majorBidi" w:hAnsiTheme="majorBidi"/>
        </w:rPr>
        <w:t>, even though E&amp;F and I developed differ position</w:t>
      </w:r>
      <w:r w:rsidR="00A3168C">
        <w:rPr>
          <w:rFonts w:asciiTheme="majorBidi" w:hAnsiTheme="majorBidi"/>
        </w:rPr>
        <w:t>s</w:t>
      </w:r>
      <w:r w:rsidR="000853EF">
        <w:rPr>
          <w:rFonts w:asciiTheme="majorBidi" w:hAnsiTheme="majorBidi"/>
        </w:rPr>
        <w:t xml:space="preserve"> on the regulation of </w:t>
      </w:r>
      <w:r w:rsidR="00F55308">
        <w:rPr>
          <w:rFonts w:asciiTheme="majorBidi" w:hAnsiTheme="majorBidi"/>
        </w:rPr>
        <w:t xml:space="preserve">takeover </w:t>
      </w:r>
      <w:r w:rsidR="000853EF">
        <w:rPr>
          <w:rFonts w:asciiTheme="majorBidi" w:hAnsiTheme="majorBidi"/>
        </w:rPr>
        <w:t xml:space="preserve">bidders, we </w:t>
      </w:r>
      <w:proofErr w:type="gramStart"/>
      <w:r w:rsidR="00763895">
        <w:rPr>
          <w:rFonts w:asciiTheme="majorBidi" w:hAnsiTheme="majorBidi"/>
        </w:rPr>
        <w:t xml:space="preserve">largely </w:t>
      </w:r>
      <w:r w:rsidR="00F55308">
        <w:rPr>
          <w:rFonts w:asciiTheme="majorBidi" w:hAnsiTheme="majorBidi"/>
        </w:rPr>
        <w:t>shared</w:t>
      </w:r>
      <w:proofErr w:type="gramEnd"/>
      <w:r w:rsidR="00F55308">
        <w:rPr>
          <w:rFonts w:asciiTheme="majorBidi" w:hAnsiTheme="majorBidi"/>
        </w:rPr>
        <w:t xml:space="preserve"> </w:t>
      </w:r>
      <w:r w:rsidR="00A3168C">
        <w:rPr>
          <w:rFonts w:asciiTheme="majorBidi" w:hAnsiTheme="majorBidi"/>
        </w:rPr>
        <w:t xml:space="preserve">positions </w:t>
      </w:r>
      <w:r w:rsidR="004C0C65">
        <w:rPr>
          <w:rFonts w:asciiTheme="majorBidi" w:hAnsiTheme="majorBidi"/>
        </w:rPr>
        <w:t>regarding the regulation of targets</w:t>
      </w:r>
      <w:r w:rsidR="00763895">
        <w:rPr>
          <w:rFonts w:asciiTheme="majorBidi" w:hAnsiTheme="majorBidi"/>
        </w:rPr>
        <w:t xml:space="preserve">. Although we differed on whether target managements should </w:t>
      </w:r>
      <w:proofErr w:type="gramStart"/>
      <w:r w:rsidR="00763895">
        <w:rPr>
          <w:rFonts w:asciiTheme="majorBidi" w:hAnsiTheme="majorBidi"/>
        </w:rPr>
        <w:t>be permitted</w:t>
      </w:r>
      <w:proofErr w:type="gramEnd"/>
      <w:r w:rsidR="00763895">
        <w:rPr>
          <w:rFonts w:asciiTheme="majorBidi" w:hAnsiTheme="majorBidi"/>
        </w:rPr>
        <w:t xml:space="preserve"> to solicit competing bids</w:t>
      </w:r>
      <w:r w:rsidR="00B95D5B">
        <w:rPr>
          <w:rFonts w:asciiTheme="majorBidi" w:hAnsiTheme="majorBidi"/>
        </w:rPr>
        <w:t xml:space="preserve">, </w:t>
      </w:r>
      <w:r w:rsidR="00BB6793">
        <w:rPr>
          <w:rFonts w:asciiTheme="majorBidi" w:hAnsiTheme="majorBidi"/>
        </w:rPr>
        <w:t xml:space="preserve">we all concluded that </w:t>
      </w:r>
      <w:r w:rsidR="00B95D5B">
        <w:rPr>
          <w:rFonts w:asciiTheme="majorBidi" w:hAnsiTheme="majorBidi"/>
        </w:rPr>
        <w:t xml:space="preserve">such </w:t>
      </w:r>
      <w:r w:rsidR="00BB6793">
        <w:rPr>
          <w:rFonts w:asciiTheme="majorBidi" w:hAnsiTheme="majorBidi"/>
        </w:rPr>
        <w:t xml:space="preserve">managements should be precluded from blocking tender offers from reaching </w:t>
      </w:r>
      <w:r w:rsidR="00B95D5B">
        <w:rPr>
          <w:rFonts w:asciiTheme="majorBidi" w:hAnsiTheme="majorBidi"/>
        </w:rPr>
        <w:t xml:space="preserve">target </w:t>
      </w:r>
      <w:r w:rsidR="00BB6793">
        <w:rPr>
          <w:rFonts w:asciiTheme="majorBidi" w:hAnsiTheme="majorBidi"/>
        </w:rPr>
        <w:t>shareholders.</w:t>
      </w:r>
      <w:r w:rsidR="00DC3F25">
        <w:rPr>
          <w:rFonts w:asciiTheme="majorBidi" w:hAnsiTheme="majorBidi"/>
        </w:rPr>
        <w:t xml:space="preserve"> </w:t>
      </w:r>
      <w:r w:rsidR="00693838">
        <w:rPr>
          <w:rFonts w:asciiTheme="majorBidi" w:hAnsiTheme="majorBidi"/>
        </w:rPr>
        <w:t xml:space="preserve">With US law moving in the direction of increasing permissibility of takeover defenses, my </w:t>
      </w:r>
      <w:r w:rsidR="00B95D5B">
        <w:rPr>
          <w:rFonts w:asciiTheme="majorBidi" w:hAnsiTheme="majorBidi"/>
        </w:rPr>
        <w:t xml:space="preserve">research </w:t>
      </w:r>
      <w:r w:rsidR="00693838">
        <w:rPr>
          <w:rFonts w:asciiTheme="majorBidi" w:hAnsiTheme="majorBidi"/>
        </w:rPr>
        <w:t xml:space="preserve">on takeovers in the </w:t>
      </w:r>
      <w:r w:rsidR="00B95D5B">
        <w:rPr>
          <w:rFonts w:asciiTheme="majorBidi" w:hAnsiTheme="majorBidi"/>
        </w:rPr>
        <w:t xml:space="preserve">years since </w:t>
      </w:r>
      <w:r w:rsidR="00693838">
        <w:rPr>
          <w:rFonts w:asciiTheme="majorBidi" w:hAnsiTheme="majorBidi"/>
        </w:rPr>
        <w:t xml:space="preserve">the publication of E&amp;F </w:t>
      </w:r>
      <w:r w:rsidR="00B95D5B">
        <w:rPr>
          <w:rFonts w:asciiTheme="majorBidi" w:hAnsiTheme="majorBidi"/>
        </w:rPr>
        <w:t xml:space="preserve">Book </w:t>
      </w:r>
      <w:r w:rsidR="00693838">
        <w:rPr>
          <w:rFonts w:asciiTheme="majorBidi" w:hAnsiTheme="majorBidi"/>
        </w:rPr>
        <w:t xml:space="preserve">focused on this </w:t>
      </w:r>
      <w:r w:rsidR="00B95D5B">
        <w:rPr>
          <w:rFonts w:asciiTheme="majorBidi" w:hAnsiTheme="majorBidi"/>
        </w:rPr>
        <w:t xml:space="preserve">subject. </w:t>
      </w:r>
      <w:r w:rsidR="00D703A4">
        <w:rPr>
          <w:rFonts w:asciiTheme="majorBidi" w:hAnsiTheme="majorBidi"/>
        </w:rPr>
        <w:t xml:space="preserve">In this </w:t>
      </w:r>
      <w:r w:rsidR="00B95D5B">
        <w:rPr>
          <w:rFonts w:asciiTheme="majorBidi" w:hAnsiTheme="majorBidi"/>
        </w:rPr>
        <w:t xml:space="preserve">research </w:t>
      </w:r>
      <w:r w:rsidR="00D703A4">
        <w:rPr>
          <w:rFonts w:asciiTheme="majorBidi" w:hAnsiTheme="majorBidi"/>
        </w:rPr>
        <w:t xml:space="preserve">I put forward </w:t>
      </w:r>
      <w:r w:rsidR="00B95D5B">
        <w:rPr>
          <w:rFonts w:asciiTheme="majorBidi" w:hAnsiTheme="majorBidi"/>
        </w:rPr>
        <w:t xml:space="preserve">the </w:t>
      </w:r>
      <w:r w:rsidR="00D703A4">
        <w:rPr>
          <w:rFonts w:asciiTheme="majorBidi" w:hAnsiTheme="majorBidi"/>
        </w:rPr>
        <w:t>case against board veto on takeovers, identified the combination of staggered boards and poison pills</w:t>
      </w:r>
      <w:r w:rsidR="00D86F1B">
        <w:rPr>
          <w:rFonts w:asciiTheme="majorBidi" w:hAnsiTheme="majorBidi"/>
        </w:rPr>
        <w:t xml:space="preserve"> as an especially problematic defense, and provided empirical evidence on the costs of entrenching arrangements.</w:t>
      </w:r>
      <w:r w:rsidR="00A53FC3">
        <w:rPr>
          <w:rStyle w:val="FootnoteReference"/>
          <w:rFonts w:asciiTheme="majorBidi" w:hAnsiTheme="majorBidi"/>
        </w:rPr>
        <w:footnoteReference w:id="10"/>
      </w:r>
      <w:r w:rsidR="00D86F1B">
        <w:rPr>
          <w:rFonts w:asciiTheme="majorBidi" w:hAnsiTheme="majorBidi"/>
        </w:rPr>
        <w:t xml:space="preserve"> </w:t>
      </w:r>
      <w:proofErr w:type="gramStart"/>
      <w:r w:rsidR="00D86F1B">
        <w:rPr>
          <w:rFonts w:asciiTheme="majorBidi" w:hAnsiTheme="majorBidi"/>
        </w:rPr>
        <w:t xml:space="preserve">I </w:t>
      </w:r>
      <w:r w:rsidR="002A1834">
        <w:rPr>
          <w:rFonts w:asciiTheme="majorBidi" w:hAnsiTheme="majorBidi"/>
        </w:rPr>
        <w:t xml:space="preserve">believe that </w:t>
      </w:r>
      <w:r w:rsidR="00691FE7">
        <w:rPr>
          <w:rFonts w:asciiTheme="majorBidi" w:hAnsiTheme="majorBidi"/>
        </w:rPr>
        <w:t>E&amp;F</w:t>
      </w:r>
      <w:proofErr w:type="gramEnd"/>
      <w:r w:rsidR="00691FE7">
        <w:rPr>
          <w:rFonts w:asciiTheme="majorBidi" w:hAnsiTheme="majorBidi"/>
        </w:rPr>
        <w:t xml:space="preserve"> </w:t>
      </w:r>
      <w:r w:rsidR="002A1834">
        <w:rPr>
          <w:rFonts w:asciiTheme="majorBidi" w:hAnsiTheme="majorBidi"/>
        </w:rPr>
        <w:t xml:space="preserve">are </w:t>
      </w:r>
      <w:r w:rsidR="00EB6918">
        <w:rPr>
          <w:rFonts w:asciiTheme="majorBidi" w:hAnsiTheme="majorBidi"/>
        </w:rPr>
        <w:t xml:space="preserve">likely </w:t>
      </w:r>
      <w:r w:rsidR="00691FE7">
        <w:rPr>
          <w:rFonts w:asciiTheme="majorBidi" w:hAnsiTheme="majorBidi"/>
        </w:rPr>
        <w:t>be supportive of th</w:t>
      </w:r>
      <w:r w:rsidR="002A1834">
        <w:rPr>
          <w:rFonts w:asciiTheme="majorBidi" w:hAnsiTheme="majorBidi"/>
        </w:rPr>
        <w:t>e conclusions of this research</w:t>
      </w:r>
      <w:r w:rsidR="00691FE7">
        <w:rPr>
          <w:rFonts w:asciiTheme="majorBidi" w:hAnsiTheme="majorBidi"/>
        </w:rPr>
        <w:t>.</w:t>
      </w:r>
      <w:r w:rsidR="00691FE7">
        <w:rPr>
          <w:rStyle w:val="FootnoteReference"/>
          <w:rFonts w:asciiTheme="majorBidi" w:hAnsiTheme="majorBidi"/>
        </w:rPr>
        <w:footnoteReference w:id="11"/>
      </w:r>
      <w:r w:rsidR="00691FE7">
        <w:rPr>
          <w:rFonts w:asciiTheme="majorBidi" w:hAnsiTheme="majorBidi"/>
        </w:rPr>
        <w:t xml:space="preserve">  </w:t>
      </w:r>
    </w:p>
    <w:p w14:paraId="1B10ABAC" w14:textId="77777777" w:rsidR="00DF1818" w:rsidRDefault="00DF1818" w:rsidP="00691FE7">
      <w:pPr>
        <w:spacing w:line="480" w:lineRule="auto"/>
        <w:ind w:firstLine="720"/>
        <w:jc w:val="both"/>
        <w:rPr>
          <w:rFonts w:asciiTheme="majorBidi" w:hAnsiTheme="majorBidi"/>
        </w:rPr>
      </w:pPr>
    </w:p>
    <w:p w14:paraId="3CE29E19" w14:textId="222B2025" w:rsidR="00D32A9A" w:rsidRPr="00414B81" w:rsidRDefault="00BD1E6D" w:rsidP="00A3168C">
      <w:pPr>
        <w:pStyle w:val="ListParagraph"/>
        <w:numPr>
          <w:ilvl w:val="0"/>
          <w:numId w:val="6"/>
        </w:numPr>
        <w:spacing w:line="480" w:lineRule="auto"/>
        <w:jc w:val="center"/>
        <w:rPr>
          <w:rFonts w:asciiTheme="majorBidi" w:hAnsiTheme="majorBidi"/>
          <w:u w:val="single"/>
        </w:rPr>
      </w:pPr>
      <w:r w:rsidRPr="00414B81">
        <w:rPr>
          <w:rFonts w:asciiTheme="majorBidi" w:hAnsiTheme="majorBidi"/>
          <w:u w:val="single"/>
        </w:rPr>
        <w:t xml:space="preserve">The Debate on </w:t>
      </w:r>
      <w:r w:rsidR="008C0F97" w:rsidRPr="00414B81">
        <w:rPr>
          <w:rFonts w:asciiTheme="majorBidi" w:hAnsiTheme="majorBidi"/>
          <w:u w:val="single"/>
        </w:rPr>
        <w:t xml:space="preserve">Contractual </w:t>
      </w:r>
      <w:r w:rsidR="00414B81">
        <w:rPr>
          <w:rFonts w:asciiTheme="majorBidi" w:hAnsiTheme="majorBidi"/>
          <w:u w:val="single"/>
        </w:rPr>
        <w:t>Freedom</w:t>
      </w:r>
    </w:p>
    <w:p w14:paraId="09BBD00F" w14:textId="3187833D" w:rsidR="007B66FC" w:rsidRDefault="00FF09AC" w:rsidP="00637B2A">
      <w:pPr>
        <w:spacing w:line="480" w:lineRule="auto"/>
        <w:ind w:firstLine="720"/>
        <w:jc w:val="both"/>
        <w:rPr>
          <w:rFonts w:asciiTheme="majorBidi" w:hAnsiTheme="majorBidi"/>
        </w:rPr>
      </w:pPr>
      <w:r w:rsidRPr="00D55CB0">
        <w:rPr>
          <w:rFonts w:asciiTheme="majorBidi" w:hAnsiTheme="majorBidi"/>
        </w:rPr>
        <w:lastRenderedPageBreak/>
        <w:t xml:space="preserve">In </w:t>
      </w:r>
      <w:r w:rsidR="00994C3F">
        <w:rPr>
          <w:rFonts w:asciiTheme="majorBidi" w:hAnsiTheme="majorBidi"/>
        </w:rPr>
        <w:t xml:space="preserve">a </w:t>
      </w:r>
      <w:r w:rsidRPr="00D55CB0">
        <w:rPr>
          <w:rFonts w:asciiTheme="majorBidi" w:hAnsiTheme="majorBidi"/>
        </w:rPr>
        <w:t xml:space="preserve">1990 </w:t>
      </w:r>
      <w:r w:rsidR="00223993" w:rsidRPr="00D55CB0">
        <w:rPr>
          <w:rFonts w:asciiTheme="majorBidi" w:hAnsiTheme="majorBidi"/>
        </w:rPr>
        <w:t xml:space="preserve">well-known </w:t>
      </w:r>
      <w:r w:rsidR="00AD7D10" w:rsidRPr="00D55CB0">
        <w:rPr>
          <w:rFonts w:asciiTheme="majorBidi" w:hAnsiTheme="majorBidi"/>
        </w:rPr>
        <w:t>article on the corporate contract</w:t>
      </w:r>
      <w:r w:rsidR="00792F22" w:rsidRPr="00D55CB0">
        <w:rPr>
          <w:rFonts w:asciiTheme="majorBidi" w:hAnsiTheme="majorBidi"/>
        </w:rPr>
        <w:t>,</w:t>
      </w:r>
      <w:r w:rsidR="00AD7D10" w:rsidRPr="00D55CB0">
        <w:rPr>
          <w:rStyle w:val="FootnoteReference"/>
          <w:rFonts w:asciiTheme="majorBidi" w:hAnsiTheme="majorBidi"/>
        </w:rPr>
        <w:footnoteReference w:id="12"/>
      </w:r>
      <w:r w:rsidR="00AD7D10" w:rsidRPr="00D55CB0">
        <w:rPr>
          <w:rFonts w:asciiTheme="majorBidi" w:hAnsiTheme="majorBidi"/>
        </w:rPr>
        <w:t xml:space="preserve"> </w:t>
      </w:r>
      <w:r w:rsidR="00994C3F">
        <w:rPr>
          <w:rFonts w:asciiTheme="majorBidi" w:hAnsiTheme="majorBidi"/>
        </w:rPr>
        <w:t xml:space="preserve">and in their lead </w:t>
      </w:r>
      <w:r w:rsidR="00E40968">
        <w:rPr>
          <w:rFonts w:asciiTheme="majorBidi" w:hAnsiTheme="majorBidi"/>
        </w:rPr>
        <w:t xml:space="preserve">chapter of </w:t>
      </w:r>
      <w:r w:rsidR="00CC2A6E" w:rsidRPr="00D55CB0">
        <w:rPr>
          <w:rFonts w:asciiTheme="majorBidi" w:hAnsiTheme="majorBidi"/>
        </w:rPr>
        <w:t xml:space="preserve">the </w:t>
      </w:r>
      <w:r w:rsidR="0080211D">
        <w:rPr>
          <w:rFonts w:asciiTheme="majorBidi" w:hAnsiTheme="majorBidi"/>
        </w:rPr>
        <w:t xml:space="preserve">E&amp;F </w:t>
      </w:r>
      <w:r w:rsidR="00CC2A6E" w:rsidRPr="00D55CB0">
        <w:rPr>
          <w:rFonts w:asciiTheme="majorBidi" w:hAnsiTheme="majorBidi"/>
        </w:rPr>
        <w:t>Book</w:t>
      </w:r>
      <w:r w:rsidR="00E40968">
        <w:rPr>
          <w:rFonts w:asciiTheme="majorBidi" w:hAnsiTheme="majorBidi"/>
        </w:rPr>
        <w:t>,</w:t>
      </w:r>
      <w:r w:rsidR="00CC2A6E" w:rsidRPr="00D55CB0">
        <w:rPr>
          <w:rStyle w:val="FootnoteReference"/>
          <w:rFonts w:asciiTheme="majorBidi" w:hAnsiTheme="majorBidi"/>
        </w:rPr>
        <w:footnoteReference w:id="13"/>
      </w:r>
      <w:r w:rsidR="00CC2A6E" w:rsidRPr="00D55CB0">
        <w:rPr>
          <w:rFonts w:asciiTheme="majorBidi" w:hAnsiTheme="majorBidi"/>
        </w:rPr>
        <w:t xml:space="preserve"> </w:t>
      </w:r>
      <w:r w:rsidR="00E40968">
        <w:rPr>
          <w:rFonts w:asciiTheme="majorBidi" w:hAnsiTheme="majorBidi"/>
        </w:rPr>
        <w:t xml:space="preserve">E&amp;F put forward </w:t>
      </w:r>
      <w:proofErr w:type="gramStart"/>
      <w:r w:rsidR="007B66FC" w:rsidRPr="00D55CB0">
        <w:rPr>
          <w:rFonts w:asciiTheme="majorBidi" w:hAnsiTheme="majorBidi"/>
        </w:rPr>
        <w:t>canonical</w:t>
      </w:r>
      <w:proofErr w:type="gramEnd"/>
      <w:r w:rsidR="007B66FC" w:rsidRPr="00D55CB0">
        <w:rPr>
          <w:rFonts w:asciiTheme="majorBidi" w:hAnsiTheme="majorBidi"/>
        </w:rPr>
        <w:t xml:space="preserve"> statement</w:t>
      </w:r>
      <w:r w:rsidR="00E40968">
        <w:rPr>
          <w:rFonts w:asciiTheme="majorBidi" w:hAnsiTheme="majorBidi"/>
        </w:rPr>
        <w:t>s</w:t>
      </w:r>
      <w:r w:rsidR="007B66FC" w:rsidRPr="00D55CB0">
        <w:rPr>
          <w:rFonts w:asciiTheme="majorBidi" w:hAnsiTheme="majorBidi"/>
        </w:rPr>
        <w:t xml:space="preserve"> of a contractarian view of corporate law. Under this view, market forces </w:t>
      </w:r>
      <w:r w:rsidR="00E40968">
        <w:rPr>
          <w:rFonts w:asciiTheme="majorBidi" w:hAnsiTheme="majorBidi"/>
        </w:rPr>
        <w:t xml:space="preserve">operate to ensure that </w:t>
      </w:r>
      <w:r w:rsidR="00D55CB0" w:rsidRPr="00D55CB0">
        <w:rPr>
          <w:rFonts w:asciiTheme="majorBidi" w:hAnsiTheme="majorBidi"/>
        </w:rPr>
        <w:t xml:space="preserve">corporate charters </w:t>
      </w:r>
      <w:r w:rsidR="00E40968">
        <w:rPr>
          <w:rFonts w:asciiTheme="majorBidi" w:hAnsiTheme="majorBidi"/>
        </w:rPr>
        <w:t xml:space="preserve">are </w:t>
      </w:r>
      <w:r w:rsidR="00D55CB0" w:rsidRPr="00D55CB0">
        <w:rPr>
          <w:rFonts w:asciiTheme="majorBidi" w:hAnsiTheme="majorBidi"/>
        </w:rPr>
        <w:t>efficiently designed</w:t>
      </w:r>
      <w:proofErr w:type="gramStart"/>
      <w:r w:rsidR="00D55CB0" w:rsidRPr="00D55CB0">
        <w:rPr>
          <w:rFonts w:asciiTheme="majorBidi" w:hAnsiTheme="majorBidi"/>
        </w:rPr>
        <w:t xml:space="preserve">. </w:t>
      </w:r>
      <w:r w:rsidR="007B66FC" w:rsidRPr="00D55CB0">
        <w:rPr>
          <w:rFonts w:asciiTheme="majorBidi" w:hAnsiTheme="majorBidi"/>
        </w:rPr>
        <w:t xml:space="preserve"> </w:t>
      </w:r>
      <w:proofErr w:type="gramEnd"/>
      <w:r w:rsidR="00D55CB0">
        <w:rPr>
          <w:rFonts w:asciiTheme="majorBidi" w:hAnsiTheme="majorBidi"/>
        </w:rPr>
        <w:t xml:space="preserve">This view </w:t>
      </w:r>
      <w:r w:rsidR="00E40968">
        <w:rPr>
          <w:rFonts w:asciiTheme="majorBidi" w:hAnsiTheme="majorBidi"/>
        </w:rPr>
        <w:t xml:space="preserve">carries </w:t>
      </w:r>
      <w:r w:rsidR="00D55CB0">
        <w:rPr>
          <w:rFonts w:asciiTheme="majorBidi" w:hAnsiTheme="majorBidi"/>
        </w:rPr>
        <w:t xml:space="preserve">important </w:t>
      </w:r>
      <w:r w:rsidR="00466066">
        <w:rPr>
          <w:rFonts w:asciiTheme="majorBidi" w:hAnsiTheme="majorBidi"/>
        </w:rPr>
        <w:t>implications for corporate law policy and scholarship</w:t>
      </w:r>
      <w:r w:rsidR="000F1BB9">
        <w:rPr>
          <w:rFonts w:asciiTheme="majorBidi" w:hAnsiTheme="majorBidi"/>
        </w:rPr>
        <w:t>: corporate law should largely avoid mandatory rules, limiting itself to providing default provisions fr</w:t>
      </w:r>
      <w:r w:rsidR="00E40968">
        <w:rPr>
          <w:rFonts w:asciiTheme="majorBidi" w:hAnsiTheme="majorBidi"/>
        </w:rPr>
        <w:t>o</w:t>
      </w:r>
      <w:r w:rsidR="000F1BB9">
        <w:rPr>
          <w:rFonts w:asciiTheme="majorBidi" w:hAnsiTheme="majorBidi"/>
        </w:rPr>
        <w:t xml:space="preserve">m which companies should </w:t>
      </w:r>
      <w:r w:rsidR="00E40968">
        <w:rPr>
          <w:rFonts w:asciiTheme="majorBidi" w:hAnsiTheme="majorBidi"/>
        </w:rPr>
        <w:t xml:space="preserve">generally </w:t>
      </w:r>
      <w:r w:rsidR="000F1BB9">
        <w:rPr>
          <w:rFonts w:asciiTheme="majorBidi" w:hAnsiTheme="majorBidi"/>
        </w:rPr>
        <w:t xml:space="preserve">be free to opt out; </w:t>
      </w:r>
      <w:r w:rsidR="00FF562D">
        <w:rPr>
          <w:rFonts w:asciiTheme="majorBidi" w:hAnsiTheme="majorBidi"/>
        </w:rPr>
        <w:t xml:space="preserve">and </w:t>
      </w:r>
      <w:r w:rsidR="00EE322E">
        <w:rPr>
          <w:rFonts w:asciiTheme="majorBidi" w:hAnsiTheme="majorBidi"/>
        </w:rPr>
        <w:t xml:space="preserve">corporate law scholars should be reluctant to propose or consider arrangements that differ from the ones already observed </w:t>
      </w:r>
      <w:r w:rsidR="00FF562D">
        <w:rPr>
          <w:rFonts w:asciiTheme="majorBidi" w:hAnsiTheme="majorBidi"/>
        </w:rPr>
        <w:t xml:space="preserve">in the marketplace, </w:t>
      </w:r>
      <w:r w:rsidR="00E40968">
        <w:rPr>
          <w:rFonts w:asciiTheme="majorBidi" w:hAnsiTheme="majorBidi"/>
        </w:rPr>
        <w:t xml:space="preserve">and focus instead on understanding and </w:t>
      </w:r>
      <w:r w:rsidR="00FF562D">
        <w:rPr>
          <w:rFonts w:asciiTheme="majorBidi" w:hAnsiTheme="majorBidi"/>
        </w:rPr>
        <w:t xml:space="preserve">explaining the reasons for the efficiency of market arrangements. </w:t>
      </w:r>
    </w:p>
    <w:p w14:paraId="575E15AB" w14:textId="4129339F" w:rsidR="001566F5" w:rsidRDefault="004604FA" w:rsidP="005374D6">
      <w:pPr>
        <w:spacing w:line="480" w:lineRule="auto"/>
        <w:ind w:firstLine="720"/>
        <w:jc w:val="both"/>
        <w:rPr>
          <w:rFonts w:asciiTheme="majorBidi" w:hAnsiTheme="majorBidi"/>
        </w:rPr>
      </w:pPr>
      <w:r>
        <w:rPr>
          <w:rFonts w:asciiTheme="majorBidi" w:hAnsiTheme="majorBidi"/>
        </w:rPr>
        <w:t xml:space="preserve">At the time </w:t>
      </w:r>
      <w:r w:rsidR="00F608BA">
        <w:rPr>
          <w:rFonts w:asciiTheme="majorBidi" w:hAnsiTheme="majorBidi"/>
        </w:rPr>
        <w:t>that E&amp;F put forward their contract</w:t>
      </w:r>
      <w:r w:rsidR="00DF1818">
        <w:rPr>
          <w:rFonts w:asciiTheme="majorBidi" w:hAnsiTheme="majorBidi"/>
        </w:rPr>
        <w:t xml:space="preserve">arian views </w:t>
      </w:r>
      <w:r w:rsidR="00F608BA">
        <w:rPr>
          <w:rFonts w:asciiTheme="majorBidi" w:hAnsiTheme="majorBidi"/>
        </w:rPr>
        <w:t xml:space="preserve">and </w:t>
      </w:r>
      <w:r>
        <w:rPr>
          <w:rFonts w:asciiTheme="majorBidi" w:hAnsiTheme="majorBidi"/>
        </w:rPr>
        <w:t xml:space="preserve">in the years since then, I </w:t>
      </w:r>
      <w:r w:rsidR="00347079">
        <w:rPr>
          <w:rFonts w:asciiTheme="majorBidi" w:hAnsiTheme="majorBidi"/>
        </w:rPr>
        <w:t xml:space="preserve">conducted research </w:t>
      </w:r>
      <w:r w:rsidR="00A211CE">
        <w:rPr>
          <w:rFonts w:asciiTheme="majorBidi" w:hAnsiTheme="majorBidi"/>
        </w:rPr>
        <w:t xml:space="preserve">whose conclusions were </w:t>
      </w:r>
      <w:proofErr w:type="gramStart"/>
      <w:r w:rsidR="00A211CE">
        <w:rPr>
          <w:rFonts w:asciiTheme="majorBidi" w:hAnsiTheme="majorBidi"/>
        </w:rPr>
        <w:t xml:space="preserve">substantially </w:t>
      </w:r>
      <w:r w:rsidR="00510180">
        <w:rPr>
          <w:rFonts w:asciiTheme="majorBidi" w:hAnsiTheme="majorBidi"/>
        </w:rPr>
        <w:t>more</w:t>
      </w:r>
      <w:proofErr w:type="gramEnd"/>
      <w:r w:rsidR="00510180">
        <w:rPr>
          <w:rFonts w:asciiTheme="majorBidi" w:hAnsiTheme="majorBidi"/>
        </w:rPr>
        <w:t xml:space="preserve"> skeptical of the arrangements produced by market forces and signif</w:t>
      </w:r>
      <w:r w:rsidR="00C11DB5">
        <w:rPr>
          <w:rFonts w:asciiTheme="majorBidi" w:hAnsiTheme="majorBidi"/>
        </w:rPr>
        <w:t xml:space="preserve">icantly </w:t>
      </w:r>
      <w:r w:rsidR="00510180">
        <w:rPr>
          <w:rFonts w:asciiTheme="majorBidi" w:hAnsiTheme="majorBidi"/>
        </w:rPr>
        <w:t xml:space="preserve">less deferential to such arrangements. </w:t>
      </w:r>
      <w:r w:rsidR="00A7578F">
        <w:rPr>
          <w:rFonts w:asciiTheme="majorBidi" w:hAnsiTheme="majorBidi"/>
        </w:rPr>
        <w:t xml:space="preserve">In 1989, I published </w:t>
      </w:r>
      <w:r w:rsidR="009B276D">
        <w:rPr>
          <w:rFonts w:asciiTheme="majorBidi" w:hAnsiTheme="majorBidi"/>
        </w:rPr>
        <w:t xml:space="preserve">an </w:t>
      </w:r>
      <w:r w:rsidR="00E43239">
        <w:rPr>
          <w:rFonts w:asciiTheme="majorBidi" w:hAnsiTheme="majorBidi"/>
        </w:rPr>
        <w:t xml:space="preserve">article on contractual freedom </w:t>
      </w:r>
      <w:r w:rsidR="009B276D">
        <w:rPr>
          <w:rFonts w:asciiTheme="majorBidi" w:hAnsiTheme="majorBidi"/>
        </w:rPr>
        <w:t xml:space="preserve">that </w:t>
      </w:r>
      <w:r w:rsidR="00E43239">
        <w:rPr>
          <w:rFonts w:asciiTheme="majorBidi" w:hAnsiTheme="majorBidi"/>
        </w:rPr>
        <w:t>focused on mid-stream problem</w:t>
      </w:r>
      <w:r w:rsidR="00C11DB5">
        <w:rPr>
          <w:rFonts w:asciiTheme="majorBidi" w:hAnsiTheme="majorBidi"/>
        </w:rPr>
        <w:t>;</w:t>
      </w:r>
      <w:r w:rsidR="00FD34B0">
        <w:rPr>
          <w:rStyle w:val="FootnoteReference"/>
          <w:rFonts w:asciiTheme="majorBidi" w:hAnsiTheme="majorBidi"/>
        </w:rPr>
        <w:footnoteReference w:id="14"/>
      </w:r>
      <w:r w:rsidR="00FD34B0">
        <w:rPr>
          <w:rFonts w:asciiTheme="majorBidi" w:hAnsiTheme="majorBidi"/>
        </w:rPr>
        <w:t xml:space="preserve"> </w:t>
      </w:r>
      <w:r w:rsidR="009B276D">
        <w:rPr>
          <w:rFonts w:asciiTheme="majorBidi" w:hAnsiTheme="majorBidi"/>
        </w:rPr>
        <w:t xml:space="preserve">This article showed </w:t>
      </w:r>
      <w:r w:rsidR="00C11DB5">
        <w:rPr>
          <w:rFonts w:asciiTheme="majorBidi" w:hAnsiTheme="majorBidi"/>
        </w:rPr>
        <w:t>that</w:t>
      </w:r>
      <w:r w:rsidR="00E43239">
        <w:rPr>
          <w:rFonts w:asciiTheme="majorBidi" w:hAnsiTheme="majorBidi"/>
        </w:rPr>
        <w:t xml:space="preserve">, </w:t>
      </w:r>
      <w:r w:rsidR="00FD34B0">
        <w:rPr>
          <w:rFonts w:asciiTheme="majorBidi" w:hAnsiTheme="majorBidi"/>
        </w:rPr>
        <w:t xml:space="preserve">even if one were to assume that </w:t>
      </w:r>
      <w:r w:rsidR="009B04AC">
        <w:rPr>
          <w:rFonts w:asciiTheme="majorBidi" w:hAnsiTheme="majorBidi"/>
        </w:rPr>
        <w:t>market forces ensure</w:t>
      </w:r>
      <w:r w:rsidR="009B276D">
        <w:rPr>
          <w:rFonts w:asciiTheme="majorBidi" w:hAnsiTheme="majorBidi"/>
        </w:rPr>
        <w:t>d</w:t>
      </w:r>
      <w:r w:rsidR="009B04AC">
        <w:rPr>
          <w:rFonts w:asciiTheme="majorBidi" w:hAnsiTheme="majorBidi"/>
        </w:rPr>
        <w:t xml:space="preserve"> that companies go public with efficient charter provision, </w:t>
      </w:r>
      <w:r w:rsidR="001566F5">
        <w:rPr>
          <w:rFonts w:asciiTheme="majorBidi" w:hAnsiTheme="majorBidi"/>
        </w:rPr>
        <w:t>given the long life and changing circumstances of public companies</w:t>
      </w:r>
      <w:r w:rsidR="00C9480C">
        <w:rPr>
          <w:rFonts w:asciiTheme="majorBidi" w:hAnsiTheme="majorBidi"/>
        </w:rPr>
        <w:t>,</w:t>
      </w:r>
      <w:r w:rsidR="001566F5">
        <w:rPr>
          <w:rFonts w:asciiTheme="majorBidi" w:hAnsiTheme="majorBidi"/>
        </w:rPr>
        <w:t xml:space="preserve"> there are </w:t>
      </w:r>
      <w:r w:rsidR="00C9480C">
        <w:rPr>
          <w:rFonts w:asciiTheme="majorBidi" w:hAnsiTheme="majorBidi"/>
        </w:rPr>
        <w:t xml:space="preserve">substantial </w:t>
      </w:r>
      <w:r w:rsidR="001566F5">
        <w:rPr>
          <w:rFonts w:asciiTheme="majorBidi" w:hAnsiTheme="majorBidi"/>
        </w:rPr>
        <w:t>reasons to worry that in mid-stream companies will not adopt efficient changes or adopt inefficient ones.</w:t>
      </w:r>
      <w:r w:rsidR="005374D6">
        <w:rPr>
          <w:rFonts w:asciiTheme="majorBidi" w:hAnsiTheme="majorBidi"/>
        </w:rPr>
        <w:t xml:space="preserve"> These midstream problems, I explained, provide a basis for mandatory </w:t>
      </w:r>
      <w:proofErr w:type="gramStart"/>
      <w:r w:rsidR="005374D6">
        <w:rPr>
          <w:rFonts w:asciiTheme="majorBidi" w:hAnsiTheme="majorBidi"/>
        </w:rPr>
        <w:t>rules</w:t>
      </w:r>
      <w:proofErr w:type="gramEnd"/>
      <w:r w:rsidR="005374D6">
        <w:rPr>
          <w:rFonts w:asciiTheme="majorBidi" w:hAnsiTheme="majorBidi"/>
        </w:rPr>
        <w:t xml:space="preserve"> and cast doubt on the presumptive efficiency of </w:t>
      </w:r>
      <w:r w:rsidR="00C9480C">
        <w:rPr>
          <w:rFonts w:asciiTheme="majorBidi" w:hAnsiTheme="majorBidi"/>
        </w:rPr>
        <w:t xml:space="preserve">the private </w:t>
      </w:r>
      <w:r w:rsidR="005374D6">
        <w:rPr>
          <w:rFonts w:asciiTheme="majorBidi" w:hAnsiTheme="majorBidi"/>
        </w:rPr>
        <w:t>arrangement</w:t>
      </w:r>
      <w:r w:rsidR="00C9480C">
        <w:rPr>
          <w:rFonts w:asciiTheme="majorBidi" w:hAnsiTheme="majorBidi"/>
        </w:rPr>
        <w:t>s</w:t>
      </w:r>
      <w:r w:rsidR="005374D6">
        <w:rPr>
          <w:rFonts w:asciiTheme="majorBidi" w:hAnsiTheme="majorBidi"/>
        </w:rPr>
        <w:t xml:space="preserve"> </w:t>
      </w:r>
      <w:r w:rsidR="00C9480C">
        <w:rPr>
          <w:rFonts w:asciiTheme="majorBidi" w:hAnsiTheme="majorBidi"/>
        </w:rPr>
        <w:t xml:space="preserve">observed in </w:t>
      </w:r>
      <w:r w:rsidR="005374D6">
        <w:rPr>
          <w:rFonts w:asciiTheme="majorBidi" w:hAnsiTheme="majorBidi"/>
        </w:rPr>
        <w:t>the marketplace.</w:t>
      </w:r>
      <w:r w:rsidR="00EB13F4">
        <w:rPr>
          <w:rStyle w:val="FootnoteReference"/>
          <w:rFonts w:asciiTheme="majorBidi" w:hAnsiTheme="majorBidi"/>
        </w:rPr>
        <w:footnoteReference w:id="15"/>
      </w:r>
      <w:r w:rsidR="005374D6">
        <w:rPr>
          <w:rFonts w:asciiTheme="majorBidi" w:hAnsiTheme="majorBidi"/>
        </w:rPr>
        <w:t xml:space="preserve"> </w:t>
      </w:r>
    </w:p>
    <w:p w14:paraId="727FDCC7" w14:textId="55ACF181" w:rsidR="00513224" w:rsidRDefault="00690DCB" w:rsidP="00A20935">
      <w:pPr>
        <w:spacing w:line="480" w:lineRule="auto"/>
        <w:ind w:firstLine="720"/>
        <w:jc w:val="both"/>
        <w:rPr>
          <w:rFonts w:asciiTheme="majorBidi" w:hAnsiTheme="majorBidi"/>
        </w:rPr>
      </w:pPr>
      <w:r>
        <w:rPr>
          <w:rFonts w:asciiTheme="majorBidi" w:hAnsiTheme="majorBidi"/>
        </w:rPr>
        <w:lastRenderedPageBreak/>
        <w:t>As to IPO charter</w:t>
      </w:r>
      <w:r w:rsidR="00F41BB3">
        <w:rPr>
          <w:rFonts w:asciiTheme="majorBidi" w:hAnsiTheme="majorBidi"/>
        </w:rPr>
        <w:t xml:space="preserve"> provision</w:t>
      </w:r>
      <w:r>
        <w:rPr>
          <w:rFonts w:asciiTheme="majorBidi" w:hAnsiTheme="majorBidi"/>
        </w:rPr>
        <w:t xml:space="preserve">s, I </w:t>
      </w:r>
      <w:r w:rsidR="00F41BB3">
        <w:rPr>
          <w:rFonts w:asciiTheme="majorBidi" w:hAnsiTheme="majorBidi"/>
        </w:rPr>
        <w:t xml:space="preserve">provided reasons for doubting their presumptive </w:t>
      </w:r>
      <w:r w:rsidR="00E913A0">
        <w:rPr>
          <w:rFonts w:asciiTheme="majorBidi" w:hAnsiTheme="majorBidi"/>
        </w:rPr>
        <w:t xml:space="preserve">optimality in </w:t>
      </w:r>
      <w:r>
        <w:rPr>
          <w:rFonts w:asciiTheme="majorBidi" w:hAnsiTheme="majorBidi"/>
        </w:rPr>
        <w:t xml:space="preserve">an introductory essay </w:t>
      </w:r>
      <w:r w:rsidR="00DE5EE5">
        <w:rPr>
          <w:rFonts w:asciiTheme="majorBidi" w:hAnsiTheme="majorBidi"/>
        </w:rPr>
        <w:t xml:space="preserve">that </w:t>
      </w:r>
      <w:r>
        <w:rPr>
          <w:rFonts w:asciiTheme="majorBidi" w:hAnsiTheme="majorBidi"/>
        </w:rPr>
        <w:t xml:space="preserve">I </w:t>
      </w:r>
      <w:r w:rsidR="00542823">
        <w:rPr>
          <w:rFonts w:asciiTheme="majorBidi" w:hAnsiTheme="majorBidi"/>
        </w:rPr>
        <w:t xml:space="preserve">contributed to the </w:t>
      </w:r>
      <w:r w:rsidR="00542823" w:rsidRPr="00E913A0">
        <w:rPr>
          <w:rFonts w:asciiTheme="majorBidi" w:hAnsiTheme="majorBidi"/>
          <w:i/>
        </w:rPr>
        <w:t xml:space="preserve">Columbia </w:t>
      </w:r>
      <w:r w:rsidR="00DE5EE5" w:rsidRPr="00E913A0">
        <w:rPr>
          <w:rFonts w:asciiTheme="majorBidi" w:hAnsiTheme="majorBidi"/>
          <w:i/>
        </w:rPr>
        <w:t>L</w:t>
      </w:r>
      <w:r w:rsidR="00542823" w:rsidRPr="00E913A0">
        <w:rPr>
          <w:rFonts w:asciiTheme="majorBidi" w:hAnsiTheme="majorBidi"/>
          <w:i/>
        </w:rPr>
        <w:t xml:space="preserve">aw </w:t>
      </w:r>
      <w:r w:rsidR="00DE5EE5" w:rsidRPr="00E913A0">
        <w:rPr>
          <w:rFonts w:asciiTheme="majorBidi" w:hAnsiTheme="majorBidi"/>
          <w:i/>
        </w:rPr>
        <w:t>R</w:t>
      </w:r>
      <w:r w:rsidR="00542823" w:rsidRPr="00E913A0">
        <w:rPr>
          <w:rFonts w:asciiTheme="majorBidi" w:hAnsiTheme="majorBidi"/>
          <w:i/>
        </w:rPr>
        <w:t>eview</w:t>
      </w:r>
      <w:r w:rsidR="00542823">
        <w:rPr>
          <w:rFonts w:asciiTheme="majorBidi" w:hAnsiTheme="majorBidi"/>
        </w:rPr>
        <w:t xml:space="preserve"> symposium </w:t>
      </w:r>
      <w:r w:rsidR="00DE5EE5">
        <w:rPr>
          <w:rFonts w:asciiTheme="majorBidi" w:hAnsiTheme="majorBidi"/>
        </w:rPr>
        <w:t xml:space="preserve">on contractual freedom </w:t>
      </w:r>
      <w:r w:rsidR="00542823">
        <w:rPr>
          <w:rFonts w:asciiTheme="majorBidi" w:hAnsiTheme="majorBidi"/>
        </w:rPr>
        <w:t>in which E&amp;F published their corporate contract article</w:t>
      </w:r>
      <w:bookmarkStart w:id="1" w:name="_Ref69551141"/>
      <w:r w:rsidR="00E913A0">
        <w:rPr>
          <w:rFonts w:asciiTheme="majorBidi" w:hAnsiTheme="majorBidi"/>
        </w:rPr>
        <w:t xml:space="preserve"> and subsequent work.</w:t>
      </w:r>
      <w:r w:rsidR="00933BFD" w:rsidRPr="00637B2A">
        <w:rPr>
          <w:rStyle w:val="NoteRefInText"/>
          <w:rFonts w:asciiTheme="majorBidi" w:hAnsiTheme="majorBidi"/>
          <w:sz w:val="24"/>
        </w:rPr>
        <w:footnoteReference w:id="16"/>
      </w:r>
      <w:bookmarkEnd w:id="1"/>
      <w:r w:rsidR="00E913A0">
        <w:rPr>
          <w:rFonts w:asciiTheme="majorBidi" w:hAnsiTheme="majorBidi"/>
        </w:rPr>
        <w:t xml:space="preserve"> </w:t>
      </w:r>
      <w:r w:rsidR="00F466DE">
        <w:rPr>
          <w:rFonts w:asciiTheme="majorBidi" w:hAnsiTheme="majorBidi"/>
        </w:rPr>
        <w:t xml:space="preserve">I subsequently sought to </w:t>
      </w:r>
      <w:r w:rsidR="005D7A3C">
        <w:rPr>
          <w:rFonts w:asciiTheme="majorBidi" w:hAnsiTheme="majorBidi"/>
        </w:rPr>
        <w:t xml:space="preserve">cast further doubt on the optimality of IPO charters in articles </w:t>
      </w:r>
      <w:r w:rsidR="00F466DE">
        <w:rPr>
          <w:rFonts w:asciiTheme="majorBidi" w:hAnsiTheme="majorBidi"/>
        </w:rPr>
        <w:t xml:space="preserve">that sought to </w:t>
      </w:r>
      <w:r w:rsidR="009C0177">
        <w:rPr>
          <w:rFonts w:asciiTheme="majorBidi" w:hAnsiTheme="majorBidi"/>
        </w:rPr>
        <w:t xml:space="preserve">show that </w:t>
      </w:r>
      <w:r w:rsidR="005D0E46">
        <w:rPr>
          <w:rFonts w:asciiTheme="majorBidi" w:hAnsiTheme="majorBidi"/>
        </w:rPr>
        <w:t xml:space="preserve">the </w:t>
      </w:r>
      <w:r w:rsidR="009C0177">
        <w:rPr>
          <w:rFonts w:asciiTheme="majorBidi" w:hAnsiTheme="majorBidi"/>
        </w:rPr>
        <w:t>antitakeover provisions and dual-class str</w:t>
      </w:r>
      <w:r w:rsidR="005D0E46">
        <w:rPr>
          <w:rFonts w:asciiTheme="majorBidi" w:hAnsiTheme="majorBidi"/>
        </w:rPr>
        <w:t>u</w:t>
      </w:r>
      <w:r w:rsidR="009C0177">
        <w:rPr>
          <w:rFonts w:asciiTheme="majorBidi" w:hAnsiTheme="majorBidi"/>
        </w:rPr>
        <w:t xml:space="preserve">ctures </w:t>
      </w:r>
      <w:r w:rsidR="00321509">
        <w:rPr>
          <w:rFonts w:asciiTheme="majorBidi" w:hAnsiTheme="majorBidi"/>
        </w:rPr>
        <w:t xml:space="preserve">included </w:t>
      </w:r>
      <w:r w:rsidR="009C0177">
        <w:rPr>
          <w:rFonts w:asciiTheme="majorBidi" w:hAnsiTheme="majorBidi"/>
        </w:rPr>
        <w:t>in IPO structures could well be inefficient.</w:t>
      </w:r>
      <w:r w:rsidR="00D24F80">
        <w:rPr>
          <w:rStyle w:val="FootnoteReference"/>
          <w:rFonts w:asciiTheme="majorBidi" w:hAnsiTheme="majorBidi"/>
        </w:rPr>
        <w:footnoteReference w:id="17"/>
      </w:r>
      <w:r w:rsidR="009C0177">
        <w:rPr>
          <w:rFonts w:asciiTheme="majorBidi" w:hAnsiTheme="majorBidi"/>
        </w:rPr>
        <w:t xml:space="preserve"> </w:t>
      </w:r>
      <w:r w:rsidR="006F5408">
        <w:rPr>
          <w:rFonts w:asciiTheme="majorBidi" w:hAnsiTheme="majorBidi"/>
        </w:rPr>
        <w:t xml:space="preserve">I plan to </w:t>
      </w:r>
      <w:r w:rsidR="00A20935">
        <w:rPr>
          <w:rFonts w:asciiTheme="majorBidi" w:hAnsiTheme="majorBidi"/>
        </w:rPr>
        <w:t xml:space="preserve">return </w:t>
      </w:r>
      <w:r w:rsidR="00172AB4">
        <w:rPr>
          <w:rFonts w:asciiTheme="majorBidi" w:hAnsiTheme="majorBidi"/>
        </w:rPr>
        <w:t xml:space="preserve">in future work </w:t>
      </w:r>
      <w:r w:rsidR="00A20935">
        <w:rPr>
          <w:rFonts w:asciiTheme="majorBidi" w:hAnsiTheme="majorBidi"/>
        </w:rPr>
        <w:t xml:space="preserve">to the </w:t>
      </w:r>
      <w:r w:rsidR="006F5408">
        <w:rPr>
          <w:rFonts w:asciiTheme="majorBidi" w:hAnsiTheme="majorBidi"/>
        </w:rPr>
        <w:t xml:space="preserve">subject of the optimality of IPO provisions </w:t>
      </w:r>
      <w:r w:rsidR="00172AB4">
        <w:rPr>
          <w:rFonts w:asciiTheme="majorBidi" w:hAnsiTheme="majorBidi"/>
        </w:rPr>
        <w:t xml:space="preserve">and the desirable limits on such provisions. </w:t>
      </w:r>
      <w:r w:rsidR="00A211CE">
        <w:rPr>
          <w:rFonts w:asciiTheme="majorBidi" w:hAnsiTheme="majorBidi"/>
        </w:rPr>
        <w:t>Of course, a</w:t>
      </w:r>
      <w:r w:rsidR="007A6201">
        <w:rPr>
          <w:rFonts w:asciiTheme="majorBidi" w:hAnsiTheme="majorBidi"/>
        </w:rPr>
        <w:t xml:space="preserve">ny such </w:t>
      </w:r>
      <w:r w:rsidR="00BB769A">
        <w:rPr>
          <w:rFonts w:asciiTheme="majorBidi" w:hAnsiTheme="majorBidi"/>
        </w:rPr>
        <w:t xml:space="preserve">future </w:t>
      </w:r>
      <w:r w:rsidR="007A6201">
        <w:rPr>
          <w:rFonts w:asciiTheme="majorBidi" w:hAnsiTheme="majorBidi"/>
        </w:rPr>
        <w:t xml:space="preserve">work that I will do will engage, as any </w:t>
      </w:r>
      <w:r w:rsidR="00A211CE">
        <w:rPr>
          <w:rFonts w:asciiTheme="majorBidi" w:hAnsiTheme="majorBidi"/>
        </w:rPr>
        <w:t xml:space="preserve">other </w:t>
      </w:r>
      <w:r w:rsidR="007A6201">
        <w:rPr>
          <w:rFonts w:asciiTheme="majorBidi" w:hAnsiTheme="majorBidi"/>
        </w:rPr>
        <w:t xml:space="preserve">work in this area </w:t>
      </w:r>
      <w:r w:rsidR="00A211CE">
        <w:rPr>
          <w:rFonts w:asciiTheme="majorBidi" w:hAnsiTheme="majorBidi"/>
        </w:rPr>
        <w:t xml:space="preserve">should, </w:t>
      </w:r>
      <w:r w:rsidR="007A6201">
        <w:rPr>
          <w:rFonts w:asciiTheme="majorBidi" w:hAnsiTheme="majorBidi"/>
        </w:rPr>
        <w:t xml:space="preserve">with the pro-contractual arguments of E&amp;F. </w:t>
      </w:r>
    </w:p>
    <w:p w14:paraId="471C05BA" w14:textId="77777777" w:rsidR="00A20935" w:rsidRDefault="00A20935" w:rsidP="00A20935">
      <w:pPr>
        <w:spacing w:line="480" w:lineRule="auto"/>
        <w:ind w:firstLine="720"/>
        <w:jc w:val="both"/>
        <w:rPr>
          <w:rFonts w:asciiTheme="majorBidi" w:hAnsiTheme="majorBidi"/>
        </w:rPr>
      </w:pPr>
    </w:p>
    <w:p w14:paraId="0263AABC" w14:textId="4A1DC0F2" w:rsidR="00F64A5E" w:rsidRPr="000424B0" w:rsidRDefault="000424B0" w:rsidP="000424B0">
      <w:pPr>
        <w:spacing w:line="480" w:lineRule="auto"/>
        <w:ind w:firstLine="720"/>
        <w:jc w:val="center"/>
        <w:rPr>
          <w:rFonts w:asciiTheme="majorBidi" w:hAnsiTheme="majorBidi"/>
        </w:rPr>
      </w:pPr>
      <w:r w:rsidRPr="000424B0">
        <w:rPr>
          <w:rFonts w:asciiTheme="majorBidi" w:hAnsiTheme="majorBidi"/>
        </w:rPr>
        <w:t>III.</w:t>
      </w:r>
      <w:r w:rsidR="005E5071" w:rsidRPr="000424B0">
        <w:rPr>
          <w:rFonts w:asciiTheme="majorBidi" w:hAnsiTheme="majorBidi"/>
        </w:rPr>
        <w:t xml:space="preserve">  </w:t>
      </w:r>
      <w:r w:rsidR="00517797">
        <w:rPr>
          <w:rFonts w:asciiTheme="majorBidi" w:hAnsiTheme="majorBidi"/>
        </w:rPr>
        <w:t xml:space="preserve">State Competition in Corporate Law </w:t>
      </w:r>
    </w:p>
    <w:p w14:paraId="75084309" w14:textId="72410B1F" w:rsidR="00390C85" w:rsidRDefault="00275627" w:rsidP="00637B2A">
      <w:pPr>
        <w:spacing w:line="480" w:lineRule="auto"/>
        <w:ind w:firstLine="720"/>
        <w:jc w:val="both"/>
        <w:rPr>
          <w:rFonts w:asciiTheme="majorBidi" w:hAnsiTheme="majorBidi"/>
        </w:rPr>
      </w:pPr>
      <w:r>
        <w:rPr>
          <w:rFonts w:asciiTheme="majorBidi" w:hAnsiTheme="majorBidi"/>
        </w:rPr>
        <w:t>Related to E&amp;F</w:t>
      </w:r>
      <w:r w:rsidR="008F3BE9">
        <w:rPr>
          <w:rFonts w:asciiTheme="majorBidi" w:hAnsiTheme="majorBidi"/>
        </w:rPr>
        <w:t xml:space="preserve">’s </w:t>
      </w:r>
      <w:r>
        <w:rPr>
          <w:rFonts w:asciiTheme="majorBidi" w:hAnsiTheme="majorBidi"/>
        </w:rPr>
        <w:t xml:space="preserve">view on </w:t>
      </w:r>
      <w:r w:rsidR="008D75C7">
        <w:rPr>
          <w:rFonts w:asciiTheme="majorBidi" w:hAnsiTheme="majorBidi"/>
        </w:rPr>
        <w:t>contractual freedom is their view on state competition</w:t>
      </w:r>
      <w:r w:rsidR="008F3BE9">
        <w:rPr>
          <w:rFonts w:asciiTheme="majorBidi" w:hAnsiTheme="majorBidi"/>
        </w:rPr>
        <w:t xml:space="preserve">. </w:t>
      </w:r>
      <w:r w:rsidR="00636D06">
        <w:rPr>
          <w:rFonts w:asciiTheme="majorBidi" w:hAnsiTheme="majorBidi"/>
        </w:rPr>
        <w:t>In the United States, s</w:t>
      </w:r>
      <w:r w:rsidR="005B6BBF" w:rsidRPr="00637B2A">
        <w:rPr>
          <w:rFonts w:asciiTheme="majorBidi" w:hAnsiTheme="majorBidi"/>
        </w:rPr>
        <w:t>tate law is an important source of the rules governing companies</w:t>
      </w:r>
      <w:r w:rsidR="00636D06">
        <w:rPr>
          <w:rFonts w:asciiTheme="majorBidi" w:hAnsiTheme="majorBidi"/>
        </w:rPr>
        <w:t xml:space="preserve">, and companies </w:t>
      </w:r>
      <w:r w:rsidR="00A74434">
        <w:rPr>
          <w:rFonts w:asciiTheme="majorBidi" w:hAnsiTheme="majorBidi"/>
        </w:rPr>
        <w:t>may choose their state of incorporation and th</w:t>
      </w:r>
      <w:r w:rsidR="000B4F79">
        <w:rPr>
          <w:rFonts w:asciiTheme="majorBidi" w:hAnsiTheme="majorBidi"/>
        </w:rPr>
        <w:t xml:space="preserve">ereby </w:t>
      </w:r>
      <w:r w:rsidR="00A74434">
        <w:rPr>
          <w:rFonts w:asciiTheme="majorBidi" w:hAnsiTheme="majorBidi"/>
        </w:rPr>
        <w:t xml:space="preserve">the state corporate law that will govern them. </w:t>
      </w:r>
      <w:r w:rsidR="008D75C7">
        <w:rPr>
          <w:rFonts w:asciiTheme="majorBidi" w:hAnsiTheme="majorBidi"/>
        </w:rPr>
        <w:t xml:space="preserve">E&amp;F hold </w:t>
      </w:r>
      <w:r w:rsidR="005B6BBF" w:rsidRPr="00637B2A">
        <w:rPr>
          <w:rFonts w:asciiTheme="majorBidi" w:hAnsiTheme="majorBidi"/>
        </w:rPr>
        <w:t>that</w:t>
      </w:r>
      <w:r w:rsidR="000B4F79">
        <w:rPr>
          <w:rFonts w:asciiTheme="majorBidi" w:hAnsiTheme="majorBidi"/>
        </w:rPr>
        <w:t xml:space="preserve">, because of companies’ freedom to choose, and investors’ ability to </w:t>
      </w:r>
      <w:r w:rsidR="00F83EA4">
        <w:rPr>
          <w:rFonts w:asciiTheme="majorBidi" w:hAnsiTheme="majorBidi"/>
        </w:rPr>
        <w:t xml:space="preserve">price this choice </w:t>
      </w:r>
      <w:r w:rsidR="00F83EA4">
        <w:rPr>
          <w:rFonts w:asciiTheme="majorBidi" w:hAnsiTheme="majorBidi"/>
        </w:rPr>
        <w:lastRenderedPageBreak/>
        <w:t xml:space="preserve">when participating in the company’s IPO, market forces </w:t>
      </w:r>
      <w:r w:rsidR="00390C85">
        <w:rPr>
          <w:rFonts w:asciiTheme="majorBidi" w:hAnsiTheme="majorBidi"/>
        </w:rPr>
        <w:t xml:space="preserve">will push companies to make value-enhancing choice of their incorporation state </w:t>
      </w:r>
      <w:r w:rsidR="00FB37B3">
        <w:rPr>
          <w:rFonts w:asciiTheme="majorBidi" w:hAnsiTheme="majorBidi"/>
        </w:rPr>
        <w:t>and states competing for incorporation will have incentives to adopt value-enhancing state corporate law rules.</w:t>
      </w:r>
      <w:r w:rsidR="00FB37B3">
        <w:rPr>
          <w:rStyle w:val="FootnoteReference"/>
          <w:rFonts w:asciiTheme="majorBidi" w:hAnsiTheme="majorBidi"/>
        </w:rPr>
        <w:footnoteReference w:id="18"/>
      </w:r>
      <w:r w:rsidR="00FB37B3">
        <w:rPr>
          <w:rFonts w:asciiTheme="majorBidi" w:hAnsiTheme="majorBidi"/>
        </w:rPr>
        <w:t xml:space="preserve"> </w:t>
      </w:r>
    </w:p>
    <w:p w14:paraId="17B763CE" w14:textId="4C9ADC18" w:rsidR="0040354E" w:rsidRDefault="00C63143" w:rsidP="009E005F">
      <w:pPr>
        <w:spacing w:line="480" w:lineRule="auto"/>
        <w:ind w:firstLine="720"/>
        <w:jc w:val="both"/>
        <w:rPr>
          <w:rFonts w:asciiTheme="majorBidi" w:hAnsiTheme="majorBidi"/>
        </w:rPr>
      </w:pPr>
      <w:r>
        <w:rPr>
          <w:rFonts w:asciiTheme="majorBidi" w:hAnsiTheme="majorBidi"/>
        </w:rPr>
        <w:t xml:space="preserve">By contrast, at the time of E&amp;F’s writing and in the years since then, </w:t>
      </w:r>
      <w:r w:rsidR="002F374B">
        <w:rPr>
          <w:rFonts w:asciiTheme="majorBidi" w:hAnsiTheme="majorBidi"/>
        </w:rPr>
        <w:t xml:space="preserve">I engaged in </w:t>
      </w:r>
      <w:r w:rsidR="009E005F">
        <w:rPr>
          <w:rFonts w:asciiTheme="majorBidi" w:hAnsiTheme="majorBidi"/>
        </w:rPr>
        <w:t xml:space="preserve">developing an account of state competition that identified the shortcoming of this competition. </w:t>
      </w:r>
      <w:r w:rsidR="009273C6">
        <w:rPr>
          <w:rFonts w:asciiTheme="majorBidi" w:hAnsiTheme="majorBidi"/>
        </w:rPr>
        <w:t xml:space="preserve">In particular, </w:t>
      </w:r>
      <w:r w:rsidR="0038036B">
        <w:rPr>
          <w:rFonts w:asciiTheme="majorBidi" w:hAnsiTheme="majorBidi"/>
        </w:rPr>
        <w:t>taking into account the mechanisms on which contractari</w:t>
      </w:r>
      <w:r w:rsidR="008D761F">
        <w:rPr>
          <w:rFonts w:asciiTheme="majorBidi" w:hAnsiTheme="majorBidi"/>
        </w:rPr>
        <w:t>a</w:t>
      </w:r>
      <w:r w:rsidR="0038036B">
        <w:rPr>
          <w:rFonts w:asciiTheme="majorBidi" w:hAnsiTheme="majorBidi"/>
        </w:rPr>
        <w:t xml:space="preserve">ns rely, </w:t>
      </w:r>
      <w:r w:rsidR="009273C6">
        <w:rPr>
          <w:rFonts w:asciiTheme="majorBidi" w:hAnsiTheme="majorBidi"/>
        </w:rPr>
        <w:t xml:space="preserve">my analysis </w:t>
      </w:r>
      <w:r w:rsidR="00B44E63">
        <w:rPr>
          <w:rFonts w:asciiTheme="majorBidi" w:hAnsiTheme="majorBidi"/>
        </w:rPr>
        <w:t>showed</w:t>
      </w:r>
      <w:r w:rsidR="0038036B">
        <w:rPr>
          <w:rFonts w:asciiTheme="majorBidi" w:hAnsiTheme="majorBidi"/>
        </w:rPr>
        <w:t xml:space="preserve"> that there is nonetheless </w:t>
      </w:r>
      <w:r w:rsidR="009273C6">
        <w:rPr>
          <w:rFonts w:asciiTheme="majorBidi" w:hAnsiTheme="majorBidi"/>
        </w:rPr>
        <w:t xml:space="preserve">an important set of corporate law issues </w:t>
      </w:r>
      <w:r w:rsidR="0027247F">
        <w:rPr>
          <w:rFonts w:asciiTheme="majorBidi" w:hAnsiTheme="majorBidi"/>
        </w:rPr>
        <w:t>with respect to which states seeking to attract incorporations have incentives to provide rules that favor managers rather than shareholders.</w:t>
      </w:r>
      <w:r w:rsidR="00B859DD">
        <w:rPr>
          <w:rStyle w:val="FootnoteReference"/>
          <w:rFonts w:asciiTheme="majorBidi" w:hAnsiTheme="majorBidi"/>
        </w:rPr>
        <w:footnoteReference w:id="19"/>
      </w:r>
      <w:r w:rsidR="0027247F">
        <w:rPr>
          <w:rFonts w:asciiTheme="majorBidi" w:hAnsiTheme="majorBidi"/>
        </w:rPr>
        <w:t xml:space="preserve"> </w:t>
      </w:r>
      <w:r w:rsidR="00604E4F">
        <w:rPr>
          <w:rFonts w:asciiTheme="majorBidi" w:hAnsiTheme="majorBidi"/>
        </w:rPr>
        <w:t xml:space="preserve">I also supplemented this incentives </w:t>
      </w:r>
      <w:r w:rsidR="0009698F">
        <w:rPr>
          <w:rFonts w:asciiTheme="majorBidi" w:hAnsiTheme="majorBidi"/>
        </w:rPr>
        <w:t>analysis with empirical studies supporting it</w:t>
      </w:r>
      <w:r w:rsidR="00003CFA">
        <w:rPr>
          <w:rFonts w:asciiTheme="majorBidi" w:hAnsiTheme="majorBidi"/>
        </w:rPr>
        <w:t>,</w:t>
      </w:r>
      <w:r w:rsidR="00276A7F">
        <w:rPr>
          <w:rStyle w:val="FootnoteReference"/>
          <w:rFonts w:asciiTheme="majorBidi" w:hAnsiTheme="majorBidi"/>
        </w:rPr>
        <w:footnoteReference w:id="20"/>
      </w:r>
      <w:r w:rsidR="00003CFA">
        <w:rPr>
          <w:rFonts w:asciiTheme="majorBidi" w:hAnsiTheme="majorBidi"/>
        </w:rPr>
        <w:t xml:space="preserve"> with an account of the development of state takeover law that</w:t>
      </w:r>
      <w:r w:rsidR="00692DFF">
        <w:rPr>
          <w:rFonts w:asciiTheme="majorBidi" w:hAnsiTheme="majorBidi"/>
        </w:rPr>
        <w:t xml:space="preserve"> supported it,</w:t>
      </w:r>
      <w:r w:rsidR="00276A7F">
        <w:rPr>
          <w:rStyle w:val="FootnoteReference"/>
          <w:rFonts w:asciiTheme="majorBidi" w:hAnsiTheme="majorBidi"/>
        </w:rPr>
        <w:footnoteReference w:id="21"/>
      </w:r>
      <w:r w:rsidR="00692DFF">
        <w:rPr>
          <w:rFonts w:asciiTheme="majorBidi" w:hAnsiTheme="majorBidi"/>
        </w:rPr>
        <w:t xml:space="preserve"> and with a history of the development of shareholder protection rules over time that shows </w:t>
      </w:r>
      <w:r w:rsidR="00682567">
        <w:rPr>
          <w:rFonts w:asciiTheme="majorBidi" w:hAnsiTheme="majorBidi"/>
        </w:rPr>
        <w:t>how federal law had repeatedly to step in and provide such protections when state law failed to do so.</w:t>
      </w:r>
      <w:r w:rsidR="005B3ABA">
        <w:rPr>
          <w:rStyle w:val="FootnoteReference"/>
          <w:rFonts w:asciiTheme="majorBidi" w:hAnsiTheme="majorBidi"/>
        </w:rPr>
        <w:footnoteReference w:id="22"/>
      </w:r>
    </w:p>
    <w:p w14:paraId="1D8424E4" w14:textId="7CB978B0" w:rsidR="00241395" w:rsidRPr="00637B2A" w:rsidRDefault="0040354E" w:rsidP="00241395">
      <w:pPr>
        <w:spacing w:line="480" w:lineRule="auto"/>
        <w:ind w:firstLine="720"/>
        <w:jc w:val="both"/>
        <w:rPr>
          <w:rFonts w:asciiTheme="majorBidi" w:hAnsiTheme="majorBidi"/>
        </w:rPr>
      </w:pPr>
      <w:r>
        <w:rPr>
          <w:rFonts w:asciiTheme="majorBidi" w:hAnsiTheme="majorBidi"/>
        </w:rPr>
        <w:lastRenderedPageBreak/>
        <w:t xml:space="preserve">Although my analysis </w:t>
      </w:r>
      <w:r w:rsidR="0012629A">
        <w:rPr>
          <w:rFonts w:asciiTheme="majorBidi" w:hAnsiTheme="majorBidi"/>
        </w:rPr>
        <w:t xml:space="preserve">supports </w:t>
      </w:r>
      <w:r w:rsidR="00905B01">
        <w:rPr>
          <w:rFonts w:asciiTheme="majorBidi" w:hAnsiTheme="majorBidi"/>
        </w:rPr>
        <w:t xml:space="preserve">an important role </w:t>
      </w:r>
      <w:r w:rsidR="0012629A">
        <w:rPr>
          <w:rFonts w:asciiTheme="majorBidi" w:hAnsiTheme="majorBidi"/>
        </w:rPr>
        <w:t xml:space="preserve">for </w:t>
      </w:r>
      <w:r>
        <w:rPr>
          <w:rFonts w:asciiTheme="majorBidi" w:hAnsiTheme="majorBidi"/>
        </w:rPr>
        <w:t xml:space="preserve">mandatory </w:t>
      </w:r>
      <w:r w:rsidR="00905B01">
        <w:rPr>
          <w:rFonts w:asciiTheme="majorBidi" w:hAnsiTheme="majorBidi"/>
        </w:rPr>
        <w:t xml:space="preserve">federal laws, I also sought to put on the table approaches that would address </w:t>
      </w:r>
      <w:r w:rsidR="004021A6">
        <w:rPr>
          <w:rFonts w:asciiTheme="majorBidi" w:hAnsiTheme="majorBidi"/>
        </w:rPr>
        <w:t xml:space="preserve">both </w:t>
      </w:r>
      <w:r w:rsidR="00905B01">
        <w:rPr>
          <w:rFonts w:asciiTheme="majorBidi" w:hAnsiTheme="majorBidi"/>
        </w:rPr>
        <w:t xml:space="preserve">the shortcoming of state competition </w:t>
      </w:r>
      <w:r w:rsidR="004021A6">
        <w:rPr>
          <w:rFonts w:asciiTheme="majorBidi" w:hAnsiTheme="majorBidi"/>
        </w:rPr>
        <w:t>and the concerns that contrac</w:t>
      </w:r>
      <w:r w:rsidR="00B44E63">
        <w:rPr>
          <w:rFonts w:asciiTheme="majorBidi" w:hAnsiTheme="majorBidi"/>
        </w:rPr>
        <w:t>tarians</w:t>
      </w:r>
      <w:r w:rsidR="004021A6">
        <w:rPr>
          <w:rFonts w:asciiTheme="majorBidi" w:hAnsiTheme="majorBidi"/>
        </w:rPr>
        <w:t xml:space="preserve"> like E&amp;F have with respect to mandating federal rules from which companies </w:t>
      </w:r>
      <w:r w:rsidR="0012629A">
        <w:rPr>
          <w:rFonts w:asciiTheme="majorBidi" w:hAnsiTheme="majorBidi"/>
        </w:rPr>
        <w:t>cannot opt out.</w:t>
      </w:r>
      <w:r w:rsidR="00F031F6">
        <w:rPr>
          <w:rStyle w:val="FootnoteReference"/>
          <w:rFonts w:asciiTheme="majorBidi" w:hAnsiTheme="majorBidi"/>
        </w:rPr>
        <w:footnoteReference w:id="23"/>
      </w:r>
      <w:r w:rsidR="004021A6">
        <w:rPr>
          <w:rFonts w:asciiTheme="majorBidi" w:hAnsiTheme="majorBidi"/>
        </w:rPr>
        <w:t xml:space="preserve"> </w:t>
      </w:r>
      <w:r w:rsidR="0013226F">
        <w:rPr>
          <w:rFonts w:asciiTheme="majorBidi" w:hAnsiTheme="majorBidi"/>
        </w:rPr>
        <w:t xml:space="preserve">In particular, </w:t>
      </w:r>
      <w:r w:rsidR="0012629A">
        <w:rPr>
          <w:rFonts w:asciiTheme="majorBidi" w:hAnsiTheme="majorBidi"/>
        </w:rPr>
        <w:t xml:space="preserve">my </w:t>
      </w:r>
      <w:r w:rsidR="00094FFA">
        <w:rPr>
          <w:rFonts w:asciiTheme="majorBidi" w:hAnsiTheme="majorBidi"/>
        </w:rPr>
        <w:t xml:space="preserve">research showed </w:t>
      </w:r>
      <w:r w:rsidR="0013226F">
        <w:rPr>
          <w:rFonts w:asciiTheme="majorBidi" w:hAnsiTheme="majorBidi"/>
        </w:rPr>
        <w:t xml:space="preserve">that, even if such </w:t>
      </w:r>
      <w:r w:rsidR="0001117C">
        <w:rPr>
          <w:rFonts w:asciiTheme="majorBidi" w:hAnsiTheme="majorBidi"/>
        </w:rPr>
        <w:t xml:space="preserve">contractarian </w:t>
      </w:r>
      <w:r w:rsidR="0013226F">
        <w:rPr>
          <w:rFonts w:asciiTheme="majorBidi" w:hAnsiTheme="majorBidi"/>
        </w:rPr>
        <w:t xml:space="preserve">concerns were to be fully accepted, </w:t>
      </w:r>
      <w:r w:rsidR="00F031F6">
        <w:rPr>
          <w:rFonts w:asciiTheme="majorBidi" w:hAnsiTheme="majorBidi"/>
        </w:rPr>
        <w:t>an important role for federal law would be desirable</w:t>
      </w:r>
      <w:r w:rsidR="002B76AF">
        <w:rPr>
          <w:rFonts w:asciiTheme="majorBidi" w:hAnsiTheme="majorBidi"/>
        </w:rPr>
        <w:t>: A</w:t>
      </w:r>
      <w:r w:rsidR="0052740C">
        <w:rPr>
          <w:rFonts w:asciiTheme="majorBidi" w:hAnsiTheme="majorBidi"/>
        </w:rPr>
        <w:t xml:space="preserve">t a minimum, it would be </w:t>
      </w:r>
      <w:r w:rsidR="002B76AF">
        <w:rPr>
          <w:rFonts w:asciiTheme="majorBidi" w:hAnsiTheme="majorBidi"/>
        </w:rPr>
        <w:t xml:space="preserve">desirable to (i) </w:t>
      </w:r>
      <w:r w:rsidR="0052740C">
        <w:rPr>
          <w:rFonts w:asciiTheme="majorBidi" w:hAnsiTheme="majorBidi"/>
        </w:rPr>
        <w:t xml:space="preserve">provide a federal incorporation option, and </w:t>
      </w:r>
      <w:r w:rsidR="002B76AF">
        <w:rPr>
          <w:rFonts w:asciiTheme="majorBidi" w:hAnsiTheme="majorBidi"/>
        </w:rPr>
        <w:t xml:space="preserve">(ii) </w:t>
      </w:r>
      <w:r w:rsidR="00805F47">
        <w:rPr>
          <w:rFonts w:asciiTheme="majorBidi" w:hAnsiTheme="majorBidi"/>
        </w:rPr>
        <w:t xml:space="preserve">adopt </w:t>
      </w:r>
      <w:r w:rsidR="002B76AF">
        <w:rPr>
          <w:rFonts w:asciiTheme="majorBidi" w:hAnsiTheme="majorBidi"/>
        </w:rPr>
        <w:t xml:space="preserve">a federal </w:t>
      </w:r>
      <w:r w:rsidR="00805F47">
        <w:rPr>
          <w:rFonts w:asciiTheme="majorBidi" w:hAnsiTheme="majorBidi"/>
        </w:rPr>
        <w:t xml:space="preserve">rule that </w:t>
      </w:r>
      <w:r w:rsidR="0052740C">
        <w:rPr>
          <w:rFonts w:asciiTheme="majorBidi" w:hAnsiTheme="majorBidi"/>
        </w:rPr>
        <w:t xml:space="preserve">enables </w:t>
      </w:r>
      <w:r w:rsidR="00373A2E">
        <w:rPr>
          <w:rFonts w:asciiTheme="majorBidi" w:hAnsiTheme="majorBidi"/>
        </w:rPr>
        <w:t xml:space="preserve">public company </w:t>
      </w:r>
      <w:r w:rsidR="0052740C">
        <w:rPr>
          <w:rFonts w:asciiTheme="majorBidi" w:hAnsiTheme="majorBidi"/>
        </w:rPr>
        <w:t xml:space="preserve">shareholders </w:t>
      </w:r>
      <w:r w:rsidR="001C06BA">
        <w:rPr>
          <w:rFonts w:asciiTheme="majorBidi" w:hAnsiTheme="majorBidi"/>
        </w:rPr>
        <w:t xml:space="preserve">to </w:t>
      </w:r>
      <w:r w:rsidR="00805F47">
        <w:rPr>
          <w:rFonts w:asciiTheme="majorBidi" w:hAnsiTheme="majorBidi"/>
        </w:rPr>
        <w:t xml:space="preserve">change the </w:t>
      </w:r>
      <w:r w:rsidR="00373A2E">
        <w:rPr>
          <w:rFonts w:asciiTheme="majorBidi" w:hAnsiTheme="majorBidi"/>
        </w:rPr>
        <w:t xml:space="preserve">company’s </w:t>
      </w:r>
      <w:r w:rsidR="00097547">
        <w:rPr>
          <w:rFonts w:asciiTheme="majorBidi" w:hAnsiTheme="majorBidi"/>
        </w:rPr>
        <w:t>incorporat</w:t>
      </w:r>
      <w:r w:rsidR="00373A2E">
        <w:rPr>
          <w:rFonts w:asciiTheme="majorBidi" w:hAnsiTheme="majorBidi"/>
        </w:rPr>
        <w:t xml:space="preserve">ion </w:t>
      </w:r>
      <w:r w:rsidR="00F33E3D">
        <w:rPr>
          <w:rFonts w:asciiTheme="majorBidi" w:hAnsiTheme="majorBidi"/>
        </w:rPr>
        <w:t>(</w:t>
      </w:r>
      <w:r w:rsidR="00097547">
        <w:rPr>
          <w:rFonts w:asciiTheme="majorBidi" w:hAnsiTheme="majorBidi"/>
        </w:rPr>
        <w:t>without bard veto on such reincorporation)</w:t>
      </w:r>
      <w:r w:rsidR="00F33E3D">
        <w:rPr>
          <w:rFonts w:asciiTheme="majorBidi" w:hAnsiTheme="majorBidi"/>
        </w:rPr>
        <w:t>.</w:t>
      </w:r>
      <w:r w:rsidR="005B6BBF" w:rsidRPr="00637B2A">
        <w:rPr>
          <w:rStyle w:val="NoteRefInText"/>
          <w:rFonts w:asciiTheme="majorBidi" w:hAnsiTheme="majorBidi"/>
          <w:sz w:val="24"/>
        </w:rPr>
        <w:footnoteReference w:id="24"/>
      </w:r>
      <w:r w:rsidR="00C80220" w:rsidRPr="00637B2A">
        <w:rPr>
          <w:rFonts w:asciiTheme="majorBidi" w:hAnsiTheme="majorBidi"/>
        </w:rPr>
        <w:t xml:space="preserve"> </w:t>
      </w:r>
      <w:r w:rsidR="0001117C">
        <w:rPr>
          <w:rFonts w:asciiTheme="majorBidi" w:hAnsiTheme="majorBidi"/>
        </w:rPr>
        <w:t>Thus, on my view, eve</w:t>
      </w:r>
      <w:r w:rsidR="00E828DF">
        <w:rPr>
          <w:rFonts w:asciiTheme="majorBidi" w:hAnsiTheme="majorBidi"/>
        </w:rPr>
        <w:t>n</w:t>
      </w:r>
      <w:r w:rsidR="0001117C">
        <w:rPr>
          <w:rFonts w:asciiTheme="majorBidi" w:hAnsiTheme="majorBidi"/>
        </w:rPr>
        <w:t xml:space="preserve"> </w:t>
      </w:r>
      <w:r w:rsidR="00241395">
        <w:rPr>
          <w:rFonts w:asciiTheme="majorBidi" w:hAnsiTheme="majorBidi"/>
        </w:rPr>
        <w:t xml:space="preserve">contractarians like E&amp;F would not have a good basis for not accepting such an approach. </w:t>
      </w:r>
    </w:p>
    <w:p w14:paraId="02E3239B" w14:textId="77777777" w:rsidR="00C80220" w:rsidRPr="00637B2A" w:rsidRDefault="00C80220" w:rsidP="00637B2A">
      <w:pPr>
        <w:spacing w:line="480" w:lineRule="auto"/>
        <w:ind w:firstLine="720"/>
        <w:jc w:val="both"/>
        <w:rPr>
          <w:rFonts w:asciiTheme="majorBidi" w:hAnsiTheme="majorBidi"/>
        </w:rPr>
      </w:pPr>
    </w:p>
    <w:p w14:paraId="793D162F" w14:textId="63F7F17D" w:rsidR="004460A9" w:rsidRPr="00220001" w:rsidRDefault="00C873C0" w:rsidP="00C873C0">
      <w:pPr>
        <w:pStyle w:val="ListParagraph"/>
        <w:spacing w:line="480" w:lineRule="auto"/>
        <w:ind w:left="1080"/>
        <w:jc w:val="both"/>
        <w:rPr>
          <w:rFonts w:asciiTheme="majorBidi" w:hAnsiTheme="majorBidi"/>
        </w:rPr>
      </w:pPr>
      <w:r w:rsidRPr="00220001">
        <w:rPr>
          <w:rFonts w:asciiTheme="majorBidi" w:hAnsiTheme="majorBidi"/>
        </w:rPr>
        <w:t>I</w:t>
      </w:r>
      <w:r w:rsidR="0027287B" w:rsidRPr="00220001">
        <w:rPr>
          <w:rFonts w:asciiTheme="majorBidi" w:hAnsiTheme="majorBidi"/>
        </w:rPr>
        <w:t>V</w:t>
      </w:r>
      <w:r w:rsidRPr="00220001">
        <w:rPr>
          <w:rFonts w:asciiTheme="majorBidi" w:hAnsiTheme="majorBidi"/>
        </w:rPr>
        <w:t xml:space="preserve">. </w:t>
      </w:r>
      <w:r w:rsidR="00F26B95" w:rsidRPr="00220001">
        <w:rPr>
          <w:rFonts w:asciiTheme="majorBidi" w:hAnsiTheme="majorBidi"/>
        </w:rPr>
        <w:t xml:space="preserve">The </w:t>
      </w:r>
      <w:r w:rsidR="00220001" w:rsidRPr="00220001">
        <w:rPr>
          <w:rFonts w:asciiTheme="majorBidi" w:hAnsiTheme="majorBidi"/>
        </w:rPr>
        <w:t>D</w:t>
      </w:r>
      <w:r w:rsidR="00F26B95" w:rsidRPr="00220001">
        <w:rPr>
          <w:rFonts w:asciiTheme="majorBidi" w:hAnsiTheme="majorBidi"/>
        </w:rPr>
        <w:t xml:space="preserve">ebate on Efficiency and </w:t>
      </w:r>
      <w:r w:rsidR="00220001" w:rsidRPr="00220001">
        <w:rPr>
          <w:rFonts w:asciiTheme="majorBidi" w:hAnsiTheme="majorBidi"/>
        </w:rPr>
        <w:t xml:space="preserve">Distribution in Corporate Law </w:t>
      </w:r>
    </w:p>
    <w:p w14:paraId="73D47F06" w14:textId="1AFD32A7" w:rsidR="00CD7C11" w:rsidRDefault="00985BD8" w:rsidP="009C40BD">
      <w:pPr>
        <w:spacing w:line="480" w:lineRule="auto"/>
        <w:jc w:val="both"/>
        <w:rPr>
          <w:rFonts w:asciiTheme="majorBidi" w:hAnsiTheme="majorBidi"/>
        </w:rPr>
      </w:pPr>
      <w:r>
        <w:rPr>
          <w:rFonts w:asciiTheme="majorBidi" w:hAnsiTheme="majorBidi"/>
        </w:rPr>
        <w:tab/>
        <w:t xml:space="preserve">Various corporate law rules have </w:t>
      </w:r>
      <w:proofErr w:type="gramStart"/>
      <w:r w:rsidR="00311385">
        <w:rPr>
          <w:rFonts w:asciiTheme="majorBidi" w:hAnsiTheme="majorBidi"/>
        </w:rPr>
        <w:t>been viewed</w:t>
      </w:r>
      <w:proofErr w:type="gramEnd"/>
      <w:r w:rsidR="00311385">
        <w:rPr>
          <w:rFonts w:asciiTheme="majorBidi" w:hAnsiTheme="majorBidi"/>
        </w:rPr>
        <w:t xml:space="preserve"> as seeking to </w:t>
      </w:r>
      <w:r w:rsidR="004D08D0">
        <w:rPr>
          <w:rFonts w:asciiTheme="majorBidi" w:hAnsiTheme="majorBidi"/>
        </w:rPr>
        <w:t xml:space="preserve">constrain corporate insiders from treating themselves better at the expense of public investors. </w:t>
      </w:r>
      <w:r w:rsidR="00674AAA">
        <w:rPr>
          <w:rFonts w:asciiTheme="majorBidi" w:hAnsiTheme="majorBidi"/>
        </w:rPr>
        <w:t>However, i</w:t>
      </w:r>
      <w:r w:rsidR="00C873C0" w:rsidRPr="00985BD8">
        <w:rPr>
          <w:rFonts w:asciiTheme="majorBidi" w:hAnsiTheme="majorBidi"/>
        </w:rPr>
        <w:t xml:space="preserve">n </w:t>
      </w:r>
      <w:r w:rsidR="00674AAA">
        <w:rPr>
          <w:rFonts w:asciiTheme="majorBidi" w:hAnsiTheme="majorBidi"/>
        </w:rPr>
        <w:t xml:space="preserve">a widely cited article on corporate control transactions, and in the E&amp;F Book, </w:t>
      </w:r>
      <w:r w:rsidR="00EB2C10">
        <w:rPr>
          <w:rFonts w:asciiTheme="majorBidi" w:hAnsiTheme="majorBidi"/>
        </w:rPr>
        <w:t xml:space="preserve">E&amp;F argued that such distributive or fairness </w:t>
      </w:r>
      <w:r w:rsidR="003E2C9D">
        <w:rPr>
          <w:rFonts w:asciiTheme="majorBidi" w:hAnsiTheme="majorBidi"/>
        </w:rPr>
        <w:t xml:space="preserve">principles </w:t>
      </w:r>
      <w:r w:rsidR="00EB2C10">
        <w:rPr>
          <w:rFonts w:asciiTheme="majorBidi" w:hAnsiTheme="majorBidi"/>
        </w:rPr>
        <w:t xml:space="preserve">should </w:t>
      </w:r>
      <w:r w:rsidR="003E2C9D">
        <w:rPr>
          <w:rFonts w:asciiTheme="majorBidi" w:hAnsiTheme="majorBidi"/>
        </w:rPr>
        <w:t xml:space="preserve">not </w:t>
      </w:r>
      <w:proofErr w:type="gramStart"/>
      <w:r w:rsidR="003E2C9D">
        <w:rPr>
          <w:rFonts w:asciiTheme="majorBidi" w:hAnsiTheme="majorBidi"/>
        </w:rPr>
        <w:t>be followed</w:t>
      </w:r>
      <w:proofErr w:type="gramEnd"/>
      <w:r w:rsidR="003E2C9D">
        <w:rPr>
          <w:rFonts w:asciiTheme="majorBidi" w:hAnsiTheme="majorBidi"/>
        </w:rPr>
        <w:t xml:space="preserve"> because doing so </w:t>
      </w:r>
      <w:r w:rsidR="00192A62">
        <w:rPr>
          <w:rFonts w:asciiTheme="majorBidi" w:hAnsiTheme="majorBidi"/>
        </w:rPr>
        <w:t xml:space="preserve">could well impede efficient choices </w:t>
      </w:r>
      <w:r w:rsidR="00192A62">
        <w:rPr>
          <w:rFonts w:asciiTheme="majorBidi" w:hAnsiTheme="majorBidi"/>
        </w:rPr>
        <w:lastRenderedPageBreak/>
        <w:t xml:space="preserve">by corporate insiders and thereby </w:t>
      </w:r>
      <w:r w:rsidR="003E2C9D">
        <w:rPr>
          <w:rFonts w:asciiTheme="majorBidi" w:hAnsiTheme="majorBidi"/>
        </w:rPr>
        <w:t xml:space="preserve">produce </w:t>
      </w:r>
      <w:r w:rsidR="00B44E63">
        <w:rPr>
          <w:rFonts w:asciiTheme="majorBidi" w:hAnsiTheme="majorBidi"/>
        </w:rPr>
        <w:t>efficiency</w:t>
      </w:r>
      <w:r w:rsidR="003E2C9D">
        <w:rPr>
          <w:rFonts w:asciiTheme="majorBidi" w:hAnsiTheme="majorBidi"/>
        </w:rPr>
        <w:t xml:space="preserve"> costs that would be detrimental to the interests of all </w:t>
      </w:r>
      <w:r w:rsidR="00192A62">
        <w:rPr>
          <w:rFonts w:asciiTheme="majorBidi" w:hAnsiTheme="majorBidi"/>
        </w:rPr>
        <w:t xml:space="preserve">corporate participants </w:t>
      </w:r>
      <w:r w:rsidR="003E2C9D">
        <w:rPr>
          <w:rFonts w:asciiTheme="majorBidi" w:hAnsiTheme="majorBidi"/>
        </w:rPr>
        <w:t>ex ante.</w:t>
      </w:r>
      <w:r w:rsidR="00F80D58">
        <w:rPr>
          <w:rStyle w:val="FootnoteReference"/>
          <w:rFonts w:asciiTheme="majorBidi" w:hAnsiTheme="majorBidi"/>
        </w:rPr>
        <w:footnoteReference w:id="25"/>
      </w:r>
      <w:r w:rsidR="00CD7C11">
        <w:rPr>
          <w:rFonts w:asciiTheme="majorBidi" w:hAnsiTheme="majorBidi"/>
        </w:rPr>
        <w:t xml:space="preserve"> </w:t>
      </w:r>
    </w:p>
    <w:p w14:paraId="6BCAB2DF" w14:textId="5B819823" w:rsidR="00677841" w:rsidRDefault="009C40BD" w:rsidP="00253CCB">
      <w:pPr>
        <w:spacing w:line="480" w:lineRule="auto"/>
        <w:jc w:val="both"/>
        <w:rPr>
          <w:rFonts w:asciiTheme="majorBidi" w:hAnsiTheme="majorBidi"/>
        </w:rPr>
      </w:pPr>
      <w:r>
        <w:rPr>
          <w:rFonts w:asciiTheme="majorBidi" w:hAnsiTheme="majorBidi"/>
        </w:rPr>
        <w:tab/>
        <w:t xml:space="preserve">However, </w:t>
      </w:r>
      <w:r w:rsidR="000C6C4E">
        <w:rPr>
          <w:rFonts w:asciiTheme="majorBidi" w:hAnsiTheme="majorBidi"/>
        </w:rPr>
        <w:t xml:space="preserve">my research </w:t>
      </w:r>
      <w:r>
        <w:rPr>
          <w:rFonts w:asciiTheme="majorBidi" w:hAnsiTheme="majorBidi"/>
        </w:rPr>
        <w:t xml:space="preserve">on developing and implementing an economic framework for </w:t>
      </w:r>
      <w:r w:rsidR="0079238D">
        <w:rPr>
          <w:rFonts w:asciiTheme="majorBidi" w:hAnsiTheme="majorBidi"/>
        </w:rPr>
        <w:t xml:space="preserve">analyzing corporate law issues has shown </w:t>
      </w:r>
      <w:r w:rsidR="00844B48">
        <w:rPr>
          <w:rFonts w:asciiTheme="majorBidi" w:hAnsiTheme="majorBidi"/>
        </w:rPr>
        <w:t xml:space="preserve">that </w:t>
      </w:r>
      <w:r w:rsidR="0079238D">
        <w:rPr>
          <w:rFonts w:asciiTheme="majorBidi" w:hAnsiTheme="majorBidi"/>
        </w:rPr>
        <w:t>ensuring that insiders do not</w:t>
      </w:r>
      <w:r w:rsidR="00AE72DA">
        <w:rPr>
          <w:rFonts w:asciiTheme="majorBidi" w:hAnsiTheme="majorBidi"/>
        </w:rPr>
        <w:t xml:space="preserve"> get excessive fraction of the pie </w:t>
      </w:r>
      <w:proofErr w:type="gramStart"/>
      <w:r w:rsidR="00AE72DA">
        <w:rPr>
          <w:rFonts w:asciiTheme="majorBidi" w:hAnsiTheme="majorBidi"/>
        </w:rPr>
        <w:t xml:space="preserve">is </w:t>
      </w:r>
      <w:r w:rsidR="00E92731">
        <w:rPr>
          <w:rFonts w:asciiTheme="majorBidi" w:hAnsiTheme="majorBidi"/>
        </w:rPr>
        <w:t xml:space="preserve">often </w:t>
      </w:r>
      <w:r w:rsidR="00AE72DA">
        <w:rPr>
          <w:rFonts w:asciiTheme="majorBidi" w:hAnsiTheme="majorBidi"/>
        </w:rPr>
        <w:t>grounded</w:t>
      </w:r>
      <w:proofErr w:type="gramEnd"/>
      <w:r w:rsidR="00AE72DA">
        <w:rPr>
          <w:rFonts w:asciiTheme="majorBidi" w:hAnsiTheme="majorBidi"/>
        </w:rPr>
        <w:t xml:space="preserve"> </w:t>
      </w:r>
      <w:r w:rsidR="00E92731">
        <w:rPr>
          <w:rFonts w:asciiTheme="majorBidi" w:hAnsiTheme="majorBidi"/>
        </w:rPr>
        <w:t xml:space="preserve">in </w:t>
      </w:r>
      <w:r w:rsidR="00AE72DA">
        <w:rPr>
          <w:rFonts w:asciiTheme="majorBidi" w:hAnsiTheme="majorBidi"/>
        </w:rPr>
        <w:t xml:space="preserve">solid economic, incentive reasons. </w:t>
      </w:r>
      <w:r w:rsidR="00F52FC0">
        <w:rPr>
          <w:rFonts w:asciiTheme="majorBidi" w:hAnsiTheme="majorBidi"/>
        </w:rPr>
        <w:t xml:space="preserve">In particular, the analysis of various </w:t>
      </w:r>
      <w:r w:rsidR="00CE3F92">
        <w:rPr>
          <w:rFonts w:asciiTheme="majorBidi" w:hAnsiTheme="majorBidi"/>
        </w:rPr>
        <w:t xml:space="preserve">standard corporate settings indicated that </w:t>
      </w:r>
      <w:r w:rsidR="00D342E6">
        <w:rPr>
          <w:rFonts w:asciiTheme="majorBidi" w:hAnsiTheme="majorBidi"/>
        </w:rPr>
        <w:t xml:space="preserve">failing to constrain the </w:t>
      </w:r>
      <w:r w:rsidR="00866798">
        <w:rPr>
          <w:rFonts w:asciiTheme="majorBidi" w:hAnsiTheme="majorBidi"/>
        </w:rPr>
        <w:t xml:space="preserve">fraction of payoffs </w:t>
      </w:r>
      <w:r w:rsidR="00D342E6">
        <w:rPr>
          <w:rFonts w:asciiTheme="majorBidi" w:hAnsiTheme="majorBidi"/>
        </w:rPr>
        <w:t xml:space="preserve">captured by insiders in such settings </w:t>
      </w:r>
      <w:r w:rsidR="00866798">
        <w:rPr>
          <w:rFonts w:asciiTheme="majorBidi" w:hAnsiTheme="majorBidi"/>
        </w:rPr>
        <w:t xml:space="preserve">would </w:t>
      </w:r>
      <w:r w:rsidR="00D342E6">
        <w:rPr>
          <w:rFonts w:asciiTheme="majorBidi" w:hAnsiTheme="majorBidi"/>
        </w:rPr>
        <w:t xml:space="preserve">produce </w:t>
      </w:r>
      <w:r w:rsidR="00866798">
        <w:rPr>
          <w:rFonts w:asciiTheme="majorBidi" w:hAnsiTheme="majorBidi"/>
        </w:rPr>
        <w:t>distorted incentives</w:t>
      </w:r>
      <w:r w:rsidR="00E03CE0">
        <w:rPr>
          <w:rFonts w:asciiTheme="majorBidi" w:hAnsiTheme="majorBidi"/>
        </w:rPr>
        <w:t xml:space="preserve"> – incentives to </w:t>
      </w:r>
      <w:r w:rsidR="00032FD5">
        <w:rPr>
          <w:rFonts w:asciiTheme="majorBidi" w:hAnsiTheme="majorBidi"/>
        </w:rPr>
        <w:t xml:space="preserve">take actions that would </w:t>
      </w:r>
      <w:r w:rsidR="00253CCB">
        <w:rPr>
          <w:rFonts w:asciiTheme="majorBidi" w:hAnsiTheme="majorBidi"/>
        </w:rPr>
        <w:t xml:space="preserve">reduce the total pie but enable insiders to capture a larger slice. </w:t>
      </w:r>
      <w:r w:rsidR="00677841">
        <w:rPr>
          <w:rFonts w:asciiTheme="majorBidi" w:hAnsiTheme="majorBidi"/>
        </w:rPr>
        <w:t xml:space="preserve">Thus, in such settings, </w:t>
      </w:r>
      <w:r w:rsidR="00F123BC">
        <w:rPr>
          <w:rFonts w:asciiTheme="majorBidi" w:hAnsiTheme="majorBidi"/>
        </w:rPr>
        <w:t>insi</w:t>
      </w:r>
      <w:r w:rsidR="004C3151">
        <w:rPr>
          <w:rFonts w:asciiTheme="majorBidi" w:hAnsiTheme="majorBidi"/>
        </w:rPr>
        <w:t>s</w:t>
      </w:r>
      <w:r w:rsidR="00F123BC">
        <w:rPr>
          <w:rFonts w:asciiTheme="majorBidi" w:hAnsiTheme="majorBidi"/>
        </w:rPr>
        <w:t xml:space="preserve">ting on certain distribution of pie not only does not clash with efficiency but might serve such goals. </w:t>
      </w:r>
    </w:p>
    <w:p w14:paraId="553E15B6" w14:textId="566F6852" w:rsidR="002E450A" w:rsidRDefault="00C140BC" w:rsidP="00C10BE7">
      <w:pPr>
        <w:spacing w:line="480" w:lineRule="auto"/>
        <w:ind w:firstLine="720"/>
        <w:jc w:val="both"/>
        <w:rPr>
          <w:rFonts w:asciiTheme="majorBidi" w:hAnsiTheme="majorBidi"/>
        </w:rPr>
      </w:pPr>
      <w:r>
        <w:rPr>
          <w:rFonts w:asciiTheme="majorBidi" w:hAnsiTheme="majorBidi"/>
        </w:rPr>
        <w:t xml:space="preserve">In one early article, </w:t>
      </w:r>
      <w:r w:rsidR="00680FA7">
        <w:rPr>
          <w:rFonts w:asciiTheme="majorBidi" w:hAnsiTheme="majorBidi"/>
        </w:rPr>
        <w:t>I have show</w:t>
      </w:r>
      <w:r w:rsidR="00F42ABD">
        <w:rPr>
          <w:rFonts w:asciiTheme="majorBidi" w:hAnsiTheme="majorBidi"/>
        </w:rPr>
        <w:t>n</w:t>
      </w:r>
      <w:r w:rsidR="00680FA7">
        <w:rPr>
          <w:rFonts w:asciiTheme="majorBidi" w:hAnsiTheme="majorBidi"/>
        </w:rPr>
        <w:t xml:space="preserve"> that enabling bidders to treat shareholders differentially could well lead to </w:t>
      </w:r>
      <w:r w:rsidR="00F42ABD">
        <w:rPr>
          <w:rFonts w:asciiTheme="majorBidi" w:hAnsiTheme="majorBidi"/>
        </w:rPr>
        <w:t>value-reducing takeovers</w:t>
      </w:r>
      <w:r w:rsidR="00E57E35">
        <w:rPr>
          <w:rFonts w:asciiTheme="majorBidi" w:hAnsiTheme="majorBidi"/>
        </w:rPr>
        <w:t>.</w:t>
      </w:r>
      <w:r w:rsidR="00B65548">
        <w:rPr>
          <w:rStyle w:val="FootnoteReference"/>
          <w:rFonts w:asciiTheme="majorBidi" w:hAnsiTheme="majorBidi"/>
        </w:rPr>
        <w:footnoteReference w:id="26"/>
      </w:r>
      <w:r w:rsidR="00B65548">
        <w:rPr>
          <w:rFonts w:asciiTheme="majorBidi" w:hAnsiTheme="majorBidi"/>
        </w:rPr>
        <w:t xml:space="preserve"> In subsequent article</w:t>
      </w:r>
      <w:r w:rsidR="00870847">
        <w:rPr>
          <w:rFonts w:asciiTheme="majorBidi" w:hAnsiTheme="majorBidi"/>
        </w:rPr>
        <w:t>s</w:t>
      </w:r>
      <w:r w:rsidR="00B65548">
        <w:rPr>
          <w:rFonts w:asciiTheme="majorBidi" w:hAnsiTheme="majorBidi"/>
        </w:rPr>
        <w:t>,</w:t>
      </w:r>
      <w:r w:rsidR="00870847">
        <w:rPr>
          <w:rFonts w:asciiTheme="majorBidi" w:hAnsiTheme="majorBidi"/>
        </w:rPr>
        <w:t xml:space="preserve"> I have shown how </w:t>
      </w:r>
      <w:r w:rsidR="00700C34">
        <w:rPr>
          <w:rFonts w:asciiTheme="majorBidi" w:hAnsiTheme="majorBidi"/>
        </w:rPr>
        <w:t>corporate controllers</w:t>
      </w:r>
      <w:r w:rsidR="000F1E3A">
        <w:rPr>
          <w:rFonts w:asciiTheme="majorBidi" w:hAnsiTheme="majorBidi"/>
        </w:rPr>
        <w:t>, and especially ones</w:t>
      </w:r>
      <w:r w:rsidR="00700C34">
        <w:rPr>
          <w:rFonts w:asciiTheme="majorBidi" w:hAnsiTheme="majorBidi"/>
        </w:rPr>
        <w:t xml:space="preserve"> </w:t>
      </w:r>
      <w:r w:rsidR="00514009">
        <w:rPr>
          <w:rFonts w:asciiTheme="majorBidi" w:hAnsiTheme="majorBidi"/>
        </w:rPr>
        <w:t>with disproportionate voting power</w:t>
      </w:r>
      <w:r w:rsidR="000F1E3A">
        <w:rPr>
          <w:rFonts w:asciiTheme="majorBidi" w:hAnsiTheme="majorBidi"/>
        </w:rPr>
        <w:t>,</w:t>
      </w:r>
      <w:r w:rsidR="00514009">
        <w:rPr>
          <w:rFonts w:asciiTheme="majorBidi" w:hAnsiTheme="majorBidi"/>
        </w:rPr>
        <w:t xml:space="preserve"> could well make an array of </w:t>
      </w:r>
      <w:r w:rsidR="007A5E69">
        <w:rPr>
          <w:rFonts w:asciiTheme="majorBidi" w:hAnsiTheme="majorBidi"/>
        </w:rPr>
        <w:t>choices that would serve their private interests even though they would be value-reducing;</w:t>
      </w:r>
      <w:r w:rsidR="00CA4E3C">
        <w:rPr>
          <w:rStyle w:val="FootnoteReference"/>
          <w:rFonts w:asciiTheme="majorBidi" w:hAnsiTheme="majorBidi"/>
        </w:rPr>
        <w:footnoteReference w:id="27"/>
      </w:r>
      <w:r w:rsidR="007A5E69">
        <w:rPr>
          <w:rFonts w:asciiTheme="majorBidi" w:hAnsiTheme="majorBidi"/>
        </w:rPr>
        <w:t xml:space="preserve"> and how the interest of managers in enhancing their payoffs might lead to the adoption of executive </w:t>
      </w:r>
      <w:r w:rsidR="007A5E69">
        <w:rPr>
          <w:rFonts w:asciiTheme="majorBidi" w:hAnsiTheme="majorBidi"/>
        </w:rPr>
        <w:lastRenderedPageBreak/>
        <w:t>pay arrangements</w:t>
      </w:r>
      <w:r w:rsidR="00CA4E3C">
        <w:rPr>
          <w:rFonts w:asciiTheme="majorBidi" w:hAnsiTheme="majorBidi"/>
        </w:rPr>
        <w:t xml:space="preserve"> that would produce distorted incentives.</w:t>
      </w:r>
      <w:r w:rsidR="00A637D9" w:rsidRPr="00A637D9">
        <w:t xml:space="preserve"> </w:t>
      </w:r>
      <w:r w:rsidR="00A637D9" w:rsidRPr="00A76748">
        <w:rPr>
          <w:rStyle w:val="NoteRefInText"/>
        </w:rPr>
        <w:footnoteReference w:id="28"/>
      </w:r>
      <w:r w:rsidR="00CA4E3C">
        <w:rPr>
          <w:rFonts w:asciiTheme="majorBidi" w:hAnsiTheme="majorBidi"/>
        </w:rPr>
        <w:t xml:space="preserve"> </w:t>
      </w:r>
      <w:r w:rsidR="007A5E69">
        <w:rPr>
          <w:rFonts w:asciiTheme="majorBidi" w:hAnsiTheme="majorBidi"/>
        </w:rPr>
        <w:t xml:space="preserve"> </w:t>
      </w:r>
      <w:proofErr w:type="gramStart"/>
      <w:r w:rsidR="004E6DB4">
        <w:rPr>
          <w:rFonts w:asciiTheme="majorBidi" w:hAnsiTheme="majorBidi"/>
        </w:rPr>
        <w:t>All in all</w:t>
      </w:r>
      <w:proofErr w:type="gramEnd"/>
      <w:r w:rsidR="004E6DB4">
        <w:rPr>
          <w:rFonts w:asciiTheme="majorBidi" w:hAnsiTheme="majorBidi"/>
        </w:rPr>
        <w:t xml:space="preserve">, although E&amp;F and I agree on the importance of distributional rules on incentives, </w:t>
      </w:r>
      <w:r w:rsidR="00B65D98">
        <w:rPr>
          <w:rFonts w:asciiTheme="majorBidi" w:hAnsiTheme="majorBidi"/>
        </w:rPr>
        <w:t>my research suggests that careful analysis of incentive issues</w:t>
      </w:r>
      <w:r w:rsidR="007431C5">
        <w:rPr>
          <w:rFonts w:asciiTheme="majorBidi" w:hAnsiTheme="majorBidi"/>
        </w:rPr>
        <w:t xml:space="preserve"> often provides a basis for accepting, not rejecting, equal treatment </w:t>
      </w:r>
      <w:r w:rsidR="001920DF">
        <w:rPr>
          <w:rFonts w:asciiTheme="majorBidi" w:hAnsiTheme="majorBidi"/>
        </w:rPr>
        <w:t xml:space="preserve">requirements and other limitations on insider payoffs. </w:t>
      </w:r>
      <w:r w:rsidR="00C10BE7">
        <w:rPr>
          <w:rFonts w:asciiTheme="majorBidi" w:hAnsiTheme="majorBidi"/>
        </w:rPr>
        <w:t>I</w:t>
      </w:r>
      <w:r w:rsidR="003E5CF1">
        <w:rPr>
          <w:rFonts w:asciiTheme="majorBidi" w:hAnsiTheme="majorBidi"/>
        </w:rPr>
        <w:t xml:space="preserve">n </w:t>
      </w:r>
      <w:proofErr w:type="gramStart"/>
      <w:r w:rsidR="003E5CF1">
        <w:rPr>
          <w:rFonts w:asciiTheme="majorBidi" w:hAnsiTheme="majorBidi"/>
        </w:rPr>
        <w:t>many</w:t>
      </w:r>
      <w:proofErr w:type="gramEnd"/>
      <w:r w:rsidR="003E5CF1">
        <w:rPr>
          <w:rFonts w:asciiTheme="majorBidi" w:hAnsiTheme="majorBidi"/>
        </w:rPr>
        <w:t xml:space="preserve"> corporate setting</w:t>
      </w:r>
      <w:r w:rsidR="0043134A">
        <w:rPr>
          <w:rFonts w:asciiTheme="majorBidi" w:hAnsiTheme="majorBidi"/>
        </w:rPr>
        <w:t>s</w:t>
      </w:r>
      <w:r w:rsidR="003E5CF1">
        <w:rPr>
          <w:rFonts w:asciiTheme="majorBidi" w:hAnsiTheme="majorBidi"/>
        </w:rPr>
        <w:t>,</w:t>
      </w:r>
      <w:r w:rsidR="002E450A" w:rsidRPr="00637B2A">
        <w:rPr>
          <w:rFonts w:asciiTheme="majorBidi" w:hAnsiTheme="majorBidi"/>
        </w:rPr>
        <w:t xml:space="preserve"> </w:t>
      </w:r>
      <w:r w:rsidR="00533785">
        <w:rPr>
          <w:rFonts w:asciiTheme="majorBidi" w:hAnsiTheme="majorBidi"/>
        </w:rPr>
        <w:t xml:space="preserve">such legal constraints </w:t>
      </w:r>
      <w:r w:rsidR="003E5CF1">
        <w:rPr>
          <w:rFonts w:asciiTheme="majorBidi" w:hAnsiTheme="majorBidi"/>
        </w:rPr>
        <w:t xml:space="preserve">could well </w:t>
      </w:r>
      <w:r w:rsidR="002E450A" w:rsidRPr="00637B2A">
        <w:rPr>
          <w:rFonts w:asciiTheme="majorBidi" w:hAnsiTheme="majorBidi"/>
        </w:rPr>
        <w:t>be valuable not just for the protection of weaker parties but also for the sake of efficiency and value</w:t>
      </w:r>
      <w:r w:rsidR="00505034">
        <w:rPr>
          <w:rFonts w:asciiTheme="majorBidi" w:hAnsiTheme="majorBidi"/>
        </w:rPr>
        <w:t>-maximization</w:t>
      </w:r>
      <w:r w:rsidR="002E450A" w:rsidRPr="00637B2A">
        <w:rPr>
          <w:rFonts w:asciiTheme="majorBidi" w:hAnsiTheme="majorBidi"/>
        </w:rPr>
        <w:t>.</w:t>
      </w:r>
    </w:p>
    <w:p w14:paraId="321E6BCB" w14:textId="77777777" w:rsidR="005A5349" w:rsidRPr="00637B2A" w:rsidRDefault="005A5349" w:rsidP="005A5349">
      <w:pPr>
        <w:spacing w:line="480" w:lineRule="auto"/>
        <w:jc w:val="both"/>
        <w:rPr>
          <w:rFonts w:asciiTheme="majorBidi" w:hAnsiTheme="majorBidi"/>
          <w:u w:val="single"/>
        </w:rPr>
      </w:pPr>
    </w:p>
    <w:p w14:paraId="541A07BD" w14:textId="77777777" w:rsidR="005A5349" w:rsidRPr="00637B2A" w:rsidRDefault="005A5349" w:rsidP="005A5349">
      <w:pPr>
        <w:spacing w:line="480" w:lineRule="auto"/>
        <w:jc w:val="center"/>
        <w:rPr>
          <w:rFonts w:asciiTheme="majorBidi" w:hAnsiTheme="majorBidi"/>
          <w:u w:val="single"/>
        </w:rPr>
      </w:pPr>
      <w:r>
        <w:rPr>
          <w:rFonts w:asciiTheme="majorBidi" w:hAnsiTheme="majorBidi"/>
          <w:u w:val="single"/>
        </w:rPr>
        <w:t xml:space="preserve">V. </w:t>
      </w:r>
      <w:r w:rsidRPr="00637B2A">
        <w:rPr>
          <w:rFonts w:asciiTheme="majorBidi" w:hAnsiTheme="majorBidi"/>
          <w:u w:val="single"/>
        </w:rPr>
        <w:t>The Debate on Corporate Purpose</w:t>
      </w:r>
    </w:p>
    <w:p w14:paraId="05A7B1F5" w14:textId="5DD870E9" w:rsidR="005A5349" w:rsidRDefault="005A5349" w:rsidP="005A5349">
      <w:pPr>
        <w:spacing w:line="480" w:lineRule="auto"/>
        <w:ind w:firstLine="720"/>
        <w:jc w:val="both"/>
        <w:rPr>
          <w:rFonts w:asciiTheme="majorBidi" w:hAnsiTheme="majorBidi"/>
        </w:rPr>
      </w:pPr>
      <w:r>
        <w:rPr>
          <w:rFonts w:asciiTheme="majorBidi" w:hAnsiTheme="majorBidi"/>
        </w:rPr>
        <w:t>I have for long been critical of arguments that insulating incumbents from removal or shareholder intervention would benefit stakeholders, viewing them as likely to entrench incumbent without producing the purported benefits to stakeholders.</w:t>
      </w:r>
      <w:r>
        <w:rPr>
          <w:rStyle w:val="FootnoteReference"/>
          <w:rFonts w:asciiTheme="majorBidi" w:hAnsiTheme="majorBidi"/>
        </w:rPr>
        <w:footnoteReference w:id="29"/>
      </w:r>
      <w:r>
        <w:rPr>
          <w:rFonts w:asciiTheme="majorBidi" w:hAnsiTheme="majorBidi"/>
        </w:rPr>
        <w:t xml:space="preserve"> But in the last three years I have devoted considerable time to engaging with the increasingly influential view of stakeholder governance (“stakeholderism”), which advocates encouraging and relying on corporate leaders to serve the interests of not just shareholders but also all stakeholders (such as employees, communities, customers, suppliers, and the environment).</w:t>
      </w:r>
      <w:r>
        <w:rPr>
          <w:rStyle w:val="FootnoteReference"/>
          <w:rFonts w:asciiTheme="majorBidi" w:hAnsiTheme="majorBidi"/>
        </w:rPr>
        <w:footnoteReference w:id="30"/>
      </w:r>
      <w:r>
        <w:rPr>
          <w:rFonts w:asciiTheme="majorBidi" w:hAnsiTheme="majorBidi"/>
        </w:rPr>
        <w:t xml:space="preserve"> This </w:t>
      </w:r>
      <w:r w:rsidR="00E03CE0">
        <w:rPr>
          <w:rFonts w:asciiTheme="majorBidi" w:hAnsiTheme="majorBidi"/>
        </w:rPr>
        <w:t xml:space="preserve">recent line of </w:t>
      </w:r>
      <w:r>
        <w:rPr>
          <w:rFonts w:asciiTheme="majorBidi" w:hAnsiTheme="majorBidi"/>
        </w:rPr>
        <w:t xml:space="preserve">research attempts </w:t>
      </w:r>
      <w:r>
        <w:rPr>
          <w:rFonts w:asciiTheme="majorBidi" w:hAnsiTheme="majorBidi"/>
        </w:rPr>
        <w:lastRenderedPageBreak/>
        <w:t xml:space="preserve">to show that stakeholderism should not be expected to delve any material benefits to stakeholders, and indeed would be counterproductive by making corporate </w:t>
      </w:r>
      <w:r w:rsidR="00C31769">
        <w:rPr>
          <w:rFonts w:asciiTheme="majorBidi" w:hAnsiTheme="majorBidi"/>
        </w:rPr>
        <w:t>l</w:t>
      </w:r>
      <w:r>
        <w:rPr>
          <w:rFonts w:asciiTheme="majorBidi" w:hAnsiTheme="majorBidi"/>
        </w:rPr>
        <w:t xml:space="preserve">eaders less accountable and by introducing illusory </w:t>
      </w:r>
      <w:r w:rsidR="00C31769">
        <w:rPr>
          <w:rFonts w:asciiTheme="majorBidi" w:hAnsiTheme="majorBidi"/>
        </w:rPr>
        <w:t xml:space="preserve">hopes </w:t>
      </w:r>
      <w:r>
        <w:rPr>
          <w:rFonts w:asciiTheme="majorBidi" w:hAnsiTheme="majorBidi"/>
        </w:rPr>
        <w:t xml:space="preserve">that could impede the adoption of reforms that </w:t>
      </w:r>
      <w:r w:rsidR="00C31769">
        <w:rPr>
          <w:rFonts w:asciiTheme="majorBidi" w:hAnsiTheme="majorBidi"/>
        </w:rPr>
        <w:t>w</w:t>
      </w:r>
      <w:r>
        <w:rPr>
          <w:rFonts w:asciiTheme="majorBidi" w:hAnsiTheme="majorBidi"/>
        </w:rPr>
        <w:t xml:space="preserve">ould really address stakeholder </w:t>
      </w:r>
      <w:r w:rsidR="00C31769">
        <w:rPr>
          <w:rFonts w:asciiTheme="majorBidi" w:hAnsiTheme="majorBidi"/>
        </w:rPr>
        <w:t>concerns.</w:t>
      </w:r>
      <w:r>
        <w:rPr>
          <w:rFonts w:asciiTheme="majorBidi" w:hAnsiTheme="majorBidi"/>
        </w:rPr>
        <w:t xml:space="preserve">  </w:t>
      </w:r>
    </w:p>
    <w:p w14:paraId="0D62C4BF" w14:textId="7BED483C" w:rsidR="005A5349" w:rsidRDefault="005A5349" w:rsidP="005A5349">
      <w:pPr>
        <w:spacing w:line="480" w:lineRule="auto"/>
        <w:jc w:val="both"/>
        <w:rPr>
          <w:rFonts w:asciiTheme="majorBidi" w:hAnsiTheme="majorBidi"/>
        </w:rPr>
      </w:pPr>
      <w:r w:rsidRPr="006F2ECF">
        <w:rPr>
          <w:rFonts w:asciiTheme="majorBidi" w:hAnsiTheme="majorBidi"/>
        </w:rPr>
        <w:tab/>
        <w:t xml:space="preserve">Although </w:t>
      </w:r>
      <w:r>
        <w:rPr>
          <w:rFonts w:asciiTheme="majorBidi" w:hAnsiTheme="majorBidi"/>
        </w:rPr>
        <w:t xml:space="preserve">the </w:t>
      </w:r>
      <w:r w:rsidRPr="006F2ECF">
        <w:rPr>
          <w:rFonts w:asciiTheme="majorBidi" w:hAnsiTheme="majorBidi"/>
        </w:rPr>
        <w:t>E&amp;F Book does not devote much space to the subject</w:t>
      </w:r>
      <w:r>
        <w:rPr>
          <w:rFonts w:asciiTheme="majorBidi" w:hAnsiTheme="majorBidi"/>
        </w:rPr>
        <w:t xml:space="preserve"> of corporate purpose</w:t>
      </w:r>
      <w:r w:rsidRPr="006F2ECF">
        <w:rPr>
          <w:rFonts w:asciiTheme="majorBidi" w:hAnsiTheme="majorBidi"/>
        </w:rPr>
        <w:t xml:space="preserve">, which has not been at the time the book </w:t>
      </w:r>
      <w:r>
        <w:rPr>
          <w:rFonts w:asciiTheme="majorBidi" w:hAnsiTheme="majorBidi"/>
        </w:rPr>
        <w:t xml:space="preserve">was published </w:t>
      </w:r>
      <w:r w:rsidRPr="006F2ECF">
        <w:rPr>
          <w:rFonts w:asciiTheme="majorBidi" w:hAnsiTheme="majorBidi"/>
        </w:rPr>
        <w:t xml:space="preserve">as central </w:t>
      </w:r>
      <w:r>
        <w:rPr>
          <w:rFonts w:asciiTheme="majorBidi" w:hAnsiTheme="majorBidi"/>
        </w:rPr>
        <w:t xml:space="preserve">to ongoing debates </w:t>
      </w:r>
      <w:r w:rsidRPr="006F2ECF">
        <w:rPr>
          <w:rFonts w:asciiTheme="majorBidi" w:hAnsiTheme="majorBidi"/>
        </w:rPr>
        <w:t xml:space="preserve">as it is now, they made their views </w:t>
      </w:r>
      <w:r>
        <w:rPr>
          <w:rFonts w:asciiTheme="majorBidi" w:hAnsiTheme="majorBidi"/>
        </w:rPr>
        <w:t xml:space="preserve">on the subject </w:t>
      </w:r>
      <w:r w:rsidRPr="006F2ECF">
        <w:rPr>
          <w:rFonts w:asciiTheme="majorBidi" w:hAnsiTheme="majorBidi"/>
        </w:rPr>
        <w:t xml:space="preserve">clear </w:t>
      </w:r>
      <w:r>
        <w:rPr>
          <w:rFonts w:asciiTheme="majorBidi" w:hAnsiTheme="majorBidi"/>
        </w:rPr>
        <w:t>in the tight and forceful way that characterizes their book.</w:t>
      </w:r>
      <w:r>
        <w:rPr>
          <w:rStyle w:val="FootnoteReference"/>
          <w:rFonts w:asciiTheme="majorBidi" w:hAnsiTheme="majorBidi"/>
        </w:rPr>
        <w:footnoteReference w:id="31"/>
      </w:r>
      <w:r>
        <w:rPr>
          <w:rFonts w:asciiTheme="majorBidi" w:hAnsiTheme="majorBidi"/>
        </w:rPr>
        <w:t xml:space="preserve"> Viewing the corporation as a privately produced nexus of contracts, E&amp;F indicate that the question of corporate purpose is for corporat</w:t>
      </w:r>
      <w:r w:rsidR="00237354">
        <w:rPr>
          <w:rFonts w:asciiTheme="majorBidi" w:hAnsiTheme="majorBidi"/>
        </w:rPr>
        <w:t xml:space="preserve">ion’s </w:t>
      </w:r>
      <w:r>
        <w:rPr>
          <w:rFonts w:asciiTheme="majorBidi" w:hAnsiTheme="majorBidi"/>
        </w:rPr>
        <w:t>found</w:t>
      </w:r>
      <w:r w:rsidR="00237354">
        <w:rPr>
          <w:rFonts w:asciiTheme="majorBidi" w:hAnsiTheme="majorBidi"/>
        </w:rPr>
        <w:t>er</w:t>
      </w:r>
      <w:r>
        <w:rPr>
          <w:rFonts w:asciiTheme="majorBidi" w:hAnsiTheme="majorBidi"/>
        </w:rPr>
        <w:t xml:space="preserve">s to determine. And to the extent that companies went public as for-profit corporations, E&amp;F </w:t>
      </w:r>
      <w:r w:rsidR="00180595">
        <w:rPr>
          <w:rFonts w:asciiTheme="majorBidi" w:hAnsiTheme="majorBidi"/>
        </w:rPr>
        <w:t xml:space="preserve">view </w:t>
      </w:r>
      <w:r>
        <w:rPr>
          <w:rFonts w:asciiTheme="majorBidi" w:hAnsiTheme="majorBidi"/>
        </w:rPr>
        <w:t xml:space="preserve">any attempt to stir them in a </w:t>
      </w:r>
      <w:proofErr w:type="spellStart"/>
      <w:r>
        <w:rPr>
          <w:rFonts w:asciiTheme="majorBidi" w:hAnsiTheme="majorBidi"/>
        </w:rPr>
        <w:t>stakeholderist</w:t>
      </w:r>
      <w:proofErr w:type="spellEnd"/>
      <w:r>
        <w:rPr>
          <w:rFonts w:asciiTheme="majorBidi" w:hAnsiTheme="majorBidi"/>
        </w:rPr>
        <w:t xml:space="preserve"> direction </w:t>
      </w:r>
      <w:r w:rsidR="00180595">
        <w:rPr>
          <w:rFonts w:asciiTheme="majorBidi" w:hAnsiTheme="majorBidi"/>
        </w:rPr>
        <w:t xml:space="preserve">as violating </w:t>
      </w:r>
      <w:r>
        <w:rPr>
          <w:rFonts w:asciiTheme="majorBidi" w:hAnsiTheme="majorBidi"/>
        </w:rPr>
        <w:t>the promise made to investors. Th</w:t>
      </w:r>
      <w:r w:rsidR="00180595">
        <w:rPr>
          <w:rFonts w:asciiTheme="majorBidi" w:hAnsiTheme="majorBidi"/>
        </w:rPr>
        <w:t xml:space="preserve">is E&amp;F view </w:t>
      </w:r>
      <w:r>
        <w:rPr>
          <w:rFonts w:asciiTheme="majorBidi" w:hAnsiTheme="majorBidi"/>
        </w:rPr>
        <w:t xml:space="preserve">has </w:t>
      </w:r>
      <w:proofErr w:type="gramStart"/>
      <w:r w:rsidR="004C0930">
        <w:rPr>
          <w:rFonts w:asciiTheme="majorBidi" w:hAnsiTheme="majorBidi"/>
        </w:rPr>
        <w:t>some</w:t>
      </w:r>
      <w:proofErr w:type="gramEnd"/>
      <w:r w:rsidR="004C0930">
        <w:rPr>
          <w:rFonts w:asciiTheme="majorBidi" w:hAnsiTheme="majorBidi"/>
        </w:rPr>
        <w:t xml:space="preserve"> “family resemblance” to </w:t>
      </w:r>
      <w:r>
        <w:rPr>
          <w:rFonts w:asciiTheme="majorBidi" w:hAnsiTheme="majorBidi"/>
        </w:rPr>
        <w:t>that of Milton Friedman in his famous essay on the social responsibility of business.</w:t>
      </w:r>
      <w:r>
        <w:rPr>
          <w:rStyle w:val="FootnoteReference"/>
          <w:rFonts w:asciiTheme="majorBidi" w:hAnsiTheme="majorBidi"/>
        </w:rPr>
        <w:footnoteReference w:id="32"/>
      </w:r>
    </w:p>
    <w:p w14:paraId="6E45335D" w14:textId="7B24E2DF" w:rsidR="00D70E25" w:rsidRPr="00FF2B3F" w:rsidRDefault="005A5349" w:rsidP="0081527A">
      <w:pPr>
        <w:spacing w:line="480" w:lineRule="auto"/>
        <w:ind w:firstLine="720"/>
        <w:jc w:val="both"/>
        <w:rPr>
          <w:rFonts w:asciiTheme="majorBidi" w:hAnsiTheme="majorBidi"/>
        </w:rPr>
      </w:pPr>
      <w:r>
        <w:rPr>
          <w:rFonts w:asciiTheme="majorBidi" w:hAnsiTheme="majorBidi"/>
        </w:rPr>
        <w:t xml:space="preserve">Because both E&amp;F and I </w:t>
      </w:r>
      <w:proofErr w:type="gramStart"/>
      <w:r>
        <w:rPr>
          <w:rFonts w:asciiTheme="majorBidi" w:hAnsiTheme="majorBidi"/>
        </w:rPr>
        <w:t>are opposed</w:t>
      </w:r>
      <w:proofErr w:type="gramEnd"/>
      <w:r>
        <w:rPr>
          <w:rFonts w:asciiTheme="majorBidi" w:hAnsiTheme="majorBidi"/>
        </w:rPr>
        <w:t xml:space="preserve"> to stakeholder governance, it might seem that the subject of corporate purpose is another one on which our views overlap. However, in current work,</w:t>
      </w:r>
      <w:r>
        <w:rPr>
          <w:rStyle w:val="FootnoteReference"/>
          <w:rFonts w:asciiTheme="majorBidi" w:hAnsiTheme="majorBidi"/>
        </w:rPr>
        <w:footnoteReference w:id="33"/>
      </w:r>
      <w:r>
        <w:rPr>
          <w:rFonts w:asciiTheme="majorBidi" w:hAnsiTheme="majorBidi"/>
        </w:rPr>
        <w:t xml:space="preserve"> I explain that the “Chicago” </w:t>
      </w:r>
      <w:r w:rsidR="00D02B6B">
        <w:rPr>
          <w:rFonts w:asciiTheme="majorBidi" w:hAnsiTheme="majorBidi"/>
        </w:rPr>
        <w:t>approach to</w:t>
      </w:r>
      <w:r>
        <w:rPr>
          <w:rFonts w:asciiTheme="majorBidi" w:hAnsiTheme="majorBidi"/>
        </w:rPr>
        <w:t xml:space="preserve"> the subject </w:t>
      </w:r>
      <w:proofErr w:type="gramStart"/>
      <w:r w:rsidR="00FE03BB">
        <w:rPr>
          <w:rFonts w:asciiTheme="majorBidi" w:hAnsiTheme="majorBidi"/>
        </w:rPr>
        <w:t xml:space="preserve">substantially </w:t>
      </w:r>
      <w:r>
        <w:rPr>
          <w:rFonts w:asciiTheme="majorBidi" w:hAnsiTheme="majorBidi"/>
        </w:rPr>
        <w:t>differ</w:t>
      </w:r>
      <w:r w:rsidR="00D02B6B">
        <w:rPr>
          <w:rFonts w:asciiTheme="majorBidi" w:hAnsiTheme="majorBidi"/>
        </w:rPr>
        <w:t>s</w:t>
      </w:r>
      <w:proofErr w:type="gramEnd"/>
      <w:r>
        <w:rPr>
          <w:rFonts w:asciiTheme="majorBidi" w:hAnsiTheme="majorBidi"/>
        </w:rPr>
        <w:t xml:space="preserve"> from the approach that I am seeking to advance. </w:t>
      </w:r>
      <w:r w:rsidR="00FE03BB">
        <w:rPr>
          <w:rFonts w:asciiTheme="majorBidi" w:hAnsiTheme="majorBidi"/>
        </w:rPr>
        <w:t xml:space="preserve">Although both approaches </w:t>
      </w:r>
      <w:r w:rsidR="00A14875">
        <w:rPr>
          <w:rFonts w:asciiTheme="majorBidi" w:hAnsiTheme="majorBidi"/>
        </w:rPr>
        <w:t xml:space="preserve">are critical to the claims of </w:t>
      </w:r>
      <w:r w:rsidR="00A14875">
        <w:rPr>
          <w:rFonts w:asciiTheme="majorBidi" w:hAnsiTheme="majorBidi"/>
        </w:rPr>
        <w:lastRenderedPageBreak/>
        <w:t xml:space="preserve">stakeholderism, they </w:t>
      </w:r>
      <w:r w:rsidR="0081527A">
        <w:rPr>
          <w:rFonts w:asciiTheme="majorBidi" w:hAnsiTheme="majorBidi"/>
        </w:rPr>
        <w:t xml:space="preserve">fundamentally differ in their premises, reasons, and implications. </w:t>
      </w:r>
      <w:proofErr w:type="gramStart"/>
      <w:r>
        <w:rPr>
          <w:rFonts w:asciiTheme="majorBidi" w:hAnsiTheme="majorBidi"/>
        </w:rPr>
        <w:t>For the purpose of</w:t>
      </w:r>
      <w:proofErr w:type="gramEnd"/>
      <w:r>
        <w:rPr>
          <w:rFonts w:asciiTheme="majorBidi" w:hAnsiTheme="majorBidi"/>
        </w:rPr>
        <w:t xml:space="preserve"> this essay, however, what </w:t>
      </w:r>
      <w:r w:rsidR="001630FA">
        <w:rPr>
          <w:rFonts w:asciiTheme="majorBidi" w:hAnsiTheme="majorBidi"/>
        </w:rPr>
        <w:t xml:space="preserve">might be most important to note that, in doing this current work, </w:t>
      </w:r>
      <w:r>
        <w:rPr>
          <w:rFonts w:asciiTheme="majorBidi" w:hAnsiTheme="majorBidi"/>
        </w:rPr>
        <w:t xml:space="preserve">I find myself, once again, </w:t>
      </w:r>
      <w:r w:rsidR="001630FA">
        <w:rPr>
          <w:rFonts w:asciiTheme="majorBidi" w:hAnsiTheme="majorBidi"/>
        </w:rPr>
        <w:t xml:space="preserve">reexamining sections of </w:t>
      </w:r>
      <w:r>
        <w:rPr>
          <w:rFonts w:asciiTheme="majorBidi" w:hAnsiTheme="majorBidi"/>
        </w:rPr>
        <w:t xml:space="preserve">the E&amp;F </w:t>
      </w:r>
      <w:r w:rsidR="00146BDF">
        <w:rPr>
          <w:rFonts w:asciiTheme="majorBidi" w:hAnsiTheme="majorBidi"/>
        </w:rPr>
        <w:t>B</w:t>
      </w:r>
      <w:r>
        <w:rPr>
          <w:rFonts w:asciiTheme="majorBidi" w:hAnsiTheme="majorBidi"/>
        </w:rPr>
        <w:t xml:space="preserve">ook and engaging with </w:t>
      </w:r>
      <w:r w:rsidR="001A22A0">
        <w:rPr>
          <w:rFonts w:asciiTheme="majorBidi" w:hAnsiTheme="majorBidi"/>
        </w:rPr>
        <w:t xml:space="preserve">their </w:t>
      </w:r>
      <w:r>
        <w:rPr>
          <w:rFonts w:asciiTheme="majorBidi" w:hAnsiTheme="majorBidi"/>
        </w:rPr>
        <w:t>views on the subject</w:t>
      </w:r>
      <w:r w:rsidR="00146BDF">
        <w:rPr>
          <w:rFonts w:asciiTheme="majorBidi" w:hAnsiTheme="majorBidi"/>
        </w:rPr>
        <w:t>.</w:t>
      </w:r>
      <w:r w:rsidR="00FD6F76">
        <w:rPr>
          <w:rFonts w:asciiTheme="majorBidi" w:hAnsiTheme="majorBidi"/>
        </w:rPr>
        <w:t xml:space="preserve"> </w:t>
      </w:r>
      <w:r w:rsidR="00F86CB9">
        <w:rPr>
          <w:rFonts w:asciiTheme="majorBidi" w:hAnsiTheme="majorBidi"/>
        </w:rPr>
        <w:t xml:space="preserve"> </w:t>
      </w:r>
    </w:p>
    <w:p w14:paraId="4A0333A2" w14:textId="62F3189B" w:rsidR="00C534EC" w:rsidRPr="000F59C4" w:rsidRDefault="000F59C4" w:rsidP="000F59C4">
      <w:pPr>
        <w:spacing w:line="480" w:lineRule="auto"/>
        <w:jc w:val="center"/>
        <w:rPr>
          <w:rFonts w:asciiTheme="majorBidi" w:hAnsiTheme="majorBidi"/>
        </w:rPr>
      </w:pPr>
      <w:r w:rsidRPr="000F59C4">
        <w:rPr>
          <w:rFonts w:asciiTheme="majorBidi" w:hAnsiTheme="majorBidi"/>
        </w:rPr>
        <w:t>V</w:t>
      </w:r>
      <w:r w:rsidR="001A22A0">
        <w:rPr>
          <w:rFonts w:asciiTheme="majorBidi" w:hAnsiTheme="majorBidi"/>
        </w:rPr>
        <w:t>I</w:t>
      </w:r>
      <w:r w:rsidRPr="000F59C4">
        <w:rPr>
          <w:rFonts w:asciiTheme="majorBidi" w:hAnsiTheme="majorBidi"/>
        </w:rPr>
        <w:t xml:space="preserve">. </w:t>
      </w:r>
      <w:r w:rsidR="00D576A8">
        <w:rPr>
          <w:rFonts w:asciiTheme="majorBidi" w:hAnsiTheme="majorBidi"/>
        </w:rPr>
        <w:t xml:space="preserve">Going Forward </w:t>
      </w:r>
    </w:p>
    <w:p w14:paraId="3B093499" w14:textId="789FE944" w:rsidR="00A06285" w:rsidRDefault="00E02B3D" w:rsidP="00335B05">
      <w:pPr>
        <w:spacing w:line="480" w:lineRule="auto"/>
        <w:ind w:firstLine="720"/>
        <w:jc w:val="both"/>
        <w:rPr>
          <w:rFonts w:asciiTheme="majorBidi" w:hAnsiTheme="majorBidi"/>
        </w:rPr>
      </w:pPr>
      <w:r>
        <w:rPr>
          <w:rFonts w:asciiTheme="majorBidi" w:hAnsiTheme="majorBidi"/>
        </w:rPr>
        <w:t xml:space="preserve">Like </w:t>
      </w:r>
      <w:proofErr w:type="gramStart"/>
      <w:r>
        <w:rPr>
          <w:rFonts w:asciiTheme="majorBidi" w:hAnsiTheme="majorBidi"/>
        </w:rPr>
        <w:t>many</w:t>
      </w:r>
      <w:proofErr w:type="gramEnd"/>
      <w:r>
        <w:rPr>
          <w:rFonts w:asciiTheme="majorBidi" w:hAnsiTheme="majorBidi"/>
        </w:rPr>
        <w:t xml:space="preserve"> others in the corporate field, I have for long </w:t>
      </w:r>
      <w:r w:rsidR="00832DCA">
        <w:rPr>
          <w:rFonts w:asciiTheme="majorBidi" w:hAnsiTheme="majorBidi"/>
        </w:rPr>
        <w:t xml:space="preserve">paid close attention to </w:t>
      </w:r>
      <w:r>
        <w:rPr>
          <w:rFonts w:asciiTheme="majorBidi" w:hAnsiTheme="majorBidi"/>
        </w:rPr>
        <w:t xml:space="preserve">the views and analyses put forward in the E&amp;F book and prior articles. </w:t>
      </w:r>
      <w:r w:rsidR="001F4163">
        <w:rPr>
          <w:rFonts w:asciiTheme="majorBidi" w:hAnsiTheme="majorBidi"/>
        </w:rPr>
        <w:t xml:space="preserve">In developing and implementing my economic framework for analyzing corporate law issues, </w:t>
      </w:r>
      <w:r w:rsidR="00EE709B">
        <w:rPr>
          <w:rFonts w:asciiTheme="majorBidi" w:hAnsiTheme="majorBidi"/>
        </w:rPr>
        <w:t>I have mostly reached conclusion and posi</w:t>
      </w:r>
      <w:r>
        <w:rPr>
          <w:rFonts w:asciiTheme="majorBidi" w:hAnsiTheme="majorBidi"/>
        </w:rPr>
        <w:t xml:space="preserve">tions </w:t>
      </w:r>
      <w:r w:rsidR="00EE709B">
        <w:rPr>
          <w:rFonts w:asciiTheme="majorBidi" w:hAnsiTheme="majorBidi"/>
        </w:rPr>
        <w:t xml:space="preserve">different than theirs, though </w:t>
      </w:r>
      <w:proofErr w:type="gramStart"/>
      <w:r w:rsidR="00EE709B">
        <w:rPr>
          <w:rFonts w:asciiTheme="majorBidi" w:hAnsiTheme="majorBidi"/>
        </w:rPr>
        <w:t>some</w:t>
      </w:r>
      <w:proofErr w:type="gramEnd"/>
      <w:r w:rsidR="00EE709B">
        <w:rPr>
          <w:rFonts w:asciiTheme="majorBidi" w:hAnsiTheme="majorBidi"/>
        </w:rPr>
        <w:t xml:space="preserve"> significant areas of agreements do exist</w:t>
      </w:r>
      <w:r w:rsidR="0032652C">
        <w:rPr>
          <w:rFonts w:asciiTheme="majorBidi" w:hAnsiTheme="majorBidi"/>
        </w:rPr>
        <w:t xml:space="preserve">, but I always </w:t>
      </w:r>
      <w:r w:rsidR="00832DCA">
        <w:rPr>
          <w:rFonts w:asciiTheme="majorBidi" w:hAnsiTheme="majorBidi"/>
        </w:rPr>
        <w:t xml:space="preserve">viewed it as </w:t>
      </w:r>
      <w:r w:rsidR="0032652C">
        <w:rPr>
          <w:rFonts w:asciiTheme="majorBidi" w:hAnsiTheme="majorBidi"/>
        </w:rPr>
        <w:t xml:space="preserve">necessary </w:t>
      </w:r>
      <w:r w:rsidR="00832DCA">
        <w:rPr>
          <w:rFonts w:asciiTheme="majorBidi" w:hAnsiTheme="majorBidi"/>
        </w:rPr>
        <w:t xml:space="preserve">and important </w:t>
      </w:r>
      <w:r w:rsidR="0032652C">
        <w:rPr>
          <w:rFonts w:asciiTheme="majorBidi" w:hAnsiTheme="majorBidi"/>
        </w:rPr>
        <w:t xml:space="preserve">to </w:t>
      </w:r>
      <w:r w:rsidR="00E14820">
        <w:rPr>
          <w:rFonts w:asciiTheme="majorBidi" w:hAnsiTheme="majorBidi"/>
        </w:rPr>
        <w:t xml:space="preserve">engage with </w:t>
      </w:r>
      <w:r w:rsidR="0032652C">
        <w:rPr>
          <w:rFonts w:asciiTheme="majorBidi" w:hAnsiTheme="majorBidi"/>
        </w:rPr>
        <w:t xml:space="preserve">the </w:t>
      </w:r>
      <w:r w:rsidR="00E14820">
        <w:rPr>
          <w:rFonts w:asciiTheme="majorBidi" w:hAnsiTheme="majorBidi"/>
        </w:rPr>
        <w:t xml:space="preserve">analyses and points put forward in their writing. </w:t>
      </w:r>
      <w:r w:rsidR="00A06285">
        <w:rPr>
          <w:rFonts w:asciiTheme="majorBidi" w:hAnsiTheme="majorBidi"/>
        </w:rPr>
        <w:t xml:space="preserve">I expect to continue doing so in the coming </w:t>
      </w:r>
      <w:proofErr w:type="gramStart"/>
      <w:r w:rsidR="00A06285">
        <w:rPr>
          <w:rFonts w:asciiTheme="majorBidi" w:hAnsiTheme="majorBidi"/>
        </w:rPr>
        <w:t>years, and</w:t>
      </w:r>
      <w:proofErr w:type="gramEnd"/>
      <w:r w:rsidR="00A06285">
        <w:rPr>
          <w:rFonts w:asciiTheme="majorBidi" w:hAnsiTheme="majorBidi"/>
        </w:rPr>
        <w:t xml:space="preserve"> hope to have the opportunity to present another report on the subject in the fifty-year</w:t>
      </w:r>
      <w:r w:rsidR="00832DCA">
        <w:rPr>
          <w:rFonts w:asciiTheme="majorBidi" w:hAnsiTheme="majorBidi"/>
        </w:rPr>
        <w:t>s</w:t>
      </w:r>
      <w:r w:rsidR="00A06285">
        <w:rPr>
          <w:rFonts w:asciiTheme="majorBidi" w:hAnsiTheme="majorBidi"/>
        </w:rPr>
        <w:t xml:space="preserve"> anniversary of the publication of the E&amp;F </w:t>
      </w:r>
      <w:r w:rsidR="00E45A76">
        <w:rPr>
          <w:rFonts w:asciiTheme="majorBidi" w:hAnsiTheme="majorBidi"/>
        </w:rPr>
        <w:t>B</w:t>
      </w:r>
      <w:r w:rsidR="00A06285">
        <w:rPr>
          <w:rFonts w:asciiTheme="majorBidi" w:hAnsiTheme="majorBidi"/>
        </w:rPr>
        <w:t xml:space="preserve">ook. </w:t>
      </w:r>
    </w:p>
    <w:sectPr w:rsidR="00A062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670B" w14:textId="77777777" w:rsidR="004A73D6" w:rsidRDefault="004A73D6" w:rsidP="00933BFD">
      <w:pPr>
        <w:spacing w:after="0" w:line="240" w:lineRule="auto"/>
      </w:pPr>
      <w:r>
        <w:separator/>
      </w:r>
    </w:p>
  </w:endnote>
  <w:endnote w:type="continuationSeparator" w:id="0">
    <w:p w14:paraId="152747EE" w14:textId="77777777" w:rsidR="004A73D6" w:rsidRDefault="004A73D6" w:rsidP="0093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544175"/>
      <w:docPartObj>
        <w:docPartGallery w:val="Page Numbers (Bottom of Page)"/>
        <w:docPartUnique/>
      </w:docPartObj>
    </w:sdtPr>
    <w:sdtEndPr>
      <w:rPr>
        <w:noProof/>
      </w:rPr>
    </w:sdtEndPr>
    <w:sdtContent>
      <w:p w14:paraId="77D919AF" w14:textId="3CA79CBB" w:rsidR="00335B05" w:rsidRDefault="00335B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D857B" w14:textId="77777777" w:rsidR="00335B05" w:rsidRDefault="0033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ADD6" w14:textId="77777777" w:rsidR="004A73D6" w:rsidRDefault="004A73D6" w:rsidP="00933BFD">
      <w:pPr>
        <w:spacing w:after="0" w:line="240" w:lineRule="auto"/>
      </w:pPr>
      <w:r>
        <w:separator/>
      </w:r>
    </w:p>
  </w:footnote>
  <w:footnote w:type="continuationSeparator" w:id="0">
    <w:p w14:paraId="53496637" w14:textId="77777777" w:rsidR="004A73D6" w:rsidRDefault="004A73D6" w:rsidP="00933BFD">
      <w:pPr>
        <w:spacing w:after="0" w:line="240" w:lineRule="auto"/>
      </w:pPr>
      <w:r>
        <w:continuationSeparator/>
      </w:r>
    </w:p>
  </w:footnote>
  <w:footnote w:id="1">
    <w:p w14:paraId="73109C71" w14:textId="1C4254C6" w:rsidR="00553135" w:rsidRPr="00473814" w:rsidRDefault="00553135" w:rsidP="00473814">
      <w:pPr>
        <w:pStyle w:val="FootNote"/>
        <w:spacing w:line="276" w:lineRule="auto"/>
        <w:rPr>
          <w:rFonts w:asciiTheme="majorBidi" w:hAnsiTheme="majorBidi" w:cstheme="majorBidi"/>
          <w:sz w:val="22"/>
          <w:szCs w:val="22"/>
        </w:rPr>
      </w:pPr>
      <w:r w:rsidRPr="00473814">
        <w:rPr>
          <w:rFonts w:asciiTheme="majorBidi" w:hAnsiTheme="majorBidi" w:cstheme="majorBidi"/>
          <w:sz w:val="22"/>
          <w:szCs w:val="22"/>
        </w:rPr>
        <w:t xml:space="preserve">† James Barr Ames Professor of Law, Economics, and Finance, and Director of the Program on Corporate Governance, Harvard Law School. For disclosure of other affiliations and activities, see http://www.law.harvard.edu/faculty/bebchuk/bio.shtml. I benefitted from the comments of and discussions with participants in the University of Chicago Symposium on the Economic Structure of Corporate Law. </w:t>
      </w:r>
    </w:p>
    <w:p w14:paraId="5F4E9508" w14:textId="70B9800F" w:rsidR="00553135" w:rsidRPr="00473814" w:rsidRDefault="00553135" w:rsidP="00473814">
      <w:pPr>
        <w:pStyle w:val="FootNote"/>
        <w:spacing w:line="276" w:lineRule="auto"/>
        <w:rPr>
          <w:rFonts w:asciiTheme="majorBidi" w:hAnsiTheme="majorBidi" w:cstheme="majorBidi"/>
          <w:sz w:val="22"/>
          <w:szCs w:val="22"/>
        </w:rPr>
      </w:pPr>
    </w:p>
  </w:footnote>
  <w:footnote w:id="2">
    <w:p w14:paraId="4679FE88" w14:textId="33CADB2C" w:rsidR="00075273" w:rsidRPr="00473814" w:rsidRDefault="00075273"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25170B" w:rsidRPr="00473814">
        <w:rPr>
          <w:rFonts w:asciiTheme="majorBidi" w:hAnsiTheme="majorBidi"/>
          <w:sz w:val="22"/>
          <w:szCs w:val="22"/>
        </w:rPr>
        <w:t xml:space="preserve">See </w:t>
      </w:r>
      <w:r w:rsidR="0025170B" w:rsidRPr="00473814">
        <w:rPr>
          <w:rFonts w:asciiTheme="majorBidi" w:hAnsiTheme="majorBidi"/>
          <w:smallCaps/>
          <w:sz w:val="22"/>
          <w:szCs w:val="22"/>
        </w:rPr>
        <w:t>Frank H. Easterbrook &amp; Daniel R. Fischel</w:t>
      </w:r>
      <w:r w:rsidR="0025170B" w:rsidRPr="00473814">
        <w:rPr>
          <w:rFonts w:asciiTheme="majorBidi" w:hAnsiTheme="majorBidi"/>
          <w:sz w:val="22"/>
          <w:szCs w:val="22"/>
        </w:rPr>
        <w:t xml:space="preserve">, </w:t>
      </w:r>
      <w:r w:rsidR="0025170B" w:rsidRPr="00473814">
        <w:rPr>
          <w:rFonts w:asciiTheme="majorBidi" w:hAnsiTheme="majorBidi"/>
          <w:iCs/>
          <w:smallCaps/>
          <w:sz w:val="22"/>
          <w:szCs w:val="22"/>
        </w:rPr>
        <w:t>The Economic Structure of Corporate Law</w:t>
      </w:r>
      <w:r w:rsidR="0025170B" w:rsidRPr="00473814">
        <w:rPr>
          <w:rFonts w:asciiTheme="majorBidi" w:hAnsiTheme="majorBidi"/>
          <w:sz w:val="22"/>
          <w:szCs w:val="22"/>
        </w:rPr>
        <w:t xml:space="preserve"> (1996)</w:t>
      </w:r>
      <w:r w:rsidR="00E32984" w:rsidRPr="00473814">
        <w:rPr>
          <w:rFonts w:asciiTheme="majorBidi" w:hAnsiTheme="majorBidi"/>
          <w:sz w:val="22"/>
          <w:szCs w:val="22"/>
        </w:rPr>
        <w:t xml:space="preserve"> </w:t>
      </w:r>
      <w:r w:rsidR="002B55F2" w:rsidRPr="00473814">
        <w:rPr>
          <w:rFonts w:asciiTheme="majorBidi" w:hAnsiTheme="majorBidi"/>
          <w:sz w:val="22"/>
          <w:szCs w:val="22"/>
        </w:rPr>
        <w:t>(Harvard University Press)</w:t>
      </w:r>
      <w:proofErr w:type="gramStart"/>
      <w:r w:rsidR="002B55F2" w:rsidRPr="00473814">
        <w:rPr>
          <w:rFonts w:asciiTheme="majorBidi" w:hAnsiTheme="majorBidi"/>
          <w:sz w:val="22"/>
          <w:szCs w:val="22"/>
        </w:rPr>
        <w:t xml:space="preserve">. </w:t>
      </w:r>
      <w:r w:rsidRPr="00473814">
        <w:rPr>
          <w:rFonts w:asciiTheme="majorBidi" w:hAnsiTheme="majorBidi"/>
          <w:sz w:val="22"/>
          <w:szCs w:val="22"/>
        </w:rPr>
        <w:t xml:space="preserve"> </w:t>
      </w:r>
      <w:proofErr w:type="gramEnd"/>
    </w:p>
  </w:footnote>
  <w:footnote w:id="3">
    <w:p w14:paraId="4AD6D8B8" w14:textId="21BC0BEA" w:rsidR="00C67EA9" w:rsidRPr="00473814" w:rsidRDefault="00C67EA9"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As the footnotes to this essay </w:t>
      </w:r>
      <w:r w:rsidR="00BE6A29" w:rsidRPr="00473814">
        <w:rPr>
          <w:rFonts w:asciiTheme="majorBidi" w:hAnsiTheme="majorBidi"/>
          <w:sz w:val="22"/>
          <w:szCs w:val="22"/>
        </w:rPr>
        <w:t>indicate,</w:t>
      </w:r>
      <w:r w:rsidRPr="00473814">
        <w:rPr>
          <w:rFonts w:asciiTheme="majorBidi" w:hAnsiTheme="majorBidi"/>
          <w:sz w:val="22"/>
          <w:szCs w:val="22"/>
        </w:rPr>
        <w:t xml:space="preserve"> </w:t>
      </w:r>
      <w:proofErr w:type="gramStart"/>
      <w:r w:rsidRPr="00473814">
        <w:rPr>
          <w:rFonts w:asciiTheme="majorBidi" w:hAnsiTheme="majorBidi"/>
          <w:sz w:val="22"/>
          <w:szCs w:val="22"/>
        </w:rPr>
        <w:t>some of</w:t>
      </w:r>
      <w:proofErr w:type="gramEnd"/>
      <w:r w:rsidRPr="00473814">
        <w:rPr>
          <w:rFonts w:asciiTheme="majorBidi" w:hAnsiTheme="majorBidi"/>
          <w:sz w:val="22"/>
          <w:szCs w:val="22"/>
        </w:rPr>
        <w:t xml:space="preserve"> the research </w:t>
      </w:r>
      <w:r w:rsidR="00900650" w:rsidRPr="00473814">
        <w:rPr>
          <w:rFonts w:asciiTheme="majorBidi" w:hAnsiTheme="majorBidi"/>
          <w:sz w:val="22"/>
          <w:szCs w:val="22"/>
        </w:rPr>
        <w:t xml:space="preserve">I </w:t>
      </w:r>
      <w:r w:rsidRPr="00473814">
        <w:rPr>
          <w:rFonts w:asciiTheme="majorBidi" w:hAnsiTheme="majorBidi"/>
          <w:sz w:val="22"/>
          <w:szCs w:val="22"/>
        </w:rPr>
        <w:t>discuss is one that I co-authored</w:t>
      </w:r>
      <w:r w:rsidR="00900650" w:rsidRPr="00473814">
        <w:rPr>
          <w:rFonts w:asciiTheme="majorBidi" w:hAnsiTheme="majorBidi"/>
          <w:sz w:val="22"/>
          <w:szCs w:val="22"/>
        </w:rPr>
        <w:t xml:space="preserve"> with others. For simplicity of exposition in this short essay, I </w:t>
      </w:r>
      <w:r w:rsidR="009B5AE6" w:rsidRPr="00473814">
        <w:rPr>
          <w:rFonts w:asciiTheme="majorBidi" w:hAnsiTheme="majorBidi"/>
          <w:sz w:val="22"/>
          <w:szCs w:val="22"/>
        </w:rPr>
        <w:t>do not include the names of co-authors in the text but only in the citation notes.</w:t>
      </w:r>
      <w:r w:rsidR="00BE6A29" w:rsidRPr="00473814">
        <w:rPr>
          <w:rFonts w:asciiTheme="majorBidi" w:hAnsiTheme="majorBidi"/>
          <w:sz w:val="22"/>
          <w:szCs w:val="22"/>
        </w:rPr>
        <w:t xml:space="preserve"> The contribution of my co-authors was, of course, critical, to the development of the ideas in the research discussed in this essay</w:t>
      </w:r>
      <w:proofErr w:type="gramStart"/>
      <w:r w:rsidR="00BE6A29" w:rsidRPr="00473814">
        <w:rPr>
          <w:rFonts w:asciiTheme="majorBidi" w:hAnsiTheme="majorBidi"/>
          <w:sz w:val="22"/>
          <w:szCs w:val="22"/>
        </w:rPr>
        <w:t xml:space="preserve">. </w:t>
      </w:r>
      <w:r w:rsidR="009B5AE6" w:rsidRPr="00473814">
        <w:rPr>
          <w:rFonts w:asciiTheme="majorBidi" w:hAnsiTheme="majorBidi"/>
          <w:sz w:val="22"/>
          <w:szCs w:val="22"/>
        </w:rPr>
        <w:t xml:space="preserve"> </w:t>
      </w:r>
      <w:proofErr w:type="gramEnd"/>
      <w:r w:rsidR="00900650" w:rsidRPr="00473814">
        <w:rPr>
          <w:rFonts w:asciiTheme="majorBidi" w:hAnsiTheme="majorBidi"/>
          <w:sz w:val="22"/>
          <w:szCs w:val="22"/>
        </w:rPr>
        <w:t xml:space="preserve">  </w:t>
      </w:r>
      <w:r w:rsidRPr="00473814">
        <w:rPr>
          <w:rFonts w:asciiTheme="majorBidi" w:hAnsiTheme="majorBidi"/>
          <w:sz w:val="22"/>
          <w:szCs w:val="22"/>
        </w:rPr>
        <w:t xml:space="preserve"> </w:t>
      </w:r>
    </w:p>
  </w:footnote>
  <w:footnote w:id="4">
    <w:p w14:paraId="16A968A4" w14:textId="2D3A9497" w:rsidR="00BB204C" w:rsidRPr="00473814" w:rsidRDefault="00BB204C"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9D7FEE" w:rsidRPr="00473814">
        <w:rPr>
          <w:rFonts w:asciiTheme="majorBidi" w:hAnsiTheme="majorBidi"/>
          <w:sz w:val="22"/>
          <w:szCs w:val="22"/>
        </w:rPr>
        <w:t xml:space="preserve">E&amp;F, then recently tenured professors at University of Chicago and Northwestern respectively, were young </w:t>
      </w:r>
      <w:r w:rsidR="002A1834" w:rsidRPr="00473814">
        <w:rPr>
          <w:rFonts w:asciiTheme="majorBidi" w:hAnsiTheme="majorBidi"/>
          <w:sz w:val="22"/>
          <w:szCs w:val="22"/>
        </w:rPr>
        <w:t>as well</w:t>
      </w:r>
      <w:r w:rsidR="00DD7C61" w:rsidRPr="00473814">
        <w:rPr>
          <w:rFonts w:asciiTheme="majorBidi" w:hAnsiTheme="majorBidi"/>
          <w:sz w:val="22"/>
          <w:szCs w:val="22"/>
        </w:rPr>
        <w:t>…</w:t>
      </w:r>
      <w:r w:rsidR="002A1834" w:rsidRPr="00473814">
        <w:rPr>
          <w:rFonts w:asciiTheme="majorBidi" w:hAnsiTheme="majorBidi"/>
          <w:sz w:val="22"/>
          <w:szCs w:val="22"/>
        </w:rPr>
        <w:t xml:space="preserve">. </w:t>
      </w:r>
      <w:r w:rsidRPr="00473814">
        <w:rPr>
          <w:rFonts w:asciiTheme="majorBidi" w:hAnsiTheme="majorBidi"/>
          <w:sz w:val="22"/>
          <w:szCs w:val="22"/>
        </w:rPr>
        <w:t xml:space="preserve">At the symposium I drew a humorous reaction </w:t>
      </w:r>
      <w:r w:rsidR="00354FA9" w:rsidRPr="00473814">
        <w:rPr>
          <w:rFonts w:asciiTheme="majorBidi" w:hAnsiTheme="majorBidi"/>
          <w:sz w:val="22"/>
          <w:szCs w:val="22"/>
        </w:rPr>
        <w:t>when I displayed photo</w:t>
      </w:r>
      <w:r w:rsidR="00817EC9" w:rsidRPr="00473814">
        <w:rPr>
          <w:rFonts w:asciiTheme="majorBidi" w:hAnsiTheme="majorBidi"/>
          <w:sz w:val="22"/>
          <w:szCs w:val="22"/>
        </w:rPr>
        <w:t>s</w:t>
      </w:r>
      <w:r w:rsidR="00354FA9" w:rsidRPr="00473814">
        <w:rPr>
          <w:rFonts w:asciiTheme="majorBidi" w:hAnsiTheme="majorBidi"/>
          <w:sz w:val="22"/>
          <w:szCs w:val="22"/>
        </w:rPr>
        <w:t xml:space="preserve"> of th</w:t>
      </w:r>
      <w:r w:rsidR="00817EC9" w:rsidRPr="00473814">
        <w:rPr>
          <w:rFonts w:asciiTheme="majorBidi" w:hAnsiTheme="majorBidi"/>
          <w:sz w:val="22"/>
          <w:szCs w:val="22"/>
        </w:rPr>
        <w:t xml:space="preserve">e </w:t>
      </w:r>
      <w:r w:rsidR="00354FA9" w:rsidRPr="00473814">
        <w:rPr>
          <w:rFonts w:asciiTheme="majorBidi" w:hAnsiTheme="majorBidi"/>
          <w:sz w:val="22"/>
          <w:szCs w:val="22"/>
        </w:rPr>
        <w:t>early sel</w:t>
      </w:r>
      <w:r w:rsidR="00794F76" w:rsidRPr="00473814">
        <w:rPr>
          <w:rFonts w:asciiTheme="majorBidi" w:hAnsiTheme="majorBidi"/>
          <w:sz w:val="22"/>
          <w:szCs w:val="22"/>
        </w:rPr>
        <w:t xml:space="preserve">ves </w:t>
      </w:r>
      <w:r w:rsidR="00817EC9" w:rsidRPr="00473814">
        <w:rPr>
          <w:rFonts w:asciiTheme="majorBidi" w:hAnsiTheme="majorBidi"/>
          <w:sz w:val="22"/>
          <w:szCs w:val="22"/>
        </w:rPr>
        <w:t>of the three of us</w:t>
      </w:r>
      <w:r w:rsidR="00DD7C61" w:rsidRPr="00473814">
        <w:rPr>
          <w:rFonts w:asciiTheme="majorBidi" w:hAnsiTheme="majorBidi"/>
          <w:sz w:val="22"/>
          <w:szCs w:val="22"/>
        </w:rPr>
        <w:t xml:space="preserve">, </w:t>
      </w:r>
      <w:r w:rsidR="00817EC9" w:rsidRPr="00473814">
        <w:rPr>
          <w:rFonts w:asciiTheme="majorBidi" w:hAnsiTheme="majorBidi"/>
          <w:sz w:val="22"/>
          <w:szCs w:val="22"/>
        </w:rPr>
        <w:t xml:space="preserve">and I am pasting them below in case they </w:t>
      </w:r>
      <w:r w:rsidR="00354FA9" w:rsidRPr="00473814">
        <w:rPr>
          <w:rFonts w:asciiTheme="majorBidi" w:hAnsiTheme="majorBidi"/>
          <w:sz w:val="22"/>
          <w:szCs w:val="22"/>
        </w:rPr>
        <w:t xml:space="preserve">might elicit such </w:t>
      </w:r>
      <w:r w:rsidR="00794F76" w:rsidRPr="00473814">
        <w:rPr>
          <w:rFonts w:asciiTheme="majorBidi" w:hAnsiTheme="majorBidi"/>
          <w:sz w:val="22"/>
          <w:szCs w:val="22"/>
        </w:rPr>
        <w:t xml:space="preserve">a </w:t>
      </w:r>
      <w:r w:rsidR="00354FA9" w:rsidRPr="00473814">
        <w:rPr>
          <w:rFonts w:asciiTheme="majorBidi" w:hAnsiTheme="majorBidi"/>
          <w:sz w:val="22"/>
          <w:szCs w:val="22"/>
        </w:rPr>
        <w:t xml:space="preserve">reaction from </w:t>
      </w:r>
      <w:proofErr w:type="gramStart"/>
      <w:r w:rsidR="00794F76" w:rsidRPr="00473814">
        <w:rPr>
          <w:rFonts w:asciiTheme="majorBidi" w:hAnsiTheme="majorBidi"/>
          <w:sz w:val="22"/>
          <w:szCs w:val="22"/>
        </w:rPr>
        <w:t>some</w:t>
      </w:r>
      <w:proofErr w:type="gramEnd"/>
      <w:r w:rsidR="00794F76" w:rsidRPr="00473814">
        <w:rPr>
          <w:rFonts w:asciiTheme="majorBidi" w:hAnsiTheme="majorBidi"/>
          <w:sz w:val="22"/>
          <w:szCs w:val="22"/>
        </w:rPr>
        <w:t xml:space="preserve"> </w:t>
      </w:r>
      <w:r w:rsidR="00354FA9" w:rsidRPr="00473814">
        <w:rPr>
          <w:rFonts w:asciiTheme="majorBidi" w:hAnsiTheme="majorBidi"/>
          <w:sz w:val="22"/>
          <w:szCs w:val="22"/>
        </w:rPr>
        <w:t xml:space="preserve">readers:  </w:t>
      </w:r>
      <w:r w:rsidRPr="00473814">
        <w:rPr>
          <w:rFonts w:asciiTheme="majorBidi" w:hAnsiTheme="majorBidi"/>
          <w:sz w:val="22"/>
          <w:szCs w:val="22"/>
        </w:rPr>
        <w:t xml:space="preserve"> </w:t>
      </w:r>
    </w:p>
    <w:p w14:paraId="56F283B1" w14:textId="2909105C" w:rsidR="00BB204C" w:rsidRPr="00473814" w:rsidRDefault="00BB204C" w:rsidP="00473814">
      <w:pPr>
        <w:pStyle w:val="FootnoteText"/>
        <w:spacing w:line="276" w:lineRule="auto"/>
        <w:jc w:val="both"/>
        <w:rPr>
          <w:rFonts w:asciiTheme="majorBidi" w:hAnsiTheme="majorBidi"/>
          <w:sz w:val="22"/>
          <w:szCs w:val="22"/>
        </w:rPr>
      </w:pPr>
      <w:r w:rsidRPr="00473814">
        <w:rPr>
          <w:rFonts w:asciiTheme="majorBidi" w:hAnsiTheme="majorBidi"/>
          <w:noProof/>
          <w:sz w:val="22"/>
          <w:szCs w:val="22"/>
        </w:rPr>
        <w:drawing>
          <wp:inline distT="0" distB="0" distL="0" distR="0" wp14:anchorId="4996B3E0" wp14:editId="6C18E9C1">
            <wp:extent cx="2120900" cy="2933700"/>
            <wp:effectExtent l="0" t="0" r="0" b="0"/>
            <wp:docPr id="6" name="Picture 5"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erson wearing glasses&#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0900" cy="2933700"/>
                    </a:xfrm>
                    <a:prstGeom prst="rect">
                      <a:avLst/>
                    </a:prstGeom>
                  </pic:spPr>
                </pic:pic>
              </a:graphicData>
            </a:graphic>
          </wp:inline>
        </w:drawing>
      </w:r>
      <w:r w:rsidR="00B627EF" w:rsidRPr="00473814">
        <w:rPr>
          <w:rFonts w:asciiTheme="majorBidi" w:hAnsiTheme="majorBidi"/>
          <w:noProof/>
          <w:sz w:val="22"/>
          <w:szCs w:val="22"/>
        </w:rPr>
        <w:t xml:space="preserve"> </w:t>
      </w:r>
      <w:r w:rsidR="0093563E" w:rsidRPr="00473814">
        <w:rPr>
          <w:rFonts w:asciiTheme="majorBidi" w:hAnsiTheme="majorBidi"/>
          <w:noProof/>
          <w:sz w:val="22"/>
          <w:szCs w:val="22"/>
        </w:rPr>
        <w:drawing>
          <wp:inline distT="0" distB="0" distL="0" distR="0" wp14:anchorId="5BC56A45" wp14:editId="4A064453">
            <wp:extent cx="2381250" cy="2857500"/>
            <wp:effectExtent l="0" t="0" r="0" b="0"/>
            <wp:docPr id="9" name="Picture 8"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erson wearing glasses&#10;&#10;Description automatically generated with low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81250" cy="2857500"/>
                    </a:xfrm>
                    <a:prstGeom prst="rect">
                      <a:avLst/>
                    </a:prstGeom>
                  </pic:spPr>
                </pic:pic>
              </a:graphicData>
            </a:graphic>
          </wp:inline>
        </w:drawing>
      </w:r>
      <w:r w:rsidR="00121AC9" w:rsidRPr="00473814">
        <w:rPr>
          <w:rFonts w:asciiTheme="majorBidi" w:hAnsiTheme="majorBidi"/>
          <w:noProof/>
          <w:sz w:val="22"/>
          <w:szCs w:val="22"/>
        </w:rPr>
        <w:t xml:space="preserve"> </w:t>
      </w:r>
      <w:r w:rsidR="00794F76" w:rsidRPr="00473814">
        <w:rPr>
          <w:rFonts w:asciiTheme="majorBidi" w:hAnsiTheme="majorBidi"/>
          <w:noProof/>
          <w:sz w:val="22"/>
          <w:szCs w:val="22"/>
        </w:rPr>
        <w:drawing>
          <wp:inline distT="0" distB="0" distL="0" distR="0" wp14:anchorId="07036A60" wp14:editId="7C12ECD1">
            <wp:extent cx="1568450" cy="2889885"/>
            <wp:effectExtent l="0" t="0" r="0" b="5715"/>
            <wp:docPr id="5" name="Picture 4" descr="A person with a beard and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erson with a beard and mustache&#10;&#10;Description automatically generated with low confidence"/>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68450" cy="2889885"/>
                    </a:xfrm>
                    <a:prstGeom prst="rect">
                      <a:avLst/>
                    </a:prstGeom>
                  </pic:spPr>
                </pic:pic>
              </a:graphicData>
            </a:graphic>
          </wp:inline>
        </w:drawing>
      </w:r>
    </w:p>
  </w:footnote>
  <w:footnote w:id="5">
    <w:p w14:paraId="3C2F439D" w14:textId="2E1472D4" w:rsidR="00BD32AC" w:rsidRPr="00473814" w:rsidRDefault="00BD32AC"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650658" w:rsidRPr="00473814">
        <w:rPr>
          <w:rFonts w:asciiTheme="majorBidi" w:hAnsiTheme="majorBidi"/>
          <w:sz w:val="22"/>
          <w:szCs w:val="22"/>
        </w:rPr>
        <w:t xml:space="preserve">See </w:t>
      </w:r>
      <w:r w:rsidR="00EC0048" w:rsidRPr="00473814">
        <w:rPr>
          <w:rFonts w:asciiTheme="majorBidi" w:hAnsiTheme="majorBidi"/>
          <w:sz w:val="22"/>
          <w:szCs w:val="22"/>
        </w:rPr>
        <w:t xml:space="preserve">Frank Easterbrook and Daniel Fischel, </w:t>
      </w:r>
      <w:r w:rsidRPr="00473814">
        <w:rPr>
          <w:rFonts w:asciiTheme="majorBidi" w:hAnsiTheme="majorBidi"/>
          <w:sz w:val="22"/>
          <w:szCs w:val="22"/>
        </w:rPr>
        <w:t>“The Proper Role of a Target’s Management in Reponing to a Tender offer,” 94 Harvard Law Review (1981)</w:t>
      </w:r>
      <w:r w:rsidR="00650658" w:rsidRPr="00473814">
        <w:rPr>
          <w:rFonts w:asciiTheme="majorBidi" w:hAnsiTheme="majorBidi"/>
          <w:sz w:val="22"/>
          <w:szCs w:val="22"/>
        </w:rPr>
        <w:t>.</w:t>
      </w:r>
    </w:p>
  </w:footnote>
  <w:footnote w:id="6">
    <w:p w14:paraId="6EBD985B" w14:textId="37AE97B7" w:rsidR="00ED00BA" w:rsidRPr="00473814" w:rsidRDefault="00ED00BA" w:rsidP="00473814">
      <w:pPr>
        <w:tabs>
          <w:tab w:val="num" w:pos="1440"/>
        </w:tabs>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DD7C61" w:rsidRPr="00473814">
        <w:rPr>
          <w:rFonts w:asciiTheme="majorBidi" w:hAnsiTheme="majorBidi"/>
          <w:sz w:val="22"/>
          <w:szCs w:val="22"/>
        </w:rPr>
        <w:t xml:space="preserve">See </w:t>
      </w:r>
      <w:r w:rsidRPr="00473814">
        <w:rPr>
          <w:rFonts w:asciiTheme="majorBidi" w:hAnsiTheme="majorBidi"/>
          <w:sz w:val="22"/>
          <w:szCs w:val="22"/>
        </w:rPr>
        <w:t xml:space="preserve">Lucian Bebchuk, “The Case for Facilitating Competing Tender Offers,” 95 </w:t>
      </w:r>
      <w:r w:rsidRPr="00473814">
        <w:rPr>
          <w:rFonts w:asciiTheme="majorBidi" w:hAnsiTheme="majorBidi"/>
          <w:i/>
          <w:iCs/>
          <w:sz w:val="22"/>
          <w:szCs w:val="22"/>
        </w:rPr>
        <w:t>Harvard Law</w:t>
      </w:r>
      <w:r w:rsidR="00526BEE" w:rsidRPr="00473814">
        <w:rPr>
          <w:rFonts w:asciiTheme="majorBidi" w:hAnsiTheme="majorBidi"/>
          <w:i/>
          <w:iCs/>
          <w:sz w:val="22"/>
          <w:szCs w:val="22"/>
        </w:rPr>
        <w:t xml:space="preserve"> </w:t>
      </w:r>
      <w:r w:rsidRPr="00473814">
        <w:rPr>
          <w:rFonts w:asciiTheme="majorBidi" w:hAnsiTheme="majorBidi"/>
          <w:i/>
          <w:iCs/>
          <w:sz w:val="22"/>
          <w:szCs w:val="22"/>
        </w:rPr>
        <w:t xml:space="preserve">Review </w:t>
      </w:r>
      <w:r w:rsidRPr="00473814">
        <w:rPr>
          <w:rFonts w:asciiTheme="majorBidi" w:hAnsiTheme="majorBidi"/>
          <w:sz w:val="22"/>
          <w:szCs w:val="22"/>
        </w:rPr>
        <w:t>1028-1056 (1982).</w:t>
      </w:r>
    </w:p>
  </w:footnote>
  <w:footnote w:id="7">
    <w:p w14:paraId="4DE52B2C" w14:textId="7E8CE1F8" w:rsidR="004B3DC9" w:rsidRPr="00473814" w:rsidRDefault="004B3DC9"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DD7C61" w:rsidRPr="00473814">
        <w:rPr>
          <w:rFonts w:asciiTheme="majorBidi" w:hAnsiTheme="majorBidi"/>
          <w:sz w:val="22"/>
          <w:szCs w:val="22"/>
        </w:rPr>
        <w:t xml:space="preserve">See </w:t>
      </w:r>
      <w:r w:rsidR="0074060D" w:rsidRPr="00473814">
        <w:rPr>
          <w:rFonts w:asciiTheme="majorBidi" w:hAnsiTheme="majorBidi"/>
          <w:sz w:val="22"/>
          <w:szCs w:val="22"/>
        </w:rPr>
        <w:t xml:space="preserve">Frank </w:t>
      </w:r>
      <w:r w:rsidRPr="00473814">
        <w:rPr>
          <w:rFonts w:asciiTheme="majorBidi" w:hAnsiTheme="majorBidi"/>
          <w:sz w:val="22"/>
          <w:szCs w:val="22"/>
        </w:rPr>
        <w:t>Easterb</w:t>
      </w:r>
      <w:r w:rsidR="00B44E63">
        <w:rPr>
          <w:rFonts w:asciiTheme="majorBidi" w:hAnsiTheme="majorBidi"/>
          <w:sz w:val="22"/>
          <w:szCs w:val="22"/>
        </w:rPr>
        <w:t>r</w:t>
      </w:r>
      <w:r w:rsidRPr="00473814">
        <w:rPr>
          <w:rFonts w:asciiTheme="majorBidi" w:hAnsiTheme="majorBidi"/>
          <w:sz w:val="22"/>
          <w:szCs w:val="22"/>
        </w:rPr>
        <w:t xml:space="preserve">ook and </w:t>
      </w:r>
      <w:r w:rsidR="0074060D" w:rsidRPr="00473814">
        <w:rPr>
          <w:rFonts w:asciiTheme="majorBidi" w:hAnsiTheme="majorBidi"/>
          <w:sz w:val="22"/>
          <w:szCs w:val="22"/>
        </w:rPr>
        <w:t xml:space="preserve">Daniel </w:t>
      </w:r>
      <w:r w:rsidRPr="00473814">
        <w:rPr>
          <w:rFonts w:asciiTheme="majorBidi" w:hAnsiTheme="majorBidi"/>
          <w:sz w:val="22"/>
          <w:szCs w:val="22"/>
        </w:rPr>
        <w:t>Fischel</w:t>
      </w:r>
      <w:r w:rsidR="0074060D" w:rsidRPr="00473814">
        <w:rPr>
          <w:rFonts w:asciiTheme="majorBidi" w:hAnsiTheme="majorBidi"/>
          <w:sz w:val="22"/>
          <w:szCs w:val="22"/>
        </w:rPr>
        <w:t xml:space="preserve">, </w:t>
      </w:r>
      <w:r w:rsidRPr="00473814">
        <w:rPr>
          <w:rFonts w:asciiTheme="majorBidi" w:hAnsiTheme="majorBidi"/>
          <w:sz w:val="22"/>
          <w:szCs w:val="22"/>
        </w:rPr>
        <w:t xml:space="preserve">“Auctions and Sunk Costs in Tender Offers, </w:t>
      </w:r>
      <w:r w:rsidRPr="00473814">
        <w:rPr>
          <w:rFonts w:asciiTheme="majorBidi" w:hAnsiTheme="majorBidi"/>
          <w:i/>
          <w:iCs/>
          <w:sz w:val="22"/>
          <w:szCs w:val="22"/>
        </w:rPr>
        <w:t>Stanford Law Review</w:t>
      </w:r>
      <w:r w:rsidRPr="00473814">
        <w:rPr>
          <w:rFonts w:asciiTheme="majorBidi" w:hAnsiTheme="majorBidi"/>
          <w:sz w:val="22"/>
          <w:szCs w:val="22"/>
        </w:rPr>
        <w:t xml:space="preserve"> (1982).</w:t>
      </w:r>
    </w:p>
  </w:footnote>
  <w:footnote w:id="8">
    <w:p w14:paraId="68F6BC53" w14:textId="79935A33" w:rsidR="00DE0654" w:rsidRPr="00473814" w:rsidRDefault="004B3DC9"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DD7C61" w:rsidRPr="00473814">
        <w:rPr>
          <w:rFonts w:asciiTheme="majorBidi" w:hAnsiTheme="majorBidi"/>
          <w:sz w:val="22"/>
          <w:szCs w:val="22"/>
        </w:rPr>
        <w:t xml:space="preserve">See </w:t>
      </w:r>
      <w:r w:rsidR="0074060D" w:rsidRPr="00473814">
        <w:rPr>
          <w:rFonts w:asciiTheme="majorBidi" w:hAnsiTheme="majorBidi"/>
          <w:sz w:val="22"/>
          <w:szCs w:val="22"/>
        </w:rPr>
        <w:t xml:space="preserve">Lucian Bebchuk, </w:t>
      </w:r>
      <w:r w:rsidR="00846B43" w:rsidRPr="00473814">
        <w:rPr>
          <w:rFonts w:asciiTheme="majorBidi" w:hAnsiTheme="majorBidi"/>
          <w:sz w:val="22"/>
          <w:szCs w:val="22"/>
        </w:rPr>
        <w:t xml:space="preserve">“The Case for Facilitating Competing Tender Offers: A Reply and Extension,” 35 </w:t>
      </w:r>
      <w:r w:rsidR="00846B43" w:rsidRPr="00473814">
        <w:rPr>
          <w:rFonts w:asciiTheme="majorBidi" w:hAnsiTheme="majorBidi"/>
          <w:i/>
          <w:iCs/>
          <w:sz w:val="22"/>
          <w:szCs w:val="22"/>
        </w:rPr>
        <w:t>Stanford Law Review</w:t>
      </w:r>
      <w:r w:rsidR="00846B43" w:rsidRPr="00473814">
        <w:rPr>
          <w:rFonts w:asciiTheme="majorBidi" w:hAnsiTheme="majorBidi"/>
          <w:sz w:val="22"/>
          <w:szCs w:val="22"/>
        </w:rPr>
        <w:t xml:space="preserve"> 23-50 (1982)</w:t>
      </w:r>
      <w:r w:rsidR="00DC2D75" w:rsidRPr="00473814">
        <w:rPr>
          <w:rFonts w:asciiTheme="majorBidi" w:hAnsiTheme="majorBidi"/>
          <w:sz w:val="22"/>
          <w:szCs w:val="22"/>
        </w:rPr>
        <w:t>.</w:t>
      </w:r>
    </w:p>
  </w:footnote>
  <w:footnote w:id="9">
    <w:p w14:paraId="2220A629" w14:textId="201BB629" w:rsidR="007C394A" w:rsidRPr="00473814" w:rsidRDefault="007C394A"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See Lucian Arye Bebchuk, </w:t>
      </w:r>
      <w:r w:rsidRPr="00473814">
        <w:rPr>
          <w:rFonts w:asciiTheme="majorBidi" w:hAnsiTheme="majorBidi"/>
          <w:iCs/>
          <w:sz w:val="22"/>
          <w:szCs w:val="22"/>
        </w:rPr>
        <w:t>Toward Undistorted Choice and Equal Treatment in Corporate Takeovers</w:t>
      </w:r>
      <w:r w:rsidRPr="00473814">
        <w:rPr>
          <w:rFonts w:asciiTheme="majorBidi" w:hAnsiTheme="majorBidi"/>
          <w:sz w:val="22"/>
          <w:szCs w:val="22"/>
        </w:rPr>
        <w:t xml:space="preserve">, 98 </w:t>
      </w:r>
      <w:r w:rsidRPr="00473814">
        <w:rPr>
          <w:rFonts w:asciiTheme="majorBidi" w:hAnsiTheme="majorBidi"/>
          <w:smallCaps/>
          <w:sz w:val="22"/>
          <w:szCs w:val="22"/>
        </w:rPr>
        <w:t xml:space="preserve">Harv. L. Rev. </w:t>
      </w:r>
      <w:r w:rsidRPr="00473814">
        <w:rPr>
          <w:rFonts w:asciiTheme="majorBidi" w:hAnsiTheme="majorBidi"/>
          <w:sz w:val="22"/>
          <w:szCs w:val="22"/>
        </w:rPr>
        <w:t>1695 (1985)</w:t>
      </w:r>
      <w:proofErr w:type="gramStart"/>
      <w:r w:rsidRPr="00473814">
        <w:rPr>
          <w:rFonts w:asciiTheme="majorBidi" w:hAnsiTheme="majorBidi"/>
          <w:sz w:val="22"/>
          <w:szCs w:val="22"/>
        </w:rPr>
        <w:t>.</w:t>
      </w:r>
      <w:r w:rsidR="007E2D9E" w:rsidRPr="00473814">
        <w:rPr>
          <w:rFonts w:asciiTheme="majorBidi" w:hAnsiTheme="majorBidi"/>
          <w:sz w:val="22"/>
          <w:szCs w:val="22"/>
        </w:rPr>
        <w:t xml:space="preserve"> </w:t>
      </w:r>
      <w:r w:rsidRPr="00473814">
        <w:rPr>
          <w:rFonts w:asciiTheme="majorBidi" w:hAnsiTheme="majorBidi"/>
          <w:sz w:val="22"/>
          <w:szCs w:val="22"/>
        </w:rPr>
        <w:t xml:space="preserve"> </w:t>
      </w:r>
      <w:proofErr w:type="gramEnd"/>
    </w:p>
  </w:footnote>
  <w:footnote w:id="10">
    <w:p w14:paraId="6A5A223F" w14:textId="0EEBCFFF" w:rsidR="00A53FC3" w:rsidRPr="00473814" w:rsidRDefault="00A53FC3"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See Lucian Arye Bebchuk, </w:t>
      </w:r>
      <w:r w:rsidRPr="00473814">
        <w:rPr>
          <w:rFonts w:asciiTheme="majorBidi" w:hAnsiTheme="majorBidi"/>
          <w:iCs/>
          <w:sz w:val="22"/>
          <w:szCs w:val="22"/>
        </w:rPr>
        <w:t>The Case Against Board Veto in Corporate Takeovers</w:t>
      </w:r>
      <w:r w:rsidRPr="00473814">
        <w:rPr>
          <w:rFonts w:asciiTheme="majorBidi" w:hAnsiTheme="majorBidi"/>
          <w:sz w:val="22"/>
          <w:szCs w:val="22"/>
        </w:rPr>
        <w:t xml:space="preserve">, 69 </w:t>
      </w:r>
      <w:r w:rsidRPr="00473814">
        <w:rPr>
          <w:rFonts w:asciiTheme="majorBidi" w:hAnsiTheme="majorBidi"/>
          <w:smallCaps/>
          <w:sz w:val="22"/>
          <w:szCs w:val="22"/>
        </w:rPr>
        <w:t>U. Chi. L. Rev.</w:t>
      </w:r>
      <w:r w:rsidRPr="00473814">
        <w:rPr>
          <w:rFonts w:asciiTheme="majorBidi" w:hAnsiTheme="majorBidi"/>
          <w:sz w:val="22"/>
          <w:szCs w:val="22"/>
        </w:rPr>
        <w:t xml:space="preserve"> 973 (2002) (p</w:t>
      </w:r>
      <w:r w:rsidR="00DD7C61" w:rsidRPr="00473814">
        <w:rPr>
          <w:rFonts w:asciiTheme="majorBidi" w:hAnsiTheme="majorBidi"/>
          <w:sz w:val="22"/>
          <w:szCs w:val="22"/>
        </w:rPr>
        <w:t xml:space="preserve">utting together the case </w:t>
      </w:r>
      <w:r w:rsidRPr="00473814">
        <w:rPr>
          <w:rFonts w:asciiTheme="majorBidi" w:hAnsiTheme="majorBidi"/>
          <w:sz w:val="22"/>
          <w:szCs w:val="22"/>
        </w:rPr>
        <w:t xml:space="preserve">for banning defensive tactics and addressing </w:t>
      </w:r>
      <w:r w:rsidR="00646C09" w:rsidRPr="00473814">
        <w:rPr>
          <w:rFonts w:asciiTheme="majorBidi" w:hAnsiTheme="majorBidi"/>
          <w:sz w:val="22"/>
          <w:szCs w:val="22"/>
        </w:rPr>
        <w:t xml:space="preserve">objections to it); </w:t>
      </w:r>
      <w:r w:rsidRPr="00473814">
        <w:rPr>
          <w:rFonts w:asciiTheme="majorBidi" w:hAnsiTheme="majorBidi"/>
          <w:sz w:val="22"/>
          <w:szCs w:val="22"/>
        </w:rPr>
        <w:t xml:space="preserve">Lucian Arye Bebchuk, John C. Coates IV &amp; Guhan Subramanian, </w:t>
      </w:r>
      <w:r w:rsidRPr="00473814">
        <w:rPr>
          <w:rFonts w:asciiTheme="majorBidi" w:hAnsiTheme="majorBidi"/>
          <w:iCs/>
          <w:sz w:val="22"/>
          <w:szCs w:val="22"/>
        </w:rPr>
        <w:t>The Powerful Antitakeover Force of Staggered Boards: Further Findings and a Reply to Symposium Participants</w:t>
      </w:r>
      <w:r w:rsidRPr="00473814">
        <w:rPr>
          <w:rFonts w:asciiTheme="majorBidi" w:hAnsiTheme="majorBidi"/>
          <w:sz w:val="22"/>
          <w:szCs w:val="22"/>
        </w:rPr>
        <w:t xml:space="preserve">, 55 </w:t>
      </w:r>
      <w:r w:rsidRPr="00473814">
        <w:rPr>
          <w:rFonts w:asciiTheme="majorBidi" w:hAnsiTheme="majorBidi"/>
          <w:smallCaps/>
          <w:sz w:val="22"/>
          <w:szCs w:val="22"/>
        </w:rPr>
        <w:t>Stan. L. Rev.</w:t>
      </w:r>
      <w:r w:rsidRPr="00473814">
        <w:rPr>
          <w:rFonts w:asciiTheme="majorBidi" w:hAnsiTheme="majorBidi"/>
          <w:sz w:val="22"/>
          <w:szCs w:val="22"/>
        </w:rPr>
        <w:t xml:space="preserve"> 885 (2002)</w:t>
      </w:r>
      <w:r w:rsidR="00E92AD7" w:rsidRPr="00473814">
        <w:rPr>
          <w:rFonts w:asciiTheme="majorBidi" w:hAnsiTheme="majorBidi"/>
          <w:sz w:val="22"/>
          <w:szCs w:val="22"/>
        </w:rPr>
        <w:t xml:space="preserve"> (explaining and documenting the powerful antitakeover effects of combining staggered boards with poison pills)</w:t>
      </w:r>
      <w:r w:rsidR="00646C09" w:rsidRPr="00473814">
        <w:rPr>
          <w:rFonts w:asciiTheme="majorBidi" w:hAnsiTheme="majorBidi"/>
          <w:sz w:val="22"/>
          <w:szCs w:val="22"/>
        </w:rPr>
        <w:t xml:space="preserve">; </w:t>
      </w:r>
      <w:r w:rsidRPr="00473814">
        <w:rPr>
          <w:rFonts w:asciiTheme="majorBidi" w:hAnsiTheme="majorBidi"/>
          <w:sz w:val="22"/>
          <w:szCs w:val="22"/>
        </w:rPr>
        <w:t xml:space="preserve">Lucian A. Bebchuk &amp; Robert J. Jackson, Jr., </w:t>
      </w:r>
      <w:r w:rsidRPr="00473814">
        <w:rPr>
          <w:rFonts w:asciiTheme="majorBidi" w:hAnsiTheme="majorBidi"/>
          <w:iCs/>
          <w:sz w:val="22"/>
          <w:szCs w:val="22"/>
        </w:rPr>
        <w:t>Toward a Constitutional Review of the Poison Pill</w:t>
      </w:r>
      <w:r w:rsidRPr="00473814">
        <w:rPr>
          <w:rFonts w:asciiTheme="majorBidi" w:hAnsiTheme="majorBidi"/>
          <w:sz w:val="22"/>
          <w:szCs w:val="22"/>
        </w:rPr>
        <w:t xml:space="preserve">, 114 </w:t>
      </w:r>
      <w:r w:rsidRPr="00473814">
        <w:rPr>
          <w:rFonts w:asciiTheme="majorBidi" w:hAnsiTheme="majorBidi"/>
          <w:smallCaps/>
          <w:sz w:val="22"/>
          <w:szCs w:val="22"/>
        </w:rPr>
        <w:t>Colum. L. Rev.</w:t>
      </w:r>
      <w:r w:rsidRPr="00473814">
        <w:rPr>
          <w:rFonts w:asciiTheme="majorBidi" w:hAnsiTheme="majorBidi"/>
          <w:sz w:val="22"/>
          <w:szCs w:val="22"/>
        </w:rPr>
        <w:t xml:space="preserve"> 1549 (2014)</w:t>
      </w:r>
      <w:r w:rsidR="00646C09" w:rsidRPr="00473814">
        <w:rPr>
          <w:rFonts w:asciiTheme="majorBidi" w:hAnsiTheme="majorBidi"/>
          <w:sz w:val="22"/>
          <w:szCs w:val="22"/>
        </w:rPr>
        <w:t xml:space="preserve"> (</w:t>
      </w:r>
      <w:r w:rsidR="007B1ED3" w:rsidRPr="00473814">
        <w:rPr>
          <w:rFonts w:asciiTheme="majorBidi" w:hAnsiTheme="majorBidi"/>
          <w:sz w:val="22"/>
          <w:szCs w:val="22"/>
        </w:rPr>
        <w:t xml:space="preserve">explaining how federal law can </w:t>
      </w:r>
      <w:proofErr w:type="gramStart"/>
      <w:r w:rsidR="007B1ED3" w:rsidRPr="00473814">
        <w:rPr>
          <w:rFonts w:asciiTheme="majorBidi" w:hAnsiTheme="majorBidi"/>
          <w:sz w:val="22"/>
          <w:szCs w:val="22"/>
        </w:rPr>
        <w:t>be used</w:t>
      </w:r>
      <w:proofErr w:type="gramEnd"/>
      <w:r w:rsidR="007B1ED3" w:rsidRPr="00473814">
        <w:rPr>
          <w:rFonts w:asciiTheme="majorBidi" w:hAnsiTheme="majorBidi"/>
          <w:sz w:val="22"/>
          <w:szCs w:val="22"/>
        </w:rPr>
        <w:t xml:space="preserve"> to invalidate state law authorizing the use of poison pills</w:t>
      </w:r>
      <w:r w:rsidR="008D15AB" w:rsidRPr="00473814">
        <w:rPr>
          <w:rFonts w:asciiTheme="majorBidi" w:hAnsiTheme="majorBidi"/>
          <w:sz w:val="22"/>
          <w:szCs w:val="22"/>
        </w:rPr>
        <w:t>)</w:t>
      </w:r>
      <w:r w:rsidR="00E92AD7" w:rsidRPr="00473814">
        <w:rPr>
          <w:rFonts w:asciiTheme="majorBidi" w:hAnsiTheme="majorBidi"/>
          <w:sz w:val="22"/>
          <w:szCs w:val="22"/>
        </w:rPr>
        <w:t xml:space="preserve">; </w:t>
      </w:r>
      <w:r w:rsidRPr="00473814">
        <w:rPr>
          <w:rFonts w:asciiTheme="majorBidi" w:hAnsiTheme="majorBidi"/>
          <w:sz w:val="22"/>
          <w:szCs w:val="22"/>
        </w:rPr>
        <w:t xml:space="preserve">Lucian A. Bebchuk &amp; Alma Cohen, </w:t>
      </w:r>
      <w:r w:rsidRPr="00473814">
        <w:rPr>
          <w:rFonts w:asciiTheme="majorBidi" w:hAnsiTheme="majorBidi"/>
          <w:iCs/>
          <w:sz w:val="22"/>
          <w:szCs w:val="22"/>
        </w:rPr>
        <w:t>The Costs of Entrenched Boards</w:t>
      </w:r>
      <w:r w:rsidRPr="00473814">
        <w:rPr>
          <w:rFonts w:asciiTheme="majorBidi" w:hAnsiTheme="majorBidi"/>
          <w:sz w:val="22"/>
          <w:szCs w:val="22"/>
        </w:rPr>
        <w:t xml:space="preserve">, 78 </w:t>
      </w:r>
      <w:r w:rsidRPr="00473814">
        <w:rPr>
          <w:rFonts w:asciiTheme="majorBidi" w:hAnsiTheme="majorBidi"/>
          <w:smallCaps/>
          <w:sz w:val="22"/>
          <w:szCs w:val="22"/>
        </w:rPr>
        <w:t>J. Fin. Econ.</w:t>
      </w:r>
      <w:r w:rsidRPr="00473814">
        <w:rPr>
          <w:rFonts w:asciiTheme="majorBidi" w:hAnsiTheme="majorBidi"/>
          <w:sz w:val="22"/>
          <w:szCs w:val="22"/>
        </w:rPr>
        <w:t xml:space="preserve"> 409 (2005)</w:t>
      </w:r>
      <w:r w:rsidR="008D15AB" w:rsidRPr="00473814">
        <w:rPr>
          <w:rFonts w:asciiTheme="majorBidi" w:hAnsiTheme="majorBidi"/>
          <w:sz w:val="22"/>
          <w:szCs w:val="22"/>
        </w:rPr>
        <w:t xml:space="preserve"> (empir</w:t>
      </w:r>
      <w:r w:rsidR="00F738DA" w:rsidRPr="00473814">
        <w:rPr>
          <w:rFonts w:asciiTheme="majorBidi" w:hAnsiTheme="majorBidi"/>
          <w:sz w:val="22"/>
          <w:szCs w:val="22"/>
        </w:rPr>
        <w:t>i</w:t>
      </w:r>
      <w:r w:rsidR="008D15AB" w:rsidRPr="00473814">
        <w:rPr>
          <w:rFonts w:asciiTheme="majorBidi" w:hAnsiTheme="majorBidi"/>
          <w:sz w:val="22"/>
          <w:szCs w:val="22"/>
        </w:rPr>
        <w:t>call</w:t>
      </w:r>
      <w:r w:rsidR="00F738DA" w:rsidRPr="00473814">
        <w:rPr>
          <w:rFonts w:asciiTheme="majorBidi" w:hAnsiTheme="majorBidi"/>
          <w:sz w:val="22"/>
          <w:szCs w:val="22"/>
        </w:rPr>
        <w:t>y</w:t>
      </w:r>
      <w:r w:rsidR="008D15AB" w:rsidRPr="00473814">
        <w:rPr>
          <w:rFonts w:asciiTheme="majorBidi" w:hAnsiTheme="majorBidi"/>
          <w:sz w:val="22"/>
          <w:szCs w:val="22"/>
        </w:rPr>
        <w:t xml:space="preserve"> investigating the value effects of staggered boards); </w:t>
      </w:r>
      <w:r w:rsidRPr="00473814">
        <w:rPr>
          <w:rFonts w:asciiTheme="majorBidi" w:hAnsiTheme="majorBidi"/>
          <w:sz w:val="22"/>
          <w:szCs w:val="22"/>
        </w:rPr>
        <w:t xml:space="preserve">Lucian Bebchuk, Alma Cohen &amp; Allen Ferrell, </w:t>
      </w:r>
      <w:r w:rsidRPr="00473814">
        <w:rPr>
          <w:rFonts w:asciiTheme="majorBidi" w:hAnsiTheme="majorBidi"/>
          <w:iCs/>
          <w:sz w:val="22"/>
          <w:szCs w:val="22"/>
        </w:rPr>
        <w:t xml:space="preserve">What Matters in Corporate </w:t>
      </w:r>
      <w:proofErr w:type="gramStart"/>
      <w:r w:rsidRPr="00473814">
        <w:rPr>
          <w:rFonts w:asciiTheme="majorBidi" w:hAnsiTheme="majorBidi"/>
          <w:iCs/>
          <w:sz w:val="22"/>
          <w:szCs w:val="22"/>
        </w:rPr>
        <w:t>Governance?</w:t>
      </w:r>
      <w:r w:rsidRPr="00473814">
        <w:rPr>
          <w:rFonts w:asciiTheme="majorBidi" w:hAnsiTheme="majorBidi"/>
          <w:sz w:val="22"/>
          <w:szCs w:val="22"/>
        </w:rPr>
        <w:t>,</w:t>
      </w:r>
      <w:proofErr w:type="gramEnd"/>
      <w:r w:rsidRPr="00473814">
        <w:rPr>
          <w:rFonts w:asciiTheme="majorBidi" w:hAnsiTheme="majorBidi"/>
          <w:sz w:val="22"/>
          <w:szCs w:val="22"/>
        </w:rPr>
        <w:t xml:space="preserve"> 22 </w:t>
      </w:r>
      <w:r w:rsidRPr="00473814">
        <w:rPr>
          <w:rFonts w:asciiTheme="majorBidi" w:hAnsiTheme="majorBidi"/>
          <w:iCs/>
          <w:smallCaps/>
          <w:sz w:val="22"/>
          <w:szCs w:val="22"/>
        </w:rPr>
        <w:t xml:space="preserve">Rev. Fin. Stud. </w:t>
      </w:r>
      <w:r w:rsidRPr="00473814">
        <w:rPr>
          <w:rFonts w:asciiTheme="majorBidi" w:hAnsiTheme="majorBidi"/>
          <w:sz w:val="22"/>
          <w:szCs w:val="22"/>
        </w:rPr>
        <w:t>783 (2009)</w:t>
      </w:r>
      <w:r w:rsidR="008D15AB" w:rsidRPr="00473814">
        <w:rPr>
          <w:rFonts w:asciiTheme="majorBidi" w:hAnsiTheme="majorBidi"/>
          <w:sz w:val="22"/>
          <w:szCs w:val="22"/>
        </w:rPr>
        <w:t xml:space="preserve"> (empirically analyzing the value effects of six types of entrenching positions); </w:t>
      </w:r>
      <w:r w:rsidRPr="00473814">
        <w:rPr>
          <w:rFonts w:asciiTheme="majorBidi" w:hAnsiTheme="majorBidi"/>
          <w:sz w:val="22"/>
          <w:szCs w:val="22"/>
        </w:rPr>
        <w:t xml:space="preserve">Lucian A. Bebchuk, Alma Cohen &amp; Charles C.Y. Wang, </w:t>
      </w:r>
      <w:r w:rsidRPr="00473814">
        <w:rPr>
          <w:rFonts w:asciiTheme="majorBidi" w:hAnsiTheme="majorBidi"/>
          <w:iCs/>
          <w:sz w:val="22"/>
          <w:szCs w:val="22"/>
        </w:rPr>
        <w:t>Learning and the Disappearing Association Between Governance and Returns</w:t>
      </w:r>
      <w:r w:rsidRPr="00473814">
        <w:rPr>
          <w:rFonts w:asciiTheme="majorBidi" w:hAnsiTheme="majorBidi"/>
          <w:sz w:val="22"/>
          <w:szCs w:val="22"/>
        </w:rPr>
        <w:t xml:space="preserve">, 108 </w:t>
      </w:r>
      <w:r w:rsidRPr="00473814">
        <w:rPr>
          <w:rFonts w:asciiTheme="majorBidi" w:hAnsiTheme="majorBidi"/>
          <w:smallCaps/>
          <w:sz w:val="22"/>
          <w:szCs w:val="22"/>
        </w:rPr>
        <w:t>J. Fin. Econ.</w:t>
      </w:r>
      <w:r w:rsidRPr="00473814">
        <w:rPr>
          <w:rFonts w:asciiTheme="majorBidi" w:hAnsiTheme="majorBidi"/>
          <w:sz w:val="22"/>
          <w:szCs w:val="22"/>
        </w:rPr>
        <w:t xml:space="preserve"> 323 (201</w:t>
      </w:r>
      <w:r w:rsidR="008D15AB" w:rsidRPr="00473814">
        <w:rPr>
          <w:rFonts w:asciiTheme="majorBidi" w:hAnsiTheme="majorBidi"/>
          <w:sz w:val="22"/>
          <w:szCs w:val="22"/>
        </w:rPr>
        <w:t>3) (follow-up study on the value effects of entrenching provisions).</w:t>
      </w:r>
    </w:p>
  </w:footnote>
  <w:footnote w:id="11">
    <w:p w14:paraId="1E5900BC" w14:textId="2705A5B3" w:rsidR="00691FE7" w:rsidRPr="00473814" w:rsidRDefault="00691FE7"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EB6918" w:rsidRPr="00473814">
        <w:rPr>
          <w:rFonts w:asciiTheme="majorBidi" w:hAnsiTheme="majorBidi"/>
          <w:sz w:val="22"/>
          <w:szCs w:val="22"/>
        </w:rPr>
        <w:t>The only caveat is that</w:t>
      </w:r>
      <w:r w:rsidR="00526EFA" w:rsidRPr="00473814">
        <w:rPr>
          <w:rFonts w:asciiTheme="majorBidi" w:hAnsiTheme="majorBidi"/>
          <w:sz w:val="22"/>
          <w:szCs w:val="22"/>
        </w:rPr>
        <w:t xml:space="preserve"> there is a tension between E&amp;F</w:t>
      </w:r>
      <w:r w:rsidR="00DD7C61" w:rsidRPr="00473814">
        <w:rPr>
          <w:rFonts w:asciiTheme="majorBidi" w:hAnsiTheme="majorBidi"/>
          <w:sz w:val="22"/>
          <w:szCs w:val="22"/>
        </w:rPr>
        <w:t>’s</w:t>
      </w:r>
      <w:r w:rsidR="00526EFA" w:rsidRPr="00473814">
        <w:rPr>
          <w:rFonts w:asciiTheme="majorBidi" w:hAnsiTheme="majorBidi"/>
          <w:sz w:val="22"/>
          <w:szCs w:val="22"/>
        </w:rPr>
        <w:t xml:space="preserve"> conclusion that takeover defenses are </w:t>
      </w:r>
      <w:r w:rsidR="00D51280" w:rsidRPr="00473814">
        <w:rPr>
          <w:rFonts w:asciiTheme="majorBidi" w:hAnsiTheme="majorBidi"/>
          <w:sz w:val="22"/>
          <w:szCs w:val="22"/>
        </w:rPr>
        <w:t xml:space="preserve">likely to be undesirable from an economic perspective and </w:t>
      </w:r>
      <w:r w:rsidR="00526EFA" w:rsidRPr="00473814">
        <w:rPr>
          <w:rFonts w:asciiTheme="majorBidi" w:hAnsiTheme="majorBidi"/>
          <w:sz w:val="22"/>
          <w:szCs w:val="22"/>
        </w:rPr>
        <w:t xml:space="preserve">their </w:t>
      </w:r>
      <w:r w:rsidR="00D51280" w:rsidRPr="00473814">
        <w:rPr>
          <w:rFonts w:asciiTheme="majorBidi" w:hAnsiTheme="majorBidi"/>
          <w:sz w:val="22"/>
          <w:szCs w:val="22"/>
        </w:rPr>
        <w:t xml:space="preserve">general </w:t>
      </w:r>
      <w:r w:rsidR="00526EFA" w:rsidRPr="00473814">
        <w:rPr>
          <w:rFonts w:asciiTheme="majorBidi" w:hAnsiTheme="majorBidi"/>
          <w:sz w:val="22"/>
          <w:szCs w:val="22"/>
        </w:rPr>
        <w:t xml:space="preserve">conclusion that state law rules, which have been moving in the direction of increasing </w:t>
      </w:r>
      <w:r w:rsidR="00D51280" w:rsidRPr="00473814">
        <w:rPr>
          <w:rFonts w:asciiTheme="majorBidi" w:hAnsiTheme="majorBidi"/>
          <w:sz w:val="22"/>
          <w:szCs w:val="22"/>
        </w:rPr>
        <w:t xml:space="preserve">permissibility of </w:t>
      </w:r>
      <w:r w:rsidR="00526EFA" w:rsidRPr="00473814">
        <w:rPr>
          <w:rFonts w:asciiTheme="majorBidi" w:hAnsiTheme="majorBidi"/>
          <w:sz w:val="22"/>
          <w:szCs w:val="22"/>
        </w:rPr>
        <w:t>such def</w:t>
      </w:r>
      <w:r w:rsidR="00D51280" w:rsidRPr="00473814">
        <w:rPr>
          <w:rFonts w:asciiTheme="majorBidi" w:hAnsiTheme="majorBidi"/>
          <w:sz w:val="22"/>
          <w:szCs w:val="22"/>
        </w:rPr>
        <w:t>e</w:t>
      </w:r>
      <w:r w:rsidR="00526EFA" w:rsidRPr="00473814">
        <w:rPr>
          <w:rFonts w:asciiTheme="majorBidi" w:hAnsiTheme="majorBidi"/>
          <w:sz w:val="22"/>
          <w:szCs w:val="22"/>
        </w:rPr>
        <w:t xml:space="preserve">nses, should </w:t>
      </w:r>
      <w:proofErr w:type="gramStart"/>
      <w:r w:rsidR="00D51280" w:rsidRPr="00473814">
        <w:rPr>
          <w:rFonts w:asciiTheme="majorBidi" w:hAnsiTheme="majorBidi"/>
          <w:sz w:val="22"/>
          <w:szCs w:val="22"/>
        </w:rPr>
        <w:t xml:space="preserve">generally </w:t>
      </w:r>
      <w:r w:rsidR="00526EFA" w:rsidRPr="00473814">
        <w:rPr>
          <w:rFonts w:asciiTheme="majorBidi" w:hAnsiTheme="majorBidi"/>
          <w:sz w:val="22"/>
          <w:szCs w:val="22"/>
        </w:rPr>
        <w:t>be</w:t>
      </w:r>
      <w:proofErr w:type="gramEnd"/>
      <w:r w:rsidR="00526EFA" w:rsidRPr="00473814">
        <w:rPr>
          <w:rFonts w:asciiTheme="majorBidi" w:hAnsiTheme="majorBidi"/>
          <w:sz w:val="22"/>
          <w:szCs w:val="22"/>
        </w:rPr>
        <w:t xml:space="preserve"> regarded as presumptively efficient. </w:t>
      </w:r>
      <w:r w:rsidR="00523573" w:rsidRPr="00473814">
        <w:rPr>
          <w:rFonts w:asciiTheme="majorBidi" w:hAnsiTheme="majorBidi"/>
          <w:sz w:val="22"/>
          <w:szCs w:val="22"/>
        </w:rPr>
        <w:t xml:space="preserve">E&amp;F discuss this issue in </w:t>
      </w:r>
      <w:r w:rsidR="00DD7C61" w:rsidRPr="00473814">
        <w:rPr>
          <w:rFonts w:asciiTheme="majorBidi" w:hAnsiTheme="majorBidi"/>
          <w:sz w:val="22"/>
          <w:szCs w:val="22"/>
        </w:rPr>
        <w:t xml:space="preserve">Easterbrook and Fischel, </w:t>
      </w:r>
      <w:r w:rsidR="00F738DA" w:rsidRPr="00473814">
        <w:rPr>
          <w:rFonts w:asciiTheme="majorBidi" w:hAnsiTheme="majorBidi"/>
          <w:sz w:val="22"/>
          <w:szCs w:val="22"/>
        </w:rPr>
        <w:t xml:space="preserve">supra note </w:t>
      </w:r>
      <w:proofErr w:type="gramStart"/>
      <w:r w:rsidR="00F738DA" w:rsidRPr="00473814">
        <w:rPr>
          <w:rFonts w:asciiTheme="majorBidi" w:hAnsiTheme="majorBidi"/>
          <w:sz w:val="22"/>
          <w:szCs w:val="22"/>
        </w:rPr>
        <w:t>1</w:t>
      </w:r>
      <w:proofErr w:type="gramEnd"/>
      <w:r w:rsidR="00F738DA" w:rsidRPr="00473814">
        <w:rPr>
          <w:rFonts w:asciiTheme="majorBidi" w:hAnsiTheme="majorBidi"/>
          <w:sz w:val="22"/>
          <w:szCs w:val="22"/>
        </w:rPr>
        <w:t xml:space="preserve">, at </w:t>
      </w:r>
      <w:r w:rsidR="00574BE4" w:rsidRPr="00473814">
        <w:rPr>
          <w:rFonts w:asciiTheme="majorBidi" w:hAnsiTheme="majorBidi"/>
          <w:sz w:val="22"/>
          <w:szCs w:val="22"/>
        </w:rPr>
        <w:t xml:space="preserve">222-227. </w:t>
      </w:r>
    </w:p>
  </w:footnote>
  <w:footnote w:id="12">
    <w:p w14:paraId="691325E4" w14:textId="7E2323BB" w:rsidR="00AD7D10" w:rsidRPr="00473814" w:rsidRDefault="00AD7D10"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See </w:t>
      </w:r>
      <w:r w:rsidR="00574BE4" w:rsidRPr="00473814">
        <w:rPr>
          <w:rFonts w:asciiTheme="majorBidi" w:hAnsiTheme="majorBidi"/>
          <w:sz w:val="22"/>
          <w:szCs w:val="22"/>
        </w:rPr>
        <w:t xml:space="preserve">Frank Easterbrook and Daniel Fischel, </w:t>
      </w:r>
      <w:r w:rsidR="00D37883" w:rsidRPr="00473814">
        <w:rPr>
          <w:rFonts w:asciiTheme="majorBidi" w:hAnsiTheme="majorBidi"/>
          <w:sz w:val="22"/>
          <w:szCs w:val="22"/>
        </w:rPr>
        <w:t xml:space="preserve">the Corporate Contract, Columbia Law Review (1989). </w:t>
      </w:r>
    </w:p>
  </w:footnote>
  <w:footnote w:id="13">
    <w:p w14:paraId="37151562" w14:textId="3681CB71" w:rsidR="00CC2A6E" w:rsidRPr="00473814" w:rsidRDefault="00CC2A6E"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See</w:t>
      </w:r>
      <w:r w:rsidR="006B1C83" w:rsidRPr="00473814">
        <w:rPr>
          <w:rFonts w:asciiTheme="majorBidi" w:hAnsiTheme="majorBidi"/>
          <w:sz w:val="22"/>
          <w:szCs w:val="22"/>
        </w:rPr>
        <w:t xml:space="preserve"> Easterbrook and Fischel</w:t>
      </w:r>
      <w:r w:rsidR="00574BE4" w:rsidRPr="00473814">
        <w:rPr>
          <w:rFonts w:asciiTheme="majorBidi" w:hAnsiTheme="majorBidi"/>
          <w:sz w:val="22"/>
          <w:szCs w:val="22"/>
        </w:rPr>
        <w:t xml:space="preserve">, supra note </w:t>
      </w:r>
      <w:proofErr w:type="gramStart"/>
      <w:r w:rsidR="00574BE4" w:rsidRPr="00473814">
        <w:rPr>
          <w:rFonts w:asciiTheme="majorBidi" w:hAnsiTheme="majorBidi"/>
          <w:sz w:val="22"/>
          <w:szCs w:val="22"/>
        </w:rPr>
        <w:t>1</w:t>
      </w:r>
      <w:proofErr w:type="gramEnd"/>
      <w:r w:rsidR="00574BE4" w:rsidRPr="00473814">
        <w:rPr>
          <w:rFonts w:asciiTheme="majorBidi" w:hAnsiTheme="majorBidi"/>
          <w:sz w:val="22"/>
          <w:szCs w:val="22"/>
        </w:rPr>
        <w:t>, C</w:t>
      </w:r>
      <w:r w:rsidRPr="00473814">
        <w:rPr>
          <w:rFonts w:asciiTheme="majorBidi" w:hAnsiTheme="majorBidi"/>
          <w:sz w:val="22"/>
          <w:szCs w:val="22"/>
        </w:rPr>
        <w:t>hapter</w:t>
      </w:r>
      <w:r w:rsidR="00D37883" w:rsidRPr="00473814">
        <w:rPr>
          <w:rFonts w:asciiTheme="majorBidi" w:hAnsiTheme="majorBidi"/>
          <w:sz w:val="22"/>
          <w:szCs w:val="22"/>
        </w:rPr>
        <w:t xml:space="preserve"> 1. </w:t>
      </w:r>
      <w:r w:rsidRPr="00473814">
        <w:rPr>
          <w:rFonts w:asciiTheme="majorBidi" w:hAnsiTheme="majorBidi"/>
          <w:sz w:val="22"/>
          <w:szCs w:val="22"/>
        </w:rPr>
        <w:t xml:space="preserve"> </w:t>
      </w:r>
    </w:p>
  </w:footnote>
  <w:footnote w:id="14">
    <w:p w14:paraId="16E595B0" w14:textId="3DEFFAAD" w:rsidR="00FD34B0" w:rsidRPr="00473814" w:rsidRDefault="00FD34B0"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Lucian Arye Bebchuk, </w:t>
      </w:r>
      <w:r w:rsidRPr="00473814">
        <w:rPr>
          <w:rFonts w:asciiTheme="majorBidi" w:hAnsiTheme="majorBidi"/>
          <w:iCs/>
          <w:sz w:val="22"/>
          <w:szCs w:val="22"/>
        </w:rPr>
        <w:t>Limiting Contractual Freedom in Corporate Law: The Desirable Constraints on Charter Amendments</w:t>
      </w:r>
      <w:r w:rsidRPr="00473814">
        <w:rPr>
          <w:rFonts w:asciiTheme="majorBidi" w:hAnsiTheme="majorBidi"/>
          <w:sz w:val="22"/>
          <w:szCs w:val="22"/>
        </w:rPr>
        <w:t xml:space="preserve">, 102 </w:t>
      </w:r>
      <w:r w:rsidRPr="00473814">
        <w:rPr>
          <w:rFonts w:asciiTheme="majorBidi" w:hAnsiTheme="majorBidi"/>
          <w:smallCaps/>
          <w:sz w:val="22"/>
          <w:szCs w:val="22"/>
        </w:rPr>
        <w:t xml:space="preserve">Harv. L. Rev. </w:t>
      </w:r>
      <w:r w:rsidRPr="00473814">
        <w:rPr>
          <w:rFonts w:asciiTheme="majorBidi" w:hAnsiTheme="majorBidi"/>
          <w:sz w:val="22"/>
          <w:szCs w:val="22"/>
        </w:rPr>
        <w:t>1820 (1989)</w:t>
      </w:r>
    </w:p>
  </w:footnote>
  <w:footnote w:id="15">
    <w:p w14:paraId="13C8DD56" w14:textId="01EC3308" w:rsidR="00EB13F4" w:rsidRPr="00473814" w:rsidRDefault="00EB13F4" w:rsidP="00473814">
      <w:pPr>
        <w:pStyle w:val="FootNote"/>
        <w:spacing w:line="276" w:lineRule="auto"/>
        <w:rPr>
          <w:rFonts w:asciiTheme="majorBidi" w:hAnsiTheme="majorBidi" w:cstheme="majorBidi"/>
          <w:sz w:val="22"/>
          <w:szCs w:val="22"/>
        </w:rPr>
      </w:pPr>
      <w:r w:rsidRPr="00473814">
        <w:rPr>
          <w:rStyle w:val="FootnoteReference"/>
          <w:rFonts w:asciiTheme="majorBidi" w:hAnsiTheme="majorBidi" w:cstheme="majorBidi"/>
          <w:sz w:val="22"/>
          <w:szCs w:val="22"/>
        </w:rPr>
        <w:footnoteRef/>
      </w:r>
      <w:r w:rsidRPr="00473814">
        <w:rPr>
          <w:rFonts w:asciiTheme="majorBidi" w:hAnsiTheme="majorBidi" w:cstheme="majorBidi"/>
          <w:sz w:val="22"/>
          <w:szCs w:val="22"/>
        </w:rPr>
        <w:t xml:space="preserve"> </w:t>
      </w:r>
      <w:r w:rsidR="00745943" w:rsidRPr="00473814">
        <w:rPr>
          <w:rFonts w:asciiTheme="majorBidi" w:hAnsiTheme="majorBidi" w:cstheme="majorBidi"/>
          <w:sz w:val="22"/>
          <w:szCs w:val="22"/>
        </w:rPr>
        <w:t xml:space="preserve">For subsequent analysis </w:t>
      </w:r>
      <w:r w:rsidR="00F169A2" w:rsidRPr="00473814">
        <w:rPr>
          <w:rFonts w:asciiTheme="majorBidi" w:hAnsiTheme="majorBidi" w:cstheme="majorBidi"/>
          <w:sz w:val="22"/>
          <w:szCs w:val="22"/>
        </w:rPr>
        <w:t xml:space="preserve">that </w:t>
      </w:r>
      <w:r w:rsidR="00745943" w:rsidRPr="00473814">
        <w:rPr>
          <w:rFonts w:asciiTheme="majorBidi" w:hAnsiTheme="majorBidi" w:cstheme="majorBidi"/>
          <w:sz w:val="22"/>
          <w:szCs w:val="22"/>
        </w:rPr>
        <w:t xml:space="preserve">I did on mid-stream problems, see </w:t>
      </w:r>
      <w:r w:rsidRPr="00473814">
        <w:rPr>
          <w:rFonts w:asciiTheme="majorBidi" w:hAnsiTheme="majorBidi" w:cstheme="majorBidi"/>
          <w:sz w:val="22"/>
          <w:szCs w:val="22"/>
        </w:rPr>
        <w:t xml:space="preserve">Lucian A. Bebchuk &amp; Ehud Kamar, </w:t>
      </w:r>
      <w:r w:rsidRPr="00473814">
        <w:rPr>
          <w:rFonts w:asciiTheme="majorBidi" w:hAnsiTheme="majorBidi" w:cstheme="majorBidi"/>
          <w:iCs/>
          <w:sz w:val="22"/>
          <w:szCs w:val="22"/>
        </w:rPr>
        <w:t>Bundling and Entrenchment</w:t>
      </w:r>
      <w:r w:rsidRPr="00473814">
        <w:rPr>
          <w:rFonts w:asciiTheme="majorBidi" w:hAnsiTheme="majorBidi" w:cstheme="majorBidi"/>
          <w:sz w:val="22"/>
          <w:szCs w:val="22"/>
        </w:rPr>
        <w:t xml:space="preserve">, 123 </w:t>
      </w:r>
      <w:r w:rsidRPr="00473814">
        <w:rPr>
          <w:rFonts w:asciiTheme="majorBidi" w:hAnsiTheme="majorBidi" w:cstheme="majorBidi"/>
          <w:smallCaps/>
          <w:sz w:val="22"/>
          <w:szCs w:val="22"/>
        </w:rPr>
        <w:t>Harv. L. Rev.</w:t>
      </w:r>
      <w:r w:rsidRPr="00473814">
        <w:rPr>
          <w:rFonts w:asciiTheme="majorBidi" w:hAnsiTheme="majorBidi" w:cstheme="majorBidi"/>
          <w:sz w:val="22"/>
          <w:szCs w:val="22"/>
        </w:rPr>
        <w:t xml:space="preserve"> 1551 (2010); and </w:t>
      </w:r>
      <w:r w:rsidR="00635BD4" w:rsidRPr="00473814">
        <w:rPr>
          <w:rFonts w:asciiTheme="majorBidi" w:hAnsiTheme="majorBidi" w:cstheme="majorBidi"/>
          <w:sz w:val="22"/>
          <w:szCs w:val="22"/>
        </w:rPr>
        <w:t xml:space="preserve">Lucian A. Bebchuk &amp; Scott Hirst, Private </w:t>
      </w:r>
      <w:proofErr w:type="gramStart"/>
      <w:r w:rsidR="00635BD4" w:rsidRPr="00473814">
        <w:rPr>
          <w:rFonts w:asciiTheme="majorBidi" w:hAnsiTheme="majorBidi" w:cstheme="majorBidi"/>
          <w:sz w:val="22"/>
          <w:szCs w:val="22"/>
        </w:rPr>
        <w:t>Ordering</w:t>
      </w:r>
      <w:proofErr w:type="gramEnd"/>
      <w:r w:rsidR="00635BD4" w:rsidRPr="00473814">
        <w:rPr>
          <w:rFonts w:asciiTheme="majorBidi" w:hAnsiTheme="majorBidi" w:cstheme="majorBidi"/>
          <w:sz w:val="22"/>
          <w:szCs w:val="22"/>
        </w:rPr>
        <w:t xml:space="preserve"> and the Proxy Access Debate, 65 </w:t>
      </w:r>
      <w:r w:rsidR="00635BD4" w:rsidRPr="00473814">
        <w:rPr>
          <w:rFonts w:asciiTheme="majorBidi" w:hAnsiTheme="majorBidi" w:cstheme="majorBidi"/>
          <w:smallCaps/>
          <w:sz w:val="22"/>
          <w:szCs w:val="22"/>
        </w:rPr>
        <w:t>Bus. Law.</w:t>
      </w:r>
      <w:r w:rsidR="00635BD4" w:rsidRPr="00473814" w:rsidDel="001D30D8">
        <w:rPr>
          <w:rFonts w:asciiTheme="majorBidi" w:hAnsiTheme="majorBidi" w:cstheme="majorBidi"/>
          <w:iCs/>
          <w:sz w:val="22"/>
          <w:szCs w:val="22"/>
        </w:rPr>
        <w:t xml:space="preserve"> </w:t>
      </w:r>
      <w:r w:rsidR="00635BD4" w:rsidRPr="00473814">
        <w:rPr>
          <w:rFonts w:asciiTheme="majorBidi" w:hAnsiTheme="majorBidi" w:cstheme="majorBidi"/>
          <w:sz w:val="22"/>
          <w:szCs w:val="22"/>
        </w:rPr>
        <w:t>329 (2010).</w:t>
      </w:r>
      <w:r w:rsidR="00D765F1" w:rsidRPr="00473814">
        <w:rPr>
          <w:rFonts w:asciiTheme="majorBidi" w:hAnsiTheme="majorBidi" w:cstheme="majorBidi"/>
          <w:sz w:val="22"/>
          <w:szCs w:val="22"/>
        </w:rPr>
        <w:t xml:space="preserve"> </w:t>
      </w:r>
      <w:r w:rsidR="009407ED" w:rsidRPr="00473814">
        <w:rPr>
          <w:rFonts w:asciiTheme="majorBidi" w:hAnsiTheme="majorBidi" w:cstheme="majorBidi"/>
          <w:sz w:val="22"/>
          <w:szCs w:val="22"/>
        </w:rPr>
        <w:t xml:space="preserve">My analysis of how shareholders might be unable to obtain value-enhancing charter amendments opposed by corporate leaders led me to </w:t>
      </w:r>
      <w:r w:rsidR="00356173" w:rsidRPr="00473814">
        <w:rPr>
          <w:rFonts w:asciiTheme="majorBidi" w:hAnsiTheme="majorBidi" w:cstheme="majorBidi"/>
          <w:sz w:val="22"/>
          <w:szCs w:val="22"/>
        </w:rPr>
        <w:t xml:space="preserve">propose </w:t>
      </w:r>
      <w:r w:rsidR="009407ED" w:rsidRPr="00473814">
        <w:rPr>
          <w:rFonts w:asciiTheme="majorBidi" w:hAnsiTheme="majorBidi" w:cstheme="majorBidi"/>
          <w:sz w:val="22"/>
          <w:szCs w:val="22"/>
        </w:rPr>
        <w:t>enabling shareholders to initiate charter amendments</w:t>
      </w:r>
      <w:r w:rsidR="00356173" w:rsidRPr="00473814">
        <w:rPr>
          <w:rFonts w:asciiTheme="majorBidi" w:hAnsiTheme="majorBidi" w:cstheme="majorBidi"/>
          <w:sz w:val="22"/>
          <w:szCs w:val="22"/>
        </w:rPr>
        <w:t xml:space="preserve">, as well as to set corporate law defaults in ways that take these impediments into account. For the articles putting forward these proposals, see </w:t>
      </w:r>
      <w:r w:rsidR="00FB219D" w:rsidRPr="00473814">
        <w:rPr>
          <w:rFonts w:asciiTheme="majorBidi" w:hAnsiTheme="majorBidi" w:cstheme="majorBidi"/>
          <w:sz w:val="22"/>
          <w:szCs w:val="22"/>
        </w:rPr>
        <w:t xml:space="preserve">Bebchuk, </w:t>
      </w:r>
      <w:r w:rsidR="00FB219D" w:rsidRPr="00473814">
        <w:rPr>
          <w:rFonts w:asciiTheme="majorBidi" w:hAnsiTheme="majorBidi" w:cstheme="majorBidi"/>
          <w:iCs/>
          <w:sz w:val="22"/>
          <w:szCs w:val="22"/>
        </w:rPr>
        <w:t>The</w:t>
      </w:r>
      <w:r w:rsidR="00FB219D" w:rsidRPr="00473814">
        <w:rPr>
          <w:rFonts w:asciiTheme="majorBidi" w:hAnsiTheme="majorBidi" w:cstheme="majorBidi"/>
          <w:sz w:val="22"/>
          <w:szCs w:val="22"/>
        </w:rPr>
        <w:t xml:space="preserve"> Case for Increasing </w:t>
      </w:r>
      <w:r w:rsidR="00FB219D" w:rsidRPr="00473814">
        <w:rPr>
          <w:rFonts w:asciiTheme="majorBidi" w:hAnsiTheme="majorBidi" w:cstheme="majorBidi"/>
          <w:iCs/>
          <w:sz w:val="22"/>
          <w:szCs w:val="22"/>
        </w:rPr>
        <w:t>Shareholder</w:t>
      </w:r>
      <w:r w:rsidR="00FB219D" w:rsidRPr="00473814">
        <w:rPr>
          <w:rFonts w:asciiTheme="majorBidi" w:hAnsiTheme="majorBidi" w:cstheme="majorBidi"/>
          <w:sz w:val="22"/>
          <w:szCs w:val="22"/>
        </w:rPr>
        <w:t xml:space="preserve"> Power</w:t>
      </w:r>
      <w:r w:rsidR="00553DE6" w:rsidRPr="00473814">
        <w:rPr>
          <w:rFonts w:asciiTheme="majorBidi" w:hAnsiTheme="majorBidi" w:cstheme="majorBidi"/>
          <w:sz w:val="22"/>
          <w:szCs w:val="22"/>
        </w:rPr>
        <w:t xml:space="preserve">, </w:t>
      </w:r>
      <w:r w:rsidR="00043DDA" w:rsidRPr="00473814">
        <w:rPr>
          <w:rFonts w:asciiTheme="majorBidi" w:hAnsiTheme="majorBidi" w:cstheme="majorBidi"/>
          <w:sz w:val="22"/>
          <w:szCs w:val="22"/>
        </w:rPr>
        <w:t xml:space="preserve">118 </w:t>
      </w:r>
      <w:r w:rsidR="00043DDA" w:rsidRPr="00473814">
        <w:rPr>
          <w:rFonts w:asciiTheme="majorBidi" w:hAnsiTheme="majorBidi" w:cstheme="majorBidi"/>
          <w:i/>
          <w:iCs/>
          <w:sz w:val="22"/>
          <w:szCs w:val="22"/>
        </w:rPr>
        <w:t>Harvard Law Review 833 (</w:t>
      </w:r>
      <w:r w:rsidR="00043DDA" w:rsidRPr="00473814">
        <w:rPr>
          <w:rFonts w:asciiTheme="majorBidi" w:hAnsiTheme="majorBidi" w:cstheme="majorBidi"/>
          <w:sz w:val="22"/>
          <w:szCs w:val="22"/>
        </w:rPr>
        <w:t xml:space="preserve">2005); </w:t>
      </w:r>
      <w:r w:rsidR="00FB219D" w:rsidRPr="00473814">
        <w:rPr>
          <w:rFonts w:asciiTheme="majorBidi" w:hAnsiTheme="majorBidi" w:cstheme="majorBidi"/>
          <w:sz w:val="22"/>
          <w:szCs w:val="22"/>
        </w:rPr>
        <w:t xml:space="preserve">Lucian Arye Bebchuk &amp; Assaf Hamdani, </w:t>
      </w:r>
      <w:r w:rsidR="00FB219D" w:rsidRPr="00473814">
        <w:rPr>
          <w:rFonts w:asciiTheme="majorBidi" w:hAnsiTheme="majorBidi" w:cstheme="majorBidi"/>
          <w:iCs/>
          <w:sz w:val="22"/>
          <w:szCs w:val="22"/>
        </w:rPr>
        <w:t>Optimal Defaults for Corporate Law Evolution</w:t>
      </w:r>
      <w:r w:rsidR="00FB219D" w:rsidRPr="00473814">
        <w:rPr>
          <w:rFonts w:asciiTheme="majorBidi" w:hAnsiTheme="majorBidi" w:cstheme="majorBidi"/>
          <w:sz w:val="22"/>
          <w:szCs w:val="22"/>
        </w:rPr>
        <w:t xml:space="preserve">, 96 </w:t>
      </w:r>
      <w:r w:rsidR="00FB219D" w:rsidRPr="00473814">
        <w:rPr>
          <w:rFonts w:asciiTheme="majorBidi" w:hAnsiTheme="majorBidi" w:cstheme="majorBidi"/>
          <w:smallCaps/>
          <w:sz w:val="22"/>
          <w:szCs w:val="22"/>
        </w:rPr>
        <w:t>Nw. U. L. Rev.</w:t>
      </w:r>
      <w:r w:rsidR="00FB219D" w:rsidRPr="00473814">
        <w:rPr>
          <w:rFonts w:asciiTheme="majorBidi" w:hAnsiTheme="majorBidi" w:cstheme="majorBidi"/>
          <w:sz w:val="22"/>
          <w:szCs w:val="22"/>
        </w:rPr>
        <w:t xml:space="preserve"> 489 (2002).</w:t>
      </w:r>
    </w:p>
  </w:footnote>
  <w:footnote w:id="16">
    <w:p w14:paraId="248DFA2C" w14:textId="0B2468BE" w:rsidR="00933BFD" w:rsidRPr="00473814" w:rsidRDefault="00933BFD" w:rsidP="00473814">
      <w:pPr>
        <w:pStyle w:val="FootNote"/>
        <w:spacing w:line="276" w:lineRule="auto"/>
        <w:rPr>
          <w:rFonts w:asciiTheme="majorBidi" w:hAnsiTheme="majorBidi" w:cstheme="majorBidi"/>
          <w:sz w:val="22"/>
          <w:szCs w:val="22"/>
        </w:rPr>
      </w:pPr>
      <w:r w:rsidRPr="00473814">
        <w:rPr>
          <w:rStyle w:val="NoteRefInNote"/>
          <w:rFonts w:asciiTheme="majorBidi" w:hAnsiTheme="majorBidi" w:cstheme="majorBidi"/>
          <w:sz w:val="22"/>
          <w:szCs w:val="22"/>
        </w:rPr>
        <w:footnoteRef/>
      </w:r>
      <w:r w:rsidRPr="00473814">
        <w:rPr>
          <w:rFonts w:asciiTheme="majorBidi" w:hAnsiTheme="majorBidi" w:cstheme="majorBidi"/>
          <w:sz w:val="22"/>
          <w:szCs w:val="22"/>
        </w:rPr>
        <w:tab/>
        <w:t xml:space="preserve"> </w:t>
      </w:r>
      <w:r w:rsidR="00321509" w:rsidRPr="00473814">
        <w:rPr>
          <w:rFonts w:asciiTheme="majorBidi" w:hAnsiTheme="majorBidi" w:cstheme="majorBidi"/>
          <w:sz w:val="22"/>
          <w:szCs w:val="22"/>
        </w:rPr>
        <w:t>S</w:t>
      </w:r>
      <w:r w:rsidRPr="00473814">
        <w:rPr>
          <w:rFonts w:asciiTheme="majorBidi" w:hAnsiTheme="majorBidi" w:cstheme="majorBidi"/>
          <w:iCs/>
          <w:sz w:val="22"/>
          <w:szCs w:val="22"/>
        </w:rPr>
        <w:t xml:space="preserve">ee </w:t>
      </w:r>
      <w:r w:rsidR="00321509" w:rsidRPr="00473814">
        <w:rPr>
          <w:rFonts w:asciiTheme="majorBidi" w:hAnsiTheme="majorBidi" w:cstheme="majorBidi"/>
          <w:iCs/>
          <w:sz w:val="22"/>
          <w:szCs w:val="22"/>
        </w:rPr>
        <w:t xml:space="preserve">generally </w:t>
      </w:r>
      <w:r w:rsidRPr="00473814">
        <w:rPr>
          <w:rFonts w:asciiTheme="majorBidi" w:hAnsiTheme="majorBidi" w:cstheme="majorBidi"/>
          <w:sz w:val="22"/>
          <w:szCs w:val="22"/>
        </w:rPr>
        <w:t xml:space="preserve">Lucian Arye Bebchuk, </w:t>
      </w:r>
      <w:r w:rsidRPr="00473814">
        <w:rPr>
          <w:rFonts w:asciiTheme="majorBidi" w:hAnsiTheme="majorBidi" w:cstheme="majorBidi"/>
          <w:iCs/>
          <w:sz w:val="22"/>
          <w:szCs w:val="22"/>
        </w:rPr>
        <w:t>The Debate on Contractual Freedom in Corporate Law</w:t>
      </w:r>
      <w:r w:rsidRPr="00473814">
        <w:rPr>
          <w:rFonts w:asciiTheme="majorBidi" w:hAnsiTheme="majorBidi" w:cstheme="majorBidi"/>
          <w:sz w:val="22"/>
          <w:szCs w:val="22"/>
        </w:rPr>
        <w:t xml:space="preserve">, 89 </w:t>
      </w:r>
      <w:r w:rsidRPr="00473814">
        <w:rPr>
          <w:rFonts w:asciiTheme="majorBidi" w:hAnsiTheme="majorBidi" w:cstheme="majorBidi"/>
          <w:smallCaps/>
          <w:sz w:val="22"/>
          <w:szCs w:val="22"/>
        </w:rPr>
        <w:t>Colum. L. Rev.</w:t>
      </w:r>
      <w:r w:rsidRPr="00473814">
        <w:rPr>
          <w:rFonts w:asciiTheme="majorBidi" w:hAnsiTheme="majorBidi" w:cstheme="majorBidi"/>
          <w:sz w:val="22"/>
          <w:szCs w:val="22"/>
        </w:rPr>
        <w:t xml:space="preserve"> 1395, (1989); Lucian Arye Bebchuk, Asymmetric Information and the Choice of Corporate Governance Arrangements, Harvard Law School Olin Paper No. 398 (2002), at https://papers.ssrn.com/abstract=327842.</w:t>
      </w:r>
    </w:p>
  </w:footnote>
  <w:footnote w:id="17">
    <w:p w14:paraId="355A9DAD" w14:textId="658C3E0A" w:rsidR="00D24F80" w:rsidRPr="00473814" w:rsidRDefault="00D24F80" w:rsidP="00473814">
      <w:pPr>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700F99" w:rsidRPr="00473814">
        <w:rPr>
          <w:rFonts w:asciiTheme="majorBidi" w:hAnsiTheme="majorBidi"/>
          <w:sz w:val="22"/>
          <w:szCs w:val="22"/>
        </w:rPr>
        <w:t xml:space="preserve">See </w:t>
      </w:r>
      <w:r w:rsidRPr="00473814">
        <w:rPr>
          <w:rFonts w:asciiTheme="majorBidi" w:hAnsiTheme="majorBidi"/>
          <w:sz w:val="22"/>
          <w:szCs w:val="22"/>
        </w:rPr>
        <w:t xml:space="preserve">Lucian Arye Bebchuk, </w:t>
      </w:r>
      <w:r w:rsidRPr="00473814">
        <w:rPr>
          <w:rFonts w:asciiTheme="majorBidi" w:hAnsiTheme="majorBidi"/>
          <w:iCs/>
          <w:sz w:val="22"/>
          <w:szCs w:val="22"/>
        </w:rPr>
        <w:t>Why Firms Adopt Antitakeover Arrangements</w:t>
      </w:r>
      <w:r w:rsidRPr="00473814">
        <w:rPr>
          <w:rFonts w:asciiTheme="majorBidi" w:hAnsiTheme="majorBidi"/>
          <w:sz w:val="22"/>
          <w:szCs w:val="22"/>
        </w:rPr>
        <w:t xml:space="preserve">, 152 </w:t>
      </w:r>
      <w:r w:rsidRPr="00473814">
        <w:rPr>
          <w:rFonts w:asciiTheme="majorBidi" w:hAnsiTheme="majorBidi"/>
          <w:smallCaps/>
          <w:sz w:val="22"/>
          <w:szCs w:val="22"/>
        </w:rPr>
        <w:t>U. Pa. L. Rev.</w:t>
      </w:r>
      <w:r w:rsidRPr="00473814">
        <w:rPr>
          <w:rFonts w:asciiTheme="majorBidi" w:hAnsiTheme="majorBidi"/>
          <w:sz w:val="22"/>
          <w:szCs w:val="22"/>
        </w:rPr>
        <w:t xml:space="preserve"> 713 (2003); </w:t>
      </w:r>
      <w:r w:rsidR="00700F99" w:rsidRPr="00473814">
        <w:rPr>
          <w:rFonts w:asciiTheme="majorBidi" w:hAnsiTheme="majorBidi"/>
          <w:color w:val="000000"/>
          <w:sz w:val="22"/>
          <w:szCs w:val="22"/>
        </w:rPr>
        <w:t xml:space="preserve">Lucian A. Bebchuk and Kobi Kastiel, “The Untenable Case for Perpetual Dual-Class Stock,” 101 </w:t>
      </w:r>
      <w:r w:rsidR="00700F99" w:rsidRPr="00473814">
        <w:rPr>
          <w:rFonts w:asciiTheme="majorBidi" w:hAnsiTheme="majorBidi"/>
          <w:i/>
          <w:iCs/>
          <w:color w:val="000000"/>
          <w:sz w:val="22"/>
          <w:szCs w:val="22"/>
        </w:rPr>
        <w:t xml:space="preserve">Virginia Law Review </w:t>
      </w:r>
      <w:r w:rsidR="00700F99" w:rsidRPr="00473814">
        <w:rPr>
          <w:rFonts w:asciiTheme="majorBidi" w:hAnsiTheme="majorBidi"/>
          <w:color w:val="000000"/>
          <w:sz w:val="22"/>
          <w:szCs w:val="22"/>
        </w:rPr>
        <w:t>585 (2017).</w:t>
      </w:r>
    </w:p>
  </w:footnote>
  <w:footnote w:id="18">
    <w:p w14:paraId="4454A510" w14:textId="03F96D9D" w:rsidR="00FB37B3" w:rsidRPr="00473814" w:rsidRDefault="00FB37B3"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See </w:t>
      </w:r>
      <w:r w:rsidR="001D711D" w:rsidRPr="00473814">
        <w:rPr>
          <w:rFonts w:asciiTheme="majorBidi" w:hAnsiTheme="majorBidi"/>
          <w:sz w:val="22"/>
          <w:szCs w:val="22"/>
        </w:rPr>
        <w:t xml:space="preserve">Easterbrook and Fischel, supra note </w:t>
      </w:r>
      <w:proofErr w:type="gramStart"/>
      <w:r w:rsidR="001D711D" w:rsidRPr="00473814">
        <w:rPr>
          <w:rFonts w:asciiTheme="majorBidi" w:hAnsiTheme="majorBidi"/>
          <w:sz w:val="22"/>
          <w:szCs w:val="22"/>
        </w:rPr>
        <w:t>1</w:t>
      </w:r>
      <w:proofErr w:type="gramEnd"/>
      <w:r w:rsidR="001D711D" w:rsidRPr="00473814">
        <w:rPr>
          <w:rFonts w:asciiTheme="majorBidi" w:hAnsiTheme="majorBidi"/>
          <w:sz w:val="22"/>
          <w:szCs w:val="22"/>
        </w:rPr>
        <w:t xml:space="preserve">, chapter </w:t>
      </w:r>
      <w:r w:rsidR="009273C6" w:rsidRPr="00473814">
        <w:rPr>
          <w:rFonts w:asciiTheme="majorBidi" w:hAnsiTheme="majorBidi"/>
          <w:sz w:val="22"/>
          <w:szCs w:val="22"/>
        </w:rPr>
        <w:t xml:space="preserve">8. </w:t>
      </w:r>
      <w:r w:rsidR="001D711D" w:rsidRPr="00473814">
        <w:rPr>
          <w:rFonts w:asciiTheme="majorBidi" w:hAnsiTheme="majorBidi"/>
          <w:sz w:val="22"/>
          <w:szCs w:val="22"/>
        </w:rPr>
        <w:t xml:space="preserve">Their analysis built on the earlier work by </w:t>
      </w:r>
      <w:r w:rsidR="00B35A6E" w:rsidRPr="00473814">
        <w:rPr>
          <w:rFonts w:asciiTheme="majorBidi" w:hAnsiTheme="majorBidi"/>
          <w:sz w:val="22"/>
          <w:szCs w:val="22"/>
        </w:rPr>
        <w:t xml:space="preserve">Ralph </w:t>
      </w:r>
      <w:r w:rsidR="001D711D" w:rsidRPr="00473814">
        <w:rPr>
          <w:rFonts w:asciiTheme="majorBidi" w:hAnsiTheme="majorBidi"/>
          <w:sz w:val="22"/>
          <w:szCs w:val="22"/>
        </w:rPr>
        <w:t xml:space="preserve">Winter, </w:t>
      </w:r>
      <w:r w:rsidR="00B35A6E" w:rsidRPr="00473814">
        <w:rPr>
          <w:rStyle w:val="Emphasis"/>
          <w:rFonts w:asciiTheme="majorBidi" w:hAnsiTheme="majorBidi"/>
          <w:b/>
          <w:bCs/>
          <w:i w:val="0"/>
          <w:iCs w:val="0"/>
          <w:color w:val="5F6368"/>
          <w:sz w:val="22"/>
          <w:szCs w:val="22"/>
          <w:shd w:val="clear" w:color="auto" w:fill="FFFFFF"/>
        </w:rPr>
        <w:t>State</w:t>
      </w:r>
      <w:r w:rsidR="00B35A6E" w:rsidRPr="00473814">
        <w:rPr>
          <w:rFonts w:asciiTheme="majorBidi" w:hAnsiTheme="majorBidi"/>
          <w:color w:val="4D5156"/>
          <w:sz w:val="22"/>
          <w:szCs w:val="22"/>
          <w:shd w:val="clear" w:color="auto" w:fill="FFFFFF"/>
        </w:rPr>
        <w:t xml:space="preserve"> Law, Shareholder Protection, and the Theory of the Corporation. Journal of Legal Studies (1977), who </w:t>
      </w:r>
      <w:r w:rsidR="001D711D" w:rsidRPr="00473814">
        <w:rPr>
          <w:rFonts w:asciiTheme="majorBidi" w:hAnsiTheme="majorBidi"/>
          <w:sz w:val="22"/>
          <w:szCs w:val="22"/>
        </w:rPr>
        <w:t xml:space="preserve">argued that </w:t>
      </w:r>
      <w:r w:rsidR="00C63143" w:rsidRPr="00473814">
        <w:rPr>
          <w:rFonts w:asciiTheme="majorBidi" w:hAnsiTheme="majorBidi"/>
          <w:sz w:val="22"/>
          <w:szCs w:val="22"/>
        </w:rPr>
        <w:t>state competition</w:t>
      </w:r>
      <w:r w:rsidR="00B35A6E" w:rsidRPr="00473814">
        <w:rPr>
          <w:rFonts w:asciiTheme="majorBidi" w:hAnsiTheme="majorBidi"/>
          <w:sz w:val="22"/>
          <w:szCs w:val="22"/>
        </w:rPr>
        <w:t xml:space="preserve"> </w:t>
      </w:r>
      <w:proofErr w:type="gramStart"/>
      <w:r w:rsidR="00B35A6E" w:rsidRPr="00473814">
        <w:rPr>
          <w:rFonts w:asciiTheme="majorBidi" w:hAnsiTheme="majorBidi"/>
          <w:sz w:val="22"/>
          <w:szCs w:val="22"/>
        </w:rPr>
        <w:t>largely represented</w:t>
      </w:r>
      <w:proofErr w:type="gramEnd"/>
      <w:r w:rsidR="00B35A6E" w:rsidRPr="00473814">
        <w:rPr>
          <w:rFonts w:asciiTheme="majorBidi" w:hAnsiTheme="majorBidi"/>
          <w:sz w:val="22"/>
          <w:szCs w:val="22"/>
        </w:rPr>
        <w:t xml:space="preserve"> a “race to the top.” </w:t>
      </w:r>
      <w:r w:rsidR="00415B1E" w:rsidRPr="00473814">
        <w:rPr>
          <w:rFonts w:asciiTheme="majorBidi" w:hAnsiTheme="majorBidi"/>
          <w:sz w:val="22"/>
          <w:szCs w:val="22"/>
        </w:rPr>
        <w:t xml:space="preserve">Roberto Romano also made significant contributions to view that competition among states </w:t>
      </w:r>
      <w:r w:rsidR="00574E07">
        <w:rPr>
          <w:rFonts w:asciiTheme="majorBidi" w:hAnsiTheme="majorBidi"/>
          <w:sz w:val="22"/>
          <w:szCs w:val="22"/>
        </w:rPr>
        <w:t xml:space="preserve">incentivizes the adoption of </w:t>
      </w:r>
      <w:r w:rsidR="00415B1E" w:rsidRPr="00473814">
        <w:rPr>
          <w:rFonts w:asciiTheme="majorBidi" w:hAnsiTheme="majorBidi"/>
          <w:sz w:val="22"/>
          <w:szCs w:val="22"/>
        </w:rPr>
        <w:t xml:space="preserve">value-enhancing </w:t>
      </w:r>
      <w:r w:rsidR="00574E07">
        <w:rPr>
          <w:rFonts w:asciiTheme="majorBidi" w:hAnsiTheme="majorBidi"/>
          <w:sz w:val="22"/>
          <w:szCs w:val="22"/>
        </w:rPr>
        <w:t xml:space="preserve">rules. </w:t>
      </w:r>
      <w:r w:rsidR="009E005F" w:rsidRPr="00473814">
        <w:rPr>
          <w:rFonts w:asciiTheme="majorBidi" w:hAnsiTheme="majorBidi"/>
          <w:sz w:val="22"/>
          <w:szCs w:val="22"/>
        </w:rPr>
        <w:t xml:space="preserve">See, e.g., </w:t>
      </w:r>
      <w:r w:rsidR="00574E07">
        <w:rPr>
          <w:rFonts w:asciiTheme="majorBidi" w:hAnsiTheme="majorBidi"/>
          <w:sz w:val="22"/>
          <w:szCs w:val="22"/>
        </w:rPr>
        <w:t xml:space="preserve">Roberta </w:t>
      </w:r>
      <w:r w:rsidR="009E005F" w:rsidRPr="00473814">
        <w:rPr>
          <w:rFonts w:asciiTheme="majorBidi" w:hAnsiTheme="majorBidi"/>
          <w:sz w:val="22"/>
          <w:szCs w:val="22"/>
        </w:rPr>
        <w:t xml:space="preserve">Romano, the Genuis of American </w:t>
      </w:r>
      <w:r w:rsidR="00C903A6" w:rsidRPr="00473814">
        <w:rPr>
          <w:rFonts w:asciiTheme="majorBidi" w:hAnsiTheme="majorBidi"/>
          <w:sz w:val="22"/>
          <w:szCs w:val="22"/>
        </w:rPr>
        <w:t xml:space="preserve">Corporate </w:t>
      </w:r>
      <w:r w:rsidR="009E005F" w:rsidRPr="00473814">
        <w:rPr>
          <w:rFonts w:asciiTheme="majorBidi" w:hAnsiTheme="majorBidi"/>
          <w:sz w:val="22"/>
          <w:szCs w:val="22"/>
        </w:rPr>
        <w:t>Law</w:t>
      </w:r>
      <w:r w:rsidR="00C903A6" w:rsidRPr="00473814">
        <w:rPr>
          <w:rFonts w:asciiTheme="majorBidi" w:hAnsiTheme="majorBidi"/>
          <w:sz w:val="22"/>
          <w:szCs w:val="22"/>
        </w:rPr>
        <w:t xml:space="preserve"> (1993)</w:t>
      </w:r>
      <w:proofErr w:type="gramStart"/>
      <w:r w:rsidR="00C903A6" w:rsidRPr="00473814">
        <w:rPr>
          <w:rFonts w:asciiTheme="majorBidi" w:hAnsiTheme="majorBidi"/>
          <w:sz w:val="22"/>
          <w:szCs w:val="22"/>
        </w:rPr>
        <w:t xml:space="preserve">. </w:t>
      </w:r>
      <w:r w:rsidR="009E005F" w:rsidRPr="00473814">
        <w:rPr>
          <w:rFonts w:asciiTheme="majorBidi" w:hAnsiTheme="majorBidi"/>
          <w:sz w:val="22"/>
          <w:szCs w:val="22"/>
        </w:rPr>
        <w:t xml:space="preserve"> </w:t>
      </w:r>
      <w:proofErr w:type="gramEnd"/>
      <w:r w:rsidR="00415B1E" w:rsidRPr="00473814">
        <w:rPr>
          <w:rFonts w:asciiTheme="majorBidi" w:hAnsiTheme="majorBidi"/>
          <w:sz w:val="22"/>
          <w:szCs w:val="22"/>
        </w:rPr>
        <w:t xml:space="preserve"> </w:t>
      </w:r>
    </w:p>
  </w:footnote>
  <w:footnote w:id="19">
    <w:p w14:paraId="77DEE65B" w14:textId="6362DE8E" w:rsidR="00B859DD" w:rsidRPr="00473814" w:rsidRDefault="00B859DD" w:rsidP="00473814">
      <w:pPr>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6B1C83" w:rsidRPr="00473814">
        <w:rPr>
          <w:rFonts w:asciiTheme="majorBidi" w:hAnsiTheme="majorBidi"/>
          <w:sz w:val="22"/>
          <w:szCs w:val="22"/>
        </w:rPr>
        <w:t>S</w:t>
      </w:r>
      <w:r w:rsidR="00015AA7" w:rsidRPr="00473814">
        <w:rPr>
          <w:rFonts w:asciiTheme="majorBidi" w:hAnsiTheme="majorBidi"/>
          <w:iCs/>
          <w:sz w:val="22"/>
          <w:szCs w:val="22"/>
        </w:rPr>
        <w:t>ee generally</w:t>
      </w:r>
      <w:r w:rsidR="00015AA7" w:rsidRPr="00473814">
        <w:rPr>
          <w:rFonts w:asciiTheme="majorBidi" w:hAnsiTheme="majorBidi"/>
          <w:sz w:val="22"/>
          <w:szCs w:val="22"/>
        </w:rPr>
        <w:t xml:space="preserve"> Lucian Arye Bebchuk, </w:t>
      </w:r>
      <w:r w:rsidR="00015AA7" w:rsidRPr="00473814">
        <w:rPr>
          <w:rFonts w:asciiTheme="majorBidi" w:hAnsiTheme="majorBidi"/>
          <w:iCs/>
          <w:sz w:val="22"/>
          <w:szCs w:val="22"/>
        </w:rPr>
        <w:t>Federalism and the Corporation: The Desirable Limits on State Competition in Corporate Law</w:t>
      </w:r>
      <w:r w:rsidR="00015AA7" w:rsidRPr="00473814">
        <w:rPr>
          <w:rFonts w:asciiTheme="majorBidi" w:hAnsiTheme="majorBidi"/>
          <w:sz w:val="22"/>
          <w:szCs w:val="22"/>
        </w:rPr>
        <w:t xml:space="preserve">, 105 </w:t>
      </w:r>
      <w:r w:rsidR="00015AA7" w:rsidRPr="00473814">
        <w:rPr>
          <w:rFonts w:asciiTheme="majorBidi" w:hAnsiTheme="majorBidi"/>
          <w:smallCaps/>
          <w:sz w:val="22"/>
          <w:szCs w:val="22"/>
        </w:rPr>
        <w:t>Harv. L. Rev</w:t>
      </w:r>
      <w:r w:rsidR="00015AA7" w:rsidRPr="00473814">
        <w:rPr>
          <w:rFonts w:asciiTheme="majorBidi" w:hAnsiTheme="majorBidi"/>
          <w:sz w:val="22"/>
          <w:szCs w:val="22"/>
        </w:rPr>
        <w:t xml:space="preserve">. 1435 (1992); Lucian Arye Bebchuk &amp; Assaf Hamdani, Vigorous Race or Leisurely Walk: Reconsidering the Competition Over Corporate Charters, 112 </w:t>
      </w:r>
      <w:r w:rsidR="00015AA7" w:rsidRPr="00473814">
        <w:rPr>
          <w:rFonts w:asciiTheme="majorBidi" w:hAnsiTheme="majorBidi"/>
          <w:smallCaps/>
          <w:sz w:val="22"/>
          <w:szCs w:val="22"/>
        </w:rPr>
        <w:t>Yale L.J.</w:t>
      </w:r>
      <w:r w:rsidR="00015AA7" w:rsidRPr="00473814">
        <w:rPr>
          <w:rFonts w:asciiTheme="majorBidi" w:hAnsiTheme="majorBidi"/>
          <w:sz w:val="22"/>
          <w:szCs w:val="22"/>
        </w:rPr>
        <w:t xml:space="preserve"> 553 (2002) [hereinafter Vigorous Race or Leisurely Walk]; and Oren Bar-Gill, Michal Barzuza &amp; Lucian Bebchuk, </w:t>
      </w:r>
      <w:r w:rsidR="00015AA7" w:rsidRPr="00473814">
        <w:rPr>
          <w:rFonts w:asciiTheme="majorBidi" w:hAnsiTheme="majorBidi"/>
          <w:iCs/>
          <w:sz w:val="22"/>
          <w:szCs w:val="22"/>
        </w:rPr>
        <w:t>The Market for Corporate Law</w:t>
      </w:r>
      <w:r w:rsidR="00015AA7" w:rsidRPr="00473814">
        <w:rPr>
          <w:rFonts w:asciiTheme="majorBidi" w:hAnsiTheme="majorBidi"/>
          <w:sz w:val="22"/>
          <w:szCs w:val="22"/>
        </w:rPr>
        <w:t xml:space="preserve">, 162 </w:t>
      </w:r>
      <w:r w:rsidR="00015AA7" w:rsidRPr="00473814">
        <w:rPr>
          <w:rFonts w:asciiTheme="majorBidi" w:hAnsiTheme="majorBidi"/>
          <w:iCs/>
          <w:smallCaps/>
          <w:sz w:val="22"/>
          <w:szCs w:val="22"/>
        </w:rPr>
        <w:t>J. Inst. &amp; Theoretical Econ.</w:t>
      </w:r>
      <w:r w:rsidR="00015AA7" w:rsidRPr="00473814">
        <w:rPr>
          <w:rFonts w:asciiTheme="majorBidi" w:hAnsiTheme="majorBidi"/>
          <w:sz w:val="22"/>
          <w:szCs w:val="22"/>
        </w:rPr>
        <w:t xml:space="preserve"> 134 (2006).</w:t>
      </w:r>
      <w:r w:rsidR="005B3ABA" w:rsidRPr="00473814">
        <w:rPr>
          <w:rFonts w:asciiTheme="majorBidi" w:hAnsiTheme="majorBidi"/>
          <w:sz w:val="22"/>
          <w:szCs w:val="22"/>
        </w:rPr>
        <w:t xml:space="preserve"> </w:t>
      </w:r>
    </w:p>
  </w:footnote>
  <w:footnote w:id="20">
    <w:p w14:paraId="7B265AAA" w14:textId="6E4195DD" w:rsidR="00276A7F" w:rsidRPr="00473814" w:rsidRDefault="00276A7F"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0043685C" w:rsidRPr="00473814">
        <w:rPr>
          <w:rFonts w:asciiTheme="majorBidi" w:hAnsiTheme="majorBidi"/>
          <w:sz w:val="22"/>
          <w:szCs w:val="22"/>
        </w:rPr>
        <w:t xml:space="preserve"> </w:t>
      </w:r>
      <w:r w:rsidR="00AC7D6B" w:rsidRPr="00473814">
        <w:rPr>
          <w:rFonts w:asciiTheme="majorBidi" w:hAnsiTheme="majorBidi"/>
          <w:sz w:val="22"/>
          <w:szCs w:val="22"/>
        </w:rPr>
        <w:t>S</w:t>
      </w:r>
      <w:r w:rsidR="00AC7D6B" w:rsidRPr="00473814" w:rsidDel="008A4D1E">
        <w:rPr>
          <w:rFonts w:asciiTheme="majorBidi" w:hAnsiTheme="majorBidi"/>
          <w:iCs/>
          <w:sz w:val="22"/>
          <w:szCs w:val="22"/>
        </w:rPr>
        <w:t>ee generally</w:t>
      </w:r>
      <w:r w:rsidR="00AC7D6B" w:rsidRPr="00473814">
        <w:rPr>
          <w:rFonts w:asciiTheme="majorBidi" w:hAnsiTheme="majorBidi"/>
          <w:sz w:val="22"/>
          <w:szCs w:val="22"/>
        </w:rPr>
        <w:t xml:space="preserve"> Lucian Arye Bebchuk &amp; Alma Cohen, </w:t>
      </w:r>
      <w:r w:rsidR="00AC7D6B" w:rsidRPr="00473814">
        <w:rPr>
          <w:rFonts w:asciiTheme="majorBidi" w:hAnsiTheme="majorBidi"/>
          <w:iCs/>
          <w:sz w:val="22"/>
          <w:szCs w:val="22"/>
        </w:rPr>
        <w:t>Firms’ Decisions Where to Incorporate</w:t>
      </w:r>
      <w:r w:rsidR="00AC7D6B" w:rsidRPr="00473814">
        <w:rPr>
          <w:rFonts w:asciiTheme="majorBidi" w:hAnsiTheme="majorBidi"/>
          <w:sz w:val="22"/>
          <w:szCs w:val="22"/>
        </w:rPr>
        <w:t xml:space="preserve">, 46 </w:t>
      </w:r>
      <w:r w:rsidR="00AC7D6B" w:rsidRPr="00473814">
        <w:rPr>
          <w:rFonts w:asciiTheme="majorBidi" w:hAnsiTheme="majorBidi"/>
          <w:smallCaps/>
          <w:sz w:val="22"/>
          <w:szCs w:val="22"/>
        </w:rPr>
        <w:t>J.L. &amp; Econ</w:t>
      </w:r>
      <w:r w:rsidR="00AC7D6B" w:rsidRPr="00473814">
        <w:rPr>
          <w:rFonts w:asciiTheme="majorBidi" w:hAnsiTheme="majorBidi"/>
          <w:sz w:val="22"/>
          <w:szCs w:val="22"/>
        </w:rPr>
        <w:t xml:space="preserve">. 383 (2003). For a critical examination of prior empirical work that purported to show the efficiency of state competition, </w:t>
      </w:r>
      <w:r w:rsidR="00AC7D6B" w:rsidRPr="00473814">
        <w:rPr>
          <w:rFonts w:asciiTheme="majorBidi" w:hAnsiTheme="majorBidi"/>
          <w:iCs/>
          <w:sz w:val="22"/>
          <w:szCs w:val="22"/>
        </w:rPr>
        <w:t>see generally</w:t>
      </w:r>
      <w:r w:rsidR="00AC7D6B" w:rsidRPr="00473814">
        <w:rPr>
          <w:rFonts w:asciiTheme="majorBidi" w:hAnsiTheme="majorBidi"/>
          <w:sz w:val="22"/>
          <w:szCs w:val="22"/>
        </w:rPr>
        <w:t xml:space="preserve"> Lucian Bebchuk, Alma Cohen &amp; Allen Ferrell, </w:t>
      </w:r>
      <w:r w:rsidR="00AC7D6B" w:rsidRPr="00473814">
        <w:rPr>
          <w:rFonts w:asciiTheme="majorBidi" w:hAnsiTheme="majorBidi"/>
          <w:iCs/>
          <w:sz w:val="22"/>
          <w:szCs w:val="22"/>
        </w:rPr>
        <w:t xml:space="preserve">Does the Evidence Favor State Competition in Corporate </w:t>
      </w:r>
      <w:proofErr w:type="gramStart"/>
      <w:r w:rsidR="00AC7D6B" w:rsidRPr="00473814">
        <w:rPr>
          <w:rFonts w:asciiTheme="majorBidi" w:hAnsiTheme="majorBidi"/>
          <w:iCs/>
          <w:sz w:val="22"/>
          <w:szCs w:val="22"/>
        </w:rPr>
        <w:t>Law?</w:t>
      </w:r>
      <w:r w:rsidR="00AC7D6B" w:rsidRPr="00473814">
        <w:rPr>
          <w:rFonts w:asciiTheme="majorBidi" w:hAnsiTheme="majorBidi"/>
          <w:sz w:val="22"/>
          <w:szCs w:val="22"/>
        </w:rPr>
        <w:t>,</w:t>
      </w:r>
      <w:proofErr w:type="gramEnd"/>
      <w:r w:rsidR="00AC7D6B" w:rsidRPr="00473814">
        <w:rPr>
          <w:rFonts w:asciiTheme="majorBidi" w:hAnsiTheme="majorBidi"/>
          <w:sz w:val="22"/>
          <w:szCs w:val="22"/>
        </w:rPr>
        <w:t xml:space="preserve"> 90 </w:t>
      </w:r>
      <w:r w:rsidR="00AC7D6B" w:rsidRPr="00473814">
        <w:rPr>
          <w:rFonts w:asciiTheme="majorBidi" w:hAnsiTheme="majorBidi"/>
          <w:smallCaps/>
          <w:sz w:val="22"/>
          <w:szCs w:val="22"/>
        </w:rPr>
        <w:t>Calif. L. Rev.</w:t>
      </w:r>
      <w:r w:rsidR="00AC7D6B" w:rsidRPr="00473814">
        <w:rPr>
          <w:rFonts w:asciiTheme="majorBidi" w:hAnsiTheme="majorBidi"/>
          <w:sz w:val="22"/>
          <w:szCs w:val="22"/>
        </w:rPr>
        <w:t xml:space="preserve"> 1775 (2002).</w:t>
      </w:r>
      <w:r w:rsidRPr="00473814">
        <w:rPr>
          <w:rFonts w:asciiTheme="majorBidi" w:hAnsiTheme="majorBidi"/>
          <w:sz w:val="22"/>
          <w:szCs w:val="22"/>
        </w:rPr>
        <w:t xml:space="preserve"> </w:t>
      </w:r>
    </w:p>
  </w:footnote>
  <w:footnote w:id="21">
    <w:p w14:paraId="456AEB9E" w14:textId="40A43716" w:rsidR="00276A7F" w:rsidRPr="00473814" w:rsidRDefault="00276A7F"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0043685C" w:rsidRPr="00473814">
        <w:rPr>
          <w:rFonts w:asciiTheme="majorBidi" w:hAnsiTheme="majorBidi"/>
          <w:sz w:val="22"/>
          <w:szCs w:val="22"/>
        </w:rPr>
        <w:t xml:space="preserve"> </w:t>
      </w:r>
      <w:r w:rsidR="00015AA7" w:rsidRPr="00473814">
        <w:rPr>
          <w:rFonts w:asciiTheme="majorBidi" w:hAnsiTheme="majorBidi"/>
          <w:sz w:val="22"/>
          <w:szCs w:val="22"/>
        </w:rPr>
        <w:t xml:space="preserve">See generally Lucian Arye Bebchuk &amp; Allen Ferrell, </w:t>
      </w:r>
      <w:r w:rsidR="00015AA7" w:rsidRPr="00473814">
        <w:rPr>
          <w:rFonts w:asciiTheme="majorBidi" w:hAnsiTheme="majorBidi"/>
          <w:iCs/>
          <w:sz w:val="22"/>
          <w:szCs w:val="22"/>
        </w:rPr>
        <w:t>Federalism and Takeover Law: The Race to Protect Managers from Takeovers</w:t>
      </w:r>
      <w:r w:rsidR="00015AA7" w:rsidRPr="00473814">
        <w:rPr>
          <w:rFonts w:asciiTheme="majorBidi" w:hAnsiTheme="majorBidi"/>
          <w:sz w:val="22"/>
          <w:szCs w:val="22"/>
        </w:rPr>
        <w:t xml:space="preserve">, 99 </w:t>
      </w:r>
      <w:r w:rsidR="00015AA7" w:rsidRPr="00473814">
        <w:rPr>
          <w:rFonts w:asciiTheme="majorBidi" w:hAnsiTheme="majorBidi"/>
          <w:smallCaps/>
          <w:sz w:val="22"/>
          <w:szCs w:val="22"/>
        </w:rPr>
        <w:t>Colum. L. Rev.</w:t>
      </w:r>
      <w:r w:rsidR="00015AA7" w:rsidRPr="00473814">
        <w:rPr>
          <w:rFonts w:asciiTheme="majorBidi" w:hAnsiTheme="majorBidi"/>
          <w:sz w:val="22"/>
          <w:szCs w:val="22"/>
        </w:rPr>
        <w:t xml:space="preserve"> 1168 (1999)</w:t>
      </w:r>
      <w:proofErr w:type="gramStart"/>
      <w:r w:rsidR="00015AA7" w:rsidRPr="00473814">
        <w:rPr>
          <w:rFonts w:asciiTheme="majorBidi" w:hAnsiTheme="majorBidi"/>
          <w:sz w:val="22"/>
          <w:szCs w:val="22"/>
        </w:rPr>
        <w:t xml:space="preserve">. </w:t>
      </w:r>
      <w:r w:rsidR="005B3ABA" w:rsidRPr="00473814">
        <w:rPr>
          <w:rFonts w:asciiTheme="majorBidi" w:hAnsiTheme="majorBidi"/>
          <w:sz w:val="22"/>
          <w:szCs w:val="22"/>
        </w:rPr>
        <w:t xml:space="preserve"> </w:t>
      </w:r>
      <w:proofErr w:type="gramEnd"/>
      <w:r w:rsidR="0043685C" w:rsidRPr="00473814">
        <w:rPr>
          <w:rFonts w:asciiTheme="majorBidi" w:hAnsiTheme="majorBidi"/>
          <w:sz w:val="22"/>
          <w:szCs w:val="22"/>
        </w:rPr>
        <w:t xml:space="preserve">  </w:t>
      </w:r>
    </w:p>
  </w:footnote>
  <w:footnote w:id="22">
    <w:p w14:paraId="60D2E158" w14:textId="6E7EBB80" w:rsidR="005B3ABA" w:rsidRPr="00473814" w:rsidRDefault="005B3ABA" w:rsidP="00473814">
      <w:pPr>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094FFA" w:rsidRPr="00473814">
        <w:rPr>
          <w:rFonts w:asciiTheme="majorBidi" w:hAnsiTheme="majorBidi"/>
          <w:sz w:val="22"/>
          <w:szCs w:val="22"/>
        </w:rPr>
        <w:t xml:space="preserve">Lucian A. Bebchuk and Assaf Hamdani, “Federal Corporate Law: Lessons from History,” </w:t>
      </w:r>
      <w:r w:rsidR="00094FFA" w:rsidRPr="00473814">
        <w:rPr>
          <w:rFonts w:asciiTheme="majorBidi" w:hAnsiTheme="majorBidi"/>
          <w:i/>
          <w:iCs/>
          <w:sz w:val="22"/>
          <w:szCs w:val="22"/>
        </w:rPr>
        <w:t>Columbia Law Review</w:t>
      </w:r>
      <w:r w:rsidR="00094FFA" w:rsidRPr="00473814">
        <w:rPr>
          <w:rFonts w:asciiTheme="majorBidi" w:hAnsiTheme="majorBidi"/>
          <w:sz w:val="22"/>
          <w:szCs w:val="22"/>
        </w:rPr>
        <w:t>, Vol. 106, 2006, pp.1793-1839.</w:t>
      </w:r>
    </w:p>
  </w:footnote>
  <w:footnote w:id="23">
    <w:p w14:paraId="11FC3A0B" w14:textId="7097E1CE" w:rsidR="00F031F6" w:rsidRPr="00473814" w:rsidRDefault="00F031F6"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See </w:t>
      </w:r>
      <w:r w:rsidR="006B1C83" w:rsidRPr="00473814">
        <w:rPr>
          <w:rFonts w:asciiTheme="majorBidi" w:hAnsiTheme="majorBidi"/>
          <w:sz w:val="22"/>
          <w:szCs w:val="22"/>
        </w:rPr>
        <w:t>Easterbrook and Fischel</w:t>
      </w:r>
      <w:r w:rsidRPr="00473814">
        <w:rPr>
          <w:rFonts w:asciiTheme="majorBidi" w:hAnsiTheme="majorBidi"/>
          <w:sz w:val="22"/>
          <w:szCs w:val="22"/>
        </w:rPr>
        <w:t xml:space="preserve">, supra note </w:t>
      </w:r>
      <w:proofErr w:type="gramStart"/>
      <w:r w:rsidRPr="00473814">
        <w:rPr>
          <w:rFonts w:asciiTheme="majorBidi" w:hAnsiTheme="majorBidi"/>
          <w:sz w:val="22"/>
          <w:szCs w:val="22"/>
        </w:rPr>
        <w:t>1</w:t>
      </w:r>
      <w:proofErr w:type="gramEnd"/>
      <w:r w:rsidRPr="00473814">
        <w:rPr>
          <w:rFonts w:asciiTheme="majorBidi" w:hAnsiTheme="majorBidi"/>
          <w:sz w:val="22"/>
          <w:szCs w:val="22"/>
        </w:rPr>
        <w:t xml:space="preserve">, at 223 (“Federal Laws face less competition; it is harder to move to France than to Nevada.”). </w:t>
      </w:r>
    </w:p>
  </w:footnote>
  <w:footnote w:id="24">
    <w:p w14:paraId="1B2C0518" w14:textId="5712E911" w:rsidR="005B6BBF" w:rsidRPr="00473814" w:rsidRDefault="005B6BBF" w:rsidP="00473814">
      <w:pPr>
        <w:pStyle w:val="FootNote"/>
        <w:spacing w:line="276" w:lineRule="auto"/>
        <w:rPr>
          <w:rFonts w:asciiTheme="majorBidi" w:hAnsiTheme="majorBidi" w:cstheme="majorBidi"/>
          <w:sz w:val="22"/>
          <w:szCs w:val="22"/>
        </w:rPr>
      </w:pPr>
      <w:r w:rsidRPr="00473814">
        <w:rPr>
          <w:rStyle w:val="NoteRefInNote"/>
          <w:rFonts w:asciiTheme="majorBidi" w:hAnsiTheme="majorBidi" w:cstheme="majorBidi"/>
          <w:sz w:val="22"/>
          <w:szCs w:val="22"/>
        </w:rPr>
        <w:footnoteRef/>
      </w:r>
      <w:r w:rsidRPr="00473814">
        <w:rPr>
          <w:rFonts w:asciiTheme="majorBidi" w:hAnsiTheme="majorBidi" w:cstheme="majorBidi"/>
          <w:sz w:val="22"/>
          <w:szCs w:val="22"/>
        </w:rPr>
        <w:tab/>
        <w:t xml:space="preserve">See generally Lucian Arye Bebchuk &amp; Allen Ferrell, </w:t>
      </w:r>
      <w:r w:rsidRPr="00473814">
        <w:rPr>
          <w:rFonts w:asciiTheme="majorBidi" w:hAnsiTheme="majorBidi" w:cstheme="majorBidi"/>
          <w:iCs/>
          <w:sz w:val="22"/>
          <w:szCs w:val="22"/>
        </w:rPr>
        <w:t>A New Approach to Takeover Law and Regulatory Competition</w:t>
      </w:r>
      <w:r w:rsidRPr="00473814">
        <w:rPr>
          <w:rFonts w:asciiTheme="majorBidi" w:hAnsiTheme="majorBidi" w:cstheme="majorBidi"/>
          <w:sz w:val="22"/>
          <w:szCs w:val="22"/>
        </w:rPr>
        <w:t xml:space="preserve">, 87 </w:t>
      </w:r>
      <w:r w:rsidRPr="00473814">
        <w:rPr>
          <w:rFonts w:asciiTheme="majorBidi" w:hAnsiTheme="majorBidi" w:cstheme="majorBidi"/>
          <w:smallCaps/>
          <w:sz w:val="22"/>
          <w:szCs w:val="22"/>
        </w:rPr>
        <w:t>Va. L. Rev.</w:t>
      </w:r>
      <w:r w:rsidRPr="00473814">
        <w:rPr>
          <w:rFonts w:asciiTheme="majorBidi" w:hAnsiTheme="majorBidi" w:cstheme="majorBidi"/>
          <w:sz w:val="22"/>
          <w:szCs w:val="22"/>
        </w:rPr>
        <w:t xml:space="preserve"> 111 (2001)</w:t>
      </w:r>
      <w:r w:rsidR="00C0535B">
        <w:rPr>
          <w:rFonts w:asciiTheme="majorBidi" w:hAnsiTheme="majorBidi" w:cstheme="majorBidi"/>
          <w:sz w:val="22"/>
          <w:szCs w:val="22"/>
        </w:rPr>
        <w:t xml:space="preserve"> (suggesting such an approach with respect to takeover law)</w:t>
      </w:r>
      <w:r w:rsidR="00E01379" w:rsidRPr="00473814">
        <w:rPr>
          <w:rFonts w:asciiTheme="majorBidi" w:hAnsiTheme="majorBidi" w:cstheme="majorBidi"/>
          <w:sz w:val="22"/>
          <w:szCs w:val="22"/>
        </w:rPr>
        <w:t xml:space="preserve">; </w:t>
      </w:r>
      <w:r w:rsidR="00811BBF" w:rsidRPr="00473814">
        <w:rPr>
          <w:rFonts w:asciiTheme="majorBidi" w:hAnsiTheme="majorBidi" w:cstheme="majorBidi"/>
          <w:sz w:val="22"/>
          <w:szCs w:val="22"/>
        </w:rPr>
        <w:t xml:space="preserve">Lucian </w:t>
      </w:r>
      <w:proofErr w:type="spellStart"/>
      <w:r w:rsidR="00811BBF" w:rsidRPr="00473814">
        <w:rPr>
          <w:rFonts w:asciiTheme="majorBidi" w:hAnsiTheme="majorBidi" w:cstheme="majorBidi"/>
          <w:sz w:val="22"/>
          <w:szCs w:val="22"/>
        </w:rPr>
        <w:t>Arye</w:t>
      </w:r>
      <w:proofErr w:type="spellEnd"/>
      <w:r w:rsidR="00811BBF" w:rsidRPr="00473814">
        <w:rPr>
          <w:rFonts w:asciiTheme="majorBidi" w:hAnsiTheme="majorBidi" w:cstheme="majorBidi"/>
          <w:sz w:val="22"/>
          <w:szCs w:val="22"/>
        </w:rPr>
        <w:t xml:space="preserve"> Bebchuk &amp; Assaf Hamdani, </w:t>
      </w:r>
      <w:r w:rsidR="00811BBF" w:rsidRPr="00473814">
        <w:rPr>
          <w:rFonts w:asciiTheme="majorBidi" w:hAnsiTheme="majorBidi" w:cstheme="majorBidi"/>
          <w:sz w:val="22"/>
          <w:szCs w:val="22"/>
          <w:u w:val="single"/>
        </w:rPr>
        <w:t>Vigorous Race or Leisurely Walk: Reconsidering the Competition Over Corporate Charters</w:t>
      </w:r>
      <w:r w:rsidR="00811BBF" w:rsidRPr="00473814">
        <w:rPr>
          <w:rFonts w:asciiTheme="majorBidi" w:hAnsiTheme="majorBidi" w:cstheme="majorBidi"/>
          <w:sz w:val="22"/>
          <w:szCs w:val="22"/>
        </w:rPr>
        <w:t xml:space="preserve">, 112 </w:t>
      </w:r>
      <w:r w:rsidR="00811BBF" w:rsidRPr="00473814">
        <w:rPr>
          <w:rFonts w:asciiTheme="majorBidi" w:hAnsiTheme="majorBidi" w:cstheme="majorBidi"/>
          <w:smallCaps/>
          <w:sz w:val="22"/>
          <w:szCs w:val="22"/>
        </w:rPr>
        <w:t>Yale L.J.</w:t>
      </w:r>
      <w:r w:rsidR="00811BBF" w:rsidRPr="00473814">
        <w:rPr>
          <w:rFonts w:asciiTheme="majorBidi" w:hAnsiTheme="majorBidi" w:cstheme="majorBidi"/>
          <w:sz w:val="22"/>
          <w:szCs w:val="22"/>
        </w:rPr>
        <w:t xml:space="preserve"> 553 (2002)</w:t>
      </w:r>
      <w:r w:rsidR="00C0535B">
        <w:rPr>
          <w:rFonts w:asciiTheme="majorBidi" w:hAnsiTheme="majorBidi" w:cstheme="majorBidi"/>
          <w:sz w:val="22"/>
          <w:szCs w:val="22"/>
        </w:rPr>
        <w:t xml:space="preserve"> (suggesting such an approach with respect to corporate law in general)</w:t>
      </w:r>
      <w:r w:rsidR="00811BBF" w:rsidRPr="00473814">
        <w:rPr>
          <w:rFonts w:asciiTheme="majorBidi" w:hAnsiTheme="majorBidi" w:cstheme="majorBidi"/>
          <w:sz w:val="22"/>
          <w:szCs w:val="22"/>
        </w:rPr>
        <w:t xml:space="preserve">. </w:t>
      </w:r>
      <w:r w:rsidR="00FA55FC" w:rsidRPr="00473814">
        <w:rPr>
          <w:rFonts w:asciiTheme="majorBidi" w:hAnsiTheme="majorBidi" w:cstheme="majorBidi"/>
          <w:sz w:val="22"/>
          <w:szCs w:val="22"/>
        </w:rPr>
        <w:t>For responses engaging with these proposals by authors who share E&amp;F’s contractual per</w:t>
      </w:r>
      <w:r w:rsidR="00025DF3" w:rsidRPr="00473814">
        <w:rPr>
          <w:rFonts w:asciiTheme="majorBidi" w:hAnsiTheme="majorBidi" w:cstheme="majorBidi"/>
          <w:sz w:val="22"/>
          <w:szCs w:val="22"/>
        </w:rPr>
        <w:t>spectives</w:t>
      </w:r>
      <w:r w:rsidR="00FA55FC" w:rsidRPr="00473814">
        <w:rPr>
          <w:rFonts w:asciiTheme="majorBidi" w:hAnsiTheme="majorBidi" w:cstheme="majorBidi"/>
          <w:sz w:val="22"/>
          <w:szCs w:val="22"/>
        </w:rPr>
        <w:t xml:space="preserve">, see </w:t>
      </w:r>
      <w:r w:rsidR="00811BBF" w:rsidRPr="00473814">
        <w:rPr>
          <w:rFonts w:asciiTheme="majorBidi" w:hAnsiTheme="majorBidi" w:cstheme="majorBidi"/>
          <w:iCs/>
          <w:sz w:val="22"/>
          <w:szCs w:val="22"/>
          <w:u w:val="single"/>
        </w:rPr>
        <w:t>generally</w:t>
      </w:r>
      <w:r w:rsidR="00811BBF" w:rsidRPr="00473814">
        <w:rPr>
          <w:rFonts w:asciiTheme="majorBidi" w:hAnsiTheme="majorBidi" w:cstheme="majorBidi"/>
          <w:sz w:val="22"/>
          <w:szCs w:val="22"/>
        </w:rPr>
        <w:t xml:space="preserve"> Stephen Choi &amp; Andrew Guzman, </w:t>
      </w:r>
      <w:r w:rsidR="00811BBF" w:rsidRPr="00473814">
        <w:rPr>
          <w:rFonts w:asciiTheme="majorBidi" w:hAnsiTheme="majorBidi" w:cstheme="majorBidi"/>
          <w:iCs/>
          <w:sz w:val="22"/>
          <w:szCs w:val="22"/>
          <w:u w:val="single"/>
        </w:rPr>
        <w:t>Choice and Federal Intervention in Corporate Law</w:t>
      </w:r>
      <w:r w:rsidR="00811BBF" w:rsidRPr="00473814">
        <w:rPr>
          <w:rFonts w:asciiTheme="majorBidi" w:hAnsiTheme="majorBidi" w:cstheme="majorBidi"/>
          <w:sz w:val="22"/>
          <w:szCs w:val="22"/>
        </w:rPr>
        <w:t xml:space="preserve">, 87 </w:t>
      </w:r>
      <w:r w:rsidR="00811BBF" w:rsidRPr="00473814">
        <w:rPr>
          <w:rFonts w:asciiTheme="majorBidi" w:hAnsiTheme="majorBidi" w:cstheme="majorBidi"/>
          <w:smallCaps/>
          <w:sz w:val="22"/>
          <w:szCs w:val="22"/>
        </w:rPr>
        <w:t>Va. L. Rev</w:t>
      </w:r>
      <w:r w:rsidR="00811BBF" w:rsidRPr="00473814">
        <w:rPr>
          <w:rFonts w:asciiTheme="majorBidi" w:hAnsiTheme="majorBidi" w:cstheme="majorBidi"/>
          <w:sz w:val="22"/>
          <w:szCs w:val="22"/>
        </w:rPr>
        <w:t xml:space="preserve">. 961 (2001); Jonathan Macey, </w:t>
      </w:r>
      <w:r w:rsidR="00811BBF" w:rsidRPr="00473814">
        <w:rPr>
          <w:rStyle w:val="show-for-sr"/>
          <w:rFonts w:asciiTheme="majorBidi" w:hAnsiTheme="majorBidi" w:cstheme="majorBidi"/>
          <w:iCs/>
          <w:spacing w:val="-5"/>
          <w:sz w:val="22"/>
          <w:szCs w:val="22"/>
          <w:u w:val="single"/>
          <w:bdr w:val="none" w:sz="0" w:space="0" w:color="auto" w:frame="1"/>
        </w:rPr>
        <w:t xml:space="preserve">Displacing Delaware: Can the Feds Do a Better Job Than the States in Regulating </w:t>
      </w:r>
      <w:proofErr w:type="gramStart"/>
      <w:r w:rsidR="00811BBF" w:rsidRPr="00473814">
        <w:rPr>
          <w:rStyle w:val="show-for-sr"/>
          <w:rFonts w:asciiTheme="majorBidi" w:hAnsiTheme="majorBidi" w:cstheme="majorBidi"/>
          <w:iCs/>
          <w:spacing w:val="-5"/>
          <w:sz w:val="22"/>
          <w:szCs w:val="22"/>
          <w:u w:val="single"/>
          <w:bdr w:val="none" w:sz="0" w:space="0" w:color="auto" w:frame="1"/>
        </w:rPr>
        <w:t>Takeovers?</w:t>
      </w:r>
      <w:r w:rsidR="00811BBF" w:rsidRPr="00473814">
        <w:rPr>
          <w:rStyle w:val="show-for-sr"/>
          <w:rFonts w:asciiTheme="majorBidi" w:hAnsiTheme="majorBidi" w:cstheme="majorBidi"/>
          <w:iCs/>
          <w:spacing w:val="-5"/>
          <w:sz w:val="22"/>
          <w:szCs w:val="22"/>
          <w:bdr w:val="none" w:sz="0" w:space="0" w:color="auto" w:frame="1"/>
        </w:rPr>
        <w:t>,</w:t>
      </w:r>
      <w:proofErr w:type="gramEnd"/>
      <w:r w:rsidR="00811BBF" w:rsidRPr="00473814">
        <w:rPr>
          <w:rStyle w:val="show-for-sr"/>
          <w:rFonts w:asciiTheme="majorBidi" w:hAnsiTheme="majorBidi" w:cstheme="majorBidi"/>
          <w:spacing w:val="-5"/>
          <w:sz w:val="22"/>
          <w:szCs w:val="22"/>
          <w:bdr w:val="none" w:sz="0" w:space="0" w:color="auto" w:frame="1"/>
        </w:rPr>
        <w:t xml:space="preserve"> 57 </w:t>
      </w:r>
      <w:r w:rsidR="00811BBF" w:rsidRPr="00473814">
        <w:rPr>
          <w:rStyle w:val="show-for-sr"/>
          <w:rFonts w:asciiTheme="majorBidi" w:hAnsiTheme="majorBidi" w:cstheme="majorBidi"/>
          <w:smallCaps/>
          <w:spacing w:val="-5"/>
          <w:sz w:val="22"/>
          <w:szCs w:val="22"/>
          <w:bdr w:val="none" w:sz="0" w:space="0" w:color="auto" w:frame="1"/>
        </w:rPr>
        <w:t>Bus. Law.</w:t>
      </w:r>
      <w:r w:rsidR="00811BBF" w:rsidRPr="00473814">
        <w:rPr>
          <w:rStyle w:val="show-for-sr"/>
          <w:rFonts w:asciiTheme="majorBidi" w:hAnsiTheme="majorBidi" w:cstheme="majorBidi"/>
          <w:spacing w:val="-5"/>
          <w:sz w:val="22"/>
          <w:szCs w:val="22"/>
          <w:bdr w:val="none" w:sz="0" w:space="0" w:color="auto" w:frame="1"/>
        </w:rPr>
        <w:t xml:space="preserve"> </w:t>
      </w:r>
      <w:r w:rsidR="00811BBF" w:rsidRPr="00473814">
        <w:rPr>
          <w:rFonts w:asciiTheme="majorBidi" w:hAnsiTheme="majorBidi" w:cstheme="majorBidi"/>
          <w:spacing w:val="-5"/>
          <w:sz w:val="22"/>
          <w:szCs w:val="22"/>
        </w:rPr>
        <w:t>1025 (2002)</w:t>
      </w:r>
      <w:r w:rsidR="00216C82" w:rsidRPr="00473814">
        <w:rPr>
          <w:rFonts w:asciiTheme="majorBidi" w:hAnsiTheme="majorBidi" w:cstheme="majorBidi"/>
          <w:spacing w:val="-5"/>
          <w:sz w:val="22"/>
          <w:szCs w:val="22"/>
        </w:rPr>
        <w:t>.</w:t>
      </w:r>
      <w:r w:rsidR="00811BBF" w:rsidRPr="00473814">
        <w:rPr>
          <w:rFonts w:asciiTheme="majorBidi" w:hAnsiTheme="majorBidi" w:cstheme="majorBidi"/>
          <w:spacing w:val="-5"/>
          <w:sz w:val="22"/>
          <w:szCs w:val="22"/>
        </w:rPr>
        <w:t xml:space="preserve"> </w:t>
      </w:r>
      <w:r w:rsidR="00FA55FC" w:rsidRPr="00473814">
        <w:rPr>
          <w:rFonts w:asciiTheme="majorBidi" w:hAnsiTheme="majorBidi" w:cstheme="majorBidi"/>
          <w:sz w:val="22"/>
          <w:szCs w:val="22"/>
        </w:rPr>
        <w:t xml:space="preserve">For our replies to these </w:t>
      </w:r>
      <w:r w:rsidR="00025DF3" w:rsidRPr="00473814">
        <w:rPr>
          <w:rFonts w:asciiTheme="majorBidi" w:hAnsiTheme="majorBidi" w:cstheme="majorBidi"/>
          <w:sz w:val="22"/>
          <w:szCs w:val="22"/>
        </w:rPr>
        <w:t xml:space="preserve">two </w:t>
      </w:r>
      <w:r w:rsidR="00FA55FC" w:rsidRPr="00473814">
        <w:rPr>
          <w:rFonts w:asciiTheme="majorBidi" w:hAnsiTheme="majorBidi" w:cstheme="majorBidi"/>
          <w:sz w:val="22"/>
          <w:szCs w:val="22"/>
        </w:rPr>
        <w:t xml:space="preserve">critiques, see </w:t>
      </w:r>
      <w:r w:rsidRPr="00473814">
        <w:rPr>
          <w:rFonts w:asciiTheme="majorBidi" w:hAnsiTheme="majorBidi" w:cstheme="majorBidi"/>
          <w:iCs/>
          <w:sz w:val="22"/>
          <w:szCs w:val="22"/>
        </w:rPr>
        <w:t>generally</w:t>
      </w:r>
      <w:r w:rsidRPr="00473814">
        <w:rPr>
          <w:rFonts w:asciiTheme="majorBidi" w:hAnsiTheme="majorBidi" w:cstheme="majorBidi"/>
          <w:sz w:val="22"/>
          <w:szCs w:val="22"/>
        </w:rPr>
        <w:t xml:space="preserve"> Lucian Arye Bebchuk &amp; Alan Ferrell, </w:t>
      </w:r>
      <w:r w:rsidRPr="00473814">
        <w:rPr>
          <w:rFonts w:asciiTheme="majorBidi" w:hAnsiTheme="majorBidi" w:cstheme="majorBidi"/>
          <w:iCs/>
          <w:sz w:val="22"/>
          <w:szCs w:val="22"/>
        </w:rPr>
        <w:t>Federal Intervention to Enhance Shareholder Choice</w:t>
      </w:r>
      <w:r w:rsidRPr="00473814">
        <w:rPr>
          <w:rFonts w:asciiTheme="majorBidi" w:hAnsiTheme="majorBidi" w:cstheme="majorBidi"/>
          <w:sz w:val="22"/>
          <w:szCs w:val="22"/>
        </w:rPr>
        <w:t xml:space="preserve">, 87 </w:t>
      </w:r>
      <w:r w:rsidRPr="00473814">
        <w:rPr>
          <w:rFonts w:asciiTheme="majorBidi" w:hAnsiTheme="majorBidi" w:cstheme="majorBidi"/>
          <w:smallCaps/>
          <w:sz w:val="22"/>
          <w:szCs w:val="22"/>
        </w:rPr>
        <w:t>Va. L. Rev.</w:t>
      </w:r>
      <w:r w:rsidRPr="00473814">
        <w:rPr>
          <w:rFonts w:asciiTheme="majorBidi" w:hAnsiTheme="majorBidi" w:cstheme="majorBidi"/>
          <w:sz w:val="22"/>
          <w:szCs w:val="22"/>
        </w:rPr>
        <w:t xml:space="preserve"> 993 (2001); and Lucian Arye Bebchuk &amp; Alan Ferrell</w:t>
      </w:r>
      <w:r w:rsidRPr="00473814">
        <w:rPr>
          <w:rFonts w:asciiTheme="majorBidi" w:hAnsiTheme="majorBidi" w:cstheme="majorBidi"/>
          <w:iCs/>
          <w:sz w:val="22"/>
          <w:szCs w:val="22"/>
        </w:rPr>
        <w:t xml:space="preserve">, </w:t>
      </w:r>
      <w:r w:rsidRPr="00473814">
        <w:rPr>
          <w:rFonts w:asciiTheme="majorBidi" w:hAnsiTheme="majorBidi" w:cstheme="majorBidi"/>
          <w:sz w:val="22"/>
          <w:szCs w:val="22"/>
        </w:rPr>
        <w:t>On Takeover Law and Regulatory Competition, 5</w:t>
      </w:r>
      <w:r w:rsidRPr="00473814">
        <w:rPr>
          <w:rFonts w:asciiTheme="majorBidi" w:hAnsiTheme="majorBidi" w:cstheme="majorBidi"/>
          <w:color w:val="000000"/>
          <w:sz w:val="22"/>
          <w:szCs w:val="22"/>
        </w:rPr>
        <w:t xml:space="preserve">7 </w:t>
      </w:r>
      <w:r w:rsidRPr="00473814">
        <w:rPr>
          <w:rStyle w:val="Emphasis"/>
          <w:rFonts w:asciiTheme="majorBidi" w:hAnsiTheme="majorBidi" w:cstheme="majorBidi"/>
          <w:smallCaps/>
          <w:color w:val="000000"/>
          <w:sz w:val="22"/>
          <w:szCs w:val="22"/>
        </w:rPr>
        <w:t xml:space="preserve">Bus. Law. </w:t>
      </w:r>
      <w:r w:rsidRPr="00473814">
        <w:rPr>
          <w:rFonts w:asciiTheme="majorBidi" w:hAnsiTheme="majorBidi" w:cstheme="majorBidi"/>
          <w:color w:val="000000"/>
          <w:sz w:val="22"/>
          <w:szCs w:val="22"/>
        </w:rPr>
        <w:t>1047 (2002)</w:t>
      </w:r>
      <w:r w:rsidR="00025DF3" w:rsidRPr="00473814">
        <w:rPr>
          <w:rFonts w:asciiTheme="majorBidi" w:hAnsiTheme="majorBidi" w:cstheme="majorBidi"/>
          <w:color w:val="000000"/>
          <w:sz w:val="22"/>
          <w:szCs w:val="22"/>
        </w:rPr>
        <w:t xml:space="preserve">. </w:t>
      </w:r>
    </w:p>
  </w:footnote>
  <w:footnote w:id="25">
    <w:p w14:paraId="3AFD37DF" w14:textId="7AF3630E" w:rsidR="00F80D58" w:rsidRPr="00473814" w:rsidRDefault="00F80D58"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AB60E9">
        <w:rPr>
          <w:rFonts w:asciiTheme="majorBidi" w:hAnsiTheme="majorBidi"/>
          <w:sz w:val="22"/>
          <w:szCs w:val="22"/>
        </w:rPr>
        <w:t xml:space="preserve">See </w:t>
      </w:r>
      <w:proofErr w:type="gramStart"/>
      <w:r w:rsidR="00AB60E9">
        <w:rPr>
          <w:rFonts w:asciiTheme="majorBidi" w:hAnsiTheme="majorBidi"/>
          <w:sz w:val="22"/>
          <w:szCs w:val="22"/>
        </w:rPr>
        <w:t>generally Frank</w:t>
      </w:r>
      <w:proofErr w:type="gramEnd"/>
      <w:r w:rsidR="00AB60E9">
        <w:rPr>
          <w:rFonts w:asciiTheme="majorBidi" w:hAnsiTheme="majorBidi"/>
          <w:sz w:val="22"/>
          <w:szCs w:val="22"/>
        </w:rPr>
        <w:t xml:space="preserve"> </w:t>
      </w:r>
      <w:r w:rsidRPr="00473814">
        <w:rPr>
          <w:rFonts w:asciiTheme="majorBidi" w:hAnsiTheme="majorBidi"/>
          <w:sz w:val="22"/>
          <w:szCs w:val="22"/>
        </w:rPr>
        <w:t xml:space="preserve">Easterbrook and </w:t>
      </w:r>
      <w:r w:rsidR="00AB60E9">
        <w:rPr>
          <w:rFonts w:asciiTheme="majorBidi" w:hAnsiTheme="majorBidi"/>
          <w:sz w:val="22"/>
          <w:szCs w:val="22"/>
        </w:rPr>
        <w:t xml:space="preserve">Daniel </w:t>
      </w:r>
      <w:proofErr w:type="spellStart"/>
      <w:r w:rsidRPr="00473814">
        <w:rPr>
          <w:rFonts w:asciiTheme="majorBidi" w:hAnsiTheme="majorBidi"/>
          <w:sz w:val="22"/>
          <w:szCs w:val="22"/>
        </w:rPr>
        <w:t>Fischel</w:t>
      </w:r>
      <w:proofErr w:type="spellEnd"/>
      <w:r w:rsidRPr="00473814">
        <w:rPr>
          <w:rFonts w:asciiTheme="majorBidi" w:hAnsiTheme="majorBidi"/>
          <w:sz w:val="22"/>
          <w:szCs w:val="22"/>
        </w:rPr>
        <w:t xml:space="preserve">, Corporate Control transaction, </w:t>
      </w:r>
      <w:r w:rsidRPr="00473814">
        <w:rPr>
          <w:rFonts w:asciiTheme="majorBidi" w:hAnsiTheme="majorBidi"/>
          <w:i/>
          <w:iCs/>
          <w:sz w:val="22"/>
          <w:szCs w:val="22"/>
        </w:rPr>
        <w:t>Yale Law Journal</w:t>
      </w:r>
      <w:r w:rsidRPr="00473814">
        <w:rPr>
          <w:rFonts w:asciiTheme="majorBidi" w:hAnsiTheme="majorBidi"/>
          <w:sz w:val="22"/>
          <w:szCs w:val="22"/>
        </w:rPr>
        <w:t xml:space="preserve"> (1981); Easterbrook and Fischel, supra note 1, Chapter 5. </w:t>
      </w:r>
    </w:p>
  </w:footnote>
  <w:footnote w:id="26">
    <w:p w14:paraId="411D3155" w14:textId="55BF54DA" w:rsidR="00B65548" w:rsidRPr="00473814" w:rsidRDefault="00B65548"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870847" w:rsidRPr="00473814">
        <w:rPr>
          <w:rFonts w:asciiTheme="majorBidi" w:hAnsiTheme="majorBidi"/>
          <w:sz w:val="22"/>
          <w:szCs w:val="22"/>
        </w:rPr>
        <w:t xml:space="preserve">See, e.g., </w:t>
      </w:r>
      <w:r w:rsidR="00F86027" w:rsidRPr="00473814">
        <w:rPr>
          <w:rFonts w:asciiTheme="majorBidi" w:hAnsiTheme="majorBidi"/>
          <w:sz w:val="22"/>
          <w:szCs w:val="22"/>
        </w:rPr>
        <w:t xml:space="preserve">Lucian A. Bebchuk, “The Case for Increasing Shareholder Power,” 118 </w:t>
      </w:r>
      <w:r w:rsidR="00F86027" w:rsidRPr="00473814">
        <w:rPr>
          <w:rFonts w:asciiTheme="majorBidi" w:hAnsiTheme="majorBidi"/>
          <w:i/>
          <w:iCs/>
          <w:sz w:val="22"/>
          <w:szCs w:val="22"/>
        </w:rPr>
        <w:t>Harvard Law Review</w:t>
      </w:r>
      <w:r w:rsidR="00F86027" w:rsidRPr="00473814">
        <w:rPr>
          <w:rFonts w:asciiTheme="majorBidi" w:hAnsiTheme="majorBidi"/>
          <w:sz w:val="22"/>
          <w:szCs w:val="22"/>
        </w:rPr>
        <w:t xml:space="preserve"> 833 (2005). </w:t>
      </w:r>
    </w:p>
  </w:footnote>
  <w:footnote w:id="27">
    <w:p w14:paraId="3E9AE980" w14:textId="11AC46F1" w:rsidR="00CA4E3C" w:rsidRPr="00473814" w:rsidRDefault="00CA4E3C" w:rsidP="00473814">
      <w:pPr>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8153D4" w:rsidRPr="00473814">
        <w:rPr>
          <w:rFonts w:asciiTheme="majorBidi" w:hAnsiTheme="majorBidi"/>
          <w:sz w:val="22"/>
          <w:szCs w:val="22"/>
        </w:rPr>
        <w:t xml:space="preserve"> See Lucian Bebchuk Reiner Kraakman, and George Triantis, “Stock Pyramids, Cross-Ownership, and Dual Class Equity: The Creation and Agency Costs of Separating Control from Cash Flow Rights,” </w:t>
      </w:r>
      <w:r w:rsidR="008153D4" w:rsidRPr="00473814">
        <w:rPr>
          <w:rFonts w:asciiTheme="majorBidi" w:hAnsiTheme="majorBidi"/>
          <w:i/>
          <w:iCs/>
          <w:sz w:val="22"/>
          <w:szCs w:val="22"/>
        </w:rPr>
        <w:t>Concentrated Corporate Ownership,</w:t>
      </w:r>
      <w:r w:rsidR="008153D4" w:rsidRPr="00473814">
        <w:rPr>
          <w:rFonts w:asciiTheme="majorBidi" w:hAnsiTheme="majorBidi"/>
          <w:sz w:val="22"/>
          <w:szCs w:val="22"/>
        </w:rPr>
        <w:t xml:space="preserve"> R. Morck, ed., 2000, pp.445-460; Lucian Bebchuk, “Efficient and Inefficient Sales of Corporate Control,” </w:t>
      </w:r>
      <w:r w:rsidR="008153D4" w:rsidRPr="00473814">
        <w:rPr>
          <w:rFonts w:asciiTheme="majorBidi" w:hAnsiTheme="majorBidi"/>
          <w:i/>
          <w:iCs/>
          <w:sz w:val="22"/>
          <w:szCs w:val="22"/>
        </w:rPr>
        <w:t xml:space="preserve">Quarterly Journal of Economics, </w:t>
      </w:r>
      <w:r w:rsidR="008153D4" w:rsidRPr="00473814">
        <w:rPr>
          <w:rFonts w:asciiTheme="majorBidi" w:hAnsiTheme="majorBidi"/>
          <w:sz w:val="22"/>
          <w:szCs w:val="22"/>
        </w:rPr>
        <w:t xml:space="preserve">Vol. 109, 1994, pp.957-993; </w:t>
      </w:r>
      <w:r w:rsidR="008153D4" w:rsidRPr="00473814">
        <w:rPr>
          <w:rFonts w:asciiTheme="majorBidi" w:hAnsiTheme="majorBidi"/>
          <w:color w:val="000000"/>
          <w:sz w:val="22"/>
          <w:szCs w:val="22"/>
        </w:rPr>
        <w:t xml:space="preserve">Lucian A. Bebchuk and Kobi Kastiel, “The Untenable Case for Perpetual Dual-Class Stock,” </w:t>
      </w:r>
      <w:r w:rsidR="008153D4" w:rsidRPr="00473814">
        <w:rPr>
          <w:rFonts w:asciiTheme="majorBidi" w:hAnsiTheme="majorBidi"/>
          <w:i/>
          <w:iCs/>
          <w:color w:val="000000"/>
          <w:sz w:val="22"/>
          <w:szCs w:val="22"/>
        </w:rPr>
        <w:t>Virginia Law Review</w:t>
      </w:r>
      <w:r w:rsidR="008153D4" w:rsidRPr="00473814">
        <w:rPr>
          <w:rFonts w:asciiTheme="majorBidi" w:hAnsiTheme="majorBidi"/>
          <w:color w:val="000000"/>
          <w:sz w:val="22"/>
          <w:szCs w:val="22"/>
        </w:rPr>
        <w:t>,</w:t>
      </w:r>
      <w:r w:rsidR="008153D4" w:rsidRPr="00473814">
        <w:rPr>
          <w:rFonts w:asciiTheme="majorBidi" w:hAnsiTheme="majorBidi"/>
          <w:i/>
          <w:iCs/>
          <w:color w:val="000000"/>
          <w:sz w:val="22"/>
          <w:szCs w:val="22"/>
        </w:rPr>
        <w:t xml:space="preserve"> </w:t>
      </w:r>
      <w:r w:rsidR="008153D4" w:rsidRPr="00473814">
        <w:rPr>
          <w:rFonts w:asciiTheme="majorBidi" w:hAnsiTheme="majorBidi"/>
          <w:color w:val="000000"/>
          <w:sz w:val="22"/>
          <w:szCs w:val="22"/>
        </w:rPr>
        <w:t xml:space="preserve">Vol. 101, 2017, pp.585-631; Lucian A. Bebchuk and Kobi Kastiel, “The Perils of Small-Minority Controllers,” </w:t>
      </w:r>
      <w:r w:rsidR="008153D4" w:rsidRPr="00473814">
        <w:rPr>
          <w:rFonts w:asciiTheme="majorBidi" w:hAnsiTheme="majorBidi"/>
          <w:i/>
          <w:iCs/>
          <w:color w:val="000000"/>
          <w:sz w:val="22"/>
          <w:szCs w:val="22"/>
        </w:rPr>
        <w:t xml:space="preserve">Georgetown Law Journal, </w:t>
      </w:r>
      <w:r w:rsidR="008153D4" w:rsidRPr="00473814">
        <w:rPr>
          <w:rFonts w:asciiTheme="majorBidi" w:hAnsiTheme="majorBidi"/>
          <w:color w:val="000000"/>
          <w:sz w:val="22"/>
          <w:szCs w:val="22"/>
        </w:rPr>
        <w:t>Vol. 107, 2019, pp.1453-1514.</w:t>
      </w:r>
    </w:p>
  </w:footnote>
  <w:footnote w:id="28">
    <w:p w14:paraId="13FEADC0" w14:textId="151C9DBA" w:rsidR="00A637D9" w:rsidRPr="00473814" w:rsidRDefault="00A637D9" w:rsidP="00473814">
      <w:pPr>
        <w:pStyle w:val="FootNote"/>
        <w:spacing w:line="276" w:lineRule="auto"/>
        <w:rPr>
          <w:rFonts w:asciiTheme="majorBidi" w:hAnsiTheme="majorBidi" w:cstheme="majorBidi"/>
          <w:sz w:val="22"/>
          <w:szCs w:val="22"/>
          <w:lang w:bidi="he-IL"/>
        </w:rPr>
      </w:pPr>
      <w:r w:rsidRPr="00473814">
        <w:rPr>
          <w:rStyle w:val="NoteRefInNote"/>
          <w:rFonts w:asciiTheme="majorBidi" w:hAnsiTheme="majorBidi" w:cstheme="majorBidi"/>
          <w:sz w:val="22"/>
          <w:szCs w:val="22"/>
        </w:rPr>
        <w:footnoteRef/>
      </w:r>
      <w:r w:rsidRPr="00473814">
        <w:rPr>
          <w:rFonts w:asciiTheme="majorBidi" w:hAnsiTheme="majorBidi" w:cstheme="majorBidi"/>
          <w:sz w:val="22"/>
          <w:szCs w:val="22"/>
        </w:rPr>
        <w:tab/>
      </w:r>
      <w:r w:rsidRPr="00473814">
        <w:rPr>
          <w:rFonts w:asciiTheme="majorBidi" w:hAnsiTheme="majorBidi" w:cstheme="majorBidi"/>
          <w:sz w:val="22"/>
          <w:szCs w:val="22"/>
          <w:u w:val="single"/>
        </w:rPr>
        <w:t>See</w:t>
      </w:r>
      <w:r w:rsidR="00040C45" w:rsidRPr="00473814">
        <w:rPr>
          <w:rFonts w:asciiTheme="majorBidi" w:hAnsiTheme="majorBidi" w:cstheme="majorBidi"/>
          <w:sz w:val="22"/>
          <w:szCs w:val="22"/>
          <w:u w:val="single"/>
        </w:rPr>
        <w:t xml:space="preserve"> generally </w:t>
      </w:r>
      <w:r w:rsidR="00040C45" w:rsidRPr="00473814">
        <w:rPr>
          <w:rFonts w:asciiTheme="majorBidi" w:hAnsiTheme="majorBidi" w:cstheme="majorBidi"/>
          <w:smallCaps/>
          <w:sz w:val="22"/>
          <w:szCs w:val="22"/>
        </w:rPr>
        <w:t>Lucian Bebchuk &amp; Jesse Fried</w:t>
      </w:r>
      <w:r w:rsidR="00040C45" w:rsidRPr="00473814">
        <w:rPr>
          <w:rFonts w:asciiTheme="majorBidi" w:hAnsiTheme="majorBidi" w:cstheme="majorBidi"/>
          <w:sz w:val="22"/>
          <w:szCs w:val="22"/>
        </w:rPr>
        <w:t xml:space="preserve">, </w:t>
      </w:r>
      <w:r w:rsidR="00040C45" w:rsidRPr="00473814">
        <w:rPr>
          <w:rFonts w:asciiTheme="majorBidi" w:hAnsiTheme="majorBidi" w:cstheme="majorBidi"/>
          <w:smallCaps/>
          <w:sz w:val="22"/>
          <w:szCs w:val="22"/>
        </w:rPr>
        <w:t>Pay Without Performance: The Unfulfilled Promise of Executive Compensation</w:t>
      </w:r>
      <w:r w:rsidR="00040C45" w:rsidRPr="00473814">
        <w:rPr>
          <w:rFonts w:asciiTheme="majorBidi" w:hAnsiTheme="majorBidi" w:cstheme="majorBidi"/>
          <w:sz w:val="22"/>
          <w:szCs w:val="22"/>
        </w:rPr>
        <w:t xml:space="preserve"> (2004)</w:t>
      </w:r>
      <w:r w:rsidR="00BC1917" w:rsidRPr="00473814">
        <w:rPr>
          <w:rFonts w:asciiTheme="majorBidi" w:hAnsiTheme="majorBidi" w:cstheme="majorBidi"/>
          <w:sz w:val="22"/>
          <w:szCs w:val="22"/>
        </w:rPr>
        <w:t>, Part III</w:t>
      </w:r>
      <w:r w:rsidR="00040C45" w:rsidRPr="00473814">
        <w:rPr>
          <w:rFonts w:asciiTheme="majorBidi" w:hAnsiTheme="majorBidi" w:cstheme="majorBidi"/>
          <w:sz w:val="22"/>
          <w:szCs w:val="22"/>
        </w:rPr>
        <w:t xml:space="preserve">; Lucian A. Bebchuk &amp; Jesse M. Fried, </w:t>
      </w:r>
      <w:r w:rsidR="00040C45" w:rsidRPr="00473814">
        <w:rPr>
          <w:rFonts w:asciiTheme="majorBidi" w:hAnsiTheme="majorBidi" w:cstheme="majorBidi"/>
          <w:iCs/>
          <w:sz w:val="22"/>
          <w:szCs w:val="22"/>
          <w:u w:val="single"/>
        </w:rPr>
        <w:t>Paying for Long-Term Performance</w:t>
      </w:r>
      <w:r w:rsidR="00040C45" w:rsidRPr="00473814">
        <w:rPr>
          <w:rFonts w:asciiTheme="majorBidi" w:hAnsiTheme="majorBidi" w:cstheme="majorBidi"/>
          <w:sz w:val="22"/>
          <w:szCs w:val="22"/>
        </w:rPr>
        <w:t xml:space="preserve">, 158 </w:t>
      </w:r>
      <w:r w:rsidR="00040C45" w:rsidRPr="00473814">
        <w:rPr>
          <w:rFonts w:asciiTheme="majorBidi" w:hAnsiTheme="majorBidi" w:cstheme="majorBidi"/>
          <w:smallCaps/>
          <w:sz w:val="22"/>
          <w:szCs w:val="22"/>
        </w:rPr>
        <w:t>U. Pa. L. Rev.</w:t>
      </w:r>
      <w:r w:rsidR="00040C45" w:rsidRPr="00473814">
        <w:rPr>
          <w:rFonts w:asciiTheme="majorBidi" w:hAnsiTheme="majorBidi" w:cstheme="majorBidi"/>
          <w:sz w:val="22"/>
          <w:szCs w:val="22"/>
        </w:rPr>
        <w:t xml:space="preserve"> 1915 (2010).</w:t>
      </w:r>
    </w:p>
  </w:footnote>
  <w:footnote w:id="29">
    <w:p w14:paraId="0FD37F6E" w14:textId="23B8403C" w:rsidR="005A5349" w:rsidRPr="00473814" w:rsidRDefault="005A5349"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For </w:t>
      </w:r>
      <w:r w:rsidR="00485B79" w:rsidRPr="00473814">
        <w:rPr>
          <w:rFonts w:asciiTheme="majorBidi" w:hAnsiTheme="majorBidi"/>
          <w:sz w:val="22"/>
          <w:szCs w:val="22"/>
        </w:rPr>
        <w:t xml:space="preserve">analysis of this issue in such early articles, see Lucian Arye Bebchuk, </w:t>
      </w:r>
      <w:r w:rsidR="00485B79" w:rsidRPr="00473814">
        <w:rPr>
          <w:rFonts w:asciiTheme="majorBidi" w:hAnsiTheme="majorBidi"/>
          <w:i/>
          <w:sz w:val="22"/>
          <w:szCs w:val="22"/>
        </w:rPr>
        <w:t>The Case for Increasing Shareholder Power</w:t>
      </w:r>
      <w:r w:rsidR="00485B79" w:rsidRPr="00473814">
        <w:rPr>
          <w:rFonts w:asciiTheme="majorBidi" w:hAnsiTheme="majorBidi"/>
          <w:sz w:val="22"/>
          <w:szCs w:val="22"/>
        </w:rPr>
        <w:t xml:space="preserve">, 118 </w:t>
      </w:r>
      <w:r w:rsidR="00485B79" w:rsidRPr="00473814">
        <w:rPr>
          <w:rFonts w:asciiTheme="majorBidi" w:hAnsiTheme="majorBidi"/>
          <w:smallCaps/>
          <w:sz w:val="22"/>
          <w:szCs w:val="22"/>
        </w:rPr>
        <w:t>Harv. L. Rev</w:t>
      </w:r>
      <w:r w:rsidR="00485B79" w:rsidRPr="00473814">
        <w:rPr>
          <w:rFonts w:asciiTheme="majorBidi" w:hAnsiTheme="majorBidi"/>
          <w:sz w:val="22"/>
          <w:szCs w:val="22"/>
        </w:rPr>
        <w:t xml:space="preserve">. 833, 908–13 (2005); and Lucian A. Bebchuk, </w:t>
      </w:r>
      <w:r w:rsidR="00485B79" w:rsidRPr="00473814">
        <w:rPr>
          <w:rFonts w:asciiTheme="majorBidi" w:hAnsiTheme="majorBidi"/>
          <w:i/>
          <w:sz w:val="22"/>
          <w:szCs w:val="22"/>
        </w:rPr>
        <w:t>The Myth of the Shareholder Franchise</w:t>
      </w:r>
      <w:r w:rsidR="00485B79" w:rsidRPr="00473814">
        <w:rPr>
          <w:rFonts w:asciiTheme="majorBidi" w:hAnsiTheme="majorBidi"/>
          <w:sz w:val="22"/>
          <w:szCs w:val="22"/>
        </w:rPr>
        <w:t xml:space="preserve">, 93 </w:t>
      </w:r>
      <w:r w:rsidR="00485B79" w:rsidRPr="00473814">
        <w:rPr>
          <w:rFonts w:asciiTheme="majorBidi" w:hAnsiTheme="majorBidi"/>
          <w:smallCaps/>
          <w:sz w:val="22"/>
          <w:szCs w:val="22"/>
        </w:rPr>
        <w:t>Va. L. Rev.</w:t>
      </w:r>
      <w:r w:rsidR="00485B79" w:rsidRPr="00473814">
        <w:rPr>
          <w:rFonts w:asciiTheme="majorBidi" w:hAnsiTheme="majorBidi"/>
          <w:sz w:val="22"/>
          <w:szCs w:val="22"/>
        </w:rPr>
        <w:t xml:space="preserve"> 675, 729–32 (2007). </w:t>
      </w:r>
    </w:p>
  </w:footnote>
  <w:footnote w:id="30">
    <w:p w14:paraId="3FCC6851" w14:textId="7EB4A074" w:rsidR="005A5349" w:rsidRPr="00473814" w:rsidRDefault="005A5349" w:rsidP="00473814">
      <w:pPr>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w:t>
      </w:r>
      <w:r w:rsidR="007C0B6F" w:rsidRPr="00473814">
        <w:rPr>
          <w:rFonts w:asciiTheme="majorBidi" w:hAnsiTheme="majorBidi"/>
          <w:sz w:val="22"/>
          <w:szCs w:val="22"/>
        </w:rPr>
        <w:t xml:space="preserve">See generally </w:t>
      </w:r>
      <w:r w:rsidRPr="00473814">
        <w:rPr>
          <w:rFonts w:asciiTheme="majorBidi" w:hAnsiTheme="majorBidi"/>
          <w:color w:val="000000" w:themeColor="text1"/>
          <w:sz w:val="22"/>
          <w:szCs w:val="22"/>
        </w:rPr>
        <w:t xml:space="preserve">Lucian A. Bebchuk &amp; Roberto Tallarita, </w:t>
      </w:r>
      <w:r w:rsidRPr="00473814">
        <w:rPr>
          <w:rFonts w:asciiTheme="majorBidi" w:hAnsiTheme="majorBidi"/>
          <w:i/>
          <w:iCs/>
          <w:color w:val="000000" w:themeColor="text1"/>
          <w:sz w:val="22"/>
          <w:szCs w:val="22"/>
        </w:rPr>
        <w:t>The Illusory Promise of Stakeholder Governance</w:t>
      </w:r>
      <w:r w:rsidRPr="00473814">
        <w:rPr>
          <w:rFonts w:asciiTheme="majorBidi" w:hAnsiTheme="majorBidi"/>
          <w:color w:val="000000" w:themeColor="text1"/>
          <w:sz w:val="22"/>
          <w:szCs w:val="22"/>
        </w:rPr>
        <w:t xml:space="preserve">, 106 </w:t>
      </w:r>
      <w:r w:rsidRPr="00473814">
        <w:rPr>
          <w:rFonts w:asciiTheme="majorBidi" w:hAnsiTheme="majorBidi"/>
          <w:smallCaps/>
          <w:color w:val="000000" w:themeColor="text1"/>
          <w:sz w:val="22"/>
          <w:szCs w:val="22"/>
        </w:rPr>
        <w:t>Cornell L. Rev.</w:t>
      </w:r>
      <w:r w:rsidRPr="00473814">
        <w:rPr>
          <w:rFonts w:asciiTheme="majorBidi" w:hAnsiTheme="majorBidi"/>
          <w:color w:val="000000" w:themeColor="text1"/>
          <w:sz w:val="22"/>
          <w:szCs w:val="22"/>
        </w:rPr>
        <w:t xml:space="preserve"> 91 (2020); Lucian A. Bebchuk, Kobi Kastiel &amp; Roberto Tallarita, </w:t>
      </w:r>
      <w:r w:rsidRPr="00473814">
        <w:rPr>
          <w:rFonts w:asciiTheme="majorBidi" w:hAnsiTheme="majorBidi"/>
          <w:i/>
          <w:iCs/>
          <w:color w:val="000000" w:themeColor="text1"/>
          <w:sz w:val="22"/>
          <w:szCs w:val="22"/>
        </w:rPr>
        <w:t>For Whom Corporate Leaders Bargain</w:t>
      </w:r>
      <w:r w:rsidRPr="00473814">
        <w:rPr>
          <w:rFonts w:asciiTheme="majorBidi" w:hAnsiTheme="majorBidi"/>
          <w:color w:val="000000" w:themeColor="text1"/>
          <w:sz w:val="22"/>
          <w:szCs w:val="22"/>
        </w:rPr>
        <w:t xml:space="preserve">, 94 </w:t>
      </w:r>
      <w:r w:rsidRPr="00473814">
        <w:rPr>
          <w:rFonts w:asciiTheme="majorBidi" w:hAnsiTheme="majorBidi"/>
          <w:smallCaps/>
          <w:color w:val="000000" w:themeColor="text1"/>
          <w:sz w:val="22"/>
          <w:szCs w:val="22"/>
        </w:rPr>
        <w:t>S. Cal. L. Rev.</w:t>
      </w:r>
      <w:r w:rsidRPr="00473814">
        <w:rPr>
          <w:rFonts w:asciiTheme="majorBidi" w:hAnsiTheme="majorBidi"/>
          <w:color w:val="000000" w:themeColor="text1"/>
          <w:sz w:val="22"/>
          <w:szCs w:val="22"/>
        </w:rPr>
        <w:t xml:space="preserve"> 1467 (2022); Lucian A. Bebchuk, Kobi Kastiel &amp; Roberto Tallarita, </w:t>
      </w:r>
      <w:r w:rsidRPr="00473814">
        <w:rPr>
          <w:rFonts w:asciiTheme="majorBidi" w:hAnsiTheme="majorBidi"/>
          <w:i/>
          <w:color w:val="000000" w:themeColor="text1"/>
          <w:sz w:val="22"/>
          <w:szCs w:val="22"/>
        </w:rPr>
        <w:t>Stakeholder Capitalism in the Time of Covid</w:t>
      </w:r>
      <w:r w:rsidRPr="00473814">
        <w:rPr>
          <w:rFonts w:asciiTheme="majorBidi" w:hAnsiTheme="majorBidi"/>
          <w:color w:val="000000" w:themeColor="text1"/>
          <w:sz w:val="22"/>
          <w:szCs w:val="22"/>
        </w:rPr>
        <w:t xml:space="preserve">, 40 </w:t>
      </w:r>
      <w:r w:rsidRPr="00473814">
        <w:rPr>
          <w:rFonts w:asciiTheme="majorBidi" w:hAnsiTheme="majorBidi"/>
          <w:smallCaps/>
          <w:color w:val="000000" w:themeColor="text1"/>
          <w:sz w:val="22"/>
          <w:szCs w:val="22"/>
        </w:rPr>
        <w:t>Yale J. on Reg.</w:t>
      </w:r>
      <w:r w:rsidRPr="00473814">
        <w:rPr>
          <w:rFonts w:asciiTheme="majorBidi" w:hAnsiTheme="majorBidi"/>
          <w:color w:val="000000" w:themeColor="text1"/>
          <w:sz w:val="22"/>
          <w:szCs w:val="22"/>
        </w:rPr>
        <w:t xml:space="preserve"> (forthcoming 2023), https://ssrn.com/abstract=4026803</w:t>
      </w:r>
      <w:r w:rsidRPr="00473814">
        <w:rPr>
          <w:rFonts w:asciiTheme="majorBidi" w:hAnsiTheme="majorBidi"/>
          <w:sz w:val="22"/>
          <w:szCs w:val="22"/>
        </w:rPr>
        <w:t xml:space="preserve">; </w:t>
      </w:r>
      <w:bookmarkStart w:id="2" w:name="_Hlk97191697"/>
      <w:r w:rsidR="0013443C" w:rsidRPr="00473814">
        <w:rPr>
          <w:rFonts w:asciiTheme="majorBidi" w:hAnsiTheme="majorBidi"/>
          <w:sz w:val="22"/>
          <w:szCs w:val="22"/>
        </w:rPr>
        <w:t>Lucian A. Bebchuk and Roberto Tallarita</w:t>
      </w:r>
      <w:bookmarkEnd w:id="2"/>
      <w:r w:rsidR="0013443C" w:rsidRPr="00473814">
        <w:rPr>
          <w:rFonts w:asciiTheme="majorBidi" w:hAnsiTheme="majorBidi"/>
          <w:sz w:val="22"/>
          <w:szCs w:val="22"/>
        </w:rPr>
        <w:t xml:space="preserve">, “Will Corporations Deliver Value to All Stakeholders?” 75 </w:t>
      </w:r>
      <w:r w:rsidR="0013443C" w:rsidRPr="00473814">
        <w:rPr>
          <w:rFonts w:asciiTheme="majorBidi" w:hAnsiTheme="majorBidi"/>
          <w:i/>
          <w:iCs/>
          <w:sz w:val="22"/>
          <w:szCs w:val="22"/>
        </w:rPr>
        <w:t xml:space="preserve">Vanderbilt Law Review </w:t>
      </w:r>
      <w:r w:rsidR="0013443C" w:rsidRPr="00473814">
        <w:rPr>
          <w:rFonts w:asciiTheme="majorBidi" w:hAnsiTheme="majorBidi"/>
          <w:sz w:val="22"/>
          <w:szCs w:val="22"/>
        </w:rPr>
        <w:t>(fort</w:t>
      </w:r>
      <w:r w:rsidR="00473814" w:rsidRPr="00473814">
        <w:rPr>
          <w:rFonts w:asciiTheme="majorBidi" w:hAnsiTheme="majorBidi"/>
          <w:sz w:val="22"/>
          <w:szCs w:val="22"/>
        </w:rPr>
        <w:t>h</w:t>
      </w:r>
      <w:r w:rsidR="0013443C" w:rsidRPr="00473814">
        <w:rPr>
          <w:rFonts w:asciiTheme="majorBidi" w:hAnsiTheme="majorBidi"/>
          <w:sz w:val="22"/>
          <w:szCs w:val="22"/>
        </w:rPr>
        <w:t>coming 2022),</w:t>
      </w:r>
      <w:r w:rsidR="004E4BC8" w:rsidRPr="00473814">
        <w:rPr>
          <w:rFonts w:asciiTheme="majorBidi" w:hAnsiTheme="majorBidi"/>
          <w:sz w:val="22"/>
          <w:szCs w:val="22"/>
        </w:rPr>
        <w:t xml:space="preserve"> </w:t>
      </w:r>
      <w:hyperlink r:id="rId4" w:history="1">
        <w:r w:rsidR="0013443C" w:rsidRPr="00473814">
          <w:rPr>
            <w:rStyle w:val="Hyperlink"/>
            <w:rFonts w:asciiTheme="majorBidi" w:hAnsiTheme="majorBidi"/>
            <w:color w:val="auto"/>
            <w:sz w:val="22"/>
            <w:szCs w:val="22"/>
            <w:u w:val="none"/>
          </w:rPr>
          <w:t>https://ssrn.com/abstract=3899421</w:t>
        </w:r>
      </w:hyperlink>
      <w:r w:rsidR="004E4BC8" w:rsidRPr="00473814">
        <w:rPr>
          <w:rFonts w:asciiTheme="majorBidi" w:hAnsiTheme="majorBidi"/>
          <w:sz w:val="22"/>
          <w:szCs w:val="22"/>
        </w:rPr>
        <w:t xml:space="preserve">; </w:t>
      </w:r>
      <w:r w:rsidRPr="00473814">
        <w:rPr>
          <w:rFonts w:asciiTheme="majorBidi" w:hAnsiTheme="majorBidi"/>
          <w:color w:val="000000" w:themeColor="text1"/>
          <w:sz w:val="22"/>
          <w:szCs w:val="22"/>
        </w:rPr>
        <w:t xml:space="preserve">Lucian A. Bebchuk, Kobi Kastiel &amp; Roberto Tallarita, </w:t>
      </w:r>
      <w:r w:rsidRPr="00473814">
        <w:rPr>
          <w:rFonts w:asciiTheme="majorBidi" w:hAnsiTheme="majorBidi"/>
          <w:i/>
          <w:iCs/>
          <w:color w:val="000000" w:themeColor="text1"/>
          <w:sz w:val="22"/>
          <w:szCs w:val="22"/>
        </w:rPr>
        <w:t>Does Enlightened Shareholder Value Add Value?</w:t>
      </w:r>
      <w:r w:rsidRPr="00473814">
        <w:rPr>
          <w:rFonts w:asciiTheme="majorBidi" w:hAnsiTheme="majorBidi"/>
          <w:color w:val="000000" w:themeColor="text1"/>
          <w:sz w:val="22"/>
          <w:szCs w:val="22"/>
        </w:rPr>
        <w:t xml:space="preserve">, 77 </w:t>
      </w:r>
      <w:r w:rsidRPr="00473814">
        <w:rPr>
          <w:rFonts w:asciiTheme="majorBidi" w:hAnsiTheme="majorBidi"/>
          <w:smallCaps/>
          <w:color w:val="000000" w:themeColor="text1"/>
          <w:sz w:val="22"/>
          <w:szCs w:val="22"/>
        </w:rPr>
        <w:t>Bus. Law.</w:t>
      </w:r>
      <w:r w:rsidRPr="00473814">
        <w:rPr>
          <w:rFonts w:asciiTheme="majorBidi" w:hAnsiTheme="majorBidi"/>
          <w:color w:val="000000" w:themeColor="text1"/>
          <w:sz w:val="22"/>
          <w:szCs w:val="22"/>
        </w:rPr>
        <w:t xml:space="preserve"> (</w:t>
      </w:r>
      <w:proofErr w:type="gramStart"/>
      <w:r w:rsidRPr="00473814">
        <w:rPr>
          <w:rFonts w:asciiTheme="majorBidi" w:hAnsiTheme="majorBidi"/>
          <w:color w:val="000000" w:themeColor="text1"/>
          <w:sz w:val="22"/>
          <w:szCs w:val="22"/>
        </w:rPr>
        <w:t>forthcoming</w:t>
      </w:r>
      <w:proofErr w:type="gramEnd"/>
      <w:r w:rsidRPr="00473814">
        <w:rPr>
          <w:rFonts w:asciiTheme="majorBidi" w:hAnsiTheme="majorBidi"/>
          <w:color w:val="000000" w:themeColor="text1"/>
          <w:sz w:val="22"/>
          <w:szCs w:val="22"/>
        </w:rPr>
        <w:t xml:space="preserve"> 2022), https://ssrn.com/abstract=4065731; and </w:t>
      </w:r>
      <w:r w:rsidRPr="00473814">
        <w:rPr>
          <w:rFonts w:asciiTheme="majorBidi" w:hAnsiTheme="majorBidi"/>
          <w:sz w:val="22"/>
          <w:szCs w:val="22"/>
        </w:rPr>
        <w:t xml:space="preserve">Lucian A. Bebchuk &amp; Roberto Tallarita, </w:t>
      </w:r>
      <w:r w:rsidRPr="00473814">
        <w:rPr>
          <w:rFonts w:asciiTheme="majorBidi" w:hAnsiTheme="majorBidi"/>
          <w:i/>
          <w:iCs/>
          <w:sz w:val="22"/>
          <w:szCs w:val="22"/>
        </w:rPr>
        <w:t>The Perils and Questionable Promise of ESG-Based Compensation</w:t>
      </w:r>
      <w:r w:rsidRPr="00473814">
        <w:rPr>
          <w:rFonts w:asciiTheme="majorBidi" w:hAnsiTheme="majorBidi"/>
          <w:sz w:val="22"/>
          <w:szCs w:val="22"/>
        </w:rPr>
        <w:t xml:space="preserve">, 48 </w:t>
      </w:r>
      <w:r w:rsidRPr="00473814">
        <w:rPr>
          <w:rFonts w:asciiTheme="majorBidi" w:hAnsiTheme="majorBidi"/>
          <w:smallCaps/>
          <w:sz w:val="22"/>
          <w:szCs w:val="22"/>
        </w:rPr>
        <w:t>J. Corp. L</w:t>
      </w:r>
      <w:r w:rsidRPr="00473814">
        <w:rPr>
          <w:rFonts w:asciiTheme="majorBidi" w:hAnsiTheme="majorBidi"/>
          <w:sz w:val="22"/>
          <w:szCs w:val="22"/>
        </w:rPr>
        <w:t>. (forthcoming 2022), https://ssrn.com/abstract=4048003.</w:t>
      </w:r>
    </w:p>
  </w:footnote>
  <w:footnote w:id="31">
    <w:p w14:paraId="1FCABE99" w14:textId="5E5657F7" w:rsidR="005A5349" w:rsidRPr="00473814" w:rsidRDefault="005A5349"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See Easterbrook and Fischel, supra note </w:t>
      </w:r>
      <w:proofErr w:type="gramStart"/>
      <w:r w:rsidRPr="00473814">
        <w:rPr>
          <w:rFonts w:asciiTheme="majorBidi" w:hAnsiTheme="majorBidi"/>
          <w:sz w:val="22"/>
          <w:szCs w:val="22"/>
        </w:rPr>
        <w:t>1</w:t>
      </w:r>
      <w:proofErr w:type="gramEnd"/>
      <w:r w:rsidRPr="00473814">
        <w:rPr>
          <w:rFonts w:asciiTheme="majorBidi" w:hAnsiTheme="majorBidi"/>
          <w:sz w:val="22"/>
          <w:szCs w:val="22"/>
        </w:rPr>
        <w:t xml:space="preserve">, at </w:t>
      </w:r>
      <w:r w:rsidR="008D761F">
        <w:rPr>
          <w:rFonts w:asciiTheme="majorBidi" w:hAnsiTheme="majorBidi"/>
          <w:sz w:val="22"/>
          <w:szCs w:val="22"/>
        </w:rPr>
        <w:t>35-39 (discussing the “maximands</w:t>
      </w:r>
      <w:r w:rsidR="00B44E63">
        <w:rPr>
          <w:rFonts w:asciiTheme="majorBidi" w:hAnsiTheme="majorBidi"/>
          <w:sz w:val="22"/>
          <w:szCs w:val="22"/>
        </w:rPr>
        <w:t>”</w:t>
      </w:r>
      <w:r w:rsidR="008D761F">
        <w:rPr>
          <w:rFonts w:asciiTheme="majorBidi" w:hAnsiTheme="majorBidi"/>
          <w:sz w:val="22"/>
          <w:szCs w:val="22"/>
        </w:rPr>
        <w:t xml:space="preserve"> that corporations should pursue). </w:t>
      </w:r>
    </w:p>
  </w:footnote>
  <w:footnote w:id="32">
    <w:p w14:paraId="3FFEBEE3" w14:textId="77777777" w:rsidR="005A5349" w:rsidRPr="00473814" w:rsidRDefault="005A5349"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In comments at the symposium, Frank Easterbrook and Daniel Fischel expressed different views on the extent to which their position has similar spirit to the position put forward by Milton Friedman. </w:t>
      </w:r>
    </w:p>
  </w:footnote>
  <w:footnote w:id="33">
    <w:p w14:paraId="2AEDD2FF" w14:textId="0355D25B" w:rsidR="005A5349" w:rsidRPr="00473814" w:rsidRDefault="005A5349" w:rsidP="00473814">
      <w:pPr>
        <w:pStyle w:val="FootnoteText"/>
        <w:spacing w:line="276" w:lineRule="auto"/>
        <w:jc w:val="both"/>
        <w:rPr>
          <w:rFonts w:asciiTheme="majorBidi" w:hAnsiTheme="majorBidi"/>
          <w:sz w:val="22"/>
          <w:szCs w:val="22"/>
        </w:rPr>
      </w:pPr>
      <w:r w:rsidRPr="00473814">
        <w:rPr>
          <w:rStyle w:val="FootnoteReference"/>
          <w:rFonts w:asciiTheme="majorBidi" w:hAnsiTheme="majorBidi"/>
          <w:sz w:val="22"/>
          <w:szCs w:val="22"/>
        </w:rPr>
        <w:footnoteRef/>
      </w:r>
      <w:r w:rsidRPr="00473814">
        <w:rPr>
          <w:rFonts w:asciiTheme="majorBidi" w:hAnsiTheme="majorBidi"/>
          <w:sz w:val="22"/>
          <w:szCs w:val="22"/>
        </w:rPr>
        <w:t xml:space="preserve"> See Bebchuk, Three Conceptions of Capitalism, </w:t>
      </w:r>
      <w:r w:rsidR="0081527A" w:rsidRPr="00473814">
        <w:rPr>
          <w:rFonts w:asciiTheme="majorBidi" w:hAnsiTheme="majorBidi"/>
          <w:sz w:val="22"/>
          <w:szCs w:val="22"/>
        </w:rPr>
        <w:t>W</w:t>
      </w:r>
      <w:r w:rsidRPr="00473814">
        <w:rPr>
          <w:rFonts w:asciiTheme="majorBidi" w:hAnsiTheme="majorBidi"/>
          <w:sz w:val="22"/>
          <w:szCs w:val="22"/>
        </w:rPr>
        <w:t xml:space="preserve">orking </w:t>
      </w:r>
      <w:r w:rsidR="0081527A" w:rsidRPr="00473814">
        <w:rPr>
          <w:rFonts w:asciiTheme="majorBidi" w:hAnsiTheme="majorBidi"/>
          <w:sz w:val="22"/>
          <w:szCs w:val="22"/>
        </w:rPr>
        <w:t>D</w:t>
      </w:r>
      <w:r w:rsidRPr="00473814">
        <w:rPr>
          <w:rFonts w:asciiTheme="majorBidi" w:hAnsiTheme="majorBidi"/>
          <w:sz w:val="22"/>
          <w:szCs w:val="22"/>
        </w:rPr>
        <w:t>raft, May 2022</w:t>
      </w:r>
      <w:proofErr w:type="gramStart"/>
      <w:r w:rsidRPr="00473814">
        <w:rPr>
          <w:rFonts w:asciiTheme="majorBidi" w:hAnsiTheme="majorBidi"/>
          <w:sz w:val="22"/>
          <w:szCs w:val="22"/>
        </w:rPr>
        <w:t xml:space="preserve">.  </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821"/>
    <w:multiLevelType w:val="hybridMultilevel"/>
    <w:tmpl w:val="4D6A6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02453"/>
    <w:multiLevelType w:val="hybridMultilevel"/>
    <w:tmpl w:val="97E6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42087"/>
    <w:multiLevelType w:val="hybridMultilevel"/>
    <w:tmpl w:val="44EEB77C"/>
    <w:lvl w:ilvl="0" w:tplc="7F684ED4">
      <w:start w:val="1"/>
      <w:numFmt w:val="bullet"/>
      <w:lvlText w:val="•"/>
      <w:lvlJc w:val="left"/>
      <w:pPr>
        <w:tabs>
          <w:tab w:val="num" w:pos="720"/>
        </w:tabs>
        <w:ind w:left="720" w:hanging="360"/>
      </w:pPr>
      <w:rPr>
        <w:rFonts w:ascii="Arial" w:hAnsi="Arial" w:hint="default"/>
      </w:rPr>
    </w:lvl>
    <w:lvl w:ilvl="1" w:tplc="94FE580C">
      <w:start w:val="1"/>
      <w:numFmt w:val="bullet"/>
      <w:lvlText w:val="•"/>
      <w:lvlJc w:val="left"/>
      <w:pPr>
        <w:tabs>
          <w:tab w:val="num" w:pos="1440"/>
        </w:tabs>
        <w:ind w:left="1440" w:hanging="360"/>
      </w:pPr>
      <w:rPr>
        <w:rFonts w:ascii="Arial" w:hAnsi="Arial" w:hint="default"/>
      </w:rPr>
    </w:lvl>
    <w:lvl w:ilvl="2" w:tplc="1A8CD666" w:tentative="1">
      <w:start w:val="1"/>
      <w:numFmt w:val="bullet"/>
      <w:lvlText w:val="•"/>
      <w:lvlJc w:val="left"/>
      <w:pPr>
        <w:tabs>
          <w:tab w:val="num" w:pos="2160"/>
        </w:tabs>
        <w:ind w:left="2160" w:hanging="360"/>
      </w:pPr>
      <w:rPr>
        <w:rFonts w:ascii="Arial" w:hAnsi="Arial" w:hint="default"/>
      </w:rPr>
    </w:lvl>
    <w:lvl w:ilvl="3" w:tplc="B3846E50" w:tentative="1">
      <w:start w:val="1"/>
      <w:numFmt w:val="bullet"/>
      <w:lvlText w:val="•"/>
      <w:lvlJc w:val="left"/>
      <w:pPr>
        <w:tabs>
          <w:tab w:val="num" w:pos="2880"/>
        </w:tabs>
        <w:ind w:left="2880" w:hanging="360"/>
      </w:pPr>
      <w:rPr>
        <w:rFonts w:ascii="Arial" w:hAnsi="Arial" w:hint="default"/>
      </w:rPr>
    </w:lvl>
    <w:lvl w:ilvl="4" w:tplc="6F7420B2" w:tentative="1">
      <w:start w:val="1"/>
      <w:numFmt w:val="bullet"/>
      <w:lvlText w:val="•"/>
      <w:lvlJc w:val="left"/>
      <w:pPr>
        <w:tabs>
          <w:tab w:val="num" w:pos="3600"/>
        </w:tabs>
        <w:ind w:left="3600" w:hanging="360"/>
      </w:pPr>
      <w:rPr>
        <w:rFonts w:ascii="Arial" w:hAnsi="Arial" w:hint="default"/>
      </w:rPr>
    </w:lvl>
    <w:lvl w:ilvl="5" w:tplc="965EFD06" w:tentative="1">
      <w:start w:val="1"/>
      <w:numFmt w:val="bullet"/>
      <w:lvlText w:val="•"/>
      <w:lvlJc w:val="left"/>
      <w:pPr>
        <w:tabs>
          <w:tab w:val="num" w:pos="4320"/>
        </w:tabs>
        <w:ind w:left="4320" w:hanging="360"/>
      </w:pPr>
      <w:rPr>
        <w:rFonts w:ascii="Arial" w:hAnsi="Arial" w:hint="default"/>
      </w:rPr>
    </w:lvl>
    <w:lvl w:ilvl="6" w:tplc="6ACEC3D8" w:tentative="1">
      <w:start w:val="1"/>
      <w:numFmt w:val="bullet"/>
      <w:lvlText w:val="•"/>
      <w:lvlJc w:val="left"/>
      <w:pPr>
        <w:tabs>
          <w:tab w:val="num" w:pos="5040"/>
        </w:tabs>
        <w:ind w:left="5040" w:hanging="360"/>
      </w:pPr>
      <w:rPr>
        <w:rFonts w:ascii="Arial" w:hAnsi="Arial" w:hint="default"/>
      </w:rPr>
    </w:lvl>
    <w:lvl w:ilvl="7" w:tplc="D86E81BC" w:tentative="1">
      <w:start w:val="1"/>
      <w:numFmt w:val="bullet"/>
      <w:lvlText w:val="•"/>
      <w:lvlJc w:val="left"/>
      <w:pPr>
        <w:tabs>
          <w:tab w:val="num" w:pos="5760"/>
        </w:tabs>
        <w:ind w:left="5760" w:hanging="360"/>
      </w:pPr>
      <w:rPr>
        <w:rFonts w:ascii="Arial" w:hAnsi="Arial" w:hint="default"/>
      </w:rPr>
    </w:lvl>
    <w:lvl w:ilvl="8" w:tplc="9F0C19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5D4D04"/>
    <w:multiLevelType w:val="hybridMultilevel"/>
    <w:tmpl w:val="07AA68CA"/>
    <w:lvl w:ilvl="0" w:tplc="62B074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DB04EB"/>
    <w:multiLevelType w:val="hybridMultilevel"/>
    <w:tmpl w:val="496AB694"/>
    <w:lvl w:ilvl="0" w:tplc="FA008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B5492"/>
    <w:multiLevelType w:val="hybridMultilevel"/>
    <w:tmpl w:val="79764466"/>
    <w:lvl w:ilvl="0" w:tplc="B7EC8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971451">
    <w:abstractNumId w:val="1"/>
  </w:num>
  <w:num w:numId="2" w16cid:durableId="1369062916">
    <w:abstractNumId w:val="0"/>
  </w:num>
  <w:num w:numId="3" w16cid:durableId="1030759353">
    <w:abstractNumId w:val="3"/>
  </w:num>
  <w:num w:numId="4" w16cid:durableId="1784375845">
    <w:abstractNumId w:val="5"/>
  </w:num>
  <w:num w:numId="5" w16cid:durableId="1429497899">
    <w:abstractNumId w:val="2"/>
  </w:num>
  <w:num w:numId="6" w16cid:durableId="131032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E5"/>
    <w:rsid w:val="00000A4A"/>
    <w:rsid w:val="0000106D"/>
    <w:rsid w:val="00002939"/>
    <w:rsid w:val="00002B23"/>
    <w:rsid w:val="00003CFA"/>
    <w:rsid w:val="00004B0A"/>
    <w:rsid w:val="00006817"/>
    <w:rsid w:val="0001117C"/>
    <w:rsid w:val="0001213D"/>
    <w:rsid w:val="0001350F"/>
    <w:rsid w:val="00015AA7"/>
    <w:rsid w:val="00025DF3"/>
    <w:rsid w:val="000302CC"/>
    <w:rsid w:val="00032FD5"/>
    <w:rsid w:val="00040C45"/>
    <w:rsid w:val="000424B0"/>
    <w:rsid w:val="00043DDA"/>
    <w:rsid w:val="00044C8E"/>
    <w:rsid w:val="00050CDE"/>
    <w:rsid w:val="000547A9"/>
    <w:rsid w:val="00074350"/>
    <w:rsid w:val="00075273"/>
    <w:rsid w:val="00080D73"/>
    <w:rsid w:val="00081498"/>
    <w:rsid w:val="000853EF"/>
    <w:rsid w:val="00092653"/>
    <w:rsid w:val="00094B07"/>
    <w:rsid w:val="00094C2E"/>
    <w:rsid w:val="00094FFA"/>
    <w:rsid w:val="0009698F"/>
    <w:rsid w:val="00097547"/>
    <w:rsid w:val="000A73B4"/>
    <w:rsid w:val="000B3DF4"/>
    <w:rsid w:val="000B4F79"/>
    <w:rsid w:val="000C6C4E"/>
    <w:rsid w:val="000C7AE5"/>
    <w:rsid w:val="000D147E"/>
    <w:rsid w:val="000D4EC3"/>
    <w:rsid w:val="000D5C37"/>
    <w:rsid w:val="000E26DB"/>
    <w:rsid w:val="000F1BB9"/>
    <w:rsid w:val="000F1E3A"/>
    <w:rsid w:val="000F3165"/>
    <w:rsid w:val="000F345F"/>
    <w:rsid w:val="000F59C4"/>
    <w:rsid w:val="00101664"/>
    <w:rsid w:val="00101ECD"/>
    <w:rsid w:val="0011525F"/>
    <w:rsid w:val="00121AC9"/>
    <w:rsid w:val="001233D9"/>
    <w:rsid w:val="00123FD8"/>
    <w:rsid w:val="001247A6"/>
    <w:rsid w:val="001249EB"/>
    <w:rsid w:val="00125BD4"/>
    <w:rsid w:val="0012629A"/>
    <w:rsid w:val="00126ACC"/>
    <w:rsid w:val="00130DFF"/>
    <w:rsid w:val="0013226F"/>
    <w:rsid w:val="0013443C"/>
    <w:rsid w:val="00146BDF"/>
    <w:rsid w:val="00150EB1"/>
    <w:rsid w:val="001566F5"/>
    <w:rsid w:val="001630FA"/>
    <w:rsid w:val="00172AB4"/>
    <w:rsid w:val="00174E02"/>
    <w:rsid w:val="00176D8E"/>
    <w:rsid w:val="00180595"/>
    <w:rsid w:val="001813CB"/>
    <w:rsid w:val="0018481A"/>
    <w:rsid w:val="0018482F"/>
    <w:rsid w:val="0018546C"/>
    <w:rsid w:val="00186170"/>
    <w:rsid w:val="001920DF"/>
    <w:rsid w:val="00192A62"/>
    <w:rsid w:val="001962A7"/>
    <w:rsid w:val="001A22A0"/>
    <w:rsid w:val="001A67A3"/>
    <w:rsid w:val="001B249B"/>
    <w:rsid w:val="001B31CC"/>
    <w:rsid w:val="001C06BA"/>
    <w:rsid w:val="001C1A46"/>
    <w:rsid w:val="001C3FFC"/>
    <w:rsid w:val="001D0D4C"/>
    <w:rsid w:val="001D711D"/>
    <w:rsid w:val="001E0AA3"/>
    <w:rsid w:val="001E0FD4"/>
    <w:rsid w:val="001E68B5"/>
    <w:rsid w:val="001F1E21"/>
    <w:rsid w:val="001F4163"/>
    <w:rsid w:val="002020F6"/>
    <w:rsid w:val="00205E6B"/>
    <w:rsid w:val="0021127F"/>
    <w:rsid w:val="00216C82"/>
    <w:rsid w:val="002177CE"/>
    <w:rsid w:val="00220001"/>
    <w:rsid w:val="00223993"/>
    <w:rsid w:val="00226BC9"/>
    <w:rsid w:val="002355CB"/>
    <w:rsid w:val="00237354"/>
    <w:rsid w:val="00241395"/>
    <w:rsid w:val="0025112A"/>
    <w:rsid w:val="0025170B"/>
    <w:rsid w:val="00253502"/>
    <w:rsid w:val="00253CCB"/>
    <w:rsid w:val="00255212"/>
    <w:rsid w:val="00256B7A"/>
    <w:rsid w:val="002714C5"/>
    <w:rsid w:val="0027247F"/>
    <w:rsid w:val="0027287B"/>
    <w:rsid w:val="00273573"/>
    <w:rsid w:val="0027380A"/>
    <w:rsid w:val="00275627"/>
    <w:rsid w:val="00276A7F"/>
    <w:rsid w:val="00277C8F"/>
    <w:rsid w:val="00283BB7"/>
    <w:rsid w:val="00283FF6"/>
    <w:rsid w:val="002865A3"/>
    <w:rsid w:val="00291C40"/>
    <w:rsid w:val="002941A0"/>
    <w:rsid w:val="0029503C"/>
    <w:rsid w:val="002A1834"/>
    <w:rsid w:val="002A37EB"/>
    <w:rsid w:val="002B3328"/>
    <w:rsid w:val="002B55F2"/>
    <w:rsid w:val="002B6633"/>
    <w:rsid w:val="002B76AF"/>
    <w:rsid w:val="002C6974"/>
    <w:rsid w:val="002D053E"/>
    <w:rsid w:val="002D0DCA"/>
    <w:rsid w:val="002E0CCA"/>
    <w:rsid w:val="002E2CA3"/>
    <w:rsid w:val="002E450A"/>
    <w:rsid w:val="002E45B1"/>
    <w:rsid w:val="002E49C3"/>
    <w:rsid w:val="002E5181"/>
    <w:rsid w:val="002F374B"/>
    <w:rsid w:val="002F5049"/>
    <w:rsid w:val="00302DA3"/>
    <w:rsid w:val="00311385"/>
    <w:rsid w:val="00311F47"/>
    <w:rsid w:val="003137B8"/>
    <w:rsid w:val="00321509"/>
    <w:rsid w:val="00323E7F"/>
    <w:rsid w:val="0032652C"/>
    <w:rsid w:val="003305F5"/>
    <w:rsid w:val="003341B6"/>
    <w:rsid w:val="00335B05"/>
    <w:rsid w:val="00337CF2"/>
    <w:rsid w:val="00340426"/>
    <w:rsid w:val="00347079"/>
    <w:rsid w:val="00347805"/>
    <w:rsid w:val="00351ABA"/>
    <w:rsid w:val="00354FA9"/>
    <w:rsid w:val="00356173"/>
    <w:rsid w:val="00356C45"/>
    <w:rsid w:val="00365060"/>
    <w:rsid w:val="00373A2E"/>
    <w:rsid w:val="0038036B"/>
    <w:rsid w:val="00381EBB"/>
    <w:rsid w:val="00384BCF"/>
    <w:rsid w:val="00386BB9"/>
    <w:rsid w:val="00390C85"/>
    <w:rsid w:val="003919C5"/>
    <w:rsid w:val="00394D30"/>
    <w:rsid w:val="00394EB6"/>
    <w:rsid w:val="003A3137"/>
    <w:rsid w:val="003A5A77"/>
    <w:rsid w:val="003B66F1"/>
    <w:rsid w:val="003C05FE"/>
    <w:rsid w:val="003C1714"/>
    <w:rsid w:val="003E2400"/>
    <w:rsid w:val="003E2C9D"/>
    <w:rsid w:val="003E5CF1"/>
    <w:rsid w:val="003F462C"/>
    <w:rsid w:val="003F4749"/>
    <w:rsid w:val="003F5F12"/>
    <w:rsid w:val="004021A6"/>
    <w:rsid w:val="00402F5F"/>
    <w:rsid w:val="0040354E"/>
    <w:rsid w:val="00406D90"/>
    <w:rsid w:val="004101A9"/>
    <w:rsid w:val="00412BC4"/>
    <w:rsid w:val="004142EE"/>
    <w:rsid w:val="00414B81"/>
    <w:rsid w:val="00415B1E"/>
    <w:rsid w:val="004277C1"/>
    <w:rsid w:val="0043134A"/>
    <w:rsid w:val="00433626"/>
    <w:rsid w:val="0043685C"/>
    <w:rsid w:val="00441F79"/>
    <w:rsid w:val="004460A9"/>
    <w:rsid w:val="004604FA"/>
    <w:rsid w:val="00466066"/>
    <w:rsid w:val="004668A5"/>
    <w:rsid w:val="00473814"/>
    <w:rsid w:val="00485B79"/>
    <w:rsid w:val="00487410"/>
    <w:rsid w:val="004879D4"/>
    <w:rsid w:val="0049057D"/>
    <w:rsid w:val="00490F06"/>
    <w:rsid w:val="0049200B"/>
    <w:rsid w:val="00497072"/>
    <w:rsid w:val="004A094B"/>
    <w:rsid w:val="004A4C08"/>
    <w:rsid w:val="004A6A89"/>
    <w:rsid w:val="004A73D6"/>
    <w:rsid w:val="004B368A"/>
    <w:rsid w:val="004B3DC9"/>
    <w:rsid w:val="004B6929"/>
    <w:rsid w:val="004C021E"/>
    <w:rsid w:val="004C0930"/>
    <w:rsid w:val="004C0C65"/>
    <w:rsid w:val="004C0E04"/>
    <w:rsid w:val="004C2D14"/>
    <w:rsid w:val="004C3151"/>
    <w:rsid w:val="004C3AC5"/>
    <w:rsid w:val="004D08D0"/>
    <w:rsid w:val="004D1316"/>
    <w:rsid w:val="004D446E"/>
    <w:rsid w:val="004E1223"/>
    <w:rsid w:val="004E1E06"/>
    <w:rsid w:val="004E4BC8"/>
    <w:rsid w:val="004E6DB4"/>
    <w:rsid w:val="004E749C"/>
    <w:rsid w:val="004F02DC"/>
    <w:rsid w:val="00505034"/>
    <w:rsid w:val="00505590"/>
    <w:rsid w:val="00507D4C"/>
    <w:rsid w:val="00510180"/>
    <w:rsid w:val="005109D1"/>
    <w:rsid w:val="00513224"/>
    <w:rsid w:val="00514009"/>
    <w:rsid w:val="00516C55"/>
    <w:rsid w:val="00517797"/>
    <w:rsid w:val="00517852"/>
    <w:rsid w:val="00520265"/>
    <w:rsid w:val="00523573"/>
    <w:rsid w:val="00525194"/>
    <w:rsid w:val="00526BEE"/>
    <w:rsid w:val="00526EFA"/>
    <w:rsid w:val="0052740C"/>
    <w:rsid w:val="00533785"/>
    <w:rsid w:val="005374D6"/>
    <w:rsid w:val="0054151D"/>
    <w:rsid w:val="00542823"/>
    <w:rsid w:val="00550F74"/>
    <w:rsid w:val="00553135"/>
    <w:rsid w:val="00553DE6"/>
    <w:rsid w:val="00574BE4"/>
    <w:rsid w:val="00574E07"/>
    <w:rsid w:val="005829EE"/>
    <w:rsid w:val="00586FD2"/>
    <w:rsid w:val="00596225"/>
    <w:rsid w:val="005A2F92"/>
    <w:rsid w:val="005A5349"/>
    <w:rsid w:val="005A730A"/>
    <w:rsid w:val="005A7A61"/>
    <w:rsid w:val="005B061A"/>
    <w:rsid w:val="005B0A6D"/>
    <w:rsid w:val="005B1D86"/>
    <w:rsid w:val="005B3ABA"/>
    <w:rsid w:val="005B6BBF"/>
    <w:rsid w:val="005C2B6C"/>
    <w:rsid w:val="005C2E98"/>
    <w:rsid w:val="005C45AC"/>
    <w:rsid w:val="005C49EF"/>
    <w:rsid w:val="005C67D1"/>
    <w:rsid w:val="005D0468"/>
    <w:rsid w:val="005D0E46"/>
    <w:rsid w:val="005D7A3C"/>
    <w:rsid w:val="005E157D"/>
    <w:rsid w:val="005E5071"/>
    <w:rsid w:val="005E60C6"/>
    <w:rsid w:val="005E6DD0"/>
    <w:rsid w:val="006024AF"/>
    <w:rsid w:val="006044D8"/>
    <w:rsid w:val="00604E4F"/>
    <w:rsid w:val="00606091"/>
    <w:rsid w:val="00607A0E"/>
    <w:rsid w:val="00623171"/>
    <w:rsid w:val="00630E53"/>
    <w:rsid w:val="00634145"/>
    <w:rsid w:val="00635BD4"/>
    <w:rsid w:val="00636D06"/>
    <w:rsid w:val="00637B2A"/>
    <w:rsid w:val="006448FF"/>
    <w:rsid w:val="00646C09"/>
    <w:rsid w:val="00650658"/>
    <w:rsid w:val="00662E94"/>
    <w:rsid w:val="0066590F"/>
    <w:rsid w:val="00665F8B"/>
    <w:rsid w:val="00670E8F"/>
    <w:rsid w:val="00674AAA"/>
    <w:rsid w:val="00677841"/>
    <w:rsid w:val="00680FA7"/>
    <w:rsid w:val="00682567"/>
    <w:rsid w:val="00690DCB"/>
    <w:rsid w:val="00691FE7"/>
    <w:rsid w:val="006926E1"/>
    <w:rsid w:val="00692DFF"/>
    <w:rsid w:val="00692FB6"/>
    <w:rsid w:val="00693838"/>
    <w:rsid w:val="006A5567"/>
    <w:rsid w:val="006B1C83"/>
    <w:rsid w:val="006B2B2D"/>
    <w:rsid w:val="006C4B59"/>
    <w:rsid w:val="006D2FF1"/>
    <w:rsid w:val="006D3C20"/>
    <w:rsid w:val="006D5B66"/>
    <w:rsid w:val="006E044F"/>
    <w:rsid w:val="006E31B2"/>
    <w:rsid w:val="006E531E"/>
    <w:rsid w:val="006E6BF1"/>
    <w:rsid w:val="006F2D4C"/>
    <w:rsid w:val="006F2ECF"/>
    <w:rsid w:val="006F5408"/>
    <w:rsid w:val="00700C34"/>
    <w:rsid w:val="00700F99"/>
    <w:rsid w:val="0070167A"/>
    <w:rsid w:val="00706C53"/>
    <w:rsid w:val="007076F8"/>
    <w:rsid w:val="007149F4"/>
    <w:rsid w:val="00717AD6"/>
    <w:rsid w:val="0072342F"/>
    <w:rsid w:val="0072346C"/>
    <w:rsid w:val="007271D6"/>
    <w:rsid w:val="0073035F"/>
    <w:rsid w:val="0073294B"/>
    <w:rsid w:val="0074060D"/>
    <w:rsid w:val="007431C5"/>
    <w:rsid w:val="00743AF1"/>
    <w:rsid w:val="00745943"/>
    <w:rsid w:val="00760CB5"/>
    <w:rsid w:val="00760D6C"/>
    <w:rsid w:val="00763895"/>
    <w:rsid w:val="00765403"/>
    <w:rsid w:val="007663E1"/>
    <w:rsid w:val="00772546"/>
    <w:rsid w:val="00780E78"/>
    <w:rsid w:val="00781DA0"/>
    <w:rsid w:val="00783A26"/>
    <w:rsid w:val="007854C7"/>
    <w:rsid w:val="00785B48"/>
    <w:rsid w:val="00787103"/>
    <w:rsid w:val="0079238D"/>
    <w:rsid w:val="00792F22"/>
    <w:rsid w:val="00794F76"/>
    <w:rsid w:val="007A5E69"/>
    <w:rsid w:val="007A6201"/>
    <w:rsid w:val="007B1ED3"/>
    <w:rsid w:val="007B66FC"/>
    <w:rsid w:val="007C0B6F"/>
    <w:rsid w:val="007C394A"/>
    <w:rsid w:val="007D31D3"/>
    <w:rsid w:val="007D54F4"/>
    <w:rsid w:val="007E2D9E"/>
    <w:rsid w:val="007E4152"/>
    <w:rsid w:val="007F55C2"/>
    <w:rsid w:val="0080145C"/>
    <w:rsid w:val="00801DEA"/>
    <w:rsid w:val="0080211D"/>
    <w:rsid w:val="00805F47"/>
    <w:rsid w:val="00807B3A"/>
    <w:rsid w:val="00811BBF"/>
    <w:rsid w:val="00812C31"/>
    <w:rsid w:val="00813FEC"/>
    <w:rsid w:val="0081527A"/>
    <w:rsid w:val="008153D4"/>
    <w:rsid w:val="00817EC9"/>
    <w:rsid w:val="00822F1A"/>
    <w:rsid w:val="00825BF0"/>
    <w:rsid w:val="00832DCA"/>
    <w:rsid w:val="0083383E"/>
    <w:rsid w:val="008406F7"/>
    <w:rsid w:val="00842A27"/>
    <w:rsid w:val="00844B48"/>
    <w:rsid w:val="00844C96"/>
    <w:rsid w:val="00846B43"/>
    <w:rsid w:val="00850526"/>
    <w:rsid w:val="00851AB9"/>
    <w:rsid w:val="008541F4"/>
    <w:rsid w:val="00864594"/>
    <w:rsid w:val="00866798"/>
    <w:rsid w:val="00870847"/>
    <w:rsid w:val="008803F1"/>
    <w:rsid w:val="00880BE0"/>
    <w:rsid w:val="008B05B1"/>
    <w:rsid w:val="008B4B95"/>
    <w:rsid w:val="008B4E34"/>
    <w:rsid w:val="008C0F97"/>
    <w:rsid w:val="008C1E0D"/>
    <w:rsid w:val="008D15AB"/>
    <w:rsid w:val="008D75C7"/>
    <w:rsid w:val="008D761F"/>
    <w:rsid w:val="008F3BE9"/>
    <w:rsid w:val="008F682E"/>
    <w:rsid w:val="008F7EDF"/>
    <w:rsid w:val="00900650"/>
    <w:rsid w:val="00901C1C"/>
    <w:rsid w:val="00905B01"/>
    <w:rsid w:val="009273C6"/>
    <w:rsid w:val="00931B22"/>
    <w:rsid w:val="00933BFD"/>
    <w:rsid w:val="0093563E"/>
    <w:rsid w:val="00937C26"/>
    <w:rsid w:val="009407ED"/>
    <w:rsid w:val="00952E61"/>
    <w:rsid w:val="00966BF4"/>
    <w:rsid w:val="00971DF9"/>
    <w:rsid w:val="00985BD8"/>
    <w:rsid w:val="00994C3F"/>
    <w:rsid w:val="009A4636"/>
    <w:rsid w:val="009A6BBA"/>
    <w:rsid w:val="009A7FA5"/>
    <w:rsid w:val="009B04AC"/>
    <w:rsid w:val="009B0AD8"/>
    <w:rsid w:val="009B276D"/>
    <w:rsid w:val="009B5AE6"/>
    <w:rsid w:val="009B6BD1"/>
    <w:rsid w:val="009C0177"/>
    <w:rsid w:val="009C03E3"/>
    <w:rsid w:val="009C05D6"/>
    <w:rsid w:val="009C0ACF"/>
    <w:rsid w:val="009C40BD"/>
    <w:rsid w:val="009D26FD"/>
    <w:rsid w:val="009D5400"/>
    <w:rsid w:val="009D69EA"/>
    <w:rsid w:val="009D7FEE"/>
    <w:rsid w:val="009E005F"/>
    <w:rsid w:val="009E0AFF"/>
    <w:rsid w:val="009E42ED"/>
    <w:rsid w:val="009E69F2"/>
    <w:rsid w:val="009F0E0E"/>
    <w:rsid w:val="009F1AFA"/>
    <w:rsid w:val="009F3782"/>
    <w:rsid w:val="00A01E4D"/>
    <w:rsid w:val="00A059E4"/>
    <w:rsid w:val="00A06285"/>
    <w:rsid w:val="00A14875"/>
    <w:rsid w:val="00A15FFF"/>
    <w:rsid w:val="00A206A1"/>
    <w:rsid w:val="00A20935"/>
    <w:rsid w:val="00A211CE"/>
    <w:rsid w:val="00A2162D"/>
    <w:rsid w:val="00A21B3E"/>
    <w:rsid w:val="00A220BD"/>
    <w:rsid w:val="00A22930"/>
    <w:rsid w:val="00A2304D"/>
    <w:rsid w:val="00A23CA6"/>
    <w:rsid w:val="00A262F3"/>
    <w:rsid w:val="00A3168C"/>
    <w:rsid w:val="00A333EA"/>
    <w:rsid w:val="00A3698F"/>
    <w:rsid w:val="00A3747F"/>
    <w:rsid w:val="00A379EA"/>
    <w:rsid w:val="00A40EBD"/>
    <w:rsid w:val="00A43F88"/>
    <w:rsid w:val="00A47F32"/>
    <w:rsid w:val="00A519A9"/>
    <w:rsid w:val="00A53E42"/>
    <w:rsid w:val="00A53FC3"/>
    <w:rsid w:val="00A60D1A"/>
    <w:rsid w:val="00A61E0E"/>
    <w:rsid w:val="00A637D9"/>
    <w:rsid w:val="00A67787"/>
    <w:rsid w:val="00A74434"/>
    <w:rsid w:val="00A74FFE"/>
    <w:rsid w:val="00A7578F"/>
    <w:rsid w:val="00A77E92"/>
    <w:rsid w:val="00A81B39"/>
    <w:rsid w:val="00A8751E"/>
    <w:rsid w:val="00A952B5"/>
    <w:rsid w:val="00AB0F51"/>
    <w:rsid w:val="00AB60E9"/>
    <w:rsid w:val="00AC65A0"/>
    <w:rsid w:val="00AC7D6B"/>
    <w:rsid w:val="00AD113D"/>
    <w:rsid w:val="00AD2F6D"/>
    <w:rsid w:val="00AD7D10"/>
    <w:rsid w:val="00AE03C9"/>
    <w:rsid w:val="00AE146C"/>
    <w:rsid w:val="00AE1CDD"/>
    <w:rsid w:val="00AE1D57"/>
    <w:rsid w:val="00AE72DA"/>
    <w:rsid w:val="00B02F9A"/>
    <w:rsid w:val="00B26BC6"/>
    <w:rsid w:val="00B31257"/>
    <w:rsid w:val="00B35A6E"/>
    <w:rsid w:val="00B44E63"/>
    <w:rsid w:val="00B627EF"/>
    <w:rsid w:val="00B628C3"/>
    <w:rsid w:val="00B63B42"/>
    <w:rsid w:val="00B65548"/>
    <w:rsid w:val="00B65D98"/>
    <w:rsid w:val="00B7619A"/>
    <w:rsid w:val="00B8179D"/>
    <w:rsid w:val="00B8221B"/>
    <w:rsid w:val="00B8237A"/>
    <w:rsid w:val="00B8269F"/>
    <w:rsid w:val="00B856F0"/>
    <w:rsid w:val="00B859DD"/>
    <w:rsid w:val="00B86136"/>
    <w:rsid w:val="00B87BD1"/>
    <w:rsid w:val="00B87F74"/>
    <w:rsid w:val="00B95D5B"/>
    <w:rsid w:val="00B9692F"/>
    <w:rsid w:val="00B96FA5"/>
    <w:rsid w:val="00BA45F6"/>
    <w:rsid w:val="00BB0475"/>
    <w:rsid w:val="00BB204C"/>
    <w:rsid w:val="00BB6793"/>
    <w:rsid w:val="00BB769A"/>
    <w:rsid w:val="00BC1917"/>
    <w:rsid w:val="00BD1E6D"/>
    <w:rsid w:val="00BD32AC"/>
    <w:rsid w:val="00BD3D19"/>
    <w:rsid w:val="00BD7849"/>
    <w:rsid w:val="00BE15E4"/>
    <w:rsid w:val="00BE6A29"/>
    <w:rsid w:val="00BF2604"/>
    <w:rsid w:val="00C014DF"/>
    <w:rsid w:val="00C02C30"/>
    <w:rsid w:val="00C031CE"/>
    <w:rsid w:val="00C0535B"/>
    <w:rsid w:val="00C10BE7"/>
    <w:rsid w:val="00C10C08"/>
    <w:rsid w:val="00C11DB5"/>
    <w:rsid w:val="00C140BC"/>
    <w:rsid w:val="00C14CA3"/>
    <w:rsid w:val="00C24B79"/>
    <w:rsid w:val="00C2549C"/>
    <w:rsid w:val="00C31769"/>
    <w:rsid w:val="00C343D0"/>
    <w:rsid w:val="00C34A1B"/>
    <w:rsid w:val="00C4036A"/>
    <w:rsid w:val="00C52654"/>
    <w:rsid w:val="00C534EC"/>
    <w:rsid w:val="00C56CE8"/>
    <w:rsid w:val="00C63143"/>
    <w:rsid w:val="00C639DF"/>
    <w:rsid w:val="00C65483"/>
    <w:rsid w:val="00C67EA9"/>
    <w:rsid w:val="00C74645"/>
    <w:rsid w:val="00C80220"/>
    <w:rsid w:val="00C82FB1"/>
    <w:rsid w:val="00C85E1B"/>
    <w:rsid w:val="00C85E82"/>
    <w:rsid w:val="00C8728B"/>
    <w:rsid w:val="00C873C0"/>
    <w:rsid w:val="00C903A6"/>
    <w:rsid w:val="00C9480C"/>
    <w:rsid w:val="00CA3E98"/>
    <w:rsid w:val="00CA4E3C"/>
    <w:rsid w:val="00CB028D"/>
    <w:rsid w:val="00CB3F55"/>
    <w:rsid w:val="00CB6839"/>
    <w:rsid w:val="00CC0FA5"/>
    <w:rsid w:val="00CC2A6E"/>
    <w:rsid w:val="00CC4C14"/>
    <w:rsid w:val="00CC678C"/>
    <w:rsid w:val="00CD095E"/>
    <w:rsid w:val="00CD2380"/>
    <w:rsid w:val="00CD7C11"/>
    <w:rsid w:val="00CE268A"/>
    <w:rsid w:val="00CE3F92"/>
    <w:rsid w:val="00CE5965"/>
    <w:rsid w:val="00CF05D1"/>
    <w:rsid w:val="00D02B6B"/>
    <w:rsid w:val="00D24F80"/>
    <w:rsid w:val="00D32A9A"/>
    <w:rsid w:val="00D342E6"/>
    <w:rsid w:val="00D34CA7"/>
    <w:rsid w:val="00D35D0B"/>
    <w:rsid w:val="00D37654"/>
    <w:rsid w:val="00D37883"/>
    <w:rsid w:val="00D50708"/>
    <w:rsid w:val="00D51280"/>
    <w:rsid w:val="00D540D2"/>
    <w:rsid w:val="00D55CB0"/>
    <w:rsid w:val="00D576A8"/>
    <w:rsid w:val="00D6457D"/>
    <w:rsid w:val="00D703A4"/>
    <w:rsid w:val="00D70E25"/>
    <w:rsid w:val="00D765F1"/>
    <w:rsid w:val="00D86F1B"/>
    <w:rsid w:val="00D94FAE"/>
    <w:rsid w:val="00D97366"/>
    <w:rsid w:val="00DA5583"/>
    <w:rsid w:val="00DA6A04"/>
    <w:rsid w:val="00DA6E49"/>
    <w:rsid w:val="00DB3DD5"/>
    <w:rsid w:val="00DC2D75"/>
    <w:rsid w:val="00DC3543"/>
    <w:rsid w:val="00DC3F25"/>
    <w:rsid w:val="00DC56D5"/>
    <w:rsid w:val="00DD7235"/>
    <w:rsid w:val="00DD7C61"/>
    <w:rsid w:val="00DE0654"/>
    <w:rsid w:val="00DE16C0"/>
    <w:rsid w:val="00DE24A3"/>
    <w:rsid w:val="00DE4B0E"/>
    <w:rsid w:val="00DE4C01"/>
    <w:rsid w:val="00DE5EE5"/>
    <w:rsid w:val="00DE6132"/>
    <w:rsid w:val="00DE7FD5"/>
    <w:rsid w:val="00DF1818"/>
    <w:rsid w:val="00DF331C"/>
    <w:rsid w:val="00DF4E14"/>
    <w:rsid w:val="00E01379"/>
    <w:rsid w:val="00E01D84"/>
    <w:rsid w:val="00E02B3D"/>
    <w:rsid w:val="00E03CE0"/>
    <w:rsid w:val="00E042AB"/>
    <w:rsid w:val="00E14820"/>
    <w:rsid w:val="00E32984"/>
    <w:rsid w:val="00E40968"/>
    <w:rsid w:val="00E43239"/>
    <w:rsid w:val="00E45A76"/>
    <w:rsid w:val="00E507BF"/>
    <w:rsid w:val="00E57E35"/>
    <w:rsid w:val="00E61A7D"/>
    <w:rsid w:val="00E66C2A"/>
    <w:rsid w:val="00E72E47"/>
    <w:rsid w:val="00E7448E"/>
    <w:rsid w:val="00E74E60"/>
    <w:rsid w:val="00E7618A"/>
    <w:rsid w:val="00E76FB6"/>
    <w:rsid w:val="00E828DF"/>
    <w:rsid w:val="00E83CF4"/>
    <w:rsid w:val="00E85CED"/>
    <w:rsid w:val="00E85F98"/>
    <w:rsid w:val="00E913A0"/>
    <w:rsid w:val="00E92731"/>
    <w:rsid w:val="00E92AD7"/>
    <w:rsid w:val="00E93FFE"/>
    <w:rsid w:val="00E9780A"/>
    <w:rsid w:val="00EB13F4"/>
    <w:rsid w:val="00EB2C10"/>
    <w:rsid w:val="00EB2C42"/>
    <w:rsid w:val="00EB3E16"/>
    <w:rsid w:val="00EB439B"/>
    <w:rsid w:val="00EB4C3E"/>
    <w:rsid w:val="00EB6918"/>
    <w:rsid w:val="00EC0048"/>
    <w:rsid w:val="00EC4608"/>
    <w:rsid w:val="00EC466F"/>
    <w:rsid w:val="00EC4C79"/>
    <w:rsid w:val="00ED00BA"/>
    <w:rsid w:val="00ED72C7"/>
    <w:rsid w:val="00EE322E"/>
    <w:rsid w:val="00EE4DD6"/>
    <w:rsid w:val="00EE709B"/>
    <w:rsid w:val="00EF0C4B"/>
    <w:rsid w:val="00F00D74"/>
    <w:rsid w:val="00F031F6"/>
    <w:rsid w:val="00F123BC"/>
    <w:rsid w:val="00F169A2"/>
    <w:rsid w:val="00F20C2B"/>
    <w:rsid w:val="00F26B95"/>
    <w:rsid w:val="00F26D61"/>
    <w:rsid w:val="00F27F27"/>
    <w:rsid w:val="00F32C6F"/>
    <w:rsid w:val="00F33E3D"/>
    <w:rsid w:val="00F35ABB"/>
    <w:rsid w:val="00F4159F"/>
    <w:rsid w:val="00F41BB3"/>
    <w:rsid w:val="00F422BB"/>
    <w:rsid w:val="00F42ABD"/>
    <w:rsid w:val="00F4353A"/>
    <w:rsid w:val="00F466DE"/>
    <w:rsid w:val="00F52FC0"/>
    <w:rsid w:val="00F55308"/>
    <w:rsid w:val="00F608BA"/>
    <w:rsid w:val="00F625BE"/>
    <w:rsid w:val="00F62EA4"/>
    <w:rsid w:val="00F64596"/>
    <w:rsid w:val="00F64A5E"/>
    <w:rsid w:val="00F738DA"/>
    <w:rsid w:val="00F77C44"/>
    <w:rsid w:val="00F80D58"/>
    <w:rsid w:val="00F81D59"/>
    <w:rsid w:val="00F83EA4"/>
    <w:rsid w:val="00F86027"/>
    <w:rsid w:val="00F86CB9"/>
    <w:rsid w:val="00F933C8"/>
    <w:rsid w:val="00F935FC"/>
    <w:rsid w:val="00FA2533"/>
    <w:rsid w:val="00FA55FC"/>
    <w:rsid w:val="00FA7841"/>
    <w:rsid w:val="00FB219D"/>
    <w:rsid w:val="00FB2CDE"/>
    <w:rsid w:val="00FB37B3"/>
    <w:rsid w:val="00FB4C80"/>
    <w:rsid w:val="00FC5F97"/>
    <w:rsid w:val="00FC653E"/>
    <w:rsid w:val="00FC68DF"/>
    <w:rsid w:val="00FD34B0"/>
    <w:rsid w:val="00FD49F2"/>
    <w:rsid w:val="00FD6ABD"/>
    <w:rsid w:val="00FD6F76"/>
    <w:rsid w:val="00FD7A3E"/>
    <w:rsid w:val="00FE03BB"/>
    <w:rsid w:val="00FE2E78"/>
    <w:rsid w:val="00FF09AC"/>
    <w:rsid w:val="00FF2B3F"/>
    <w:rsid w:val="00FF56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A725"/>
  <w15:chartTrackingRefBased/>
  <w15:docId w15:val="{AD5F8AEF-02D6-46EC-8D30-86819013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106D"/>
    <w:rPr>
      <w:color w:val="0000FF"/>
      <w:u w:val="single"/>
    </w:rPr>
  </w:style>
  <w:style w:type="paragraph" w:customStyle="1" w:styleId="FootNote">
    <w:name w:val="_FootNote"/>
    <w:basedOn w:val="Normal"/>
    <w:link w:val="FootNoteChar"/>
    <w:qFormat/>
    <w:rsid w:val="00933BFD"/>
    <w:pPr>
      <w:suppressLineNumbers/>
      <w:tabs>
        <w:tab w:val="left" w:pos="288"/>
        <w:tab w:val="left" w:pos="576"/>
      </w:tabs>
      <w:spacing w:after="0" w:line="200" w:lineRule="exact"/>
      <w:jc w:val="both"/>
    </w:pPr>
    <w:rPr>
      <w:rFonts w:ascii="Century Schoolbook" w:eastAsia="Times New Roman" w:hAnsi="Century Schoolbook" w:cs="Times New Roman"/>
      <w:sz w:val="16"/>
      <w:szCs w:val="20"/>
      <w:lang w:bidi="ar-SA"/>
    </w:rPr>
  </w:style>
  <w:style w:type="character" w:customStyle="1" w:styleId="NoteRefInNote">
    <w:name w:val="_NoteRefInNote"/>
    <w:basedOn w:val="DefaultParagraphFont"/>
    <w:qFormat/>
    <w:rsid w:val="00933BFD"/>
    <w:rPr>
      <w:rFonts w:ascii="Century Schoolbook" w:hAnsi="Century Schoolbook"/>
      <w:position w:val="4"/>
      <w:sz w:val="12"/>
      <w:szCs w:val="18"/>
      <w:vertAlign w:val="baseline"/>
    </w:rPr>
  </w:style>
  <w:style w:type="character" w:customStyle="1" w:styleId="NoteRefInText">
    <w:name w:val="_NoteRefInText"/>
    <w:basedOn w:val="DefaultParagraphFont"/>
    <w:qFormat/>
    <w:rsid w:val="00933BFD"/>
    <w:rPr>
      <w:rFonts w:ascii="Century Schoolbook" w:hAnsi="Century Schoolbook"/>
      <w:sz w:val="18"/>
      <w:vertAlign w:val="superscript"/>
    </w:rPr>
  </w:style>
  <w:style w:type="paragraph" w:styleId="ListParagraph">
    <w:name w:val="List Paragraph"/>
    <w:basedOn w:val="Normal"/>
    <w:uiPriority w:val="34"/>
    <w:qFormat/>
    <w:rsid w:val="008C0F97"/>
    <w:pPr>
      <w:ind w:left="720"/>
      <w:contextualSpacing/>
    </w:pPr>
  </w:style>
  <w:style w:type="paragraph" w:customStyle="1" w:styleId="Document">
    <w:name w:val="_Document"/>
    <w:basedOn w:val="Normal"/>
    <w:link w:val="DocumentChar"/>
    <w:qFormat/>
    <w:rsid w:val="00D37654"/>
    <w:pPr>
      <w:tabs>
        <w:tab w:val="left" w:pos="0"/>
        <w:tab w:val="left" w:pos="440"/>
        <w:tab w:val="left" w:pos="620"/>
      </w:tabs>
      <w:spacing w:after="0" w:line="260" w:lineRule="exact"/>
      <w:ind w:firstLine="432"/>
      <w:jc w:val="both"/>
    </w:pPr>
    <w:rPr>
      <w:rFonts w:ascii="Century Schoolbook" w:eastAsia="Times New Roman" w:hAnsi="Century Schoolbook" w:cs="Times New Roman"/>
      <w:sz w:val="22"/>
      <w:szCs w:val="20"/>
      <w:lang w:bidi="ar-SA"/>
    </w:rPr>
  </w:style>
  <w:style w:type="character" w:customStyle="1" w:styleId="DocumentChar">
    <w:name w:val="_Document Char"/>
    <w:basedOn w:val="DefaultParagraphFont"/>
    <w:link w:val="Document"/>
    <w:locked/>
    <w:rsid w:val="00D37654"/>
    <w:rPr>
      <w:rFonts w:ascii="Century Schoolbook" w:eastAsia="Times New Roman" w:hAnsi="Century Schoolbook" w:cs="Times New Roman"/>
      <w:sz w:val="22"/>
      <w:szCs w:val="20"/>
      <w:lang w:bidi="ar-SA"/>
    </w:rPr>
  </w:style>
  <w:style w:type="character" w:styleId="Emphasis">
    <w:name w:val="Emphasis"/>
    <w:basedOn w:val="DefaultParagraphFont"/>
    <w:uiPriority w:val="20"/>
    <w:qFormat/>
    <w:rsid w:val="005B6BBF"/>
    <w:rPr>
      <w:i/>
      <w:iCs/>
    </w:rPr>
  </w:style>
  <w:style w:type="paragraph" w:styleId="NormalWeb">
    <w:name w:val="Normal (Web)"/>
    <w:basedOn w:val="Normal"/>
    <w:uiPriority w:val="99"/>
    <w:semiHidden/>
    <w:unhideWhenUsed/>
    <w:rsid w:val="00E83CF4"/>
    <w:pPr>
      <w:spacing w:before="100" w:beforeAutospacing="1" w:after="100" w:afterAutospacing="1" w:line="240" w:lineRule="auto"/>
    </w:pPr>
    <w:rPr>
      <w:rFonts w:eastAsia="Times New Roman" w:cs="Times New Roman"/>
    </w:rPr>
  </w:style>
  <w:style w:type="paragraph" w:styleId="FootnoteText">
    <w:name w:val="footnote text"/>
    <w:basedOn w:val="Normal"/>
    <w:link w:val="FootnoteTextChar"/>
    <w:uiPriority w:val="99"/>
    <w:unhideWhenUsed/>
    <w:rsid w:val="00CB3F55"/>
    <w:pPr>
      <w:spacing w:after="0" w:line="240" w:lineRule="auto"/>
    </w:pPr>
    <w:rPr>
      <w:sz w:val="20"/>
      <w:szCs w:val="20"/>
    </w:rPr>
  </w:style>
  <w:style w:type="character" w:customStyle="1" w:styleId="FootnoteTextChar">
    <w:name w:val="Footnote Text Char"/>
    <w:basedOn w:val="DefaultParagraphFont"/>
    <w:link w:val="FootnoteText"/>
    <w:uiPriority w:val="99"/>
    <w:rsid w:val="00CB3F55"/>
    <w:rPr>
      <w:sz w:val="20"/>
      <w:szCs w:val="20"/>
    </w:rPr>
  </w:style>
  <w:style w:type="character" w:styleId="FootnoteReference">
    <w:name w:val="footnote reference"/>
    <w:basedOn w:val="DefaultParagraphFont"/>
    <w:uiPriority w:val="99"/>
    <w:semiHidden/>
    <w:unhideWhenUsed/>
    <w:rsid w:val="00CB3F55"/>
    <w:rPr>
      <w:vertAlign w:val="superscript"/>
    </w:rPr>
  </w:style>
  <w:style w:type="character" w:customStyle="1" w:styleId="FootNoteChar">
    <w:name w:val="_FootNote Char"/>
    <w:basedOn w:val="DefaultParagraphFont"/>
    <w:link w:val="FootNote"/>
    <w:rsid w:val="00553135"/>
    <w:rPr>
      <w:rFonts w:ascii="Century Schoolbook" w:eastAsia="Times New Roman" w:hAnsi="Century Schoolbook" w:cs="Times New Roman"/>
      <w:sz w:val="16"/>
      <w:szCs w:val="20"/>
      <w:lang w:bidi="ar-SA"/>
    </w:rPr>
  </w:style>
  <w:style w:type="paragraph" w:styleId="Header">
    <w:name w:val="header"/>
    <w:basedOn w:val="Normal"/>
    <w:link w:val="HeaderChar"/>
    <w:uiPriority w:val="99"/>
    <w:unhideWhenUsed/>
    <w:rsid w:val="00335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B05"/>
  </w:style>
  <w:style w:type="paragraph" w:styleId="Footer">
    <w:name w:val="footer"/>
    <w:basedOn w:val="Normal"/>
    <w:link w:val="FooterChar"/>
    <w:uiPriority w:val="99"/>
    <w:unhideWhenUsed/>
    <w:rsid w:val="00335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05"/>
  </w:style>
  <w:style w:type="character" w:customStyle="1" w:styleId="show-for-sr">
    <w:name w:val="show-for-sr"/>
    <w:basedOn w:val="DefaultParagraphFont"/>
    <w:rsid w:val="0081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573">
      <w:bodyDiv w:val="1"/>
      <w:marLeft w:val="0"/>
      <w:marRight w:val="0"/>
      <w:marTop w:val="0"/>
      <w:marBottom w:val="0"/>
      <w:divBdr>
        <w:top w:val="none" w:sz="0" w:space="0" w:color="auto"/>
        <w:left w:val="none" w:sz="0" w:space="0" w:color="auto"/>
        <w:bottom w:val="none" w:sz="0" w:space="0" w:color="auto"/>
        <w:right w:val="none" w:sz="0" w:space="0" w:color="auto"/>
      </w:divBdr>
    </w:div>
    <w:div w:id="109905405">
      <w:bodyDiv w:val="1"/>
      <w:marLeft w:val="0"/>
      <w:marRight w:val="0"/>
      <w:marTop w:val="0"/>
      <w:marBottom w:val="0"/>
      <w:divBdr>
        <w:top w:val="none" w:sz="0" w:space="0" w:color="auto"/>
        <w:left w:val="none" w:sz="0" w:space="0" w:color="auto"/>
        <w:bottom w:val="none" w:sz="0" w:space="0" w:color="auto"/>
        <w:right w:val="none" w:sz="0" w:space="0" w:color="auto"/>
      </w:divBdr>
    </w:div>
    <w:div w:id="185213503">
      <w:bodyDiv w:val="1"/>
      <w:marLeft w:val="0"/>
      <w:marRight w:val="0"/>
      <w:marTop w:val="0"/>
      <w:marBottom w:val="0"/>
      <w:divBdr>
        <w:top w:val="none" w:sz="0" w:space="0" w:color="auto"/>
        <w:left w:val="none" w:sz="0" w:space="0" w:color="auto"/>
        <w:bottom w:val="none" w:sz="0" w:space="0" w:color="auto"/>
        <w:right w:val="none" w:sz="0" w:space="0" w:color="auto"/>
      </w:divBdr>
    </w:div>
    <w:div w:id="241263823">
      <w:bodyDiv w:val="1"/>
      <w:marLeft w:val="0"/>
      <w:marRight w:val="0"/>
      <w:marTop w:val="0"/>
      <w:marBottom w:val="0"/>
      <w:divBdr>
        <w:top w:val="none" w:sz="0" w:space="0" w:color="auto"/>
        <w:left w:val="none" w:sz="0" w:space="0" w:color="auto"/>
        <w:bottom w:val="none" w:sz="0" w:space="0" w:color="auto"/>
        <w:right w:val="none" w:sz="0" w:space="0" w:color="auto"/>
      </w:divBdr>
    </w:div>
    <w:div w:id="289476495">
      <w:bodyDiv w:val="1"/>
      <w:marLeft w:val="0"/>
      <w:marRight w:val="0"/>
      <w:marTop w:val="0"/>
      <w:marBottom w:val="0"/>
      <w:divBdr>
        <w:top w:val="none" w:sz="0" w:space="0" w:color="auto"/>
        <w:left w:val="none" w:sz="0" w:space="0" w:color="auto"/>
        <w:bottom w:val="none" w:sz="0" w:space="0" w:color="auto"/>
        <w:right w:val="none" w:sz="0" w:space="0" w:color="auto"/>
      </w:divBdr>
    </w:div>
    <w:div w:id="330179918">
      <w:bodyDiv w:val="1"/>
      <w:marLeft w:val="0"/>
      <w:marRight w:val="0"/>
      <w:marTop w:val="0"/>
      <w:marBottom w:val="0"/>
      <w:divBdr>
        <w:top w:val="none" w:sz="0" w:space="0" w:color="auto"/>
        <w:left w:val="none" w:sz="0" w:space="0" w:color="auto"/>
        <w:bottom w:val="none" w:sz="0" w:space="0" w:color="auto"/>
        <w:right w:val="none" w:sz="0" w:space="0" w:color="auto"/>
      </w:divBdr>
    </w:div>
    <w:div w:id="444036544">
      <w:bodyDiv w:val="1"/>
      <w:marLeft w:val="0"/>
      <w:marRight w:val="0"/>
      <w:marTop w:val="0"/>
      <w:marBottom w:val="0"/>
      <w:divBdr>
        <w:top w:val="none" w:sz="0" w:space="0" w:color="auto"/>
        <w:left w:val="none" w:sz="0" w:space="0" w:color="auto"/>
        <w:bottom w:val="none" w:sz="0" w:space="0" w:color="auto"/>
        <w:right w:val="none" w:sz="0" w:space="0" w:color="auto"/>
      </w:divBdr>
    </w:div>
    <w:div w:id="465856328">
      <w:bodyDiv w:val="1"/>
      <w:marLeft w:val="0"/>
      <w:marRight w:val="0"/>
      <w:marTop w:val="0"/>
      <w:marBottom w:val="0"/>
      <w:divBdr>
        <w:top w:val="none" w:sz="0" w:space="0" w:color="auto"/>
        <w:left w:val="none" w:sz="0" w:space="0" w:color="auto"/>
        <w:bottom w:val="none" w:sz="0" w:space="0" w:color="auto"/>
        <w:right w:val="none" w:sz="0" w:space="0" w:color="auto"/>
      </w:divBdr>
    </w:div>
    <w:div w:id="677662803">
      <w:bodyDiv w:val="1"/>
      <w:marLeft w:val="0"/>
      <w:marRight w:val="0"/>
      <w:marTop w:val="0"/>
      <w:marBottom w:val="0"/>
      <w:divBdr>
        <w:top w:val="none" w:sz="0" w:space="0" w:color="auto"/>
        <w:left w:val="none" w:sz="0" w:space="0" w:color="auto"/>
        <w:bottom w:val="none" w:sz="0" w:space="0" w:color="auto"/>
        <w:right w:val="none" w:sz="0" w:space="0" w:color="auto"/>
      </w:divBdr>
    </w:div>
    <w:div w:id="908882387">
      <w:bodyDiv w:val="1"/>
      <w:marLeft w:val="0"/>
      <w:marRight w:val="0"/>
      <w:marTop w:val="0"/>
      <w:marBottom w:val="0"/>
      <w:divBdr>
        <w:top w:val="none" w:sz="0" w:space="0" w:color="auto"/>
        <w:left w:val="none" w:sz="0" w:space="0" w:color="auto"/>
        <w:bottom w:val="none" w:sz="0" w:space="0" w:color="auto"/>
        <w:right w:val="none" w:sz="0" w:space="0" w:color="auto"/>
      </w:divBdr>
    </w:div>
    <w:div w:id="1362703521">
      <w:bodyDiv w:val="1"/>
      <w:marLeft w:val="0"/>
      <w:marRight w:val="0"/>
      <w:marTop w:val="0"/>
      <w:marBottom w:val="0"/>
      <w:divBdr>
        <w:top w:val="none" w:sz="0" w:space="0" w:color="auto"/>
        <w:left w:val="none" w:sz="0" w:space="0" w:color="auto"/>
        <w:bottom w:val="none" w:sz="0" w:space="0" w:color="auto"/>
        <w:right w:val="none" w:sz="0" w:space="0" w:color="auto"/>
      </w:divBdr>
    </w:div>
    <w:div w:id="1565750051">
      <w:bodyDiv w:val="1"/>
      <w:marLeft w:val="0"/>
      <w:marRight w:val="0"/>
      <w:marTop w:val="0"/>
      <w:marBottom w:val="0"/>
      <w:divBdr>
        <w:top w:val="none" w:sz="0" w:space="0" w:color="auto"/>
        <w:left w:val="none" w:sz="0" w:space="0" w:color="auto"/>
        <w:bottom w:val="none" w:sz="0" w:space="0" w:color="auto"/>
        <w:right w:val="none" w:sz="0" w:space="0" w:color="auto"/>
      </w:divBdr>
    </w:div>
    <w:div w:id="2068795336">
      <w:bodyDiv w:val="1"/>
      <w:marLeft w:val="0"/>
      <w:marRight w:val="0"/>
      <w:marTop w:val="0"/>
      <w:marBottom w:val="0"/>
      <w:divBdr>
        <w:top w:val="none" w:sz="0" w:space="0" w:color="auto"/>
        <w:left w:val="none" w:sz="0" w:space="0" w:color="auto"/>
        <w:bottom w:val="none" w:sz="0" w:space="0" w:color="auto"/>
        <w:right w:val="none" w:sz="0" w:space="0" w:color="auto"/>
      </w:divBdr>
      <w:divsChild>
        <w:div w:id="2141147966">
          <w:marLeft w:val="1080"/>
          <w:marRight w:val="0"/>
          <w:marTop w:val="100"/>
          <w:marBottom w:val="0"/>
          <w:divBdr>
            <w:top w:val="none" w:sz="0" w:space="0" w:color="auto"/>
            <w:left w:val="none" w:sz="0" w:space="0" w:color="auto"/>
            <w:bottom w:val="none" w:sz="0" w:space="0" w:color="auto"/>
            <w:right w:val="none" w:sz="0" w:space="0" w:color="auto"/>
          </w:divBdr>
        </w:div>
        <w:div w:id="151225795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urldefense.proofpoint.com/v2/url?u=https-3A__ssrn.com_abstract-3D3899421&amp;d=DwMFaQ&amp;c=WO-RGvefibhHBZq3fL85hQ&amp;r=N6qStalIOJ_SM6O3qY6JesfyaKunQab_Y5hEAg0TgZ0&amp;m=4c1V--NH0t3aUCIffMZ4JTwSiiUi3x9fw-KuKyF8xFv5Kb5CwbhZM-d-5cHMzgT0&amp;s=lMjH7rgFvIPlKQOIbrVXdPMBbBgnFh6i6cO6DjvjYE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D838-D71F-45E1-B245-F397EC41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Bebchuk, Lucian</dc:creator>
  <cp:keywords/>
  <dc:description/>
  <cp:lastModifiedBy>Bebchuk, Lucian</cp:lastModifiedBy>
  <cp:revision>2</cp:revision>
  <cp:lastPrinted>2022-05-15T16:24:00Z</cp:lastPrinted>
  <dcterms:created xsi:type="dcterms:W3CDTF">2022-05-15T17:03:00Z</dcterms:created>
  <dcterms:modified xsi:type="dcterms:W3CDTF">2022-05-15T17:03:00Z</dcterms:modified>
</cp:coreProperties>
</file>