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header1.xml" ContentType="application/vnd.openxmlformats-officedocument.wordprocessingml.header+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EAD0C" w14:textId="77777777" w:rsidR="00C10CCD" w:rsidRPr="0088369E" w:rsidRDefault="00C10CCD" w:rsidP="00C10CCD">
      <w:pPr>
        <w:pStyle w:val="ListParagraph"/>
        <w:autoSpaceDE w:val="0"/>
        <w:autoSpaceDN w:val="0"/>
        <w:bidi w:val="0"/>
        <w:adjustRightInd w:val="0"/>
        <w:spacing w:after="240"/>
        <w:ind w:left="357"/>
        <w:contextualSpacing w:val="0"/>
        <w:rPr>
          <w:rFonts w:asciiTheme="majorBidi" w:hAnsiTheme="majorBidi" w:cstheme="majorBidi"/>
          <w:b/>
          <w:bCs/>
          <w:sz w:val="48"/>
          <w:szCs w:val="48"/>
        </w:rPr>
      </w:pPr>
      <w:bookmarkStart w:id="0" w:name="_GoBack"/>
      <w:bookmarkEnd w:id="0"/>
      <w:r w:rsidRPr="0088369E">
        <w:rPr>
          <w:rFonts w:asciiTheme="majorBidi" w:hAnsiTheme="majorBidi" w:cstheme="majorBidi"/>
          <w:b/>
          <w:bCs/>
          <w:sz w:val="48"/>
          <w:szCs w:val="48"/>
        </w:rPr>
        <w:t>Chapter 4</w:t>
      </w:r>
    </w:p>
    <w:p w14:paraId="578184AB" w14:textId="77777777" w:rsidR="00C10CCD" w:rsidRPr="0088369E" w:rsidRDefault="00C10CCD" w:rsidP="00C10CCD">
      <w:pPr>
        <w:pStyle w:val="ListParagraph"/>
        <w:autoSpaceDE w:val="0"/>
        <w:autoSpaceDN w:val="0"/>
        <w:bidi w:val="0"/>
        <w:adjustRightInd w:val="0"/>
        <w:spacing w:after="240"/>
        <w:ind w:left="357"/>
        <w:contextualSpacing w:val="0"/>
        <w:rPr>
          <w:rFonts w:asciiTheme="majorBidi" w:hAnsiTheme="majorBidi" w:cstheme="majorBidi"/>
          <w:b/>
          <w:bCs/>
          <w:sz w:val="48"/>
          <w:szCs w:val="48"/>
        </w:rPr>
      </w:pPr>
      <w:r w:rsidRPr="0088369E">
        <w:rPr>
          <w:rFonts w:asciiTheme="majorBidi" w:hAnsiTheme="majorBidi" w:cstheme="majorBidi"/>
          <w:b/>
          <w:bCs/>
          <w:sz w:val="48"/>
          <w:szCs w:val="48"/>
        </w:rPr>
        <w:t xml:space="preserve">Israel-WBG integration index </w:t>
      </w:r>
    </w:p>
    <w:p w14:paraId="1ECB6FC3" w14:textId="77777777" w:rsidR="00C10CCD" w:rsidRPr="005760EB" w:rsidRDefault="00C10CCD" w:rsidP="00C10CCD">
      <w:pPr>
        <w:pStyle w:val="ListParagraph"/>
        <w:bidi w:val="0"/>
        <w:spacing w:line="480" w:lineRule="auto"/>
        <w:ind w:left="36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In this c</w:t>
      </w:r>
      <w:r w:rsidRPr="005760EB">
        <w:rPr>
          <w:rFonts w:ascii="Times New Roman" w:eastAsiaTheme="minorHAnsi" w:hAnsi="Times New Roman" w:cs="Times New Roman"/>
          <w:sz w:val="24"/>
          <w:szCs w:val="24"/>
        </w:rPr>
        <w:t xml:space="preserve">hapter </w:t>
      </w:r>
      <w:r>
        <w:rPr>
          <w:rFonts w:ascii="Times New Roman" w:eastAsiaTheme="minorHAnsi" w:hAnsi="Times New Roman" w:cs="Times New Roman"/>
          <w:sz w:val="24"/>
          <w:szCs w:val="24"/>
        </w:rPr>
        <w:t>we</w:t>
      </w:r>
      <w:r w:rsidRPr="005760E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develop</w:t>
      </w:r>
      <w:r w:rsidRPr="005760EB">
        <w:rPr>
          <w:rFonts w:ascii="Times New Roman" w:eastAsiaTheme="minorHAnsi" w:hAnsi="Times New Roman" w:cs="Times New Roman"/>
          <w:sz w:val="24"/>
          <w:szCs w:val="24"/>
        </w:rPr>
        <w:t xml:space="preserve"> the Israel-WBG integration index (I</w:t>
      </w:r>
      <w:r>
        <w:rPr>
          <w:rFonts w:ascii="Times New Roman" w:eastAsiaTheme="minorHAnsi" w:hAnsi="Times New Roman" w:cs="Times New Roman"/>
          <w:sz w:val="24"/>
          <w:szCs w:val="24"/>
        </w:rPr>
        <w:t>SR-</w:t>
      </w:r>
      <w:r w:rsidRPr="005760EB">
        <w:rPr>
          <w:rFonts w:ascii="Times New Roman" w:eastAsiaTheme="minorHAnsi" w:hAnsi="Times New Roman" w:cs="Times New Roman"/>
          <w:sz w:val="24"/>
          <w:szCs w:val="24"/>
        </w:rPr>
        <w:t>WBG</w:t>
      </w:r>
      <w:r>
        <w:rPr>
          <w:rFonts w:ascii="Times New Roman" w:eastAsiaTheme="minorHAnsi" w:hAnsi="Times New Roman" w:cs="Times New Roman"/>
          <w:sz w:val="24"/>
          <w:szCs w:val="24"/>
        </w:rPr>
        <w:t>-</w:t>
      </w:r>
      <w:r w:rsidRPr="005760EB">
        <w:rPr>
          <w:rFonts w:ascii="Times New Roman" w:eastAsiaTheme="minorHAnsi" w:hAnsi="Times New Roman" w:cs="Times New Roman"/>
          <w:sz w:val="24"/>
          <w:szCs w:val="24"/>
        </w:rPr>
        <w:t xml:space="preserve">II). </w:t>
      </w:r>
      <w:r>
        <w:rPr>
          <w:rFonts w:ascii="Times New Roman" w:eastAsiaTheme="minorHAnsi" w:hAnsi="Times New Roman" w:cs="Times New Roman"/>
          <w:sz w:val="24"/>
          <w:szCs w:val="24"/>
        </w:rPr>
        <w:t>We first present</w:t>
      </w:r>
      <w:r w:rsidRPr="005760EB">
        <w:rPr>
          <w:rFonts w:ascii="Times New Roman" w:eastAsiaTheme="minorHAnsi" w:hAnsi="Times New Roman" w:cs="Times New Roman"/>
          <w:sz w:val="24"/>
          <w:szCs w:val="24"/>
        </w:rPr>
        <w:t xml:space="preserve"> our dataset and </w:t>
      </w:r>
      <w:r>
        <w:rPr>
          <w:rFonts w:ascii="Times New Roman" w:eastAsiaTheme="minorHAnsi" w:hAnsi="Times New Roman" w:cs="Times New Roman"/>
          <w:sz w:val="24"/>
          <w:szCs w:val="24"/>
        </w:rPr>
        <w:t>proceed to</w:t>
      </w:r>
      <w:r w:rsidRPr="005760EB">
        <w:rPr>
          <w:rFonts w:ascii="Times New Roman" w:eastAsiaTheme="minorHAnsi" w:hAnsi="Times New Roman" w:cs="Times New Roman"/>
          <w:sz w:val="24"/>
          <w:szCs w:val="24"/>
        </w:rPr>
        <w:t xml:space="preserve"> the structure of the I</w:t>
      </w:r>
      <w:r>
        <w:rPr>
          <w:rFonts w:ascii="Times New Roman" w:eastAsiaTheme="minorHAnsi" w:hAnsi="Times New Roman" w:cs="Times New Roman"/>
          <w:sz w:val="24"/>
          <w:szCs w:val="24"/>
        </w:rPr>
        <w:t>SR-</w:t>
      </w:r>
      <w:r w:rsidRPr="005760EB">
        <w:rPr>
          <w:rFonts w:ascii="Times New Roman" w:eastAsiaTheme="minorHAnsi" w:hAnsi="Times New Roman" w:cs="Times New Roman"/>
          <w:sz w:val="24"/>
          <w:szCs w:val="24"/>
        </w:rPr>
        <w:t>WBG</w:t>
      </w:r>
      <w:r>
        <w:rPr>
          <w:rFonts w:ascii="Times New Roman" w:eastAsiaTheme="minorHAnsi" w:hAnsi="Times New Roman" w:cs="Times New Roman"/>
          <w:sz w:val="24"/>
          <w:szCs w:val="24"/>
        </w:rPr>
        <w:t>-</w:t>
      </w:r>
      <w:r w:rsidRPr="005760EB">
        <w:rPr>
          <w:rFonts w:ascii="Times New Roman" w:eastAsiaTheme="minorHAnsi" w:hAnsi="Times New Roman" w:cs="Times New Roman"/>
          <w:sz w:val="24"/>
          <w:szCs w:val="24"/>
        </w:rPr>
        <w:t>II</w:t>
      </w:r>
      <w:r>
        <w:rPr>
          <w:rFonts w:ascii="Times New Roman" w:eastAsiaTheme="minorHAnsi" w:hAnsi="Times New Roman" w:cs="Times New Roman"/>
          <w:sz w:val="24"/>
          <w:szCs w:val="24"/>
        </w:rPr>
        <w:t xml:space="preserve"> developed</w:t>
      </w:r>
      <w:r w:rsidRPr="005760EB">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focusing on</w:t>
      </w:r>
      <w:r w:rsidRPr="005760EB">
        <w:rPr>
          <w:rFonts w:ascii="Times New Roman" w:eastAsiaTheme="minorHAnsi" w:hAnsi="Times New Roman" w:cs="Times New Roman"/>
          <w:sz w:val="24"/>
          <w:szCs w:val="24"/>
        </w:rPr>
        <w:t xml:space="preserve"> data treatment</w:t>
      </w:r>
      <w:r>
        <w:rPr>
          <w:rFonts w:ascii="Times New Roman" w:eastAsiaTheme="minorHAnsi" w:hAnsi="Times New Roman" w:cs="Times New Roman"/>
          <w:sz w:val="24"/>
          <w:szCs w:val="24"/>
        </w:rPr>
        <w:t xml:space="preserve"> and</w:t>
      </w:r>
      <w:r w:rsidRPr="005760EB">
        <w:rPr>
          <w:rFonts w:ascii="Times New Roman" w:eastAsiaTheme="minorHAnsi" w:hAnsi="Times New Roman" w:cs="Times New Roman"/>
          <w:sz w:val="24"/>
          <w:szCs w:val="24"/>
        </w:rPr>
        <w:t xml:space="preserve"> the methodology</w:t>
      </w:r>
      <w:r>
        <w:rPr>
          <w:rFonts w:ascii="Times New Roman" w:eastAsiaTheme="minorHAnsi" w:hAnsi="Times New Roman" w:cs="Times New Roman"/>
          <w:sz w:val="24"/>
          <w:szCs w:val="24"/>
        </w:rPr>
        <w:t>. Finally,</w:t>
      </w:r>
      <w:r w:rsidRPr="005760EB">
        <w:rPr>
          <w:rFonts w:ascii="Times New Roman" w:eastAsiaTheme="minorHAnsi" w:hAnsi="Times New Roman" w:cs="Times New Roman"/>
          <w:sz w:val="24"/>
          <w:szCs w:val="24"/>
        </w:rPr>
        <w:t xml:space="preserve"> the results</w:t>
      </w:r>
      <w:r>
        <w:rPr>
          <w:rFonts w:ascii="Times New Roman" w:eastAsiaTheme="minorHAnsi" w:hAnsi="Times New Roman" w:cs="Times New Roman"/>
          <w:sz w:val="24"/>
          <w:szCs w:val="24"/>
        </w:rPr>
        <w:t>,</w:t>
      </w:r>
      <w:r w:rsidRPr="005760EB">
        <w:rPr>
          <w:rFonts w:ascii="Times New Roman" w:eastAsiaTheme="minorHAnsi" w:hAnsi="Times New Roman" w:cs="Times New Roman"/>
          <w:sz w:val="24"/>
          <w:szCs w:val="24"/>
        </w:rPr>
        <w:t xml:space="preserve"> as well as Sub-indexes of the individual components of the index</w:t>
      </w:r>
      <w:r>
        <w:rPr>
          <w:rFonts w:ascii="Times New Roman" w:eastAsiaTheme="minorHAnsi" w:hAnsi="Times New Roman" w:cs="Times New Roman"/>
          <w:sz w:val="24"/>
          <w:szCs w:val="24"/>
        </w:rPr>
        <w:t>, are presented.</w:t>
      </w:r>
    </w:p>
    <w:p w14:paraId="7D8B44EF" w14:textId="77777777" w:rsidR="00C10CCD" w:rsidRPr="0099127C" w:rsidRDefault="00C10CCD" w:rsidP="00C10CCD">
      <w:pPr>
        <w:pStyle w:val="ListParagraph"/>
        <w:numPr>
          <w:ilvl w:val="1"/>
          <w:numId w:val="3"/>
        </w:numPr>
        <w:autoSpaceDE w:val="0"/>
        <w:autoSpaceDN w:val="0"/>
        <w:bidi w:val="0"/>
        <w:adjustRightInd w:val="0"/>
        <w:spacing w:after="240" w:line="480" w:lineRule="auto"/>
        <w:jc w:val="both"/>
        <w:rPr>
          <w:rFonts w:asciiTheme="majorBidi" w:hAnsiTheme="majorBidi" w:cstheme="majorBidi"/>
          <w:sz w:val="24"/>
          <w:szCs w:val="24"/>
        </w:rPr>
      </w:pPr>
      <w:r w:rsidRPr="0099127C">
        <w:rPr>
          <w:rFonts w:asciiTheme="majorBidi" w:hAnsiTheme="majorBidi" w:cstheme="majorBidi"/>
          <w:b/>
          <w:bCs/>
          <w:sz w:val="28"/>
          <w:szCs w:val="28"/>
        </w:rPr>
        <w:t xml:space="preserve">Methodology  </w:t>
      </w:r>
    </w:p>
    <w:p w14:paraId="62E06E65" w14:textId="77777777" w:rsidR="00C10CCD" w:rsidRDefault="00C10CCD" w:rsidP="00C10CCD">
      <w:pPr>
        <w:pStyle w:val="ListParagraph"/>
        <w:autoSpaceDE w:val="0"/>
        <w:autoSpaceDN w:val="0"/>
        <w:bidi w:val="0"/>
        <w:adjustRightInd w:val="0"/>
        <w:spacing w:after="240" w:line="480" w:lineRule="auto"/>
        <w:ind w:left="790"/>
        <w:jc w:val="both"/>
        <w:rPr>
          <w:rFonts w:ascii="Times New Roman" w:eastAsiaTheme="minorHAnsi" w:hAnsi="Times New Roman" w:cs="Times New Roman"/>
          <w:sz w:val="24"/>
          <w:szCs w:val="24"/>
        </w:rPr>
      </w:pPr>
      <w:r w:rsidRPr="0050267D">
        <w:rPr>
          <w:rFonts w:asciiTheme="majorBidi" w:hAnsiTheme="majorBidi" w:cstheme="majorBidi"/>
          <w:sz w:val="24"/>
          <w:szCs w:val="24"/>
        </w:rPr>
        <w:t>Several criteria have been developed to evaluate the degree of economic integration in</w:t>
      </w:r>
      <w:r>
        <w:rPr>
          <w:rFonts w:asciiTheme="majorBidi" w:hAnsiTheme="majorBidi" w:cstheme="majorBidi"/>
          <w:sz w:val="24"/>
          <w:szCs w:val="24"/>
        </w:rPr>
        <w:t xml:space="preserve">, </w:t>
      </w:r>
      <w:r w:rsidRPr="0050267D">
        <w:rPr>
          <w:rFonts w:asciiTheme="majorBidi" w:hAnsiTheme="majorBidi" w:cstheme="majorBidi"/>
          <w:sz w:val="24"/>
          <w:szCs w:val="24"/>
        </w:rPr>
        <w:t>and between regions</w:t>
      </w:r>
      <w:r>
        <w:rPr>
          <w:rFonts w:asciiTheme="majorBidi" w:hAnsiTheme="majorBidi" w:cstheme="majorBidi"/>
          <w:sz w:val="24"/>
          <w:szCs w:val="24"/>
        </w:rPr>
        <w:t>,</w:t>
      </w:r>
      <w:r w:rsidRPr="0050267D">
        <w:rPr>
          <w:rFonts w:asciiTheme="majorBidi" w:hAnsiTheme="majorBidi" w:cstheme="majorBidi"/>
          <w:sz w:val="24"/>
          <w:szCs w:val="24"/>
        </w:rPr>
        <w:t xml:space="preserve"> globally.</w:t>
      </w:r>
      <w:r w:rsidRPr="007E6E79">
        <w:rPr>
          <w:rFonts w:asciiTheme="majorBidi" w:hAnsiTheme="majorBidi" w:cstheme="majorBidi"/>
          <w:sz w:val="24"/>
          <w:szCs w:val="24"/>
        </w:rPr>
        <w:t xml:space="preserve"> The criteria</w:t>
      </w:r>
      <w:r>
        <w:rPr>
          <w:rFonts w:asciiTheme="majorBidi" w:hAnsiTheme="majorBidi" w:cstheme="majorBidi"/>
          <w:sz w:val="24"/>
          <w:szCs w:val="24"/>
        </w:rPr>
        <w:t xml:space="preserve"> of integration</w:t>
      </w:r>
      <w:r w:rsidRPr="007E6E79">
        <w:rPr>
          <w:rFonts w:asciiTheme="majorBidi" w:hAnsiTheme="majorBidi" w:cstheme="majorBidi"/>
          <w:sz w:val="24"/>
          <w:szCs w:val="24"/>
        </w:rPr>
        <w:t xml:space="preserve"> can be broadly classified into two categories, namely quantity-based and price-based measur</w:t>
      </w:r>
      <w:r>
        <w:rPr>
          <w:rFonts w:asciiTheme="majorBidi" w:hAnsiTheme="majorBidi" w:cstheme="majorBidi"/>
          <w:sz w:val="24"/>
          <w:szCs w:val="24"/>
        </w:rPr>
        <w:t>ements</w:t>
      </w:r>
      <w:r w:rsidRPr="007E6E79">
        <w:rPr>
          <w:rFonts w:asciiTheme="majorBidi" w:hAnsiTheme="majorBidi" w:cstheme="majorBidi"/>
          <w:sz w:val="24"/>
          <w:szCs w:val="24"/>
        </w:rPr>
        <w:t>. The quantity-based category includes measurements</w:t>
      </w:r>
      <w:r>
        <w:rPr>
          <w:rFonts w:asciiTheme="majorBidi" w:hAnsiTheme="majorBidi" w:cstheme="majorBidi"/>
          <w:sz w:val="24"/>
          <w:szCs w:val="24"/>
        </w:rPr>
        <w:t xml:space="preserve"> such as</w:t>
      </w:r>
      <w:r w:rsidRPr="007E6E79">
        <w:rPr>
          <w:rFonts w:asciiTheme="majorBidi" w:hAnsiTheme="majorBidi" w:cstheme="majorBidi"/>
          <w:sz w:val="24"/>
          <w:szCs w:val="24"/>
        </w:rPr>
        <w:t xml:space="preserve"> openness and restrictiveness in trade and financial transactions, capital flows, output correlation, savings-investment correlation and consumption correlation. The price-based category consists of tests derived from price differentials in goods and financial markets (Cheung, Yiu and Chow 2008).</w:t>
      </w:r>
      <w:r>
        <w:rPr>
          <w:rFonts w:asciiTheme="majorBidi" w:hAnsiTheme="majorBidi" w:cstheme="majorBidi"/>
          <w:sz w:val="24"/>
          <w:szCs w:val="24"/>
        </w:rPr>
        <w:t xml:space="preserve"> </w:t>
      </w:r>
      <w:r w:rsidRPr="00C4144E">
        <w:rPr>
          <w:rFonts w:ascii="Times New Roman" w:hAnsi="Times New Roman" w:cs="David"/>
          <w:sz w:val="24"/>
          <w:szCs w:val="24"/>
        </w:rPr>
        <w:t xml:space="preserve">Economic Integration indices have already been used for analyzing </w:t>
      </w:r>
      <w:r w:rsidRPr="00C4144E">
        <w:rPr>
          <w:rFonts w:asciiTheme="majorBidi" w:hAnsiTheme="majorBidi" w:cstheme="majorBidi"/>
          <w:sz w:val="24"/>
          <w:szCs w:val="24"/>
        </w:rPr>
        <w:t xml:space="preserve">trade integration, monetary integration, capital market integration, labor market integration </w:t>
      </w:r>
      <w:r>
        <w:rPr>
          <w:rFonts w:asciiTheme="majorBidi" w:hAnsiTheme="majorBidi" w:cstheme="majorBidi"/>
          <w:sz w:val="24"/>
          <w:szCs w:val="24"/>
        </w:rPr>
        <w:t>and</w:t>
      </w:r>
      <w:r w:rsidRPr="00C4144E">
        <w:rPr>
          <w:rFonts w:asciiTheme="majorBidi" w:hAnsiTheme="majorBidi" w:cstheme="majorBidi"/>
          <w:sz w:val="24"/>
          <w:szCs w:val="24"/>
        </w:rPr>
        <w:t xml:space="preserve"> institutional integration, and have been used to examine the degree of integration of different regions, such as the Globalization Index</w:t>
      </w:r>
      <w:r>
        <w:rPr>
          <w:rStyle w:val="FootnoteReference"/>
          <w:rFonts w:asciiTheme="majorBidi" w:hAnsiTheme="majorBidi" w:cstheme="majorBidi"/>
          <w:sz w:val="24"/>
          <w:szCs w:val="24"/>
        </w:rPr>
        <w:footnoteReference w:id="1"/>
      </w:r>
      <w:r w:rsidRPr="00C4144E">
        <w:rPr>
          <w:rFonts w:asciiTheme="majorBidi" w:hAnsiTheme="majorBidi" w:cstheme="majorBidi"/>
          <w:sz w:val="24"/>
          <w:szCs w:val="24"/>
        </w:rPr>
        <w:t>, EU</w:t>
      </w:r>
      <w:r>
        <w:rPr>
          <w:rStyle w:val="FootnoteReference"/>
          <w:rFonts w:asciiTheme="majorBidi" w:hAnsiTheme="majorBidi" w:cstheme="majorBidi"/>
          <w:sz w:val="24"/>
          <w:szCs w:val="24"/>
        </w:rPr>
        <w:footnoteReference w:id="2"/>
      </w:r>
      <w:r w:rsidRPr="00C4144E">
        <w:rPr>
          <w:rFonts w:asciiTheme="majorBidi" w:hAnsiTheme="majorBidi" w:cstheme="majorBidi"/>
          <w:sz w:val="24"/>
          <w:szCs w:val="24"/>
        </w:rPr>
        <w:t>, Africa</w:t>
      </w:r>
      <w:r>
        <w:rPr>
          <w:rStyle w:val="FootnoteReference"/>
          <w:rFonts w:asciiTheme="majorBidi" w:hAnsiTheme="majorBidi" w:cstheme="majorBidi"/>
          <w:sz w:val="24"/>
          <w:szCs w:val="24"/>
        </w:rPr>
        <w:footnoteReference w:id="3"/>
      </w:r>
      <w:r w:rsidRPr="00C4144E">
        <w:rPr>
          <w:rFonts w:asciiTheme="majorBidi" w:hAnsiTheme="majorBidi" w:cstheme="majorBidi"/>
          <w:sz w:val="24"/>
          <w:szCs w:val="24"/>
        </w:rPr>
        <w:t>, Asia-Pacific Region</w:t>
      </w:r>
      <w:r>
        <w:rPr>
          <w:rStyle w:val="FootnoteReference"/>
          <w:rFonts w:asciiTheme="majorBidi" w:hAnsiTheme="majorBidi" w:cstheme="majorBidi"/>
          <w:sz w:val="24"/>
          <w:szCs w:val="24"/>
        </w:rPr>
        <w:footnoteReference w:id="4"/>
      </w:r>
      <w:r w:rsidRPr="00C4144E">
        <w:rPr>
          <w:rFonts w:asciiTheme="majorBidi" w:hAnsiTheme="majorBidi" w:cstheme="majorBidi"/>
          <w:sz w:val="24"/>
          <w:szCs w:val="24"/>
        </w:rPr>
        <w:t xml:space="preserve">, and more. </w:t>
      </w:r>
      <w:r w:rsidRPr="00773694">
        <w:rPr>
          <w:rFonts w:asciiTheme="majorBidi" w:hAnsiTheme="majorBidi" w:cstheme="majorBidi"/>
          <w:sz w:val="24"/>
          <w:szCs w:val="24"/>
        </w:rPr>
        <w:t>We also used the "Handbook on Constructing Composite Indicators" by the OECD (2005) as a methodolog</w:t>
      </w:r>
      <w:r>
        <w:rPr>
          <w:rFonts w:asciiTheme="majorBidi" w:hAnsiTheme="majorBidi" w:cstheme="majorBidi"/>
          <w:sz w:val="24"/>
          <w:szCs w:val="24"/>
        </w:rPr>
        <w:t>ical</w:t>
      </w:r>
      <w:r w:rsidRPr="00773694">
        <w:rPr>
          <w:rFonts w:asciiTheme="majorBidi" w:hAnsiTheme="majorBidi" w:cstheme="majorBidi"/>
          <w:sz w:val="24"/>
          <w:szCs w:val="24"/>
        </w:rPr>
        <w:t xml:space="preserve"> tool and user guide to construct </w:t>
      </w:r>
      <w:r w:rsidRPr="00773694">
        <w:rPr>
          <w:rFonts w:ascii="Times New Roman" w:eastAsiaTheme="minorHAnsi" w:hAnsi="Times New Roman" w:cs="Times New Roman"/>
          <w:sz w:val="24"/>
          <w:szCs w:val="24"/>
        </w:rPr>
        <w:t xml:space="preserve">the ISR-WBG-II.  </w:t>
      </w:r>
    </w:p>
    <w:p w14:paraId="56F81658" w14:textId="59F3CC48" w:rsidR="00C10CCD" w:rsidRDefault="00C10CCD" w:rsidP="00EA380D">
      <w:pPr>
        <w:pStyle w:val="ListParagraph"/>
        <w:autoSpaceDE w:val="0"/>
        <w:autoSpaceDN w:val="0"/>
        <w:bidi w:val="0"/>
        <w:adjustRightInd w:val="0"/>
        <w:spacing w:after="240" w:line="480" w:lineRule="auto"/>
        <w:ind w:left="790"/>
        <w:jc w:val="both"/>
        <w:rPr>
          <w:rFonts w:asciiTheme="majorBidi" w:hAnsiTheme="majorBidi" w:cstheme="majorBidi"/>
          <w:sz w:val="24"/>
          <w:szCs w:val="24"/>
        </w:rPr>
      </w:pPr>
      <w:r>
        <w:rPr>
          <w:rFonts w:asciiTheme="majorBidi" w:hAnsiTheme="majorBidi" w:cstheme="majorBidi"/>
          <w:sz w:val="24"/>
          <w:szCs w:val="24"/>
        </w:rPr>
        <w:lastRenderedPageBreak/>
        <w:t>Below</w:t>
      </w:r>
      <w:r w:rsidRPr="005760EB">
        <w:rPr>
          <w:rFonts w:asciiTheme="majorBidi" w:hAnsiTheme="majorBidi" w:cstheme="majorBidi"/>
          <w:sz w:val="24"/>
          <w:szCs w:val="24"/>
        </w:rPr>
        <w:t xml:space="preserve"> the 4 steps </w:t>
      </w:r>
      <w:r>
        <w:rPr>
          <w:rFonts w:asciiTheme="majorBidi" w:hAnsiTheme="majorBidi" w:cstheme="majorBidi"/>
          <w:sz w:val="24"/>
          <w:szCs w:val="24"/>
        </w:rPr>
        <w:t>we followed so as</w:t>
      </w:r>
      <w:r w:rsidRPr="005760EB">
        <w:rPr>
          <w:rFonts w:asciiTheme="majorBidi" w:hAnsiTheme="majorBidi" w:cstheme="majorBidi"/>
          <w:sz w:val="24"/>
          <w:szCs w:val="24"/>
        </w:rPr>
        <w:t xml:space="preserve"> to </w:t>
      </w:r>
      <w:r>
        <w:rPr>
          <w:rFonts w:asciiTheme="majorBidi" w:hAnsiTheme="majorBidi" w:cstheme="majorBidi"/>
          <w:sz w:val="24"/>
          <w:szCs w:val="24"/>
        </w:rPr>
        <w:t>construct</w:t>
      </w:r>
      <w:r w:rsidRPr="005760EB">
        <w:rPr>
          <w:rFonts w:asciiTheme="majorBidi" w:hAnsiTheme="majorBidi" w:cstheme="majorBidi"/>
          <w:sz w:val="24"/>
          <w:szCs w:val="24"/>
        </w:rPr>
        <w:t xml:space="preserve"> </w:t>
      </w:r>
      <w:r>
        <w:rPr>
          <w:rFonts w:asciiTheme="majorBidi" w:hAnsiTheme="majorBidi" w:cstheme="majorBidi"/>
          <w:sz w:val="24"/>
          <w:szCs w:val="24"/>
        </w:rPr>
        <w:t>the</w:t>
      </w:r>
      <w:r w:rsidRPr="005760EB">
        <w:rPr>
          <w:rFonts w:asciiTheme="majorBidi" w:hAnsiTheme="majorBidi" w:cstheme="majorBidi"/>
          <w:sz w:val="24"/>
          <w:szCs w:val="24"/>
        </w:rPr>
        <w:t xml:space="preserve"> </w:t>
      </w:r>
      <w:r w:rsidRPr="005760EB">
        <w:rPr>
          <w:rFonts w:ascii="Times New Roman" w:eastAsiaTheme="minorHAnsi" w:hAnsi="Times New Roman" w:cs="Times New Roman"/>
          <w:sz w:val="24"/>
          <w:szCs w:val="24"/>
        </w:rPr>
        <w:t>I</w:t>
      </w:r>
      <w:r>
        <w:rPr>
          <w:rFonts w:ascii="Times New Roman" w:eastAsiaTheme="minorHAnsi" w:hAnsi="Times New Roman" w:cs="Times New Roman"/>
          <w:sz w:val="24"/>
          <w:szCs w:val="24"/>
        </w:rPr>
        <w:t>SR-</w:t>
      </w:r>
      <w:r w:rsidRPr="005760EB">
        <w:rPr>
          <w:rFonts w:ascii="Times New Roman" w:eastAsiaTheme="minorHAnsi" w:hAnsi="Times New Roman" w:cs="Times New Roman"/>
          <w:sz w:val="24"/>
          <w:szCs w:val="24"/>
        </w:rPr>
        <w:t>WBG</w:t>
      </w:r>
      <w:r>
        <w:rPr>
          <w:rFonts w:ascii="Times New Roman" w:eastAsiaTheme="minorHAnsi" w:hAnsi="Times New Roman" w:cs="Times New Roman"/>
          <w:sz w:val="24"/>
          <w:szCs w:val="24"/>
        </w:rPr>
        <w:t>-</w:t>
      </w:r>
      <w:r w:rsidRPr="005760EB">
        <w:rPr>
          <w:rFonts w:ascii="Times New Roman" w:eastAsiaTheme="minorHAnsi" w:hAnsi="Times New Roman" w:cs="Times New Roman"/>
          <w:sz w:val="24"/>
          <w:szCs w:val="24"/>
        </w:rPr>
        <w:t>II</w:t>
      </w:r>
      <w:r>
        <w:rPr>
          <w:rFonts w:ascii="Times New Roman" w:eastAsiaTheme="minorHAnsi" w:hAnsi="Times New Roman" w:cs="Times New Roman"/>
          <w:sz w:val="24"/>
          <w:szCs w:val="24"/>
        </w:rPr>
        <w:t xml:space="preserve"> </w:t>
      </w:r>
      <w:r>
        <w:rPr>
          <w:rFonts w:asciiTheme="majorBidi" w:hAnsiTheme="majorBidi" w:cstheme="majorBidi"/>
          <w:sz w:val="24"/>
          <w:szCs w:val="24"/>
        </w:rPr>
        <w:t xml:space="preserve">composite </w:t>
      </w:r>
      <w:r w:rsidRPr="005760EB">
        <w:rPr>
          <w:rFonts w:asciiTheme="majorBidi" w:hAnsiTheme="majorBidi" w:cstheme="majorBidi"/>
          <w:sz w:val="24"/>
          <w:szCs w:val="24"/>
        </w:rPr>
        <w:t>index</w:t>
      </w:r>
      <w:r>
        <w:rPr>
          <w:rFonts w:asciiTheme="majorBidi" w:hAnsiTheme="majorBidi" w:cstheme="majorBidi"/>
          <w:sz w:val="24"/>
          <w:szCs w:val="24"/>
        </w:rPr>
        <w:t>:</w:t>
      </w:r>
    </w:p>
    <w:p w14:paraId="067E1F44" w14:textId="77777777" w:rsidR="00C10CCD" w:rsidRDefault="00C10CCD" w:rsidP="00C10CCD">
      <w:pPr>
        <w:pStyle w:val="ListParagraph"/>
        <w:numPr>
          <w:ilvl w:val="0"/>
          <w:numId w:val="2"/>
        </w:numPr>
        <w:bidi w:val="0"/>
        <w:spacing w:line="360" w:lineRule="auto"/>
        <w:jc w:val="both"/>
        <w:rPr>
          <w:rFonts w:asciiTheme="majorBidi" w:hAnsiTheme="majorBidi" w:cstheme="majorBidi"/>
          <w:sz w:val="24"/>
          <w:szCs w:val="24"/>
        </w:rPr>
      </w:pPr>
      <w:r w:rsidRPr="005760EB">
        <w:rPr>
          <w:rFonts w:asciiTheme="majorBidi" w:hAnsiTheme="majorBidi" w:cstheme="majorBidi"/>
          <w:sz w:val="24"/>
          <w:szCs w:val="24"/>
        </w:rPr>
        <w:t>Data selection</w:t>
      </w:r>
    </w:p>
    <w:p w14:paraId="2F821965" w14:textId="77777777" w:rsidR="00C10CCD" w:rsidRPr="005760EB" w:rsidRDefault="00C10CCD" w:rsidP="00C10CCD">
      <w:pPr>
        <w:pStyle w:val="ListParagraph"/>
        <w:numPr>
          <w:ilvl w:val="0"/>
          <w:numId w:val="2"/>
        </w:numPr>
        <w:bidi w:val="0"/>
        <w:spacing w:line="360" w:lineRule="auto"/>
        <w:jc w:val="both"/>
        <w:rPr>
          <w:rFonts w:asciiTheme="majorBidi" w:hAnsiTheme="majorBidi" w:cstheme="majorBidi"/>
          <w:sz w:val="24"/>
          <w:szCs w:val="24"/>
        </w:rPr>
      </w:pPr>
      <w:r w:rsidRPr="005760EB">
        <w:rPr>
          <w:rFonts w:asciiTheme="majorBidi" w:hAnsiTheme="majorBidi" w:cstheme="majorBidi"/>
          <w:sz w:val="24"/>
          <w:szCs w:val="24"/>
        </w:rPr>
        <w:t xml:space="preserve">Normalization </w:t>
      </w:r>
    </w:p>
    <w:p w14:paraId="2D14F92E" w14:textId="77777777" w:rsidR="00C10CCD" w:rsidRPr="005760EB" w:rsidRDefault="00C10CCD" w:rsidP="00C10CCD">
      <w:pPr>
        <w:pStyle w:val="ListParagraph"/>
        <w:numPr>
          <w:ilvl w:val="0"/>
          <w:numId w:val="2"/>
        </w:numPr>
        <w:bidi w:val="0"/>
        <w:spacing w:line="360" w:lineRule="auto"/>
        <w:jc w:val="both"/>
        <w:rPr>
          <w:rFonts w:asciiTheme="majorBidi" w:hAnsiTheme="majorBidi" w:cstheme="majorBidi"/>
          <w:sz w:val="24"/>
          <w:szCs w:val="24"/>
        </w:rPr>
      </w:pPr>
      <w:r w:rsidRPr="005760EB">
        <w:rPr>
          <w:rFonts w:asciiTheme="majorBidi" w:hAnsiTheme="majorBidi" w:cstheme="majorBidi"/>
          <w:sz w:val="24"/>
          <w:szCs w:val="24"/>
        </w:rPr>
        <w:t xml:space="preserve">Weighting </w:t>
      </w:r>
    </w:p>
    <w:p w14:paraId="18A82A1D" w14:textId="77777777" w:rsidR="00C10CCD" w:rsidRDefault="00C10CCD" w:rsidP="00C10CCD">
      <w:pPr>
        <w:pStyle w:val="ListParagraph"/>
        <w:numPr>
          <w:ilvl w:val="0"/>
          <w:numId w:val="2"/>
        </w:numPr>
        <w:bidi w:val="0"/>
        <w:spacing w:line="360" w:lineRule="auto"/>
        <w:jc w:val="both"/>
        <w:rPr>
          <w:rFonts w:asciiTheme="majorBidi" w:hAnsiTheme="majorBidi" w:cstheme="majorBidi"/>
          <w:sz w:val="24"/>
          <w:szCs w:val="24"/>
        </w:rPr>
      </w:pPr>
      <w:r w:rsidRPr="005760EB">
        <w:rPr>
          <w:rFonts w:asciiTheme="majorBidi" w:hAnsiTheme="majorBidi" w:cstheme="majorBidi"/>
          <w:sz w:val="24"/>
          <w:szCs w:val="24"/>
        </w:rPr>
        <w:t xml:space="preserve">Aggregation </w:t>
      </w:r>
    </w:p>
    <w:p w14:paraId="06644A32" w14:textId="77777777" w:rsidR="00C10CCD" w:rsidRPr="00E57901" w:rsidRDefault="00C10CCD" w:rsidP="00C10CCD">
      <w:pPr>
        <w:pStyle w:val="ListParagraph"/>
        <w:autoSpaceDE w:val="0"/>
        <w:autoSpaceDN w:val="0"/>
        <w:bidi w:val="0"/>
        <w:adjustRightInd w:val="0"/>
        <w:spacing w:before="240" w:line="480" w:lineRule="auto"/>
        <w:ind w:left="851"/>
        <w:contextualSpacing w:val="0"/>
        <w:rPr>
          <w:rFonts w:asciiTheme="majorBidi" w:hAnsiTheme="majorBidi" w:cstheme="majorBidi"/>
          <w:b/>
          <w:bCs/>
          <w:sz w:val="24"/>
          <w:szCs w:val="24"/>
          <w:u w:val="single"/>
        </w:rPr>
      </w:pPr>
      <w:r w:rsidRPr="00E57901">
        <w:rPr>
          <w:rFonts w:asciiTheme="majorBidi" w:hAnsiTheme="majorBidi" w:cstheme="majorBidi"/>
          <w:b/>
          <w:bCs/>
          <w:sz w:val="24"/>
          <w:szCs w:val="24"/>
          <w:u w:val="single"/>
        </w:rPr>
        <w:t xml:space="preserve">Data selection  </w:t>
      </w:r>
    </w:p>
    <w:p w14:paraId="507F015B" w14:textId="77777777" w:rsidR="00C10CCD" w:rsidRDefault="00C10CCD" w:rsidP="00C10CCD">
      <w:pPr>
        <w:pStyle w:val="ListParagraph"/>
        <w:autoSpaceDE w:val="0"/>
        <w:autoSpaceDN w:val="0"/>
        <w:bidi w:val="0"/>
        <w:adjustRightInd w:val="0"/>
        <w:spacing w:after="240" w:line="480" w:lineRule="auto"/>
        <w:ind w:left="851"/>
        <w:jc w:val="both"/>
        <w:rPr>
          <w:rFonts w:asciiTheme="majorBidi" w:hAnsiTheme="majorBidi" w:cstheme="majorBidi"/>
          <w:sz w:val="24"/>
          <w:szCs w:val="24"/>
        </w:rPr>
      </w:pPr>
      <w:r>
        <w:rPr>
          <w:rFonts w:asciiTheme="majorBidi" w:hAnsiTheme="majorBidi" w:cstheme="majorBidi"/>
          <w:sz w:val="24"/>
          <w:szCs w:val="24"/>
        </w:rPr>
        <w:t>The i</w:t>
      </w:r>
      <w:r w:rsidRPr="00AE6795">
        <w:rPr>
          <w:rFonts w:asciiTheme="majorBidi" w:hAnsiTheme="majorBidi" w:cstheme="majorBidi"/>
          <w:sz w:val="24"/>
          <w:szCs w:val="24"/>
        </w:rPr>
        <w:t xml:space="preserve">ndicators </w:t>
      </w:r>
      <w:r w:rsidRPr="002526CD">
        <w:rPr>
          <w:rFonts w:asciiTheme="majorBidi" w:hAnsiTheme="majorBidi" w:cstheme="majorBidi"/>
          <w:sz w:val="24"/>
          <w:szCs w:val="24"/>
        </w:rPr>
        <w:t>should be selected</w:t>
      </w:r>
      <w:r>
        <w:rPr>
          <w:rFonts w:asciiTheme="majorBidi" w:hAnsiTheme="majorBidi" w:cstheme="majorBidi"/>
          <w:sz w:val="24"/>
          <w:szCs w:val="24"/>
        </w:rPr>
        <w:t xml:space="preserve"> were</w:t>
      </w:r>
      <w:r w:rsidRPr="002526CD">
        <w:rPr>
          <w:rFonts w:asciiTheme="majorBidi" w:hAnsiTheme="majorBidi" w:cstheme="majorBidi"/>
          <w:sz w:val="24"/>
          <w:szCs w:val="24"/>
        </w:rPr>
        <w:t xml:space="preserve"> based on their analytical soundness,</w:t>
      </w:r>
      <w:r>
        <w:rPr>
          <w:rFonts w:asciiTheme="majorBidi" w:hAnsiTheme="majorBidi" w:cstheme="majorBidi"/>
          <w:sz w:val="24"/>
          <w:szCs w:val="24"/>
        </w:rPr>
        <w:t xml:space="preserve"> </w:t>
      </w:r>
      <w:r w:rsidRPr="002526CD">
        <w:rPr>
          <w:rFonts w:asciiTheme="majorBidi" w:hAnsiTheme="majorBidi" w:cstheme="majorBidi"/>
          <w:sz w:val="24"/>
          <w:szCs w:val="24"/>
        </w:rPr>
        <w:t>measurability</w:t>
      </w:r>
      <w:r>
        <w:rPr>
          <w:rFonts w:asciiTheme="majorBidi" w:hAnsiTheme="majorBidi" w:cstheme="majorBidi"/>
          <w:sz w:val="24"/>
          <w:szCs w:val="24"/>
        </w:rPr>
        <w:t>, and</w:t>
      </w:r>
      <w:r w:rsidRPr="002526CD">
        <w:rPr>
          <w:rFonts w:asciiTheme="majorBidi" w:hAnsiTheme="majorBidi" w:cstheme="majorBidi"/>
          <w:sz w:val="24"/>
          <w:szCs w:val="24"/>
        </w:rPr>
        <w:t xml:space="preserve"> relevance to the phenomenon being measured and relationship to each other.</w:t>
      </w:r>
      <w:r>
        <w:rPr>
          <w:rFonts w:asciiTheme="majorBidi" w:hAnsiTheme="majorBidi" w:cstheme="majorBidi"/>
          <w:sz w:val="24"/>
          <w:szCs w:val="24"/>
        </w:rPr>
        <w:t xml:space="preserve"> </w:t>
      </w:r>
    </w:p>
    <w:p w14:paraId="3363EBCE" w14:textId="77777777" w:rsidR="00C10CCD" w:rsidRDefault="00C10CCD" w:rsidP="00C10CCD">
      <w:pPr>
        <w:pStyle w:val="ListParagraph"/>
        <w:autoSpaceDE w:val="0"/>
        <w:autoSpaceDN w:val="0"/>
        <w:bidi w:val="0"/>
        <w:adjustRightInd w:val="0"/>
        <w:spacing w:after="240" w:line="480" w:lineRule="auto"/>
        <w:ind w:left="851"/>
        <w:rPr>
          <w:rFonts w:asciiTheme="majorBidi" w:hAnsiTheme="majorBidi" w:cstheme="majorBidi"/>
          <w:sz w:val="24"/>
          <w:szCs w:val="24"/>
        </w:rPr>
      </w:pPr>
      <w:r w:rsidRPr="00AE6795">
        <w:rPr>
          <w:rFonts w:asciiTheme="majorBidi" w:hAnsiTheme="majorBidi" w:cstheme="majorBidi"/>
          <w:sz w:val="24"/>
          <w:szCs w:val="24"/>
        </w:rPr>
        <w:t xml:space="preserve">The </w:t>
      </w:r>
      <w:r>
        <w:rPr>
          <w:rFonts w:asciiTheme="majorBidi" w:hAnsiTheme="majorBidi" w:cstheme="majorBidi"/>
          <w:sz w:val="24"/>
          <w:szCs w:val="24"/>
        </w:rPr>
        <w:t xml:space="preserve">Israel-WBG </w:t>
      </w:r>
      <w:r w:rsidRPr="001E5B2F">
        <w:rPr>
          <w:rFonts w:asciiTheme="majorBidi" w:hAnsiTheme="majorBidi" w:cstheme="majorBidi"/>
          <w:sz w:val="24"/>
          <w:szCs w:val="24"/>
        </w:rPr>
        <w:t>index</w:t>
      </w:r>
      <w:r w:rsidRPr="00AE6795">
        <w:rPr>
          <w:rFonts w:asciiTheme="majorBidi" w:hAnsiTheme="majorBidi" w:cstheme="majorBidi"/>
          <w:sz w:val="24"/>
          <w:szCs w:val="24"/>
        </w:rPr>
        <w:t xml:space="preserve"> comprises </w:t>
      </w:r>
      <w:r>
        <w:rPr>
          <w:rFonts w:asciiTheme="majorBidi" w:hAnsiTheme="majorBidi" w:cstheme="majorBidi"/>
          <w:sz w:val="24"/>
          <w:szCs w:val="24"/>
        </w:rPr>
        <w:t>5</w:t>
      </w:r>
      <w:r w:rsidRPr="00AE6795">
        <w:rPr>
          <w:rFonts w:asciiTheme="majorBidi" w:hAnsiTheme="majorBidi" w:cstheme="majorBidi"/>
          <w:sz w:val="24"/>
          <w:szCs w:val="24"/>
        </w:rPr>
        <w:t xml:space="preserve"> dimensions of integration</w:t>
      </w:r>
      <w:r>
        <w:rPr>
          <w:rFonts w:asciiTheme="majorBidi" w:hAnsiTheme="majorBidi" w:cstheme="majorBidi"/>
          <w:sz w:val="24"/>
          <w:szCs w:val="24"/>
        </w:rPr>
        <w:t>:</w:t>
      </w:r>
    </w:p>
    <w:p w14:paraId="1B5A1F52" w14:textId="77777777" w:rsidR="00C10CCD" w:rsidRDefault="00C10CCD" w:rsidP="00C10CCD">
      <w:pPr>
        <w:pStyle w:val="ListParagraph"/>
        <w:numPr>
          <w:ilvl w:val="0"/>
          <w:numId w:val="1"/>
        </w:numPr>
        <w:autoSpaceDE w:val="0"/>
        <w:autoSpaceDN w:val="0"/>
        <w:bidi w:val="0"/>
        <w:adjustRightInd w:val="0"/>
        <w:spacing w:after="240" w:line="360" w:lineRule="auto"/>
        <w:jc w:val="both"/>
        <w:rPr>
          <w:rFonts w:asciiTheme="majorBidi" w:hAnsiTheme="majorBidi" w:cstheme="majorBidi"/>
          <w:sz w:val="24"/>
          <w:szCs w:val="24"/>
        </w:rPr>
      </w:pPr>
      <w:r w:rsidRPr="007A7F9E">
        <w:rPr>
          <w:rFonts w:asciiTheme="majorBidi" w:hAnsiTheme="majorBidi" w:cstheme="majorBidi"/>
          <w:b/>
          <w:bCs/>
          <w:sz w:val="24"/>
          <w:szCs w:val="24"/>
        </w:rPr>
        <w:t>Trade, employment, and taxes</w:t>
      </w:r>
      <w:r>
        <w:rPr>
          <w:rFonts w:asciiTheme="majorBidi" w:hAnsiTheme="majorBidi" w:cstheme="majorBidi"/>
          <w:sz w:val="24"/>
          <w:szCs w:val="24"/>
        </w:rPr>
        <w:t xml:space="preserve"> - </w:t>
      </w:r>
      <w:r w:rsidRPr="00357FFE">
        <w:rPr>
          <w:rFonts w:asciiTheme="majorBidi" w:hAnsiTheme="majorBidi" w:cstheme="majorBidi"/>
          <w:sz w:val="24"/>
          <w:szCs w:val="24"/>
        </w:rPr>
        <w:t>Real economic activity is the main channel through which the Israeli and Palestinian economies integrate</w:t>
      </w:r>
      <w:r>
        <w:rPr>
          <w:rFonts w:asciiTheme="majorBidi" w:hAnsiTheme="majorBidi" w:cstheme="majorBidi"/>
          <w:sz w:val="24"/>
          <w:szCs w:val="24"/>
        </w:rPr>
        <w:t xml:space="preserve">. </w:t>
      </w:r>
      <w:r w:rsidRPr="00CF5241">
        <w:rPr>
          <w:rFonts w:asciiTheme="majorBidi" w:hAnsiTheme="majorBidi" w:cstheme="majorBidi"/>
          <w:sz w:val="24"/>
          <w:szCs w:val="24"/>
        </w:rPr>
        <w:t>The unified customs envelope encourages trade between the Israeli and</w:t>
      </w:r>
      <w:r>
        <w:rPr>
          <w:rFonts w:asciiTheme="majorBidi" w:hAnsiTheme="majorBidi" w:cstheme="majorBidi"/>
          <w:sz w:val="24"/>
          <w:szCs w:val="24"/>
        </w:rPr>
        <w:t xml:space="preserve"> the</w:t>
      </w:r>
      <w:r w:rsidRPr="00CF5241">
        <w:rPr>
          <w:rFonts w:asciiTheme="majorBidi" w:hAnsiTheme="majorBidi" w:cstheme="majorBidi"/>
          <w:sz w:val="24"/>
          <w:szCs w:val="24"/>
        </w:rPr>
        <w:t xml:space="preserve"> Palestinian economies because it reduces barriers to mutual trade.</w:t>
      </w:r>
      <w:r w:rsidRPr="002935DB">
        <w:rPr>
          <w:rFonts w:asciiTheme="majorBidi" w:hAnsiTheme="majorBidi" w:cstheme="majorBidi"/>
          <w:sz w:val="24"/>
          <w:szCs w:val="24"/>
        </w:rPr>
        <w:t xml:space="preserve"> Employment of Palestinians in Israel plays a key factor and </w:t>
      </w:r>
      <w:r>
        <w:rPr>
          <w:rFonts w:asciiTheme="majorBidi" w:hAnsiTheme="majorBidi" w:cstheme="majorBidi"/>
          <w:sz w:val="24"/>
          <w:szCs w:val="24"/>
        </w:rPr>
        <w:t>is a</w:t>
      </w:r>
      <w:r w:rsidRPr="002935DB">
        <w:rPr>
          <w:rFonts w:asciiTheme="majorBidi" w:hAnsiTheme="majorBidi" w:cstheme="majorBidi"/>
          <w:sz w:val="24"/>
          <w:szCs w:val="24"/>
        </w:rPr>
        <w:t xml:space="preserve"> significant anchor of the Palestinian economy.</w:t>
      </w:r>
    </w:p>
    <w:p w14:paraId="6B704C53" w14:textId="77777777" w:rsidR="00C10CCD" w:rsidRDefault="00C10CCD" w:rsidP="00C10CCD">
      <w:pPr>
        <w:pStyle w:val="ListParagraph"/>
        <w:numPr>
          <w:ilvl w:val="0"/>
          <w:numId w:val="1"/>
        </w:numPr>
        <w:autoSpaceDE w:val="0"/>
        <w:autoSpaceDN w:val="0"/>
        <w:bidi w:val="0"/>
        <w:adjustRightInd w:val="0"/>
        <w:spacing w:after="240" w:line="360" w:lineRule="auto"/>
        <w:jc w:val="both"/>
        <w:rPr>
          <w:rFonts w:asciiTheme="majorBidi" w:hAnsiTheme="majorBidi" w:cstheme="majorBidi"/>
          <w:sz w:val="24"/>
          <w:szCs w:val="24"/>
        </w:rPr>
      </w:pPr>
      <w:r w:rsidRPr="007A7F9E">
        <w:rPr>
          <w:rFonts w:asciiTheme="majorBidi" w:hAnsiTheme="majorBidi" w:cstheme="majorBidi"/>
          <w:b/>
          <w:bCs/>
          <w:sz w:val="24"/>
          <w:szCs w:val="24"/>
        </w:rPr>
        <w:t>Movement of people -</w:t>
      </w:r>
      <w:r w:rsidRPr="0060466A">
        <w:rPr>
          <w:rFonts w:asciiTheme="majorBidi" w:hAnsiTheme="majorBidi" w:cstheme="majorBidi"/>
          <w:sz w:val="24"/>
          <w:szCs w:val="24"/>
        </w:rPr>
        <w:t xml:space="preserve"> Allowing people to move more freely helps build </w:t>
      </w:r>
      <w:r>
        <w:rPr>
          <w:rFonts w:asciiTheme="majorBidi" w:hAnsiTheme="majorBidi" w:cstheme="majorBidi"/>
          <w:sz w:val="24"/>
          <w:szCs w:val="24"/>
        </w:rPr>
        <w:t>economies of scale</w:t>
      </w:r>
      <w:r w:rsidRPr="0060466A">
        <w:rPr>
          <w:rFonts w:asciiTheme="majorBidi" w:hAnsiTheme="majorBidi" w:cstheme="majorBidi"/>
          <w:sz w:val="24"/>
          <w:szCs w:val="24"/>
        </w:rPr>
        <w:t>, develop effective value chains, and foster social links. These aspects are very relevant, including</w:t>
      </w:r>
      <w:r>
        <w:rPr>
          <w:rFonts w:asciiTheme="majorBidi" w:hAnsiTheme="majorBidi" w:cstheme="majorBidi"/>
          <w:sz w:val="24"/>
          <w:szCs w:val="24"/>
        </w:rPr>
        <w:t xml:space="preserve"> to</w:t>
      </w:r>
      <w:r w:rsidRPr="0060466A">
        <w:rPr>
          <w:rFonts w:asciiTheme="majorBidi" w:hAnsiTheme="majorBidi" w:cstheme="majorBidi"/>
          <w:sz w:val="24"/>
          <w:szCs w:val="24"/>
        </w:rPr>
        <w:t xml:space="preserve"> trade, employment and manufacturing, medicine, and tourism.</w:t>
      </w:r>
      <w:r>
        <w:rPr>
          <w:rFonts w:asciiTheme="majorBidi" w:hAnsiTheme="majorBidi" w:cstheme="majorBidi"/>
          <w:sz w:val="24"/>
          <w:szCs w:val="24"/>
        </w:rPr>
        <w:t xml:space="preserve"> </w:t>
      </w:r>
      <w:r w:rsidRPr="00A40D61">
        <w:rPr>
          <w:rFonts w:asciiTheme="majorBidi" w:hAnsiTheme="majorBidi" w:cstheme="majorBidi"/>
          <w:sz w:val="24"/>
          <w:szCs w:val="24"/>
        </w:rPr>
        <w:t>Israel maintains a system of permits for the entry of Palestinians into Israel, mainly for the following needs: health, legal, education, employment, economy, religious worship, family reunification, tourism and more.</w:t>
      </w:r>
    </w:p>
    <w:p w14:paraId="4E2D0D8E" w14:textId="77777777" w:rsidR="00C10CCD" w:rsidRDefault="00C10CCD" w:rsidP="00C10CCD">
      <w:pPr>
        <w:pStyle w:val="ListParagraph"/>
        <w:numPr>
          <w:ilvl w:val="0"/>
          <w:numId w:val="1"/>
        </w:numPr>
        <w:autoSpaceDE w:val="0"/>
        <w:autoSpaceDN w:val="0"/>
        <w:bidi w:val="0"/>
        <w:adjustRightInd w:val="0"/>
        <w:spacing w:after="240" w:line="360" w:lineRule="auto"/>
        <w:jc w:val="both"/>
        <w:rPr>
          <w:rFonts w:asciiTheme="majorBidi" w:hAnsiTheme="majorBidi" w:cstheme="majorBidi"/>
          <w:sz w:val="24"/>
          <w:szCs w:val="24"/>
        </w:rPr>
      </w:pPr>
      <w:r w:rsidRPr="00A445DB">
        <w:rPr>
          <w:rFonts w:asciiTheme="majorBidi" w:hAnsiTheme="majorBidi" w:cstheme="majorBidi"/>
          <w:b/>
          <w:bCs/>
          <w:sz w:val="24"/>
          <w:szCs w:val="24"/>
        </w:rPr>
        <w:t xml:space="preserve">Resources and </w:t>
      </w:r>
      <w:r w:rsidRPr="00735228">
        <w:rPr>
          <w:rFonts w:asciiTheme="majorBidi" w:hAnsiTheme="majorBidi" w:cstheme="majorBidi"/>
          <w:b/>
          <w:bCs/>
          <w:sz w:val="24"/>
          <w:szCs w:val="24"/>
        </w:rPr>
        <w:t>infrastructure</w:t>
      </w:r>
      <w:r>
        <w:rPr>
          <w:rFonts w:asciiTheme="majorBidi" w:hAnsiTheme="majorBidi" w:cstheme="majorBidi"/>
          <w:sz w:val="24"/>
          <w:szCs w:val="24"/>
        </w:rPr>
        <w:t xml:space="preserve"> </w:t>
      </w:r>
      <w:r w:rsidRPr="00A445DB">
        <w:rPr>
          <w:rFonts w:asciiTheme="majorBidi" w:hAnsiTheme="majorBidi" w:cstheme="majorBidi"/>
          <w:b/>
          <w:bCs/>
          <w:sz w:val="24"/>
          <w:szCs w:val="24"/>
        </w:rPr>
        <w:t>-</w:t>
      </w:r>
      <w:r>
        <w:rPr>
          <w:rFonts w:asciiTheme="majorBidi" w:hAnsiTheme="majorBidi" w:cstheme="majorBidi"/>
          <w:sz w:val="24"/>
          <w:szCs w:val="24"/>
        </w:rPr>
        <w:t xml:space="preserve"> The</w:t>
      </w:r>
      <w:r w:rsidRPr="0086754B">
        <w:rPr>
          <w:rFonts w:asciiTheme="majorBidi" w:hAnsiTheme="majorBidi" w:cstheme="majorBidi"/>
          <w:sz w:val="24"/>
          <w:szCs w:val="24"/>
        </w:rPr>
        <w:t xml:space="preserve"> </w:t>
      </w:r>
      <w:r>
        <w:rPr>
          <w:rFonts w:asciiTheme="majorBidi" w:hAnsiTheme="majorBidi" w:cstheme="majorBidi"/>
          <w:sz w:val="24"/>
          <w:szCs w:val="24"/>
        </w:rPr>
        <w:t xml:space="preserve">share of resources such as </w:t>
      </w:r>
      <w:r w:rsidRPr="00783115">
        <w:rPr>
          <w:rFonts w:asciiTheme="majorBidi" w:hAnsiTheme="majorBidi" w:cstheme="majorBidi"/>
          <w:sz w:val="24"/>
          <w:szCs w:val="24"/>
        </w:rPr>
        <w:t>information and communication technology, water and</w:t>
      </w:r>
      <w:r>
        <w:rPr>
          <w:rFonts w:asciiTheme="majorBidi" w:hAnsiTheme="majorBidi" w:cstheme="majorBidi" w:hint="cs"/>
          <w:sz w:val="24"/>
          <w:szCs w:val="24"/>
          <w:rtl/>
        </w:rPr>
        <w:t xml:space="preserve"> </w:t>
      </w:r>
      <w:r w:rsidRPr="00783115">
        <w:rPr>
          <w:rFonts w:asciiTheme="majorBidi" w:hAnsiTheme="majorBidi" w:cstheme="majorBidi"/>
          <w:sz w:val="24"/>
          <w:szCs w:val="24"/>
        </w:rPr>
        <w:t>cross-border electrical infrastructure</w:t>
      </w:r>
      <w:r>
        <w:rPr>
          <w:rFonts w:asciiTheme="majorBidi" w:hAnsiTheme="majorBidi" w:cstheme="majorBidi"/>
          <w:sz w:val="24"/>
          <w:szCs w:val="24"/>
        </w:rPr>
        <w:t xml:space="preserve"> </w:t>
      </w:r>
      <w:r w:rsidRPr="0086754B">
        <w:rPr>
          <w:rFonts w:asciiTheme="majorBidi" w:hAnsiTheme="majorBidi" w:cstheme="majorBidi"/>
          <w:sz w:val="24"/>
          <w:szCs w:val="24"/>
        </w:rPr>
        <w:t>directly affect transaction costs, prosperity,</w:t>
      </w:r>
      <w:r>
        <w:rPr>
          <w:rFonts w:asciiTheme="majorBidi" w:hAnsiTheme="majorBidi" w:cstheme="majorBidi"/>
          <w:sz w:val="24"/>
          <w:szCs w:val="24"/>
        </w:rPr>
        <w:t xml:space="preserve"> </w:t>
      </w:r>
      <w:r w:rsidRPr="0086754B">
        <w:rPr>
          <w:rFonts w:asciiTheme="majorBidi" w:hAnsiTheme="majorBidi" w:cstheme="majorBidi"/>
          <w:sz w:val="24"/>
          <w:szCs w:val="24"/>
        </w:rPr>
        <w:t>stability</w:t>
      </w:r>
      <w:r>
        <w:rPr>
          <w:rFonts w:asciiTheme="majorBidi" w:hAnsiTheme="majorBidi" w:cstheme="majorBidi"/>
          <w:sz w:val="24"/>
          <w:szCs w:val="24"/>
        </w:rPr>
        <w:t xml:space="preserve"> and encourages </w:t>
      </w:r>
      <w:r w:rsidRPr="00E01B19">
        <w:rPr>
          <w:rFonts w:asciiTheme="majorBidi" w:hAnsiTheme="majorBidi" w:cstheme="majorBidi"/>
          <w:sz w:val="24"/>
          <w:szCs w:val="24"/>
        </w:rPr>
        <w:t>economic growth.</w:t>
      </w:r>
      <w:r>
        <w:rPr>
          <w:rFonts w:asciiTheme="majorBidi" w:hAnsiTheme="majorBidi" w:cstheme="majorBidi"/>
          <w:sz w:val="24"/>
          <w:szCs w:val="24"/>
        </w:rPr>
        <w:t xml:space="preserve"> </w:t>
      </w:r>
      <w:r w:rsidRPr="00505C9D">
        <w:rPr>
          <w:rFonts w:asciiTheme="majorBidi" w:hAnsiTheme="majorBidi" w:cstheme="majorBidi"/>
          <w:sz w:val="24"/>
          <w:szCs w:val="24"/>
        </w:rPr>
        <w:t>With the rapid development of mobile telephony and the global expansion of the Internet, information and communication technologies are increasingly recognized as essential tools of development, contributing to integration.</w:t>
      </w:r>
    </w:p>
    <w:p w14:paraId="316DCEBD" w14:textId="77777777" w:rsidR="00C10CCD" w:rsidRDefault="00C10CCD" w:rsidP="00C10CCD">
      <w:pPr>
        <w:pStyle w:val="ListParagraph"/>
        <w:numPr>
          <w:ilvl w:val="0"/>
          <w:numId w:val="1"/>
        </w:numPr>
        <w:autoSpaceDE w:val="0"/>
        <w:autoSpaceDN w:val="0"/>
        <w:bidi w:val="0"/>
        <w:adjustRightInd w:val="0"/>
        <w:spacing w:after="240" w:line="360" w:lineRule="auto"/>
        <w:jc w:val="both"/>
        <w:rPr>
          <w:rFonts w:asciiTheme="majorBidi" w:hAnsiTheme="majorBidi" w:cstheme="majorBidi"/>
          <w:sz w:val="24"/>
          <w:szCs w:val="24"/>
        </w:rPr>
      </w:pPr>
      <w:r w:rsidRPr="00F75043">
        <w:rPr>
          <w:rFonts w:asciiTheme="majorBidi" w:hAnsiTheme="majorBidi" w:cstheme="majorBidi"/>
          <w:b/>
          <w:bCs/>
          <w:sz w:val="24"/>
          <w:szCs w:val="24"/>
        </w:rPr>
        <w:lastRenderedPageBreak/>
        <w:t>Banking and money</w:t>
      </w:r>
      <w:r>
        <w:rPr>
          <w:rFonts w:asciiTheme="majorBidi" w:hAnsiTheme="majorBidi" w:cstheme="majorBidi"/>
          <w:sz w:val="24"/>
          <w:szCs w:val="24"/>
        </w:rPr>
        <w:t xml:space="preserve"> - </w:t>
      </w:r>
      <w:r w:rsidRPr="00961759">
        <w:rPr>
          <w:rFonts w:asciiTheme="majorBidi" w:hAnsiTheme="majorBidi" w:cstheme="majorBidi"/>
          <w:sz w:val="24"/>
          <w:szCs w:val="24"/>
        </w:rPr>
        <w:t xml:space="preserve">A high rate of </w:t>
      </w:r>
      <w:r>
        <w:rPr>
          <w:rFonts w:asciiTheme="majorBidi" w:hAnsiTheme="majorBidi" w:cstheme="majorBidi"/>
          <w:sz w:val="24"/>
          <w:szCs w:val="24"/>
        </w:rPr>
        <w:t>u</w:t>
      </w:r>
      <w:r w:rsidRPr="00CC2380">
        <w:rPr>
          <w:rFonts w:asciiTheme="majorBidi" w:hAnsiTheme="majorBidi" w:cstheme="majorBidi"/>
          <w:sz w:val="24"/>
          <w:szCs w:val="24"/>
        </w:rPr>
        <w:t>sage</w:t>
      </w:r>
      <w:r>
        <w:rPr>
          <w:rFonts w:asciiTheme="majorBidi" w:hAnsiTheme="majorBidi" w:cstheme="majorBidi"/>
          <w:sz w:val="24"/>
          <w:szCs w:val="24"/>
        </w:rPr>
        <w:t xml:space="preserve"> </w:t>
      </w:r>
      <w:r w:rsidRPr="00961759">
        <w:rPr>
          <w:rFonts w:asciiTheme="majorBidi" w:hAnsiTheme="majorBidi" w:cstheme="majorBidi"/>
          <w:sz w:val="24"/>
          <w:szCs w:val="24"/>
        </w:rPr>
        <w:t xml:space="preserve">of the Israeli shekel in the Palestinian Authority will indicate high monetary integration between the regions in a way that </w:t>
      </w:r>
      <w:r w:rsidRPr="000F078F">
        <w:rPr>
          <w:rFonts w:asciiTheme="majorBidi" w:hAnsiTheme="majorBidi" w:cstheme="majorBidi"/>
          <w:sz w:val="24"/>
          <w:szCs w:val="24"/>
        </w:rPr>
        <w:t xml:space="preserve">helps reduce transaction costs </w:t>
      </w:r>
      <w:r>
        <w:rPr>
          <w:rFonts w:asciiTheme="majorBidi" w:hAnsiTheme="majorBidi" w:cstheme="majorBidi"/>
          <w:sz w:val="24"/>
          <w:szCs w:val="24"/>
        </w:rPr>
        <w:t xml:space="preserve">and </w:t>
      </w:r>
      <w:r w:rsidRPr="0074355C">
        <w:rPr>
          <w:rFonts w:asciiTheme="majorBidi" w:hAnsiTheme="majorBidi" w:cstheme="majorBidi"/>
          <w:sz w:val="24"/>
          <w:szCs w:val="24"/>
        </w:rPr>
        <w:t>promot</w:t>
      </w:r>
      <w:r>
        <w:rPr>
          <w:rFonts w:asciiTheme="majorBidi" w:hAnsiTheme="majorBidi" w:cstheme="majorBidi"/>
          <w:sz w:val="24"/>
          <w:szCs w:val="24"/>
        </w:rPr>
        <w:t>es</w:t>
      </w:r>
      <w:r w:rsidRPr="0074355C">
        <w:rPr>
          <w:rFonts w:asciiTheme="majorBidi" w:hAnsiTheme="majorBidi" w:cstheme="majorBidi"/>
          <w:sz w:val="24"/>
          <w:szCs w:val="24"/>
        </w:rPr>
        <w:t xml:space="preserve"> monetary stability</w:t>
      </w:r>
      <w:r>
        <w:rPr>
          <w:rFonts w:asciiTheme="majorBidi" w:hAnsiTheme="majorBidi" w:cstheme="majorBidi"/>
          <w:sz w:val="24"/>
          <w:szCs w:val="24"/>
        </w:rPr>
        <w:t xml:space="preserve">. </w:t>
      </w:r>
    </w:p>
    <w:p w14:paraId="5CA0ED71" w14:textId="77777777" w:rsidR="00C10CCD" w:rsidRDefault="00C10CCD" w:rsidP="00C10CCD">
      <w:pPr>
        <w:pStyle w:val="ListParagraph"/>
        <w:numPr>
          <w:ilvl w:val="0"/>
          <w:numId w:val="1"/>
        </w:numPr>
        <w:autoSpaceDE w:val="0"/>
        <w:autoSpaceDN w:val="0"/>
        <w:bidi w:val="0"/>
        <w:adjustRightInd w:val="0"/>
        <w:spacing w:after="240" w:line="360" w:lineRule="auto"/>
        <w:jc w:val="both"/>
        <w:rPr>
          <w:rFonts w:asciiTheme="majorBidi" w:hAnsiTheme="majorBidi" w:cstheme="majorBidi"/>
          <w:b/>
          <w:bCs/>
          <w:sz w:val="24"/>
          <w:szCs w:val="24"/>
        </w:rPr>
      </w:pPr>
      <w:r w:rsidRPr="004F652D">
        <w:rPr>
          <w:rFonts w:asciiTheme="majorBidi" w:hAnsiTheme="majorBidi" w:cstheme="majorBidi"/>
          <w:sz w:val="24"/>
          <w:szCs w:val="24"/>
        </w:rPr>
        <w:t> </w:t>
      </w:r>
      <w:r w:rsidRPr="00222C56">
        <w:rPr>
          <w:rFonts w:asciiTheme="majorBidi" w:hAnsiTheme="majorBidi" w:cstheme="majorBidi"/>
          <w:b/>
          <w:bCs/>
          <w:sz w:val="24"/>
          <w:szCs w:val="24"/>
        </w:rPr>
        <w:t>Wealth and Standard of living</w:t>
      </w:r>
      <w:r>
        <w:rPr>
          <w:rFonts w:asciiTheme="majorBidi" w:hAnsiTheme="majorBidi" w:cstheme="majorBidi"/>
          <w:b/>
          <w:bCs/>
          <w:sz w:val="24"/>
          <w:szCs w:val="24"/>
        </w:rPr>
        <w:t xml:space="preserve"> – </w:t>
      </w:r>
      <w:r w:rsidRPr="008B4112">
        <w:rPr>
          <w:rFonts w:asciiTheme="majorBidi" w:hAnsiTheme="majorBidi" w:cstheme="majorBidi"/>
          <w:sz w:val="24"/>
          <w:szCs w:val="24"/>
        </w:rPr>
        <w:t>A positive process of integration will enable</w:t>
      </w:r>
      <w:r w:rsidRPr="00893CBA">
        <w:rPr>
          <w:rFonts w:asciiTheme="majorBidi" w:hAnsiTheme="majorBidi" w:cstheme="majorBidi"/>
          <w:sz w:val="24"/>
          <w:szCs w:val="24"/>
        </w:rPr>
        <w:t xml:space="preserve"> </w:t>
      </w:r>
      <w:r w:rsidRPr="00961759">
        <w:rPr>
          <w:rFonts w:asciiTheme="majorBidi" w:hAnsiTheme="majorBidi" w:cstheme="majorBidi"/>
          <w:sz w:val="24"/>
          <w:szCs w:val="24"/>
        </w:rPr>
        <w:t xml:space="preserve">economic </w:t>
      </w:r>
      <w:r>
        <w:rPr>
          <w:rFonts w:asciiTheme="majorBidi" w:hAnsiTheme="majorBidi" w:cstheme="majorBidi"/>
          <w:sz w:val="24"/>
          <w:szCs w:val="24"/>
        </w:rPr>
        <w:t>convergence and</w:t>
      </w:r>
      <w:r w:rsidRPr="008B4112">
        <w:rPr>
          <w:rFonts w:asciiTheme="majorBidi" w:hAnsiTheme="majorBidi" w:cstheme="majorBidi"/>
          <w:sz w:val="24"/>
          <w:szCs w:val="24"/>
        </w:rPr>
        <w:t xml:space="preserve"> closing the gaps in the standard of living between the regions</w:t>
      </w:r>
      <w:r>
        <w:rPr>
          <w:rFonts w:asciiTheme="majorBidi" w:hAnsiTheme="majorBidi" w:cstheme="majorBidi"/>
          <w:sz w:val="24"/>
          <w:szCs w:val="24"/>
        </w:rPr>
        <w:t>.</w:t>
      </w:r>
    </w:p>
    <w:p w14:paraId="24C1FE84" w14:textId="77777777" w:rsidR="00C10CCD" w:rsidRDefault="00C10CCD" w:rsidP="00C10CCD">
      <w:pPr>
        <w:autoSpaceDE w:val="0"/>
        <w:autoSpaceDN w:val="0"/>
        <w:bidi w:val="0"/>
        <w:adjustRightInd w:val="0"/>
        <w:spacing w:line="480" w:lineRule="auto"/>
        <w:ind w:left="851"/>
        <w:jc w:val="both"/>
        <w:rPr>
          <w:rFonts w:asciiTheme="majorBidi" w:hAnsiTheme="majorBidi" w:cstheme="majorBidi"/>
          <w:sz w:val="24"/>
          <w:szCs w:val="24"/>
        </w:rPr>
      </w:pPr>
      <w:r w:rsidRPr="008F3980">
        <w:rPr>
          <w:rFonts w:asciiTheme="majorBidi" w:hAnsiTheme="majorBidi" w:cstheme="majorBidi"/>
          <w:sz w:val="24"/>
          <w:szCs w:val="24"/>
        </w:rPr>
        <w:t xml:space="preserve">In light of the fact that the Palestinian economy is significantly dependent on the Israeli economy and not the other way around, we chose to </w:t>
      </w:r>
      <w:r>
        <w:rPr>
          <w:rFonts w:asciiTheme="majorBidi" w:hAnsiTheme="majorBidi" w:cstheme="majorBidi"/>
          <w:sz w:val="24"/>
          <w:szCs w:val="24"/>
        </w:rPr>
        <w:t>assess</w:t>
      </w:r>
      <w:r w:rsidRPr="008F3980">
        <w:rPr>
          <w:rFonts w:asciiTheme="majorBidi" w:hAnsiTheme="majorBidi" w:cstheme="majorBidi"/>
          <w:sz w:val="24"/>
          <w:szCs w:val="24"/>
        </w:rPr>
        <w:t xml:space="preserve"> -</w:t>
      </w:r>
      <w:r>
        <w:rPr>
          <w:rFonts w:asciiTheme="majorBidi" w:hAnsiTheme="majorBidi" w:cstheme="majorBidi"/>
          <w:sz w:val="24"/>
          <w:szCs w:val="24"/>
        </w:rPr>
        <w:t>-</w:t>
      </w:r>
      <w:r w:rsidRPr="008F3980">
        <w:rPr>
          <w:rFonts w:asciiTheme="majorBidi" w:hAnsiTheme="majorBidi" w:cstheme="majorBidi"/>
          <w:sz w:val="24"/>
          <w:szCs w:val="24"/>
        </w:rPr>
        <w:t xml:space="preserve"> through the selected indicators </w:t>
      </w:r>
      <w:r>
        <w:rPr>
          <w:rFonts w:asciiTheme="majorBidi" w:hAnsiTheme="majorBidi" w:cstheme="majorBidi"/>
          <w:sz w:val="24"/>
          <w:szCs w:val="24"/>
        </w:rPr>
        <w:t>-</w:t>
      </w:r>
      <w:r w:rsidRPr="008F3980">
        <w:rPr>
          <w:rFonts w:asciiTheme="majorBidi" w:hAnsiTheme="majorBidi" w:cstheme="majorBidi"/>
          <w:sz w:val="24"/>
          <w:szCs w:val="24"/>
        </w:rPr>
        <w:t xml:space="preserve">- </w:t>
      </w:r>
      <w:r w:rsidRPr="005613AC">
        <w:rPr>
          <w:rFonts w:asciiTheme="majorBidi" w:hAnsiTheme="majorBidi" w:cstheme="majorBidi"/>
          <w:b/>
          <w:bCs/>
          <w:sz w:val="24"/>
          <w:szCs w:val="24"/>
        </w:rPr>
        <w:t>the level of integration of the Palestinian economy into the Israeli economy and not the other way around</w:t>
      </w:r>
      <w:r w:rsidRPr="008F3980">
        <w:rPr>
          <w:rFonts w:asciiTheme="majorBidi" w:hAnsiTheme="majorBidi" w:cstheme="majorBidi"/>
          <w:sz w:val="24"/>
          <w:szCs w:val="24"/>
        </w:rPr>
        <w:t xml:space="preserve">. </w:t>
      </w:r>
      <w:r w:rsidRPr="00AE788B">
        <w:rPr>
          <w:rFonts w:asciiTheme="majorBidi" w:hAnsiTheme="majorBidi" w:cstheme="majorBidi"/>
          <w:sz w:val="24"/>
          <w:szCs w:val="24"/>
        </w:rPr>
        <w:t>That is, the indicators were calculated so that the measurement is made on each issue in relation to the Palestinian economy. For example, the volume of imports or exports between the regions is measured in relation to the total Palestinian exports or imports.</w:t>
      </w:r>
    </w:p>
    <w:p w14:paraId="414DC819" w14:textId="77777777" w:rsidR="00C10CCD" w:rsidRPr="00806EC3" w:rsidRDefault="00C10CCD" w:rsidP="00C10CCD">
      <w:pPr>
        <w:autoSpaceDE w:val="0"/>
        <w:autoSpaceDN w:val="0"/>
        <w:bidi w:val="0"/>
        <w:adjustRightInd w:val="0"/>
        <w:spacing w:line="480" w:lineRule="auto"/>
        <w:ind w:left="851"/>
        <w:rPr>
          <w:rFonts w:asciiTheme="majorBidi" w:hAnsiTheme="majorBidi" w:cstheme="majorBidi"/>
          <w:sz w:val="24"/>
          <w:szCs w:val="24"/>
          <w:u w:val="single"/>
        </w:rPr>
      </w:pPr>
      <w:r w:rsidRPr="00806EC3">
        <w:rPr>
          <w:rFonts w:asciiTheme="majorBidi" w:hAnsiTheme="majorBidi" w:cstheme="majorBidi"/>
          <w:sz w:val="24"/>
          <w:szCs w:val="24"/>
          <w:u w:val="single"/>
        </w:rPr>
        <w:t xml:space="preserve">Data limitations, missing data treatment and </w:t>
      </w:r>
      <w:r>
        <w:rPr>
          <w:rFonts w:asciiTheme="majorBidi" w:hAnsiTheme="majorBidi" w:cstheme="majorBidi"/>
          <w:sz w:val="24"/>
          <w:szCs w:val="24"/>
          <w:u w:val="single"/>
        </w:rPr>
        <w:t>data</w:t>
      </w:r>
      <w:r w:rsidRPr="00806EC3">
        <w:rPr>
          <w:rFonts w:asciiTheme="majorBidi" w:hAnsiTheme="majorBidi" w:cstheme="majorBidi"/>
          <w:sz w:val="24"/>
          <w:szCs w:val="24"/>
          <w:u w:val="single"/>
        </w:rPr>
        <w:t xml:space="preserve"> coverage</w:t>
      </w:r>
    </w:p>
    <w:p w14:paraId="60023F1F" w14:textId="77777777" w:rsidR="00C10CCD" w:rsidRDefault="00C10CCD" w:rsidP="00C10CCD">
      <w:pPr>
        <w:autoSpaceDE w:val="0"/>
        <w:autoSpaceDN w:val="0"/>
        <w:bidi w:val="0"/>
        <w:adjustRightInd w:val="0"/>
        <w:spacing w:after="240" w:line="480" w:lineRule="auto"/>
        <w:ind w:left="851"/>
        <w:jc w:val="both"/>
        <w:rPr>
          <w:rFonts w:asciiTheme="majorBidi" w:hAnsiTheme="majorBidi" w:cstheme="majorBidi"/>
          <w:sz w:val="24"/>
          <w:szCs w:val="24"/>
        </w:rPr>
      </w:pPr>
      <w:r>
        <w:rPr>
          <w:rFonts w:asciiTheme="majorBidi" w:hAnsiTheme="majorBidi" w:cstheme="majorBidi"/>
          <w:sz w:val="24"/>
          <w:szCs w:val="24"/>
        </w:rPr>
        <w:t>The</w:t>
      </w:r>
      <w:r w:rsidRPr="007A794D">
        <w:rPr>
          <w:rFonts w:asciiTheme="majorBidi" w:hAnsiTheme="majorBidi" w:cstheme="majorBidi"/>
          <w:sz w:val="24"/>
          <w:szCs w:val="24"/>
        </w:rPr>
        <w:t xml:space="preserve"> indicators</w:t>
      </w:r>
      <w:r>
        <w:rPr>
          <w:rFonts w:asciiTheme="majorBidi" w:hAnsiTheme="majorBidi" w:cstheme="majorBidi"/>
          <w:sz w:val="24"/>
          <w:szCs w:val="24"/>
        </w:rPr>
        <w:t xml:space="preserve"> in each</w:t>
      </w:r>
      <w:r w:rsidRPr="00D813CA">
        <w:rPr>
          <w:rFonts w:asciiTheme="majorBidi" w:hAnsiTheme="majorBidi" w:cstheme="majorBidi"/>
          <w:sz w:val="24"/>
          <w:szCs w:val="24"/>
        </w:rPr>
        <w:t xml:space="preserve"> </w:t>
      </w:r>
      <w:r w:rsidRPr="00AE6795">
        <w:rPr>
          <w:rFonts w:asciiTheme="majorBidi" w:hAnsiTheme="majorBidi" w:cstheme="majorBidi"/>
          <w:sz w:val="24"/>
          <w:szCs w:val="24"/>
        </w:rPr>
        <w:t>dimension</w:t>
      </w:r>
      <w:r>
        <w:rPr>
          <w:rFonts w:asciiTheme="majorBidi" w:hAnsiTheme="majorBidi" w:cstheme="majorBidi"/>
          <w:sz w:val="24"/>
          <w:szCs w:val="24"/>
        </w:rPr>
        <w:t xml:space="preserve"> </w:t>
      </w:r>
      <w:r w:rsidRPr="007A794D">
        <w:rPr>
          <w:rFonts w:asciiTheme="majorBidi" w:hAnsiTheme="majorBidi" w:cstheme="majorBidi"/>
          <w:sz w:val="24"/>
          <w:szCs w:val="24"/>
        </w:rPr>
        <w:t xml:space="preserve">were chosen </w:t>
      </w:r>
      <w:r>
        <w:rPr>
          <w:rFonts w:asciiTheme="majorBidi" w:hAnsiTheme="majorBidi" w:cstheme="majorBidi"/>
          <w:sz w:val="24"/>
          <w:szCs w:val="24"/>
        </w:rPr>
        <w:t>so</w:t>
      </w:r>
      <w:r w:rsidRPr="007A794D">
        <w:rPr>
          <w:rFonts w:asciiTheme="majorBidi" w:hAnsiTheme="majorBidi" w:cstheme="majorBidi"/>
          <w:sz w:val="24"/>
          <w:szCs w:val="24"/>
        </w:rPr>
        <w:t xml:space="preserve"> as </w:t>
      </w:r>
      <w:r>
        <w:rPr>
          <w:rFonts w:asciiTheme="majorBidi" w:hAnsiTheme="majorBidi" w:cstheme="majorBidi"/>
          <w:sz w:val="24"/>
          <w:szCs w:val="24"/>
        </w:rPr>
        <w:t>to</w:t>
      </w:r>
      <w:r w:rsidRPr="007A794D">
        <w:rPr>
          <w:rFonts w:asciiTheme="majorBidi" w:hAnsiTheme="majorBidi" w:cstheme="majorBidi"/>
          <w:sz w:val="24"/>
          <w:szCs w:val="24"/>
        </w:rPr>
        <w:t xml:space="preserve"> </w:t>
      </w:r>
      <w:r>
        <w:rPr>
          <w:rFonts w:asciiTheme="majorBidi" w:hAnsiTheme="majorBidi" w:cstheme="majorBidi"/>
          <w:sz w:val="24"/>
          <w:szCs w:val="24"/>
        </w:rPr>
        <w:t>represent</w:t>
      </w:r>
      <w:r w:rsidRPr="007A794D">
        <w:rPr>
          <w:rFonts w:asciiTheme="majorBidi" w:hAnsiTheme="majorBidi" w:cstheme="majorBidi"/>
          <w:sz w:val="24"/>
          <w:szCs w:val="24"/>
        </w:rPr>
        <w:t xml:space="preserve"> significant activities</w:t>
      </w:r>
      <w:r>
        <w:rPr>
          <w:rFonts w:asciiTheme="majorBidi" w:hAnsiTheme="majorBidi" w:cstheme="majorBidi"/>
          <w:sz w:val="24"/>
          <w:szCs w:val="24"/>
        </w:rPr>
        <w:t xml:space="preserve"> and </w:t>
      </w:r>
      <w:r w:rsidRPr="000D5AF1">
        <w:rPr>
          <w:rFonts w:asciiTheme="majorBidi" w:hAnsiTheme="majorBidi" w:cstheme="majorBidi"/>
          <w:sz w:val="24"/>
          <w:szCs w:val="24"/>
        </w:rPr>
        <w:t>the state of </w:t>
      </w:r>
      <w:r>
        <w:rPr>
          <w:rFonts w:asciiTheme="majorBidi" w:hAnsiTheme="majorBidi" w:cstheme="majorBidi"/>
          <w:sz w:val="24"/>
          <w:szCs w:val="24"/>
        </w:rPr>
        <w:t>integration</w:t>
      </w:r>
      <w:r w:rsidRPr="007A794D">
        <w:rPr>
          <w:rFonts w:asciiTheme="majorBidi" w:hAnsiTheme="majorBidi" w:cstheme="majorBidi"/>
          <w:sz w:val="24"/>
          <w:szCs w:val="24"/>
        </w:rPr>
        <w:t xml:space="preserve"> that take place between</w:t>
      </w:r>
      <w:r>
        <w:rPr>
          <w:rFonts w:asciiTheme="majorBidi" w:hAnsiTheme="majorBidi" w:cstheme="majorBidi"/>
          <w:sz w:val="24"/>
          <w:szCs w:val="24"/>
        </w:rPr>
        <w:t xml:space="preserve"> the</w:t>
      </w:r>
      <w:r w:rsidRPr="007A794D">
        <w:rPr>
          <w:rFonts w:asciiTheme="majorBidi" w:hAnsiTheme="majorBidi" w:cstheme="majorBidi"/>
          <w:sz w:val="24"/>
          <w:szCs w:val="24"/>
        </w:rPr>
        <w:t xml:space="preserve"> regions</w:t>
      </w:r>
      <w:r>
        <w:rPr>
          <w:rFonts w:asciiTheme="majorBidi" w:hAnsiTheme="majorBidi" w:cstheme="majorBidi"/>
          <w:sz w:val="24"/>
          <w:szCs w:val="24"/>
        </w:rPr>
        <w:t xml:space="preserve">, and </w:t>
      </w:r>
      <w:r w:rsidRPr="007A794D">
        <w:rPr>
          <w:rFonts w:asciiTheme="majorBidi" w:hAnsiTheme="majorBidi" w:cstheme="majorBidi"/>
          <w:sz w:val="24"/>
          <w:szCs w:val="24"/>
        </w:rPr>
        <w:t>adequately</w:t>
      </w:r>
      <w:r>
        <w:rPr>
          <w:rFonts w:asciiTheme="majorBidi" w:hAnsiTheme="majorBidi" w:cstheme="majorBidi"/>
          <w:sz w:val="24"/>
          <w:szCs w:val="24"/>
        </w:rPr>
        <w:t xml:space="preserve"> </w:t>
      </w:r>
      <w:r w:rsidRPr="007A794D">
        <w:rPr>
          <w:rFonts w:asciiTheme="majorBidi" w:hAnsiTheme="majorBidi" w:cstheme="majorBidi"/>
          <w:sz w:val="24"/>
          <w:szCs w:val="24"/>
        </w:rPr>
        <w:t>represent</w:t>
      </w:r>
      <w:r>
        <w:rPr>
          <w:rFonts w:asciiTheme="majorBidi" w:hAnsiTheme="majorBidi" w:cstheme="majorBidi"/>
          <w:sz w:val="24"/>
          <w:szCs w:val="24"/>
        </w:rPr>
        <w:t>s</w:t>
      </w:r>
      <w:r w:rsidRPr="007A794D">
        <w:rPr>
          <w:rFonts w:asciiTheme="majorBidi" w:hAnsiTheme="majorBidi" w:cstheme="majorBidi"/>
          <w:sz w:val="24"/>
          <w:szCs w:val="24"/>
        </w:rPr>
        <w:t xml:space="preserve"> the dimension to which they belong. Of course, there are other relevant indicators, but it </w:t>
      </w:r>
      <w:r>
        <w:rPr>
          <w:rFonts w:asciiTheme="majorBidi" w:hAnsiTheme="majorBidi" w:cstheme="majorBidi"/>
          <w:sz w:val="24"/>
          <w:szCs w:val="24"/>
        </w:rPr>
        <w:t>was</w:t>
      </w:r>
      <w:r w:rsidRPr="007A794D">
        <w:rPr>
          <w:rFonts w:asciiTheme="majorBidi" w:hAnsiTheme="majorBidi" w:cstheme="majorBidi"/>
          <w:sz w:val="24"/>
          <w:szCs w:val="24"/>
        </w:rPr>
        <w:t xml:space="preserve"> not possible to find reliable</w:t>
      </w:r>
      <w:r>
        <w:rPr>
          <w:rFonts w:asciiTheme="majorBidi" w:hAnsiTheme="majorBidi" w:cstheme="majorBidi"/>
          <w:sz w:val="24"/>
          <w:szCs w:val="24"/>
        </w:rPr>
        <w:t xml:space="preserve"> data</w:t>
      </w:r>
      <w:r w:rsidRPr="007A794D">
        <w:rPr>
          <w:rFonts w:asciiTheme="majorBidi" w:hAnsiTheme="majorBidi" w:cstheme="majorBidi"/>
          <w:sz w:val="24"/>
          <w:szCs w:val="24"/>
        </w:rPr>
        <w:t xml:space="preserve"> </w:t>
      </w:r>
      <w:r>
        <w:rPr>
          <w:rFonts w:asciiTheme="majorBidi" w:hAnsiTheme="majorBidi" w:cstheme="majorBidi"/>
          <w:sz w:val="24"/>
          <w:szCs w:val="24"/>
        </w:rPr>
        <w:t>for them</w:t>
      </w:r>
      <w:r w:rsidRPr="007A794D">
        <w:rPr>
          <w:rFonts w:asciiTheme="majorBidi" w:hAnsiTheme="majorBidi" w:cstheme="majorBidi"/>
          <w:sz w:val="24"/>
          <w:szCs w:val="24"/>
        </w:rPr>
        <w:t>. It is important to note that</w:t>
      </w:r>
      <w:r>
        <w:rPr>
          <w:rFonts w:asciiTheme="majorBidi" w:hAnsiTheme="majorBidi" w:cstheme="majorBidi"/>
          <w:sz w:val="24"/>
          <w:szCs w:val="24"/>
        </w:rPr>
        <w:t xml:space="preserve"> the frequency of all</w:t>
      </w:r>
      <w:r w:rsidRPr="007A794D">
        <w:rPr>
          <w:rFonts w:asciiTheme="majorBidi" w:hAnsiTheme="majorBidi" w:cstheme="majorBidi"/>
          <w:sz w:val="24"/>
          <w:szCs w:val="24"/>
        </w:rPr>
        <w:t xml:space="preserve"> indicator</w:t>
      </w:r>
      <w:r>
        <w:rPr>
          <w:rFonts w:asciiTheme="majorBidi" w:hAnsiTheme="majorBidi" w:cstheme="majorBidi"/>
          <w:sz w:val="24"/>
          <w:szCs w:val="24"/>
        </w:rPr>
        <w:t>s is</w:t>
      </w:r>
      <w:r w:rsidRPr="007A794D">
        <w:rPr>
          <w:rFonts w:asciiTheme="majorBidi" w:hAnsiTheme="majorBidi" w:cstheme="majorBidi"/>
          <w:sz w:val="24"/>
          <w:szCs w:val="24"/>
        </w:rPr>
        <w:t xml:space="preserve"> </w:t>
      </w:r>
      <w:r>
        <w:rPr>
          <w:rFonts w:asciiTheme="majorBidi" w:hAnsiTheme="majorBidi" w:cstheme="majorBidi"/>
          <w:sz w:val="24"/>
          <w:szCs w:val="24"/>
        </w:rPr>
        <w:t xml:space="preserve">on an </w:t>
      </w:r>
      <w:r w:rsidRPr="007A794D">
        <w:rPr>
          <w:rFonts w:asciiTheme="majorBidi" w:hAnsiTheme="majorBidi" w:cstheme="majorBidi"/>
          <w:sz w:val="24"/>
          <w:szCs w:val="24"/>
        </w:rPr>
        <w:t xml:space="preserve">annual </w:t>
      </w:r>
      <w:r>
        <w:rPr>
          <w:rFonts w:asciiTheme="majorBidi" w:hAnsiTheme="majorBidi" w:cstheme="majorBidi"/>
          <w:sz w:val="24"/>
          <w:szCs w:val="24"/>
        </w:rPr>
        <w:t>basis</w:t>
      </w:r>
      <w:r w:rsidRPr="007A794D">
        <w:rPr>
          <w:rFonts w:asciiTheme="majorBidi" w:hAnsiTheme="majorBidi" w:cstheme="majorBidi"/>
          <w:sz w:val="24"/>
          <w:szCs w:val="24"/>
        </w:rPr>
        <w:t xml:space="preserve">. </w:t>
      </w:r>
      <w:r>
        <w:rPr>
          <w:rFonts w:asciiTheme="majorBidi" w:hAnsiTheme="majorBidi" w:cstheme="majorBidi"/>
          <w:sz w:val="24"/>
          <w:szCs w:val="24"/>
        </w:rPr>
        <w:t xml:space="preserve">But each </w:t>
      </w:r>
      <w:r w:rsidRPr="007A794D">
        <w:rPr>
          <w:rFonts w:asciiTheme="majorBidi" w:hAnsiTheme="majorBidi" w:cstheme="majorBidi"/>
          <w:sz w:val="24"/>
          <w:szCs w:val="24"/>
        </w:rPr>
        <w:t xml:space="preserve">indicator has a different time </w:t>
      </w:r>
      <w:r>
        <w:rPr>
          <w:rFonts w:asciiTheme="majorBidi" w:hAnsiTheme="majorBidi" w:cstheme="majorBidi"/>
          <w:sz w:val="24"/>
          <w:szCs w:val="24"/>
        </w:rPr>
        <w:t>which necessitated creation of a number of integration indices</w:t>
      </w:r>
      <w:r w:rsidRPr="007A794D">
        <w:rPr>
          <w:rFonts w:asciiTheme="majorBidi" w:hAnsiTheme="majorBidi" w:cstheme="majorBidi"/>
          <w:sz w:val="24"/>
          <w:szCs w:val="24"/>
        </w:rPr>
        <w:t xml:space="preserve">. </w:t>
      </w:r>
      <w:r w:rsidRPr="00125F69">
        <w:rPr>
          <w:rFonts w:asciiTheme="majorBidi" w:hAnsiTheme="majorBidi" w:cstheme="majorBidi"/>
          <w:sz w:val="24"/>
          <w:szCs w:val="24"/>
        </w:rPr>
        <w:t>Indicators were included</w:t>
      </w:r>
      <w:r>
        <w:rPr>
          <w:rFonts w:asciiTheme="majorBidi" w:hAnsiTheme="majorBidi" w:cstheme="majorBidi"/>
          <w:sz w:val="24"/>
          <w:szCs w:val="24"/>
        </w:rPr>
        <w:t>, only</w:t>
      </w:r>
      <w:r w:rsidRPr="00125F69">
        <w:rPr>
          <w:rFonts w:asciiTheme="majorBidi" w:hAnsiTheme="majorBidi" w:cstheme="majorBidi"/>
          <w:sz w:val="24"/>
          <w:szCs w:val="24"/>
        </w:rPr>
        <w:t xml:space="preserve"> where </w:t>
      </w:r>
      <w:r>
        <w:rPr>
          <w:rFonts w:asciiTheme="majorBidi" w:hAnsiTheme="majorBidi" w:cstheme="majorBidi"/>
          <w:sz w:val="24"/>
          <w:szCs w:val="24"/>
        </w:rPr>
        <w:t>reliable</w:t>
      </w:r>
      <w:r w:rsidRPr="00125F69">
        <w:rPr>
          <w:rFonts w:asciiTheme="majorBidi" w:hAnsiTheme="majorBidi" w:cstheme="majorBidi"/>
          <w:sz w:val="24"/>
          <w:szCs w:val="24"/>
        </w:rPr>
        <w:t xml:space="preserve"> data was available for most of years </w:t>
      </w:r>
      <w:r>
        <w:rPr>
          <w:rFonts w:asciiTheme="majorBidi" w:hAnsiTheme="majorBidi" w:cstheme="majorBidi"/>
          <w:sz w:val="24"/>
          <w:szCs w:val="24"/>
        </w:rPr>
        <w:t>of</w:t>
      </w:r>
      <w:r w:rsidRPr="00125F69">
        <w:rPr>
          <w:rFonts w:asciiTheme="majorBidi" w:hAnsiTheme="majorBidi" w:cstheme="majorBidi"/>
          <w:sz w:val="24"/>
          <w:szCs w:val="24"/>
        </w:rPr>
        <w:t xml:space="preserve"> coverage. In a few cases where data was missing, we used the most similar datasets or an average of the </w:t>
      </w:r>
      <w:r>
        <w:rPr>
          <w:rFonts w:asciiTheme="majorBidi" w:hAnsiTheme="majorBidi" w:cstheme="majorBidi"/>
          <w:sz w:val="24"/>
          <w:szCs w:val="24"/>
        </w:rPr>
        <w:t>a</w:t>
      </w:r>
      <w:r w:rsidRPr="00125F69">
        <w:rPr>
          <w:rFonts w:asciiTheme="majorBidi" w:hAnsiTheme="majorBidi" w:cstheme="majorBidi"/>
          <w:sz w:val="24"/>
          <w:szCs w:val="24"/>
        </w:rPr>
        <w:t>djacent years.</w:t>
      </w:r>
      <w:r>
        <w:rPr>
          <w:rFonts w:asciiTheme="majorBidi" w:hAnsiTheme="majorBidi" w:cstheme="majorBidi"/>
          <w:sz w:val="24"/>
          <w:szCs w:val="24"/>
        </w:rPr>
        <w:t xml:space="preserve"> </w:t>
      </w:r>
    </w:p>
    <w:p w14:paraId="513C7282" w14:textId="77777777" w:rsidR="00C10CCD" w:rsidRDefault="00C10CCD" w:rsidP="00C10CCD">
      <w:pPr>
        <w:autoSpaceDE w:val="0"/>
        <w:autoSpaceDN w:val="0"/>
        <w:bidi w:val="0"/>
        <w:adjustRightInd w:val="0"/>
        <w:spacing w:after="240" w:line="480" w:lineRule="auto"/>
        <w:ind w:left="851"/>
        <w:jc w:val="both"/>
        <w:rPr>
          <w:rFonts w:asciiTheme="majorBidi" w:hAnsiTheme="majorBidi" w:cstheme="majorBidi"/>
          <w:sz w:val="24"/>
          <w:szCs w:val="24"/>
        </w:rPr>
      </w:pPr>
      <w:r>
        <w:rPr>
          <w:rFonts w:asciiTheme="majorBidi" w:hAnsiTheme="majorBidi" w:cstheme="majorBidi"/>
          <w:sz w:val="24"/>
          <w:szCs w:val="24"/>
        </w:rPr>
        <w:lastRenderedPageBreak/>
        <w:t xml:space="preserve">Table 1 below summarizes the dimensions and relevant indicators and </w:t>
      </w:r>
      <w:r w:rsidRPr="00DA642B">
        <w:rPr>
          <w:rFonts w:asciiTheme="majorBidi" w:hAnsiTheme="majorBidi" w:cstheme="majorBidi"/>
          <w:sz w:val="24"/>
          <w:szCs w:val="24"/>
        </w:rPr>
        <w:t xml:space="preserve">details </w:t>
      </w:r>
      <w:r>
        <w:rPr>
          <w:rFonts w:asciiTheme="majorBidi" w:hAnsiTheme="majorBidi" w:cstheme="majorBidi"/>
          <w:sz w:val="24"/>
          <w:szCs w:val="24"/>
        </w:rPr>
        <w:t>of</w:t>
      </w:r>
      <w:r w:rsidRPr="00DA642B">
        <w:rPr>
          <w:rFonts w:asciiTheme="majorBidi" w:hAnsiTheme="majorBidi" w:cstheme="majorBidi"/>
          <w:sz w:val="24"/>
          <w:szCs w:val="24"/>
        </w:rPr>
        <w:t xml:space="preserve"> data</w:t>
      </w:r>
      <w:r>
        <w:rPr>
          <w:rFonts w:asciiTheme="majorBidi" w:hAnsiTheme="majorBidi" w:cstheme="majorBidi"/>
          <w:sz w:val="24"/>
          <w:szCs w:val="24"/>
        </w:rPr>
        <w:t xml:space="preserve"> </w:t>
      </w:r>
      <w:r w:rsidRPr="00DA642B">
        <w:rPr>
          <w:rFonts w:asciiTheme="majorBidi" w:hAnsiTheme="majorBidi" w:cstheme="majorBidi"/>
          <w:sz w:val="24"/>
          <w:szCs w:val="24"/>
        </w:rPr>
        <w:t>sources and years cover</w:t>
      </w:r>
      <w:r>
        <w:rPr>
          <w:rFonts w:asciiTheme="majorBidi" w:hAnsiTheme="majorBidi" w:cstheme="majorBidi"/>
          <w:sz w:val="24"/>
          <w:szCs w:val="24"/>
        </w:rPr>
        <w:t>ed:</w:t>
      </w:r>
    </w:p>
    <w:p w14:paraId="29F119BC" w14:textId="2117C9A6" w:rsidR="00C10CCD" w:rsidRDefault="00C10CCD" w:rsidP="00C10CCD">
      <w:pPr>
        <w:autoSpaceDE w:val="0"/>
        <w:autoSpaceDN w:val="0"/>
        <w:bidi w:val="0"/>
        <w:adjustRightInd w:val="0"/>
        <w:spacing w:line="480" w:lineRule="auto"/>
        <w:ind w:left="851"/>
        <w:jc w:val="center"/>
        <w:rPr>
          <w:rFonts w:asciiTheme="majorBidi" w:hAnsiTheme="majorBidi" w:cstheme="majorBidi"/>
          <w:b/>
          <w:bCs/>
          <w:sz w:val="24"/>
          <w:szCs w:val="24"/>
        </w:rPr>
      </w:pPr>
      <w:r w:rsidRPr="00BB1D10">
        <w:rPr>
          <w:b/>
          <w:bCs/>
          <w:sz w:val="24"/>
          <w:szCs w:val="24"/>
        </w:rPr>
        <w:t>Table 1: Dimensions and</w:t>
      </w:r>
      <w:r w:rsidRPr="00BB1D10">
        <w:rPr>
          <w:rFonts w:asciiTheme="majorBidi" w:hAnsiTheme="majorBidi" w:cstheme="majorBidi"/>
          <w:b/>
          <w:bCs/>
          <w:sz w:val="24"/>
          <w:szCs w:val="24"/>
        </w:rPr>
        <w:t xml:space="preserve"> indicators</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66"/>
        <w:gridCol w:w="1230"/>
        <w:gridCol w:w="1411"/>
      </w:tblGrid>
      <w:tr w:rsidR="006E1000" w:rsidRPr="006E1000" w14:paraId="4B5E7E48" w14:textId="77777777" w:rsidTr="003501B4">
        <w:trPr>
          <w:trHeight w:val="615"/>
        </w:trPr>
        <w:tc>
          <w:tcPr>
            <w:tcW w:w="1276" w:type="dxa"/>
            <w:shd w:val="clear" w:color="auto" w:fill="auto"/>
            <w:vAlign w:val="center"/>
            <w:hideMark/>
          </w:tcPr>
          <w:p w14:paraId="05580E7A" w14:textId="77777777" w:rsidR="006E1000" w:rsidRPr="006E1000" w:rsidRDefault="006E1000" w:rsidP="006E1000">
            <w:pPr>
              <w:bidi w:val="0"/>
              <w:rPr>
                <w:rFonts w:cs="Calibri"/>
                <w:b/>
                <w:bCs/>
                <w:color w:val="000000"/>
                <w:lang w:val="en-IL" w:eastAsia="en-IL"/>
              </w:rPr>
            </w:pPr>
            <w:r w:rsidRPr="006E1000">
              <w:rPr>
                <w:rFonts w:cs="Calibri"/>
                <w:b/>
                <w:bCs/>
                <w:color w:val="000000"/>
                <w:lang w:eastAsia="en-IL"/>
              </w:rPr>
              <w:t>Dimension</w:t>
            </w:r>
          </w:p>
        </w:tc>
        <w:tc>
          <w:tcPr>
            <w:tcW w:w="5666" w:type="dxa"/>
            <w:shd w:val="clear" w:color="auto" w:fill="auto"/>
            <w:noWrap/>
            <w:vAlign w:val="center"/>
            <w:hideMark/>
          </w:tcPr>
          <w:p w14:paraId="1E30098E" w14:textId="77777777" w:rsidR="006E1000" w:rsidRPr="006E1000" w:rsidRDefault="006E1000" w:rsidP="006E1000">
            <w:pPr>
              <w:bidi w:val="0"/>
              <w:rPr>
                <w:rFonts w:cs="Calibri"/>
                <w:b/>
                <w:bCs/>
                <w:color w:val="000000"/>
                <w:lang w:val="en-IL" w:eastAsia="en-IL"/>
              </w:rPr>
            </w:pPr>
            <w:r w:rsidRPr="006E1000">
              <w:rPr>
                <w:rFonts w:cs="Calibri"/>
                <w:b/>
                <w:bCs/>
                <w:color w:val="000000"/>
                <w:lang w:eastAsia="en-IL"/>
              </w:rPr>
              <w:t>Indicator</w:t>
            </w:r>
          </w:p>
        </w:tc>
        <w:tc>
          <w:tcPr>
            <w:tcW w:w="1230" w:type="dxa"/>
            <w:shd w:val="clear" w:color="auto" w:fill="auto"/>
            <w:noWrap/>
            <w:vAlign w:val="center"/>
            <w:hideMark/>
          </w:tcPr>
          <w:p w14:paraId="33EB5F02" w14:textId="77777777" w:rsidR="006E1000" w:rsidRPr="006E1000" w:rsidRDefault="006E1000" w:rsidP="006E1000">
            <w:pPr>
              <w:bidi w:val="0"/>
              <w:rPr>
                <w:rFonts w:cs="Calibri"/>
                <w:b/>
                <w:bCs/>
                <w:color w:val="000000"/>
                <w:lang w:val="en-IL" w:eastAsia="en-IL"/>
              </w:rPr>
            </w:pPr>
            <w:bookmarkStart w:id="1" w:name="RANGE!E7"/>
            <w:r w:rsidRPr="006E1000">
              <w:rPr>
                <w:rFonts w:cs="Calibri"/>
                <w:b/>
                <w:bCs/>
                <w:color w:val="000000"/>
                <w:lang w:eastAsia="en-IL"/>
              </w:rPr>
              <w:t>Data sources</w:t>
            </w:r>
            <w:bookmarkEnd w:id="1"/>
          </w:p>
        </w:tc>
        <w:tc>
          <w:tcPr>
            <w:tcW w:w="1411" w:type="dxa"/>
            <w:shd w:val="clear" w:color="auto" w:fill="auto"/>
            <w:noWrap/>
            <w:vAlign w:val="center"/>
            <w:hideMark/>
          </w:tcPr>
          <w:p w14:paraId="67A8A212" w14:textId="77777777" w:rsidR="006E1000" w:rsidRPr="006E1000" w:rsidRDefault="006E1000" w:rsidP="006E1000">
            <w:pPr>
              <w:bidi w:val="0"/>
              <w:rPr>
                <w:rFonts w:cs="Calibri"/>
                <w:b/>
                <w:bCs/>
                <w:color w:val="000000"/>
                <w:lang w:val="en-IL" w:eastAsia="en-IL"/>
              </w:rPr>
            </w:pPr>
            <w:r w:rsidRPr="006E1000">
              <w:rPr>
                <w:rFonts w:cs="Calibri"/>
                <w:b/>
                <w:bCs/>
                <w:color w:val="000000"/>
                <w:lang w:eastAsia="en-IL"/>
              </w:rPr>
              <w:t>Years of coverage</w:t>
            </w:r>
          </w:p>
        </w:tc>
      </w:tr>
      <w:tr w:rsidR="003501B4" w:rsidRPr="006E1000" w14:paraId="68BDD041" w14:textId="77777777" w:rsidTr="003501B4">
        <w:trPr>
          <w:trHeight w:val="315"/>
        </w:trPr>
        <w:tc>
          <w:tcPr>
            <w:tcW w:w="1276" w:type="dxa"/>
            <w:vMerge w:val="restart"/>
            <w:shd w:val="clear" w:color="auto" w:fill="auto"/>
            <w:vAlign w:val="center"/>
            <w:hideMark/>
          </w:tcPr>
          <w:p w14:paraId="031F5FA9" w14:textId="77777777" w:rsidR="006E1000" w:rsidRPr="006E1000" w:rsidRDefault="006E1000" w:rsidP="006E1000">
            <w:pPr>
              <w:bidi w:val="0"/>
              <w:rPr>
                <w:rFonts w:cs="Calibri"/>
                <w:b/>
                <w:bCs/>
                <w:color w:val="000000"/>
                <w:lang w:val="en-IL" w:eastAsia="en-IL"/>
              </w:rPr>
            </w:pPr>
            <w:r w:rsidRPr="006E1000">
              <w:rPr>
                <w:rFonts w:cs="Calibri"/>
                <w:b/>
                <w:bCs/>
                <w:color w:val="000000"/>
                <w:lang w:eastAsia="en-IL"/>
              </w:rPr>
              <w:t>Trade, Employment and Taxes</w:t>
            </w:r>
          </w:p>
        </w:tc>
        <w:tc>
          <w:tcPr>
            <w:tcW w:w="5666" w:type="dxa"/>
            <w:shd w:val="clear" w:color="auto" w:fill="auto"/>
            <w:noWrap/>
            <w:vAlign w:val="center"/>
            <w:hideMark/>
          </w:tcPr>
          <w:p w14:paraId="65A57F27" w14:textId="77777777" w:rsidR="006E1000" w:rsidRPr="006E1000" w:rsidRDefault="006E1000" w:rsidP="006E1000">
            <w:pPr>
              <w:bidi w:val="0"/>
              <w:rPr>
                <w:rFonts w:cs="Calibri"/>
                <w:color w:val="000000"/>
                <w:lang w:val="en-IL" w:eastAsia="en-IL"/>
              </w:rPr>
            </w:pPr>
            <w:r w:rsidRPr="006E1000">
              <w:rPr>
                <w:rFonts w:cs="Calibri"/>
                <w:color w:val="000000"/>
                <w:lang w:eastAsia="en-IL"/>
              </w:rPr>
              <w:t>Palestinian exports of goods and services to Israel out of total Palestinian exports</w:t>
            </w:r>
          </w:p>
        </w:tc>
        <w:tc>
          <w:tcPr>
            <w:tcW w:w="1230" w:type="dxa"/>
            <w:shd w:val="clear" w:color="auto" w:fill="auto"/>
            <w:noWrap/>
            <w:vAlign w:val="center"/>
            <w:hideMark/>
          </w:tcPr>
          <w:p w14:paraId="190BF42F" w14:textId="77777777" w:rsidR="006E1000" w:rsidRPr="006E1000" w:rsidRDefault="006E1000" w:rsidP="006E1000">
            <w:pPr>
              <w:bidi w:val="0"/>
              <w:rPr>
                <w:rFonts w:cs="Calibri"/>
                <w:color w:val="000000"/>
                <w:lang w:val="en-IL" w:eastAsia="en-IL"/>
              </w:rPr>
            </w:pPr>
            <w:r w:rsidRPr="006E1000">
              <w:rPr>
                <w:rFonts w:cs="Calibri"/>
                <w:color w:val="000000"/>
                <w:lang w:eastAsia="en-IL"/>
              </w:rPr>
              <w:t>PCBS, ICBS, WB</w:t>
            </w:r>
          </w:p>
        </w:tc>
        <w:tc>
          <w:tcPr>
            <w:tcW w:w="1411" w:type="dxa"/>
            <w:shd w:val="clear" w:color="auto" w:fill="auto"/>
            <w:noWrap/>
            <w:vAlign w:val="center"/>
            <w:hideMark/>
          </w:tcPr>
          <w:p w14:paraId="7AA36099" w14:textId="77777777" w:rsidR="006E1000" w:rsidRPr="006E1000" w:rsidRDefault="006E1000" w:rsidP="006E1000">
            <w:pPr>
              <w:bidi w:val="0"/>
              <w:rPr>
                <w:rFonts w:cs="Calibri"/>
                <w:color w:val="000000"/>
                <w:lang w:val="en-IL" w:eastAsia="en-IL"/>
              </w:rPr>
            </w:pPr>
            <w:r w:rsidRPr="006E1000">
              <w:rPr>
                <w:rFonts w:cs="Calibri"/>
                <w:color w:val="000000"/>
                <w:lang w:eastAsia="en-IL"/>
              </w:rPr>
              <w:t>1968-2019</w:t>
            </w:r>
          </w:p>
        </w:tc>
      </w:tr>
      <w:tr w:rsidR="003501B4" w:rsidRPr="006E1000" w14:paraId="74FFB3FF" w14:textId="77777777" w:rsidTr="003501B4">
        <w:trPr>
          <w:trHeight w:val="315"/>
        </w:trPr>
        <w:tc>
          <w:tcPr>
            <w:tcW w:w="1276" w:type="dxa"/>
            <w:vMerge/>
            <w:vAlign w:val="center"/>
            <w:hideMark/>
          </w:tcPr>
          <w:p w14:paraId="54EB456C"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60D32B15" w14:textId="77777777" w:rsidR="006E1000" w:rsidRPr="006E1000" w:rsidRDefault="006E1000" w:rsidP="006E1000">
            <w:pPr>
              <w:bidi w:val="0"/>
              <w:rPr>
                <w:rFonts w:cs="Calibri"/>
                <w:color w:val="000000"/>
                <w:lang w:val="en-IL" w:eastAsia="en-IL"/>
              </w:rPr>
            </w:pPr>
            <w:r w:rsidRPr="006E1000">
              <w:rPr>
                <w:rFonts w:cs="Calibri"/>
                <w:color w:val="000000"/>
                <w:lang w:eastAsia="en-IL"/>
              </w:rPr>
              <w:t>Palestinian imports of goods and services from Israel out of total Palestinian imports</w:t>
            </w:r>
          </w:p>
        </w:tc>
        <w:tc>
          <w:tcPr>
            <w:tcW w:w="1230" w:type="dxa"/>
            <w:shd w:val="clear" w:color="auto" w:fill="auto"/>
            <w:noWrap/>
            <w:vAlign w:val="center"/>
            <w:hideMark/>
          </w:tcPr>
          <w:p w14:paraId="20289F38" w14:textId="77777777" w:rsidR="006E1000" w:rsidRPr="006E1000" w:rsidRDefault="006E1000" w:rsidP="006E1000">
            <w:pPr>
              <w:bidi w:val="0"/>
              <w:rPr>
                <w:rFonts w:cs="Calibri"/>
                <w:color w:val="000000"/>
                <w:lang w:val="en-IL" w:eastAsia="en-IL"/>
              </w:rPr>
            </w:pPr>
            <w:r w:rsidRPr="006E1000">
              <w:rPr>
                <w:rFonts w:cs="Calibri"/>
                <w:color w:val="000000"/>
                <w:lang w:eastAsia="en-IL"/>
              </w:rPr>
              <w:t>PCBS, ICBS, WB</w:t>
            </w:r>
          </w:p>
        </w:tc>
        <w:tc>
          <w:tcPr>
            <w:tcW w:w="1411" w:type="dxa"/>
            <w:shd w:val="clear" w:color="auto" w:fill="auto"/>
            <w:noWrap/>
            <w:vAlign w:val="center"/>
            <w:hideMark/>
          </w:tcPr>
          <w:p w14:paraId="5170F1F9" w14:textId="77777777" w:rsidR="006E1000" w:rsidRPr="006E1000" w:rsidRDefault="006E1000" w:rsidP="006E1000">
            <w:pPr>
              <w:bidi w:val="0"/>
              <w:rPr>
                <w:rFonts w:cs="Calibri"/>
                <w:color w:val="000000"/>
                <w:lang w:val="en-IL" w:eastAsia="en-IL"/>
              </w:rPr>
            </w:pPr>
            <w:r w:rsidRPr="006E1000">
              <w:rPr>
                <w:rFonts w:cs="Calibri"/>
                <w:color w:val="000000"/>
                <w:lang w:eastAsia="en-IL"/>
              </w:rPr>
              <w:t>1968-2019</w:t>
            </w:r>
          </w:p>
        </w:tc>
      </w:tr>
      <w:tr w:rsidR="003501B4" w:rsidRPr="006E1000" w14:paraId="6F6196F5" w14:textId="77777777" w:rsidTr="003501B4">
        <w:trPr>
          <w:trHeight w:val="315"/>
        </w:trPr>
        <w:tc>
          <w:tcPr>
            <w:tcW w:w="1276" w:type="dxa"/>
            <w:vMerge/>
            <w:vAlign w:val="center"/>
            <w:hideMark/>
          </w:tcPr>
          <w:p w14:paraId="10A935FA"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46886082" w14:textId="77777777" w:rsidR="006E1000" w:rsidRPr="006E1000" w:rsidRDefault="006E1000" w:rsidP="006E1000">
            <w:pPr>
              <w:bidi w:val="0"/>
              <w:rPr>
                <w:rFonts w:cs="Calibri"/>
                <w:color w:val="000000"/>
                <w:lang w:val="en-IL" w:eastAsia="en-IL"/>
              </w:rPr>
            </w:pPr>
            <w:r w:rsidRPr="006E1000">
              <w:rPr>
                <w:rFonts w:cs="Calibri"/>
                <w:color w:val="000000"/>
                <w:lang w:eastAsia="en-IL"/>
              </w:rPr>
              <w:t>Share of gross clearance revenues out of total PA net revenues and grants</w:t>
            </w:r>
          </w:p>
        </w:tc>
        <w:tc>
          <w:tcPr>
            <w:tcW w:w="1230" w:type="dxa"/>
            <w:shd w:val="clear" w:color="auto" w:fill="auto"/>
            <w:noWrap/>
            <w:vAlign w:val="center"/>
            <w:hideMark/>
          </w:tcPr>
          <w:p w14:paraId="78EB26E7" w14:textId="77777777" w:rsidR="006E1000" w:rsidRPr="006E1000" w:rsidRDefault="006E1000" w:rsidP="006E1000">
            <w:pPr>
              <w:bidi w:val="0"/>
              <w:rPr>
                <w:rFonts w:cs="Calibri"/>
                <w:color w:val="000000"/>
                <w:lang w:val="en-IL" w:eastAsia="en-IL"/>
              </w:rPr>
            </w:pPr>
            <w:r w:rsidRPr="006E1000">
              <w:rPr>
                <w:rFonts w:cs="Calibri"/>
                <w:color w:val="000000"/>
                <w:lang w:eastAsia="en-IL"/>
              </w:rPr>
              <w:t>PMA</w:t>
            </w:r>
          </w:p>
        </w:tc>
        <w:tc>
          <w:tcPr>
            <w:tcW w:w="1411" w:type="dxa"/>
            <w:shd w:val="clear" w:color="auto" w:fill="auto"/>
            <w:noWrap/>
            <w:vAlign w:val="center"/>
            <w:hideMark/>
          </w:tcPr>
          <w:p w14:paraId="7040574A" w14:textId="77777777" w:rsidR="006E1000" w:rsidRPr="006E1000" w:rsidRDefault="006E1000" w:rsidP="006E1000">
            <w:pPr>
              <w:bidi w:val="0"/>
              <w:rPr>
                <w:rFonts w:cs="Calibri"/>
                <w:color w:val="000000"/>
                <w:lang w:val="en-IL" w:eastAsia="en-IL"/>
              </w:rPr>
            </w:pPr>
            <w:r w:rsidRPr="006E1000">
              <w:rPr>
                <w:rFonts w:cs="Calibri"/>
                <w:color w:val="000000"/>
                <w:lang w:eastAsia="en-IL"/>
              </w:rPr>
              <w:t>1996-2019</w:t>
            </w:r>
          </w:p>
        </w:tc>
      </w:tr>
      <w:tr w:rsidR="003501B4" w:rsidRPr="006E1000" w14:paraId="03DC86D1" w14:textId="77777777" w:rsidTr="003501B4">
        <w:trPr>
          <w:trHeight w:val="315"/>
        </w:trPr>
        <w:tc>
          <w:tcPr>
            <w:tcW w:w="1276" w:type="dxa"/>
            <w:vMerge/>
            <w:vAlign w:val="center"/>
            <w:hideMark/>
          </w:tcPr>
          <w:p w14:paraId="0DE9368F"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46DEC1AC" w14:textId="77777777" w:rsidR="006E1000" w:rsidRPr="006E1000" w:rsidRDefault="006E1000" w:rsidP="006E1000">
            <w:pPr>
              <w:bidi w:val="0"/>
              <w:rPr>
                <w:rFonts w:cs="Calibri"/>
                <w:color w:val="000000"/>
                <w:lang w:val="en-IL" w:eastAsia="en-IL"/>
              </w:rPr>
            </w:pPr>
            <w:r w:rsidRPr="006E1000">
              <w:rPr>
                <w:rFonts w:cs="Calibri"/>
                <w:color w:val="000000"/>
                <w:lang w:eastAsia="en-IL"/>
              </w:rPr>
              <w:t>Palestinians employed in Israel out of total Palestinian individuals employed</w:t>
            </w:r>
          </w:p>
        </w:tc>
        <w:tc>
          <w:tcPr>
            <w:tcW w:w="1230" w:type="dxa"/>
            <w:shd w:val="clear" w:color="auto" w:fill="auto"/>
            <w:noWrap/>
            <w:vAlign w:val="center"/>
            <w:hideMark/>
          </w:tcPr>
          <w:p w14:paraId="6AB8C663" w14:textId="77777777" w:rsidR="006E1000" w:rsidRPr="006E1000" w:rsidRDefault="006E1000" w:rsidP="006E1000">
            <w:pPr>
              <w:bidi w:val="0"/>
              <w:rPr>
                <w:rFonts w:cs="Calibri"/>
                <w:color w:val="000000"/>
                <w:lang w:val="en-IL" w:eastAsia="en-IL"/>
              </w:rPr>
            </w:pPr>
            <w:r w:rsidRPr="006E1000">
              <w:rPr>
                <w:rFonts w:cs="Calibri"/>
                <w:color w:val="000000"/>
                <w:lang w:eastAsia="en-IL"/>
              </w:rPr>
              <w:t>PCBS, ICBS</w:t>
            </w:r>
          </w:p>
        </w:tc>
        <w:tc>
          <w:tcPr>
            <w:tcW w:w="1411" w:type="dxa"/>
            <w:shd w:val="clear" w:color="auto" w:fill="auto"/>
            <w:noWrap/>
            <w:vAlign w:val="center"/>
            <w:hideMark/>
          </w:tcPr>
          <w:p w14:paraId="4D9FBB2D" w14:textId="77777777" w:rsidR="006E1000" w:rsidRPr="006E1000" w:rsidRDefault="006E1000" w:rsidP="006E1000">
            <w:pPr>
              <w:bidi w:val="0"/>
              <w:rPr>
                <w:rFonts w:cs="Calibri"/>
                <w:color w:val="000000"/>
                <w:lang w:val="en-IL" w:eastAsia="en-IL"/>
              </w:rPr>
            </w:pPr>
            <w:r w:rsidRPr="006E1000">
              <w:rPr>
                <w:rFonts w:cs="Calibri"/>
                <w:color w:val="000000"/>
                <w:lang w:eastAsia="en-IL"/>
              </w:rPr>
              <w:t>1968-2019</w:t>
            </w:r>
          </w:p>
        </w:tc>
      </w:tr>
      <w:tr w:rsidR="003501B4" w:rsidRPr="006E1000" w14:paraId="0C6D0DEA" w14:textId="77777777" w:rsidTr="003501B4">
        <w:trPr>
          <w:trHeight w:val="315"/>
        </w:trPr>
        <w:tc>
          <w:tcPr>
            <w:tcW w:w="1276" w:type="dxa"/>
            <w:vMerge/>
            <w:vAlign w:val="center"/>
            <w:hideMark/>
          </w:tcPr>
          <w:p w14:paraId="3E2CAEC2"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5339101B" w14:textId="77777777" w:rsidR="006E1000" w:rsidRPr="006E1000" w:rsidRDefault="006E1000" w:rsidP="006E1000">
            <w:pPr>
              <w:bidi w:val="0"/>
              <w:rPr>
                <w:rFonts w:cs="Calibri"/>
                <w:color w:val="000000"/>
                <w:lang w:val="en-IL" w:eastAsia="en-IL"/>
              </w:rPr>
            </w:pPr>
            <w:r w:rsidRPr="006E1000">
              <w:rPr>
                <w:rFonts w:eastAsiaTheme="minorHAnsi" w:cs="Calibri"/>
                <w:color w:val="000000"/>
                <w:lang w:eastAsia="en-IL"/>
              </w:rPr>
              <w:t>Remittances of Palestinians workers in Israel out of WBG GNI</w:t>
            </w:r>
          </w:p>
        </w:tc>
        <w:tc>
          <w:tcPr>
            <w:tcW w:w="1230" w:type="dxa"/>
            <w:shd w:val="clear" w:color="auto" w:fill="auto"/>
            <w:noWrap/>
            <w:vAlign w:val="center"/>
            <w:hideMark/>
          </w:tcPr>
          <w:p w14:paraId="4F2BCE86" w14:textId="77777777" w:rsidR="006E1000" w:rsidRPr="006E1000" w:rsidRDefault="006E1000" w:rsidP="006E1000">
            <w:pPr>
              <w:bidi w:val="0"/>
              <w:rPr>
                <w:rFonts w:cs="Calibri"/>
                <w:color w:val="000000"/>
                <w:lang w:val="en-IL" w:eastAsia="en-IL"/>
              </w:rPr>
            </w:pPr>
            <w:r w:rsidRPr="006E1000">
              <w:rPr>
                <w:rFonts w:cs="Calibri"/>
                <w:color w:val="000000"/>
                <w:lang w:eastAsia="en-IL"/>
              </w:rPr>
              <w:t>PCBS, ICBS</w:t>
            </w:r>
          </w:p>
        </w:tc>
        <w:tc>
          <w:tcPr>
            <w:tcW w:w="1411" w:type="dxa"/>
            <w:shd w:val="clear" w:color="auto" w:fill="auto"/>
            <w:noWrap/>
            <w:vAlign w:val="center"/>
            <w:hideMark/>
          </w:tcPr>
          <w:p w14:paraId="5E9EC80A" w14:textId="77777777" w:rsidR="006E1000" w:rsidRPr="006E1000" w:rsidRDefault="006E1000" w:rsidP="006E1000">
            <w:pPr>
              <w:bidi w:val="0"/>
              <w:rPr>
                <w:rFonts w:cs="Calibri"/>
                <w:color w:val="000000"/>
                <w:lang w:val="en-IL" w:eastAsia="en-IL"/>
              </w:rPr>
            </w:pPr>
            <w:r w:rsidRPr="006E1000">
              <w:rPr>
                <w:rFonts w:cs="Calibri"/>
                <w:color w:val="000000"/>
                <w:lang w:eastAsia="en-IL"/>
              </w:rPr>
              <w:t>1968-2019</w:t>
            </w:r>
          </w:p>
        </w:tc>
      </w:tr>
      <w:tr w:rsidR="003501B4" w:rsidRPr="006E1000" w14:paraId="16E8907F" w14:textId="77777777" w:rsidTr="003501B4">
        <w:trPr>
          <w:trHeight w:val="315"/>
        </w:trPr>
        <w:tc>
          <w:tcPr>
            <w:tcW w:w="1276" w:type="dxa"/>
            <w:vMerge w:val="restart"/>
            <w:shd w:val="clear" w:color="auto" w:fill="auto"/>
            <w:vAlign w:val="center"/>
            <w:hideMark/>
          </w:tcPr>
          <w:p w14:paraId="4EBB7B29" w14:textId="77777777" w:rsidR="006E1000" w:rsidRPr="006E1000" w:rsidRDefault="006E1000" w:rsidP="006E1000">
            <w:pPr>
              <w:bidi w:val="0"/>
              <w:rPr>
                <w:rFonts w:cs="Calibri"/>
                <w:b/>
                <w:bCs/>
                <w:color w:val="000000"/>
                <w:lang w:val="en-IL" w:eastAsia="en-IL"/>
              </w:rPr>
            </w:pPr>
            <w:r w:rsidRPr="006E1000">
              <w:rPr>
                <w:rFonts w:cs="Calibri"/>
                <w:b/>
                <w:bCs/>
                <w:color w:val="000000"/>
                <w:lang w:eastAsia="en-IL"/>
              </w:rPr>
              <w:t xml:space="preserve">Movement of people </w:t>
            </w:r>
          </w:p>
        </w:tc>
        <w:tc>
          <w:tcPr>
            <w:tcW w:w="5666" w:type="dxa"/>
            <w:shd w:val="clear" w:color="auto" w:fill="auto"/>
            <w:noWrap/>
            <w:vAlign w:val="center"/>
            <w:hideMark/>
          </w:tcPr>
          <w:p w14:paraId="0970B3BB" w14:textId="77777777" w:rsidR="006E1000" w:rsidRPr="006E1000" w:rsidRDefault="006E1000" w:rsidP="006E1000">
            <w:pPr>
              <w:bidi w:val="0"/>
              <w:rPr>
                <w:rFonts w:cs="Calibri"/>
                <w:color w:val="000000"/>
                <w:lang w:val="en-IL" w:eastAsia="en-IL"/>
              </w:rPr>
            </w:pPr>
            <w:r w:rsidRPr="006E1000">
              <w:rPr>
                <w:rFonts w:cs="Calibri"/>
                <w:color w:val="000000"/>
                <w:lang w:eastAsia="en-IL"/>
              </w:rPr>
              <w:t>Percentage of Israeli cars entering the WB</w:t>
            </w:r>
          </w:p>
        </w:tc>
        <w:tc>
          <w:tcPr>
            <w:tcW w:w="1230" w:type="dxa"/>
            <w:shd w:val="clear" w:color="auto" w:fill="auto"/>
            <w:noWrap/>
            <w:vAlign w:val="center"/>
            <w:hideMark/>
          </w:tcPr>
          <w:p w14:paraId="43ABCC9F" w14:textId="77777777" w:rsidR="006E1000" w:rsidRPr="006E1000" w:rsidRDefault="006E1000" w:rsidP="006E1000">
            <w:pPr>
              <w:bidi w:val="0"/>
              <w:rPr>
                <w:rFonts w:cs="Calibri"/>
                <w:color w:val="000000"/>
                <w:lang w:val="en-IL" w:eastAsia="en-IL"/>
              </w:rPr>
            </w:pPr>
            <w:r w:rsidRPr="006E1000">
              <w:rPr>
                <w:rFonts w:cs="Calibri"/>
                <w:color w:val="000000"/>
                <w:lang w:eastAsia="en-IL"/>
              </w:rPr>
              <w:t>ICA, ICBS</w:t>
            </w:r>
          </w:p>
        </w:tc>
        <w:tc>
          <w:tcPr>
            <w:tcW w:w="1411" w:type="dxa"/>
            <w:shd w:val="clear" w:color="auto" w:fill="auto"/>
            <w:noWrap/>
            <w:vAlign w:val="center"/>
            <w:hideMark/>
          </w:tcPr>
          <w:p w14:paraId="30D5D8BD" w14:textId="77777777" w:rsidR="006E1000" w:rsidRPr="006E1000" w:rsidRDefault="006E1000" w:rsidP="006E1000">
            <w:pPr>
              <w:bidi w:val="0"/>
              <w:rPr>
                <w:rFonts w:cs="Calibri"/>
                <w:color w:val="000000"/>
                <w:lang w:val="en-IL" w:eastAsia="en-IL"/>
              </w:rPr>
            </w:pPr>
            <w:r w:rsidRPr="006E1000">
              <w:rPr>
                <w:rFonts w:cs="Calibri"/>
                <w:color w:val="000000"/>
                <w:lang w:eastAsia="en-IL"/>
              </w:rPr>
              <w:t>2010-2019</w:t>
            </w:r>
          </w:p>
        </w:tc>
      </w:tr>
      <w:tr w:rsidR="003501B4" w:rsidRPr="006E1000" w14:paraId="146F4B45" w14:textId="77777777" w:rsidTr="003501B4">
        <w:trPr>
          <w:trHeight w:val="315"/>
        </w:trPr>
        <w:tc>
          <w:tcPr>
            <w:tcW w:w="1276" w:type="dxa"/>
            <w:vMerge/>
            <w:vAlign w:val="center"/>
            <w:hideMark/>
          </w:tcPr>
          <w:p w14:paraId="72FC16B3"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4BFFC491" w14:textId="77777777" w:rsidR="006E1000" w:rsidRPr="006E1000" w:rsidRDefault="006E1000" w:rsidP="006E1000">
            <w:pPr>
              <w:bidi w:val="0"/>
              <w:rPr>
                <w:rFonts w:cs="Calibri"/>
                <w:color w:val="000000"/>
                <w:lang w:val="en-IL" w:eastAsia="en-IL"/>
              </w:rPr>
            </w:pPr>
            <w:r w:rsidRPr="006E1000">
              <w:rPr>
                <w:rFonts w:cs="Calibri"/>
                <w:color w:val="000000"/>
                <w:lang w:eastAsia="en-IL"/>
              </w:rPr>
              <w:t>Movement of people between Israel and the WB</w:t>
            </w:r>
          </w:p>
        </w:tc>
        <w:tc>
          <w:tcPr>
            <w:tcW w:w="1230" w:type="dxa"/>
            <w:shd w:val="clear" w:color="auto" w:fill="auto"/>
            <w:noWrap/>
            <w:vAlign w:val="center"/>
            <w:hideMark/>
          </w:tcPr>
          <w:p w14:paraId="2E24CC1D" w14:textId="77777777" w:rsidR="006E1000" w:rsidRPr="006E1000" w:rsidRDefault="006E1000" w:rsidP="006E1000">
            <w:pPr>
              <w:bidi w:val="0"/>
              <w:rPr>
                <w:rFonts w:cs="Calibri"/>
                <w:color w:val="000000"/>
                <w:lang w:val="en-IL" w:eastAsia="en-IL"/>
              </w:rPr>
            </w:pPr>
            <w:r w:rsidRPr="006E1000">
              <w:rPr>
                <w:rFonts w:cs="Calibri"/>
                <w:color w:val="000000"/>
                <w:lang w:eastAsia="en-IL"/>
              </w:rPr>
              <w:t>ICA, PCBS</w:t>
            </w:r>
          </w:p>
        </w:tc>
        <w:tc>
          <w:tcPr>
            <w:tcW w:w="1411" w:type="dxa"/>
            <w:shd w:val="clear" w:color="auto" w:fill="auto"/>
            <w:noWrap/>
            <w:vAlign w:val="center"/>
            <w:hideMark/>
          </w:tcPr>
          <w:p w14:paraId="54B73B6B" w14:textId="77777777" w:rsidR="006E1000" w:rsidRPr="006E1000" w:rsidRDefault="006E1000" w:rsidP="006E1000">
            <w:pPr>
              <w:bidi w:val="0"/>
              <w:rPr>
                <w:rFonts w:cs="Calibri"/>
                <w:color w:val="000000"/>
                <w:lang w:val="en-IL" w:eastAsia="en-IL"/>
              </w:rPr>
            </w:pPr>
            <w:r w:rsidRPr="006E1000">
              <w:rPr>
                <w:rFonts w:cs="Calibri"/>
                <w:color w:val="000000"/>
                <w:lang w:eastAsia="en-IL"/>
              </w:rPr>
              <w:t>2010-2019</w:t>
            </w:r>
          </w:p>
        </w:tc>
      </w:tr>
      <w:tr w:rsidR="003501B4" w:rsidRPr="006E1000" w14:paraId="75C5C89D" w14:textId="77777777" w:rsidTr="003501B4">
        <w:trPr>
          <w:trHeight w:val="315"/>
        </w:trPr>
        <w:tc>
          <w:tcPr>
            <w:tcW w:w="1276" w:type="dxa"/>
            <w:vMerge/>
            <w:vAlign w:val="center"/>
            <w:hideMark/>
          </w:tcPr>
          <w:p w14:paraId="0CA74FEA"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09B1802E" w14:textId="77777777" w:rsidR="006E1000" w:rsidRPr="006E1000" w:rsidRDefault="006E1000" w:rsidP="006E1000">
            <w:pPr>
              <w:bidi w:val="0"/>
              <w:rPr>
                <w:rFonts w:cs="Calibri"/>
                <w:color w:val="000000"/>
                <w:lang w:val="en-IL" w:eastAsia="en-IL"/>
              </w:rPr>
            </w:pPr>
            <w:r w:rsidRPr="006E1000">
              <w:rPr>
                <w:rFonts w:cs="Calibri"/>
                <w:color w:val="000000"/>
                <w:lang w:eastAsia="en-IL"/>
              </w:rPr>
              <w:t>Percentage of Palestinians entering Israel for medical treatment</w:t>
            </w:r>
          </w:p>
        </w:tc>
        <w:tc>
          <w:tcPr>
            <w:tcW w:w="1230" w:type="dxa"/>
            <w:shd w:val="clear" w:color="auto" w:fill="auto"/>
            <w:noWrap/>
            <w:vAlign w:val="center"/>
            <w:hideMark/>
          </w:tcPr>
          <w:p w14:paraId="798F12B7" w14:textId="77777777" w:rsidR="006E1000" w:rsidRPr="006E1000" w:rsidRDefault="006E1000" w:rsidP="006E1000">
            <w:pPr>
              <w:bidi w:val="0"/>
              <w:rPr>
                <w:rFonts w:cs="Calibri"/>
                <w:color w:val="000000"/>
                <w:lang w:val="en-IL" w:eastAsia="en-IL"/>
              </w:rPr>
            </w:pPr>
            <w:r w:rsidRPr="006E1000">
              <w:rPr>
                <w:rFonts w:cs="Calibri"/>
                <w:color w:val="000000"/>
                <w:lang w:eastAsia="en-IL"/>
              </w:rPr>
              <w:t>COGAT, PCBS</w:t>
            </w:r>
          </w:p>
        </w:tc>
        <w:tc>
          <w:tcPr>
            <w:tcW w:w="1411" w:type="dxa"/>
            <w:shd w:val="clear" w:color="auto" w:fill="auto"/>
            <w:noWrap/>
            <w:vAlign w:val="center"/>
            <w:hideMark/>
          </w:tcPr>
          <w:p w14:paraId="00CDE48E" w14:textId="77777777" w:rsidR="006E1000" w:rsidRPr="006E1000" w:rsidRDefault="006E1000" w:rsidP="006E1000">
            <w:pPr>
              <w:bidi w:val="0"/>
              <w:rPr>
                <w:rFonts w:cs="Calibri"/>
                <w:color w:val="000000"/>
                <w:lang w:val="en-IL" w:eastAsia="en-IL"/>
              </w:rPr>
            </w:pPr>
            <w:r w:rsidRPr="006E1000">
              <w:rPr>
                <w:rFonts w:cs="Calibri"/>
                <w:color w:val="000000"/>
                <w:lang w:eastAsia="en-IL"/>
              </w:rPr>
              <w:t>2010-2019</w:t>
            </w:r>
          </w:p>
        </w:tc>
      </w:tr>
      <w:tr w:rsidR="003501B4" w:rsidRPr="006E1000" w14:paraId="1FFA2C2B" w14:textId="77777777" w:rsidTr="003501B4">
        <w:trPr>
          <w:trHeight w:val="315"/>
        </w:trPr>
        <w:tc>
          <w:tcPr>
            <w:tcW w:w="1276" w:type="dxa"/>
            <w:vMerge/>
            <w:vAlign w:val="center"/>
            <w:hideMark/>
          </w:tcPr>
          <w:p w14:paraId="3FAE359C"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194B6962" w14:textId="77777777" w:rsidR="006E1000" w:rsidRPr="006E1000" w:rsidRDefault="006E1000" w:rsidP="006E1000">
            <w:pPr>
              <w:bidi w:val="0"/>
              <w:rPr>
                <w:rFonts w:cs="Calibri"/>
                <w:color w:val="000000"/>
                <w:lang w:val="en-IL" w:eastAsia="en-IL"/>
              </w:rPr>
            </w:pPr>
            <w:r w:rsidRPr="006E1000">
              <w:rPr>
                <w:rFonts w:cs="Calibri"/>
                <w:color w:val="000000"/>
                <w:lang w:eastAsia="en-IL"/>
              </w:rPr>
              <w:t>Percentage of Israeli guests’ nights in WB Hotels</w:t>
            </w:r>
          </w:p>
        </w:tc>
        <w:tc>
          <w:tcPr>
            <w:tcW w:w="1230" w:type="dxa"/>
            <w:shd w:val="clear" w:color="auto" w:fill="auto"/>
            <w:noWrap/>
            <w:vAlign w:val="center"/>
            <w:hideMark/>
          </w:tcPr>
          <w:p w14:paraId="7D16818E" w14:textId="77777777" w:rsidR="006E1000" w:rsidRPr="006E1000" w:rsidRDefault="006E1000" w:rsidP="006E1000">
            <w:pPr>
              <w:bidi w:val="0"/>
              <w:rPr>
                <w:rFonts w:cs="Calibri"/>
                <w:color w:val="000000"/>
                <w:lang w:val="en-IL" w:eastAsia="en-IL"/>
              </w:rPr>
            </w:pPr>
            <w:r w:rsidRPr="006E1000">
              <w:rPr>
                <w:rFonts w:cs="Calibri"/>
                <w:color w:val="000000"/>
                <w:lang w:eastAsia="en-IL"/>
              </w:rPr>
              <w:t>PCBS</w:t>
            </w:r>
          </w:p>
        </w:tc>
        <w:tc>
          <w:tcPr>
            <w:tcW w:w="1411" w:type="dxa"/>
            <w:shd w:val="clear" w:color="auto" w:fill="auto"/>
            <w:noWrap/>
            <w:vAlign w:val="center"/>
            <w:hideMark/>
          </w:tcPr>
          <w:p w14:paraId="63752430" w14:textId="77777777" w:rsidR="006E1000" w:rsidRPr="006E1000" w:rsidRDefault="006E1000" w:rsidP="006E1000">
            <w:pPr>
              <w:bidi w:val="0"/>
              <w:rPr>
                <w:rFonts w:cs="Calibri"/>
                <w:color w:val="000000"/>
                <w:lang w:val="en-IL" w:eastAsia="en-IL"/>
              </w:rPr>
            </w:pPr>
            <w:r w:rsidRPr="006E1000">
              <w:rPr>
                <w:rFonts w:cs="Calibri"/>
                <w:color w:val="000000"/>
                <w:lang w:eastAsia="en-IL"/>
              </w:rPr>
              <w:t>2010-2019</w:t>
            </w:r>
          </w:p>
        </w:tc>
      </w:tr>
      <w:tr w:rsidR="003501B4" w:rsidRPr="006E1000" w14:paraId="14DA01A5" w14:textId="77777777" w:rsidTr="003501B4">
        <w:trPr>
          <w:trHeight w:val="315"/>
        </w:trPr>
        <w:tc>
          <w:tcPr>
            <w:tcW w:w="1276" w:type="dxa"/>
            <w:vMerge/>
            <w:vAlign w:val="center"/>
            <w:hideMark/>
          </w:tcPr>
          <w:p w14:paraId="5B7D2238"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6A96ABD0" w14:textId="77777777" w:rsidR="006E1000" w:rsidRPr="006E1000" w:rsidRDefault="006E1000" w:rsidP="006E1000">
            <w:pPr>
              <w:bidi w:val="0"/>
              <w:rPr>
                <w:rFonts w:cs="Calibri"/>
                <w:color w:val="000000"/>
                <w:lang w:val="en-IL" w:eastAsia="en-IL"/>
              </w:rPr>
            </w:pPr>
            <w:r w:rsidRPr="006E1000">
              <w:rPr>
                <w:rFonts w:cs="Calibri"/>
                <w:color w:val="000000"/>
                <w:lang w:eastAsia="en-IL"/>
              </w:rPr>
              <w:t>Percentage of Palestinian households that conducted Outbound Trips to Israel</w:t>
            </w:r>
          </w:p>
        </w:tc>
        <w:tc>
          <w:tcPr>
            <w:tcW w:w="1230" w:type="dxa"/>
            <w:shd w:val="clear" w:color="auto" w:fill="auto"/>
            <w:noWrap/>
            <w:vAlign w:val="center"/>
            <w:hideMark/>
          </w:tcPr>
          <w:p w14:paraId="314A32DD" w14:textId="77777777" w:rsidR="006E1000" w:rsidRPr="006E1000" w:rsidRDefault="006E1000" w:rsidP="006E1000">
            <w:pPr>
              <w:bidi w:val="0"/>
              <w:rPr>
                <w:rFonts w:cs="Calibri"/>
                <w:color w:val="000000"/>
                <w:lang w:val="en-IL" w:eastAsia="en-IL"/>
              </w:rPr>
            </w:pPr>
            <w:r w:rsidRPr="006E1000">
              <w:rPr>
                <w:rFonts w:cs="Calibri"/>
                <w:color w:val="000000"/>
                <w:lang w:eastAsia="en-IL"/>
              </w:rPr>
              <w:t>PCBS</w:t>
            </w:r>
          </w:p>
        </w:tc>
        <w:tc>
          <w:tcPr>
            <w:tcW w:w="1411" w:type="dxa"/>
            <w:shd w:val="clear" w:color="auto" w:fill="auto"/>
            <w:noWrap/>
            <w:vAlign w:val="center"/>
            <w:hideMark/>
          </w:tcPr>
          <w:p w14:paraId="068E1C22" w14:textId="77777777" w:rsidR="006E1000" w:rsidRPr="006E1000" w:rsidRDefault="006E1000" w:rsidP="006E1000">
            <w:pPr>
              <w:bidi w:val="0"/>
              <w:rPr>
                <w:rFonts w:cs="Calibri"/>
                <w:color w:val="000000"/>
                <w:lang w:val="en-IL" w:eastAsia="en-IL"/>
              </w:rPr>
            </w:pPr>
            <w:r w:rsidRPr="006E1000">
              <w:rPr>
                <w:rFonts w:cs="Calibri"/>
                <w:color w:val="000000"/>
                <w:lang w:eastAsia="en-IL"/>
              </w:rPr>
              <w:t>1996-2019</w:t>
            </w:r>
          </w:p>
        </w:tc>
      </w:tr>
      <w:tr w:rsidR="003501B4" w:rsidRPr="006E1000" w14:paraId="0F92512B" w14:textId="77777777" w:rsidTr="003501B4">
        <w:trPr>
          <w:trHeight w:val="315"/>
        </w:trPr>
        <w:tc>
          <w:tcPr>
            <w:tcW w:w="1276" w:type="dxa"/>
            <w:vMerge w:val="restart"/>
            <w:shd w:val="clear" w:color="auto" w:fill="auto"/>
            <w:vAlign w:val="center"/>
            <w:hideMark/>
          </w:tcPr>
          <w:p w14:paraId="0A7DE0C0" w14:textId="77777777" w:rsidR="006E1000" w:rsidRPr="006E1000" w:rsidRDefault="006E1000" w:rsidP="006E1000">
            <w:pPr>
              <w:bidi w:val="0"/>
              <w:rPr>
                <w:rFonts w:cs="Calibri"/>
                <w:b/>
                <w:bCs/>
                <w:color w:val="000000"/>
                <w:lang w:val="en-IL" w:eastAsia="en-IL"/>
              </w:rPr>
            </w:pPr>
            <w:r w:rsidRPr="006E1000">
              <w:rPr>
                <w:rFonts w:cs="Calibri"/>
                <w:b/>
                <w:bCs/>
                <w:color w:val="000000"/>
                <w:lang w:eastAsia="en-IL"/>
              </w:rPr>
              <w:t>Resources and infrastructure</w:t>
            </w:r>
          </w:p>
        </w:tc>
        <w:tc>
          <w:tcPr>
            <w:tcW w:w="5666" w:type="dxa"/>
            <w:shd w:val="clear" w:color="auto" w:fill="auto"/>
            <w:noWrap/>
            <w:vAlign w:val="center"/>
            <w:hideMark/>
          </w:tcPr>
          <w:p w14:paraId="1A23D602" w14:textId="77777777" w:rsidR="006E1000" w:rsidRPr="006E1000" w:rsidRDefault="006E1000" w:rsidP="006E1000">
            <w:pPr>
              <w:bidi w:val="0"/>
              <w:rPr>
                <w:rFonts w:cs="Calibri"/>
                <w:color w:val="000000"/>
                <w:lang w:val="en-IL" w:eastAsia="en-IL"/>
              </w:rPr>
            </w:pPr>
            <w:r w:rsidRPr="006E1000">
              <w:rPr>
                <w:rFonts w:cs="Calibri"/>
                <w:color w:val="000000"/>
                <w:lang w:eastAsia="en-IL"/>
              </w:rPr>
              <w:t>Mobile cellular subscriptions (ratio )</w:t>
            </w:r>
          </w:p>
        </w:tc>
        <w:tc>
          <w:tcPr>
            <w:tcW w:w="1230" w:type="dxa"/>
            <w:shd w:val="clear" w:color="auto" w:fill="auto"/>
            <w:noWrap/>
            <w:vAlign w:val="center"/>
            <w:hideMark/>
          </w:tcPr>
          <w:p w14:paraId="6BD5BD4D" w14:textId="77777777" w:rsidR="006E1000" w:rsidRPr="006E1000" w:rsidRDefault="006E1000" w:rsidP="006E1000">
            <w:pPr>
              <w:bidi w:val="0"/>
              <w:rPr>
                <w:rFonts w:cs="Calibri"/>
                <w:color w:val="000000"/>
                <w:lang w:val="en-IL" w:eastAsia="en-IL"/>
              </w:rPr>
            </w:pPr>
            <w:r w:rsidRPr="006E1000">
              <w:rPr>
                <w:rFonts w:cs="Calibri"/>
                <w:color w:val="000000"/>
                <w:lang w:eastAsia="en-IL"/>
              </w:rPr>
              <w:t>World Bank</w:t>
            </w:r>
          </w:p>
        </w:tc>
        <w:tc>
          <w:tcPr>
            <w:tcW w:w="1411" w:type="dxa"/>
            <w:shd w:val="clear" w:color="auto" w:fill="auto"/>
            <w:noWrap/>
            <w:vAlign w:val="center"/>
            <w:hideMark/>
          </w:tcPr>
          <w:p w14:paraId="01CC241E" w14:textId="77777777" w:rsidR="006E1000" w:rsidRPr="006E1000" w:rsidRDefault="006E1000" w:rsidP="006E1000">
            <w:pPr>
              <w:bidi w:val="0"/>
              <w:rPr>
                <w:rFonts w:cs="Calibri"/>
                <w:color w:val="000000"/>
                <w:lang w:val="en-IL" w:eastAsia="en-IL"/>
              </w:rPr>
            </w:pPr>
            <w:r w:rsidRPr="006E1000">
              <w:rPr>
                <w:rFonts w:cs="Calibri"/>
                <w:color w:val="000000"/>
                <w:lang w:eastAsia="en-IL"/>
              </w:rPr>
              <w:t>2000-2019</w:t>
            </w:r>
          </w:p>
        </w:tc>
      </w:tr>
      <w:tr w:rsidR="003501B4" w:rsidRPr="006E1000" w14:paraId="16C24C88" w14:textId="77777777" w:rsidTr="003501B4">
        <w:trPr>
          <w:trHeight w:val="315"/>
        </w:trPr>
        <w:tc>
          <w:tcPr>
            <w:tcW w:w="1276" w:type="dxa"/>
            <w:vMerge/>
            <w:vAlign w:val="center"/>
            <w:hideMark/>
          </w:tcPr>
          <w:p w14:paraId="7B408FEC"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76DE5581" w14:textId="77777777" w:rsidR="006E1000" w:rsidRPr="006E1000" w:rsidRDefault="006E1000" w:rsidP="006E1000">
            <w:pPr>
              <w:bidi w:val="0"/>
              <w:rPr>
                <w:rFonts w:cs="Calibri"/>
                <w:color w:val="000000"/>
                <w:lang w:val="en-IL" w:eastAsia="en-IL"/>
              </w:rPr>
            </w:pPr>
            <w:r w:rsidRPr="006E1000">
              <w:rPr>
                <w:rFonts w:cs="Calibri"/>
                <w:color w:val="000000"/>
                <w:lang w:eastAsia="en-IL"/>
              </w:rPr>
              <w:t>Individuals using the Internet (ratio)</w:t>
            </w:r>
          </w:p>
        </w:tc>
        <w:tc>
          <w:tcPr>
            <w:tcW w:w="1230" w:type="dxa"/>
            <w:shd w:val="clear" w:color="auto" w:fill="auto"/>
            <w:noWrap/>
            <w:vAlign w:val="center"/>
            <w:hideMark/>
          </w:tcPr>
          <w:p w14:paraId="4A8330F8" w14:textId="77777777" w:rsidR="006E1000" w:rsidRPr="006E1000" w:rsidRDefault="006E1000" w:rsidP="006E1000">
            <w:pPr>
              <w:bidi w:val="0"/>
              <w:rPr>
                <w:rFonts w:cs="Calibri"/>
                <w:color w:val="000000"/>
                <w:lang w:val="en-IL" w:eastAsia="en-IL"/>
              </w:rPr>
            </w:pPr>
            <w:r w:rsidRPr="006E1000">
              <w:rPr>
                <w:rFonts w:cs="Calibri"/>
                <w:color w:val="000000"/>
                <w:lang w:eastAsia="en-IL"/>
              </w:rPr>
              <w:t>World Bank</w:t>
            </w:r>
          </w:p>
        </w:tc>
        <w:tc>
          <w:tcPr>
            <w:tcW w:w="1411" w:type="dxa"/>
            <w:shd w:val="clear" w:color="auto" w:fill="auto"/>
            <w:noWrap/>
            <w:vAlign w:val="center"/>
            <w:hideMark/>
          </w:tcPr>
          <w:p w14:paraId="25FA84B8" w14:textId="77777777" w:rsidR="006E1000" w:rsidRPr="006E1000" w:rsidRDefault="006E1000" w:rsidP="006E1000">
            <w:pPr>
              <w:bidi w:val="0"/>
              <w:rPr>
                <w:rFonts w:cs="Calibri"/>
                <w:color w:val="000000"/>
                <w:lang w:val="en-IL" w:eastAsia="en-IL"/>
              </w:rPr>
            </w:pPr>
            <w:r w:rsidRPr="006E1000">
              <w:rPr>
                <w:rFonts w:cs="Calibri"/>
                <w:color w:val="000000"/>
                <w:lang w:eastAsia="en-IL"/>
              </w:rPr>
              <w:t>2000-2019</w:t>
            </w:r>
          </w:p>
        </w:tc>
      </w:tr>
      <w:tr w:rsidR="003501B4" w:rsidRPr="006E1000" w14:paraId="40CDAD2F" w14:textId="77777777" w:rsidTr="003501B4">
        <w:trPr>
          <w:trHeight w:val="315"/>
        </w:trPr>
        <w:tc>
          <w:tcPr>
            <w:tcW w:w="1276" w:type="dxa"/>
            <w:vMerge/>
            <w:vAlign w:val="center"/>
            <w:hideMark/>
          </w:tcPr>
          <w:p w14:paraId="36FEAE09"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636764B0" w14:textId="77777777" w:rsidR="006E1000" w:rsidRPr="006E1000" w:rsidRDefault="006E1000" w:rsidP="006E1000">
            <w:pPr>
              <w:bidi w:val="0"/>
              <w:rPr>
                <w:rFonts w:cs="Calibri"/>
                <w:color w:val="000000"/>
                <w:lang w:val="en-IL" w:eastAsia="en-IL"/>
              </w:rPr>
            </w:pPr>
            <w:r w:rsidRPr="006E1000">
              <w:rPr>
                <w:rFonts w:cs="Calibri"/>
                <w:color w:val="000000"/>
                <w:lang w:eastAsia="en-IL"/>
              </w:rPr>
              <w:t>Fixed broadband subscriptions (ratio)</w:t>
            </w:r>
          </w:p>
        </w:tc>
        <w:tc>
          <w:tcPr>
            <w:tcW w:w="1230" w:type="dxa"/>
            <w:shd w:val="clear" w:color="auto" w:fill="auto"/>
            <w:noWrap/>
            <w:vAlign w:val="center"/>
            <w:hideMark/>
          </w:tcPr>
          <w:p w14:paraId="108E907A" w14:textId="77777777" w:rsidR="006E1000" w:rsidRPr="006E1000" w:rsidRDefault="006E1000" w:rsidP="006E1000">
            <w:pPr>
              <w:bidi w:val="0"/>
              <w:rPr>
                <w:rFonts w:cs="Calibri"/>
                <w:color w:val="000000"/>
                <w:lang w:val="en-IL" w:eastAsia="en-IL"/>
              </w:rPr>
            </w:pPr>
            <w:r w:rsidRPr="006E1000">
              <w:rPr>
                <w:rFonts w:cs="Calibri"/>
                <w:color w:val="000000"/>
                <w:lang w:eastAsia="en-IL"/>
              </w:rPr>
              <w:t>World Bank</w:t>
            </w:r>
          </w:p>
        </w:tc>
        <w:tc>
          <w:tcPr>
            <w:tcW w:w="1411" w:type="dxa"/>
            <w:shd w:val="clear" w:color="auto" w:fill="auto"/>
            <w:noWrap/>
            <w:vAlign w:val="center"/>
            <w:hideMark/>
          </w:tcPr>
          <w:p w14:paraId="4849584F" w14:textId="77777777" w:rsidR="006E1000" w:rsidRPr="006E1000" w:rsidRDefault="006E1000" w:rsidP="006E1000">
            <w:pPr>
              <w:bidi w:val="0"/>
              <w:rPr>
                <w:rFonts w:cs="Calibri"/>
                <w:color w:val="000000"/>
                <w:lang w:val="en-IL" w:eastAsia="en-IL"/>
              </w:rPr>
            </w:pPr>
            <w:r w:rsidRPr="006E1000">
              <w:rPr>
                <w:rFonts w:cs="Calibri"/>
                <w:color w:val="000000"/>
                <w:lang w:eastAsia="en-IL"/>
              </w:rPr>
              <w:t>2010-2019</w:t>
            </w:r>
          </w:p>
        </w:tc>
      </w:tr>
      <w:tr w:rsidR="003501B4" w:rsidRPr="006E1000" w14:paraId="0416890A" w14:textId="77777777" w:rsidTr="003501B4">
        <w:trPr>
          <w:trHeight w:val="315"/>
        </w:trPr>
        <w:tc>
          <w:tcPr>
            <w:tcW w:w="1276" w:type="dxa"/>
            <w:vMerge/>
            <w:vAlign w:val="center"/>
            <w:hideMark/>
          </w:tcPr>
          <w:p w14:paraId="2D79BFCA"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32BF6873" w14:textId="77777777" w:rsidR="006E1000" w:rsidRPr="006E1000" w:rsidRDefault="006E1000" w:rsidP="006E1000">
            <w:pPr>
              <w:bidi w:val="0"/>
              <w:rPr>
                <w:rFonts w:cs="Calibri"/>
                <w:color w:val="000000"/>
                <w:lang w:val="en-IL" w:eastAsia="en-IL"/>
              </w:rPr>
            </w:pPr>
            <w:r w:rsidRPr="006E1000">
              <w:rPr>
                <w:rFonts w:cs="Calibri"/>
                <w:color w:val="000000"/>
                <w:lang w:eastAsia="en-IL"/>
              </w:rPr>
              <w:t>Electricity imported from Israel out of total available electricity in the WBG</w:t>
            </w:r>
          </w:p>
        </w:tc>
        <w:tc>
          <w:tcPr>
            <w:tcW w:w="1230" w:type="dxa"/>
            <w:shd w:val="clear" w:color="auto" w:fill="auto"/>
            <w:noWrap/>
            <w:vAlign w:val="center"/>
            <w:hideMark/>
          </w:tcPr>
          <w:p w14:paraId="7416C2DD" w14:textId="77777777" w:rsidR="006E1000" w:rsidRPr="006E1000" w:rsidRDefault="006E1000" w:rsidP="006E1000">
            <w:pPr>
              <w:bidi w:val="0"/>
              <w:rPr>
                <w:rFonts w:cs="Calibri"/>
                <w:color w:val="000000"/>
                <w:lang w:val="en-IL" w:eastAsia="en-IL"/>
              </w:rPr>
            </w:pPr>
            <w:r w:rsidRPr="006E1000">
              <w:rPr>
                <w:rFonts w:cs="Calibri"/>
                <w:color w:val="000000"/>
                <w:lang w:eastAsia="en-IL"/>
              </w:rPr>
              <w:t>PCBS</w:t>
            </w:r>
          </w:p>
        </w:tc>
        <w:tc>
          <w:tcPr>
            <w:tcW w:w="1411" w:type="dxa"/>
            <w:shd w:val="clear" w:color="auto" w:fill="auto"/>
            <w:noWrap/>
            <w:vAlign w:val="center"/>
            <w:hideMark/>
          </w:tcPr>
          <w:p w14:paraId="283E963E" w14:textId="77777777" w:rsidR="006E1000" w:rsidRPr="006E1000" w:rsidRDefault="006E1000" w:rsidP="006E1000">
            <w:pPr>
              <w:bidi w:val="0"/>
              <w:rPr>
                <w:rFonts w:cs="Calibri"/>
                <w:color w:val="000000"/>
                <w:lang w:val="en-IL" w:eastAsia="en-IL"/>
              </w:rPr>
            </w:pPr>
            <w:r w:rsidRPr="006E1000">
              <w:rPr>
                <w:rFonts w:cs="Calibri"/>
                <w:color w:val="000000"/>
                <w:lang w:eastAsia="en-IL"/>
              </w:rPr>
              <w:t>2004-2019</w:t>
            </w:r>
          </w:p>
        </w:tc>
      </w:tr>
      <w:tr w:rsidR="003501B4" w:rsidRPr="006E1000" w14:paraId="1504A4C5" w14:textId="77777777" w:rsidTr="003501B4">
        <w:trPr>
          <w:trHeight w:val="315"/>
        </w:trPr>
        <w:tc>
          <w:tcPr>
            <w:tcW w:w="1276" w:type="dxa"/>
            <w:vMerge/>
            <w:vAlign w:val="center"/>
            <w:hideMark/>
          </w:tcPr>
          <w:p w14:paraId="6F94072B"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1CE3E1DA" w14:textId="77777777" w:rsidR="006E1000" w:rsidRPr="006E1000" w:rsidRDefault="006E1000" w:rsidP="006E1000">
            <w:pPr>
              <w:bidi w:val="0"/>
              <w:rPr>
                <w:rFonts w:cs="Calibri"/>
                <w:color w:val="000000"/>
                <w:lang w:val="en-IL" w:eastAsia="en-IL"/>
              </w:rPr>
            </w:pPr>
            <w:r w:rsidRPr="006E1000">
              <w:rPr>
                <w:rFonts w:cs="Calibri"/>
                <w:color w:val="000000"/>
                <w:lang w:eastAsia="en-IL"/>
              </w:rPr>
              <w:t>Water Purchased from Israel out of available water quantity in the WBG</w:t>
            </w:r>
          </w:p>
        </w:tc>
        <w:tc>
          <w:tcPr>
            <w:tcW w:w="1230" w:type="dxa"/>
            <w:shd w:val="clear" w:color="auto" w:fill="auto"/>
            <w:noWrap/>
            <w:vAlign w:val="center"/>
            <w:hideMark/>
          </w:tcPr>
          <w:p w14:paraId="6D5C2AF4" w14:textId="77777777" w:rsidR="006E1000" w:rsidRPr="006E1000" w:rsidRDefault="006E1000" w:rsidP="006E1000">
            <w:pPr>
              <w:bidi w:val="0"/>
              <w:rPr>
                <w:rFonts w:cs="Calibri"/>
                <w:color w:val="000000"/>
                <w:lang w:val="en-IL" w:eastAsia="en-IL"/>
              </w:rPr>
            </w:pPr>
            <w:r w:rsidRPr="006E1000">
              <w:rPr>
                <w:rFonts w:cs="Calibri"/>
                <w:color w:val="000000"/>
                <w:lang w:eastAsia="en-IL"/>
              </w:rPr>
              <w:t>PCBS</w:t>
            </w:r>
          </w:p>
        </w:tc>
        <w:tc>
          <w:tcPr>
            <w:tcW w:w="1411" w:type="dxa"/>
            <w:shd w:val="clear" w:color="auto" w:fill="auto"/>
            <w:noWrap/>
            <w:vAlign w:val="center"/>
            <w:hideMark/>
          </w:tcPr>
          <w:p w14:paraId="03E8CCC7" w14:textId="77777777" w:rsidR="006E1000" w:rsidRPr="006E1000" w:rsidRDefault="006E1000" w:rsidP="006E1000">
            <w:pPr>
              <w:bidi w:val="0"/>
              <w:rPr>
                <w:rFonts w:cs="Calibri"/>
                <w:color w:val="000000"/>
                <w:lang w:val="en-IL" w:eastAsia="en-IL"/>
              </w:rPr>
            </w:pPr>
            <w:r w:rsidRPr="006E1000">
              <w:rPr>
                <w:rFonts w:cs="Calibri"/>
                <w:color w:val="000000"/>
                <w:lang w:eastAsia="en-IL"/>
              </w:rPr>
              <w:t>2000-2019</w:t>
            </w:r>
          </w:p>
        </w:tc>
      </w:tr>
      <w:tr w:rsidR="003501B4" w:rsidRPr="006E1000" w14:paraId="70994287" w14:textId="77777777" w:rsidTr="003501B4">
        <w:trPr>
          <w:trHeight w:val="315"/>
        </w:trPr>
        <w:tc>
          <w:tcPr>
            <w:tcW w:w="1276" w:type="dxa"/>
            <w:vMerge w:val="restart"/>
            <w:shd w:val="clear" w:color="auto" w:fill="auto"/>
            <w:vAlign w:val="center"/>
            <w:hideMark/>
          </w:tcPr>
          <w:p w14:paraId="6E31CF10" w14:textId="77777777" w:rsidR="006E1000" w:rsidRPr="006E1000" w:rsidRDefault="006E1000" w:rsidP="006E1000">
            <w:pPr>
              <w:bidi w:val="0"/>
              <w:rPr>
                <w:rFonts w:cs="Calibri"/>
                <w:b/>
                <w:bCs/>
                <w:color w:val="000000"/>
                <w:lang w:val="en-IL" w:eastAsia="en-IL"/>
              </w:rPr>
            </w:pPr>
            <w:r w:rsidRPr="006E1000">
              <w:rPr>
                <w:rFonts w:cs="Calibri"/>
                <w:b/>
                <w:bCs/>
                <w:color w:val="000000"/>
                <w:lang w:eastAsia="en-IL"/>
              </w:rPr>
              <w:t>Banking and money</w:t>
            </w:r>
          </w:p>
        </w:tc>
        <w:tc>
          <w:tcPr>
            <w:tcW w:w="5666" w:type="dxa"/>
            <w:shd w:val="clear" w:color="auto" w:fill="auto"/>
            <w:noWrap/>
            <w:vAlign w:val="center"/>
            <w:hideMark/>
          </w:tcPr>
          <w:p w14:paraId="07E18D2E" w14:textId="77777777" w:rsidR="006E1000" w:rsidRPr="006E1000" w:rsidRDefault="006E1000" w:rsidP="006E1000">
            <w:pPr>
              <w:bidi w:val="0"/>
              <w:rPr>
                <w:rFonts w:cs="Calibri"/>
                <w:color w:val="000000"/>
                <w:lang w:val="en-IL" w:eastAsia="en-IL"/>
              </w:rPr>
            </w:pPr>
            <w:r w:rsidRPr="006E1000">
              <w:rPr>
                <w:rFonts w:cs="Calibri"/>
                <w:color w:val="000000"/>
                <w:lang w:eastAsia="en-IL"/>
              </w:rPr>
              <w:t>Share of NIS deposits in the Palestinian banking system</w:t>
            </w:r>
          </w:p>
        </w:tc>
        <w:tc>
          <w:tcPr>
            <w:tcW w:w="1230" w:type="dxa"/>
            <w:shd w:val="clear" w:color="auto" w:fill="auto"/>
            <w:noWrap/>
            <w:vAlign w:val="center"/>
            <w:hideMark/>
          </w:tcPr>
          <w:p w14:paraId="72F1D4A1" w14:textId="77777777" w:rsidR="006E1000" w:rsidRPr="006E1000" w:rsidRDefault="006E1000" w:rsidP="006E1000">
            <w:pPr>
              <w:bidi w:val="0"/>
              <w:rPr>
                <w:rFonts w:cs="Calibri"/>
                <w:color w:val="000000"/>
                <w:lang w:val="en-IL" w:eastAsia="en-IL"/>
              </w:rPr>
            </w:pPr>
            <w:r w:rsidRPr="006E1000">
              <w:rPr>
                <w:rFonts w:cs="Calibri"/>
                <w:color w:val="000000"/>
                <w:lang w:eastAsia="en-IL"/>
              </w:rPr>
              <w:t>PMA</w:t>
            </w:r>
          </w:p>
        </w:tc>
        <w:tc>
          <w:tcPr>
            <w:tcW w:w="1411" w:type="dxa"/>
            <w:shd w:val="clear" w:color="auto" w:fill="auto"/>
            <w:noWrap/>
            <w:vAlign w:val="center"/>
            <w:hideMark/>
          </w:tcPr>
          <w:p w14:paraId="42772A29" w14:textId="77777777" w:rsidR="006E1000" w:rsidRPr="006E1000" w:rsidRDefault="006E1000" w:rsidP="006E1000">
            <w:pPr>
              <w:bidi w:val="0"/>
              <w:rPr>
                <w:rFonts w:cs="Calibri"/>
                <w:color w:val="000000"/>
                <w:lang w:val="en-IL" w:eastAsia="en-IL"/>
              </w:rPr>
            </w:pPr>
            <w:r w:rsidRPr="006E1000">
              <w:rPr>
                <w:rFonts w:cs="Calibri"/>
                <w:color w:val="000000"/>
                <w:lang w:eastAsia="en-IL"/>
              </w:rPr>
              <w:t>2010-2019</w:t>
            </w:r>
          </w:p>
        </w:tc>
      </w:tr>
      <w:tr w:rsidR="003501B4" w:rsidRPr="006E1000" w14:paraId="32BDD936" w14:textId="77777777" w:rsidTr="003501B4">
        <w:trPr>
          <w:trHeight w:val="300"/>
        </w:trPr>
        <w:tc>
          <w:tcPr>
            <w:tcW w:w="1276" w:type="dxa"/>
            <w:vMerge/>
            <w:vAlign w:val="center"/>
            <w:hideMark/>
          </w:tcPr>
          <w:p w14:paraId="429A3ADD"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31D11A03" w14:textId="77777777" w:rsidR="006E1000" w:rsidRPr="006E1000" w:rsidRDefault="006E1000" w:rsidP="006E1000">
            <w:pPr>
              <w:bidi w:val="0"/>
              <w:rPr>
                <w:rFonts w:cs="Calibri"/>
                <w:color w:val="000000"/>
                <w:lang w:val="en-IL" w:eastAsia="en-IL"/>
              </w:rPr>
            </w:pPr>
            <w:r w:rsidRPr="006E1000">
              <w:rPr>
                <w:rFonts w:cs="Calibri"/>
                <w:color w:val="000000"/>
                <w:lang w:eastAsia="en-IL"/>
              </w:rPr>
              <w:t>Share of NIS credit in the Palestinian banking system</w:t>
            </w:r>
          </w:p>
        </w:tc>
        <w:tc>
          <w:tcPr>
            <w:tcW w:w="1230" w:type="dxa"/>
            <w:shd w:val="clear" w:color="auto" w:fill="auto"/>
            <w:noWrap/>
            <w:vAlign w:val="center"/>
            <w:hideMark/>
          </w:tcPr>
          <w:p w14:paraId="3DDFA3E1" w14:textId="77777777" w:rsidR="006E1000" w:rsidRPr="006E1000" w:rsidRDefault="006E1000" w:rsidP="006E1000">
            <w:pPr>
              <w:bidi w:val="0"/>
              <w:rPr>
                <w:rFonts w:cs="Calibri"/>
                <w:color w:val="000000"/>
                <w:lang w:val="en-IL" w:eastAsia="en-IL"/>
              </w:rPr>
            </w:pPr>
            <w:r w:rsidRPr="006E1000">
              <w:rPr>
                <w:rFonts w:cs="Calibri"/>
                <w:color w:val="000000"/>
                <w:lang w:eastAsia="en-IL"/>
              </w:rPr>
              <w:t>PMA</w:t>
            </w:r>
          </w:p>
        </w:tc>
        <w:tc>
          <w:tcPr>
            <w:tcW w:w="1411" w:type="dxa"/>
            <w:shd w:val="clear" w:color="auto" w:fill="auto"/>
            <w:noWrap/>
            <w:vAlign w:val="center"/>
            <w:hideMark/>
          </w:tcPr>
          <w:p w14:paraId="479ED0D2" w14:textId="77777777" w:rsidR="006E1000" w:rsidRPr="006E1000" w:rsidRDefault="006E1000" w:rsidP="006E1000">
            <w:pPr>
              <w:bidi w:val="0"/>
              <w:rPr>
                <w:rFonts w:cs="Calibri"/>
                <w:color w:val="000000"/>
                <w:lang w:val="en-IL" w:eastAsia="en-IL"/>
              </w:rPr>
            </w:pPr>
            <w:r w:rsidRPr="006E1000">
              <w:rPr>
                <w:rFonts w:cs="Calibri"/>
                <w:color w:val="000000"/>
                <w:lang w:eastAsia="en-IL"/>
              </w:rPr>
              <w:t>1996-2019</w:t>
            </w:r>
          </w:p>
        </w:tc>
      </w:tr>
      <w:tr w:rsidR="003501B4" w:rsidRPr="006E1000" w14:paraId="351E4F90" w14:textId="77777777" w:rsidTr="003501B4">
        <w:trPr>
          <w:trHeight w:val="300"/>
        </w:trPr>
        <w:tc>
          <w:tcPr>
            <w:tcW w:w="1276" w:type="dxa"/>
            <w:vMerge/>
            <w:vAlign w:val="center"/>
            <w:hideMark/>
          </w:tcPr>
          <w:p w14:paraId="3842CD0D"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75C13CCB" w14:textId="77777777" w:rsidR="006E1000" w:rsidRPr="006E1000" w:rsidRDefault="006E1000" w:rsidP="006E1000">
            <w:pPr>
              <w:bidi w:val="0"/>
              <w:rPr>
                <w:rFonts w:cs="Calibri"/>
                <w:color w:val="000000"/>
                <w:lang w:val="en-IL" w:eastAsia="en-IL"/>
              </w:rPr>
            </w:pPr>
            <w:r w:rsidRPr="006E1000">
              <w:rPr>
                <w:rFonts w:cs="Calibri"/>
                <w:color w:val="000000"/>
                <w:lang w:eastAsia="en-IL"/>
              </w:rPr>
              <w:t>Share of NIS checks presented for clearing in the Palestinian banking system</w:t>
            </w:r>
          </w:p>
        </w:tc>
        <w:tc>
          <w:tcPr>
            <w:tcW w:w="1230" w:type="dxa"/>
            <w:shd w:val="clear" w:color="auto" w:fill="auto"/>
            <w:noWrap/>
            <w:vAlign w:val="center"/>
            <w:hideMark/>
          </w:tcPr>
          <w:p w14:paraId="1146261E" w14:textId="77777777" w:rsidR="006E1000" w:rsidRPr="006E1000" w:rsidRDefault="006E1000" w:rsidP="006E1000">
            <w:pPr>
              <w:bidi w:val="0"/>
              <w:rPr>
                <w:rFonts w:cs="Calibri"/>
                <w:color w:val="000000"/>
                <w:lang w:val="en-IL" w:eastAsia="en-IL"/>
              </w:rPr>
            </w:pPr>
            <w:r w:rsidRPr="006E1000">
              <w:rPr>
                <w:rFonts w:cs="Calibri"/>
                <w:color w:val="000000"/>
                <w:lang w:eastAsia="en-IL"/>
              </w:rPr>
              <w:t>PMA</w:t>
            </w:r>
          </w:p>
        </w:tc>
        <w:tc>
          <w:tcPr>
            <w:tcW w:w="1411" w:type="dxa"/>
            <w:shd w:val="clear" w:color="auto" w:fill="auto"/>
            <w:noWrap/>
            <w:vAlign w:val="center"/>
            <w:hideMark/>
          </w:tcPr>
          <w:p w14:paraId="4B3115CE" w14:textId="77777777" w:rsidR="006E1000" w:rsidRPr="006E1000" w:rsidRDefault="006E1000" w:rsidP="006E1000">
            <w:pPr>
              <w:bidi w:val="0"/>
              <w:rPr>
                <w:rFonts w:cs="Calibri"/>
                <w:color w:val="000000"/>
                <w:lang w:val="en-IL" w:eastAsia="en-IL"/>
              </w:rPr>
            </w:pPr>
            <w:r w:rsidRPr="006E1000">
              <w:rPr>
                <w:rFonts w:cs="Calibri"/>
                <w:color w:val="000000"/>
                <w:lang w:eastAsia="en-IL"/>
              </w:rPr>
              <w:t>2000-2019</w:t>
            </w:r>
          </w:p>
        </w:tc>
      </w:tr>
      <w:tr w:rsidR="003501B4" w:rsidRPr="006E1000" w14:paraId="06F8BDCD" w14:textId="77777777" w:rsidTr="003501B4">
        <w:trPr>
          <w:trHeight w:val="300"/>
        </w:trPr>
        <w:tc>
          <w:tcPr>
            <w:tcW w:w="1276" w:type="dxa"/>
            <w:vMerge/>
            <w:vAlign w:val="center"/>
            <w:hideMark/>
          </w:tcPr>
          <w:p w14:paraId="66DF04FA"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14CED778" w14:textId="77777777" w:rsidR="006E1000" w:rsidRPr="006E1000" w:rsidRDefault="006E1000" w:rsidP="006E1000">
            <w:pPr>
              <w:bidi w:val="0"/>
              <w:rPr>
                <w:rFonts w:cs="Calibri"/>
                <w:color w:val="000000"/>
                <w:lang w:val="en-IL" w:eastAsia="en-IL"/>
              </w:rPr>
            </w:pPr>
            <w:r w:rsidRPr="006E1000">
              <w:rPr>
                <w:rFonts w:cs="Calibri"/>
                <w:color w:val="000000"/>
                <w:lang w:eastAsia="en-IL"/>
              </w:rPr>
              <w:t>Excess NIS cash deposited in Israel out of total NIS circulation</w:t>
            </w:r>
          </w:p>
        </w:tc>
        <w:tc>
          <w:tcPr>
            <w:tcW w:w="1230" w:type="dxa"/>
            <w:shd w:val="clear" w:color="auto" w:fill="auto"/>
            <w:noWrap/>
            <w:vAlign w:val="center"/>
            <w:hideMark/>
          </w:tcPr>
          <w:p w14:paraId="5E2CD89B" w14:textId="77777777" w:rsidR="006E1000" w:rsidRPr="006E1000" w:rsidRDefault="006E1000" w:rsidP="006E1000">
            <w:pPr>
              <w:bidi w:val="0"/>
              <w:rPr>
                <w:rFonts w:cs="Calibri"/>
                <w:color w:val="000000"/>
                <w:lang w:val="en-IL" w:eastAsia="en-IL"/>
              </w:rPr>
            </w:pPr>
            <w:r w:rsidRPr="006E1000">
              <w:rPr>
                <w:rFonts w:cs="Calibri"/>
                <w:color w:val="000000"/>
                <w:lang w:eastAsia="en-IL"/>
              </w:rPr>
              <w:t>PMA, BoI</w:t>
            </w:r>
          </w:p>
        </w:tc>
        <w:tc>
          <w:tcPr>
            <w:tcW w:w="1411" w:type="dxa"/>
            <w:shd w:val="clear" w:color="auto" w:fill="auto"/>
            <w:noWrap/>
            <w:vAlign w:val="center"/>
            <w:hideMark/>
          </w:tcPr>
          <w:p w14:paraId="797E8D1E" w14:textId="77777777" w:rsidR="006E1000" w:rsidRPr="006E1000" w:rsidRDefault="006E1000" w:rsidP="006E1000">
            <w:pPr>
              <w:bidi w:val="0"/>
              <w:rPr>
                <w:rFonts w:cs="Calibri"/>
                <w:color w:val="000000"/>
                <w:lang w:val="en-IL" w:eastAsia="en-IL"/>
              </w:rPr>
            </w:pPr>
            <w:r w:rsidRPr="006E1000">
              <w:rPr>
                <w:rFonts w:cs="Calibri"/>
                <w:color w:val="000000"/>
                <w:lang w:eastAsia="en-IL"/>
              </w:rPr>
              <w:t>2010-2019</w:t>
            </w:r>
          </w:p>
        </w:tc>
      </w:tr>
      <w:tr w:rsidR="003501B4" w:rsidRPr="006E1000" w14:paraId="397A3156" w14:textId="77777777" w:rsidTr="003501B4">
        <w:trPr>
          <w:trHeight w:val="315"/>
        </w:trPr>
        <w:tc>
          <w:tcPr>
            <w:tcW w:w="1276" w:type="dxa"/>
            <w:vMerge/>
            <w:vAlign w:val="center"/>
            <w:hideMark/>
          </w:tcPr>
          <w:p w14:paraId="0F96055E"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09589ADA" w14:textId="77777777" w:rsidR="006E1000" w:rsidRPr="006E1000" w:rsidRDefault="006E1000" w:rsidP="006E1000">
            <w:pPr>
              <w:bidi w:val="0"/>
              <w:rPr>
                <w:rFonts w:cs="Calibri"/>
                <w:color w:val="000000"/>
                <w:lang w:val="en-IL" w:eastAsia="en-IL"/>
              </w:rPr>
            </w:pPr>
            <w:r w:rsidRPr="006E1000">
              <w:rPr>
                <w:rFonts w:cs="Calibri"/>
                <w:color w:val="000000"/>
                <w:lang w:eastAsia="en-IL"/>
              </w:rPr>
              <w:t>Checks and Money transfers volume out of WBG GNI</w:t>
            </w:r>
          </w:p>
        </w:tc>
        <w:tc>
          <w:tcPr>
            <w:tcW w:w="1230" w:type="dxa"/>
            <w:shd w:val="clear" w:color="auto" w:fill="auto"/>
            <w:noWrap/>
            <w:vAlign w:val="center"/>
            <w:hideMark/>
          </w:tcPr>
          <w:p w14:paraId="27395D69" w14:textId="77777777" w:rsidR="006E1000" w:rsidRPr="006E1000" w:rsidRDefault="006E1000" w:rsidP="006E1000">
            <w:pPr>
              <w:bidi w:val="0"/>
              <w:rPr>
                <w:rFonts w:cs="Calibri"/>
                <w:color w:val="000000"/>
                <w:lang w:val="en-IL" w:eastAsia="en-IL"/>
              </w:rPr>
            </w:pPr>
            <w:r w:rsidRPr="006E1000">
              <w:rPr>
                <w:rFonts w:cs="Calibri"/>
                <w:color w:val="000000"/>
                <w:lang w:eastAsia="en-IL"/>
              </w:rPr>
              <w:t>PMA</w:t>
            </w:r>
          </w:p>
        </w:tc>
        <w:tc>
          <w:tcPr>
            <w:tcW w:w="1411" w:type="dxa"/>
            <w:shd w:val="clear" w:color="auto" w:fill="auto"/>
            <w:noWrap/>
            <w:vAlign w:val="center"/>
            <w:hideMark/>
          </w:tcPr>
          <w:p w14:paraId="5EC1522B" w14:textId="77777777" w:rsidR="006E1000" w:rsidRPr="006E1000" w:rsidRDefault="006E1000" w:rsidP="006E1000">
            <w:pPr>
              <w:bidi w:val="0"/>
              <w:rPr>
                <w:rFonts w:cs="Calibri"/>
                <w:color w:val="000000"/>
                <w:lang w:val="en-IL" w:eastAsia="en-IL"/>
              </w:rPr>
            </w:pPr>
            <w:r w:rsidRPr="006E1000">
              <w:rPr>
                <w:rFonts w:cs="Calibri"/>
                <w:color w:val="000000"/>
                <w:lang w:eastAsia="en-IL"/>
              </w:rPr>
              <w:t>2010-2019</w:t>
            </w:r>
          </w:p>
        </w:tc>
      </w:tr>
      <w:tr w:rsidR="003501B4" w:rsidRPr="006E1000" w14:paraId="7BF1B470" w14:textId="77777777" w:rsidTr="003501B4">
        <w:trPr>
          <w:trHeight w:val="315"/>
        </w:trPr>
        <w:tc>
          <w:tcPr>
            <w:tcW w:w="1276" w:type="dxa"/>
            <w:vMerge w:val="restart"/>
            <w:shd w:val="clear" w:color="auto" w:fill="auto"/>
            <w:vAlign w:val="center"/>
            <w:hideMark/>
          </w:tcPr>
          <w:p w14:paraId="1FC3716F" w14:textId="77777777" w:rsidR="006E1000" w:rsidRPr="006E1000" w:rsidRDefault="006E1000" w:rsidP="006E1000">
            <w:pPr>
              <w:bidi w:val="0"/>
              <w:rPr>
                <w:rFonts w:cs="Calibri"/>
                <w:b/>
                <w:bCs/>
                <w:color w:val="000000"/>
                <w:lang w:val="en-IL" w:eastAsia="en-IL"/>
              </w:rPr>
            </w:pPr>
            <w:r w:rsidRPr="006E1000">
              <w:rPr>
                <w:rFonts w:cs="Calibri"/>
                <w:b/>
                <w:bCs/>
                <w:color w:val="000000"/>
                <w:lang w:eastAsia="en-IL"/>
              </w:rPr>
              <w:t>Wealth and Standard of living</w:t>
            </w:r>
          </w:p>
        </w:tc>
        <w:tc>
          <w:tcPr>
            <w:tcW w:w="5666" w:type="dxa"/>
            <w:shd w:val="clear" w:color="auto" w:fill="auto"/>
            <w:noWrap/>
            <w:vAlign w:val="center"/>
            <w:hideMark/>
          </w:tcPr>
          <w:p w14:paraId="27E363DA" w14:textId="77777777" w:rsidR="006E1000" w:rsidRPr="006E1000" w:rsidRDefault="006E1000" w:rsidP="006E1000">
            <w:pPr>
              <w:bidi w:val="0"/>
              <w:rPr>
                <w:rFonts w:cs="Calibri"/>
                <w:color w:val="000000"/>
                <w:lang w:val="en-IL" w:eastAsia="en-IL"/>
              </w:rPr>
            </w:pPr>
            <w:r w:rsidRPr="006E1000">
              <w:rPr>
                <w:rFonts w:cs="Calibri"/>
                <w:color w:val="000000"/>
                <w:lang w:eastAsia="en-IL"/>
              </w:rPr>
              <w:t>GDP per Capita (ratio)</w:t>
            </w:r>
          </w:p>
        </w:tc>
        <w:tc>
          <w:tcPr>
            <w:tcW w:w="1230" w:type="dxa"/>
            <w:shd w:val="clear" w:color="auto" w:fill="auto"/>
            <w:noWrap/>
            <w:vAlign w:val="center"/>
            <w:hideMark/>
          </w:tcPr>
          <w:p w14:paraId="597A6255" w14:textId="77777777" w:rsidR="006E1000" w:rsidRPr="006E1000" w:rsidRDefault="006E1000" w:rsidP="006E1000">
            <w:pPr>
              <w:bidi w:val="0"/>
              <w:rPr>
                <w:rFonts w:cs="Calibri"/>
                <w:color w:val="000000"/>
                <w:lang w:val="en-IL" w:eastAsia="en-IL"/>
              </w:rPr>
            </w:pPr>
            <w:r w:rsidRPr="006E1000">
              <w:rPr>
                <w:rFonts w:cs="Calibri"/>
                <w:color w:val="000000"/>
                <w:lang w:eastAsia="en-IL"/>
              </w:rPr>
              <w:t>WB</w:t>
            </w:r>
          </w:p>
        </w:tc>
        <w:tc>
          <w:tcPr>
            <w:tcW w:w="1411" w:type="dxa"/>
            <w:shd w:val="clear" w:color="auto" w:fill="auto"/>
            <w:noWrap/>
            <w:vAlign w:val="center"/>
            <w:hideMark/>
          </w:tcPr>
          <w:p w14:paraId="471B434D" w14:textId="77777777" w:rsidR="006E1000" w:rsidRPr="006E1000" w:rsidRDefault="006E1000" w:rsidP="006E1000">
            <w:pPr>
              <w:bidi w:val="0"/>
              <w:rPr>
                <w:rFonts w:cs="Calibri"/>
                <w:color w:val="000000"/>
                <w:lang w:val="en-IL" w:eastAsia="en-IL"/>
              </w:rPr>
            </w:pPr>
            <w:r w:rsidRPr="006E1000">
              <w:rPr>
                <w:rFonts w:cs="Calibri"/>
                <w:color w:val="000000"/>
                <w:lang w:eastAsia="en-IL"/>
              </w:rPr>
              <w:t>1968-2019</w:t>
            </w:r>
          </w:p>
        </w:tc>
      </w:tr>
      <w:tr w:rsidR="003501B4" w:rsidRPr="006E1000" w14:paraId="678418E3" w14:textId="77777777" w:rsidTr="003501B4">
        <w:trPr>
          <w:trHeight w:val="315"/>
        </w:trPr>
        <w:tc>
          <w:tcPr>
            <w:tcW w:w="1276" w:type="dxa"/>
            <w:vMerge/>
            <w:vAlign w:val="center"/>
            <w:hideMark/>
          </w:tcPr>
          <w:p w14:paraId="02A43A3B"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715AA18D" w14:textId="77777777" w:rsidR="006E1000" w:rsidRPr="006E1000" w:rsidRDefault="006E1000" w:rsidP="006E1000">
            <w:pPr>
              <w:bidi w:val="0"/>
              <w:rPr>
                <w:rFonts w:cs="Calibri"/>
                <w:color w:val="000000"/>
                <w:lang w:val="en-IL" w:eastAsia="en-IL"/>
              </w:rPr>
            </w:pPr>
            <w:r w:rsidRPr="006E1000">
              <w:rPr>
                <w:rFonts w:cs="Calibri"/>
                <w:color w:val="000000"/>
                <w:lang w:eastAsia="en-IL"/>
              </w:rPr>
              <w:t>Price level (ratio)</w:t>
            </w:r>
          </w:p>
        </w:tc>
        <w:tc>
          <w:tcPr>
            <w:tcW w:w="1230" w:type="dxa"/>
            <w:shd w:val="clear" w:color="auto" w:fill="auto"/>
            <w:noWrap/>
            <w:vAlign w:val="center"/>
            <w:hideMark/>
          </w:tcPr>
          <w:p w14:paraId="3CF4A04D" w14:textId="77777777" w:rsidR="006E1000" w:rsidRPr="006E1000" w:rsidRDefault="006E1000" w:rsidP="006E1000">
            <w:pPr>
              <w:bidi w:val="0"/>
              <w:rPr>
                <w:rFonts w:cs="Calibri"/>
                <w:color w:val="000000"/>
                <w:lang w:val="en-IL" w:eastAsia="en-IL"/>
              </w:rPr>
            </w:pPr>
            <w:r w:rsidRPr="006E1000">
              <w:rPr>
                <w:rFonts w:cs="Calibri"/>
                <w:color w:val="000000"/>
                <w:lang w:eastAsia="en-IL"/>
              </w:rPr>
              <w:t>WB</w:t>
            </w:r>
          </w:p>
        </w:tc>
        <w:tc>
          <w:tcPr>
            <w:tcW w:w="1411" w:type="dxa"/>
            <w:shd w:val="clear" w:color="auto" w:fill="auto"/>
            <w:noWrap/>
            <w:vAlign w:val="center"/>
            <w:hideMark/>
          </w:tcPr>
          <w:p w14:paraId="0FB6811E" w14:textId="77777777" w:rsidR="006E1000" w:rsidRPr="006E1000" w:rsidRDefault="006E1000" w:rsidP="006E1000">
            <w:pPr>
              <w:bidi w:val="0"/>
              <w:rPr>
                <w:rFonts w:cs="Calibri"/>
                <w:color w:val="000000"/>
                <w:lang w:val="en-IL" w:eastAsia="en-IL"/>
              </w:rPr>
            </w:pPr>
            <w:r w:rsidRPr="006E1000">
              <w:rPr>
                <w:rFonts w:cs="Calibri"/>
                <w:color w:val="000000"/>
                <w:lang w:eastAsia="en-IL"/>
              </w:rPr>
              <w:t>1996-2019</w:t>
            </w:r>
          </w:p>
        </w:tc>
      </w:tr>
      <w:tr w:rsidR="003501B4" w:rsidRPr="006E1000" w14:paraId="6BE3E1FF" w14:textId="77777777" w:rsidTr="003501B4">
        <w:trPr>
          <w:trHeight w:val="315"/>
        </w:trPr>
        <w:tc>
          <w:tcPr>
            <w:tcW w:w="1276" w:type="dxa"/>
            <w:vMerge/>
            <w:vAlign w:val="center"/>
            <w:hideMark/>
          </w:tcPr>
          <w:p w14:paraId="51BBB71F"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296D075D" w14:textId="77777777" w:rsidR="006E1000" w:rsidRPr="006E1000" w:rsidRDefault="006E1000" w:rsidP="006E1000">
            <w:pPr>
              <w:bidi w:val="0"/>
              <w:rPr>
                <w:rFonts w:cs="Calibri"/>
                <w:color w:val="000000"/>
                <w:lang w:val="en-IL" w:eastAsia="en-IL"/>
              </w:rPr>
            </w:pPr>
            <w:r w:rsidRPr="006E1000">
              <w:rPr>
                <w:rFonts w:cs="Calibri"/>
                <w:color w:val="000000"/>
                <w:lang w:eastAsia="en-IL"/>
              </w:rPr>
              <w:t xml:space="preserve">Market capitalization (ratio) </w:t>
            </w:r>
          </w:p>
        </w:tc>
        <w:tc>
          <w:tcPr>
            <w:tcW w:w="1230" w:type="dxa"/>
            <w:shd w:val="clear" w:color="auto" w:fill="auto"/>
            <w:noWrap/>
            <w:vAlign w:val="center"/>
            <w:hideMark/>
          </w:tcPr>
          <w:p w14:paraId="56C0523A" w14:textId="77777777" w:rsidR="006E1000" w:rsidRPr="006E1000" w:rsidRDefault="006E1000" w:rsidP="006E1000">
            <w:pPr>
              <w:bidi w:val="0"/>
              <w:rPr>
                <w:rFonts w:cs="Calibri"/>
                <w:color w:val="000000"/>
                <w:lang w:val="en-IL" w:eastAsia="en-IL"/>
              </w:rPr>
            </w:pPr>
            <w:r w:rsidRPr="006E1000">
              <w:rPr>
                <w:rFonts w:cs="Calibri"/>
                <w:color w:val="000000"/>
                <w:lang w:eastAsia="en-IL"/>
              </w:rPr>
              <w:t xml:space="preserve">PMA, TASE </w:t>
            </w:r>
          </w:p>
        </w:tc>
        <w:tc>
          <w:tcPr>
            <w:tcW w:w="1411" w:type="dxa"/>
            <w:shd w:val="clear" w:color="auto" w:fill="auto"/>
            <w:noWrap/>
            <w:vAlign w:val="center"/>
            <w:hideMark/>
          </w:tcPr>
          <w:p w14:paraId="2B1F53F0" w14:textId="77777777" w:rsidR="006E1000" w:rsidRPr="006E1000" w:rsidRDefault="006E1000" w:rsidP="006E1000">
            <w:pPr>
              <w:bidi w:val="0"/>
              <w:rPr>
                <w:rFonts w:cs="Calibri"/>
                <w:color w:val="000000"/>
                <w:lang w:val="en-IL" w:eastAsia="en-IL"/>
              </w:rPr>
            </w:pPr>
            <w:r w:rsidRPr="006E1000">
              <w:rPr>
                <w:rFonts w:cs="Calibri"/>
                <w:color w:val="000000"/>
                <w:lang w:eastAsia="en-IL"/>
              </w:rPr>
              <w:t>2000-2019</w:t>
            </w:r>
          </w:p>
        </w:tc>
      </w:tr>
      <w:tr w:rsidR="003501B4" w:rsidRPr="006E1000" w14:paraId="5FDEE0FD" w14:textId="77777777" w:rsidTr="003501B4">
        <w:trPr>
          <w:trHeight w:val="315"/>
        </w:trPr>
        <w:tc>
          <w:tcPr>
            <w:tcW w:w="1276" w:type="dxa"/>
            <w:vMerge/>
            <w:vAlign w:val="center"/>
            <w:hideMark/>
          </w:tcPr>
          <w:p w14:paraId="2061DC3D" w14:textId="77777777" w:rsidR="006E1000" w:rsidRPr="006E1000" w:rsidRDefault="006E1000" w:rsidP="006E1000">
            <w:pPr>
              <w:bidi w:val="0"/>
              <w:rPr>
                <w:rFonts w:cs="Calibri"/>
                <w:b/>
                <w:bCs/>
                <w:color w:val="000000"/>
                <w:lang w:val="en-IL" w:eastAsia="en-IL"/>
              </w:rPr>
            </w:pPr>
          </w:p>
        </w:tc>
        <w:tc>
          <w:tcPr>
            <w:tcW w:w="5666" w:type="dxa"/>
            <w:shd w:val="clear" w:color="auto" w:fill="auto"/>
            <w:noWrap/>
            <w:vAlign w:val="center"/>
            <w:hideMark/>
          </w:tcPr>
          <w:p w14:paraId="654AD983" w14:textId="77777777" w:rsidR="006E1000" w:rsidRPr="006E1000" w:rsidRDefault="006E1000" w:rsidP="006E1000">
            <w:pPr>
              <w:bidi w:val="0"/>
              <w:rPr>
                <w:rFonts w:cs="Calibri"/>
                <w:color w:val="000000"/>
                <w:lang w:val="en-IL" w:eastAsia="en-IL"/>
              </w:rPr>
            </w:pPr>
            <w:r w:rsidRPr="006E1000">
              <w:rPr>
                <w:rFonts w:cs="Calibri"/>
                <w:color w:val="000000"/>
                <w:lang w:eastAsia="en-IL"/>
              </w:rPr>
              <w:t xml:space="preserve">Daily wage (ratio) </w:t>
            </w:r>
          </w:p>
        </w:tc>
        <w:tc>
          <w:tcPr>
            <w:tcW w:w="1230" w:type="dxa"/>
            <w:shd w:val="clear" w:color="auto" w:fill="auto"/>
            <w:noWrap/>
            <w:vAlign w:val="center"/>
            <w:hideMark/>
          </w:tcPr>
          <w:p w14:paraId="03877021" w14:textId="77777777" w:rsidR="006E1000" w:rsidRPr="006E1000" w:rsidRDefault="006E1000" w:rsidP="006E1000">
            <w:pPr>
              <w:bidi w:val="0"/>
              <w:rPr>
                <w:rFonts w:cs="Calibri"/>
                <w:color w:val="000000"/>
                <w:lang w:val="en-IL" w:eastAsia="en-IL"/>
              </w:rPr>
            </w:pPr>
            <w:r w:rsidRPr="006E1000">
              <w:rPr>
                <w:rFonts w:cs="Calibri"/>
                <w:color w:val="000000"/>
                <w:lang w:eastAsia="en-IL"/>
              </w:rPr>
              <w:t>PCBS</w:t>
            </w:r>
          </w:p>
        </w:tc>
        <w:tc>
          <w:tcPr>
            <w:tcW w:w="1411" w:type="dxa"/>
            <w:shd w:val="clear" w:color="auto" w:fill="auto"/>
            <w:noWrap/>
            <w:vAlign w:val="center"/>
            <w:hideMark/>
          </w:tcPr>
          <w:p w14:paraId="7DE546ED" w14:textId="77777777" w:rsidR="006E1000" w:rsidRPr="006E1000" w:rsidRDefault="006E1000" w:rsidP="006E1000">
            <w:pPr>
              <w:bidi w:val="0"/>
              <w:rPr>
                <w:rFonts w:cs="Calibri"/>
                <w:color w:val="000000"/>
                <w:lang w:val="en-IL" w:eastAsia="en-IL"/>
              </w:rPr>
            </w:pPr>
            <w:r w:rsidRPr="006E1000">
              <w:rPr>
                <w:rFonts w:cs="Calibri"/>
                <w:color w:val="000000"/>
                <w:lang w:eastAsia="en-IL"/>
              </w:rPr>
              <w:t>1968-2019</w:t>
            </w:r>
          </w:p>
        </w:tc>
      </w:tr>
    </w:tbl>
    <w:p w14:paraId="453EBAD6" w14:textId="431078CB" w:rsidR="006E1000" w:rsidRDefault="006E1000" w:rsidP="006E1000">
      <w:pPr>
        <w:pStyle w:val="ListParagraph"/>
        <w:autoSpaceDE w:val="0"/>
        <w:autoSpaceDN w:val="0"/>
        <w:bidi w:val="0"/>
        <w:adjustRightInd w:val="0"/>
        <w:spacing w:after="240" w:line="480" w:lineRule="auto"/>
        <w:ind w:left="851"/>
        <w:jc w:val="both"/>
        <w:rPr>
          <w:rFonts w:asciiTheme="majorBidi" w:hAnsiTheme="majorBidi" w:cstheme="majorBidi"/>
          <w:sz w:val="24"/>
          <w:szCs w:val="24"/>
        </w:rPr>
      </w:pPr>
      <w:r w:rsidRPr="00142615">
        <w:rPr>
          <w:rFonts w:asciiTheme="majorBidi" w:hAnsiTheme="majorBidi" w:cstheme="majorBidi"/>
          <w:sz w:val="24"/>
          <w:szCs w:val="24"/>
        </w:rPr>
        <w:lastRenderedPageBreak/>
        <w:t xml:space="preserve">As can be </w:t>
      </w:r>
      <w:r>
        <w:rPr>
          <w:rFonts w:asciiTheme="majorBidi" w:hAnsiTheme="majorBidi" w:cstheme="majorBidi"/>
          <w:sz w:val="24"/>
          <w:szCs w:val="24"/>
        </w:rPr>
        <w:t>seen</w:t>
      </w:r>
      <w:r w:rsidRPr="00142615">
        <w:rPr>
          <w:rFonts w:asciiTheme="majorBidi" w:hAnsiTheme="majorBidi" w:cstheme="majorBidi"/>
          <w:sz w:val="24"/>
          <w:szCs w:val="24"/>
        </w:rPr>
        <w:t xml:space="preserve"> in table </w:t>
      </w:r>
      <w:r>
        <w:rPr>
          <w:rFonts w:asciiTheme="majorBidi" w:hAnsiTheme="majorBidi" w:cstheme="majorBidi"/>
          <w:sz w:val="24"/>
          <w:szCs w:val="24"/>
        </w:rPr>
        <w:t>1 above</w:t>
      </w:r>
      <w:r w:rsidRPr="00142615">
        <w:rPr>
          <w:rFonts w:asciiTheme="majorBidi" w:hAnsiTheme="majorBidi" w:cstheme="majorBidi"/>
          <w:sz w:val="24"/>
          <w:szCs w:val="24"/>
        </w:rPr>
        <w:t xml:space="preserve">, not all indicators have observations starting in 1968, </w:t>
      </w:r>
      <w:r>
        <w:rPr>
          <w:rFonts w:asciiTheme="majorBidi" w:hAnsiTheme="majorBidi" w:cstheme="majorBidi"/>
          <w:sz w:val="24"/>
          <w:szCs w:val="24"/>
        </w:rPr>
        <w:t>b</w:t>
      </w:r>
      <w:r w:rsidRPr="00CA6C83">
        <w:rPr>
          <w:rFonts w:asciiTheme="majorBidi" w:hAnsiTheme="majorBidi" w:cstheme="majorBidi"/>
          <w:sz w:val="24"/>
          <w:szCs w:val="24"/>
        </w:rPr>
        <w:t>ut rather</w:t>
      </w:r>
      <w:r>
        <w:rPr>
          <w:rFonts w:asciiTheme="majorBidi" w:hAnsiTheme="majorBidi" w:cstheme="majorBidi"/>
          <w:sz w:val="24"/>
          <w:szCs w:val="24"/>
        </w:rPr>
        <w:t xml:space="preserve"> </w:t>
      </w:r>
      <w:r w:rsidRPr="00142615">
        <w:rPr>
          <w:rFonts w:asciiTheme="majorBidi" w:hAnsiTheme="majorBidi" w:cstheme="majorBidi"/>
          <w:sz w:val="24"/>
          <w:szCs w:val="24"/>
        </w:rPr>
        <w:t xml:space="preserve">only from a later period. Our way </w:t>
      </w:r>
      <w:r>
        <w:rPr>
          <w:rFonts w:asciiTheme="majorBidi" w:hAnsiTheme="majorBidi" w:cstheme="majorBidi"/>
          <w:sz w:val="24"/>
          <w:szCs w:val="24"/>
        </w:rPr>
        <w:t>to solve this matching problem</w:t>
      </w:r>
      <w:r w:rsidRPr="00142615">
        <w:rPr>
          <w:rFonts w:asciiTheme="majorBidi" w:hAnsiTheme="majorBidi" w:cstheme="majorBidi"/>
          <w:sz w:val="24"/>
          <w:szCs w:val="24"/>
        </w:rPr>
        <w:t xml:space="preserve"> was to produce several indices that start at different periods and include a different number of indicators. Thus, the more advanced the period, the greater the number of indicators</w:t>
      </w:r>
      <w:r>
        <w:rPr>
          <w:rFonts w:asciiTheme="majorBidi" w:hAnsiTheme="majorBidi" w:cstheme="majorBidi"/>
          <w:sz w:val="24"/>
          <w:szCs w:val="24"/>
        </w:rPr>
        <w:t xml:space="preserve"> and dimensions can be found in the index, as expressed below:</w:t>
      </w:r>
    </w:p>
    <w:p w14:paraId="12926DC6" w14:textId="77777777" w:rsidR="006E1000" w:rsidRDefault="006E1000" w:rsidP="006E1000">
      <w:pPr>
        <w:pStyle w:val="ListParagraph"/>
        <w:numPr>
          <w:ilvl w:val="0"/>
          <w:numId w:val="4"/>
        </w:numPr>
        <w:autoSpaceDE w:val="0"/>
        <w:autoSpaceDN w:val="0"/>
        <w:bidi w:val="0"/>
        <w:adjustRightInd w:val="0"/>
        <w:spacing w:after="240" w:line="480" w:lineRule="auto"/>
        <w:jc w:val="both"/>
        <w:rPr>
          <w:rFonts w:ascii="Times New Roman" w:hAnsi="Times New Roman" w:cs="David"/>
          <w:sz w:val="24"/>
          <w:szCs w:val="24"/>
        </w:rPr>
      </w:pPr>
      <w:r w:rsidRPr="00F71D13">
        <w:rPr>
          <w:rFonts w:ascii="Times New Roman" w:hAnsi="Times New Roman" w:cs="David"/>
          <w:sz w:val="24"/>
          <w:szCs w:val="24"/>
        </w:rPr>
        <w:t xml:space="preserve">the </w:t>
      </w:r>
      <w:r>
        <w:rPr>
          <w:rFonts w:ascii="Times New Roman" w:hAnsi="Times New Roman" w:cs="David"/>
          <w:sz w:val="24"/>
          <w:szCs w:val="24"/>
        </w:rPr>
        <w:t>index</w:t>
      </w:r>
      <w:r w:rsidRPr="00F71D13">
        <w:rPr>
          <w:rFonts w:ascii="Times New Roman" w:hAnsi="Times New Roman" w:cs="David"/>
          <w:sz w:val="24"/>
          <w:szCs w:val="24"/>
        </w:rPr>
        <w:t xml:space="preserve"> starting in 1968 includes</w:t>
      </w:r>
      <w:r>
        <w:rPr>
          <w:rFonts w:ascii="Times New Roman" w:hAnsi="Times New Roman" w:cs="David"/>
          <w:sz w:val="24"/>
          <w:szCs w:val="24"/>
        </w:rPr>
        <w:t xml:space="preserve"> 3 dimensions</w:t>
      </w:r>
      <w:r w:rsidRPr="00F71D13">
        <w:rPr>
          <w:rFonts w:ascii="Times New Roman" w:hAnsi="Times New Roman" w:cs="David"/>
          <w:sz w:val="24"/>
          <w:szCs w:val="24"/>
        </w:rPr>
        <w:t xml:space="preserve"> </w:t>
      </w:r>
      <w:r>
        <w:rPr>
          <w:rFonts w:ascii="Times New Roman" w:hAnsi="Times New Roman" w:cs="David"/>
          <w:sz w:val="24"/>
          <w:szCs w:val="24"/>
        </w:rPr>
        <w:t>and</w:t>
      </w:r>
      <w:r w:rsidRPr="00F71D13">
        <w:rPr>
          <w:rFonts w:ascii="Times New Roman" w:hAnsi="Times New Roman" w:cs="David"/>
          <w:sz w:val="24"/>
          <w:szCs w:val="24"/>
        </w:rPr>
        <w:t xml:space="preserve"> 6 indicators, </w:t>
      </w:r>
    </w:p>
    <w:p w14:paraId="168A0A17" w14:textId="77777777" w:rsidR="006E1000" w:rsidRDefault="006E1000" w:rsidP="006E1000">
      <w:pPr>
        <w:pStyle w:val="ListParagraph"/>
        <w:numPr>
          <w:ilvl w:val="0"/>
          <w:numId w:val="4"/>
        </w:numPr>
        <w:autoSpaceDE w:val="0"/>
        <w:autoSpaceDN w:val="0"/>
        <w:bidi w:val="0"/>
        <w:adjustRightInd w:val="0"/>
        <w:spacing w:after="240" w:line="480" w:lineRule="auto"/>
        <w:jc w:val="both"/>
        <w:rPr>
          <w:rFonts w:ascii="Times New Roman" w:hAnsi="Times New Roman" w:cs="David"/>
          <w:sz w:val="24"/>
          <w:szCs w:val="24"/>
        </w:rPr>
      </w:pPr>
      <w:r w:rsidRPr="00F71D13">
        <w:rPr>
          <w:rFonts w:ascii="Times New Roman" w:hAnsi="Times New Roman" w:cs="David"/>
          <w:sz w:val="24"/>
          <w:szCs w:val="24"/>
        </w:rPr>
        <w:t xml:space="preserve">the </w:t>
      </w:r>
      <w:r>
        <w:rPr>
          <w:rFonts w:ascii="Times New Roman" w:hAnsi="Times New Roman" w:cs="David"/>
          <w:sz w:val="24"/>
          <w:szCs w:val="24"/>
        </w:rPr>
        <w:t>index</w:t>
      </w:r>
      <w:r w:rsidRPr="00F71D13">
        <w:rPr>
          <w:rFonts w:ascii="Times New Roman" w:hAnsi="Times New Roman" w:cs="David"/>
          <w:sz w:val="24"/>
          <w:szCs w:val="24"/>
        </w:rPr>
        <w:t xml:space="preserve"> starting in 1996 includes</w:t>
      </w:r>
      <w:r>
        <w:rPr>
          <w:rFonts w:ascii="Times New Roman" w:hAnsi="Times New Roman" w:cs="David"/>
          <w:sz w:val="24"/>
          <w:szCs w:val="24"/>
        </w:rPr>
        <w:t xml:space="preserve"> 4 dimensions and</w:t>
      </w:r>
      <w:r w:rsidRPr="00F71D13">
        <w:rPr>
          <w:rFonts w:ascii="Times New Roman" w:hAnsi="Times New Roman" w:cs="David"/>
          <w:sz w:val="24"/>
          <w:szCs w:val="24"/>
        </w:rPr>
        <w:t xml:space="preserve"> 1</w:t>
      </w:r>
      <w:r>
        <w:rPr>
          <w:rFonts w:ascii="Times New Roman" w:hAnsi="Times New Roman" w:cs="David"/>
          <w:sz w:val="24"/>
          <w:szCs w:val="24"/>
        </w:rPr>
        <w:t>0</w:t>
      </w:r>
      <w:r w:rsidRPr="00F71D13">
        <w:rPr>
          <w:rFonts w:ascii="Times New Roman" w:hAnsi="Times New Roman" w:cs="David"/>
          <w:sz w:val="24"/>
          <w:szCs w:val="24"/>
        </w:rPr>
        <w:t xml:space="preserve"> indicators, </w:t>
      </w:r>
    </w:p>
    <w:p w14:paraId="48B1E0EF" w14:textId="77777777" w:rsidR="006E1000" w:rsidRDefault="006E1000" w:rsidP="006E1000">
      <w:pPr>
        <w:pStyle w:val="ListParagraph"/>
        <w:numPr>
          <w:ilvl w:val="0"/>
          <w:numId w:val="4"/>
        </w:numPr>
        <w:autoSpaceDE w:val="0"/>
        <w:autoSpaceDN w:val="0"/>
        <w:bidi w:val="0"/>
        <w:adjustRightInd w:val="0"/>
        <w:spacing w:after="240" w:line="480" w:lineRule="auto"/>
        <w:jc w:val="both"/>
        <w:rPr>
          <w:rFonts w:ascii="Times New Roman" w:hAnsi="Times New Roman" w:cs="David"/>
          <w:sz w:val="24"/>
          <w:szCs w:val="24"/>
        </w:rPr>
      </w:pPr>
      <w:r w:rsidRPr="00F71D13">
        <w:rPr>
          <w:rFonts w:ascii="Times New Roman" w:hAnsi="Times New Roman" w:cs="David"/>
          <w:sz w:val="24"/>
          <w:szCs w:val="24"/>
        </w:rPr>
        <w:t xml:space="preserve">the </w:t>
      </w:r>
      <w:r>
        <w:rPr>
          <w:rFonts w:ascii="Times New Roman" w:hAnsi="Times New Roman" w:cs="David"/>
          <w:sz w:val="24"/>
          <w:szCs w:val="24"/>
        </w:rPr>
        <w:t>index</w:t>
      </w:r>
      <w:r w:rsidRPr="00F71D13">
        <w:rPr>
          <w:rFonts w:ascii="Times New Roman" w:hAnsi="Times New Roman" w:cs="David"/>
          <w:sz w:val="24"/>
          <w:szCs w:val="24"/>
        </w:rPr>
        <w:t xml:space="preserve"> starting in 2000 includes</w:t>
      </w:r>
      <w:r>
        <w:rPr>
          <w:rFonts w:ascii="Times New Roman" w:hAnsi="Times New Roman" w:cs="David"/>
          <w:sz w:val="24"/>
          <w:szCs w:val="24"/>
        </w:rPr>
        <w:t xml:space="preserve"> 5 dimensions</w:t>
      </w:r>
      <w:r w:rsidRPr="00F71D13">
        <w:rPr>
          <w:rFonts w:ascii="Times New Roman" w:hAnsi="Times New Roman" w:cs="David"/>
          <w:sz w:val="24"/>
          <w:szCs w:val="24"/>
        </w:rPr>
        <w:t xml:space="preserve"> </w:t>
      </w:r>
      <w:r>
        <w:rPr>
          <w:rFonts w:ascii="Times New Roman" w:hAnsi="Times New Roman" w:cs="David"/>
          <w:sz w:val="24"/>
          <w:szCs w:val="24"/>
        </w:rPr>
        <w:t xml:space="preserve">and </w:t>
      </w:r>
      <w:r w:rsidRPr="00F71D13">
        <w:rPr>
          <w:rFonts w:ascii="Times New Roman" w:hAnsi="Times New Roman" w:cs="David"/>
          <w:sz w:val="24"/>
          <w:szCs w:val="24"/>
        </w:rPr>
        <w:t>1</w:t>
      </w:r>
      <w:r>
        <w:rPr>
          <w:rFonts w:ascii="Times New Roman" w:hAnsi="Times New Roman" w:cs="David"/>
          <w:sz w:val="24"/>
          <w:szCs w:val="24"/>
        </w:rPr>
        <w:t>5</w:t>
      </w:r>
      <w:r w:rsidRPr="00F71D13">
        <w:rPr>
          <w:rFonts w:ascii="Times New Roman" w:hAnsi="Times New Roman" w:cs="David"/>
          <w:sz w:val="24"/>
          <w:szCs w:val="24"/>
        </w:rPr>
        <w:t xml:space="preserve"> indicators, </w:t>
      </w:r>
    </w:p>
    <w:p w14:paraId="6B0EFCB9" w14:textId="77777777" w:rsidR="006E1000" w:rsidRPr="003B3BF5" w:rsidRDefault="006E1000" w:rsidP="006E1000">
      <w:pPr>
        <w:pStyle w:val="ListParagraph"/>
        <w:numPr>
          <w:ilvl w:val="0"/>
          <w:numId w:val="4"/>
        </w:numPr>
        <w:autoSpaceDE w:val="0"/>
        <w:autoSpaceDN w:val="0"/>
        <w:bidi w:val="0"/>
        <w:adjustRightInd w:val="0"/>
        <w:spacing w:after="240" w:line="480" w:lineRule="auto"/>
        <w:jc w:val="both"/>
        <w:rPr>
          <w:rFonts w:ascii="Times New Roman" w:hAnsi="Times New Roman" w:cs="David"/>
          <w:sz w:val="24"/>
          <w:szCs w:val="24"/>
        </w:rPr>
      </w:pPr>
      <w:r w:rsidRPr="00F71D13">
        <w:rPr>
          <w:rFonts w:ascii="Times New Roman" w:hAnsi="Times New Roman" w:cs="David"/>
          <w:sz w:val="24"/>
          <w:szCs w:val="24"/>
        </w:rPr>
        <w:t xml:space="preserve">the </w:t>
      </w:r>
      <w:r>
        <w:rPr>
          <w:rFonts w:ascii="Times New Roman" w:hAnsi="Times New Roman" w:cs="David"/>
          <w:sz w:val="24"/>
          <w:szCs w:val="24"/>
        </w:rPr>
        <w:t>index</w:t>
      </w:r>
      <w:r w:rsidRPr="00D72F8E">
        <w:rPr>
          <w:rFonts w:ascii="Times New Roman" w:hAnsi="Times New Roman" w:cs="David"/>
          <w:sz w:val="24"/>
          <w:szCs w:val="24"/>
        </w:rPr>
        <w:t xml:space="preserve"> </w:t>
      </w:r>
      <w:r w:rsidRPr="00F71D13">
        <w:rPr>
          <w:rFonts w:ascii="Times New Roman" w:hAnsi="Times New Roman" w:cs="David"/>
          <w:sz w:val="24"/>
          <w:szCs w:val="24"/>
        </w:rPr>
        <w:t>starting in 2010 includes</w:t>
      </w:r>
      <w:r>
        <w:rPr>
          <w:rFonts w:ascii="Times New Roman" w:hAnsi="Times New Roman" w:cs="David"/>
          <w:sz w:val="24"/>
          <w:szCs w:val="24"/>
        </w:rPr>
        <w:t xml:space="preserve"> 5 dimensions and</w:t>
      </w:r>
      <w:r w:rsidRPr="00F71D13">
        <w:rPr>
          <w:rFonts w:ascii="Times New Roman" w:hAnsi="Times New Roman" w:cs="David"/>
          <w:sz w:val="24"/>
          <w:szCs w:val="24"/>
        </w:rPr>
        <w:t xml:space="preserve"> 24 indicators</w:t>
      </w:r>
    </w:p>
    <w:p w14:paraId="3902457C" w14:textId="77777777" w:rsidR="006E1000" w:rsidRDefault="006E1000" w:rsidP="006E1000">
      <w:pPr>
        <w:pStyle w:val="ListParagraph"/>
        <w:autoSpaceDE w:val="0"/>
        <w:autoSpaceDN w:val="0"/>
        <w:bidi w:val="0"/>
        <w:adjustRightInd w:val="0"/>
        <w:spacing w:after="240" w:line="480" w:lineRule="auto"/>
        <w:ind w:left="851"/>
        <w:jc w:val="both"/>
        <w:rPr>
          <w:rFonts w:asciiTheme="majorBidi" w:hAnsiTheme="majorBidi" w:cstheme="majorBidi"/>
          <w:sz w:val="24"/>
          <w:szCs w:val="24"/>
        </w:rPr>
      </w:pPr>
      <w:r w:rsidRPr="00D36641">
        <w:rPr>
          <w:rFonts w:asciiTheme="majorBidi" w:hAnsiTheme="majorBidi" w:cstheme="majorBidi"/>
          <w:sz w:val="24"/>
          <w:szCs w:val="24"/>
        </w:rPr>
        <w:t xml:space="preserve">Additional explanations and graphs of the indicators that make up the integration </w:t>
      </w:r>
      <w:r>
        <w:rPr>
          <w:rFonts w:asciiTheme="majorBidi" w:hAnsiTheme="majorBidi" w:cstheme="majorBidi"/>
          <w:sz w:val="24"/>
          <w:szCs w:val="24"/>
        </w:rPr>
        <w:t>indices</w:t>
      </w:r>
      <w:r w:rsidRPr="00D36641">
        <w:rPr>
          <w:rFonts w:asciiTheme="majorBidi" w:hAnsiTheme="majorBidi" w:cstheme="majorBidi"/>
          <w:sz w:val="24"/>
          <w:szCs w:val="24"/>
        </w:rPr>
        <w:t xml:space="preserve"> can be found in </w:t>
      </w:r>
      <w:r w:rsidRPr="00D96A24">
        <w:rPr>
          <w:rFonts w:asciiTheme="majorBidi" w:hAnsiTheme="majorBidi" w:cstheme="majorBidi"/>
          <w:b/>
          <w:bCs/>
          <w:sz w:val="24"/>
          <w:szCs w:val="24"/>
        </w:rPr>
        <w:t xml:space="preserve">Appendix </w:t>
      </w:r>
      <w:r>
        <w:rPr>
          <w:rFonts w:asciiTheme="majorBidi" w:hAnsiTheme="majorBidi" w:cstheme="majorBidi"/>
          <w:b/>
          <w:bCs/>
          <w:sz w:val="24"/>
          <w:szCs w:val="24"/>
        </w:rPr>
        <w:t>I</w:t>
      </w:r>
      <w:r w:rsidRPr="00D36641">
        <w:rPr>
          <w:rFonts w:asciiTheme="majorBidi" w:hAnsiTheme="majorBidi" w:cstheme="majorBidi"/>
          <w:sz w:val="24"/>
          <w:szCs w:val="24"/>
        </w:rPr>
        <w:t>.</w:t>
      </w:r>
    </w:p>
    <w:p w14:paraId="27307EB0" w14:textId="77777777" w:rsidR="006E1000" w:rsidRPr="005463FB" w:rsidRDefault="006E1000" w:rsidP="006E1000">
      <w:pPr>
        <w:pStyle w:val="ListParagraph"/>
        <w:autoSpaceDE w:val="0"/>
        <w:autoSpaceDN w:val="0"/>
        <w:bidi w:val="0"/>
        <w:adjustRightInd w:val="0"/>
        <w:spacing w:before="240" w:line="480" w:lineRule="auto"/>
        <w:ind w:left="851"/>
        <w:contextualSpacing w:val="0"/>
        <w:rPr>
          <w:rFonts w:asciiTheme="majorBidi" w:hAnsiTheme="majorBidi" w:cstheme="majorBidi"/>
          <w:b/>
          <w:bCs/>
          <w:sz w:val="24"/>
          <w:szCs w:val="24"/>
          <w:u w:val="single"/>
        </w:rPr>
      </w:pPr>
      <w:r w:rsidRPr="005463FB">
        <w:rPr>
          <w:rFonts w:asciiTheme="majorBidi" w:hAnsiTheme="majorBidi" w:cstheme="majorBidi"/>
          <w:b/>
          <w:bCs/>
          <w:sz w:val="24"/>
          <w:szCs w:val="24"/>
          <w:u w:val="single"/>
        </w:rPr>
        <w:t>Normalization method</w:t>
      </w:r>
    </w:p>
    <w:p w14:paraId="0A78FB36" w14:textId="77777777" w:rsidR="006E1000" w:rsidRPr="008C365E" w:rsidRDefault="006E1000" w:rsidP="006E1000">
      <w:pPr>
        <w:bidi w:val="0"/>
        <w:spacing w:line="480" w:lineRule="auto"/>
        <w:ind w:left="851"/>
        <w:jc w:val="both"/>
        <w:rPr>
          <w:rFonts w:asciiTheme="majorBidi" w:hAnsiTheme="majorBidi" w:cstheme="majorBidi"/>
          <w:sz w:val="24"/>
          <w:szCs w:val="24"/>
        </w:rPr>
      </w:pPr>
      <w:r w:rsidRPr="00D36641">
        <w:rPr>
          <w:rFonts w:asciiTheme="majorBidi" w:hAnsiTheme="majorBidi" w:cstheme="majorBidi"/>
          <w:sz w:val="24"/>
          <w:szCs w:val="24"/>
        </w:rPr>
        <w:t>ISWBGII is made up of varied indicators measured in different units</w:t>
      </w:r>
      <w:r>
        <w:rPr>
          <w:rFonts w:asciiTheme="majorBidi" w:hAnsiTheme="majorBidi" w:cstheme="majorBidi"/>
          <w:sz w:val="24"/>
          <w:szCs w:val="24"/>
        </w:rPr>
        <w:t>,</w:t>
      </w:r>
      <w:r w:rsidRPr="00D36641">
        <w:rPr>
          <w:rFonts w:asciiTheme="majorBidi" w:hAnsiTheme="majorBidi" w:cstheme="majorBidi"/>
          <w:sz w:val="24"/>
          <w:szCs w:val="24"/>
        </w:rPr>
        <w:t xml:space="preserve"> from the </w:t>
      </w:r>
      <w:r>
        <w:rPr>
          <w:rFonts w:asciiTheme="majorBidi" w:hAnsiTheme="majorBidi" w:cstheme="majorBidi"/>
          <w:sz w:val="24"/>
          <w:szCs w:val="24"/>
        </w:rPr>
        <w:t>s</w:t>
      </w:r>
      <w:r w:rsidRPr="00D36641">
        <w:rPr>
          <w:rFonts w:asciiTheme="majorBidi" w:hAnsiTheme="majorBidi" w:cstheme="majorBidi"/>
          <w:sz w:val="24"/>
          <w:szCs w:val="24"/>
        </w:rPr>
        <w:t xml:space="preserve">hare of NIS deposits in the Palestinian banking system to Palestinians employed in Israel out of total </w:t>
      </w:r>
      <w:r w:rsidRPr="003A3484">
        <w:rPr>
          <w:rFonts w:asciiTheme="majorBidi" w:hAnsiTheme="majorBidi" w:cstheme="majorBidi"/>
          <w:sz w:val="24"/>
          <w:szCs w:val="24"/>
        </w:rPr>
        <w:t>Palestinian</w:t>
      </w:r>
      <w:r w:rsidRPr="00D36641">
        <w:rPr>
          <w:rFonts w:asciiTheme="majorBidi" w:hAnsiTheme="majorBidi" w:cstheme="majorBidi"/>
          <w:sz w:val="24"/>
          <w:szCs w:val="24"/>
        </w:rPr>
        <w:t xml:space="preserve"> </w:t>
      </w:r>
      <w:r>
        <w:rPr>
          <w:rFonts w:asciiTheme="majorBidi" w:hAnsiTheme="majorBidi" w:cstheme="majorBidi"/>
          <w:sz w:val="24"/>
          <w:szCs w:val="24"/>
        </w:rPr>
        <w:t>i</w:t>
      </w:r>
      <w:r w:rsidRPr="00D36641">
        <w:rPr>
          <w:rFonts w:asciiTheme="majorBidi" w:hAnsiTheme="majorBidi" w:cstheme="majorBidi"/>
          <w:sz w:val="24"/>
          <w:szCs w:val="24"/>
        </w:rPr>
        <w:t>ndividuals</w:t>
      </w:r>
      <w:r w:rsidRPr="00CF1382">
        <w:rPr>
          <w:rFonts w:asciiTheme="majorBidi" w:hAnsiTheme="majorBidi" w:cstheme="majorBidi"/>
          <w:sz w:val="24"/>
          <w:szCs w:val="24"/>
        </w:rPr>
        <w:t xml:space="preserve"> </w:t>
      </w:r>
      <w:r w:rsidRPr="00D36641">
        <w:rPr>
          <w:rFonts w:asciiTheme="majorBidi" w:hAnsiTheme="majorBidi" w:cstheme="majorBidi"/>
          <w:sz w:val="24"/>
          <w:szCs w:val="24"/>
        </w:rPr>
        <w:t>employed.</w:t>
      </w:r>
      <w:r>
        <w:rPr>
          <w:rFonts w:asciiTheme="majorBidi" w:hAnsiTheme="majorBidi" w:cstheme="majorBidi"/>
          <w:sz w:val="24"/>
          <w:szCs w:val="24"/>
        </w:rPr>
        <w:t xml:space="preserve"> A</w:t>
      </w:r>
      <w:r w:rsidRPr="008C365E">
        <w:rPr>
          <w:rFonts w:asciiTheme="majorBidi" w:hAnsiTheme="majorBidi" w:cstheme="majorBidi"/>
          <w:sz w:val="24"/>
          <w:szCs w:val="24"/>
        </w:rPr>
        <w:t xml:space="preserve"> common scale</w:t>
      </w:r>
      <w:r>
        <w:rPr>
          <w:rFonts w:asciiTheme="majorBidi" w:hAnsiTheme="majorBidi" w:cstheme="majorBidi"/>
          <w:sz w:val="24"/>
          <w:szCs w:val="24"/>
        </w:rPr>
        <w:t xml:space="preserve"> (n</w:t>
      </w:r>
      <w:r w:rsidRPr="008F24E0">
        <w:rPr>
          <w:rFonts w:asciiTheme="majorBidi" w:hAnsiTheme="majorBidi" w:cstheme="majorBidi"/>
          <w:sz w:val="24"/>
          <w:szCs w:val="24"/>
        </w:rPr>
        <w:t>ormalization</w:t>
      </w:r>
      <w:r>
        <w:rPr>
          <w:rFonts w:asciiTheme="majorBidi" w:hAnsiTheme="majorBidi" w:cstheme="majorBidi"/>
          <w:sz w:val="24"/>
          <w:szCs w:val="24"/>
        </w:rPr>
        <w:t>)</w:t>
      </w:r>
      <w:r w:rsidRPr="008C365E">
        <w:rPr>
          <w:rFonts w:asciiTheme="majorBidi" w:hAnsiTheme="majorBidi" w:cstheme="majorBidi"/>
          <w:sz w:val="24"/>
          <w:szCs w:val="24"/>
        </w:rPr>
        <w:t xml:space="preserve"> </w:t>
      </w:r>
      <w:r w:rsidRPr="008F24E0">
        <w:rPr>
          <w:rFonts w:asciiTheme="majorBidi" w:hAnsiTheme="majorBidi" w:cstheme="majorBidi"/>
          <w:sz w:val="24"/>
          <w:szCs w:val="24"/>
        </w:rPr>
        <w:t>is</w:t>
      </w:r>
      <w:r>
        <w:rPr>
          <w:rFonts w:asciiTheme="majorBidi" w:hAnsiTheme="majorBidi" w:cstheme="majorBidi"/>
          <w:sz w:val="24"/>
          <w:szCs w:val="24"/>
        </w:rPr>
        <w:t xml:space="preserve"> thus</w:t>
      </w:r>
      <w:r w:rsidRPr="008F24E0">
        <w:rPr>
          <w:rFonts w:asciiTheme="majorBidi" w:hAnsiTheme="majorBidi" w:cstheme="majorBidi"/>
          <w:sz w:val="24"/>
          <w:szCs w:val="24"/>
        </w:rPr>
        <w:t xml:space="preserve"> required prior to aggregation</w:t>
      </w:r>
      <w:r>
        <w:rPr>
          <w:rFonts w:asciiTheme="majorBidi" w:hAnsiTheme="majorBidi" w:cstheme="majorBidi"/>
          <w:sz w:val="24"/>
          <w:szCs w:val="24"/>
        </w:rPr>
        <w:t>.</w:t>
      </w:r>
      <w:r w:rsidRPr="00F13B0D">
        <w:rPr>
          <w:rFonts w:asciiTheme="majorBidi" w:hAnsiTheme="majorBidi" w:cstheme="majorBidi"/>
          <w:sz w:val="24"/>
          <w:szCs w:val="24"/>
        </w:rPr>
        <w:t xml:space="preserve"> </w:t>
      </w:r>
      <w:r w:rsidRPr="008F24E0">
        <w:rPr>
          <w:rFonts w:asciiTheme="majorBidi" w:hAnsiTheme="majorBidi" w:cstheme="majorBidi"/>
          <w:sz w:val="24"/>
          <w:szCs w:val="24"/>
        </w:rPr>
        <w:t xml:space="preserve">We adopt min–max rescaling, which has been used in several </w:t>
      </w:r>
      <w:r>
        <w:rPr>
          <w:rFonts w:asciiTheme="majorBidi" w:hAnsiTheme="majorBidi" w:cstheme="majorBidi"/>
          <w:sz w:val="24"/>
          <w:szCs w:val="24"/>
        </w:rPr>
        <w:t>integration indexes mentioned above</w:t>
      </w:r>
      <w:r>
        <w:rPr>
          <w:rStyle w:val="FootnoteReference"/>
          <w:rFonts w:asciiTheme="majorBidi" w:hAnsiTheme="majorBidi" w:cstheme="majorBidi"/>
          <w:sz w:val="24"/>
          <w:szCs w:val="24"/>
        </w:rPr>
        <w:footnoteReference w:id="5"/>
      </w:r>
      <w:r>
        <w:rPr>
          <w:rFonts w:asciiTheme="majorBidi" w:hAnsiTheme="majorBidi" w:cstheme="majorBidi"/>
          <w:sz w:val="24"/>
          <w:szCs w:val="24"/>
        </w:rPr>
        <w:t>. T</w:t>
      </w:r>
      <w:r w:rsidRPr="008C365E">
        <w:rPr>
          <w:rFonts w:asciiTheme="majorBidi" w:hAnsiTheme="majorBidi" w:cstheme="majorBidi"/>
          <w:sz w:val="24"/>
          <w:szCs w:val="24"/>
        </w:rPr>
        <w:t>he indicators are normalized so</w:t>
      </w:r>
      <w:r>
        <w:rPr>
          <w:rFonts w:asciiTheme="majorBidi" w:hAnsiTheme="majorBidi" w:cstheme="majorBidi"/>
          <w:sz w:val="24"/>
          <w:szCs w:val="24"/>
        </w:rPr>
        <w:t xml:space="preserve"> </w:t>
      </w:r>
      <w:r w:rsidRPr="008C365E">
        <w:rPr>
          <w:rFonts w:asciiTheme="majorBidi" w:hAnsiTheme="majorBidi" w:cstheme="majorBidi"/>
          <w:sz w:val="24"/>
          <w:szCs w:val="24"/>
        </w:rPr>
        <w:t>that they range between 0 and 1</w:t>
      </w:r>
      <w:r>
        <w:rPr>
          <w:rFonts w:asciiTheme="majorBidi" w:hAnsiTheme="majorBidi" w:cstheme="majorBidi"/>
          <w:sz w:val="24"/>
          <w:szCs w:val="24"/>
        </w:rPr>
        <w:t>,</w:t>
      </w:r>
      <w:r w:rsidRPr="008C365E">
        <w:rPr>
          <w:rFonts w:asciiTheme="majorBidi" w:hAnsiTheme="majorBidi" w:cstheme="majorBidi"/>
          <w:sz w:val="24"/>
          <w:szCs w:val="24"/>
        </w:rPr>
        <w:t xml:space="preserve"> where 0 denotes the lowest integration level and 1 the</w:t>
      </w:r>
      <w:r>
        <w:rPr>
          <w:rFonts w:asciiTheme="majorBidi" w:hAnsiTheme="majorBidi" w:cstheme="majorBidi"/>
          <w:sz w:val="24"/>
          <w:szCs w:val="24"/>
        </w:rPr>
        <w:t xml:space="preserve"> </w:t>
      </w:r>
      <w:r w:rsidRPr="008C365E">
        <w:rPr>
          <w:rFonts w:asciiTheme="majorBidi" w:hAnsiTheme="majorBidi" w:cstheme="majorBidi"/>
          <w:sz w:val="24"/>
          <w:szCs w:val="24"/>
        </w:rPr>
        <w:t>highest level</w:t>
      </w:r>
      <w:r>
        <w:rPr>
          <w:rFonts w:asciiTheme="majorBidi" w:hAnsiTheme="majorBidi" w:cstheme="majorBidi"/>
          <w:sz w:val="24"/>
          <w:szCs w:val="24"/>
        </w:rPr>
        <w:t>:</w:t>
      </w:r>
      <w:r w:rsidRPr="008C365E">
        <w:rPr>
          <w:rFonts w:asciiTheme="majorBidi" w:hAnsiTheme="majorBidi" w:cstheme="majorBidi"/>
          <w:sz w:val="24"/>
          <w:szCs w:val="24"/>
        </w:rPr>
        <w:t xml:space="preserve"> </w:t>
      </w:r>
    </w:p>
    <w:p w14:paraId="5E49EEDA" w14:textId="77777777" w:rsidR="006E1000" w:rsidRPr="00B93987" w:rsidRDefault="00857FD1" w:rsidP="006E1000">
      <w:pPr>
        <w:pStyle w:val="ListParagraph"/>
        <w:autoSpaceDE w:val="0"/>
        <w:autoSpaceDN w:val="0"/>
        <w:bidi w:val="0"/>
        <w:adjustRightInd w:val="0"/>
        <w:spacing w:after="240"/>
        <w:ind w:left="851"/>
        <w:rPr>
          <w:rFonts w:asciiTheme="majorBidi" w:hAnsiTheme="majorBidi" w:cstheme="majorBidi"/>
          <w:b/>
          <w:bCs/>
          <w:sz w:val="28"/>
          <w:szCs w:val="28"/>
        </w:rPr>
      </w:pPr>
      <m:oMathPara>
        <m:oMath>
          <m:f>
            <m:fPr>
              <m:ctrlPr>
                <w:rPr>
                  <w:rFonts w:ascii="Cambria Math" w:hAnsi="Cambria Math" w:cstheme="majorBidi"/>
                  <w:i/>
                  <w:sz w:val="24"/>
                  <w:szCs w:val="24"/>
                </w:rPr>
              </m:ctrlPr>
            </m:fPr>
            <m:num>
              <m:r>
                <w:rPr>
                  <w:rFonts w:ascii="Cambria Math" w:hAnsi="Cambria Math" w:cstheme="majorBidi"/>
                  <w:sz w:val="24"/>
                  <w:szCs w:val="24"/>
                </w:rPr>
                <m:t>Value-Min</m:t>
              </m:r>
            </m:num>
            <m:den>
              <m:r>
                <w:rPr>
                  <w:rFonts w:ascii="Cambria Math" w:hAnsi="Cambria Math" w:cstheme="majorBidi"/>
                  <w:sz w:val="24"/>
                  <w:szCs w:val="24"/>
                </w:rPr>
                <m:t>Max-Min</m:t>
              </m:r>
            </m:den>
          </m:f>
        </m:oMath>
      </m:oMathPara>
    </w:p>
    <w:p w14:paraId="555D0FCA" w14:textId="77777777" w:rsidR="006E1000" w:rsidRDefault="006E1000" w:rsidP="006E1000">
      <w:pPr>
        <w:pStyle w:val="ListParagraph"/>
        <w:bidi w:val="0"/>
        <w:spacing w:line="480" w:lineRule="auto"/>
        <w:ind w:left="792"/>
        <w:jc w:val="both"/>
        <w:rPr>
          <w:rFonts w:asciiTheme="majorBidi" w:hAnsiTheme="majorBidi" w:cstheme="majorBidi"/>
          <w:b/>
          <w:bCs/>
          <w:sz w:val="24"/>
          <w:szCs w:val="24"/>
        </w:rPr>
      </w:pPr>
    </w:p>
    <w:p w14:paraId="6E33961E" w14:textId="77777777" w:rsidR="006E1000" w:rsidRDefault="006E1000" w:rsidP="006E1000">
      <w:pPr>
        <w:pStyle w:val="ListParagraph"/>
        <w:bidi w:val="0"/>
        <w:spacing w:line="480" w:lineRule="auto"/>
        <w:ind w:left="792"/>
        <w:jc w:val="both"/>
        <w:rPr>
          <w:rFonts w:asciiTheme="majorBidi" w:hAnsiTheme="majorBidi" w:cstheme="majorBidi"/>
          <w:b/>
          <w:bCs/>
          <w:sz w:val="24"/>
          <w:szCs w:val="24"/>
        </w:rPr>
      </w:pPr>
    </w:p>
    <w:p w14:paraId="4C12DFA7" w14:textId="3FD04775" w:rsidR="006E1000" w:rsidRPr="00365FD7" w:rsidRDefault="006E1000" w:rsidP="006E1000">
      <w:pPr>
        <w:pStyle w:val="ListParagraph"/>
        <w:bidi w:val="0"/>
        <w:spacing w:line="480" w:lineRule="auto"/>
        <w:ind w:left="792"/>
        <w:jc w:val="both"/>
        <w:rPr>
          <w:rFonts w:asciiTheme="majorBidi" w:hAnsiTheme="majorBidi" w:cstheme="majorBidi"/>
          <w:b/>
          <w:bCs/>
          <w:sz w:val="24"/>
          <w:szCs w:val="24"/>
          <w:u w:val="single"/>
        </w:rPr>
      </w:pPr>
      <w:r w:rsidRPr="00365FD7">
        <w:rPr>
          <w:rFonts w:asciiTheme="majorBidi" w:hAnsiTheme="majorBidi" w:cstheme="majorBidi"/>
          <w:b/>
          <w:bCs/>
          <w:sz w:val="24"/>
          <w:szCs w:val="24"/>
          <w:u w:val="single"/>
        </w:rPr>
        <w:t xml:space="preserve">Weighting </w:t>
      </w:r>
    </w:p>
    <w:p w14:paraId="0B1AF318" w14:textId="77777777" w:rsidR="006E1000" w:rsidRPr="00311785" w:rsidRDefault="006E1000" w:rsidP="006E1000">
      <w:pPr>
        <w:bidi w:val="0"/>
        <w:spacing w:line="480" w:lineRule="auto"/>
        <w:ind w:left="851"/>
        <w:jc w:val="both"/>
        <w:rPr>
          <w:rFonts w:asciiTheme="majorBidi" w:hAnsiTheme="majorBidi" w:cstheme="majorBidi"/>
          <w:sz w:val="24"/>
          <w:szCs w:val="24"/>
        </w:rPr>
      </w:pPr>
      <w:r w:rsidRPr="005724CF">
        <w:rPr>
          <w:rFonts w:asciiTheme="majorBidi" w:hAnsiTheme="majorBidi" w:cstheme="majorBidi"/>
          <w:sz w:val="24"/>
          <w:szCs w:val="24"/>
        </w:rPr>
        <w:t>Although all the indicators used in IS</w:t>
      </w:r>
      <w:r>
        <w:rPr>
          <w:rFonts w:asciiTheme="majorBidi" w:hAnsiTheme="majorBidi" w:cstheme="majorBidi"/>
          <w:sz w:val="24"/>
          <w:szCs w:val="24"/>
        </w:rPr>
        <w:t>R-</w:t>
      </w:r>
      <w:r w:rsidRPr="005724CF">
        <w:rPr>
          <w:rFonts w:asciiTheme="majorBidi" w:hAnsiTheme="majorBidi" w:cstheme="majorBidi"/>
          <w:sz w:val="24"/>
          <w:szCs w:val="24"/>
        </w:rPr>
        <w:t>WBG</w:t>
      </w:r>
      <w:r>
        <w:rPr>
          <w:rFonts w:asciiTheme="majorBidi" w:hAnsiTheme="majorBidi" w:cstheme="majorBidi"/>
          <w:sz w:val="24"/>
          <w:szCs w:val="24"/>
        </w:rPr>
        <w:t>-</w:t>
      </w:r>
      <w:r w:rsidRPr="005724CF">
        <w:rPr>
          <w:rFonts w:asciiTheme="majorBidi" w:hAnsiTheme="majorBidi" w:cstheme="majorBidi"/>
          <w:sz w:val="24"/>
          <w:szCs w:val="24"/>
        </w:rPr>
        <w:t xml:space="preserve">II are relevant, their </w:t>
      </w:r>
      <w:r>
        <w:rPr>
          <w:rFonts w:asciiTheme="majorBidi" w:hAnsiTheme="majorBidi" w:cstheme="majorBidi"/>
          <w:sz w:val="24"/>
          <w:szCs w:val="24"/>
        </w:rPr>
        <w:t xml:space="preserve">relative </w:t>
      </w:r>
      <w:r w:rsidRPr="005724CF">
        <w:rPr>
          <w:rFonts w:asciiTheme="majorBidi" w:hAnsiTheme="majorBidi" w:cstheme="majorBidi"/>
          <w:sz w:val="24"/>
          <w:szCs w:val="24"/>
        </w:rPr>
        <w:t xml:space="preserve">influence on regional integration may vary. </w:t>
      </w:r>
      <w:r>
        <w:rPr>
          <w:rFonts w:asciiTheme="majorBidi" w:hAnsiTheme="majorBidi" w:cstheme="majorBidi"/>
          <w:sz w:val="24"/>
          <w:szCs w:val="24"/>
        </w:rPr>
        <w:t>D</w:t>
      </w:r>
      <w:r w:rsidRPr="005724CF">
        <w:rPr>
          <w:rFonts w:asciiTheme="majorBidi" w:hAnsiTheme="majorBidi" w:cstheme="majorBidi"/>
          <w:sz w:val="24"/>
          <w:szCs w:val="24"/>
        </w:rPr>
        <w:t>ifferent indicators do not necessarily have the same economic significance; therefore, weights are necessary to account for these differences.</w:t>
      </w:r>
      <w:r>
        <w:rPr>
          <w:rFonts w:asciiTheme="majorBidi" w:hAnsiTheme="majorBidi" w:cstheme="majorBidi"/>
          <w:sz w:val="24"/>
          <w:szCs w:val="24"/>
        </w:rPr>
        <w:t xml:space="preserve"> </w:t>
      </w:r>
      <w:r w:rsidRPr="00311785">
        <w:rPr>
          <w:rFonts w:asciiTheme="majorBidi" w:hAnsiTheme="majorBidi" w:cstheme="majorBidi"/>
          <w:sz w:val="24"/>
          <w:szCs w:val="24"/>
        </w:rPr>
        <w:t xml:space="preserve">As such, we can use an equal weighting system where all indicators have the same weight. This approach assures that </w:t>
      </w:r>
      <w:r>
        <w:rPr>
          <w:rFonts w:asciiTheme="majorBidi" w:hAnsiTheme="majorBidi" w:cstheme="majorBidi"/>
          <w:sz w:val="24"/>
          <w:szCs w:val="24"/>
        </w:rPr>
        <w:t>weighting</w:t>
      </w:r>
      <w:r w:rsidRPr="00311785">
        <w:rPr>
          <w:rFonts w:asciiTheme="majorBidi" w:hAnsiTheme="majorBidi" w:cstheme="majorBidi"/>
          <w:sz w:val="24"/>
          <w:szCs w:val="24"/>
        </w:rPr>
        <w:t xml:space="preserve"> </w:t>
      </w:r>
      <w:r w:rsidRPr="00EB222E">
        <w:rPr>
          <w:rFonts w:asciiTheme="majorBidi" w:hAnsiTheme="majorBidi" w:cstheme="majorBidi"/>
          <w:sz w:val="24"/>
          <w:szCs w:val="24"/>
        </w:rPr>
        <w:t>does</w:t>
      </w:r>
      <w:r w:rsidRPr="00311785">
        <w:rPr>
          <w:rFonts w:asciiTheme="majorBidi" w:hAnsiTheme="majorBidi" w:cstheme="majorBidi"/>
          <w:sz w:val="24"/>
          <w:szCs w:val="24"/>
        </w:rPr>
        <w:t xml:space="preserve"> not have </w:t>
      </w:r>
      <w:r w:rsidRPr="00EB222E">
        <w:rPr>
          <w:rFonts w:asciiTheme="majorBidi" w:hAnsiTheme="majorBidi" w:cstheme="majorBidi"/>
          <w:sz w:val="24"/>
          <w:szCs w:val="24"/>
        </w:rPr>
        <w:t>a differential impact</w:t>
      </w:r>
      <w:r w:rsidRPr="00311785">
        <w:rPr>
          <w:rFonts w:asciiTheme="majorBidi" w:hAnsiTheme="majorBidi" w:cstheme="majorBidi"/>
          <w:sz w:val="24"/>
          <w:szCs w:val="24"/>
        </w:rPr>
        <w:t xml:space="preserve"> on the results. Another approach can be set</w:t>
      </w:r>
      <w:r>
        <w:rPr>
          <w:rFonts w:asciiTheme="majorBidi" w:hAnsiTheme="majorBidi" w:cstheme="majorBidi"/>
          <w:sz w:val="24"/>
          <w:szCs w:val="24"/>
        </w:rPr>
        <w:t>ting</w:t>
      </w:r>
      <w:r w:rsidRPr="00311785">
        <w:rPr>
          <w:rFonts w:asciiTheme="majorBidi" w:hAnsiTheme="majorBidi" w:cstheme="majorBidi"/>
          <w:sz w:val="24"/>
          <w:szCs w:val="24"/>
        </w:rPr>
        <w:t xml:space="preserve"> the weights,</w:t>
      </w:r>
      <w:r>
        <w:rPr>
          <w:rFonts w:asciiTheme="majorBidi" w:hAnsiTheme="majorBidi" w:cstheme="majorBidi"/>
          <w:sz w:val="24"/>
          <w:szCs w:val="24"/>
        </w:rPr>
        <w:t xml:space="preserve"> </w:t>
      </w:r>
      <w:r w:rsidRPr="00311785">
        <w:rPr>
          <w:rFonts w:asciiTheme="majorBidi" w:hAnsiTheme="majorBidi" w:cstheme="majorBidi"/>
          <w:sz w:val="24"/>
          <w:szCs w:val="24"/>
        </w:rPr>
        <w:t>in an objective manner</w:t>
      </w:r>
      <w:r>
        <w:rPr>
          <w:rFonts w:asciiTheme="majorBidi" w:hAnsiTheme="majorBidi" w:cstheme="majorBidi"/>
          <w:sz w:val="24"/>
          <w:szCs w:val="24"/>
        </w:rPr>
        <w:t>, however it is</w:t>
      </w:r>
      <w:r w:rsidRPr="00311785">
        <w:rPr>
          <w:rFonts w:asciiTheme="majorBidi" w:hAnsiTheme="majorBidi" w:cstheme="majorBidi"/>
          <w:sz w:val="24"/>
          <w:szCs w:val="24"/>
        </w:rPr>
        <w:t xml:space="preserve"> a daunting task as there exists no consensus in the literature as to which method is the best</w:t>
      </w:r>
      <w:r>
        <w:rPr>
          <w:rFonts w:asciiTheme="majorBidi" w:hAnsiTheme="majorBidi" w:cstheme="majorBidi"/>
          <w:sz w:val="24"/>
          <w:szCs w:val="24"/>
        </w:rPr>
        <w:t>. H</w:t>
      </w:r>
      <w:r w:rsidRPr="007F174C">
        <w:rPr>
          <w:rFonts w:asciiTheme="majorBidi" w:hAnsiTheme="majorBidi" w:cstheme="majorBidi"/>
          <w:sz w:val="24"/>
          <w:szCs w:val="24"/>
        </w:rPr>
        <w:t>eavy weights on indicators can strongly influence the final scores and they should, therefore, be assigned using a sound methodology</w:t>
      </w:r>
      <w:r w:rsidRPr="00311785">
        <w:rPr>
          <w:rFonts w:asciiTheme="majorBidi" w:hAnsiTheme="majorBidi" w:cstheme="majorBidi"/>
          <w:sz w:val="24"/>
          <w:szCs w:val="24"/>
        </w:rPr>
        <w:t xml:space="preserve"> (Nardo et al., 2005). </w:t>
      </w:r>
    </w:p>
    <w:p w14:paraId="23ECA900" w14:textId="77777777" w:rsidR="006E1000" w:rsidRDefault="006E1000" w:rsidP="006E1000">
      <w:pPr>
        <w:bidi w:val="0"/>
        <w:spacing w:line="480" w:lineRule="auto"/>
        <w:ind w:left="851"/>
        <w:jc w:val="both"/>
        <w:rPr>
          <w:rFonts w:asciiTheme="majorBidi" w:hAnsiTheme="majorBidi" w:cstheme="majorBidi"/>
          <w:sz w:val="24"/>
          <w:szCs w:val="24"/>
        </w:rPr>
      </w:pPr>
      <w:r w:rsidRPr="007F174C">
        <w:rPr>
          <w:rFonts w:asciiTheme="majorBidi" w:hAnsiTheme="majorBidi" w:cstheme="majorBidi"/>
          <w:sz w:val="24"/>
          <w:szCs w:val="24"/>
        </w:rPr>
        <w:t>Principal components analysis</w:t>
      </w:r>
      <w:r>
        <w:rPr>
          <w:rFonts w:asciiTheme="majorBidi" w:hAnsiTheme="majorBidi" w:cstheme="majorBidi"/>
          <w:sz w:val="24"/>
          <w:szCs w:val="24"/>
        </w:rPr>
        <w:t xml:space="preserve"> (PCA)</w:t>
      </w:r>
      <w:r w:rsidRPr="007F174C">
        <w:rPr>
          <w:rFonts w:asciiTheme="majorBidi" w:hAnsiTheme="majorBidi" w:cstheme="majorBidi"/>
          <w:sz w:val="24"/>
          <w:szCs w:val="24"/>
        </w:rPr>
        <w:t xml:space="preserve"> is</w:t>
      </w:r>
      <w:r>
        <w:rPr>
          <w:rFonts w:asciiTheme="majorBidi" w:hAnsiTheme="majorBidi" w:cstheme="majorBidi"/>
          <w:sz w:val="24"/>
          <w:szCs w:val="24"/>
        </w:rPr>
        <w:t xml:space="preserve"> a </w:t>
      </w:r>
      <w:r w:rsidRPr="007F174C">
        <w:rPr>
          <w:rFonts w:asciiTheme="majorBidi" w:hAnsiTheme="majorBidi" w:cstheme="majorBidi"/>
          <w:sz w:val="24"/>
          <w:szCs w:val="24"/>
        </w:rPr>
        <w:t>methodology</w:t>
      </w:r>
      <w:r>
        <w:rPr>
          <w:rFonts w:asciiTheme="majorBidi" w:hAnsiTheme="majorBidi" w:cstheme="majorBidi"/>
          <w:sz w:val="24"/>
          <w:szCs w:val="24"/>
        </w:rPr>
        <w:t xml:space="preserve"> been </w:t>
      </w:r>
      <w:r w:rsidRPr="007F174C">
        <w:rPr>
          <w:rFonts w:asciiTheme="majorBidi" w:hAnsiTheme="majorBidi" w:cstheme="majorBidi"/>
          <w:sz w:val="24"/>
          <w:szCs w:val="24"/>
        </w:rPr>
        <w:t>used</w:t>
      </w:r>
      <w:r>
        <w:rPr>
          <w:rFonts w:asciiTheme="majorBidi" w:hAnsiTheme="majorBidi" w:cstheme="majorBidi"/>
          <w:sz w:val="24"/>
          <w:szCs w:val="24"/>
        </w:rPr>
        <w:t xml:space="preserve"> in constructive a number of important and well-known indices such as: </w:t>
      </w:r>
      <w:r w:rsidRPr="007636DE">
        <w:rPr>
          <w:rFonts w:asciiTheme="majorBidi" w:hAnsiTheme="majorBidi" w:cstheme="majorBidi"/>
          <w:sz w:val="24"/>
          <w:szCs w:val="24"/>
        </w:rPr>
        <w:t>Asia-Pacific Regional Cooperation and Integration Index</w:t>
      </w:r>
      <w:r>
        <w:rPr>
          <w:rFonts w:asciiTheme="majorBidi" w:hAnsiTheme="majorBidi" w:cstheme="majorBidi"/>
          <w:sz w:val="24"/>
          <w:szCs w:val="24"/>
        </w:rPr>
        <w:t xml:space="preserve"> and </w:t>
      </w:r>
      <w:r w:rsidRPr="00C23F4A">
        <w:rPr>
          <w:rFonts w:asciiTheme="majorBidi" w:hAnsiTheme="majorBidi" w:cstheme="majorBidi"/>
          <w:sz w:val="24"/>
          <w:szCs w:val="24"/>
        </w:rPr>
        <w:t>Africa Regional Integration Index</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r w:rsidRPr="00C36D83">
        <w:rPr>
          <w:rFonts w:asciiTheme="majorBidi" w:hAnsiTheme="majorBidi" w:cstheme="majorBidi"/>
          <w:sz w:val="24"/>
          <w:szCs w:val="24"/>
        </w:rPr>
        <w:t>PCA is a statistical methodology that allows robust computation of weights while maintaining objectivity. PCA derives weights based on the structure of the data. It also preserves variations in the data</w:t>
      </w:r>
      <w:r>
        <w:rPr>
          <w:rFonts w:asciiTheme="majorBidi" w:hAnsiTheme="majorBidi" w:cstheme="majorBidi"/>
          <w:sz w:val="24"/>
          <w:szCs w:val="24"/>
        </w:rPr>
        <w:t xml:space="preserve">. We also use the </w:t>
      </w:r>
      <w:r w:rsidRPr="00992A35">
        <w:rPr>
          <w:rFonts w:asciiTheme="majorBidi" w:hAnsiTheme="majorBidi" w:cstheme="majorBidi"/>
          <w:sz w:val="24"/>
          <w:szCs w:val="24"/>
        </w:rPr>
        <w:t>Kaiser-Meyer-Olkin (KMO) Test</w:t>
      </w:r>
      <w:r>
        <w:rPr>
          <w:rFonts w:asciiTheme="majorBidi" w:hAnsiTheme="majorBidi" w:cstheme="majorBidi"/>
          <w:sz w:val="24"/>
          <w:szCs w:val="24"/>
        </w:rPr>
        <w:t xml:space="preserve"> to </w:t>
      </w:r>
      <w:r w:rsidRPr="00EA2C9D">
        <w:rPr>
          <w:rFonts w:asciiTheme="majorBidi" w:hAnsiTheme="majorBidi" w:cstheme="majorBidi"/>
          <w:sz w:val="24"/>
          <w:szCs w:val="24"/>
        </w:rPr>
        <w:t xml:space="preserve">measure how </w:t>
      </w:r>
      <w:r>
        <w:rPr>
          <w:rFonts w:asciiTheme="majorBidi" w:hAnsiTheme="majorBidi" w:cstheme="majorBidi"/>
          <w:sz w:val="24"/>
          <w:szCs w:val="24"/>
        </w:rPr>
        <w:t>suitable are</w:t>
      </w:r>
      <w:r w:rsidRPr="00EA2C9D">
        <w:rPr>
          <w:rFonts w:asciiTheme="majorBidi" w:hAnsiTheme="majorBidi" w:cstheme="majorBidi"/>
          <w:sz w:val="24"/>
          <w:szCs w:val="24"/>
        </w:rPr>
        <w:t xml:space="preserve"> our indicators</w:t>
      </w:r>
      <w:r>
        <w:rPr>
          <w:rFonts w:asciiTheme="majorBidi" w:hAnsiTheme="majorBidi" w:cstheme="majorBidi"/>
          <w:sz w:val="24"/>
          <w:szCs w:val="24"/>
        </w:rPr>
        <w:t xml:space="preserve"> - </w:t>
      </w:r>
      <w:r w:rsidRPr="00D94631">
        <w:rPr>
          <w:rFonts w:asciiTheme="majorBidi" w:hAnsiTheme="majorBidi" w:cstheme="majorBidi"/>
          <w:sz w:val="24"/>
          <w:szCs w:val="24"/>
        </w:rPr>
        <w:t xml:space="preserve">A high KMO </w:t>
      </w:r>
      <w:r>
        <w:rPr>
          <w:rFonts w:asciiTheme="majorBidi" w:hAnsiTheme="majorBidi" w:cstheme="majorBidi"/>
          <w:sz w:val="24"/>
          <w:szCs w:val="24"/>
        </w:rPr>
        <w:t>(</w:t>
      </w:r>
      <w:r w:rsidRPr="00D94631">
        <w:rPr>
          <w:rFonts w:asciiTheme="majorBidi" w:hAnsiTheme="majorBidi" w:cstheme="majorBidi"/>
          <w:sz w:val="24"/>
          <w:szCs w:val="24"/>
        </w:rPr>
        <w:t xml:space="preserve">&gt; 0.5) indicates that PCA is </w:t>
      </w:r>
      <w:r w:rsidRPr="00B34569">
        <w:rPr>
          <w:rFonts w:asciiTheme="majorBidi" w:hAnsiTheme="majorBidi" w:cstheme="majorBidi"/>
          <w:sz w:val="24"/>
          <w:szCs w:val="24"/>
        </w:rPr>
        <w:t>relevant</w:t>
      </w:r>
      <w:r w:rsidRPr="00D94631">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hint="cs"/>
          <w:sz w:val="24"/>
          <w:szCs w:val="24"/>
        </w:rPr>
        <w:t>I</w:t>
      </w:r>
      <w:r>
        <w:rPr>
          <w:rFonts w:asciiTheme="majorBidi" w:hAnsiTheme="majorBidi" w:cstheme="majorBidi"/>
          <w:sz w:val="24"/>
          <w:szCs w:val="24"/>
        </w:rPr>
        <w:t>n a few of the</w:t>
      </w:r>
      <w:r w:rsidRPr="00986D42">
        <w:rPr>
          <w:rFonts w:asciiTheme="majorBidi" w:hAnsiTheme="majorBidi" w:cstheme="majorBidi"/>
          <w:sz w:val="24"/>
          <w:szCs w:val="24"/>
        </w:rPr>
        <w:t xml:space="preserve"> individual </w:t>
      </w:r>
      <w:r>
        <w:rPr>
          <w:rFonts w:asciiTheme="majorBidi" w:hAnsiTheme="majorBidi" w:cstheme="majorBidi"/>
          <w:sz w:val="24"/>
          <w:szCs w:val="24"/>
        </w:rPr>
        <w:t>indicators,</w:t>
      </w:r>
      <w:r w:rsidRPr="00986D42">
        <w:rPr>
          <w:rFonts w:asciiTheme="majorBidi" w:hAnsiTheme="majorBidi" w:cstheme="majorBidi"/>
          <w:sz w:val="24"/>
          <w:szCs w:val="24"/>
        </w:rPr>
        <w:t xml:space="preserve"> </w:t>
      </w:r>
      <w:r>
        <w:rPr>
          <w:rFonts w:asciiTheme="majorBidi" w:hAnsiTheme="majorBidi" w:cstheme="majorBidi"/>
          <w:sz w:val="24"/>
          <w:szCs w:val="24"/>
        </w:rPr>
        <w:t>the KMO</w:t>
      </w:r>
      <w:r w:rsidRPr="00986D42">
        <w:rPr>
          <w:rFonts w:asciiTheme="majorBidi" w:hAnsiTheme="majorBidi" w:cstheme="majorBidi"/>
          <w:sz w:val="24"/>
          <w:szCs w:val="24"/>
        </w:rPr>
        <w:t xml:space="preserve"> </w:t>
      </w:r>
      <w:r>
        <w:rPr>
          <w:rFonts w:asciiTheme="majorBidi" w:hAnsiTheme="majorBidi" w:cstheme="majorBidi"/>
          <w:sz w:val="24"/>
          <w:szCs w:val="24"/>
        </w:rPr>
        <w:t>test showed poor results (&lt;0.5)</w:t>
      </w:r>
      <w:r w:rsidRPr="00986D42">
        <w:rPr>
          <w:rFonts w:asciiTheme="majorBidi" w:hAnsiTheme="majorBidi" w:cstheme="majorBidi"/>
          <w:sz w:val="24"/>
          <w:szCs w:val="24"/>
        </w:rPr>
        <w:t>.</w:t>
      </w:r>
      <w:r w:rsidRPr="0026605D">
        <w:t xml:space="preserve"> </w:t>
      </w:r>
      <w:r w:rsidRPr="0026605D">
        <w:rPr>
          <w:rFonts w:asciiTheme="majorBidi" w:hAnsiTheme="majorBidi" w:cstheme="majorBidi"/>
          <w:sz w:val="24"/>
          <w:szCs w:val="24"/>
        </w:rPr>
        <w:t xml:space="preserve">Despite </w:t>
      </w:r>
      <w:r>
        <w:rPr>
          <w:rFonts w:asciiTheme="majorBidi" w:hAnsiTheme="majorBidi" w:cstheme="majorBidi"/>
          <w:sz w:val="24"/>
          <w:szCs w:val="24"/>
        </w:rPr>
        <w:t>this</w:t>
      </w:r>
      <w:r w:rsidRPr="0026605D">
        <w:rPr>
          <w:rFonts w:asciiTheme="majorBidi" w:hAnsiTheme="majorBidi" w:cstheme="majorBidi"/>
          <w:sz w:val="24"/>
          <w:szCs w:val="24"/>
        </w:rPr>
        <w:t xml:space="preserve">, we have chosen to maintain the results of the PCA method </w:t>
      </w:r>
      <w:r>
        <w:rPr>
          <w:rFonts w:asciiTheme="majorBidi" w:hAnsiTheme="majorBidi" w:cstheme="majorBidi"/>
          <w:sz w:val="24"/>
          <w:szCs w:val="24"/>
        </w:rPr>
        <w:t>as we</w:t>
      </w:r>
      <w:r w:rsidRPr="0026605D">
        <w:rPr>
          <w:rFonts w:asciiTheme="majorBidi" w:hAnsiTheme="majorBidi" w:cstheme="majorBidi"/>
          <w:sz w:val="24"/>
          <w:szCs w:val="24"/>
        </w:rPr>
        <w:t xml:space="preserve"> </w:t>
      </w:r>
      <w:r>
        <w:rPr>
          <w:rFonts w:asciiTheme="majorBidi" w:hAnsiTheme="majorBidi" w:cstheme="majorBidi"/>
          <w:sz w:val="24"/>
          <w:szCs w:val="24"/>
        </w:rPr>
        <w:t xml:space="preserve">implemented the </w:t>
      </w:r>
      <w:r w:rsidRPr="0001567B">
        <w:rPr>
          <w:rFonts w:asciiTheme="majorBidi" w:hAnsiTheme="majorBidi" w:cstheme="majorBidi"/>
          <w:sz w:val="24"/>
          <w:szCs w:val="24"/>
        </w:rPr>
        <w:t xml:space="preserve">equal weighting system </w:t>
      </w:r>
      <w:r>
        <w:rPr>
          <w:rFonts w:asciiTheme="majorBidi" w:hAnsiTheme="majorBidi" w:cstheme="majorBidi"/>
          <w:sz w:val="24"/>
          <w:szCs w:val="24"/>
        </w:rPr>
        <w:t>and found</w:t>
      </w:r>
      <w:r w:rsidRPr="0001567B">
        <w:rPr>
          <w:rFonts w:asciiTheme="majorBidi" w:hAnsiTheme="majorBidi" w:cstheme="majorBidi"/>
          <w:sz w:val="24"/>
          <w:szCs w:val="24"/>
        </w:rPr>
        <w:t xml:space="preserve"> there are</w:t>
      </w:r>
      <w:r>
        <w:rPr>
          <w:rFonts w:asciiTheme="majorBidi" w:hAnsiTheme="majorBidi" w:cstheme="majorBidi"/>
          <w:sz w:val="24"/>
          <w:szCs w:val="24"/>
        </w:rPr>
        <w:t xml:space="preserve"> no</w:t>
      </w:r>
      <w:r w:rsidRPr="0001567B">
        <w:rPr>
          <w:rFonts w:asciiTheme="majorBidi" w:hAnsiTheme="majorBidi" w:cstheme="majorBidi"/>
          <w:sz w:val="24"/>
          <w:szCs w:val="24"/>
        </w:rPr>
        <w:t xml:space="preserve"> significant discrepancies in results</w:t>
      </w:r>
      <w:r w:rsidRPr="00C36D83">
        <w:rPr>
          <w:rFonts w:asciiTheme="majorBidi" w:hAnsiTheme="majorBidi" w:cstheme="majorBidi"/>
          <w:sz w:val="24"/>
          <w:szCs w:val="24"/>
        </w:rPr>
        <w:t>.</w:t>
      </w:r>
    </w:p>
    <w:p w14:paraId="491C3134" w14:textId="77777777" w:rsidR="006E1000" w:rsidRDefault="006E1000" w:rsidP="006E1000">
      <w:pPr>
        <w:bidi w:val="0"/>
        <w:spacing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We decided to use </w:t>
      </w:r>
      <w:r w:rsidRPr="0030290F">
        <w:rPr>
          <w:rFonts w:asciiTheme="majorBidi" w:hAnsiTheme="majorBidi" w:cstheme="majorBidi"/>
          <w:b/>
          <w:bCs/>
          <w:sz w:val="24"/>
          <w:szCs w:val="24"/>
          <w:u w:val="single"/>
        </w:rPr>
        <w:t>both</w:t>
      </w:r>
      <w:r>
        <w:rPr>
          <w:rFonts w:asciiTheme="majorBidi" w:hAnsiTheme="majorBidi" w:cstheme="majorBidi"/>
          <w:sz w:val="24"/>
          <w:szCs w:val="24"/>
        </w:rPr>
        <w:t xml:space="preserve"> methodologies (</w:t>
      </w:r>
      <w:r w:rsidRPr="00311785">
        <w:rPr>
          <w:rFonts w:asciiTheme="majorBidi" w:hAnsiTheme="majorBidi" w:cstheme="majorBidi"/>
          <w:sz w:val="24"/>
          <w:szCs w:val="24"/>
        </w:rPr>
        <w:t>an equal weighting system where all indicators have the same weight</w:t>
      </w:r>
      <w:r>
        <w:rPr>
          <w:rFonts w:asciiTheme="majorBidi" w:hAnsiTheme="majorBidi" w:cstheme="majorBidi"/>
          <w:sz w:val="24"/>
          <w:szCs w:val="24"/>
        </w:rPr>
        <w:t>, and PCA)</w:t>
      </w:r>
      <w:r w:rsidRPr="007F174C">
        <w:rPr>
          <w:rFonts w:asciiTheme="majorBidi" w:hAnsiTheme="majorBidi" w:cstheme="majorBidi"/>
          <w:sz w:val="24"/>
          <w:szCs w:val="24"/>
        </w:rPr>
        <w:t xml:space="preserve"> to compute </w:t>
      </w:r>
      <w:r>
        <w:rPr>
          <w:rFonts w:asciiTheme="majorBidi" w:hAnsiTheme="majorBidi" w:cstheme="majorBidi"/>
          <w:sz w:val="24"/>
          <w:szCs w:val="24"/>
        </w:rPr>
        <w:t>the</w:t>
      </w:r>
      <w:r w:rsidRPr="007F174C">
        <w:rPr>
          <w:rFonts w:asciiTheme="majorBidi" w:hAnsiTheme="majorBidi" w:cstheme="majorBidi"/>
          <w:sz w:val="24"/>
          <w:szCs w:val="24"/>
        </w:rPr>
        <w:t xml:space="preserve"> weights to assign to each indicator and dimensions before building the aggregate index.</w:t>
      </w:r>
      <w:r>
        <w:rPr>
          <w:rFonts w:asciiTheme="majorBidi" w:hAnsiTheme="majorBidi" w:cstheme="majorBidi"/>
          <w:sz w:val="24"/>
          <w:szCs w:val="24"/>
        </w:rPr>
        <w:t xml:space="preserve"> </w:t>
      </w:r>
    </w:p>
    <w:p w14:paraId="59986750" w14:textId="77777777" w:rsidR="006E1000" w:rsidRDefault="006E1000" w:rsidP="006E1000">
      <w:pPr>
        <w:autoSpaceDE w:val="0"/>
        <w:autoSpaceDN w:val="0"/>
        <w:bidi w:val="0"/>
        <w:adjustRightInd w:val="0"/>
        <w:spacing w:line="480" w:lineRule="auto"/>
        <w:ind w:left="851"/>
        <w:jc w:val="both"/>
        <w:rPr>
          <w:rFonts w:asciiTheme="majorBidi" w:hAnsiTheme="majorBidi" w:cstheme="majorBidi"/>
          <w:sz w:val="24"/>
          <w:szCs w:val="24"/>
        </w:rPr>
      </w:pPr>
      <w:r w:rsidRPr="000B4434">
        <w:rPr>
          <w:rFonts w:asciiTheme="majorBidi" w:hAnsiTheme="majorBidi" w:cstheme="majorBidi"/>
          <w:sz w:val="24"/>
          <w:szCs w:val="24"/>
        </w:rPr>
        <w:t xml:space="preserve">For the </w:t>
      </w:r>
      <w:r w:rsidRPr="000B4434">
        <w:rPr>
          <w:rFonts w:ascii="Times New Roman" w:hAnsi="Times New Roman" w:cs="David"/>
          <w:sz w:val="24"/>
          <w:szCs w:val="24"/>
        </w:rPr>
        <w:t>indi</w:t>
      </w:r>
      <w:r>
        <w:rPr>
          <w:rFonts w:ascii="Times New Roman" w:hAnsi="Times New Roman" w:cs="David"/>
          <w:sz w:val="24"/>
          <w:szCs w:val="24"/>
        </w:rPr>
        <w:t>ces</w:t>
      </w:r>
      <w:r w:rsidRPr="000B4434">
        <w:rPr>
          <w:rFonts w:ascii="Times New Roman" w:hAnsi="Times New Roman" w:cs="David"/>
          <w:sz w:val="24"/>
          <w:szCs w:val="24"/>
        </w:rPr>
        <w:t xml:space="preserve"> starting in 1968 </w:t>
      </w:r>
      <w:r>
        <w:rPr>
          <w:rFonts w:ascii="Times New Roman" w:hAnsi="Times New Roman" w:cs="David"/>
          <w:sz w:val="24"/>
          <w:szCs w:val="24"/>
        </w:rPr>
        <w:t>(</w:t>
      </w:r>
      <w:r w:rsidRPr="000B4434">
        <w:rPr>
          <w:rFonts w:ascii="Times New Roman" w:hAnsi="Times New Roman" w:cs="David"/>
          <w:sz w:val="24"/>
          <w:szCs w:val="24"/>
        </w:rPr>
        <w:t>6 indicators</w:t>
      </w:r>
      <w:r>
        <w:rPr>
          <w:rFonts w:ascii="Times New Roman" w:hAnsi="Times New Roman" w:cs="David"/>
          <w:sz w:val="24"/>
          <w:szCs w:val="24"/>
        </w:rPr>
        <w:t>)</w:t>
      </w:r>
      <w:r w:rsidRPr="000B4434">
        <w:rPr>
          <w:rFonts w:ascii="Times New Roman" w:hAnsi="Times New Roman" w:cs="David"/>
          <w:sz w:val="24"/>
          <w:szCs w:val="24"/>
        </w:rPr>
        <w:t xml:space="preserve">, </w:t>
      </w:r>
      <w:r w:rsidRPr="00F71D13">
        <w:rPr>
          <w:rFonts w:ascii="Times New Roman" w:hAnsi="Times New Roman" w:cs="David"/>
          <w:sz w:val="24"/>
          <w:szCs w:val="24"/>
        </w:rPr>
        <w:t xml:space="preserve">1996 </w:t>
      </w:r>
      <w:r>
        <w:rPr>
          <w:rFonts w:ascii="Times New Roman" w:hAnsi="Times New Roman" w:cs="David"/>
          <w:sz w:val="24"/>
          <w:szCs w:val="24"/>
        </w:rPr>
        <w:t>(10</w:t>
      </w:r>
      <w:r w:rsidRPr="00F71D13">
        <w:rPr>
          <w:rFonts w:ascii="Times New Roman" w:hAnsi="Times New Roman" w:cs="David"/>
          <w:sz w:val="24"/>
          <w:szCs w:val="24"/>
        </w:rPr>
        <w:t xml:space="preserve"> indicators</w:t>
      </w:r>
      <w:r>
        <w:rPr>
          <w:rFonts w:ascii="Times New Roman" w:hAnsi="Times New Roman" w:cs="David"/>
          <w:sz w:val="24"/>
          <w:szCs w:val="24"/>
        </w:rPr>
        <w:t>)</w:t>
      </w:r>
      <w:r w:rsidRPr="00F71D13">
        <w:rPr>
          <w:rFonts w:ascii="Times New Roman" w:hAnsi="Times New Roman" w:cs="David"/>
          <w:sz w:val="24"/>
          <w:szCs w:val="24"/>
        </w:rPr>
        <w:t>,</w:t>
      </w:r>
      <w:r>
        <w:rPr>
          <w:rFonts w:ascii="Times New Roman" w:hAnsi="Times New Roman" w:cs="David"/>
          <w:sz w:val="24"/>
          <w:szCs w:val="24"/>
        </w:rPr>
        <w:t xml:space="preserve"> and</w:t>
      </w:r>
      <w:r w:rsidRPr="00F71D13">
        <w:rPr>
          <w:rFonts w:ascii="Times New Roman" w:hAnsi="Times New Roman" w:cs="David"/>
          <w:sz w:val="24"/>
          <w:szCs w:val="24"/>
        </w:rPr>
        <w:t xml:space="preserve"> 2000 </w:t>
      </w:r>
      <w:r>
        <w:rPr>
          <w:rFonts w:ascii="Times New Roman" w:hAnsi="Times New Roman" w:cs="David"/>
          <w:sz w:val="24"/>
          <w:szCs w:val="24"/>
        </w:rPr>
        <w:t>(</w:t>
      </w:r>
      <w:r w:rsidRPr="00F71D13">
        <w:rPr>
          <w:rFonts w:ascii="Times New Roman" w:hAnsi="Times New Roman" w:cs="David"/>
          <w:sz w:val="24"/>
          <w:szCs w:val="24"/>
        </w:rPr>
        <w:t>1</w:t>
      </w:r>
      <w:r>
        <w:rPr>
          <w:rFonts w:ascii="Times New Roman" w:hAnsi="Times New Roman" w:cs="David"/>
          <w:sz w:val="24"/>
          <w:szCs w:val="24"/>
        </w:rPr>
        <w:t>5</w:t>
      </w:r>
      <w:r w:rsidRPr="00F71D13">
        <w:rPr>
          <w:rFonts w:ascii="Times New Roman" w:hAnsi="Times New Roman" w:cs="David"/>
          <w:sz w:val="24"/>
          <w:szCs w:val="24"/>
        </w:rPr>
        <w:t xml:space="preserve"> indicators</w:t>
      </w:r>
      <w:r>
        <w:rPr>
          <w:rFonts w:ascii="Times New Roman" w:hAnsi="Times New Roman" w:cs="David"/>
          <w:sz w:val="24"/>
          <w:szCs w:val="24"/>
        </w:rPr>
        <w:t xml:space="preserve">) </w:t>
      </w:r>
      <w:r>
        <w:rPr>
          <w:rFonts w:asciiTheme="majorBidi" w:hAnsiTheme="majorBidi" w:cstheme="majorBidi"/>
          <w:sz w:val="24"/>
          <w:szCs w:val="24"/>
        </w:rPr>
        <w:t>we decided to use</w:t>
      </w:r>
      <w:r>
        <w:rPr>
          <w:rFonts w:ascii="Times New Roman" w:hAnsi="Times New Roman" w:cs="David"/>
          <w:sz w:val="24"/>
          <w:szCs w:val="24"/>
        </w:rPr>
        <w:t xml:space="preserve"> </w:t>
      </w:r>
      <w:r w:rsidRPr="00311785">
        <w:rPr>
          <w:rFonts w:asciiTheme="majorBidi" w:hAnsiTheme="majorBidi" w:cstheme="majorBidi"/>
          <w:sz w:val="24"/>
          <w:szCs w:val="24"/>
        </w:rPr>
        <w:t>an equal weighting system</w:t>
      </w:r>
      <w:r>
        <w:rPr>
          <w:rFonts w:asciiTheme="majorBidi" w:hAnsiTheme="majorBidi" w:cstheme="majorBidi"/>
          <w:sz w:val="24"/>
          <w:szCs w:val="24"/>
        </w:rPr>
        <w:t xml:space="preserve"> while for </w:t>
      </w:r>
      <w:r w:rsidRPr="00BB48CF">
        <w:rPr>
          <w:rFonts w:ascii="Times New Roman" w:hAnsi="Times New Roman" w:cs="David"/>
          <w:sz w:val="24"/>
          <w:szCs w:val="24"/>
        </w:rPr>
        <w:t xml:space="preserve">the index starting in 2010 </w:t>
      </w:r>
      <w:r>
        <w:rPr>
          <w:rFonts w:ascii="Times New Roman" w:hAnsi="Times New Roman" w:cs="David"/>
          <w:sz w:val="24"/>
          <w:szCs w:val="24"/>
        </w:rPr>
        <w:t>(</w:t>
      </w:r>
      <w:r w:rsidRPr="00BB48CF">
        <w:rPr>
          <w:rFonts w:ascii="Times New Roman" w:hAnsi="Times New Roman" w:cs="David"/>
          <w:sz w:val="24"/>
          <w:szCs w:val="24"/>
        </w:rPr>
        <w:t>24 indicators)</w:t>
      </w:r>
      <w:r>
        <w:rPr>
          <w:rFonts w:ascii="Times New Roman" w:hAnsi="Times New Roman" w:cs="David"/>
          <w:sz w:val="24"/>
          <w:szCs w:val="24"/>
        </w:rPr>
        <w:t xml:space="preserve"> we use the PCA</w:t>
      </w:r>
      <w:r w:rsidRPr="00BB48CF">
        <w:rPr>
          <w:rFonts w:ascii="Times New Roman" w:hAnsi="Times New Roman" w:cs="David"/>
          <w:sz w:val="24"/>
          <w:szCs w:val="24"/>
        </w:rPr>
        <w:t xml:space="preserve"> </w:t>
      </w:r>
      <w:r w:rsidRPr="007F174C">
        <w:rPr>
          <w:rFonts w:asciiTheme="majorBidi" w:hAnsiTheme="majorBidi" w:cstheme="majorBidi"/>
          <w:sz w:val="24"/>
          <w:szCs w:val="24"/>
        </w:rPr>
        <w:t>methodology</w:t>
      </w:r>
      <w:r>
        <w:rPr>
          <w:rFonts w:asciiTheme="majorBidi" w:hAnsiTheme="majorBidi" w:cstheme="majorBidi"/>
          <w:sz w:val="24"/>
          <w:szCs w:val="24"/>
        </w:rPr>
        <w:t xml:space="preserve">. </w:t>
      </w:r>
    </w:p>
    <w:p w14:paraId="46C05695" w14:textId="77777777" w:rsidR="006E1000" w:rsidRPr="006E1C87" w:rsidRDefault="006E1000" w:rsidP="006E1000">
      <w:pPr>
        <w:autoSpaceDE w:val="0"/>
        <w:autoSpaceDN w:val="0"/>
        <w:bidi w:val="0"/>
        <w:adjustRightInd w:val="0"/>
        <w:spacing w:line="480" w:lineRule="auto"/>
        <w:ind w:left="851"/>
        <w:jc w:val="both"/>
        <w:rPr>
          <w:rFonts w:ascii="Times New Roman" w:hAnsi="Times New Roman" w:cs="David"/>
          <w:sz w:val="24"/>
          <w:szCs w:val="24"/>
          <w:rtl/>
        </w:rPr>
      </w:pPr>
      <w:r w:rsidRPr="006E1C87">
        <w:rPr>
          <w:rFonts w:asciiTheme="majorBidi" w:hAnsiTheme="majorBidi" w:cstheme="majorBidi"/>
          <w:sz w:val="24"/>
          <w:szCs w:val="24"/>
        </w:rPr>
        <w:t xml:space="preserve">The </w:t>
      </w:r>
      <w:r>
        <w:rPr>
          <w:rFonts w:asciiTheme="majorBidi" w:hAnsiTheme="majorBidi" w:cstheme="majorBidi"/>
          <w:sz w:val="24"/>
          <w:szCs w:val="24"/>
        </w:rPr>
        <w:t xml:space="preserve">reason we </w:t>
      </w:r>
      <w:r w:rsidRPr="006E1C87">
        <w:rPr>
          <w:rFonts w:asciiTheme="majorBidi" w:hAnsiTheme="majorBidi" w:cstheme="majorBidi"/>
          <w:sz w:val="24"/>
          <w:szCs w:val="24"/>
        </w:rPr>
        <w:t xml:space="preserve">choose </w:t>
      </w:r>
      <w:r>
        <w:rPr>
          <w:rFonts w:asciiTheme="majorBidi" w:hAnsiTheme="majorBidi" w:cstheme="majorBidi"/>
          <w:sz w:val="24"/>
          <w:szCs w:val="24"/>
        </w:rPr>
        <w:t xml:space="preserve">an equal </w:t>
      </w:r>
      <w:r w:rsidRPr="00311785">
        <w:rPr>
          <w:rFonts w:asciiTheme="majorBidi" w:hAnsiTheme="majorBidi" w:cstheme="majorBidi"/>
          <w:sz w:val="24"/>
          <w:szCs w:val="24"/>
        </w:rPr>
        <w:t xml:space="preserve">weighting system </w:t>
      </w:r>
      <w:r>
        <w:rPr>
          <w:rFonts w:asciiTheme="majorBidi" w:hAnsiTheme="majorBidi" w:cstheme="majorBidi"/>
          <w:sz w:val="24"/>
          <w:szCs w:val="24"/>
        </w:rPr>
        <w:t>for</w:t>
      </w:r>
      <w:r w:rsidRPr="006E1C87">
        <w:rPr>
          <w:rFonts w:asciiTheme="majorBidi" w:hAnsiTheme="majorBidi" w:cstheme="majorBidi"/>
          <w:sz w:val="24"/>
          <w:szCs w:val="24"/>
        </w:rPr>
        <w:t xml:space="preserve"> the first 3 indices </w:t>
      </w:r>
      <w:r>
        <w:rPr>
          <w:rFonts w:asciiTheme="majorBidi" w:hAnsiTheme="majorBidi" w:cstheme="majorBidi"/>
          <w:sz w:val="24"/>
          <w:szCs w:val="24"/>
        </w:rPr>
        <w:t>is that</w:t>
      </w:r>
      <w:r w:rsidRPr="005325F9">
        <w:rPr>
          <w:rFonts w:asciiTheme="majorBidi" w:hAnsiTheme="majorBidi" w:cstheme="majorBidi"/>
          <w:sz w:val="24"/>
          <w:szCs w:val="24"/>
        </w:rPr>
        <w:t xml:space="preserve"> </w:t>
      </w:r>
      <w:r w:rsidRPr="006E1C87">
        <w:rPr>
          <w:rFonts w:asciiTheme="majorBidi" w:hAnsiTheme="majorBidi" w:cstheme="majorBidi"/>
          <w:sz w:val="24"/>
          <w:szCs w:val="24"/>
        </w:rPr>
        <w:t>the dimension</w:t>
      </w:r>
      <w:r>
        <w:rPr>
          <w:rFonts w:asciiTheme="majorBidi" w:hAnsiTheme="majorBidi" w:cstheme="majorBidi"/>
          <w:sz w:val="24"/>
          <w:szCs w:val="24"/>
        </w:rPr>
        <w:t>al</w:t>
      </w:r>
      <w:r w:rsidRPr="006E1C87">
        <w:rPr>
          <w:rFonts w:asciiTheme="majorBidi" w:hAnsiTheme="majorBidi" w:cstheme="majorBidi"/>
          <w:sz w:val="24"/>
          <w:szCs w:val="24"/>
        </w:rPr>
        <w:t xml:space="preserve"> composition includes a small number of indicators relative to the late</w:t>
      </w:r>
      <w:r>
        <w:rPr>
          <w:rFonts w:asciiTheme="majorBidi" w:hAnsiTheme="majorBidi" w:cstheme="majorBidi"/>
          <w:sz w:val="24"/>
          <w:szCs w:val="24"/>
        </w:rPr>
        <w:t>r</w:t>
      </w:r>
      <w:r w:rsidRPr="006E1C87">
        <w:rPr>
          <w:rFonts w:asciiTheme="majorBidi" w:hAnsiTheme="majorBidi" w:cstheme="majorBidi"/>
          <w:sz w:val="24"/>
          <w:szCs w:val="24"/>
        </w:rPr>
        <w:t xml:space="preserve"> index</w:t>
      </w:r>
      <w:r>
        <w:rPr>
          <w:rFonts w:asciiTheme="majorBidi" w:hAnsiTheme="majorBidi" w:cstheme="majorBidi"/>
          <w:sz w:val="24"/>
          <w:szCs w:val="24"/>
        </w:rPr>
        <w:t>,</w:t>
      </w:r>
      <w:r w:rsidRPr="006E1C87">
        <w:rPr>
          <w:rFonts w:asciiTheme="majorBidi" w:hAnsiTheme="majorBidi" w:cstheme="majorBidi"/>
          <w:sz w:val="24"/>
          <w:szCs w:val="24"/>
        </w:rPr>
        <w:t xml:space="preserve"> beginning in 2010. Also, the dimensions often included only one indicator to represent them</w:t>
      </w:r>
      <w:r>
        <w:rPr>
          <w:rFonts w:asciiTheme="majorBidi" w:hAnsiTheme="majorBidi" w:cstheme="majorBidi"/>
          <w:sz w:val="24"/>
          <w:szCs w:val="24"/>
        </w:rPr>
        <w:t xml:space="preserve">, so </w:t>
      </w:r>
      <w:r w:rsidRPr="006E1C87">
        <w:rPr>
          <w:rFonts w:asciiTheme="majorBidi" w:hAnsiTheme="majorBidi" w:cstheme="majorBidi"/>
          <w:sz w:val="24"/>
          <w:szCs w:val="24"/>
        </w:rPr>
        <w:t xml:space="preserve">to avoid bias in </w:t>
      </w:r>
      <w:r>
        <w:rPr>
          <w:rFonts w:asciiTheme="majorBidi" w:hAnsiTheme="majorBidi" w:cstheme="majorBidi"/>
          <w:sz w:val="24"/>
          <w:szCs w:val="24"/>
        </w:rPr>
        <w:t xml:space="preserve">the </w:t>
      </w:r>
      <w:r w:rsidRPr="006E1C87">
        <w:rPr>
          <w:rFonts w:asciiTheme="majorBidi" w:hAnsiTheme="majorBidi" w:cstheme="majorBidi"/>
          <w:sz w:val="24"/>
          <w:szCs w:val="24"/>
        </w:rPr>
        <w:t xml:space="preserve">results we </w:t>
      </w:r>
      <w:r>
        <w:rPr>
          <w:rFonts w:asciiTheme="majorBidi" w:hAnsiTheme="majorBidi" w:cstheme="majorBidi"/>
          <w:sz w:val="24"/>
          <w:szCs w:val="24"/>
        </w:rPr>
        <w:t>decided</w:t>
      </w:r>
      <w:r w:rsidRPr="006E1C87">
        <w:rPr>
          <w:rFonts w:asciiTheme="majorBidi" w:hAnsiTheme="majorBidi" w:cstheme="majorBidi"/>
          <w:sz w:val="24"/>
          <w:szCs w:val="24"/>
        </w:rPr>
        <w:t xml:space="preserve"> to</w:t>
      </w:r>
      <w:r>
        <w:rPr>
          <w:rFonts w:asciiTheme="majorBidi" w:hAnsiTheme="majorBidi" w:cstheme="majorBidi"/>
          <w:sz w:val="24"/>
          <w:szCs w:val="24"/>
        </w:rPr>
        <w:t xml:space="preserve"> intervene it and reduce the</w:t>
      </w:r>
      <w:r w:rsidRPr="006E1C87">
        <w:rPr>
          <w:rFonts w:asciiTheme="majorBidi" w:hAnsiTheme="majorBidi" w:cstheme="majorBidi"/>
          <w:sz w:val="24"/>
          <w:szCs w:val="24"/>
        </w:rPr>
        <w:t xml:space="preserve"> weight</w:t>
      </w:r>
      <w:r>
        <w:rPr>
          <w:rFonts w:asciiTheme="majorBidi" w:hAnsiTheme="majorBidi" w:cstheme="majorBidi"/>
          <w:sz w:val="24"/>
          <w:szCs w:val="24"/>
        </w:rPr>
        <w:t>s,</w:t>
      </w:r>
      <w:r w:rsidRPr="006E1C87">
        <w:rPr>
          <w:rFonts w:asciiTheme="majorBidi" w:hAnsiTheme="majorBidi" w:cstheme="majorBidi"/>
          <w:sz w:val="24"/>
          <w:szCs w:val="24"/>
        </w:rPr>
        <w:t xml:space="preserve"> as will be explained</w:t>
      </w:r>
      <w:r>
        <w:rPr>
          <w:rFonts w:asciiTheme="majorBidi" w:hAnsiTheme="majorBidi" w:cstheme="majorBidi"/>
          <w:sz w:val="24"/>
          <w:szCs w:val="24"/>
        </w:rPr>
        <w:t xml:space="preserve"> in more detail in the section</w:t>
      </w:r>
      <w:r w:rsidRPr="006E1C87">
        <w:rPr>
          <w:rFonts w:asciiTheme="majorBidi" w:hAnsiTheme="majorBidi" w:cstheme="majorBidi"/>
          <w:sz w:val="24"/>
          <w:szCs w:val="24"/>
        </w:rPr>
        <w:t xml:space="preserve"> below.</w:t>
      </w:r>
    </w:p>
    <w:p w14:paraId="5BC668E5" w14:textId="77777777" w:rsidR="006E1000" w:rsidRDefault="006E1000" w:rsidP="006E1000">
      <w:pPr>
        <w:bidi w:val="0"/>
        <w:spacing w:line="480" w:lineRule="auto"/>
        <w:ind w:left="851"/>
        <w:jc w:val="both"/>
        <w:rPr>
          <w:rFonts w:asciiTheme="majorBidi" w:hAnsiTheme="majorBidi" w:cstheme="majorBidi"/>
          <w:sz w:val="24"/>
          <w:szCs w:val="24"/>
          <w:u w:val="single"/>
        </w:rPr>
      </w:pPr>
      <w:r>
        <w:rPr>
          <w:rFonts w:asciiTheme="majorBidi" w:hAnsiTheme="majorBidi" w:cstheme="majorBidi"/>
          <w:sz w:val="24"/>
          <w:szCs w:val="24"/>
          <w:u w:val="single"/>
        </w:rPr>
        <w:t>E</w:t>
      </w:r>
      <w:r w:rsidRPr="00BB48CF">
        <w:rPr>
          <w:rFonts w:asciiTheme="majorBidi" w:hAnsiTheme="majorBidi" w:cstheme="majorBidi"/>
          <w:sz w:val="24"/>
          <w:szCs w:val="24"/>
          <w:u w:val="single"/>
        </w:rPr>
        <w:t>qual weighting system</w:t>
      </w:r>
    </w:p>
    <w:p w14:paraId="65B30011" w14:textId="77777777" w:rsidR="006E1000" w:rsidRDefault="006E1000" w:rsidP="006E1000">
      <w:pPr>
        <w:bidi w:val="0"/>
        <w:spacing w:line="480" w:lineRule="auto"/>
        <w:ind w:left="851"/>
        <w:jc w:val="both"/>
        <w:rPr>
          <w:rFonts w:asciiTheme="majorBidi" w:hAnsiTheme="majorBidi" w:cstheme="majorBidi"/>
          <w:sz w:val="24"/>
          <w:szCs w:val="24"/>
        </w:rPr>
      </w:pPr>
      <w:r>
        <w:rPr>
          <w:rFonts w:asciiTheme="majorBidi" w:hAnsiTheme="majorBidi" w:cstheme="majorBidi"/>
          <w:sz w:val="24"/>
          <w:szCs w:val="24"/>
        </w:rPr>
        <w:t>This</w:t>
      </w:r>
      <w:r w:rsidRPr="00BB48CF">
        <w:rPr>
          <w:rFonts w:asciiTheme="majorBidi" w:hAnsiTheme="majorBidi" w:cstheme="majorBidi"/>
          <w:sz w:val="24"/>
          <w:szCs w:val="24"/>
        </w:rPr>
        <w:t xml:space="preserve"> includes a two-stage </w:t>
      </w:r>
      <w:r>
        <w:rPr>
          <w:rFonts w:asciiTheme="majorBidi" w:hAnsiTheme="majorBidi" w:cstheme="majorBidi"/>
          <w:sz w:val="24"/>
          <w:szCs w:val="24"/>
        </w:rPr>
        <w:t>procedure set</w:t>
      </w:r>
      <w:r w:rsidRPr="00BB48CF">
        <w:rPr>
          <w:rFonts w:asciiTheme="majorBidi" w:hAnsiTheme="majorBidi" w:cstheme="majorBidi"/>
          <w:sz w:val="24"/>
          <w:szCs w:val="24"/>
        </w:rPr>
        <w:t xml:space="preserve"> the weights:</w:t>
      </w:r>
    </w:p>
    <w:p w14:paraId="1F167514" w14:textId="77777777" w:rsidR="006E1000" w:rsidRDefault="006E1000" w:rsidP="006E1000">
      <w:pPr>
        <w:pStyle w:val="ListParagraph"/>
        <w:numPr>
          <w:ilvl w:val="0"/>
          <w:numId w:val="5"/>
        </w:numPr>
        <w:autoSpaceDE w:val="0"/>
        <w:autoSpaceDN w:val="0"/>
        <w:bidi w:val="0"/>
        <w:adjustRightInd w:val="0"/>
        <w:spacing w:after="240" w:line="480" w:lineRule="auto"/>
        <w:rPr>
          <w:rFonts w:asciiTheme="majorBidi" w:hAnsiTheme="majorBidi" w:cstheme="majorBidi"/>
          <w:sz w:val="24"/>
          <w:szCs w:val="24"/>
        </w:rPr>
      </w:pPr>
      <w:r>
        <w:rPr>
          <w:rFonts w:asciiTheme="majorBidi" w:hAnsiTheme="majorBidi" w:cstheme="majorBidi"/>
          <w:sz w:val="24"/>
          <w:szCs w:val="24"/>
        </w:rPr>
        <w:t>In t</w:t>
      </w:r>
      <w:r w:rsidRPr="00526E00">
        <w:rPr>
          <w:rFonts w:asciiTheme="majorBidi" w:hAnsiTheme="majorBidi" w:cstheme="majorBidi"/>
          <w:sz w:val="24"/>
          <w:szCs w:val="24"/>
        </w:rPr>
        <w:t xml:space="preserve">he first stage, we </w:t>
      </w:r>
      <w:r>
        <w:rPr>
          <w:rFonts w:asciiTheme="majorBidi" w:hAnsiTheme="majorBidi" w:cstheme="majorBidi"/>
          <w:sz w:val="24"/>
          <w:szCs w:val="24"/>
        </w:rPr>
        <w:t>set</w:t>
      </w:r>
      <w:r w:rsidRPr="00526E00">
        <w:rPr>
          <w:rFonts w:asciiTheme="majorBidi" w:hAnsiTheme="majorBidi" w:cstheme="majorBidi"/>
          <w:sz w:val="24"/>
          <w:szCs w:val="24"/>
        </w:rPr>
        <w:t xml:space="preserve"> </w:t>
      </w:r>
      <w:r>
        <w:rPr>
          <w:rFonts w:asciiTheme="majorBidi" w:hAnsiTheme="majorBidi" w:cstheme="majorBidi"/>
          <w:sz w:val="24"/>
          <w:szCs w:val="24"/>
        </w:rPr>
        <w:t xml:space="preserve">a </w:t>
      </w:r>
      <w:r w:rsidRPr="00526E00">
        <w:rPr>
          <w:rFonts w:asciiTheme="majorBidi" w:hAnsiTheme="majorBidi" w:cstheme="majorBidi"/>
          <w:sz w:val="24"/>
          <w:szCs w:val="24"/>
        </w:rPr>
        <w:t>weight for each indicator in each dimension in an equal manner - that is, if there are 3 indicators</w:t>
      </w:r>
      <w:r>
        <w:rPr>
          <w:rFonts w:asciiTheme="majorBidi" w:hAnsiTheme="majorBidi" w:cstheme="majorBidi"/>
          <w:sz w:val="24"/>
          <w:szCs w:val="24"/>
        </w:rPr>
        <w:t>,</w:t>
      </w:r>
      <w:r w:rsidRPr="00526E00">
        <w:rPr>
          <w:rFonts w:asciiTheme="majorBidi" w:hAnsiTheme="majorBidi" w:cstheme="majorBidi"/>
          <w:sz w:val="24"/>
          <w:szCs w:val="24"/>
        </w:rPr>
        <w:t xml:space="preserve"> each indicator is given a weight of one third</w:t>
      </w:r>
      <w:r>
        <w:rPr>
          <w:rFonts w:asciiTheme="majorBidi" w:hAnsiTheme="majorBidi" w:cstheme="majorBidi"/>
          <w:sz w:val="24"/>
          <w:szCs w:val="24"/>
        </w:rPr>
        <w:t>.</w:t>
      </w:r>
    </w:p>
    <w:p w14:paraId="3B963F22" w14:textId="77777777" w:rsidR="006E1000" w:rsidRDefault="006E1000" w:rsidP="006E1000">
      <w:pPr>
        <w:pStyle w:val="ListParagraph"/>
        <w:numPr>
          <w:ilvl w:val="0"/>
          <w:numId w:val="5"/>
        </w:numPr>
        <w:autoSpaceDE w:val="0"/>
        <w:autoSpaceDN w:val="0"/>
        <w:bidi w:val="0"/>
        <w:adjustRightInd w:val="0"/>
        <w:spacing w:line="480" w:lineRule="auto"/>
        <w:rPr>
          <w:rFonts w:asciiTheme="majorBidi" w:hAnsiTheme="majorBidi" w:cstheme="majorBidi"/>
          <w:sz w:val="24"/>
          <w:szCs w:val="24"/>
        </w:rPr>
      </w:pPr>
      <w:r>
        <w:rPr>
          <w:rFonts w:asciiTheme="majorBidi" w:hAnsiTheme="majorBidi" w:cstheme="majorBidi"/>
          <w:sz w:val="24"/>
          <w:szCs w:val="24"/>
        </w:rPr>
        <w:t>In the second stage, e</w:t>
      </w:r>
      <w:r w:rsidRPr="00D85E6C">
        <w:rPr>
          <w:rFonts w:asciiTheme="majorBidi" w:hAnsiTheme="majorBidi" w:cstheme="majorBidi"/>
          <w:sz w:val="24"/>
          <w:szCs w:val="24"/>
        </w:rPr>
        <w:t>ach dimension was given a weight according to the number of indicators available in it - so that if the index includes 1</w:t>
      </w:r>
      <w:r>
        <w:rPr>
          <w:rFonts w:asciiTheme="majorBidi" w:hAnsiTheme="majorBidi" w:cstheme="majorBidi"/>
          <w:sz w:val="24"/>
          <w:szCs w:val="24"/>
        </w:rPr>
        <w:t>0</w:t>
      </w:r>
      <w:r w:rsidRPr="00D85E6C">
        <w:rPr>
          <w:rFonts w:asciiTheme="majorBidi" w:hAnsiTheme="majorBidi" w:cstheme="majorBidi"/>
          <w:sz w:val="24"/>
          <w:szCs w:val="24"/>
        </w:rPr>
        <w:t xml:space="preserve"> indicators and there are </w:t>
      </w:r>
      <w:r>
        <w:rPr>
          <w:rFonts w:asciiTheme="majorBidi" w:hAnsiTheme="majorBidi" w:cstheme="majorBidi"/>
          <w:sz w:val="24"/>
          <w:szCs w:val="24"/>
        </w:rPr>
        <w:t>4</w:t>
      </w:r>
      <w:r w:rsidRPr="00D85E6C">
        <w:rPr>
          <w:rFonts w:asciiTheme="majorBidi" w:hAnsiTheme="majorBidi" w:cstheme="majorBidi"/>
          <w:sz w:val="24"/>
          <w:szCs w:val="24"/>
        </w:rPr>
        <w:t xml:space="preserve"> dimensions (the index that begins in 1996)</w:t>
      </w:r>
      <w:r>
        <w:rPr>
          <w:rFonts w:asciiTheme="majorBidi" w:hAnsiTheme="majorBidi" w:cstheme="majorBidi"/>
          <w:sz w:val="24"/>
          <w:szCs w:val="24"/>
        </w:rPr>
        <w:t xml:space="preserve">, </w:t>
      </w:r>
      <w:r w:rsidRPr="00D85E6C">
        <w:rPr>
          <w:rFonts w:asciiTheme="majorBidi" w:hAnsiTheme="majorBidi" w:cstheme="majorBidi"/>
          <w:sz w:val="24"/>
          <w:szCs w:val="24"/>
        </w:rPr>
        <w:t>each indicator gets a weight of 1/1</w:t>
      </w:r>
      <w:r>
        <w:rPr>
          <w:rFonts w:asciiTheme="majorBidi" w:hAnsiTheme="majorBidi" w:cstheme="majorBidi"/>
          <w:sz w:val="24"/>
          <w:szCs w:val="24"/>
        </w:rPr>
        <w:t>0</w:t>
      </w:r>
      <w:r w:rsidRPr="00D85E6C">
        <w:rPr>
          <w:rFonts w:asciiTheme="majorBidi" w:hAnsiTheme="majorBidi" w:cstheme="majorBidi"/>
          <w:sz w:val="24"/>
          <w:szCs w:val="24"/>
        </w:rPr>
        <w:t xml:space="preserve">. </w:t>
      </w:r>
      <w:r>
        <w:rPr>
          <w:rFonts w:asciiTheme="majorBidi" w:hAnsiTheme="majorBidi" w:cstheme="majorBidi"/>
          <w:sz w:val="24"/>
          <w:szCs w:val="24"/>
        </w:rPr>
        <w:t>Then the</w:t>
      </w:r>
      <w:r w:rsidRPr="00D85E6C">
        <w:rPr>
          <w:rFonts w:asciiTheme="majorBidi" w:hAnsiTheme="majorBidi" w:cstheme="majorBidi"/>
          <w:sz w:val="24"/>
          <w:szCs w:val="24"/>
        </w:rPr>
        <w:t xml:space="preserve"> weight of </w:t>
      </w:r>
      <w:r>
        <w:rPr>
          <w:rFonts w:asciiTheme="majorBidi" w:hAnsiTheme="majorBidi" w:cstheme="majorBidi"/>
          <w:sz w:val="24"/>
          <w:szCs w:val="24"/>
        </w:rPr>
        <w:t>each</w:t>
      </w:r>
      <w:r w:rsidRPr="00D85E6C">
        <w:rPr>
          <w:rFonts w:asciiTheme="majorBidi" w:hAnsiTheme="majorBidi" w:cstheme="majorBidi"/>
          <w:sz w:val="24"/>
          <w:szCs w:val="24"/>
        </w:rPr>
        <w:t xml:space="preserve"> dimension is the number of indicators present in it multiplied by 1/1</w:t>
      </w:r>
      <w:r>
        <w:rPr>
          <w:rFonts w:asciiTheme="majorBidi" w:hAnsiTheme="majorBidi" w:cstheme="majorBidi"/>
          <w:sz w:val="24"/>
          <w:szCs w:val="24"/>
        </w:rPr>
        <w:t>0</w:t>
      </w:r>
      <w:r w:rsidRPr="00D85E6C">
        <w:rPr>
          <w:rFonts w:asciiTheme="majorBidi" w:hAnsiTheme="majorBidi" w:cstheme="majorBidi"/>
          <w:sz w:val="24"/>
          <w:szCs w:val="24"/>
        </w:rPr>
        <w:t>.</w:t>
      </w:r>
    </w:p>
    <w:p w14:paraId="425FBD46" w14:textId="77777777" w:rsidR="006E1000" w:rsidRDefault="006E1000" w:rsidP="006E1000">
      <w:pPr>
        <w:bidi w:val="0"/>
        <w:spacing w:line="480" w:lineRule="auto"/>
        <w:ind w:left="851"/>
        <w:jc w:val="both"/>
        <w:rPr>
          <w:rFonts w:asciiTheme="majorBidi" w:hAnsiTheme="majorBidi" w:cstheme="majorBidi"/>
          <w:sz w:val="24"/>
          <w:szCs w:val="24"/>
          <w:u w:val="single"/>
        </w:rPr>
      </w:pPr>
    </w:p>
    <w:p w14:paraId="4D87526F" w14:textId="6274AB33" w:rsidR="006E1000" w:rsidRPr="00BB48CF" w:rsidRDefault="006E1000" w:rsidP="006E1000">
      <w:pPr>
        <w:bidi w:val="0"/>
        <w:spacing w:line="480" w:lineRule="auto"/>
        <w:ind w:left="851"/>
        <w:jc w:val="both"/>
        <w:rPr>
          <w:rFonts w:asciiTheme="majorBidi" w:hAnsiTheme="majorBidi" w:cstheme="majorBidi"/>
          <w:sz w:val="24"/>
          <w:szCs w:val="24"/>
          <w:u w:val="single"/>
        </w:rPr>
      </w:pPr>
      <w:r w:rsidRPr="00BB48CF">
        <w:rPr>
          <w:rFonts w:asciiTheme="majorBidi" w:hAnsiTheme="majorBidi" w:cstheme="majorBidi"/>
          <w:sz w:val="24"/>
          <w:szCs w:val="24"/>
          <w:u w:val="single"/>
        </w:rPr>
        <w:t xml:space="preserve">Principal components analysis </w:t>
      </w:r>
    </w:p>
    <w:p w14:paraId="5B724D21" w14:textId="77777777" w:rsidR="006E1000" w:rsidRPr="00BB48CF" w:rsidRDefault="006E1000" w:rsidP="006E1000">
      <w:pPr>
        <w:autoSpaceDE w:val="0"/>
        <w:autoSpaceDN w:val="0"/>
        <w:bidi w:val="0"/>
        <w:adjustRightInd w:val="0"/>
        <w:spacing w:line="480" w:lineRule="auto"/>
        <w:ind w:left="851"/>
        <w:jc w:val="both"/>
        <w:rPr>
          <w:rFonts w:asciiTheme="majorBidi" w:hAnsiTheme="majorBidi" w:cstheme="majorBidi"/>
          <w:sz w:val="24"/>
          <w:szCs w:val="24"/>
        </w:rPr>
      </w:pPr>
      <w:r>
        <w:rPr>
          <w:rFonts w:asciiTheme="majorBidi" w:hAnsiTheme="majorBidi" w:cstheme="majorBidi"/>
          <w:sz w:val="24"/>
          <w:szCs w:val="24"/>
        </w:rPr>
        <w:t>Our approach</w:t>
      </w:r>
      <w:r w:rsidRPr="00BB48CF">
        <w:rPr>
          <w:rFonts w:asciiTheme="majorBidi" w:hAnsiTheme="majorBidi" w:cstheme="majorBidi"/>
          <w:sz w:val="24"/>
          <w:szCs w:val="24"/>
        </w:rPr>
        <w:t xml:space="preserve"> includes a two-stage PCA estimation to </w:t>
      </w:r>
      <w:r>
        <w:rPr>
          <w:rFonts w:asciiTheme="majorBidi" w:hAnsiTheme="majorBidi" w:cstheme="majorBidi"/>
          <w:sz w:val="24"/>
          <w:szCs w:val="24"/>
        </w:rPr>
        <w:t>set</w:t>
      </w:r>
      <w:r w:rsidRPr="00BB48CF">
        <w:rPr>
          <w:rFonts w:asciiTheme="majorBidi" w:hAnsiTheme="majorBidi" w:cstheme="majorBidi"/>
          <w:sz w:val="24"/>
          <w:szCs w:val="24"/>
        </w:rPr>
        <w:t xml:space="preserve"> out the weights: </w:t>
      </w:r>
    </w:p>
    <w:p w14:paraId="4B05DEE7" w14:textId="77777777" w:rsidR="006E1000" w:rsidRPr="00BB48CF" w:rsidRDefault="006E1000" w:rsidP="006E1000">
      <w:pPr>
        <w:pStyle w:val="ListParagraph"/>
        <w:numPr>
          <w:ilvl w:val="0"/>
          <w:numId w:val="5"/>
        </w:numPr>
        <w:autoSpaceDE w:val="0"/>
        <w:autoSpaceDN w:val="0"/>
        <w:bidi w:val="0"/>
        <w:adjustRightInd w:val="0"/>
        <w:spacing w:after="240" w:line="480" w:lineRule="auto"/>
        <w:jc w:val="both"/>
        <w:rPr>
          <w:rFonts w:asciiTheme="majorBidi" w:hAnsiTheme="majorBidi" w:cstheme="majorBidi"/>
          <w:sz w:val="24"/>
          <w:szCs w:val="24"/>
        </w:rPr>
      </w:pPr>
      <w:r>
        <w:rPr>
          <w:rFonts w:asciiTheme="majorBidi" w:hAnsiTheme="majorBidi" w:cstheme="majorBidi"/>
          <w:sz w:val="24"/>
          <w:szCs w:val="24"/>
        </w:rPr>
        <w:t>In t</w:t>
      </w:r>
      <w:r w:rsidRPr="00BB48CF">
        <w:rPr>
          <w:rFonts w:asciiTheme="majorBidi" w:hAnsiTheme="majorBidi" w:cstheme="majorBidi"/>
          <w:sz w:val="24"/>
          <w:szCs w:val="24"/>
        </w:rPr>
        <w:t>he first stage, PCA is applied to each of the dimensions independently, and the implied weights assigned to the indicators are used for constructing a set of dimensional composite indexes.</w:t>
      </w:r>
    </w:p>
    <w:p w14:paraId="3B451DAF" w14:textId="77777777" w:rsidR="006E1000" w:rsidRPr="00BB48CF" w:rsidRDefault="006E1000" w:rsidP="006E1000">
      <w:pPr>
        <w:pStyle w:val="ListParagraph"/>
        <w:numPr>
          <w:ilvl w:val="0"/>
          <w:numId w:val="5"/>
        </w:numPr>
        <w:autoSpaceDE w:val="0"/>
        <w:autoSpaceDN w:val="0"/>
        <w:bidi w:val="0"/>
        <w:adjustRightInd w:val="0"/>
        <w:spacing w:line="480" w:lineRule="auto"/>
        <w:jc w:val="both"/>
        <w:rPr>
          <w:rFonts w:asciiTheme="majorBidi" w:hAnsiTheme="majorBidi" w:cstheme="majorBidi"/>
          <w:sz w:val="24"/>
          <w:szCs w:val="24"/>
        </w:rPr>
      </w:pPr>
      <w:r>
        <w:rPr>
          <w:rFonts w:asciiTheme="majorBidi" w:hAnsiTheme="majorBidi" w:cstheme="majorBidi"/>
          <w:sz w:val="24"/>
          <w:szCs w:val="24"/>
        </w:rPr>
        <w:t>In t</w:t>
      </w:r>
      <w:r w:rsidRPr="00BB48CF">
        <w:rPr>
          <w:rFonts w:asciiTheme="majorBidi" w:hAnsiTheme="majorBidi" w:cstheme="majorBidi"/>
          <w:sz w:val="24"/>
          <w:szCs w:val="24"/>
        </w:rPr>
        <w:t xml:space="preserve">he second stage, PCA is applied again to </w:t>
      </w:r>
      <w:r w:rsidRPr="000D2EDD">
        <w:rPr>
          <w:rFonts w:asciiTheme="majorBidi" w:hAnsiTheme="majorBidi" w:cstheme="majorBidi"/>
          <w:sz w:val="24"/>
          <w:szCs w:val="24"/>
        </w:rPr>
        <w:t>weigh</w:t>
      </w:r>
      <w:r>
        <w:rPr>
          <w:rFonts w:asciiTheme="majorBidi" w:hAnsiTheme="majorBidi" w:cstheme="majorBidi"/>
          <w:sz w:val="24"/>
          <w:szCs w:val="24"/>
        </w:rPr>
        <w:t>t</w:t>
      </w:r>
      <w:r w:rsidRPr="00BB48CF">
        <w:rPr>
          <w:rFonts w:asciiTheme="majorBidi" w:hAnsiTheme="majorBidi" w:cstheme="majorBidi"/>
          <w:sz w:val="24"/>
          <w:szCs w:val="24"/>
        </w:rPr>
        <w:t xml:space="preserve"> the dimensional </w:t>
      </w:r>
      <w:r>
        <w:rPr>
          <w:rFonts w:asciiTheme="majorBidi" w:hAnsiTheme="majorBidi" w:cstheme="majorBidi"/>
          <w:sz w:val="24"/>
          <w:szCs w:val="24"/>
        </w:rPr>
        <w:t>i</w:t>
      </w:r>
      <w:r w:rsidRPr="00786409">
        <w:rPr>
          <w:rFonts w:asciiTheme="majorBidi" w:hAnsiTheme="majorBidi" w:cstheme="majorBidi"/>
          <w:sz w:val="24"/>
          <w:szCs w:val="24"/>
        </w:rPr>
        <w:t>ndices</w:t>
      </w:r>
      <w:r w:rsidRPr="00BB48CF">
        <w:rPr>
          <w:rFonts w:asciiTheme="majorBidi" w:hAnsiTheme="majorBidi" w:cstheme="majorBidi"/>
          <w:sz w:val="24"/>
          <w:szCs w:val="24"/>
        </w:rPr>
        <w:t xml:space="preserve"> to produce an overall index.</w:t>
      </w:r>
    </w:p>
    <w:p w14:paraId="65908D47" w14:textId="77777777" w:rsidR="006E1000" w:rsidRPr="0010600F" w:rsidRDefault="006E1000" w:rsidP="006E1000">
      <w:pPr>
        <w:pStyle w:val="ListParagraph"/>
        <w:bidi w:val="0"/>
        <w:spacing w:line="480" w:lineRule="auto"/>
        <w:ind w:left="792"/>
        <w:jc w:val="both"/>
        <w:rPr>
          <w:rFonts w:asciiTheme="majorBidi" w:hAnsiTheme="majorBidi" w:cstheme="majorBidi"/>
          <w:b/>
          <w:bCs/>
          <w:sz w:val="24"/>
          <w:szCs w:val="24"/>
          <w:u w:val="single"/>
        </w:rPr>
      </w:pPr>
      <w:r w:rsidRPr="0010600F">
        <w:rPr>
          <w:rFonts w:asciiTheme="majorBidi" w:hAnsiTheme="majorBidi" w:cstheme="majorBidi"/>
          <w:b/>
          <w:bCs/>
          <w:sz w:val="24"/>
          <w:szCs w:val="24"/>
          <w:u w:val="single"/>
        </w:rPr>
        <w:t>Aggregation scheme</w:t>
      </w:r>
    </w:p>
    <w:p w14:paraId="0079DCAC" w14:textId="77777777" w:rsidR="00EA380D" w:rsidRDefault="006E1000" w:rsidP="006E1000">
      <w:pPr>
        <w:bidi w:val="0"/>
        <w:spacing w:line="480" w:lineRule="auto"/>
        <w:ind w:left="851"/>
        <w:jc w:val="both"/>
        <w:rPr>
          <w:rFonts w:asciiTheme="majorBidi" w:hAnsiTheme="majorBidi" w:cstheme="majorBidi"/>
          <w:sz w:val="24"/>
          <w:szCs w:val="24"/>
        </w:rPr>
      </w:pPr>
      <w:r w:rsidRPr="007F174C">
        <w:rPr>
          <w:rFonts w:asciiTheme="majorBidi" w:hAnsiTheme="majorBidi" w:cstheme="majorBidi"/>
          <w:sz w:val="24"/>
          <w:szCs w:val="24"/>
        </w:rPr>
        <w:t>Indicators in a composite index can be aggregated using a linear or a geometric aggregation method</w:t>
      </w:r>
      <w:r>
        <w:rPr>
          <w:rFonts w:asciiTheme="majorBidi" w:hAnsiTheme="majorBidi" w:cstheme="majorBidi"/>
          <w:sz w:val="24"/>
          <w:szCs w:val="24"/>
        </w:rPr>
        <w:t xml:space="preserve"> (</w:t>
      </w:r>
      <w:r w:rsidRPr="00773694">
        <w:rPr>
          <w:rFonts w:asciiTheme="majorBidi" w:hAnsiTheme="majorBidi" w:cstheme="majorBidi"/>
          <w:sz w:val="24"/>
          <w:szCs w:val="24"/>
        </w:rPr>
        <w:t>"Handbook on Constructing Composite Indicators" by the OECD (2005)</w:t>
      </w:r>
      <w:r>
        <w:rPr>
          <w:rFonts w:asciiTheme="majorBidi" w:hAnsiTheme="majorBidi" w:cstheme="majorBidi"/>
          <w:sz w:val="24"/>
          <w:szCs w:val="24"/>
        </w:rPr>
        <w:t>)</w:t>
      </w:r>
      <w:r w:rsidRPr="007F174C">
        <w:rPr>
          <w:rFonts w:asciiTheme="majorBidi" w:hAnsiTheme="majorBidi" w:cstheme="majorBidi"/>
          <w:sz w:val="24"/>
          <w:szCs w:val="24"/>
        </w:rPr>
        <w:t xml:space="preserve">. Linear aggregation is an additive method that involves the summation of individual indicators. It ensures full compensability, that is poor performance in some indicators can be compensated by good performance on others. </w:t>
      </w:r>
      <w:r w:rsidRPr="00CD1DB1">
        <w:rPr>
          <w:rFonts w:asciiTheme="majorBidi" w:hAnsiTheme="majorBidi" w:cstheme="majorBidi"/>
          <w:sz w:val="24"/>
          <w:szCs w:val="24"/>
        </w:rPr>
        <w:t xml:space="preserve">The most </w:t>
      </w:r>
      <w:r>
        <w:rPr>
          <w:rFonts w:asciiTheme="majorBidi" w:hAnsiTheme="majorBidi" w:cstheme="majorBidi"/>
          <w:sz w:val="24"/>
          <w:szCs w:val="24"/>
        </w:rPr>
        <w:t xml:space="preserve">widely </w:t>
      </w:r>
      <w:r w:rsidRPr="00CD1DB1">
        <w:rPr>
          <w:rFonts w:asciiTheme="majorBidi" w:hAnsiTheme="majorBidi" w:cstheme="majorBidi"/>
          <w:sz w:val="24"/>
          <w:szCs w:val="24"/>
        </w:rPr>
        <w:t xml:space="preserve">used aggregation techniques are additive techniques. Its advantages are simplicity and independence </w:t>
      </w:r>
      <w:r>
        <w:rPr>
          <w:rFonts w:asciiTheme="majorBidi" w:hAnsiTheme="majorBidi" w:cstheme="majorBidi"/>
          <w:sz w:val="24"/>
          <w:szCs w:val="24"/>
        </w:rPr>
        <w:t>from</w:t>
      </w:r>
      <w:r w:rsidRPr="00AB5263">
        <w:rPr>
          <w:rFonts w:asciiTheme="majorBidi" w:hAnsiTheme="majorBidi" w:cstheme="majorBidi"/>
          <w:sz w:val="24"/>
          <w:szCs w:val="24"/>
        </w:rPr>
        <w:t xml:space="preserve"> the impact of outliers</w:t>
      </w:r>
      <w:r w:rsidRPr="00CD1DB1">
        <w:rPr>
          <w:rFonts w:asciiTheme="majorBidi" w:hAnsiTheme="majorBidi" w:cstheme="majorBidi"/>
          <w:sz w:val="24"/>
          <w:szCs w:val="24"/>
        </w:rPr>
        <w:t>. Its disadvantage is that the method loses the absolute value information.</w:t>
      </w:r>
      <w:r>
        <w:rPr>
          <w:rFonts w:asciiTheme="majorBidi" w:hAnsiTheme="majorBidi" w:cstheme="majorBidi"/>
          <w:sz w:val="24"/>
          <w:szCs w:val="24"/>
        </w:rPr>
        <w:t xml:space="preserve"> </w:t>
      </w:r>
      <w:r w:rsidRPr="007F174C">
        <w:rPr>
          <w:rFonts w:asciiTheme="majorBidi" w:hAnsiTheme="majorBidi" w:cstheme="majorBidi"/>
          <w:sz w:val="24"/>
          <w:szCs w:val="24"/>
        </w:rPr>
        <w:t xml:space="preserve">Geometric aggregation is a multiplicative method, and it involves partial compensability where </w:t>
      </w:r>
      <w:r>
        <w:rPr>
          <w:rFonts w:asciiTheme="majorBidi" w:hAnsiTheme="majorBidi" w:cstheme="majorBidi"/>
          <w:sz w:val="24"/>
          <w:szCs w:val="24"/>
        </w:rPr>
        <w:t>elements</w:t>
      </w:r>
      <w:r w:rsidRPr="007F174C">
        <w:rPr>
          <w:rFonts w:asciiTheme="majorBidi" w:hAnsiTheme="majorBidi" w:cstheme="majorBidi"/>
          <w:sz w:val="24"/>
          <w:szCs w:val="24"/>
        </w:rPr>
        <w:t xml:space="preserve"> with higher scores are given more importance. Given that indicators have been normalized and are on the same scale and that indicators have already been weighted to reflect their importance, a </w:t>
      </w:r>
      <w:r>
        <w:rPr>
          <w:rFonts w:asciiTheme="majorBidi" w:hAnsiTheme="majorBidi" w:cstheme="majorBidi"/>
          <w:sz w:val="24"/>
          <w:szCs w:val="24"/>
        </w:rPr>
        <w:t xml:space="preserve">simple </w:t>
      </w:r>
      <w:r w:rsidRPr="007F174C">
        <w:rPr>
          <w:rFonts w:asciiTheme="majorBidi" w:hAnsiTheme="majorBidi" w:cstheme="majorBidi"/>
          <w:sz w:val="24"/>
          <w:szCs w:val="24"/>
        </w:rPr>
        <w:t xml:space="preserve">linear aggregation method has </w:t>
      </w:r>
      <w:r>
        <w:rPr>
          <w:rFonts w:asciiTheme="majorBidi" w:hAnsiTheme="majorBidi" w:cstheme="majorBidi"/>
          <w:sz w:val="24"/>
          <w:szCs w:val="24"/>
        </w:rPr>
        <w:t xml:space="preserve">been </w:t>
      </w:r>
      <w:r w:rsidRPr="007F174C">
        <w:rPr>
          <w:rFonts w:asciiTheme="majorBidi" w:hAnsiTheme="majorBidi" w:cstheme="majorBidi"/>
          <w:sz w:val="24"/>
          <w:szCs w:val="24"/>
        </w:rPr>
        <w:t>used.</w:t>
      </w:r>
    </w:p>
    <w:p w14:paraId="271658BE" w14:textId="77777777" w:rsidR="00EA380D" w:rsidRDefault="00EA380D" w:rsidP="00EA380D">
      <w:pPr>
        <w:bidi w:val="0"/>
        <w:spacing w:line="480" w:lineRule="auto"/>
        <w:ind w:left="851"/>
        <w:jc w:val="both"/>
        <w:rPr>
          <w:rFonts w:asciiTheme="majorBidi" w:hAnsiTheme="majorBidi" w:cstheme="majorBidi"/>
          <w:sz w:val="24"/>
          <w:szCs w:val="24"/>
        </w:rPr>
      </w:pPr>
    </w:p>
    <w:p w14:paraId="71C05EE3" w14:textId="77777777" w:rsidR="00EA380D" w:rsidRDefault="00EA380D" w:rsidP="00EA380D">
      <w:pPr>
        <w:bidi w:val="0"/>
        <w:spacing w:line="480" w:lineRule="auto"/>
        <w:ind w:left="851"/>
        <w:jc w:val="both"/>
        <w:rPr>
          <w:rFonts w:asciiTheme="majorBidi" w:hAnsiTheme="majorBidi" w:cstheme="majorBidi"/>
          <w:sz w:val="24"/>
          <w:szCs w:val="24"/>
        </w:rPr>
      </w:pPr>
    </w:p>
    <w:p w14:paraId="21B3B6CC" w14:textId="77777777" w:rsidR="00EA380D" w:rsidRDefault="00EA380D" w:rsidP="00EA380D">
      <w:pPr>
        <w:bidi w:val="0"/>
        <w:spacing w:line="480" w:lineRule="auto"/>
        <w:ind w:left="851"/>
        <w:jc w:val="both"/>
        <w:rPr>
          <w:rFonts w:asciiTheme="majorBidi" w:hAnsiTheme="majorBidi" w:cstheme="majorBidi"/>
          <w:sz w:val="24"/>
          <w:szCs w:val="24"/>
        </w:rPr>
      </w:pPr>
    </w:p>
    <w:p w14:paraId="7588BA4D" w14:textId="4106172B" w:rsidR="006E1000" w:rsidRDefault="006E1000" w:rsidP="00EA380D">
      <w:pPr>
        <w:bidi w:val="0"/>
        <w:spacing w:line="480" w:lineRule="auto"/>
        <w:ind w:left="851"/>
        <w:jc w:val="both"/>
        <w:rPr>
          <w:rFonts w:asciiTheme="majorBidi" w:hAnsiTheme="majorBidi" w:cstheme="majorBidi"/>
          <w:sz w:val="24"/>
          <w:szCs w:val="24"/>
        </w:rPr>
      </w:pPr>
      <w:r w:rsidRPr="007F174C">
        <w:rPr>
          <w:rFonts w:asciiTheme="majorBidi" w:hAnsiTheme="majorBidi" w:cstheme="majorBidi"/>
          <w:sz w:val="24"/>
          <w:szCs w:val="24"/>
        </w:rPr>
        <w:t xml:space="preserve"> </w:t>
      </w:r>
    </w:p>
    <w:p w14:paraId="19601030" w14:textId="77777777" w:rsidR="006E1000" w:rsidRDefault="006E1000" w:rsidP="006E1000">
      <w:pPr>
        <w:pStyle w:val="ListParagraph"/>
        <w:numPr>
          <w:ilvl w:val="1"/>
          <w:numId w:val="3"/>
        </w:numPr>
        <w:autoSpaceDE w:val="0"/>
        <w:autoSpaceDN w:val="0"/>
        <w:bidi w:val="0"/>
        <w:adjustRightInd w:val="0"/>
        <w:spacing w:after="240" w:line="480" w:lineRule="auto"/>
        <w:jc w:val="both"/>
        <w:rPr>
          <w:rFonts w:ascii="Times New Roman" w:hAnsi="Times New Roman" w:cs="David"/>
          <w:b/>
          <w:bCs/>
          <w:sz w:val="24"/>
          <w:szCs w:val="24"/>
        </w:rPr>
      </w:pPr>
      <w:r w:rsidRPr="004B061B">
        <w:rPr>
          <w:rFonts w:ascii="Times New Roman" w:hAnsi="Times New Roman" w:cs="David"/>
          <w:b/>
          <w:bCs/>
          <w:sz w:val="24"/>
          <w:szCs w:val="24"/>
        </w:rPr>
        <w:t>Results</w:t>
      </w:r>
    </w:p>
    <w:p w14:paraId="1559D0CA" w14:textId="77777777" w:rsidR="006E1000" w:rsidRDefault="006E1000" w:rsidP="006E1000">
      <w:pPr>
        <w:pStyle w:val="ListParagraph"/>
        <w:bidi w:val="0"/>
        <w:spacing w:line="480" w:lineRule="auto"/>
        <w:ind w:left="790"/>
        <w:jc w:val="both"/>
        <w:rPr>
          <w:rFonts w:ascii="Times New Roman" w:hAnsi="Times New Roman" w:cs="David"/>
          <w:sz w:val="24"/>
          <w:szCs w:val="24"/>
          <w:rtl/>
        </w:rPr>
      </w:pPr>
      <w:r>
        <w:rPr>
          <w:rFonts w:ascii="Times New Roman" w:hAnsi="Times New Roman" w:cs="David" w:hint="cs"/>
          <w:sz w:val="24"/>
          <w:szCs w:val="24"/>
        </w:rPr>
        <w:t>W</w:t>
      </w:r>
      <w:r w:rsidRPr="00CC09B8">
        <w:rPr>
          <w:rFonts w:ascii="Times New Roman" w:hAnsi="Times New Roman" w:cs="David"/>
          <w:sz w:val="24"/>
          <w:szCs w:val="24"/>
        </w:rPr>
        <w:t xml:space="preserve">e have created 4 indices starting in different years (1968, 1996, 2000 and 2010). As mentioned, each index contains different number </w:t>
      </w:r>
      <w:r>
        <w:rPr>
          <w:rFonts w:ascii="Times New Roman" w:hAnsi="Times New Roman" w:cs="David"/>
          <w:sz w:val="24"/>
          <w:szCs w:val="24"/>
        </w:rPr>
        <w:t xml:space="preserve">of </w:t>
      </w:r>
      <w:r w:rsidRPr="00CC09B8">
        <w:rPr>
          <w:rFonts w:ascii="Times New Roman" w:hAnsi="Times New Roman" w:cs="David"/>
          <w:sz w:val="24"/>
          <w:szCs w:val="24"/>
        </w:rPr>
        <w:t>indicators.</w:t>
      </w:r>
    </w:p>
    <w:p w14:paraId="31AB9692" w14:textId="77777777" w:rsidR="006E1000" w:rsidRDefault="006E1000" w:rsidP="006E1000">
      <w:pPr>
        <w:pStyle w:val="ListParagraph"/>
        <w:bidi w:val="0"/>
        <w:spacing w:line="480" w:lineRule="auto"/>
        <w:ind w:left="790"/>
        <w:jc w:val="both"/>
        <w:rPr>
          <w:rFonts w:ascii="Times New Roman" w:hAnsi="Times New Roman" w:cs="David"/>
          <w:sz w:val="24"/>
          <w:szCs w:val="24"/>
        </w:rPr>
      </w:pPr>
      <w:r>
        <w:rPr>
          <w:rFonts w:ascii="Times New Roman" w:hAnsi="Times New Roman" w:cs="David"/>
          <w:sz w:val="24"/>
          <w:szCs w:val="24"/>
        </w:rPr>
        <w:t>Below are</w:t>
      </w:r>
      <w:r w:rsidRPr="007D205E">
        <w:rPr>
          <w:rFonts w:ascii="Times New Roman" w:hAnsi="Times New Roman" w:cs="David"/>
          <w:sz w:val="24"/>
          <w:szCs w:val="24"/>
        </w:rPr>
        <w:t xml:space="preserve"> the results of the indices according to the different dimensions and their contribution to the aggregate index</w:t>
      </w:r>
      <w:r>
        <w:rPr>
          <w:rFonts w:ascii="Times New Roman" w:hAnsi="Times New Roman" w:cs="David"/>
          <w:sz w:val="24"/>
          <w:szCs w:val="24"/>
        </w:rPr>
        <w:t xml:space="preserve">. </w:t>
      </w:r>
      <w:r w:rsidRPr="00394EDA">
        <w:rPr>
          <w:rFonts w:ascii="Times New Roman" w:hAnsi="Times New Roman" w:cs="David"/>
          <w:sz w:val="24"/>
          <w:szCs w:val="24"/>
        </w:rPr>
        <w:t>In each section we describe the composition of the index (dimensions, indicators and weights), the overall result, the result at the level of the dimensions and the contribution of the various dimensions to the integration index.</w:t>
      </w:r>
    </w:p>
    <w:p w14:paraId="1EBC39EE" w14:textId="77777777" w:rsidR="006E1000" w:rsidRDefault="006E1000" w:rsidP="006E1000">
      <w:pPr>
        <w:pStyle w:val="ListParagraph"/>
        <w:numPr>
          <w:ilvl w:val="2"/>
          <w:numId w:val="3"/>
        </w:numPr>
        <w:bidi w:val="0"/>
        <w:spacing w:line="480" w:lineRule="auto"/>
        <w:rPr>
          <w:rFonts w:ascii="Times New Roman" w:hAnsi="Times New Roman" w:cs="David"/>
          <w:b/>
          <w:bCs/>
          <w:sz w:val="24"/>
          <w:szCs w:val="24"/>
        </w:rPr>
      </w:pPr>
      <w:r>
        <w:rPr>
          <w:rFonts w:ascii="Times New Roman" w:hAnsi="Times New Roman" w:cs="David"/>
          <w:b/>
          <w:bCs/>
          <w:sz w:val="24"/>
          <w:szCs w:val="24"/>
        </w:rPr>
        <w:t>ISR-WBG-II 1968-2019</w:t>
      </w:r>
    </w:p>
    <w:p w14:paraId="36071F9A" w14:textId="77777777" w:rsidR="006E1000" w:rsidRDefault="006E1000" w:rsidP="006E1000">
      <w:pPr>
        <w:pStyle w:val="ListParagraph"/>
        <w:bidi w:val="0"/>
        <w:spacing w:line="480" w:lineRule="auto"/>
        <w:ind w:left="1400"/>
        <w:rPr>
          <w:rFonts w:ascii="Times New Roman" w:hAnsi="Times New Roman" w:cs="David"/>
          <w:b/>
          <w:bCs/>
          <w:sz w:val="24"/>
          <w:szCs w:val="24"/>
        </w:rPr>
      </w:pPr>
      <w:r>
        <w:rPr>
          <w:rFonts w:ascii="Times New Roman" w:hAnsi="Times New Roman" w:cs="David"/>
          <w:b/>
          <w:bCs/>
          <w:sz w:val="24"/>
          <w:szCs w:val="24"/>
        </w:rPr>
        <w:t>Table 2 -</w:t>
      </w:r>
      <w:r w:rsidRPr="00B37731">
        <w:t xml:space="preserve"> </w:t>
      </w:r>
      <w:r w:rsidRPr="00B37731">
        <w:rPr>
          <w:rFonts w:ascii="Times New Roman" w:hAnsi="Times New Roman" w:cs="David"/>
          <w:b/>
          <w:bCs/>
          <w:sz w:val="24"/>
          <w:szCs w:val="24"/>
        </w:rPr>
        <w:t>Dimensions, indicators and weights</w:t>
      </w:r>
      <w:r>
        <w:rPr>
          <w:rFonts w:ascii="Times New Roman" w:hAnsi="Times New Roman" w:cs="David" w:hint="cs"/>
          <w:b/>
          <w:bCs/>
          <w:sz w:val="24"/>
          <w:szCs w:val="24"/>
          <w:rtl/>
        </w:rPr>
        <w:t xml:space="preserve"> </w:t>
      </w:r>
      <w:r>
        <w:rPr>
          <w:rFonts w:ascii="Times New Roman" w:hAnsi="Times New Roman" w:cs="David"/>
          <w:b/>
          <w:bCs/>
          <w:sz w:val="24"/>
          <w:szCs w:val="24"/>
        </w:rPr>
        <w:t>1968-2019</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376"/>
        <w:gridCol w:w="1096"/>
        <w:gridCol w:w="1219"/>
      </w:tblGrid>
      <w:tr w:rsidR="006E1000" w:rsidRPr="00E963C7" w14:paraId="2E72E862" w14:textId="77777777" w:rsidTr="004831C9">
        <w:trPr>
          <w:trHeight w:val="300"/>
        </w:trPr>
        <w:tc>
          <w:tcPr>
            <w:tcW w:w="1252" w:type="dxa"/>
            <w:shd w:val="clear" w:color="auto" w:fill="auto"/>
            <w:noWrap/>
            <w:vAlign w:val="bottom"/>
            <w:hideMark/>
          </w:tcPr>
          <w:p w14:paraId="4A541D01"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Dimension</w:t>
            </w:r>
          </w:p>
        </w:tc>
        <w:tc>
          <w:tcPr>
            <w:tcW w:w="5376" w:type="dxa"/>
            <w:shd w:val="clear" w:color="auto" w:fill="auto"/>
            <w:noWrap/>
            <w:vAlign w:val="bottom"/>
            <w:hideMark/>
          </w:tcPr>
          <w:p w14:paraId="17E982D6"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Indicator</w:t>
            </w:r>
          </w:p>
        </w:tc>
        <w:tc>
          <w:tcPr>
            <w:tcW w:w="964" w:type="dxa"/>
            <w:shd w:val="clear" w:color="auto" w:fill="auto"/>
            <w:noWrap/>
            <w:vAlign w:val="bottom"/>
            <w:hideMark/>
          </w:tcPr>
          <w:p w14:paraId="744D0C8D"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Indicator weight</w:t>
            </w:r>
          </w:p>
        </w:tc>
        <w:tc>
          <w:tcPr>
            <w:tcW w:w="1106" w:type="dxa"/>
            <w:shd w:val="clear" w:color="auto" w:fill="auto"/>
            <w:noWrap/>
            <w:vAlign w:val="bottom"/>
            <w:hideMark/>
          </w:tcPr>
          <w:p w14:paraId="4AE781FF"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Dimension weight</w:t>
            </w:r>
          </w:p>
        </w:tc>
      </w:tr>
      <w:tr w:rsidR="006E1000" w:rsidRPr="00E963C7" w14:paraId="6BE9A14F" w14:textId="77777777" w:rsidTr="004831C9">
        <w:trPr>
          <w:trHeight w:val="300"/>
        </w:trPr>
        <w:tc>
          <w:tcPr>
            <w:tcW w:w="1252" w:type="dxa"/>
            <w:vMerge w:val="restart"/>
            <w:shd w:val="clear" w:color="auto" w:fill="auto"/>
            <w:noWrap/>
            <w:vAlign w:val="center"/>
            <w:hideMark/>
          </w:tcPr>
          <w:p w14:paraId="0949BBCA"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Trade</w:t>
            </w:r>
          </w:p>
        </w:tc>
        <w:tc>
          <w:tcPr>
            <w:tcW w:w="5376" w:type="dxa"/>
            <w:shd w:val="clear" w:color="auto" w:fill="auto"/>
            <w:noWrap/>
            <w:vAlign w:val="bottom"/>
            <w:hideMark/>
          </w:tcPr>
          <w:p w14:paraId="6CB5F318"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Palestinian exports of goods and services to Israel out of total Palestinian exports</w:t>
            </w:r>
          </w:p>
        </w:tc>
        <w:tc>
          <w:tcPr>
            <w:tcW w:w="964" w:type="dxa"/>
            <w:shd w:val="clear" w:color="auto" w:fill="auto"/>
            <w:noWrap/>
            <w:vAlign w:val="center"/>
            <w:hideMark/>
          </w:tcPr>
          <w:p w14:paraId="1B3BE133"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50.00%</w:t>
            </w:r>
          </w:p>
        </w:tc>
        <w:tc>
          <w:tcPr>
            <w:tcW w:w="1106" w:type="dxa"/>
            <w:vMerge w:val="restart"/>
            <w:shd w:val="clear" w:color="auto" w:fill="auto"/>
            <w:noWrap/>
            <w:vAlign w:val="center"/>
            <w:hideMark/>
          </w:tcPr>
          <w:p w14:paraId="633B1035"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33.33%</w:t>
            </w:r>
          </w:p>
        </w:tc>
      </w:tr>
      <w:tr w:rsidR="006E1000" w:rsidRPr="00E963C7" w14:paraId="3F93757F" w14:textId="77777777" w:rsidTr="004831C9">
        <w:trPr>
          <w:trHeight w:val="300"/>
        </w:trPr>
        <w:tc>
          <w:tcPr>
            <w:tcW w:w="1252" w:type="dxa"/>
            <w:vMerge/>
            <w:vAlign w:val="center"/>
            <w:hideMark/>
          </w:tcPr>
          <w:p w14:paraId="7CDE4EA7" w14:textId="77777777" w:rsidR="006E1000" w:rsidRPr="00E963C7" w:rsidRDefault="006E1000" w:rsidP="004831C9">
            <w:pPr>
              <w:bidi w:val="0"/>
              <w:jc w:val="center"/>
              <w:rPr>
                <w:rFonts w:asciiTheme="majorBidi" w:hAnsiTheme="majorBidi" w:cstheme="majorBidi"/>
                <w:color w:val="000000"/>
              </w:rPr>
            </w:pPr>
          </w:p>
        </w:tc>
        <w:tc>
          <w:tcPr>
            <w:tcW w:w="5376" w:type="dxa"/>
            <w:shd w:val="clear" w:color="auto" w:fill="auto"/>
            <w:noWrap/>
            <w:vAlign w:val="bottom"/>
            <w:hideMark/>
          </w:tcPr>
          <w:p w14:paraId="777C5FB7"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Palestinian imports of goods and services from Israel out of total Palestinian imports</w:t>
            </w:r>
          </w:p>
        </w:tc>
        <w:tc>
          <w:tcPr>
            <w:tcW w:w="964" w:type="dxa"/>
            <w:shd w:val="clear" w:color="auto" w:fill="auto"/>
            <w:noWrap/>
            <w:vAlign w:val="center"/>
            <w:hideMark/>
          </w:tcPr>
          <w:p w14:paraId="7970E3D7"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50.00%</w:t>
            </w:r>
          </w:p>
        </w:tc>
        <w:tc>
          <w:tcPr>
            <w:tcW w:w="1106" w:type="dxa"/>
            <w:vMerge/>
            <w:vAlign w:val="center"/>
            <w:hideMark/>
          </w:tcPr>
          <w:p w14:paraId="7AE1B2C0" w14:textId="77777777" w:rsidR="006E1000" w:rsidRPr="00E963C7" w:rsidRDefault="006E1000" w:rsidP="004831C9">
            <w:pPr>
              <w:bidi w:val="0"/>
              <w:jc w:val="center"/>
              <w:rPr>
                <w:rFonts w:asciiTheme="majorBidi" w:hAnsiTheme="majorBidi" w:cstheme="majorBidi"/>
                <w:color w:val="000000"/>
              </w:rPr>
            </w:pPr>
          </w:p>
        </w:tc>
      </w:tr>
      <w:tr w:rsidR="006E1000" w:rsidRPr="00E963C7" w14:paraId="7F19F856" w14:textId="77777777" w:rsidTr="004831C9">
        <w:trPr>
          <w:trHeight w:val="300"/>
        </w:trPr>
        <w:tc>
          <w:tcPr>
            <w:tcW w:w="1252" w:type="dxa"/>
            <w:vMerge w:val="restart"/>
            <w:shd w:val="clear" w:color="auto" w:fill="auto"/>
            <w:noWrap/>
            <w:vAlign w:val="center"/>
            <w:hideMark/>
          </w:tcPr>
          <w:p w14:paraId="170F6BD2"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Employment</w:t>
            </w:r>
          </w:p>
        </w:tc>
        <w:tc>
          <w:tcPr>
            <w:tcW w:w="5376" w:type="dxa"/>
            <w:shd w:val="clear" w:color="auto" w:fill="auto"/>
            <w:noWrap/>
            <w:vAlign w:val="bottom"/>
            <w:hideMark/>
          </w:tcPr>
          <w:p w14:paraId="45A8133B"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 xml:space="preserve">Palestinians employed in Israel out of total Palestinian individuals employed </w:t>
            </w:r>
          </w:p>
        </w:tc>
        <w:tc>
          <w:tcPr>
            <w:tcW w:w="964" w:type="dxa"/>
            <w:shd w:val="clear" w:color="auto" w:fill="auto"/>
            <w:noWrap/>
            <w:vAlign w:val="center"/>
            <w:hideMark/>
          </w:tcPr>
          <w:p w14:paraId="5BF6A442"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50.00%</w:t>
            </w:r>
          </w:p>
        </w:tc>
        <w:tc>
          <w:tcPr>
            <w:tcW w:w="1106" w:type="dxa"/>
            <w:vMerge w:val="restart"/>
            <w:shd w:val="clear" w:color="auto" w:fill="auto"/>
            <w:noWrap/>
            <w:vAlign w:val="center"/>
            <w:hideMark/>
          </w:tcPr>
          <w:p w14:paraId="20087269"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33.33%</w:t>
            </w:r>
          </w:p>
        </w:tc>
      </w:tr>
      <w:tr w:rsidR="006E1000" w:rsidRPr="00E963C7" w14:paraId="40F458D8" w14:textId="77777777" w:rsidTr="004831C9">
        <w:trPr>
          <w:trHeight w:val="300"/>
        </w:trPr>
        <w:tc>
          <w:tcPr>
            <w:tcW w:w="1252" w:type="dxa"/>
            <w:vMerge/>
            <w:vAlign w:val="center"/>
            <w:hideMark/>
          </w:tcPr>
          <w:p w14:paraId="22590569" w14:textId="77777777" w:rsidR="006E1000" w:rsidRPr="00E963C7" w:rsidRDefault="006E1000" w:rsidP="004831C9">
            <w:pPr>
              <w:bidi w:val="0"/>
              <w:jc w:val="center"/>
              <w:rPr>
                <w:rFonts w:asciiTheme="majorBidi" w:hAnsiTheme="majorBidi" w:cstheme="majorBidi"/>
                <w:color w:val="000000"/>
              </w:rPr>
            </w:pPr>
          </w:p>
        </w:tc>
        <w:tc>
          <w:tcPr>
            <w:tcW w:w="5376" w:type="dxa"/>
            <w:shd w:val="clear" w:color="auto" w:fill="auto"/>
            <w:noWrap/>
            <w:vAlign w:val="bottom"/>
            <w:hideMark/>
          </w:tcPr>
          <w:p w14:paraId="4C3164E3"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Remittances of Palestinians workers in Israel out of WBG GNI</w:t>
            </w:r>
          </w:p>
        </w:tc>
        <w:tc>
          <w:tcPr>
            <w:tcW w:w="964" w:type="dxa"/>
            <w:shd w:val="clear" w:color="auto" w:fill="auto"/>
            <w:noWrap/>
            <w:vAlign w:val="center"/>
            <w:hideMark/>
          </w:tcPr>
          <w:p w14:paraId="1DF826D8"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50.00%</w:t>
            </w:r>
          </w:p>
        </w:tc>
        <w:tc>
          <w:tcPr>
            <w:tcW w:w="1106" w:type="dxa"/>
            <w:vMerge/>
            <w:vAlign w:val="center"/>
            <w:hideMark/>
          </w:tcPr>
          <w:p w14:paraId="53F6DFCB" w14:textId="77777777" w:rsidR="006E1000" w:rsidRPr="00E963C7" w:rsidRDefault="006E1000" w:rsidP="004831C9">
            <w:pPr>
              <w:bidi w:val="0"/>
              <w:jc w:val="center"/>
              <w:rPr>
                <w:rFonts w:asciiTheme="majorBidi" w:hAnsiTheme="majorBidi" w:cstheme="majorBidi"/>
                <w:color w:val="000000"/>
              </w:rPr>
            </w:pPr>
          </w:p>
        </w:tc>
      </w:tr>
      <w:tr w:rsidR="006E1000" w:rsidRPr="00E963C7" w14:paraId="0C00DA5B" w14:textId="77777777" w:rsidTr="004831C9">
        <w:trPr>
          <w:trHeight w:val="300"/>
        </w:trPr>
        <w:tc>
          <w:tcPr>
            <w:tcW w:w="1252" w:type="dxa"/>
            <w:vMerge w:val="restart"/>
            <w:shd w:val="clear" w:color="auto" w:fill="auto"/>
            <w:noWrap/>
            <w:vAlign w:val="center"/>
            <w:hideMark/>
          </w:tcPr>
          <w:p w14:paraId="79013819"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Wealth and standard of living</w:t>
            </w:r>
          </w:p>
        </w:tc>
        <w:tc>
          <w:tcPr>
            <w:tcW w:w="5376" w:type="dxa"/>
            <w:shd w:val="clear" w:color="auto" w:fill="auto"/>
            <w:noWrap/>
            <w:vAlign w:val="bottom"/>
            <w:hideMark/>
          </w:tcPr>
          <w:p w14:paraId="3ED20AEC"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 xml:space="preserve">GDP per Capita ratio </w:t>
            </w:r>
          </w:p>
        </w:tc>
        <w:tc>
          <w:tcPr>
            <w:tcW w:w="964" w:type="dxa"/>
            <w:shd w:val="clear" w:color="auto" w:fill="auto"/>
            <w:noWrap/>
            <w:vAlign w:val="center"/>
            <w:hideMark/>
          </w:tcPr>
          <w:p w14:paraId="1AF9D2AF"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50.00%</w:t>
            </w:r>
          </w:p>
        </w:tc>
        <w:tc>
          <w:tcPr>
            <w:tcW w:w="1106" w:type="dxa"/>
            <w:vMerge w:val="restart"/>
            <w:shd w:val="clear" w:color="auto" w:fill="auto"/>
            <w:noWrap/>
            <w:vAlign w:val="center"/>
            <w:hideMark/>
          </w:tcPr>
          <w:p w14:paraId="7D1439F8"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33.33%</w:t>
            </w:r>
          </w:p>
        </w:tc>
      </w:tr>
      <w:tr w:rsidR="006E1000" w:rsidRPr="00E963C7" w14:paraId="0C121610" w14:textId="77777777" w:rsidTr="004831C9">
        <w:trPr>
          <w:trHeight w:val="300"/>
        </w:trPr>
        <w:tc>
          <w:tcPr>
            <w:tcW w:w="1252" w:type="dxa"/>
            <w:vMerge/>
            <w:vAlign w:val="center"/>
            <w:hideMark/>
          </w:tcPr>
          <w:p w14:paraId="17C580E5" w14:textId="77777777" w:rsidR="006E1000" w:rsidRPr="00E963C7" w:rsidRDefault="006E1000" w:rsidP="004831C9">
            <w:pPr>
              <w:bidi w:val="0"/>
              <w:rPr>
                <w:rFonts w:asciiTheme="majorBidi" w:hAnsiTheme="majorBidi" w:cstheme="majorBidi"/>
                <w:color w:val="000000"/>
              </w:rPr>
            </w:pPr>
          </w:p>
        </w:tc>
        <w:tc>
          <w:tcPr>
            <w:tcW w:w="5376" w:type="dxa"/>
            <w:shd w:val="clear" w:color="auto" w:fill="auto"/>
            <w:noWrap/>
            <w:vAlign w:val="bottom"/>
            <w:hideMark/>
          </w:tcPr>
          <w:p w14:paraId="0EEE8EA3"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Daily Wage ratio</w:t>
            </w:r>
          </w:p>
        </w:tc>
        <w:tc>
          <w:tcPr>
            <w:tcW w:w="964" w:type="dxa"/>
            <w:shd w:val="clear" w:color="auto" w:fill="auto"/>
            <w:noWrap/>
            <w:vAlign w:val="center"/>
            <w:hideMark/>
          </w:tcPr>
          <w:p w14:paraId="70E2B497"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50.00%</w:t>
            </w:r>
          </w:p>
        </w:tc>
        <w:tc>
          <w:tcPr>
            <w:tcW w:w="1106" w:type="dxa"/>
            <w:vMerge/>
            <w:vAlign w:val="center"/>
            <w:hideMark/>
          </w:tcPr>
          <w:p w14:paraId="4436F998" w14:textId="77777777" w:rsidR="006E1000" w:rsidRPr="00E963C7" w:rsidRDefault="006E1000" w:rsidP="004831C9">
            <w:pPr>
              <w:bidi w:val="0"/>
              <w:jc w:val="center"/>
              <w:rPr>
                <w:rFonts w:asciiTheme="majorBidi" w:hAnsiTheme="majorBidi" w:cstheme="majorBidi"/>
                <w:color w:val="000000"/>
              </w:rPr>
            </w:pPr>
          </w:p>
        </w:tc>
      </w:tr>
    </w:tbl>
    <w:p w14:paraId="2CE50F1F" w14:textId="77777777" w:rsidR="006E1000" w:rsidRDefault="006E1000" w:rsidP="006E1000">
      <w:pPr>
        <w:pStyle w:val="ListParagraph"/>
        <w:bidi w:val="0"/>
        <w:spacing w:line="480" w:lineRule="auto"/>
        <w:rPr>
          <w:rFonts w:ascii="Times New Roman" w:hAnsi="Times New Roman" w:cs="David"/>
          <w:sz w:val="24"/>
          <w:szCs w:val="24"/>
          <w:rtl/>
        </w:rPr>
      </w:pPr>
    </w:p>
    <w:p w14:paraId="6A81F1A6" w14:textId="77777777" w:rsidR="006E1000" w:rsidRDefault="006E1000" w:rsidP="006E1000">
      <w:pPr>
        <w:pStyle w:val="ListParagraph"/>
        <w:bidi w:val="0"/>
        <w:spacing w:line="480" w:lineRule="auto"/>
        <w:ind w:left="0"/>
        <w:rPr>
          <w:rFonts w:ascii="Times New Roman" w:hAnsi="Times New Roman" w:cs="David"/>
          <w:sz w:val="24"/>
          <w:szCs w:val="24"/>
        </w:rPr>
      </w:pPr>
      <w:r>
        <w:rPr>
          <w:rFonts w:ascii="Times New Roman" w:hAnsi="Times New Roman" w:cs="David"/>
          <w:sz w:val="24"/>
          <w:szCs w:val="24"/>
        </w:rPr>
        <w:t xml:space="preserve">Number of dimensions: </w:t>
      </w:r>
      <w:r>
        <w:rPr>
          <w:rFonts w:ascii="Times New Roman" w:hAnsi="Times New Roman" w:cs="David" w:hint="cs"/>
          <w:sz w:val="24"/>
          <w:szCs w:val="24"/>
          <w:rtl/>
        </w:rPr>
        <w:t>3</w:t>
      </w:r>
    </w:p>
    <w:p w14:paraId="162061E5" w14:textId="77777777" w:rsidR="006E1000" w:rsidRDefault="006E1000" w:rsidP="006E1000">
      <w:pPr>
        <w:pStyle w:val="ListParagraph"/>
        <w:bidi w:val="0"/>
        <w:spacing w:line="480" w:lineRule="auto"/>
        <w:ind w:left="0"/>
        <w:rPr>
          <w:rFonts w:ascii="Times New Roman" w:hAnsi="Times New Roman" w:cs="David"/>
          <w:sz w:val="24"/>
          <w:szCs w:val="24"/>
        </w:rPr>
      </w:pPr>
      <w:r>
        <w:rPr>
          <w:rFonts w:ascii="Times New Roman" w:hAnsi="Times New Roman" w:cs="David"/>
          <w:sz w:val="24"/>
          <w:szCs w:val="24"/>
        </w:rPr>
        <w:t xml:space="preserve">Number of indicators: </w:t>
      </w:r>
      <w:r>
        <w:rPr>
          <w:rFonts w:ascii="Times New Roman" w:hAnsi="Times New Roman" w:cs="David" w:hint="cs"/>
          <w:sz w:val="24"/>
          <w:szCs w:val="24"/>
          <w:rtl/>
        </w:rPr>
        <w:t>6</w:t>
      </w:r>
    </w:p>
    <w:p w14:paraId="735859F1" w14:textId="77777777" w:rsidR="006E1000" w:rsidRPr="00A877B8" w:rsidRDefault="006E1000" w:rsidP="006E1000">
      <w:pPr>
        <w:bidi w:val="0"/>
        <w:spacing w:line="480" w:lineRule="auto"/>
        <w:ind w:left="-720" w:firstLine="720"/>
        <w:rPr>
          <w:rFonts w:asciiTheme="majorBidi" w:hAnsiTheme="majorBidi" w:cstheme="majorBidi"/>
          <w:sz w:val="24"/>
          <w:szCs w:val="24"/>
        </w:rPr>
      </w:pPr>
      <w:r w:rsidRPr="00A877B8">
        <w:rPr>
          <w:rFonts w:ascii="Times New Roman" w:hAnsi="Times New Roman" w:cs="David"/>
          <w:sz w:val="24"/>
          <w:szCs w:val="24"/>
        </w:rPr>
        <w:t xml:space="preserve">The weighting technique - </w:t>
      </w:r>
      <w:r w:rsidRPr="00A877B8">
        <w:rPr>
          <w:rFonts w:asciiTheme="majorBidi" w:hAnsiTheme="majorBidi" w:cstheme="majorBidi"/>
          <w:sz w:val="24"/>
          <w:szCs w:val="24"/>
        </w:rPr>
        <w:t>Equal weighting system</w:t>
      </w:r>
    </w:p>
    <w:p w14:paraId="55C789B0" w14:textId="77777777" w:rsidR="00EA380D" w:rsidRDefault="00EA380D" w:rsidP="006E1000">
      <w:pPr>
        <w:pStyle w:val="ListParagraph"/>
        <w:bidi w:val="0"/>
        <w:spacing w:line="276" w:lineRule="auto"/>
        <w:ind w:left="0"/>
        <w:jc w:val="center"/>
        <w:rPr>
          <w:rFonts w:ascii="Times New Roman" w:hAnsi="Times New Roman" w:cs="David"/>
          <w:b/>
          <w:bCs/>
          <w:sz w:val="24"/>
          <w:szCs w:val="24"/>
        </w:rPr>
      </w:pPr>
    </w:p>
    <w:p w14:paraId="2AB0157A" w14:textId="77777777" w:rsidR="00EA380D" w:rsidRDefault="00EA380D" w:rsidP="00EA380D">
      <w:pPr>
        <w:pStyle w:val="ListParagraph"/>
        <w:bidi w:val="0"/>
        <w:spacing w:line="276" w:lineRule="auto"/>
        <w:ind w:left="0"/>
        <w:jc w:val="center"/>
        <w:rPr>
          <w:rFonts w:ascii="Times New Roman" w:hAnsi="Times New Roman" w:cs="David"/>
          <w:b/>
          <w:bCs/>
          <w:sz w:val="24"/>
          <w:szCs w:val="24"/>
        </w:rPr>
      </w:pPr>
    </w:p>
    <w:p w14:paraId="4097CB71" w14:textId="77777777" w:rsidR="00EA380D" w:rsidRDefault="00EA380D" w:rsidP="00EA380D">
      <w:pPr>
        <w:pStyle w:val="ListParagraph"/>
        <w:bidi w:val="0"/>
        <w:spacing w:line="276" w:lineRule="auto"/>
        <w:ind w:left="0"/>
        <w:jc w:val="center"/>
        <w:rPr>
          <w:rFonts w:ascii="Times New Roman" w:hAnsi="Times New Roman" w:cs="David"/>
          <w:b/>
          <w:bCs/>
          <w:sz w:val="24"/>
          <w:szCs w:val="24"/>
        </w:rPr>
      </w:pPr>
    </w:p>
    <w:p w14:paraId="1C9BB490" w14:textId="77777777" w:rsidR="00EA380D" w:rsidRDefault="00EA380D" w:rsidP="00EA380D">
      <w:pPr>
        <w:pStyle w:val="ListParagraph"/>
        <w:bidi w:val="0"/>
        <w:spacing w:line="276" w:lineRule="auto"/>
        <w:ind w:left="0"/>
        <w:jc w:val="center"/>
        <w:rPr>
          <w:rFonts w:ascii="Times New Roman" w:hAnsi="Times New Roman" w:cs="David"/>
          <w:b/>
          <w:bCs/>
          <w:sz w:val="24"/>
          <w:szCs w:val="24"/>
        </w:rPr>
      </w:pPr>
    </w:p>
    <w:p w14:paraId="481E5E93" w14:textId="77777777" w:rsidR="00EA380D" w:rsidRDefault="00EA380D" w:rsidP="00EA380D">
      <w:pPr>
        <w:pStyle w:val="ListParagraph"/>
        <w:bidi w:val="0"/>
        <w:spacing w:line="276" w:lineRule="auto"/>
        <w:ind w:left="0"/>
        <w:jc w:val="center"/>
        <w:rPr>
          <w:rFonts w:ascii="Times New Roman" w:hAnsi="Times New Roman" w:cs="David"/>
          <w:b/>
          <w:bCs/>
          <w:sz w:val="24"/>
          <w:szCs w:val="24"/>
        </w:rPr>
      </w:pPr>
    </w:p>
    <w:p w14:paraId="50D8CD88" w14:textId="77777777" w:rsidR="00EA380D" w:rsidRDefault="00EA380D" w:rsidP="00EA380D">
      <w:pPr>
        <w:pStyle w:val="ListParagraph"/>
        <w:bidi w:val="0"/>
        <w:spacing w:line="276" w:lineRule="auto"/>
        <w:ind w:left="0"/>
        <w:jc w:val="center"/>
        <w:rPr>
          <w:rFonts w:ascii="Times New Roman" w:hAnsi="Times New Roman" w:cs="David"/>
          <w:b/>
          <w:bCs/>
          <w:sz w:val="24"/>
          <w:szCs w:val="24"/>
        </w:rPr>
      </w:pPr>
    </w:p>
    <w:p w14:paraId="62EF75E0" w14:textId="77777777" w:rsidR="00EA380D" w:rsidRDefault="00EA380D" w:rsidP="00EA380D">
      <w:pPr>
        <w:pStyle w:val="ListParagraph"/>
        <w:bidi w:val="0"/>
        <w:spacing w:line="276" w:lineRule="auto"/>
        <w:ind w:left="0"/>
        <w:jc w:val="center"/>
        <w:rPr>
          <w:rFonts w:ascii="Times New Roman" w:hAnsi="Times New Roman" w:cs="David"/>
          <w:b/>
          <w:bCs/>
          <w:sz w:val="24"/>
          <w:szCs w:val="24"/>
        </w:rPr>
      </w:pPr>
    </w:p>
    <w:p w14:paraId="21F862FD" w14:textId="77777777" w:rsidR="00EA380D" w:rsidRDefault="00EA380D" w:rsidP="00EA380D">
      <w:pPr>
        <w:pStyle w:val="ListParagraph"/>
        <w:bidi w:val="0"/>
        <w:spacing w:line="276" w:lineRule="auto"/>
        <w:ind w:left="0"/>
        <w:jc w:val="center"/>
        <w:rPr>
          <w:rFonts w:ascii="Times New Roman" w:hAnsi="Times New Roman" w:cs="David"/>
          <w:b/>
          <w:bCs/>
          <w:sz w:val="24"/>
          <w:szCs w:val="24"/>
        </w:rPr>
      </w:pPr>
    </w:p>
    <w:p w14:paraId="2EB7CE43" w14:textId="77777777" w:rsidR="00EA380D" w:rsidRDefault="00EA380D" w:rsidP="00EA380D">
      <w:pPr>
        <w:pStyle w:val="ListParagraph"/>
        <w:bidi w:val="0"/>
        <w:spacing w:line="276" w:lineRule="auto"/>
        <w:ind w:left="0"/>
        <w:jc w:val="center"/>
        <w:rPr>
          <w:rFonts w:ascii="Times New Roman" w:hAnsi="Times New Roman" w:cs="David"/>
          <w:b/>
          <w:bCs/>
          <w:sz w:val="24"/>
          <w:szCs w:val="24"/>
        </w:rPr>
      </w:pPr>
    </w:p>
    <w:p w14:paraId="1F7F64E5" w14:textId="5C70A652" w:rsidR="006E1000" w:rsidRPr="00203C14" w:rsidRDefault="006E1000" w:rsidP="00EA380D">
      <w:pPr>
        <w:pStyle w:val="ListParagraph"/>
        <w:bidi w:val="0"/>
        <w:spacing w:line="276" w:lineRule="auto"/>
        <w:ind w:left="0"/>
        <w:jc w:val="center"/>
        <w:rPr>
          <w:rFonts w:ascii="Times New Roman" w:hAnsi="Times New Roman" w:cs="David"/>
          <w:b/>
          <w:bCs/>
          <w:sz w:val="24"/>
          <w:szCs w:val="24"/>
        </w:rPr>
      </w:pPr>
      <w:r>
        <w:rPr>
          <w:rFonts w:ascii="Times New Roman" w:hAnsi="Times New Roman" w:cs="David"/>
          <w:b/>
          <w:bCs/>
          <w:sz w:val="24"/>
          <w:szCs w:val="24"/>
        </w:rPr>
        <w:t xml:space="preserve">Figure 31: </w:t>
      </w:r>
      <w:r w:rsidRPr="00203C14">
        <w:rPr>
          <w:rFonts w:ascii="Times New Roman" w:hAnsi="Times New Roman" w:cs="David"/>
          <w:b/>
          <w:bCs/>
          <w:sz w:val="24"/>
          <w:szCs w:val="24"/>
        </w:rPr>
        <w:t>ISR-WBG-II 1968-2019</w:t>
      </w:r>
      <w:r>
        <w:rPr>
          <w:rFonts w:ascii="Times New Roman" w:hAnsi="Times New Roman" w:cs="David"/>
          <w:b/>
          <w:bCs/>
          <w:sz w:val="24"/>
          <w:szCs w:val="24"/>
        </w:rPr>
        <w:t xml:space="preserve"> – Total index</w:t>
      </w:r>
    </w:p>
    <w:p w14:paraId="754E5FDB" w14:textId="77777777" w:rsidR="006E1000" w:rsidRDefault="006E1000" w:rsidP="006E1000">
      <w:pPr>
        <w:pStyle w:val="ListParagraph"/>
        <w:bidi w:val="0"/>
        <w:spacing w:line="480" w:lineRule="auto"/>
        <w:rPr>
          <w:rFonts w:ascii="Times New Roman" w:hAnsi="Times New Roman" w:cs="David"/>
          <w:b/>
          <w:bCs/>
          <w:sz w:val="24"/>
          <w:szCs w:val="24"/>
        </w:rPr>
      </w:pPr>
      <w:r>
        <w:rPr>
          <w:noProof/>
        </w:rPr>
        <w:drawing>
          <wp:inline distT="0" distB="0" distL="0" distR="0" wp14:anchorId="7CC4722E" wp14:editId="175D58F5">
            <wp:extent cx="4320000" cy="2520000"/>
            <wp:effectExtent l="0" t="0" r="4445" b="13970"/>
            <wp:docPr id="33" name="תרשים 11">
              <a:extLst xmlns:a="http://schemas.openxmlformats.org/drawingml/2006/main">
                <a:ext uri="{FF2B5EF4-FFF2-40B4-BE49-F238E27FC236}">
                  <a16:creationId xmlns:a16="http://schemas.microsoft.com/office/drawing/2014/main" id="{ED113B30-83BD-4356-9146-1B471B0335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CB1FCB" w14:textId="53D82783" w:rsidR="006E1000" w:rsidRPr="009525DA" w:rsidRDefault="006E1000" w:rsidP="006E1000">
      <w:pPr>
        <w:pStyle w:val="ListParagraph"/>
        <w:bidi w:val="0"/>
        <w:spacing w:line="276" w:lineRule="auto"/>
        <w:ind w:left="0"/>
        <w:jc w:val="center"/>
        <w:rPr>
          <w:rFonts w:ascii="Times New Roman" w:hAnsi="Times New Roman" w:cs="David"/>
          <w:b/>
          <w:bCs/>
          <w:sz w:val="24"/>
          <w:szCs w:val="24"/>
        </w:rPr>
      </w:pPr>
      <w:r>
        <w:rPr>
          <w:rFonts w:ascii="Times New Roman" w:hAnsi="Times New Roman" w:cs="David"/>
          <w:b/>
          <w:bCs/>
          <w:sz w:val="24"/>
          <w:szCs w:val="24"/>
        </w:rPr>
        <w:t xml:space="preserve">Figure 32: </w:t>
      </w:r>
      <w:r w:rsidRPr="00203C14">
        <w:rPr>
          <w:rFonts w:ascii="Times New Roman" w:hAnsi="Times New Roman" w:cs="David"/>
          <w:b/>
          <w:bCs/>
          <w:sz w:val="24"/>
          <w:szCs w:val="24"/>
        </w:rPr>
        <w:t>ISR-WBG-II 1968-2019</w:t>
      </w:r>
      <w:r>
        <w:rPr>
          <w:rFonts w:ascii="Times New Roman" w:hAnsi="Times New Roman" w:cs="David"/>
          <w:b/>
          <w:bCs/>
          <w:sz w:val="24"/>
          <w:szCs w:val="24"/>
        </w:rPr>
        <w:t xml:space="preserve"> b</w:t>
      </w:r>
      <w:r w:rsidRPr="009525DA">
        <w:rPr>
          <w:rFonts w:ascii="Times New Roman" w:hAnsi="Times New Roman" w:cs="David"/>
          <w:b/>
          <w:bCs/>
          <w:sz w:val="24"/>
          <w:szCs w:val="24"/>
        </w:rPr>
        <w:t xml:space="preserve">y dimensions </w:t>
      </w:r>
    </w:p>
    <w:p w14:paraId="2B8F6226" w14:textId="77777777" w:rsidR="006E1000" w:rsidRDefault="006E1000" w:rsidP="006E1000">
      <w:pPr>
        <w:pStyle w:val="ListParagraph"/>
        <w:bidi w:val="0"/>
        <w:spacing w:line="480" w:lineRule="auto"/>
        <w:ind w:left="0"/>
        <w:jc w:val="center"/>
        <w:rPr>
          <w:noProof/>
        </w:rPr>
      </w:pPr>
      <w:r>
        <w:rPr>
          <w:noProof/>
        </w:rPr>
        <w:drawing>
          <wp:inline distT="0" distB="0" distL="0" distR="0" wp14:anchorId="732A676C" wp14:editId="3CCE91D2">
            <wp:extent cx="4320000" cy="2520000"/>
            <wp:effectExtent l="0" t="0" r="4445" b="13970"/>
            <wp:docPr id="34" name="תרשים 17">
              <a:extLst xmlns:a="http://schemas.openxmlformats.org/drawingml/2006/main">
                <a:ext uri="{FF2B5EF4-FFF2-40B4-BE49-F238E27FC236}">
                  <a16:creationId xmlns:a16="http://schemas.microsoft.com/office/drawing/2014/main" id="{053469C8-A5D6-491E-AA4D-04A7BFDEAE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B51682" w14:textId="77777777" w:rsidR="006E1000" w:rsidRDefault="006E1000" w:rsidP="006E1000">
      <w:pPr>
        <w:pStyle w:val="ListParagraph"/>
        <w:bidi w:val="0"/>
        <w:spacing w:line="276" w:lineRule="auto"/>
        <w:ind w:left="0"/>
        <w:jc w:val="center"/>
        <w:rPr>
          <w:rFonts w:ascii="Times New Roman" w:hAnsi="Times New Roman" w:cs="David"/>
          <w:b/>
          <w:bCs/>
          <w:sz w:val="24"/>
          <w:szCs w:val="24"/>
          <w:rtl/>
        </w:rPr>
      </w:pPr>
    </w:p>
    <w:p w14:paraId="5C2D56BC" w14:textId="77777777" w:rsidR="006E1000" w:rsidRPr="00A811C5" w:rsidRDefault="006E1000" w:rsidP="006E1000">
      <w:pPr>
        <w:pStyle w:val="ListParagraph"/>
        <w:bidi w:val="0"/>
        <w:spacing w:line="276" w:lineRule="auto"/>
        <w:ind w:left="0"/>
        <w:jc w:val="center"/>
        <w:rPr>
          <w:b/>
          <w:bCs/>
          <w:sz w:val="24"/>
          <w:szCs w:val="24"/>
        </w:rPr>
      </w:pPr>
      <w:r>
        <w:rPr>
          <w:rFonts w:ascii="Times New Roman" w:hAnsi="Times New Roman" w:cs="David"/>
          <w:b/>
          <w:bCs/>
          <w:sz w:val="24"/>
          <w:szCs w:val="24"/>
        </w:rPr>
        <w:t xml:space="preserve">Figure 33: </w:t>
      </w:r>
      <w:r w:rsidRPr="00A811C5">
        <w:rPr>
          <w:rFonts w:ascii="Times New Roman" w:hAnsi="Times New Roman" w:cs="David"/>
          <w:b/>
          <w:bCs/>
          <w:sz w:val="24"/>
          <w:szCs w:val="24"/>
        </w:rPr>
        <w:t xml:space="preserve">ISR-WBG-II 1968-2019 </w:t>
      </w:r>
      <w:r w:rsidRPr="00A811C5">
        <w:rPr>
          <w:b/>
          <w:bCs/>
          <w:noProof/>
          <w:sz w:val="24"/>
          <w:szCs w:val="24"/>
        </w:rPr>
        <w:t xml:space="preserve">by contribution of </w:t>
      </w:r>
      <w:r w:rsidRPr="00A811C5">
        <w:rPr>
          <w:rFonts w:ascii="Times New Roman" w:hAnsi="Times New Roman" w:cs="David"/>
          <w:b/>
          <w:bCs/>
          <w:sz w:val="24"/>
          <w:szCs w:val="24"/>
        </w:rPr>
        <w:t>dimensions</w:t>
      </w:r>
      <w:r w:rsidRPr="00A811C5">
        <w:rPr>
          <w:b/>
          <w:bCs/>
          <w:sz w:val="24"/>
          <w:szCs w:val="24"/>
        </w:rPr>
        <w:t xml:space="preserve"> </w:t>
      </w:r>
    </w:p>
    <w:p w14:paraId="52655E83" w14:textId="77777777" w:rsidR="006E1000" w:rsidRDefault="006E1000" w:rsidP="006E1000">
      <w:pPr>
        <w:pStyle w:val="ListParagraph"/>
        <w:bidi w:val="0"/>
        <w:spacing w:line="480" w:lineRule="auto"/>
        <w:ind w:left="0"/>
        <w:jc w:val="center"/>
        <w:rPr>
          <w:rFonts w:ascii="Times New Roman" w:hAnsi="Times New Roman" w:cs="David"/>
          <w:b/>
          <w:bCs/>
          <w:sz w:val="24"/>
          <w:szCs w:val="24"/>
        </w:rPr>
      </w:pPr>
      <w:r>
        <w:rPr>
          <w:noProof/>
        </w:rPr>
        <w:drawing>
          <wp:inline distT="0" distB="0" distL="0" distR="0" wp14:anchorId="5BBCFB3B" wp14:editId="7BFEED62">
            <wp:extent cx="4320000" cy="2520000"/>
            <wp:effectExtent l="0" t="0" r="4445" b="13970"/>
            <wp:docPr id="36" name="תרשים 19">
              <a:extLst xmlns:a="http://schemas.openxmlformats.org/drawingml/2006/main">
                <a:ext uri="{FF2B5EF4-FFF2-40B4-BE49-F238E27FC236}">
                  <a16:creationId xmlns:a16="http://schemas.microsoft.com/office/drawing/2014/main" id="{9E72A08A-8E99-4E64-85BB-4305BE084A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E796DE" w14:textId="19A818F2" w:rsidR="006E1000" w:rsidRDefault="006E1000" w:rsidP="00EA380D">
      <w:pPr>
        <w:pStyle w:val="ListParagraph"/>
        <w:numPr>
          <w:ilvl w:val="2"/>
          <w:numId w:val="3"/>
        </w:numPr>
        <w:bidi w:val="0"/>
        <w:spacing w:line="480" w:lineRule="auto"/>
        <w:rPr>
          <w:rFonts w:ascii="Times New Roman" w:hAnsi="Times New Roman" w:cs="David"/>
          <w:b/>
          <w:bCs/>
          <w:sz w:val="24"/>
          <w:szCs w:val="24"/>
        </w:rPr>
      </w:pPr>
      <w:r>
        <w:rPr>
          <w:rFonts w:ascii="Times New Roman" w:hAnsi="Times New Roman" w:cs="David"/>
          <w:b/>
          <w:bCs/>
          <w:sz w:val="24"/>
          <w:szCs w:val="24"/>
        </w:rPr>
        <w:t>ISR-WBG-II 1996-2019</w:t>
      </w:r>
    </w:p>
    <w:p w14:paraId="70937CDD" w14:textId="77777777" w:rsidR="006E1000" w:rsidRDefault="006E1000" w:rsidP="006E1000">
      <w:pPr>
        <w:pStyle w:val="ListParagraph"/>
        <w:bidi w:val="0"/>
        <w:spacing w:line="480" w:lineRule="auto"/>
        <w:ind w:left="360"/>
        <w:jc w:val="center"/>
        <w:rPr>
          <w:rFonts w:ascii="Times New Roman" w:hAnsi="Times New Roman" w:cs="David"/>
          <w:b/>
          <w:bCs/>
          <w:sz w:val="24"/>
          <w:szCs w:val="24"/>
        </w:rPr>
      </w:pPr>
      <w:r>
        <w:rPr>
          <w:rFonts w:ascii="Times New Roman" w:hAnsi="Times New Roman" w:cs="David"/>
          <w:b/>
          <w:bCs/>
          <w:sz w:val="24"/>
          <w:szCs w:val="24"/>
        </w:rPr>
        <w:t>Table 3 -</w:t>
      </w:r>
      <w:r w:rsidRPr="00B37731">
        <w:t xml:space="preserve"> </w:t>
      </w:r>
      <w:r w:rsidRPr="00B37731">
        <w:rPr>
          <w:rFonts w:ascii="Times New Roman" w:hAnsi="Times New Roman" w:cs="David"/>
          <w:b/>
          <w:bCs/>
          <w:sz w:val="24"/>
          <w:szCs w:val="24"/>
        </w:rPr>
        <w:t>Dimensions, indicators and weights</w:t>
      </w:r>
      <w:r>
        <w:rPr>
          <w:rFonts w:ascii="Times New Roman" w:hAnsi="Times New Roman" w:cs="David" w:hint="cs"/>
          <w:b/>
          <w:bCs/>
          <w:sz w:val="24"/>
          <w:szCs w:val="24"/>
          <w:rtl/>
        </w:rPr>
        <w:t xml:space="preserve"> </w:t>
      </w:r>
      <w:r>
        <w:rPr>
          <w:rFonts w:ascii="Times New Roman" w:hAnsi="Times New Roman" w:cs="David"/>
          <w:b/>
          <w:bCs/>
          <w:sz w:val="24"/>
          <w:szCs w:val="24"/>
        </w:rPr>
        <w:t>1996-2019</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5527"/>
        <w:gridCol w:w="993"/>
        <w:gridCol w:w="1134"/>
      </w:tblGrid>
      <w:tr w:rsidR="006E1000" w:rsidRPr="00E963C7" w14:paraId="3E535636" w14:textId="77777777" w:rsidTr="004831C9">
        <w:trPr>
          <w:trHeight w:val="300"/>
        </w:trPr>
        <w:tc>
          <w:tcPr>
            <w:tcW w:w="1844" w:type="dxa"/>
            <w:shd w:val="clear" w:color="auto" w:fill="auto"/>
            <w:noWrap/>
            <w:hideMark/>
          </w:tcPr>
          <w:p w14:paraId="652A2FA8"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Dimension</w:t>
            </w:r>
          </w:p>
        </w:tc>
        <w:tc>
          <w:tcPr>
            <w:tcW w:w="5527" w:type="dxa"/>
            <w:shd w:val="clear" w:color="auto" w:fill="auto"/>
            <w:noWrap/>
            <w:hideMark/>
          </w:tcPr>
          <w:p w14:paraId="1E732629"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Indicator</w:t>
            </w:r>
          </w:p>
        </w:tc>
        <w:tc>
          <w:tcPr>
            <w:tcW w:w="993" w:type="dxa"/>
            <w:shd w:val="clear" w:color="auto" w:fill="auto"/>
            <w:noWrap/>
            <w:hideMark/>
          </w:tcPr>
          <w:p w14:paraId="428BBC79"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Indicator weight</w:t>
            </w:r>
          </w:p>
        </w:tc>
        <w:tc>
          <w:tcPr>
            <w:tcW w:w="1134" w:type="dxa"/>
            <w:shd w:val="clear" w:color="auto" w:fill="auto"/>
            <w:noWrap/>
            <w:hideMark/>
          </w:tcPr>
          <w:p w14:paraId="05CA5609"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Dimension weight</w:t>
            </w:r>
          </w:p>
        </w:tc>
      </w:tr>
      <w:tr w:rsidR="006E1000" w:rsidRPr="00E963C7" w14:paraId="4D4C6884" w14:textId="77777777" w:rsidTr="004831C9">
        <w:trPr>
          <w:trHeight w:val="300"/>
        </w:trPr>
        <w:tc>
          <w:tcPr>
            <w:tcW w:w="1844" w:type="dxa"/>
            <w:vMerge w:val="restart"/>
            <w:shd w:val="clear" w:color="auto" w:fill="auto"/>
            <w:vAlign w:val="center"/>
            <w:hideMark/>
          </w:tcPr>
          <w:p w14:paraId="1E1F1F46"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Trade, employment and taxes</w:t>
            </w:r>
          </w:p>
        </w:tc>
        <w:tc>
          <w:tcPr>
            <w:tcW w:w="5527" w:type="dxa"/>
            <w:shd w:val="clear" w:color="auto" w:fill="auto"/>
            <w:noWrap/>
            <w:hideMark/>
          </w:tcPr>
          <w:p w14:paraId="2AFF891D"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Palestinian exports of goods and services to Israel out of total Palestinian exports</w:t>
            </w:r>
          </w:p>
        </w:tc>
        <w:tc>
          <w:tcPr>
            <w:tcW w:w="993" w:type="dxa"/>
            <w:shd w:val="clear" w:color="auto" w:fill="auto"/>
            <w:noWrap/>
            <w:hideMark/>
          </w:tcPr>
          <w:p w14:paraId="283BD85B"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20%</w:t>
            </w:r>
          </w:p>
        </w:tc>
        <w:tc>
          <w:tcPr>
            <w:tcW w:w="1134" w:type="dxa"/>
            <w:vMerge w:val="restart"/>
            <w:shd w:val="clear" w:color="auto" w:fill="auto"/>
            <w:noWrap/>
            <w:hideMark/>
          </w:tcPr>
          <w:p w14:paraId="1AE7E517"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50%</w:t>
            </w:r>
          </w:p>
        </w:tc>
      </w:tr>
      <w:tr w:rsidR="006E1000" w:rsidRPr="00E963C7" w14:paraId="54D8721D" w14:textId="77777777" w:rsidTr="004831C9">
        <w:trPr>
          <w:trHeight w:val="300"/>
        </w:trPr>
        <w:tc>
          <w:tcPr>
            <w:tcW w:w="1844" w:type="dxa"/>
            <w:vMerge/>
            <w:vAlign w:val="center"/>
            <w:hideMark/>
          </w:tcPr>
          <w:p w14:paraId="07525C89" w14:textId="77777777" w:rsidR="006E1000" w:rsidRPr="00E963C7" w:rsidRDefault="006E1000" w:rsidP="004831C9">
            <w:pPr>
              <w:bidi w:val="0"/>
              <w:rPr>
                <w:rFonts w:asciiTheme="majorBidi" w:hAnsiTheme="majorBidi" w:cstheme="majorBidi"/>
                <w:color w:val="000000"/>
              </w:rPr>
            </w:pPr>
          </w:p>
        </w:tc>
        <w:tc>
          <w:tcPr>
            <w:tcW w:w="5527" w:type="dxa"/>
            <w:shd w:val="clear" w:color="auto" w:fill="auto"/>
            <w:noWrap/>
            <w:hideMark/>
          </w:tcPr>
          <w:p w14:paraId="7DB4994E"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Palestinian imports of goods and services from Israel out of total Palestinian imports</w:t>
            </w:r>
          </w:p>
        </w:tc>
        <w:tc>
          <w:tcPr>
            <w:tcW w:w="993" w:type="dxa"/>
            <w:shd w:val="clear" w:color="auto" w:fill="auto"/>
            <w:noWrap/>
            <w:hideMark/>
          </w:tcPr>
          <w:p w14:paraId="146A459E"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20%</w:t>
            </w:r>
          </w:p>
        </w:tc>
        <w:tc>
          <w:tcPr>
            <w:tcW w:w="1134" w:type="dxa"/>
            <w:vMerge/>
            <w:hideMark/>
          </w:tcPr>
          <w:p w14:paraId="4BFD70AD" w14:textId="77777777" w:rsidR="006E1000" w:rsidRPr="00E963C7" w:rsidRDefault="006E1000" w:rsidP="004831C9">
            <w:pPr>
              <w:bidi w:val="0"/>
              <w:rPr>
                <w:rFonts w:asciiTheme="majorBidi" w:hAnsiTheme="majorBidi" w:cstheme="majorBidi"/>
                <w:color w:val="000000"/>
              </w:rPr>
            </w:pPr>
          </w:p>
        </w:tc>
      </w:tr>
      <w:tr w:rsidR="006E1000" w:rsidRPr="00E963C7" w14:paraId="7C300484" w14:textId="77777777" w:rsidTr="004831C9">
        <w:trPr>
          <w:trHeight w:val="300"/>
        </w:trPr>
        <w:tc>
          <w:tcPr>
            <w:tcW w:w="1844" w:type="dxa"/>
            <w:vMerge/>
            <w:vAlign w:val="center"/>
            <w:hideMark/>
          </w:tcPr>
          <w:p w14:paraId="0E9EB780" w14:textId="77777777" w:rsidR="006E1000" w:rsidRPr="00E963C7" w:rsidRDefault="006E1000" w:rsidP="004831C9">
            <w:pPr>
              <w:bidi w:val="0"/>
              <w:rPr>
                <w:rFonts w:asciiTheme="majorBidi" w:hAnsiTheme="majorBidi" w:cstheme="majorBidi"/>
                <w:color w:val="000000"/>
              </w:rPr>
            </w:pPr>
          </w:p>
        </w:tc>
        <w:tc>
          <w:tcPr>
            <w:tcW w:w="5527" w:type="dxa"/>
            <w:shd w:val="clear" w:color="auto" w:fill="auto"/>
            <w:noWrap/>
            <w:hideMark/>
          </w:tcPr>
          <w:p w14:paraId="79F271BA"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Share of Gross clearance revenues out of Total PA net revenues and grants</w:t>
            </w:r>
          </w:p>
        </w:tc>
        <w:tc>
          <w:tcPr>
            <w:tcW w:w="993" w:type="dxa"/>
            <w:shd w:val="clear" w:color="auto" w:fill="auto"/>
            <w:noWrap/>
            <w:hideMark/>
          </w:tcPr>
          <w:p w14:paraId="6501F0AB"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20%</w:t>
            </w:r>
          </w:p>
        </w:tc>
        <w:tc>
          <w:tcPr>
            <w:tcW w:w="1134" w:type="dxa"/>
            <w:vMerge/>
            <w:hideMark/>
          </w:tcPr>
          <w:p w14:paraId="167AB2F4" w14:textId="77777777" w:rsidR="006E1000" w:rsidRPr="00E963C7" w:rsidRDefault="006E1000" w:rsidP="004831C9">
            <w:pPr>
              <w:bidi w:val="0"/>
              <w:rPr>
                <w:rFonts w:asciiTheme="majorBidi" w:hAnsiTheme="majorBidi" w:cstheme="majorBidi"/>
                <w:color w:val="000000"/>
              </w:rPr>
            </w:pPr>
          </w:p>
        </w:tc>
      </w:tr>
      <w:tr w:rsidR="006E1000" w:rsidRPr="00E963C7" w14:paraId="11B9E403" w14:textId="77777777" w:rsidTr="004831C9">
        <w:trPr>
          <w:trHeight w:val="300"/>
        </w:trPr>
        <w:tc>
          <w:tcPr>
            <w:tcW w:w="1844" w:type="dxa"/>
            <w:vMerge/>
            <w:vAlign w:val="center"/>
            <w:hideMark/>
          </w:tcPr>
          <w:p w14:paraId="592A3FE7" w14:textId="77777777" w:rsidR="006E1000" w:rsidRPr="00E963C7" w:rsidRDefault="006E1000" w:rsidP="004831C9">
            <w:pPr>
              <w:bidi w:val="0"/>
              <w:rPr>
                <w:rFonts w:asciiTheme="majorBidi" w:hAnsiTheme="majorBidi" w:cstheme="majorBidi"/>
                <w:color w:val="000000"/>
              </w:rPr>
            </w:pPr>
          </w:p>
        </w:tc>
        <w:tc>
          <w:tcPr>
            <w:tcW w:w="5527" w:type="dxa"/>
            <w:shd w:val="clear" w:color="auto" w:fill="auto"/>
            <w:noWrap/>
            <w:hideMark/>
          </w:tcPr>
          <w:p w14:paraId="44E255D0"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Palestinians employed in Israel out of total Palestinian individuals employed</w:t>
            </w:r>
          </w:p>
        </w:tc>
        <w:tc>
          <w:tcPr>
            <w:tcW w:w="993" w:type="dxa"/>
            <w:shd w:val="clear" w:color="auto" w:fill="auto"/>
            <w:noWrap/>
            <w:hideMark/>
          </w:tcPr>
          <w:p w14:paraId="3A02DEAF"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20%</w:t>
            </w:r>
          </w:p>
        </w:tc>
        <w:tc>
          <w:tcPr>
            <w:tcW w:w="1134" w:type="dxa"/>
            <w:vMerge/>
            <w:hideMark/>
          </w:tcPr>
          <w:p w14:paraId="1B25BC6A" w14:textId="77777777" w:rsidR="006E1000" w:rsidRPr="00E963C7" w:rsidRDefault="006E1000" w:rsidP="004831C9">
            <w:pPr>
              <w:bidi w:val="0"/>
              <w:rPr>
                <w:rFonts w:asciiTheme="majorBidi" w:hAnsiTheme="majorBidi" w:cstheme="majorBidi"/>
                <w:color w:val="000000"/>
              </w:rPr>
            </w:pPr>
          </w:p>
        </w:tc>
      </w:tr>
      <w:tr w:rsidR="006E1000" w:rsidRPr="00E963C7" w14:paraId="007849C8" w14:textId="77777777" w:rsidTr="004831C9">
        <w:trPr>
          <w:trHeight w:val="300"/>
        </w:trPr>
        <w:tc>
          <w:tcPr>
            <w:tcW w:w="1844" w:type="dxa"/>
            <w:vMerge/>
            <w:vAlign w:val="center"/>
            <w:hideMark/>
          </w:tcPr>
          <w:p w14:paraId="236CEEBB" w14:textId="77777777" w:rsidR="006E1000" w:rsidRPr="00E963C7" w:rsidRDefault="006E1000" w:rsidP="004831C9">
            <w:pPr>
              <w:bidi w:val="0"/>
              <w:rPr>
                <w:rFonts w:asciiTheme="majorBidi" w:hAnsiTheme="majorBidi" w:cstheme="majorBidi"/>
                <w:color w:val="000000"/>
              </w:rPr>
            </w:pPr>
          </w:p>
        </w:tc>
        <w:tc>
          <w:tcPr>
            <w:tcW w:w="5527" w:type="dxa"/>
            <w:shd w:val="clear" w:color="auto" w:fill="auto"/>
            <w:noWrap/>
            <w:hideMark/>
          </w:tcPr>
          <w:p w14:paraId="250F32C8"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Remittances of Palestinians workers in Israel out of WBG GNI</w:t>
            </w:r>
          </w:p>
        </w:tc>
        <w:tc>
          <w:tcPr>
            <w:tcW w:w="993" w:type="dxa"/>
            <w:shd w:val="clear" w:color="auto" w:fill="auto"/>
            <w:noWrap/>
            <w:hideMark/>
          </w:tcPr>
          <w:p w14:paraId="531BFAFF"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20%</w:t>
            </w:r>
          </w:p>
        </w:tc>
        <w:tc>
          <w:tcPr>
            <w:tcW w:w="1134" w:type="dxa"/>
            <w:vMerge/>
            <w:hideMark/>
          </w:tcPr>
          <w:p w14:paraId="7378E864" w14:textId="77777777" w:rsidR="006E1000" w:rsidRPr="00E963C7" w:rsidRDefault="006E1000" w:rsidP="004831C9">
            <w:pPr>
              <w:bidi w:val="0"/>
              <w:rPr>
                <w:rFonts w:asciiTheme="majorBidi" w:hAnsiTheme="majorBidi" w:cstheme="majorBidi"/>
                <w:color w:val="000000"/>
              </w:rPr>
            </w:pPr>
          </w:p>
        </w:tc>
      </w:tr>
      <w:tr w:rsidR="006E1000" w:rsidRPr="00E963C7" w14:paraId="2D4B37D4" w14:textId="77777777" w:rsidTr="004831C9">
        <w:trPr>
          <w:trHeight w:val="600"/>
        </w:trPr>
        <w:tc>
          <w:tcPr>
            <w:tcW w:w="1844" w:type="dxa"/>
            <w:shd w:val="clear" w:color="auto" w:fill="auto"/>
            <w:vAlign w:val="center"/>
            <w:hideMark/>
          </w:tcPr>
          <w:p w14:paraId="21B31E1A"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Movement of people and Services</w:t>
            </w:r>
          </w:p>
        </w:tc>
        <w:tc>
          <w:tcPr>
            <w:tcW w:w="5527" w:type="dxa"/>
            <w:shd w:val="clear" w:color="auto" w:fill="auto"/>
            <w:noWrap/>
            <w:hideMark/>
          </w:tcPr>
          <w:p w14:paraId="6F9697DF"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Percentage of Israeli guests’ nights in WB Hotels</w:t>
            </w:r>
          </w:p>
        </w:tc>
        <w:tc>
          <w:tcPr>
            <w:tcW w:w="993" w:type="dxa"/>
            <w:shd w:val="clear" w:color="auto" w:fill="auto"/>
            <w:noWrap/>
            <w:hideMark/>
          </w:tcPr>
          <w:p w14:paraId="7F4D35D7"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100%</w:t>
            </w:r>
          </w:p>
        </w:tc>
        <w:tc>
          <w:tcPr>
            <w:tcW w:w="1134" w:type="dxa"/>
            <w:shd w:val="clear" w:color="auto" w:fill="auto"/>
            <w:noWrap/>
            <w:hideMark/>
          </w:tcPr>
          <w:p w14:paraId="50176A06"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10%</w:t>
            </w:r>
          </w:p>
        </w:tc>
      </w:tr>
      <w:tr w:rsidR="006E1000" w:rsidRPr="00E963C7" w14:paraId="3E96345C" w14:textId="77777777" w:rsidTr="004831C9">
        <w:trPr>
          <w:trHeight w:val="300"/>
        </w:trPr>
        <w:tc>
          <w:tcPr>
            <w:tcW w:w="1844" w:type="dxa"/>
            <w:shd w:val="clear" w:color="auto" w:fill="auto"/>
            <w:vAlign w:val="center"/>
            <w:hideMark/>
          </w:tcPr>
          <w:p w14:paraId="39A99D14"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Banking and money</w:t>
            </w:r>
          </w:p>
        </w:tc>
        <w:tc>
          <w:tcPr>
            <w:tcW w:w="5527" w:type="dxa"/>
            <w:shd w:val="clear" w:color="auto" w:fill="auto"/>
            <w:noWrap/>
            <w:hideMark/>
          </w:tcPr>
          <w:p w14:paraId="3AFBD2AC"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Share of NIS credit in the Palestinian banking system</w:t>
            </w:r>
          </w:p>
        </w:tc>
        <w:tc>
          <w:tcPr>
            <w:tcW w:w="993" w:type="dxa"/>
            <w:shd w:val="clear" w:color="auto" w:fill="auto"/>
            <w:noWrap/>
            <w:hideMark/>
          </w:tcPr>
          <w:p w14:paraId="69CDD21F"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100%</w:t>
            </w:r>
          </w:p>
        </w:tc>
        <w:tc>
          <w:tcPr>
            <w:tcW w:w="1134" w:type="dxa"/>
            <w:shd w:val="clear" w:color="auto" w:fill="auto"/>
            <w:noWrap/>
            <w:hideMark/>
          </w:tcPr>
          <w:p w14:paraId="1802CD99"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10%</w:t>
            </w:r>
          </w:p>
        </w:tc>
      </w:tr>
      <w:tr w:rsidR="006E1000" w:rsidRPr="00E963C7" w14:paraId="52DCD50D" w14:textId="77777777" w:rsidTr="004831C9">
        <w:trPr>
          <w:trHeight w:val="315"/>
        </w:trPr>
        <w:tc>
          <w:tcPr>
            <w:tcW w:w="1844" w:type="dxa"/>
            <w:vMerge w:val="restart"/>
            <w:shd w:val="clear" w:color="auto" w:fill="auto"/>
            <w:vAlign w:val="center"/>
            <w:hideMark/>
          </w:tcPr>
          <w:p w14:paraId="236375BB"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Wealth and Standard of living</w:t>
            </w:r>
          </w:p>
        </w:tc>
        <w:tc>
          <w:tcPr>
            <w:tcW w:w="5527" w:type="dxa"/>
            <w:shd w:val="clear" w:color="auto" w:fill="auto"/>
            <w:noWrap/>
            <w:hideMark/>
          </w:tcPr>
          <w:p w14:paraId="39A84546"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GDP per Capita (ratio)</w:t>
            </w:r>
          </w:p>
        </w:tc>
        <w:tc>
          <w:tcPr>
            <w:tcW w:w="993" w:type="dxa"/>
            <w:shd w:val="clear" w:color="auto" w:fill="auto"/>
            <w:noWrap/>
            <w:hideMark/>
          </w:tcPr>
          <w:p w14:paraId="07766D11"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33.33%</w:t>
            </w:r>
          </w:p>
        </w:tc>
        <w:tc>
          <w:tcPr>
            <w:tcW w:w="1134" w:type="dxa"/>
            <w:vMerge w:val="restart"/>
            <w:shd w:val="clear" w:color="auto" w:fill="auto"/>
            <w:noWrap/>
            <w:hideMark/>
          </w:tcPr>
          <w:p w14:paraId="6542E876"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30%</w:t>
            </w:r>
          </w:p>
        </w:tc>
      </w:tr>
      <w:tr w:rsidR="006E1000" w:rsidRPr="00E963C7" w14:paraId="6285AB09" w14:textId="77777777" w:rsidTr="004831C9">
        <w:trPr>
          <w:trHeight w:val="315"/>
        </w:trPr>
        <w:tc>
          <w:tcPr>
            <w:tcW w:w="1844" w:type="dxa"/>
            <w:vMerge/>
            <w:hideMark/>
          </w:tcPr>
          <w:p w14:paraId="7CE639EC" w14:textId="77777777" w:rsidR="006E1000" w:rsidRPr="00E963C7" w:rsidRDefault="006E1000" w:rsidP="004831C9">
            <w:pPr>
              <w:bidi w:val="0"/>
              <w:rPr>
                <w:rFonts w:asciiTheme="majorBidi" w:hAnsiTheme="majorBidi" w:cstheme="majorBidi"/>
                <w:color w:val="000000"/>
              </w:rPr>
            </w:pPr>
          </w:p>
        </w:tc>
        <w:tc>
          <w:tcPr>
            <w:tcW w:w="5527" w:type="dxa"/>
            <w:shd w:val="clear" w:color="auto" w:fill="auto"/>
            <w:noWrap/>
            <w:hideMark/>
          </w:tcPr>
          <w:p w14:paraId="274909A6"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Price level (ratio)</w:t>
            </w:r>
          </w:p>
        </w:tc>
        <w:tc>
          <w:tcPr>
            <w:tcW w:w="993" w:type="dxa"/>
            <w:shd w:val="clear" w:color="auto" w:fill="auto"/>
            <w:noWrap/>
            <w:hideMark/>
          </w:tcPr>
          <w:p w14:paraId="3803E2F9"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33.33%</w:t>
            </w:r>
          </w:p>
        </w:tc>
        <w:tc>
          <w:tcPr>
            <w:tcW w:w="1134" w:type="dxa"/>
            <w:vMerge/>
            <w:hideMark/>
          </w:tcPr>
          <w:p w14:paraId="082730BE" w14:textId="77777777" w:rsidR="006E1000" w:rsidRPr="00E963C7" w:rsidRDefault="006E1000" w:rsidP="004831C9">
            <w:pPr>
              <w:bidi w:val="0"/>
              <w:rPr>
                <w:rFonts w:asciiTheme="majorBidi" w:hAnsiTheme="majorBidi" w:cstheme="majorBidi"/>
                <w:color w:val="000000"/>
              </w:rPr>
            </w:pPr>
          </w:p>
        </w:tc>
      </w:tr>
      <w:tr w:rsidR="006E1000" w:rsidRPr="00E963C7" w14:paraId="6E7A8B5A" w14:textId="77777777" w:rsidTr="004831C9">
        <w:trPr>
          <w:trHeight w:val="315"/>
        </w:trPr>
        <w:tc>
          <w:tcPr>
            <w:tcW w:w="1844" w:type="dxa"/>
            <w:vMerge/>
            <w:hideMark/>
          </w:tcPr>
          <w:p w14:paraId="3CFF5315" w14:textId="77777777" w:rsidR="006E1000" w:rsidRPr="00E963C7" w:rsidRDefault="006E1000" w:rsidP="004831C9">
            <w:pPr>
              <w:bidi w:val="0"/>
              <w:rPr>
                <w:rFonts w:asciiTheme="majorBidi" w:hAnsiTheme="majorBidi" w:cstheme="majorBidi"/>
                <w:color w:val="000000"/>
              </w:rPr>
            </w:pPr>
          </w:p>
        </w:tc>
        <w:tc>
          <w:tcPr>
            <w:tcW w:w="5527" w:type="dxa"/>
            <w:shd w:val="clear" w:color="auto" w:fill="auto"/>
            <w:noWrap/>
            <w:hideMark/>
          </w:tcPr>
          <w:p w14:paraId="2A232C2A"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Daily Wage (ratio)</w:t>
            </w:r>
          </w:p>
        </w:tc>
        <w:tc>
          <w:tcPr>
            <w:tcW w:w="993" w:type="dxa"/>
            <w:shd w:val="clear" w:color="auto" w:fill="auto"/>
            <w:noWrap/>
            <w:hideMark/>
          </w:tcPr>
          <w:p w14:paraId="22621170"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33.33%</w:t>
            </w:r>
          </w:p>
        </w:tc>
        <w:tc>
          <w:tcPr>
            <w:tcW w:w="1134" w:type="dxa"/>
            <w:vMerge/>
            <w:hideMark/>
          </w:tcPr>
          <w:p w14:paraId="2743C8C9" w14:textId="77777777" w:rsidR="006E1000" w:rsidRPr="00E963C7" w:rsidRDefault="006E1000" w:rsidP="004831C9">
            <w:pPr>
              <w:bidi w:val="0"/>
              <w:rPr>
                <w:rFonts w:asciiTheme="majorBidi" w:hAnsiTheme="majorBidi" w:cstheme="majorBidi"/>
                <w:color w:val="000000"/>
              </w:rPr>
            </w:pPr>
          </w:p>
        </w:tc>
      </w:tr>
    </w:tbl>
    <w:p w14:paraId="6E40EEB5" w14:textId="77777777" w:rsidR="006E1000" w:rsidRDefault="006E1000" w:rsidP="006E1000">
      <w:pPr>
        <w:pStyle w:val="ListParagraph"/>
        <w:bidi w:val="0"/>
        <w:spacing w:line="276" w:lineRule="auto"/>
        <w:ind w:left="0" w:firstLine="720"/>
        <w:jc w:val="center"/>
        <w:rPr>
          <w:rFonts w:ascii="Times New Roman" w:hAnsi="Times New Roman" w:cs="David"/>
          <w:b/>
          <w:bCs/>
          <w:sz w:val="24"/>
          <w:szCs w:val="24"/>
          <w:rtl/>
        </w:rPr>
      </w:pPr>
    </w:p>
    <w:p w14:paraId="4C128F10" w14:textId="77777777" w:rsidR="006E1000" w:rsidRDefault="006E1000" w:rsidP="006E1000">
      <w:pPr>
        <w:pStyle w:val="ListParagraph"/>
        <w:bidi w:val="0"/>
        <w:spacing w:line="276" w:lineRule="auto"/>
        <w:ind w:left="0" w:firstLine="720"/>
        <w:jc w:val="center"/>
        <w:rPr>
          <w:rFonts w:ascii="Times New Roman" w:hAnsi="Times New Roman" w:cs="David"/>
          <w:b/>
          <w:bCs/>
          <w:sz w:val="24"/>
          <w:szCs w:val="24"/>
          <w:rtl/>
        </w:rPr>
      </w:pPr>
    </w:p>
    <w:p w14:paraId="7F0735A5" w14:textId="77777777" w:rsidR="006E1000" w:rsidRDefault="006E1000" w:rsidP="006E1000">
      <w:pPr>
        <w:pStyle w:val="ListParagraph"/>
        <w:bidi w:val="0"/>
        <w:spacing w:line="480" w:lineRule="auto"/>
        <w:ind w:left="0"/>
        <w:rPr>
          <w:rFonts w:ascii="Times New Roman" w:hAnsi="Times New Roman" w:cs="David"/>
          <w:sz w:val="24"/>
          <w:szCs w:val="24"/>
        </w:rPr>
      </w:pPr>
      <w:r>
        <w:rPr>
          <w:rFonts w:ascii="Times New Roman" w:hAnsi="Times New Roman" w:cs="David"/>
          <w:sz w:val="24"/>
          <w:szCs w:val="24"/>
        </w:rPr>
        <w:t xml:space="preserve">Number of dimensions: </w:t>
      </w:r>
      <w:r>
        <w:rPr>
          <w:rFonts w:ascii="Times New Roman" w:hAnsi="Times New Roman" w:cs="David" w:hint="cs"/>
          <w:sz w:val="24"/>
          <w:szCs w:val="24"/>
          <w:rtl/>
        </w:rPr>
        <w:t>4</w:t>
      </w:r>
    </w:p>
    <w:p w14:paraId="52A1FD2A" w14:textId="77777777" w:rsidR="006E1000" w:rsidRDefault="006E1000" w:rsidP="006E1000">
      <w:pPr>
        <w:pStyle w:val="ListParagraph"/>
        <w:bidi w:val="0"/>
        <w:spacing w:line="480" w:lineRule="auto"/>
        <w:ind w:left="0"/>
        <w:rPr>
          <w:rFonts w:ascii="Times New Roman" w:hAnsi="Times New Roman" w:cs="David"/>
          <w:sz w:val="24"/>
          <w:szCs w:val="24"/>
        </w:rPr>
      </w:pPr>
      <w:r>
        <w:rPr>
          <w:rFonts w:ascii="Times New Roman" w:hAnsi="Times New Roman" w:cs="David"/>
          <w:sz w:val="24"/>
          <w:szCs w:val="24"/>
        </w:rPr>
        <w:t xml:space="preserve">Number of indicators: </w:t>
      </w:r>
      <w:r>
        <w:rPr>
          <w:rFonts w:ascii="Times New Roman" w:hAnsi="Times New Roman" w:cs="David" w:hint="cs"/>
          <w:sz w:val="24"/>
          <w:szCs w:val="24"/>
          <w:rtl/>
        </w:rPr>
        <w:t>10</w:t>
      </w:r>
    </w:p>
    <w:p w14:paraId="2B7A28C6" w14:textId="77777777" w:rsidR="006E1000" w:rsidRPr="00A877B8" w:rsidRDefault="006E1000" w:rsidP="006E1000">
      <w:pPr>
        <w:bidi w:val="0"/>
        <w:spacing w:line="480" w:lineRule="auto"/>
        <w:ind w:left="-720" w:firstLine="720"/>
        <w:rPr>
          <w:rFonts w:asciiTheme="majorBidi" w:hAnsiTheme="majorBidi" w:cstheme="majorBidi"/>
          <w:sz w:val="24"/>
          <w:szCs w:val="24"/>
        </w:rPr>
      </w:pPr>
      <w:r w:rsidRPr="00A877B8">
        <w:rPr>
          <w:rFonts w:ascii="Times New Roman" w:hAnsi="Times New Roman" w:cs="David"/>
          <w:sz w:val="24"/>
          <w:szCs w:val="24"/>
        </w:rPr>
        <w:t xml:space="preserve">The weighting technique - </w:t>
      </w:r>
      <w:r w:rsidRPr="00A877B8">
        <w:rPr>
          <w:rFonts w:asciiTheme="majorBidi" w:hAnsiTheme="majorBidi" w:cstheme="majorBidi"/>
          <w:sz w:val="24"/>
          <w:szCs w:val="24"/>
        </w:rPr>
        <w:t>Equal weighting system</w:t>
      </w:r>
    </w:p>
    <w:p w14:paraId="087AF8B8" w14:textId="77777777" w:rsidR="006E1000" w:rsidRDefault="006E1000" w:rsidP="006E1000">
      <w:pPr>
        <w:pStyle w:val="ListParagraph"/>
        <w:bidi w:val="0"/>
        <w:spacing w:line="276" w:lineRule="auto"/>
        <w:ind w:left="0" w:firstLine="720"/>
        <w:jc w:val="center"/>
        <w:rPr>
          <w:rFonts w:ascii="Times New Roman" w:hAnsi="Times New Roman" w:cs="David"/>
          <w:b/>
          <w:bCs/>
          <w:sz w:val="24"/>
          <w:szCs w:val="24"/>
          <w:rtl/>
        </w:rPr>
      </w:pPr>
    </w:p>
    <w:p w14:paraId="70A45493" w14:textId="4B3913F7" w:rsidR="006E1000" w:rsidRDefault="006E1000" w:rsidP="006E1000">
      <w:pPr>
        <w:pStyle w:val="ListParagraph"/>
        <w:bidi w:val="0"/>
        <w:spacing w:line="276" w:lineRule="auto"/>
        <w:ind w:left="0" w:firstLine="720"/>
        <w:jc w:val="center"/>
        <w:rPr>
          <w:rFonts w:ascii="Times New Roman" w:hAnsi="Times New Roman" w:cs="David"/>
          <w:b/>
          <w:bCs/>
          <w:sz w:val="24"/>
          <w:szCs w:val="24"/>
        </w:rPr>
      </w:pPr>
    </w:p>
    <w:p w14:paraId="67BFC8C3" w14:textId="4385DF78" w:rsidR="00EA380D" w:rsidRDefault="00EA380D" w:rsidP="00EA380D">
      <w:pPr>
        <w:pStyle w:val="ListParagraph"/>
        <w:bidi w:val="0"/>
        <w:spacing w:line="276" w:lineRule="auto"/>
        <w:ind w:left="0" w:firstLine="720"/>
        <w:jc w:val="center"/>
        <w:rPr>
          <w:rFonts w:ascii="Times New Roman" w:hAnsi="Times New Roman" w:cs="David"/>
          <w:b/>
          <w:bCs/>
          <w:sz w:val="24"/>
          <w:szCs w:val="24"/>
        </w:rPr>
      </w:pPr>
    </w:p>
    <w:p w14:paraId="01DAD763" w14:textId="4385ADCF" w:rsidR="00EA380D" w:rsidRDefault="00EA380D" w:rsidP="00EA380D">
      <w:pPr>
        <w:pStyle w:val="ListParagraph"/>
        <w:bidi w:val="0"/>
        <w:spacing w:line="276" w:lineRule="auto"/>
        <w:ind w:left="0" w:firstLine="720"/>
        <w:jc w:val="center"/>
        <w:rPr>
          <w:rFonts w:ascii="Times New Roman" w:hAnsi="Times New Roman" w:cs="David"/>
          <w:b/>
          <w:bCs/>
          <w:sz w:val="24"/>
          <w:szCs w:val="24"/>
        </w:rPr>
      </w:pPr>
    </w:p>
    <w:p w14:paraId="7A69A48E" w14:textId="41DAE1EF" w:rsidR="00EA380D" w:rsidRDefault="00EA380D" w:rsidP="00EA380D">
      <w:pPr>
        <w:pStyle w:val="ListParagraph"/>
        <w:bidi w:val="0"/>
        <w:spacing w:line="276" w:lineRule="auto"/>
        <w:ind w:left="0" w:firstLine="720"/>
        <w:jc w:val="center"/>
        <w:rPr>
          <w:rFonts w:ascii="Times New Roman" w:hAnsi="Times New Roman" w:cs="David"/>
          <w:b/>
          <w:bCs/>
          <w:sz w:val="24"/>
          <w:szCs w:val="24"/>
        </w:rPr>
      </w:pPr>
    </w:p>
    <w:p w14:paraId="051A5B87" w14:textId="5F360B61" w:rsidR="00EA380D" w:rsidRDefault="00EA380D" w:rsidP="00EA380D">
      <w:pPr>
        <w:pStyle w:val="ListParagraph"/>
        <w:bidi w:val="0"/>
        <w:spacing w:line="276" w:lineRule="auto"/>
        <w:ind w:left="0" w:firstLine="720"/>
        <w:jc w:val="center"/>
        <w:rPr>
          <w:rFonts w:ascii="Times New Roman" w:hAnsi="Times New Roman" w:cs="David"/>
          <w:b/>
          <w:bCs/>
          <w:sz w:val="24"/>
          <w:szCs w:val="24"/>
        </w:rPr>
      </w:pPr>
    </w:p>
    <w:p w14:paraId="375F7110" w14:textId="63815112" w:rsidR="00EA380D" w:rsidRDefault="00EA380D" w:rsidP="00EA380D">
      <w:pPr>
        <w:pStyle w:val="ListParagraph"/>
        <w:bidi w:val="0"/>
        <w:spacing w:line="276" w:lineRule="auto"/>
        <w:ind w:left="0" w:firstLine="720"/>
        <w:jc w:val="center"/>
        <w:rPr>
          <w:rFonts w:ascii="Times New Roman" w:hAnsi="Times New Roman" w:cs="David"/>
          <w:b/>
          <w:bCs/>
          <w:sz w:val="24"/>
          <w:szCs w:val="24"/>
        </w:rPr>
      </w:pPr>
    </w:p>
    <w:p w14:paraId="73100CB5" w14:textId="49C46E8B" w:rsidR="00EA380D" w:rsidRDefault="00EA380D" w:rsidP="00EA380D">
      <w:pPr>
        <w:pStyle w:val="ListParagraph"/>
        <w:bidi w:val="0"/>
        <w:spacing w:line="276" w:lineRule="auto"/>
        <w:ind w:left="0" w:firstLine="720"/>
        <w:jc w:val="center"/>
        <w:rPr>
          <w:rFonts w:ascii="Times New Roman" w:hAnsi="Times New Roman" w:cs="David"/>
          <w:b/>
          <w:bCs/>
          <w:sz w:val="24"/>
          <w:szCs w:val="24"/>
        </w:rPr>
      </w:pPr>
    </w:p>
    <w:p w14:paraId="0FD1AED4" w14:textId="7A2CB6CE" w:rsidR="00EA380D" w:rsidRDefault="00EA380D" w:rsidP="00EA380D">
      <w:pPr>
        <w:pStyle w:val="ListParagraph"/>
        <w:bidi w:val="0"/>
        <w:spacing w:line="276" w:lineRule="auto"/>
        <w:ind w:left="0" w:firstLine="720"/>
        <w:jc w:val="center"/>
        <w:rPr>
          <w:rFonts w:ascii="Times New Roman" w:hAnsi="Times New Roman" w:cs="David"/>
          <w:b/>
          <w:bCs/>
          <w:sz w:val="24"/>
          <w:szCs w:val="24"/>
        </w:rPr>
      </w:pPr>
    </w:p>
    <w:p w14:paraId="206DFB18" w14:textId="36467DBE" w:rsidR="00EA380D" w:rsidRDefault="00EA380D" w:rsidP="00EA380D">
      <w:pPr>
        <w:pStyle w:val="ListParagraph"/>
        <w:bidi w:val="0"/>
        <w:spacing w:line="276" w:lineRule="auto"/>
        <w:ind w:left="0" w:firstLine="720"/>
        <w:jc w:val="center"/>
        <w:rPr>
          <w:rFonts w:ascii="Times New Roman" w:hAnsi="Times New Roman" w:cs="David"/>
          <w:b/>
          <w:bCs/>
          <w:sz w:val="24"/>
          <w:szCs w:val="24"/>
        </w:rPr>
      </w:pPr>
    </w:p>
    <w:p w14:paraId="4952BA70" w14:textId="05C7416B" w:rsidR="00EA380D" w:rsidRDefault="00EA380D" w:rsidP="00EA380D">
      <w:pPr>
        <w:pStyle w:val="ListParagraph"/>
        <w:bidi w:val="0"/>
        <w:spacing w:line="276" w:lineRule="auto"/>
        <w:ind w:left="0" w:firstLine="720"/>
        <w:jc w:val="center"/>
        <w:rPr>
          <w:rFonts w:ascii="Times New Roman" w:hAnsi="Times New Roman" w:cs="David"/>
          <w:b/>
          <w:bCs/>
          <w:sz w:val="24"/>
          <w:szCs w:val="24"/>
        </w:rPr>
      </w:pPr>
    </w:p>
    <w:p w14:paraId="48255A78" w14:textId="5C0C9B10" w:rsidR="00EA380D" w:rsidRDefault="00EA380D" w:rsidP="00EA380D">
      <w:pPr>
        <w:pStyle w:val="ListParagraph"/>
        <w:bidi w:val="0"/>
        <w:spacing w:line="276" w:lineRule="auto"/>
        <w:ind w:left="0" w:firstLine="720"/>
        <w:jc w:val="center"/>
        <w:rPr>
          <w:rFonts w:ascii="Times New Roman" w:hAnsi="Times New Roman" w:cs="David"/>
          <w:b/>
          <w:bCs/>
          <w:sz w:val="24"/>
          <w:szCs w:val="24"/>
        </w:rPr>
      </w:pPr>
    </w:p>
    <w:p w14:paraId="6AA59D1C" w14:textId="6E893561" w:rsidR="00EA380D" w:rsidRDefault="00EA380D" w:rsidP="00EA380D">
      <w:pPr>
        <w:pStyle w:val="ListParagraph"/>
        <w:bidi w:val="0"/>
        <w:spacing w:line="276" w:lineRule="auto"/>
        <w:ind w:left="0" w:firstLine="720"/>
        <w:jc w:val="center"/>
        <w:rPr>
          <w:rFonts w:ascii="Times New Roman" w:hAnsi="Times New Roman" w:cs="David"/>
          <w:b/>
          <w:bCs/>
          <w:sz w:val="24"/>
          <w:szCs w:val="24"/>
        </w:rPr>
      </w:pPr>
    </w:p>
    <w:p w14:paraId="20D1ADE5" w14:textId="2708F426" w:rsidR="00EA380D" w:rsidRDefault="00EA380D" w:rsidP="00EA380D">
      <w:pPr>
        <w:pStyle w:val="ListParagraph"/>
        <w:bidi w:val="0"/>
        <w:spacing w:line="276" w:lineRule="auto"/>
        <w:ind w:left="0" w:firstLine="720"/>
        <w:jc w:val="center"/>
        <w:rPr>
          <w:rFonts w:ascii="Times New Roman" w:hAnsi="Times New Roman" w:cs="David"/>
          <w:b/>
          <w:bCs/>
          <w:sz w:val="24"/>
          <w:szCs w:val="24"/>
        </w:rPr>
      </w:pPr>
    </w:p>
    <w:p w14:paraId="1D8B13FF" w14:textId="7B8AEE55" w:rsidR="00EA380D" w:rsidRDefault="00EA380D" w:rsidP="00EA380D">
      <w:pPr>
        <w:pStyle w:val="ListParagraph"/>
        <w:bidi w:val="0"/>
        <w:spacing w:line="276" w:lineRule="auto"/>
        <w:ind w:left="0" w:firstLine="720"/>
        <w:jc w:val="center"/>
        <w:rPr>
          <w:rFonts w:ascii="Times New Roman" w:hAnsi="Times New Roman" w:cs="David"/>
          <w:b/>
          <w:bCs/>
          <w:sz w:val="24"/>
          <w:szCs w:val="24"/>
        </w:rPr>
      </w:pPr>
    </w:p>
    <w:p w14:paraId="1BE624C6" w14:textId="77777777" w:rsidR="00EA380D" w:rsidRDefault="00EA380D" w:rsidP="00EA380D">
      <w:pPr>
        <w:pStyle w:val="ListParagraph"/>
        <w:bidi w:val="0"/>
        <w:spacing w:line="276" w:lineRule="auto"/>
        <w:ind w:left="0" w:firstLine="720"/>
        <w:jc w:val="center"/>
        <w:rPr>
          <w:rFonts w:ascii="Times New Roman" w:hAnsi="Times New Roman" w:cs="David"/>
          <w:b/>
          <w:bCs/>
          <w:sz w:val="24"/>
          <w:szCs w:val="24"/>
          <w:rtl/>
        </w:rPr>
      </w:pPr>
    </w:p>
    <w:p w14:paraId="6B4D9245" w14:textId="77777777" w:rsidR="006E1000" w:rsidRPr="00203C14" w:rsidRDefault="006E1000" w:rsidP="006E1000">
      <w:pPr>
        <w:pStyle w:val="ListParagraph"/>
        <w:bidi w:val="0"/>
        <w:spacing w:line="276" w:lineRule="auto"/>
        <w:ind w:left="0" w:firstLine="720"/>
        <w:jc w:val="center"/>
        <w:rPr>
          <w:rFonts w:ascii="Times New Roman" w:hAnsi="Times New Roman" w:cs="David"/>
          <w:b/>
          <w:bCs/>
          <w:sz w:val="24"/>
          <w:szCs w:val="24"/>
        </w:rPr>
      </w:pPr>
      <w:r>
        <w:rPr>
          <w:rFonts w:ascii="Times New Roman" w:hAnsi="Times New Roman" w:cs="David"/>
          <w:b/>
          <w:bCs/>
          <w:sz w:val="24"/>
          <w:szCs w:val="24"/>
        </w:rPr>
        <w:t xml:space="preserve">Figure 34: </w:t>
      </w:r>
      <w:r w:rsidRPr="00203C14">
        <w:rPr>
          <w:rFonts w:ascii="Times New Roman" w:hAnsi="Times New Roman" w:cs="David"/>
          <w:b/>
          <w:bCs/>
          <w:sz w:val="24"/>
          <w:szCs w:val="24"/>
        </w:rPr>
        <w:t>ISR-WBG-II 19</w:t>
      </w:r>
      <w:r>
        <w:rPr>
          <w:rFonts w:ascii="Times New Roman" w:hAnsi="Times New Roman" w:cs="David"/>
          <w:b/>
          <w:bCs/>
          <w:sz w:val="24"/>
          <w:szCs w:val="24"/>
        </w:rPr>
        <w:t>96</w:t>
      </w:r>
      <w:r w:rsidRPr="00203C14">
        <w:rPr>
          <w:rFonts w:ascii="Times New Roman" w:hAnsi="Times New Roman" w:cs="David"/>
          <w:b/>
          <w:bCs/>
          <w:sz w:val="24"/>
          <w:szCs w:val="24"/>
        </w:rPr>
        <w:t>-2019</w:t>
      </w:r>
      <w:r>
        <w:rPr>
          <w:rFonts w:ascii="Times New Roman" w:hAnsi="Times New Roman" w:cs="David"/>
          <w:b/>
          <w:bCs/>
          <w:sz w:val="24"/>
          <w:szCs w:val="24"/>
        </w:rPr>
        <w:t xml:space="preserve"> – Total index</w:t>
      </w:r>
    </w:p>
    <w:p w14:paraId="19F15F79" w14:textId="77777777" w:rsidR="006E1000" w:rsidRDefault="006E1000" w:rsidP="006E1000">
      <w:pPr>
        <w:pStyle w:val="ListParagraph"/>
        <w:bidi w:val="0"/>
        <w:spacing w:line="480" w:lineRule="auto"/>
        <w:rPr>
          <w:rFonts w:ascii="Times New Roman" w:hAnsi="Times New Roman" w:cs="David"/>
          <w:b/>
          <w:bCs/>
          <w:sz w:val="24"/>
          <w:szCs w:val="24"/>
        </w:rPr>
      </w:pPr>
      <w:r>
        <w:rPr>
          <w:noProof/>
        </w:rPr>
        <w:drawing>
          <wp:inline distT="0" distB="0" distL="0" distR="0" wp14:anchorId="7DE5B877" wp14:editId="70E2B4C6">
            <wp:extent cx="4320000" cy="2520000"/>
            <wp:effectExtent l="0" t="0" r="4445" b="13970"/>
            <wp:docPr id="37" name="תרשים 20">
              <a:extLst xmlns:a="http://schemas.openxmlformats.org/drawingml/2006/main">
                <a:ext uri="{FF2B5EF4-FFF2-40B4-BE49-F238E27FC236}">
                  <a16:creationId xmlns:a16="http://schemas.microsoft.com/office/drawing/2014/main" id="{F466910F-9FAF-4A20-9A29-09F98EC42E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E868EA" w14:textId="77777777" w:rsidR="006E1000" w:rsidRDefault="006E1000" w:rsidP="006E1000">
      <w:pPr>
        <w:pStyle w:val="ListParagraph"/>
        <w:bidi w:val="0"/>
        <w:spacing w:line="276" w:lineRule="auto"/>
        <w:ind w:left="0"/>
        <w:jc w:val="center"/>
        <w:rPr>
          <w:rFonts w:ascii="Times New Roman" w:hAnsi="Times New Roman" w:cs="David"/>
          <w:b/>
          <w:bCs/>
          <w:sz w:val="24"/>
          <w:szCs w:val="24"/>
          <w:rtl/>
        </w:rPr>
      </w:pPr>
    </w:p>
    <w:p w14:paraId="72DFEEF8" w14:textId="77777777" w:rsidR="006E1000" w:rsidRDefault="006E1000" w:rsidP="006E1000">
      <w:pPr>
        <w:pStyle w:val="ListParagraph"/>
        <w:bidi w:val="0"/>
        <w:spacing w:line="276" w:lineRule="auto"/>
        <w:ind w:left="0"/>
        <w:jc w:val="center"/>
        <w:rPr>
          <w:rFonts w:ascii="Times New Roman" w:hAnsi="Times New Roman" w:cs="David"/>
          <w:b/>
          <w:bCs/>
          <w:sz w:val="24"/>
          <w:szCs w:val="24"/>
        </w:rPr>
      </w:pPr>
      <w:r>
        <w:rPr>
          <w:rFonts w:ascii="Times New Roman" w:hAnsi="Times New Roman" w:cs="David"/>
          <w:b/>
          <w:bCs/>
          <w:sz w:val="24"/>
          <w:szCs w:val="24"/>
        </w:rPr>
        <w:t xml:space="preserve">Figure 35: </w:t>
      </w:r>
      <w:r w:rsidRPr="00203C14">
        <w:rPr>
          <w:rFonts w:ascii="Times New Roman" w:hAnsi="Times New Roman" w:cs="David"/>
          <w:b/>
          <w:bCs/>
          <w:sz w:val="24"/>
          <w:szCs w:val="24"/>
        </w:rPr>
        <w:t>ISR-WBG-II 19</w:t>
      </w:r>
      <w:r>
        <w:rPr>
          <w:rFonts w:ascii="Times New Roman" w:hAnsi="Times New Roman" w:cs="David"/>
          <w:b/>
          <w:bCs/>
          <w:sz w:val="24"/>
          <w:szCs w:val="24"/>
        </w:rPr>
        <w:t>96</w:t>
      </w:r>
      <w:r w:rsidRPr="00203C14">
        <w:rPr>
          <w:rFonts w:ascii="Times New Roman" w:hAnsi="Times New Roman" w:cs="David"/>
          <w:b/>
          <w:bCs/>
          <w:sz w:val="24"/>
          <w:szCs w:val="24"/>
        </w:rPr>
        <w:t>-2019</w:t>
      </w:r>
      <w:r>
        <w:rPr>
          <w:rFonts w:ascii="Times New Roman" w:hAnsi="Times New Roman" w:cs="David"/>
          <w:b/>
          <w:bCs/>
          <w:sz w:val="24"/>
          <w:szCs w:val="24"/>
        </w:rPr>
        <w:t xml:space="preserve"> b</w:t>
      </w:r>
      <w:r w:rsidRPr="009525DA">
        <w:rPr>
          <w:rFonts w:ascii="Times New Roman" w:hAnsi="Times New Roman" w:cs="David"/>
          <w:b/>
          <w:bCs/>
          <w:sz w:val="24"/>
          <w:szCs w:val="24"/>
        </w:rPr>
        <w:t>y dimensions</w:t>
      </w:r>
    </w:p>
    <w:p w14:paraId="13DF9A74" w14:textId="77777777" w:rsidR="006E1000" w:rsidRDefault="006E1000" w:rsidP="006E1000">
      <w:pPr>
        <w:pStyle w:val="ListParagraph"/>
        <w:bidi w:val="0"/>
        <w:spacing w:line="480" w:lineRule="auto"/>
        <w:ind w:left="0"/>
        <w:jc w:val="center"/>
        <w:rPr>
          <w:noProof/>
        </w:rPr>
      </w:pPr>
      <w:r>
        <w:rPr>
          <w:noProof/>
        </w:rPr>
        <w:drawing>
          <wp:inline distT="0" distB="0" distL="0" distR="0" wp14:anchorId="443E0066" wp14:editId="19A21542">
            <wp:extent cx="4320000" cy="2520000"/>
            <wp:effectExtent l="0" t="0" r="4445" b="13970"/>
            <wp:docPr id="38" name="Chart 38">
              <a:extLst xmlns:a="http://schemas.openxmlformats.org/drawingml/2006/main">
                <a:ext uri="{FF2B5EF4-FFF2-40B4-BE49-F238E27FC236}">
                  <a16:creationId xmlns:a16="http://schemas.microsoft.com/office/drawing/2014/main" id="{C509A137-05EC-49AD-83FE-936AC83EEE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70B72A" w14:textId="77777777" w:rsidR="006E1000" w:rsidRDefault="006E1000" w:rsidP="006E1000">
      <w:pPr>
        <w:pStyle w:val="ListParagraph"/>
        <w:bidi w:val="0"/>
        <w:spacing w:line="276" w:lineRule="auto"/>
        <w:ind w:left="0"/>
        <w:jc w:val="center"/>
        <w:rPr>
          <w:b/>
          <w:bCs/>
          <w:noProof/>
          <w:sz w:val="24"/>
          <w:szCs w:val="24"/>
        </w:rPr>
      </w:pPr>
      <w:r>
        <w:rPr>
          <w:rFonts w:ascii="Times New Roman" w:hAnsi="Times New Roman" w:cs="David"/>
          <w:b/>
          <w:bCs/>
          <w:sz w:val="24"/>
          <w:szCs w:val="24"/>
        </w:rPr>
        <w:t xml:space="preserve">Figure 36: </w:t>
      </w:r>
      <w:r w:rsidRPr="00A811C5">
        <w:rPr>
          <w:rFonts w:ascii="Times New Roman" w:hAnsi="Times New Roman" w:cs="David"/>
          <w:b/>
          <w:bCs/>
          <w:sz w:val="24"/>
          <w:szCs w:val="24"/>
        </w:rPr>
        <w:t>ISR-WBG-II 19</w:t>
      </w:r>
      <w:r>
        <w:rPr>
          <w:rFonts w:ascii="Times New Roman" w:hAnsi="Times New Roman" w:cs="David"/>
          <w:b/>
          <w:bCs/>
          <w:sz w:val="24"/>
          <w:szCs w:val="24"/>
        </w:rPr>
        <w:t>96</w:t>
      </w:r>
      <w:r w:rsidRPr="00A811C5">
        <w:rPr>
          <w:rFonts w:ascii="Times New Roman" w:hAnsi="Times New Roman" w:cs="David"/>
          <w:b/>
          <w:bCs/>
          <w:sz w:val="24"/>
          <w:szCs w:val="24"/>
        </w:rPr>
        <w:t xml:space="preserve">-2019 </w:t>
      </w:r>
      <w:r w:rsidRPr="00A811C5">
        <w:rPr>
          <w:b/>
          <w:bCs/>
          <w:noProof/>
          <w:sz w:val="24"/>
          <w:szCs w:val="24"/>
        </w:rPr>
        <w:t xml:space="preserve">by contribution of </w:t>
      </w:r>
      <w:r w:rsidRPr="00A811C5">
        <w:rPr>
          <w:rFonts w:ascii="Times New Roman" w:hAnsi="Times New Roman" w:cs="David"/>
          <w:b/>
          <w:bCs/>
          <w:sz w:val="24"/>
          <w:szCs w:val="24"/>
        </w:rPr>
        <w:t>dimensions</w:t>
      </w:r>
      <w:r w:rsidRPr="00A811C5">
        <w:rPr>
          <w:b/>
          <w:bCs/>
          <w:noProof/>
          <w:sz w:val="24"/>
          <w:szCs w:val="24"/>
        </w:rPr>
        <w:t xml:space="preserve"> </w:t>
      </w:r>
    </w:p>
    <w:p w14:paraId="212F722B" w14:textId="77777777" w:rsidR="006E1000" w:rsidRPr="00642F3F" w:rsidRDefault="006E1000" w:rsidP="006E1000">
      <w:pPr>
        <w:ind w:left="720"/>
      </w:pPr>
      <w:r>
        <w:rPr>
          <w:noProof/>
        </w:rPr>
        <w:drawing>
          <wp:inline distT="0" distB="0" distL="0" distR="0" wp14:anchorId="7A165466" wp14:editId="45B0BB93">
            <wp:extent cx="4320000" cy="2520000"/>
            <wp:effectExtent l="0" t="0" r="4445" b="13970"/>
            <wp:docPr id="39" name="Chart 39">
              <a:extLst xmlns:a="http://schemas.openxmlformats.org/drawingml/2006/main">
                <a:ext uri="{FF2B5EF4-FFF2-40B4-BE49-F238E27FC236}">
                  <a16:creationId xmlns:a16="http://schemas.microsoft.com/office/drawing/2014/main" id="{260BD348-3FB6-4CD2-B6AB-74F11B067B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829264" w14:textId="77777777" w:rsidR="006E1000" w:rsidRDefault="006E1000" w:rsidP="006E1000">
      <w:pPr>
        <w:pStyle w:val="ListParagraph"/>
        <w:numPr>
          <w:ilvl w:val="2"/>
          <w:numId w:val="3"/>
        </w:numPr>
        <w:bidi w:val="0"/>
        <w:spacing w:line="480" w:lineRule="auto"/>
        <w:rPr>
          <w:rFonts w:ascii="Times New Roman" w:hAnsi="Times New Roman" w:cs="David"/>
          <w:b/>
          <w:bCs/>
          <w:sz w:val="24"/>
          <w:szCs w:val="24"/>
        </w:rPr>
      </w:pPr>
      <w:r>
        <w:rPr>
          <w:rFonts w:ascii="Times New Roman" w:hAnsi="Times New Roman" w:cs="David"/>
          <w:b/>
          <w:bCs/>
          <w:sz w:val="24"/>
          <w:szCs w:val="24"/>
        </w:rPr>
        <w:t>ISR-WBG-II 2000-2019</w:t>
      </w:r>
    </w:p>
    <w:p w14:paraId="0936B78F" w14:textId="77777777" w:rsidR="006E1000" w:rsidRDefault="006E1000" w:rsidP="006E1000">
      <w:pPr>
        <w:pStyle w:val="ListParagraph"/>
        <w:bidi w:val="0"/>
        <w:spacing w:line="480" w:lineRule="auto"/>
        <w:ind w:left="360"/>
        <w:jc w:val="center"/>
        <w:rPr>
          <w:rFonts w:ascii="Times New Roman" w:hAnsi="Times New Roman" w:cs="David"/>
          <w:b/>
          <w:bCs/>
          <w:sz w:val="24"/>
          <w:szCs w:val="24"/>
        </w:rPr>
      </w:pPr>
      <w:r>
        <w:rPr>
          <w:rFonts w:ascii="Times New Roman" w:hAnsi="Times New Roman" w:cs="David"/>
          <w:b/>
          <w:bCs/>
          <w:sz w:val="24"/>
          <w:szCs w:val="24"/>
        </w:rPr>
        <w:t>Table 4 -</w:t>
      </w:r>
      <w:r w:rsidRPr="00B37731">
        <w:t xml:space="preserve"> </w:t>
      </w:r>
      <w:r w:rsidRPr="00B37731">
        <w:rPr>
          <w:rFonts w:ascii="Times New Roman" w:hAnsi="Times New Roman" w:cs="David"/>
          <w:b/>
          <w:bCs/>
          <w:sz w:val="24"/>
          <w:szCs w:val="24"/>
        </w:rPr>
        <w:t>Dimensions, indicators and weights</w:t>
      </w:r>
      <w:r>
        <w:rPr>
          <w:rFonts w:ascii="Times New Roman" w:hAnsi="Times New Roman" w:cs="David" w:hint="cs"/>
          <w:b/>
          <w:bCs/>
          <w:sz w:val="24"/>
          <w:szCs w:val="24"/>
          <w:rtl/>
        </w:rPr>
        <w:t xml:space="preserve"> </w:t>
      </w:r>
      <w:r>
        <w:rPr>
          <w:rFonts w:ascii="Times New Roman" w:hAnsi="Times New Roman" w:cs="David"/>
          <w:b/>
          <w:bCs/>
          <w:sz w:val="24"/>
          <w:szCs w:val="24"/>
        </w:rPr>
        <w:t>2000-2019</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5735"/>
        <w:gridCol w:w="1096"/>
        <w:gridCol w:w="1219"/>
      </w:tblGrid>
      <w:tr w:rsidR="006E1000" w:rsidRPr="00E963C7" w14:paraId="6BC380A5" w14:textId="77777777" w:rsidTr="004831C9">
        <w:trPr>
          <w:trHeight w:val="300"/>
        </w:trPr>
        <w:tc>
          <w:tcPr>
            <w:tcW w:w="1773" w:type="dxa"/>
            <w:shd w:val="clear" w:color="auto" w:fill="auto"/>
            <w:noWrap/>
            <w:vAlign w:val="bottom"/>
            <w:hideMark/>
          </w:tcPr>
          <w:p w14:paraId="132CA964"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Dimension</w:t>
            </w:r>
          </w:p>
        </w:tc>
        <w:tc>
          <w:tcPr>
            <w:tcW w:w="5735" w:type="dxa"/>
            <w:shd w:val="clear" w:color="auto" w:fill="auto"/>
            <w:noWrap/>
            <w:vAlign w:val="bottom"/>
            <w:hideMark/>
          </w:tcPr>
          <w:p w14:paraId="336B2866"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Indicator</w:t>
            </w:r>
          </w:p>
        </w:tc>
        <w:tc>
          <w:tcPr>
            <w:tcW w:w="964" w:type="dxa"/>
            <w:shd w:val="clear" w:color="auto" w:fill="auto"/>
            <w:noWrap/>
            <w:vAlign w:val="center"/>
            <w:hideMark/>
          </w:tcPr>
          <w:p w14:paraId="30F9A2B1"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Indicator weight</w:t>
            </w:r>
          </w:p>
        </w:tc>
        <w:tc>
          <w:tcPr>
            <w:tcW w:w="1106" w:type="dxa"/>
            <w:shd w:val="clear" w:color="auto" w:fill="auto"/>
            <w:noWrap/>
            <w:vAlign w:val="center"/>
            <w:hideMark/>
          </w:tcPr>
          <w:p w14:paraId="73E32306"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Dimension weight</w:t>
            </w:r>
          </w:p>
        </w:tc>
      </w:tr>
      <w:tr w:rsidR="006E1000" w:rsidRPr="00E963C7" w14:paraId="35102D80" w14:textId="77777777" w:rsidTr="004831C9">
        <w:trPr>
          <w:trHeight w:val="300"/>
        </w:trPr>
        <w:tc>
          <w:tcPr>
            <w:tcW w:w="1773" w:type="dxa"/>
            <w:vMerge w:val="restart"/>
            <w:shd w:val="clear" w:color="auto" w:fill="auto"/>
            <w:vAlign w:val="center"/>
            <w:hideMark/>
          </w:tcPr>
          <w:p w14:paraId="462B2BE8"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Trade, employment and taxes</w:t>
            </w:r>
          </w:p>
        </w:tc>
        <w:tc>
          <w:tcPr>
            <w:tcW w:w="5735" w:type="dxa"/>
            <w:shd w:val="clear" w:color="auto" w:fill="auto"/>
            <w:noWrap/>
            <w:vAlign w:val="bottom"/>
            <w:hideMark/>
          </w:tcPr>
          <w:p w14:paraId="014047C4"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Palestinian exports of goods and services to Israel out of total Palestinian exports</w:t>
            </w:r>
          </w:p>
        </w:tc>
        <w:tc>
          <w:tcPr>
            <w:tcW w:w="964" w:type="dxa"/>
            <w:shd w:val="clear" w:color="auto" w:fill="auto"/>
            <w:noWrap/>
            <w:vAlign w:val="center"/>
            <w:hideMark/>
          </w:tcPr>
          <w:p w14:paraId="1A0DCD92"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20.0%</w:t>
            </w:r>
          </w:p>
        </w:tc>
        <w:tc>
          <w:tcPr>
            <w:tcW w:w="1106" w:type="dxa"/>
            <w:vMerge w:val="restart"/>
            <w:shd w:val="clear" w:color="auto" w:fill="auto"/>
            <w:noWrap/>
            <w:vAlign w:val="center"/>
            <w:hideMark/>
          </w:tcPr>
          <w:p w14:paraId="1E9429B1"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33.3%</w:t>
            </w:r>
          </w:p>
        </w:tc>
      </w:tr>
      <w:tr w:rsidR="006E1000" w:rsidRPr="00E963C7" w14:paraId="217FBD7C" w14:textId="77777777" w:rsidTr="004831C9">
        <w:trPr>
          <w:trHeight w:val="300"/>
        </w:trPr>
        <w:tc>
          <w:tcPr>
            <w:tcW w:w="1773" w:type="dxa"/>
            <w:vMerge/>
            <w:vAlign w:val="center"/>
            <w:hideMark/>
          </w:tcPr>
          <w:p w14:paraId="48AE608D" w14:textId="77777777" w:rsidR="006E1000" w:rsidRPr="00E963C7" w:rsidRDefault="006E1000" w:rsidP="004831C9">
            <w:pPr>
              <w:bidi w:val="0"/>
              <w:rPr>
                <w:rFonts w:asciiTheme="majorBidi" w:hAnsiTheme="majorBidi" w:cstheme="majorBidi"/>
                <w:color w:val="000000"/>
              </w:rPr>
            </w:pPr>
          </w:p>
        </w:tc>
        <w:tc>
          <w:tcPr>
            <w:tcW w:w="5735" w:type="dxa"/>
            <w:shd w:val="clear" w:color="auto" w:fill="auto"/>
            <w:noWrap/>
            <w:vAlign w:val="bottom"/>
            <w:hideMark/>
          </w:tcPr>
          <w:p w14:paraId="64BAE9A2"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Palestinian imports of goods and services from Israel out of total Palestinian imports</w:t>
            </w:r>
          </w:p>
        </w:tc>
        <w:tc>
          <w:tcPr>
            <w:tcW w:w="964" w:type="dxa"/>
            <w:shd w:val="clear" w:color="auto" w:fill="auto"/>
            <w:noWrap/>
            <w:vAlign w:val="center"/>
            <w:hideMark/>
          </w:tcPr>
          <w:p w14:paraId="71A1DD4A"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20.0%</w:t>
            </w:r>
          </w:p>
        </w:tc>
        <w:tc>
          <w:tcPr>
            <w:tcW w:w="1106" w:type="dxa"/>
            <w:vMerge/>
            <w:vAlign w:val="center"/>
            <w:hideMark/>
          </w:tcPr>
          <w:p w14:paraId="69B3603C" w14:textId="77777777" w:rsidR="006E1000" w:rsidRPr="00E963C7" w:rsidRDefault="006E1000" w:rsidP="004831C9">
            <w:pPr>
              <w:bidi w:val="0"/>
              <w:rPr>
                <w:rFonts w:asciiTheme="majorBidi" w:hAnsiTheme="majorBidi" w:cstheme="majorBidi"/>
                <w:color w:val="000000"/>
              </w:rPr>
            </w:pPr>
          </w:p>
        </w:tc>
      </w:tr>
      <w:tr w:rsidR="006E1000" w:rsidRPr="00E963C7" w14:paraId="6E670D9B" w14:textId="77777777" w:rsidTr="004831C9">
        <w:trPr>
          <w:trHeight w:val="300"/>
        </w:trPr>
        <w:tc>
          <w:tcPr>
            <w:tcW w:w="1773" w:type="dxa"/>
            <w:vMerge/>
            <w:vAlign w:val="center"/>
            <w:hideMark/>
          </w:tcPr>
          <w:p w14:paraId="3C94EFCD" w14:textId="77777777" w:rsidR="006E1000" w:rsidRPr="00E963C7" w:rsidRDefault="006E1000" w:rsidP="004831C9">
            <w:pPr>
              <w:bidi w:val="0"/>
              <w:rPr>
                <w:rFonts w:asciiTheme="majorBidi" w:hAnsiTheme="majorBidi" w:cstheme="majorBidi"/>
                <w:color w:val="000000"/>
              </w:rPr>
            </w:pPr>
          </w:p>
        </w:tc>
        <w:tc>
          <w:tcPr>
            <w:tcW w:w="5735" w:type="dxa"/>
            <w:shd w:val="clear" w:color="auto" w:fill="auto"/>
            <w:noWrap/>
            <w:vAlign w:val="bottom"/>
            <w:hideMark/>
          </w:tcPr>
          <w:p w14:paraId="38C05654"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Share of Gross clearance revenues out of Total PA net revenues and grants</w:t>
            </w:r>
          </w:p>
        </w:tc>
        <w:tc>
          <w:tcPr>
            <w:tcW w:w="964" w:type="dxa"/>
            <w:shd w:val="clear" w:color="auto" w:fill="auto"/>
            <w:noWrap/>
            <w:vAlign w:val="center"/>
            <w:hideMark/>
          </w:tcPr>
          <w:p w14:paraId="45BC9999"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20.0%</w:t>
            </w:r>
          </w:p>
        </w:tc>
        <w:tc>
          <w:tcPr>
            <w:tcW w:w="1106" w:type="dxa"/>
            <w:vMerge/>
            <w:vAlign w:val="center"/>
            <w:hideMark/>
          </w:tcPr>
          <w:p w14:paraId="6F5D6E8D" w14:textId="77777777" w:rsidR="006E1000" w:rsidRPr="00E963C7" w:rsidRDefault="006E1000" w:rsidP="004831C9">
            <w:pPr>
              <w:bidi w:val="0"/>
              <w:rPr>
                <w:rFonts w:asciiTheme="majorBidi" w:hAnsiTheme="majorBidi" w:cstheme="majorBidi"/>
                <w:color w:val="000000"/>
              </w:rPr>
            </w:pPr>
          </w:p>
        </w:tc>
      </w:tr>
      <w:tr w:rsidR="006E1000" w:rsidRPr="00E963C7" w14:paraId="5B813CAB" w14:textId="77777777" w:rsidTr="004831C9">
        <w:trPr>
          <w:trHeight w:val="300"/>
        </w:trPr>
        <w:tc>
          <w:tcPr>
            <w:tcW w:w="1773" w:type="dxa"/>
            <w:vMerge/>
            <w:vAlign w:val="center"/>
            <w:hideMark/>
          </w:tcPr>
          <w:p w14:paraId="0281F337" w14:textId="77777777" w:rsidR="006E1000" w:rsidRPr="00E963C7" w:rsidRDefault="006E1000" w:rsidP="004831C9">
            <w:pPr>
              <w:bidi w:val="0"/>
              <w:rPr>
                <w:rFonts w:asciiTheme="majorBidi" w:hAnsiTheme="majorBidi" w:cstheme="majorBidi"/>
                <w:color w:val="000000"/>
              </w:rPr>
            </w:pPr>
          </w:p>
        </w:tc>
        <w:tc>
          <w:tcPr>
            <w:tcW w:w="5735" w:type="dxa"/>
            <w:shd w:val="clear" w:color="auto" w:fill="auto"/>
            <w:noWrap/>
            <w:vAlign w:val="bottom"/>
            <w:hideMark/>
          </w:tcPr>
          <w:p w14:paraId="4E5C3ADA"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 xml:space="preserve">Palestinians employed in Israel out of total Palestinian Individuals employed </w:t>
            </w:r>
          </w:p>
        </w:tc>
        <w:tc>
          <w:tcPr>
            <w:tcW w:w="964" w:type="dxa"/>
            <w:shd w:val="clear" w:color="auto" w:fill="auto"/>
            <w:noWrap/>
            <w:vAlign w:val="center"/>
            <w:hideMark/>
          </w:tcPr>
          <w:p w14:paraId="434AAE0A"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20.0%</w:t>
            </w:r>
          </w:p>
        </w:tc>
        <w:tc>
          <w:tcPr>
            <w:tcW w:w="1106" w:type="dxa"/>
            <w:vMerge/>
            <w:vAlign w:val="center"/>
            <w:hideMark/>
          </w:tcPr>
          <w:p w14:paraId="2303953E" w14:textId="77777777" w:rsidR="006E1000" w:rsidRPr="00E963C7" w:rsidRDefault="006E1000" w:rsidP="004831C9">
            <w:pPr>
              <w:bidi w:val="0"/>
              <w:rPr>
                <w:rFonts w:asciiTheme="majorBidi" w:hAnsiTheme="majorBidi" w:cstheme="majorBidi"/>
                <w:color w:val="000000"/>
              </w:rPr>
            </w:pPr>
          </w:p>
        </w:tc>
      </w:tr>
      <w:tr w:rsidR="006E1000" w:rsidRPr="00E963C7" w14:paraId="76D926F4" w14:textId="77777777" w:rsidTr="004831C9">
        <w:trPr>
          <w:trHeight w:val="300"/>
        </w:trPr>
        <w:tc>
          <w:tcPr>
            <w:tcW w:w="1773" w:type="dxa"/>
            <w:vMerge/>
            <w:vAlign w:val="center"/>
            <w:hideMark/>
          </w:tcPr>
          <w:p w14:paraId="08016176" w14:textId="77777777" w:rsidR="006E1000" w:rsidRPr="00E963C7" w:rsidRDefault="006E1000" w:rsidP="004831C9">
            <w:pPr>
              <w:bidi w:val="0"/>
              <w:rPr>
                <w:rFonts w:asciiTheme="majorBidi" w:hAnsiTheme="majorBidi" w:cstheme="majorBidi"/>
                <w:color w:val="000000"/>
              </w:rPr>
            </w:pPr>
          </w:p>
        </w:tc>
        <w:tc>
          <w:tcPr>
            <w:tcW w:w="5735" w:type="dxa"/>
            <w:shd w:val="clear" w:color="auto" w:fill="auto"/>
            <w:noWrap/>
            <w:vAlign w:val="bottom"/>
            <w:hideMark/>
          </w:tcPr>
          <w:p w14:paraId="3804B094"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Remittances of Palestinians workers in Israel out of WBG GNI</w:t>
            </w:r>
          </w:p>
        </w:tc>
        <w:tc>
          <w:tcPr>
            <w:tcW w:w="964" w:type="dxa"/>
            <w:shd w:val="clear" w:color="auto" w:fill="auto"/>
            <w:noWrap/>
            <w:vAlign w:val="center"/>
            <w:hideMark/>
          </w:tcPr>
          <w:p w14:paraId="26F6E6E6"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20.0%</w:t>
            </w:r>
          </w:p>
        </w:tc>
        <w:tc>
          <w:tcPr>
            <w:tcW w:w="1106" w:type="dxa"/>
            <w:vMerge/>
            <w:vAlign w:val="center"/>
            <w:hideMark/>
          </w:tcPr>
          <w:p w14:paraId="6904C3D1" w14:textId="77777777" w:rsidR="006E1000" w:rsidRPr="00E963C7" w:rsidRDefault="006E1000" w:rsidP="004831C9">
            <w:pPr>
              <w:bidi w:val="0"/>
              <w:rPr>
                <w:rFonts w:asciiTheme="majorBidi" w:hAnsiTheme="majorBidi" w:cstheme="majorBidi"/>
                <w:color w:val="000000"/>
              </w:rPr>
            </w:pPr>
          </w:p>
        </w:tc>
      </w:tr>
      <w:tr w:rsidR="006E1000" w:rsidRPr="00E963C7" w14:paraId="03C0007A" w14:textId="77777777" w:rsidTr="004831C9">
        <w:trPr>
          <w:trHeight w:val="273"/>
        </w:trPr>
        <w:tc>
          <w:tcPr>
            <w:tcW w:w="1773" w:type="dxa"/>
            <w:shd w:val="clear" w:color="auto" w:fill="auto"/>
            <w:vAlign w:val="center"/>
            <w:hideMark/>
          </w:tcPr>
          <w:p w14:paraId="03B84C6A"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Movement of people and Services</w:t>
            </w:r>
          </w:p>
        </w:tc>
        <w:tc>
          <w:tcPr>
            <w:tcW w:w="5735" w:type="dxa"/>
            <w:shd w:val="clear" w:color="auto" w:fill="auto"/>
            <w:noWrap/>
            <w:vAlign w:val="center"/>
            <w:hideMark/>
          </w:tcPr>
          <w:p w14:paraId="50583607"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Percentage of Israeli guests’ nights in WB Hotels</w:t>
            </w:r>
          </w:p>
        </w:tc>
        <w:tc>
          <w:tcPr>
            <w:tcW w:w="964" w:type="dxa"/>
            <w:shd w:val="clear" w:color="auto" w:fill="auto"/>
            <w:noWrap/>
            <w:vAlign w:val="center"/>
            <w:hideMark/>
          </w:tcPr>
          <w:p w14:paraId="631D9B3C"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100.0%</w:t>
            </w:r>
          </w:p>
        </w:tc>
        <w:tc>
          <w:tcPr>
            <w:tcW w:w="1106" w:type="dxa"/>
            <w:shd w:val="clear" w:color="auto" w:fill="auto"/>
            <w:noWrap/>
            <w:vAlign w:val="center"/>
            <w:hideMark/>
          </w:tcPr>
          <w:p w14:paraId="01D92DD5"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6.7%</w:t>
            </w:r>
          </w:p>
        </w:tc>
      </w:tr>
      <w:tr w:rsidR="006E1000" w:rsidRPr="00E963C7" w14:paraId="50E9F38C" w14:textId="77777777" w:rsidTr="004831C9">
        <w:trPr>
          <w:trHeight w:val="300"/>
        </w:trPr>
        <w:tc>
          <w:tcPr>
            <w:tcW w:w="1773" w:type="dxa"/>
            <w:vMerge w:val="restart"/>
            <w:shd w:val="clear" w:color="auto" w:fill="auto"/>
            <w:vAlign w:val="center"/>
            <w:hideMark/>
          </w:tcPr>
          <w:p w14:paraId="77DEEF5B"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Resources and infrastructure</w:t>
            </w:r>
          </w:p>
        </w:tc>
        <w:tc>
          <w:tcPr>
            <w:tcW w:w="5735" w:type="dxa"/>
            <w:shd w:val="clear" w:color="auto" w:fill="auto"/>
            <w:noWrap/>
            <w:vAlign w:val="bottom"/>
            <w:hideMark/>
          </w:tcPr>
          <w:p w14:paraId="3E917F3E"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Mobile cellular subscriptions (ratio)</w:t>
            </w:r>
          </w:p>
        </w:tc>
        <w:tc>
          <w:tcPr>
            <w:tcW w:w="964" w:type="dxa"/>
            <w:shd w:val="clear" w:color="auto" w:fill="auto"/>
            <w:noWrap/>
            <w:vAlign w:val="center"/>
            <w:hideMark/>
          </w:tcPr>
          <w:p w14:paraId="6ECB4E8E"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33.3%</w:t>
            </w:r>
          </w:p>
        </w:tc>
        <w:tc>
          <w:tcPr>
            <w:tcW w:w="1106" w:type="dxa"/>
            <w:vMerge w:val="restart"/>
            <w:shd w:val="clear" w:color="auto" w:fill="auto"/>
            <w:noWrap/>
            <w:vAlign w:val="center"/>
            <w:hideMark/>
          </w:tcPr>
          <w:p w14:paraId="0891800C"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20%</w:t>
            </w:r>
          </w:p>
        </w:tc>
      </w:tr>
      <w:tr w:rsidR="006E1000" w:rsidRPr="00E963C7" w14:paraId="75D01977" w14:textId="77777777" w:rsidTr="004831C9">
        <w:trPr>
          <w:trHeight w:val="223"/>
        </w:trPr>
        <w:tc>
          <w:tcPr>
            <w:tcW w:w="1773" w:type="dxa"/>
            <w:vMerge/>
            <w:vAlign w:val="center"/>
            <w:hideMark/>
          </w:tcPr>
          <w:p w14:paraId="3A311BA0" w14:textId="77777777" w:rsidR="006E1000" w:rsidRPr="00E963C7" w:rsidRDefault="006E1000" w:rsidP="004831C9">
            <w:pPr>
              <w:bidi w:val="0"/>
              <w:rPr>
                <w:rFonts w:asciiTheme="majorBidi" w:hAnsiTheme="majorBidi" w:cstheme="majorBidi"/>
                <w:color w:val="000000"/>
              </w:rPr>
            </w:pPr>
          </w:p>
        </w:tc>
        <w:tc>
          <w:tcPr>
            <w:tcW w:w="5735" w:type="dxa"/>
            <w:shd w:val="clear" w:color="auto" w:fill="auto"/>
            <w:noWrap/>
            <w:vAlign w:val="bottom"/>
            <w:hideMark/>
          </w:tcPr>
          <w:p w14:paraId="08FD93D5"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Individuals using the Internet (ratio)</w:t>
            </w:r>
          </w:p>
        </w:tc>
        <w:tc>
          <w:tcPr>
            <w:tcW w:w="964" w:type="dxa"/>
            <w:shd w:val="clear" w:color="auto" w:fill="auto"/>
            <w:noWrap/>
            <w:vAlign w:val="center"/>
            <w:hideMark/>
          </w:tcPr>
          <w:p w14:paraId="031D0988"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33.3%</w:t>
            </w:r>
          </w:p>
        </w:tc>
        <w:tc>
          <w:tcPr>
            <w:tcW w:w="1106" w:type="dxa"/>
            <w:vMerge/>
            <w:vAlign w:val="center"/>
            <w:hideMark/>
          </w:tcPr>
          <w:p w14:paraId="0C034DE6" w14:textId="77777777" w:rsidR="006E1000" w:rsidRPr="00E963C7" w:rsidRDefault="006E1000" w:rsidP="004831C9">
            <w:pPr>
              <w:bidi w:val="0"/>
              <w:rPr>
                <w:rFonts w:asciiTheme="majorBidi" w:hAnsiTheme="majorBidi" w:cstheme="majorBidi"/>
                <w:color w:val="000000"/>
              </w:rPr>
            </w:pPr>
          </w:p>
        </w:tc>
      </w:tr>
      <w:tr w:rsidR="006E1000" w:rsidRPr="00E963C7" w14:paraId="160A844C" w14:textId="77777777" w:rsidTr="004831C9">
        <w:trPr>
          <w:trHeight w:val="315"/>
        </w:trPr>
        <w:tc>
          <w:tcPr>
            <w:tcW w:w="1773" w:type="dxa"/>
            <w:vMerge/>
            <w:vAlign w:val="center"/>
            <w:hideMark/>
          </w:tcPr>
          <w:p w14:paraId="4B6DE1CE" w14:textId="77777777" w:rsidR="006E1000" w:rsidRPr="00E963C7" w:rsidRDefault="006E1000" w:rsidP="004831C9">
            <w:pPr>
              <w:bidi w:val="0"/>
              <w:rPr>
                <w:rFonts w:asciiTheme="majorBidi" w:hAnsiTheme="majorBidi" w:cstheme="majorBidi"/>
                <w:color w:val="000000"/>
              </w:rPr>
            </w:pPr>
          </w:p>
        </w:tc>
        <w:tc>
          <w:tcPr>
            <w:tcW w:w="5735" w:type="dxa"/>
            <w:shd w:val="clear" w:color="auto" w:fill="auto"/>
            <w:noWrap/>
            <w:vAlign w:val="bottom"/>
            <w:hideMark/>
          </w:tcPr>
          <w:p w14:paraId="517C8901"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Water Purchased from Israel out of available water quantity in the WBG</w:t>
            </w:r>
          </w:p>
        </w:tc>
        <w:tc>
          <w:tcPr>
            <w:tcW w:w="964" w:type="dxa"/>
            <w:shd w:val="clear" w:color="auto" w:fill="auto"/>
            <w:noWrap/>
            <w:vAlign w:val="center"/>
            <w:hideMark/>
          </w:tcPr>
          <w:p w14:paraId="31A0DE28"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33.3%</w:t>
            </w:r>
          </w:p>
        </w:tc>
        <w:tc>
          <w:tcPr>
            <w:tcW w:w="1106" w:type="dxa"/>
            <w:vMerge/>
            <w:vAlign w:val="center"/>
            <w:hideMark/>
          </w:tcPr>
          <w:p w14:paraId="03776280" w14:textId="77777777" w:rsidR="006E1000" w:rsidRPr="00E963C7" w:rsidRDefault="006E1000" w:rsidP="004831C9">
            <w:pPr>
              <w:bidi w:val="0"/>
              <w:rPr>
                <w:rFonts w:asciiTheme="majorBidi" w:hAnsiTheme="majorBidi" w:cstheme="majorBidi"/>
                <w:color w:val="000000"/>
              </w:rPr>
            </w:pPr>
          </w:p>
        </w:tc>
      </w:tr>
      <w:tr w:rsidR="006E1000" w:rsidRPr="00E963C7" w14:paraId="1A5F5611" w14:textId="77777777" w:rsidTr="004831C9">
        <w:trPr>
          <w:trHeight w:val="315"/>
        </w:trPr>
        <w:tc>
          <w:tcPr>
            <w:tcW w:w="1773" w:type="dxa"/>
            <w:vMerge w:val="restart"/>
            <w:shd w:val="clear" w:color="auto" w:fill="auto"/>
            <w:vAlign w:val="center"/>
            <w:hideMark/>
          </w:tcPr>
          <w:p w14:paraId="2C820923"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Banking and money</w:t>
            </w:r>
          </w:p>
        </w:tc>
        <w:tc>
          <w:tcPr>
            <w:tcW w:w="5735" w:type="dxa"/>
            <w:shd w:val="clear" w:color="auto" w:fill="auto"/>
            <w:noWrap/>
            <w:vAlign w:val="bottom"/>
            <w:hideMark/>
          </w:tcPr>
          <w:p w14:paraId="13A56008"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Share of NIS credit in the Palestinian banking system</w:t>
            </w:r>
          </w:p>
        </w:tc>
        <w:tc>
          <w:tcPr>
            <w:tcW w:w="964" w:type="dxa"/>
            <w:shd w:val="clear" w:color="auto" w:fill="auto"/>
            <w:noWrap/>
            <w:vAlign w:val="center"/>
            <w:hideMark/>
          </w:tcPr>
          <w:p w14:paraId="4A61BDFD"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50.0%</w:t>
            </w:r>
          </w:p>
        </w:tc>
        <w:tc>
          <w:tcPr>
            <w:tcW w:w="1106" w:type="dxa"/>
            <w:vMerge w:val="restart"/>
            <w:shd w:val="clear" w:color="auto" w:fill="auto"/>
            <w:noWrap/>
            <w:vAlign w:val="center"/>
            <w:hideMark/>
          </w:tcPr>
          <w:p w14:paraId="22C27DC3"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13.3%</w:t>
            </w:r>
          </w:p>
        </w:tc>
      </w:tr>
      <w:tr w:rsidR="006E1000" w:rsidRPr="00E963C7" w14:paraId="2C57C9CD" w14:textId="77777777" w:rsidTr="004831C9">
        <w:trPr>
          <w:trHeight w:val="315"/>
        </w:trPr>
        <w:tc>
          <w:tcPr>
            <w:tcW w:w="1773" w:type="dxa"/>
            <w:vMerge/>
            <w:vAlign w:val="center"/>
            <w:hideMark/>
          </w:tcPr>
          <w:p w14:paraId="567594CE" w14:textId="77777777" w:rsidR="006E1000" w:rsidRPr="00E963C7" w:rsidRDefault="006E1000" w:rsidP="004831C9">
            <w:pPr>
              <w:bidi w:val="0"/>
              <w:rPr>
                <w:rFonts w:asciiTheme="majorBidi" w:hAnsiTheme="majorBidi" w:cstheme="majorBidi"/>
                <w:color w:val="000000"/>
              </w:rPr>
            </w:pPr>
          </w:p>
        </w:tc>
        <w:tc>
          <w:tcPr>
            <w:tcW w:w="5735" w:type="dxa"/>
            <w:shd w:val="clear" w:color="auto" w:fill="auto"/>
            <w:noWrap/>
            <w:vAlign w:val="bottom"/>
            <w:hideMark/>
          </w:tcPr>
          <w:p w14:paraId="77DA7960"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Share of NIS checks presented for clearing in the Palestinian banking system</w:t>
            </w:r>
          </w:p>
        </w:tc>
        <w:tc>
          <w:tcPr>
            <w:tcW w:w="964" w:type="dxa"/>
            <w:shd w:val="clear" w:color="auto" w:fill="auto"/>
            <w:noWrap/>
            <w:vAlign w:val="center"/>
            <w:hideMark/>
          </w:tcPr>
          <w:p w14:paraId="136F5037"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50.0%</w:t>
            </w:r>
          </w:p>
        </w:tc>
        <w:tc>
          <w:tcPr>
            <w:tcW w:w="1106" w:type="dxa"/>
            <w:vMerge/>
            <w:vAlign w:val="center"/>
            <w:hideMark/>
          </w:tcPr>
          <w:p w14:paraId="3064F6AB" w14:textId="77777777" w:rsidR="006E1000" w:rsidRPr="00E963C7" w:rsidRDefault="006E1000" w:rsidP="004831C9">
            <w:pPr>
              <w:bidi w:val="0"/>
              <w:rPr>
                <w:rFonts w:asciiTheme="majorBidi" w:hAnsiTheme="majorBidi" w:cstheme="majorBidi"/>
                <w:color w:val="000000"/>
              </w:rPr>
            </w:pPr>
          </w:p>
        </w:tc>
      </w:tr>
      <w:tr w:rsidR="006E1000" w:rsidRPr="00E963C7" w14:paraId="38FC2695" w14:textId="77777777" w:rsidTr="004831C9">
        <w:trPr>
          <w:trHeight w:val="345"/>
        </w:trPr>
        <w:tc>
          <w:tcPr>
            <w:tcW w:w="1773" w:type="dxa"/>
            <w:vMerge w:val="restart"/>
            <w:shd w:val="clear" w:color="auto" w:fill="auto"/>
            <w:vAlign w:val="center"/>
            <w:hideMark/>
          </w:tcPr>
          <w:p w14:paraId="3EE5827B"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Wealth and Standard of living</w:t>
            </w:r>
          </w:p>
        </w:tc>
        <w:tc>
          <w:tcPr>
            <w:tcW w:w="5735" w:type="dxa"/>
            <w:shd w:val="clear" w:color="auto" w:fill="auto"/>
            <w:noWrap/>
            <w:vAlign w:val="bottom"/>
            <w:hideMark/>
          </w:tcPr>
          <w:p w14:paraId="05CB8DB1"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GDP per Capita (ratio)</w:t>
            </w:r>
          </w:p>
        </w:tc>
        <w:tc>
          <w:tcPr>
            <w:tcW w:w="964" w:type="dxa"/>
            <w:shd w:val="clear" w:color="auto" w:fill="auto"/>
            <w:noWrap/>
            <w:vAlign w:val="center"/>
            <w:hideMark/>
          </w:tcPr>
          <w:p w14:paraId="6D076D14"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25.0%</w:t>
            </w:r>
          </w:p>
        </w:tc>
        <w:tc>
          <w:tcPr>
            <w:tcW w:w="1106" w:type="dxa"/>
            <w:vMerge w:val="restart"/>
            <w:shd w:val="clear" w:color="auto" w:fill="auto"/>
            <w:noWrap/>
            <w:vAlign w:val="center"/>
            <w:hideMark/>
          </w:tcPr>
          <w:p w14:paraId="50F097CB"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26.7%</w:t>
            </w:r>
          </w:p>
        </w:tc>
      </w:tr>
      <w:tr w:rsidR="006E1000" w:rsidRPr="00E963C7" w14:paraId="229D3064" w14:textId="77777777" w:rsidTr="004831C9">
        <w:trPr>
          <w:trHeight w:val="315"/>
        </w:trPr>
        <w:tc>
          <w:tcPr>
            <w:tcW w:w="1773" w:type="dxa"/>
            <w:vMerge/>
            <w:vAlign w:val="center"/>
            <w:hideMark/>
          </w:tcPr>
          <w:p w14:paraId="3C60E1D2" w14:textId="77777777" w:rsidR="006E1000" w:rsidRPr="00E963C7" w:rsidRDefault="006E1000" w:rsidP="004831C9">
            <w:pPr>
              <w:bidi w:val="0"/>
              <w:rPr>
                <w:rFonts w:asciiTheme="majorBidi" w:hAnsiTheme="majorBidi" w:cstheme="majorBidi"/>
                <w:color w:val="000000"/>
              </w:rPr>
            </w:pPr>
          </w:p>
        </w:tc>
        <w:tc>
          <w:tcPr>
            <w:tcW w:w="5735" w:type="dxa"/>
            <w:shd w:val="clear" w:color="auto" w:fill="auto"/>
            <w:noWrap/>
            <w:vAlign w:val="bottom"/>
            <w:hideMark/>
          </w:tcPr>
          <w:p w14:paraId="6BC3F7E6"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 xml:space="preserve">Price level (ratio) </w:t>
            </w:r>
          </w:p>
        </w:tc>
        <w:tc>
          <w:tcPr>
            <w:tcW w:w="964" w:type="dxa"/>
            <w:shd w:val="clear" w:color="auto" w:fill="auto"/>
            <w:noWrap/>
            <w:vAlign w:val="center"/>
            <w:hideMark/>
          </w:tcPr>
          <w:p w14:paraId="580A1EC0"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25.0%</w:t>
            </w:r>
          </w:p>
        </w:tc>
        <w:tc>
          <w:tcPr>
            <w:tcW w:w="1106" w:type="dxa"/>
            <w:vMerge/>
            <w:vAlign w:val="center"/>
            <w:hideMark/>
          </w:tcPr>
          <w:p w14:paraId="174A90AE" w14:textId="77777777" w:rsidR="006E1000" w:rsidRPr="00E963C7" w:rsidRDefault="006E1000" w:rsidP="004831C9">
            <w:pPr>
              <w:bidi w:val="0"/>
              <w:rPr>
                <w:rFonts w:asciiTheme="majorBidi" w:hAnsiTheme="majorBidi" w:cstheme="majorBidi"/>
                <w:color w:val="000000"/>
              </w:rPr>
            </w:pPr>
          </w:p>
        </w:tc>
      </w:tr>
      <w:tr w:rsidR="006E1000" w:rsidRPr="00E963C7" w14:paraId="6216DAD9" w14:textId="77777777" w:rsidTr="004831C9">
        <w:trPr>
          <w:trHeight w:val="315"/>
        </w:trPr>
        <w:tc>
          <w:tcPr>
            <w:tcW w:w="1773" w:type="dxa"/>
            <w:vMerge/>
            <w:vAlign w:val="center"/>
            <w:hideMark/>
          </w:tcPr>
          <w:p w14:paraId="03562341" w14:textId="77777777" w:rsidR="006E1000" w:rsidRPr="00E963C7" w:rsidRDefault="006E1000" w:rsidP="004831C9">
            <w:pPr>
              <w:bidi w:val="0"/>
              <w:rPr>
                <w:rFonts w:asciiTheme="majorBidi" w:hAnsiTheme="majorBidi" w:cstheme="majorBidi"/>
                <w:color w:val="000000"/>
              </w:rPr>
            </w:pPr>
          </w:p>
        </w:tc>
        <w:tc>
          <w:tcPr>
            <w:tcW w:w="5735" w:type="dxa"/>
            <w:shd w:val="clear" w:color="auto" w:fill="auto"/>
            <w:noWrap/>
            <w:vAlign w:val="bottom"/>
            <w:hideMark/>
          </w:tcPr>
          <w:p w14:paraId="1A932D90"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Market capitalization (ratio)</w:t>
            </w:r>
          </w:p>
        </w:tc>
        <w:tc>
          <w:tcPr>
            <w:tcW w:w="964" w:type="dxa"/>
            <w:shd w:val="clear" w:color="auto" w:fill="auto"/>
            <w:noWrap/>
            <w:vAlign w:val="center"/>
            <w:hideMark/>
          </w:tcPr>
          <w:p w14:paraId="1B47A297"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25.0%</w:t>
            </w:r>
          </w:p>
        </w:tc>
        <w:tc>
          <w:tcPr>
            <w:tcW w:w="1106" w:type="dxa"/>
            <w:vMerge/>
            <w:vAlign w:val="center"/>
            <w:hideMark/>
          </w:tcPr>
          <w:p w14:paraId="263533F4" w14:textId="77777777" w:rsidR="006E1000" w:rsidRPr="00E963C7" w:rsidRDefault="006E1000" w:rsidP="004831C9">
            <w:pPr>
              <w:bidi w:val="0"/>
              <w:rPr>
                <w:rFonts w:asciiTheme="majorBidi" w:hAnsiTheme="majorBidi" w:cstheme="majorBidi"/>
                <w:color w:val="000000"/>
              </w:rPr>
            </w:pPr>
          </w:p>
        </w:tc>
      </w:tr>
      <w:tr w:rsidR="006E1000" w:rsidRPr="00E963C7" w14:paraId="79E6EA21" w14:textId="77777777" w:rsidTr="004831C9">
        <w:trPr>
          <w:trHeight w:val="315"/>
        </w:trPr>
        <w:tc>
          <w:tcPr>
            <w:tcW w:w="1773" w:type="dxa"/>
            <w:vMerge/>
            <w:vAlign w:val="center"/>
            <w:hideMark/>
          </w:tcPr>
          <w:p w14:paraId="21D6B46A" w14:textId="77777777" w:rsidR="006E1000" w:rsidRPr="00E963C7" w:rsidRDefault="006E1000" w:rsidP="004831C9">
            <w:pPr>
              <w:bidi w:val="0"/>
              <w:rPr>
                <w:rFonts w:asciiTheme="majorBidi" w:hAnsiTheme="majorBidi" w:cstheme="majorBidi"/>
                <w:color w:val="000000"/>
              </w:rPr>
            </w:pPr>
          </w:p>
        </w:tc>
        <w:tc>
          <w:tcPr>
            <w:tcW w:w="5735" w:type="dxa"/>
            <w:shd w:val="clear" w:color="auto" w:fill="auto"/>
            <w:noWrap/>
            <w:vAlign w:val="bottom"/>
            <w:hideMark/>
          </w:tcPr>
          <w:p w14:paraId="44D40A78"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Daily Wage (ratio)</w:t>
            </w:r>
          </w:p>
        </w:tc>
        <w:tc>
          <w:tcPr>
            <w:tcW w:w="964" w:type="dxa"/>
            <w:shd w:val="clear" w:color="auto" w:fill="auto"/>
            <w:noWrap/>
            <w:vAlign w:val="center"/>
            <w:hideMark/>
          </w:tcPr>
          <w:p w14:paraId="15A26DC5" w14:textId="77777777" w:rsidR="006E1000" w:rsidRPr="00E963C7" w:rsidRDefault="006E1000" w:rsidP="004831C9">
            <w:pPr>
              <w:bidi w:val="0"/>
              <w:jc w:val="center"/>
              <w:rPr>
                <w:rFonts w:asciiTheme="majorBidi" w:hAnsiTheme="majorBidi" w:cstheme="majorBidi"/>
                <w:color w:val="000000"/>
              </w:rPr>
            </w:pPr>
            <w:r w:rsidRPr="00E963C7">
              <w:rPr>
                <w:rFonts w:asciiTheme="majorBidi" w:hAnsiTheme="majorBidi" w:cstheme="majorBidi"/>
                <w:color w:val="000000"/>
              </w:rPr>
              <w:t>25.0%</w:t>
            </w:r>
          </w:p>
        </w:tc>
        <w:tc>
          <w:tcPr>
            <w:tcW w:w="1106" w:type="dxa"/>
            <w:vMerge/>
            <w:vAlign w:val="center"/>
            <w:hideMark/>
          </w:tcPr>
          <w:p w14:paraId="1359DFAF" w14:textId="77777777" w:rsidR="006E1000" w:rsidRPr="00E963C7" w:rsidRDefault="006E1000" w:rsidP="004831C9">
            <w:pPr>
              <w:bidi w:val="0"/>
              <w:rPr>
                <w:rFonts w:asciiTheme="majorBidi" w:hAnsiTheme="majorBidi" w:cstheme="majorBidi"/>
                <w:color w:val="000000"/>
              </w:rPr>
            </w:pPr>
          </w:p>
        </w:tc>
      </w:tr>
    </w:tbl>
    <w:p w14:paraId="2AB0DE9D" w14:textId="77777777" w:rsidR="006E1000" w:rsidRDefault="006E1000" w:rsidP="006E1000">
      <w:pPr>
        <w:pStyle w:val="ListParagraph"/>
        <w:bidi w:val="0"/>
        <w:spacing w:before="240" w:line="480" w:lineRule="auto"/>
        <w:ind w:left="0"/>
        <w:rPr>
          <w:rFonts w:ascii="Times New Roman" w:hAnsi="Times New Roman" w:cs="David"/>
          <w:sz w:val="24"/>
          <w:szCs w:val="24"/>
        </w:rPr>
      </w:pPr>
      <w:r>
        <w:rPr>
          <w:rFonts w:ascii="Times New Roman" w:hAnsi="Times New Roman" w:cs="David"/>
          <w:sz w:val="24"/>
          <w:szCs w:val="24"/>
        </w:rPr>
        <w:t>Number of dimensions: 5</w:t>
      </w:r>
    </w:p>
    <w:p w14:paraId="5E58F2CB" w14:textId="77777777" w:rsidR="006E1000" w:rsidRDefault="006E1000" w:rsidP="006E1000">
      <w:pPr>
        <w:pStyle w:val="ListParagraph"/>
        <w:bidi w:val="0"/>
        <w:spacing w:line="480" w:lineRule="auto"/>
        <w:ind w:left="0"/>
        <w:rPr>
          <w:rFonts w:ascii="Times New Roman" w:hAnsi="Times New Roman" w:cs="David"/>
          <w:sz w:val="24"/>
          <w:szCs w:val="24"/>
        </w:rPr>
      </w:pPr>
      <w:r>
        <w:rPr>
          <w:rFonts w:ascii="Times New Roman" w:hAnsi="Times New Roman" w:cs="David"/>
          <w:sz w:val="24"/>
          <w:szCs w:val="24"/>
        </w:rPr>
        <w:t xml:space="preserve">Number of indicators: </w:t>
      </w:r>
      <w:r>
        <w:rPr>
          <w:rFonts w:ascii="Times New Roman" w:hAnsi="Times New Roman" w:cs="David" w:hint="cs"/>
          <w:sz w:val="24"/>
          <w:szCs w:val="24"/>
          <w:rtl/>
        </w:rPr>
        <w:t>15</w:t>
      </w:r>
    </w:p>
    <w:p w14:paraId="156733B6" w14:textId="77777777" w:rsidR="006E1000" w:rsidRPr="00A877B8" w:rsidRDefault="006E1000" w:rsidP="006E1000">
      <w:pPr>
        <w:bidi w:val="0"/>
        <w:spacing w:line="480" w:lineRule="auto"/>
        <w:ind w:left="-720" w:firstLine="720"/>
        <w:rPr>
          <w:rFonts w:asciiTheme="majorBidi" w:hAnsiTheme="majorBidi" w:cstheme="majorBidi"/>
          <w:sz w:val="24"/>
          <w:szCs w:val="24"/>
        </w:rPr>
      </w:pPr>
      <w:r w:rsidRPr="00A877B8">
        <w:rPr>
          <w:rFonts w:ascii="Times New Roman" w:hAnsi="Times New Roman" w:cs="David"/>
          <w:sz w:val="24"/>
          <w:szCs w:val="24"/>
        </w:rPr>
        <w:t xml:space="preserve">The weighting technique - </w:t>
      </w:r>
      <w:r w:rsidRPr="00A877B8">
        <w:rPr>
          <w:rFonts w:asciiTheme="majorBidi" w:hAnsiTheme="majorBidi" w:cstheme="majorBidi"/>
          <w:sz w:val="24"/>
          <w:szCs w:val="24"/>
        </w:rPr>
        <w:t>Equal weighting system</w:t>
      </w:r>
    </w:p>
    <w:p w14:paraId="0B29C440" w14:textId="77777777" w:rsidR="006E1000" w:rsidRDefault="006E1000" w:rsidP="006E1000">
      <w:pPr>
        <w:pStyle w:val="ListParagraph"/>
        <w:bidi w:val="0"/>
        <w:spacing w:line="276" w:lineRule="auto"/>
        <w:ind w:left="0"/>
        <w:jc w:val="center"/>
        <w:rPr>
          <w:rFonts w:ascii="Times New Roman" w:hAnsi="Times New Roman" w:cs="David"/>
          <w:b/>
          <w:bCs/>
          <w:sz w:val="24"/>
          <w:szCs w:val="24"/>
        </w:rPr>
      </w:pPr>
    </w:p>
    <w:p w14:paraId="18D5FF10" w14:textId="77777777" w:rsidR="006E1000" w:rsidRDefault="006E1000" w:rsidP="006E1000">
      <w:pPr>
        <w:pStyle w:val="ListParagraph"/>
        <w:bidi w:val="0"/>
        <w:spacing w:line="276" w:lineRule="auto"/>
        <w:ind w:left="0"/>
        <w:jc w:val="center"/>
        <w:rPr>
          <w:rFonts w:ascii="Times New Roman" w:hAnsi="Times New Roman" w:cs="David"/>
          <w:b/>
          <w:bCs/>
          <w:sz w:val="24"/>
          <w:szCs w:val="24"/>
        </w:rPr>
      </w:pPr>
    </w:p>
    <w:p w14:paraId="6AFF9B26" w14:textId="77777777" w:rsidR="006E1000" w:rsidRDefault="006E1000" w:rsidP="006E1000">
      <w:pPr>
        <w:pStyle w:val="ListParagraph"/>
        <w:bidi w:val="0"/>
        <w:spacing w:line="276" w:lineRule="auto"/>
        <w:ind w:left="0"/>
        <w:jc w:val="center"/>
        <w:rPr>
          <w:rFonts w:ascii="Times New Roman" w:hAnsi="Times New Roman" w:cs="David"/>
          <w:b/>
          <w:bCs/>
          <w:sz w:val="24"/>
          <w:szCs w:val="24"/>
        </w:rPr>
      </w:pPr>
    </w:p>
    <w:p w14:paraId="1152BEDB" w14:textId="77777777" w:rsidR="006E1000" w:rsidRDefault="006E1000" w:rsidP="006E1000">
      <w:pPr>
        <w:pStyle w:val="ListParagraph"/>
        <w:bidi w:val="0"/>
        <w:spacing w:line="276" w:lineRule="auto"/>
        <w:ind w:left="0"/>
        <w:jc w:val="center"/>
        <w:rPr>
          <w:rFonts w:ascii="Times New Roman" w:hAnsi="Times New Roman" w:cs="David"/>
          <w:b/>
          <w:bCs/>
          <w:sz w:val="24"/>
          <w:szCs w:val="24"/>
        </w:rPr>
      </w:pPr>
    </w:p>
    <w:p w14:paraId="327AFCF0" w14:textId="77777777" w:rsidR="006E1000" w:rsidRDefault="006E1000" w:rsidP="006E1000">
      <w:pPr>
        <w:pStyle w:val="ListParagraph"/>
        <w:bidi w:val="0"/>
        <w:spacing w:line="276" w:lineRule="auto"/>
        <w:ind w:left="0"/>
        <w:jc w:val="center"/>
        <w:rPr>
          <w:rFonts w:ascii="Times New Roman" w:hAnsi="Times New Roman" w:cs="David"/>
          <w:b/>
          <w:bCs/>
          <w:sz w:val="24"/>
          <w:szCs w:val="24"/>
        </w:rPr>
      </w:pPr>
    </w:p>
    <w:p w14:paraId="2B270157" w14:textId="77777777" w:rsidR="006E1000" w:rsidRDefault="006E1000" w:rsidP="006E1000">
      <w:pPr>
        <w:pStyle w:val="ListParagraph"/>
        <w:bidi w:val="0"/>
        <w:spacing w:line="276" w:lineRule="auto"/>
        <w:ind w:left="0"/>
        <w:jc w:val="center"/>
        <w:rPr>
          <w:rFonts w:ascii="Times New Roman" w:hAnsi="Times New Roman" w:cs="David"/>
          <w:b/>
          <w:bCs/>
          <w:sz w:val="24"/>
          <w:szCs w:val="24"/>
        </w:rPr>
      </w:pPr>
    </w:p>
    <w:p w14:paraId="35C83BC7" w14:textId="77777777" w:rsidR="006E1000" w:rsidRDefault="006E1000" w:rsidP="006E1000">
      <w:pPr>
        <w:pStyle w:val="ListParagraph"/>
        <w:bidi w:val="0"/>
        <w:spacing w:line="276" w:lineRule="auto"/>
        <w:ind w:left="0"/>
        <w:jc w:val="center"/>
        <w:rPr>
          <w:rFonts w:ascii="Times New Roman" w:hAnsi="Times New Roman" w:cs="David"/>
          <w:b/>
          <w:bCs/>
          <w:sz w:val="24"/>
          <w:szCs w:val="24"/>
        </w:rPr>
      </w:pPr>
    </w:p>
    <w:p w14:paraId="62E26D62" w14:textId="77777777" w:rsidR="006E1000" w:rsidRDefault="006E1000" w:rsidP="006E1000">
      <w:pPr>
        <w:pStyle w:val="ListParagraph"/>
        <w:bidi w:val="0"/>
        <w:spacing w:line="276" w:lineRule="auto"/>
        <w:ind w:left="0"/>
        <w:jc w:val="center"/>
        <w:rPr>
          <w:rFonts w:ascii="Times New Roman" w:hAnsi="Times New Roman" w:cs="David"/>
          <w:b/>
          <w:bCs/>
          <w:sz w:val="24"/>
          <w:szCs w:val="24"/>
        </w:rPr>
      </w:pPr>
    </w:p>
    <w:p w14:paraId="2D8C8584" w14:textId="77777777" w:rsidR="006E1000" w:rsidRDefault="006E1000" w:rsidP="006E1000">
      <w:pPr>
        <w:pStyle w:val="ListParagraph"/>
        <w:bidi w:val="0"/>
        <w:spacing w:line="276" w:lineRule="auto"/>
        <w:ind w:left="0"/>
        <w:jc w:val="center"/>
        <w:rPr>
          <w:rFonts w:ascii="Times New Roman" w:hAnsi="Times New Roman" w:cs="David"/>
          <w:b/>
          <w:bCs/>
          <w:sz w:val="24"/>
          <w:szCs w:val="24"/>
        </w:rPr>
      </w:pPr>
    </w:p>
    <w:p w14:paraId="06D39111" w14:textId="77777777" w:rsidR="006E1000" w:rsidRDefault="006E1000" w:rsidP="006E1000">
      <w:pPr>
        <w:pStyle w:val="ListParagraph"/>
        <w:bidi w:val="0"/>
        <w:spacing w:line="276" w:lineRule="auto"/>
        <w:ind w:left="0"/>
        <w:jc w:val="center"/>
        <w:rPr>
          <w:rFonts w:ascii="Times New Roman" w:hAnsi="Times New Roman" w:cs="David"/>
          <w:b/>
          <w:bCs/>
          <w:sz w:val="24"/>
          <w:szCs w:val="24"/>
        </w:rPr>
      </w:pPr>
    </w:p>
    <w:p w14:paraId="6DC6C744" w14:textId="77777777" w:rsidR="006E1000" w:rsidRDefault="006E1000" w:rsidP="006E1000">
      <w:pPr>
        <w:pStyle w:val="ListParagraph"/>
        <w:bidi w:val="0"/>
        <w:spacing w:line="276" w:lineRule="auto"/>
        <w:ind w:left="0"/>
        <w:jc w:val="center"/>
        <w:rPr>
          <w:rFonts w:ascii="Times New Roman" w:hAnsi="Times New Roman" w:cs="David"/>
          <w:b/>
          <w:bCs/>
          <w:sz w:val="24"/>
          <w:szCs w:val="24"/>
        </w:rPr>
      </w:pPr>
    </w:p>
    <w:p w14:paraId="4C2FA241" w14:textId="77777777" w:rsidR="006E1000" w:rsidRDefault="006E1000" w:rsidP="006E1000">
      <w:pPr>
        <w:pStyle w:val="ListParagraph"/>
        <w:bidi w:val="0"/>
        <w:spacing w:line="276" w:lineRule="auto"/>
        <w:ind w:left="0"/>
        <w:jc w:val="center"/>
        <w:rPr>
          <w:rFonts w:ascii="Times New Roman" w:hAnsi="Times New Roman" w:cs="David"/>
          <w:b/>
          <w:bCs/>
          <w:sz w:val="24"/>
          <w:szCs w:val="24"/>
        </w:rPr>
      </w:pPr>
    </w:p>
    <w:p w14:paraId="469278D7" w14:textId="7DD76AF8" w:rsidR="006E1000" w:rsidRPr="00203C14" w:rsidRDefault="006E1000" w:rsidP="006E1000">
      <w:pPr>
        <w:pStyle w:val="ListParagraph"/>
        <w:bidi w:val="0"/>
        <w:spacing w:line="276" w:lineRule="auto"/>
        <w:ind w:left="0"/>
        <w:jc w:val="center"/>
        <w:rPr>
          <w:rFonts w:ascii="Times New Roman" w:hAnsi="Times New Roman" w:cs="David"/>
          <w:b/>
          <w:bCs/>
          <w:sz w:val="24"/>
          <w:szCs w:val="24"/>
        </w:rPr>
      </w:pPr>
      <w:r>
        <w:rPr>
          <w:rFonts w:ascii="Times New Roman" w:hAnsi="Times New Roman" w:cs="David"/>
          <w:b/>
          <w:bCs/>
          <w:sz w:val="24"/>
          <w:szCs w:val="24"/>
        </w:rPr>
        <w:t xml:space="preserve">Figure 37: </w:t>
      </w:r>
      <w:r w:rsidRPr="00203C14">
        <w:rPr>
          <w:rFonts w:ascii="Times New Roman" w:hAnsi="Times New Roman" w:cs="David"/>
          <w:b/>
          <w:bCs/>
          <w:sz w:val="24"/>
          <w:szCs w:val="24"/>
        </w:rPr>
        <w:t xml:space="preserve">ISR-WBG-II </w:t>
      </w:r>
      <w:r>
        <w:rPr>
          <w:rFonts w:ascii="Times New Roman" w:hAnsi="Times New Roman" w:cs="David"/>
          <w:b/>
          <w:bCs/>
          <w:sz w:val="24"/>
          <w:szCs w:val="24"/>
        </w:rPr>
        <w:t>2000</w:t>
      </w:r>
      <w:r w:rsidRPr="00203C14">
        <w:rPr>
          <w:rFonts w:ascii="Times New Roman" w:hAnsi="Times New Roman" w:cs="David"/>
          <w:b/>
          <w:bCs/>
          <w:sz w:val="24"/>
          <w:szCs w:val="24"/>
        </w:rPr>
        <w:t>-2019</w:t>
      </w:r>
      <w:r>
        <w:rPr>
          <w:rFonts w:ascii="Times New Roman" w:hAnsi="Times New Roman" w:cs="David"/>
          <w:b/>
          <w:bCs/>
          <w:sz w:val="24"/>
          <w:szCs w:val="24"/>
        </w:rPr>
        <w:t xml:space="preserve"> – Total index</w:t>
      </w:r>
    </w:p>
    <w:p w14:paraId="7C32AC57" w14:textId="77777777" w:rsidR="006E1000" w:rsidRDefault="006E1000" w:rsidP="006E1000">
      <w:pPr>
        <w:pStyle w:val="ListParagraph"/>
        <w:bidi w:val="0"/>
        <w:spacing w:line="480" w:lineRule="auto"/>
        <w:ind w:left="0"/>
        <w:jc w:val="center"/>
        <w:rPr>
          <w:rFonts w:ascii="Times New Roman" w:hAnsi="Times New Roman" w:cs="David"/>
          <w:b/>
          <w:bCs/>
          <w:sz w:val="24"/>
          <w:szCs w:val="24"/>
        </w:rPr>
      </w:pPr>
      <w:r>
        <w:rPr>
          <w:noProof/>
        </w:rPr>
        <w:drawing>
          <wp:inline distT="0" distB="0" distL="0" distR="0" wp14:anchorId="2818CD3F" wp14:editId="5A86B15E">
            <wp:extent cx="4320000" cy="2520000"/>
            <wp:effectExtent l="0" t="0" r="4445" b="13970"/>
            <wp:docPr id="40" name="תרשים 23">
              <a:extLst xmlns:a="http://schemas.openxmlformats.org/drawingml/2006/main">
                <a:ext uri="{FF2B5EF4-FFF2-40B4-BE49-F238E27FC236}">
                  <a16:creationId xmlns:a16="http://schemas.microsoft.com/office/drawing/2014/main" id="{59EEBD81-615E-4002-BDAD-A1298C401A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0A7673" w14:textId="77777777" w:rsidR="006E1000" w:rsidRDefault="006E1000" w:rsidP="006E1000">
      <w:pPr>
        <w:pStyle w:val="ListParagraph"/>
        <w:bidi w:val="0"/>
        <w:spacing w:line="276" w:lineRule="auto"/>
        <w:ind w:left="0"/>
        <w:jc w:val="center"/>
        <w:rPr>
          <w:rFonts w:ascii="Times New Roman" w:hAnsi="Times New Roman" w:cs="David"/>
          <w:b/>
          <w:bCs/>
          <w:sz w:val="24"/>
          <w:szCs w:val="24"/>
        </w:rPr>
      </w:pPr>
      <w:r>
        <w:rPr>
          <w:rFonts w:ascii="Times New Roman" w:hAnsi="Times New Roman" w:cs="David"/>
          <w:b/>
          <w:bCs/>
          <w:sz w:val="24"/>
          <w:szCs w:val="24"/>
        </w:rPr>
        <w:t xml:space="preserve">Figure 38: </w:t>
      </w:r>
      <w:r w:rsidRPr="00203C14">
        <w:rPr>
          <w:rFonts w:ascii="Times New Roman" w:hAnsi="Times New Roman" w:cs="David"/>
          <w:b/>
          <w:bCs/>
          <w:sz w:val="24"/>
          <w:szCs w:val="24"/>
        </w:rPr>
        <w:t xml:space="preserve">ISR-WBG-II </w:t>
      </w:r>
      <w:r>
        <w:rPr>
          <w:rFonts w:ascii="Times New Roman" w:hAnsi="Times New Roman" w:cs="David"/>
          <w:b/>
          <w:bCs/>
          <w:sz w:val="24"/>
          <w:szCs w:val="24"/>
        </w:rPr>
        <w:t>2000</w:t>
      </w:r>
      <w:r w:rsidRPr="00203C14">
        <w:rPr>
          <w:rFonts w:ascii="Times New Roman" w:hAnsi="Times New Roman" w:cs="David"/>
          <w:b/>
          <w:bCs/>
          <w:sz w:val="24"/>
          <w:szCs w:val="24"/>
        </w:rPr>
        <w:t>-2019</w:t>
      </w:r>
      <w:r>
        <w:rPr>
          <w:rFonts w:ascii="Times New Roman" w:hAnsi="Times New Roman" w:cs="David"/>
          <w:b/>
          <w:bCs/>
          <w:sz w:val="24"/>
          <w:szCs w:val="24"/>
        </w:rPr>
        <w:t xml:space="preserve"> b</w:t>
      </w:r>
      <w:r w:rsidRPr="009525DA">
        <w:rPr>
          <w:rFonts w:ascii="Times New Roman" w:hAnsi="Times New Roman" w:cs="David"/>
          <w:b/>
          <w:bCs/>
          <w:sz w:val="24"/>
          <w:szCs w:val="24"/>
        </w:rPr>
        <w:t>y dimensions</w:t>
      </w:r>
    </w:p>
    <w:p w14:paraId="0F6EE289" w14:textId="77777777" w:rsidR="006E1000" w:rsidRPr="00CC19B2" w:rsidRDefault="006E1000" w:rsidP="006E1000">
      <w:pPr>
        <w:pStyle w:val="ListParagraph"/>
        <w:bidi w:val="0"/>
        <w:spacing w:line="276" w:lineRule="auto"/>
        <w:ind w:left="0"/>
        <w:jc w:val="center"/>
        <w:rPr>
          <w:rFonts w:ascii="Times New Roman" w:hAnsi="Times New Roman" w:cs="David"/>
          <w:b/>
          <w:bCs/>
          <w:sz w:val="24"/>
          <w:szCs w:val="24"/>
          <w:rtl/>
        </w:rPr>
      </w:pPr>
      <w:r>
        <w:rPr>
          <w:noProof/>
        </w:rPr>
        <w:drawing>
          <wp:inline distT="0" distB="0" distL="0" distR="0" wp14:anchorId="7C4F47EC" wp14:editId="088734B4">
            <wp:extent cx="4320000" cy="2520000"/>
            <wp:effectExtent l="0" t="0" r="4445" b="13970"/>
            <wp:docPr id="41" name="Chart 41">
              <a:extLst xmlns:a="http://schemas.openxmlformats.org/drawingml/2006/main">
                <a:ext uri="{FF2B5EF4-FFF2-40B4-BE49-F238E27FC236}">
                  <a16:creationId xmlns:a16="http://schemas.microsoft.com/office/drawing/2014/main" id="{B2B89AC4-A115-4CDA-A59B-A111079730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F5638F" w14:textId="77777777" w:rsidR="006E1000" w:rsidRDefault="006E1000" w:rsidP="006E1000">
      <w:pPr>
        <w:pStyle w:val="ListParagraph"/>
        <w:bidi w:val="0"/>
        <w:spacing w:before="240" w:line="276" w:lineRule="auto"/>
        <w:ind w:left="0"/>
        <w:jc w:val="center"/>
        <w:rPr>
          <w:rFonts w:ascii="Times New Roman" w:hAnsi="Times New Roman" w:cs="David"/>
          <w:b/>
          <w:bCs/>
          <w:sz w:val="24"/>
          <w:szCs w:val="24"/>
        </w:rPr>
      </w:pPr>
    </w:p>
    <w:p w14:paraId="7FF92ADB" w14:textId="77777777" w:rsidR="006E1000" w:rsidRPr="006D46E8" w:rsidRDefault="006E1000" w:rsidP="006E1000">
      <w:pPr>
        <w:pStyle w:val="ListParagraph"/>
        <w:bidi w:val="0"/>
        <w:spacing w:before="240" w:line="276" w:lineRule="auto"/>
        <w:ind w:left="0"/>
        <w:jc w:val="center"/>
        <w:rPr>
          <w:rFonts w:ascii="Times New Roman" w:hAnsi="Times New Roman" w:cs="David"/>
          <w:b/>
          <w:bCs/>
          <w:sz w:val="24"/>
          <w:szCs w:val="24"/>
        </w:rPr>
      </w:pPr>
      <w:r>
        <w:rPr>
          <w:rFonts w:ascii="Times New Roman" w:hAnsi="Times New Roman" w:cs="David"/>
          <w:b/>
          <w:bCs/>
          <w:sz w:val="24"/>
          <w:szCs w:val="24"/>
        </w:rPr>
        <w:t xml:space="preserve">Figure 39: </w:t>
      </w:r>
      <w:r w:rsidRPr="00A811C5">
        <w:rPr>
          <w:rFonts w:ascii="Times New Roman" w:hAnsi="Times New Roman" w:cs="David"/>
          <w:b/>
          <w:bCs/>
          <w:sz w:val="24"/>
          <w:szCs w:val="24"/>
        </w:rPr>
        <w:t xml:space="preserve">ISR-WBG-II </w:t>
      </w:r>
      <w:r>
        <w:rPr>
          <w:rFonts w:ascii="Times New Roman" w:hAnsi="Times New Roman" w:cs="David"/>
          <w:b/>
          <w:bCs/>
          <w:sz w:val="24"/>
          <w:szCs w:val="24"/>
        </w:rPr>
        <w:t>2000</w:t>
      </w:r>
      <w:r w:rsidRPr="00A811C5">
        <w:rPr>
          <w:rFonts w:ascii="Times New Roman" w:hAnsi="Times New Roman" w:cs="David"/>
          <w:b/>
          <w:bCs/>
          <w:sz w:val="24"/>
          <w:szCs w:val="24"/>
        </w:rPr>
        <w:t xml:space="preserve">-2019 </w:t>
      </w:r>
      <w:r w:rsidRPr="006D46E8">
        <w:rPr>
          <w:rFonts w:ascii="Times New Roman" w:hAnsi="Times New Roman" w:cs="David"/>
          <w:b/>
          <w:bCs/>
          <w:sz w:val="24"/>
          <w:szCs w:val="24"/>
        </w:rPr>
        <w:t xml:space="preserve">by contribution of </w:t>
      </w:r>
      <w:r w:rsidRPr="00A811C5">
        <w:rPr>
          <w:rFonts w:ascii="Times New Roman" w:hAnsi="Times New Roman" w:cs="David"/>
          <w:b/>
          <w:bCs/>
          <w:sz w:val="24"/>
          <w:szCs w:val="24"/>
        </w:rPr>
        <w:t>dimensions</w:t>
      </w:r>
      <w:r w:rsidRPr="006D46E8">
        <w:rPr>
          <w:rFonts w:ascii="Times New Roman" w:hAnsi="Times New Roman" w:cs="David"/>
          <w:b/>
          <w:bCs/>
          <w:sz w:val="24"/>
          <w:szCs w:val="24"/>
        </w:rPr>
        <w:t xml:space="preserve"> </w:t>
      </w:r>
    </w:p>
    <w:p w14:paraId="14EDFF75" w14:textId="77777777" w:rsidR="006E1000" w:rsidRDefault="006E1000" w:rsidP="006E1000">
      <w:pPr>
        <w:pStyle w:val="ListParagraph"/>
        <w:bidi w:val="0"/>
        <w:spacing w:line="480" w:lineRule="auto"/>
        <w:ind w:left="0"/>
        <w:jc w:val="center"/>
        <w:rPr>
          <w:rFonts w:ascii="Times New Roman" w:hAnsi="Times New Roman" w:cs="David"/>
          <w:sz w:val="24"/>
          <w:szCs w:val="24"/>
        </w:rPr>
      </w:pPr>
      <w:r>
        <w:rPr>
          <w:noProof/>
        </w:rPr>
        <w:drawing>
          <wp:inline distT="0" distB="0" distL="0" distR="0" wp14:anchorId="45FD9C8E" wp14:editId="2D6BD226">
            <wp:extent cx="4320000" cy="2520000"/>
            <wp:effectExtent l="0" t="0" r="4445" b="13970"/>
            <wp:docPr id="42" name="Chart 42">
              <a:extLst xmlns:a="http://schemas.openxmlformats.org/drawingml/2006/main">
                <a:ext uri="{FF2B5EF4-FFF2-40B4-BE49-F238E27FC236}">
                  <a16:creationId xmlns:a16="http://schemas.microsoft.com/office/drawing/2014/main" id="{19217F88-16B2-4016-873E-2056978412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6DF490" w14:textId="2DA87A88" w:rsidR="006E1000" w:rsidRDefault="006E1000" w:rsidP="006E1000">
      <w:pPr>
        <w:pStyle w:val="ListParagraph"/>
        <w:numPr>
          <w:ilvl w:val="2"/>
          <w:numId w:val="3"/>
        </w:numPr>
        <w:bidi w:val="0"/>
        <w:spacing w:line="480" w:lineRule="auto"/>
        <w:rPr>
          <w:rFonts w:ascii="Times New Roman" w:hAnsi="Times New Roman" w:cs="David"/>
          <w:b/>
          <w:bCs/>
          <w:sz w:val="24"/>
          <w:szCs w:val="24"/>
        </w:rPr>
      </w:pPr>
      <w:r>
        <w:rPr>
          <w:rFonts w:ascii="Times New Roman" w:hAnsi="Times New Roman" w:cs="David" w:hint="cs"/>
          <w:b/>
          <w:bCs/>
          <w:sz w:val="24"/>
          <w:szCs w:val="24"/>
        </w:rPr>
        <w:t>IS</w:t>
      </w:r>
      <w:r>
        <w:rPr>
          <w:rFonts w:ascii="Times New Roman" w:hAnsi="Times New Roman" w:cs="David"/>
          <w:b/>
          <w:bCs/>
          <w:sz w:val="24"/>
          <w:szCs w:val="24"/>
        </w:rPr>
        <w:t>R-</w:t>
      </w:r>
      <w:r>
        <w:rPr>
          <w:rFonts w:ascii="Times New Roman" w:hAnsi="Times New Roman" w:cs="David" w:hint="cs"/>
          <w:b/>
          <w:bCs/>
          <w:sz w:val="24"/>
          <w:szCs w:val="24"/>
        </w:rPr>
        <w:t>WBG</w:t>
      </w:r>
      <w:r>
        <w:rPr>
          <w:rFonts w:ascii="Times New Roman" w:hAnsi="Times New Roman" w:cs="David"/>
          <w:b/>
          <w:bCs/>
          <w:sz w:val="24"/>
          <w:szCs w:val="24"/>
        </w:rPr>
        <w:t>-</w:t>
      </w:r>
      <w:r>
        <w:rPr>
          <w:rFonts w:ascii="Times New Roman" w:hAnsi="Times New Roman" w:cs="David" w:hint="cs"/>
          <w:b/>
          <w:bCs/>
          <w:sz w:val="24"/>
          <w:szCs w:val="24"/>
        </w:rPr>
        <w:t>II</w:t>
      </w:r>
      <w:r>
        <w:rPr>
          <w:rFonts w:ascii="Times New Roman" w:hAnsi="Times New Roman" w:cs="David"/>
          <w:b/>
          <w:bCs/>
          <w:sz w:val="24"/>
          <w:szCs w:val="24"/>
        </w:rPr>
        <w:t xml:space="preserve"> 2010 – 2019</w:t>
      </w:r>
    </w:p>
    <w:p w14:paraId="5A4BEF9C" w14:textId="77777777" w:rsidR="006E1000" w:rsidRDefault="006E1000" w:rsidP="006E1000">
      <w:pPr>
        <w:pStyle w:val="ListParagraph"/>
        <w:bidi w:val="0"/>
        <w:spacing w:line="480" w:lineRule="auto"/>
        <w:ind w:left="360"/>
        <w:jc w:val="center"/>
        <w:rPr>
          <w:rFonts w:ascii="Times New Roman" w:hAnsi="Times New Roman" w:cs="David"/>
          <w:b/>
          <w:bCs/>
          <w:sz w:val="24"/>
          <w:szCs w:val="24"/>
        </w:rPr>
      </w:pPr>
      <w:r>
        <w:rPr>
          <w:rFonts w:ascii="Times New Roman" w:hAnsi="Times New Roman" w:cs="David"/>
          <w:b/>
          <w:bCs/>
          <w:sz w:val="24"/>
          <w:szCs w:val="24"/>
        </w:rPr>
        <w:t>Table 4 -</w:t>
      </w:r>
      <w:r w:rsidRPr="00B37731">
        <w:t xml:space="preserve"> </w:t>
      </w:r>
      <w:r w:rsidRPr="00B37731">
        <w:rPr>
          <w:rFonts w:ascii="Times New Roman" w:hAnsi="Times New Roman" w:cs="David"/>
          <w:b/>
          <w:bCs/>
          <w:sz w:val="24"/>
          <w:szCs w:val="24"/>
        </w:rPr>
        <w:t>Dimensions, indicators and weights</w:t>
      </w:r>
      <w:r>
        <w:rPr>
          <w:rFonts w:ascii="Times New Roman" w:hAnsi="Times New Roman" w:cs="David" w:hint="cs"/>
          <w:b/>
          <w:bCs/>
          <w:sz w:val="24"/>
          <w:szCs w:val="24"/>
          <w:rtl/>
        </w:rPr>
        <w:t xml:space="preserve"> </w:t>
      </w:r>
      <w:r>
        <w:rPr>
          <w:rFonts w:ascii="Times New Roman" w:hAnsi="Times New Roman" w:cs="David"/>
          <w:b/>
          <w:bCs/>
          <w:sz w:val="24"/>
          <w:szCs w:val="24"/>
        </w:rPr>
        <w:t>2010-2019</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6464"/>
        <w:gridCol w:w="992"/>
        <w:gridCol w:w="1134"/>
      </w:tblGrid>
      <w:tr w:rsidR="006E1000" w:rsidRPr="00E963C7" w14:paraId="3078EB3E" w14:textId="77777777" w:rsidTr="004831C9">
        <w:trPr>
          <w:trHeight w:val="300"/>
        </w:trPr>
        <w:tc>
          <w:tcPr>
            <w:tcW w:w="1475" w:type="dxa"/>
            <w:shd w:val="clear" w:color="auto" w:fill="auto"/>
            <w:noWrap/>
            <w:vAlign w:val="center"/>
            <w:hideMark/>
          </w:tcPr>
          <w:p w14:paraId="2E340F76"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Dimension</w:t>
            </w:r>
          </w:p>
        </w:tc>
        <w:tc>
          <w:tcPr>
            <w:tcW w:w="6464" w:type="dxa"/>
            <w:shd w:val="clear" w:color="auto" w:fill="auto"/>
            <w:noWrap/>
            <w:vAlign w:val="center"/>
            <w:hideMark/>
          </w:tcPr>
          <w:p w14:paraId="1E41E8E7"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Indicator</w:t>
            </w:r>
          </w:p>
        </w:tc>
        <w:tc>
          <w:tcPr>
            <w:tcW w:w="992" w:type="dxa"/>
            <w:shd w:val="clear" w:color="auto" w:fill="auto"/>
            <w:noWrap/>
            <w:vAlign w:val="center"/>
            <w:hideMark/>
          </w:tcPr>
          <w:p w14:paraId="6190A0E3"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Indicator weight</w:t>
            </w:r>
          </w:p>
        </w:tc>
        <w:tc>
          <w:tcPr>
            <w:tcW w:w="1134" w:type="dxa"/>
            <w:shd w:val="clear" w:color="auto" w:fill="auto"/>
            <w:noWrap/>
            <w:vAlign w:val="center"/>
            <w:hideMark/>
          </w:tcPr>
          <w:p w14:paraId="0478FC6F" w14:textId="77777777" w:rsidR="006E1000" w:rsidRPr="00E963C7" w:rsidRDefault="006E1000" w:rsidP="004831C9">
            <w:pPr>
              <w:bidi w:val="0"/>
              <w:rPr>
                <w:rFonts w:asciiTheme="majorBidi" w:hAnsiTheme="majorBidi" w:cstheme="majorBidi"/>
                <w:b/>
                <w:bCs/>
                <w:color w:val="000000"/>
              </w:rPr>
            </w:pPr>
            <w:r w:rsidRPr="00E963C7">
              <w:rPr>
                <w:rFonts w:asciiTheme="majorBidi" w:hAnsiTheme="majorBidi" w:cstheme="majorBidi"/>
                <w:b/>
                <w:bCs/>
                <w:color w:val="000000"/>
              </w:rPr>
              <w:t>Dimension weight</w:t>
            </w:r>
          </w:p>
        </w:tc>
      </w:tr>
      <w:tr w:rsidR="006E1000" w:rsidRPr="00E963C7" w14:paraId="2BC27A01" w14:textId="77777777" w:rsidTr="004831C9">
        <w:trPr>
          <w:trHeight w:val="300"/>
        </w:trPr>
        <w:tc>
          <w:tcPr>
            <w:tcW w:w="1475" w:type="dxa"/>
            <w:vMerge w:val="restart"/>
            <w:shd w:val="clear" w:color="auto" w:fill="auto"/>
            <w:vAlign w:val="center"/>
            <w:hideMark/>
          </w:tcPr>
          <w:p w14:paraId="29E576DA"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Trade, Employment and taxes</w:t>
            </w:r>
          </w:p>
        </w:tc>
        <w:tc>
          <w:tcPr>
            <w:tcW w:w="6464" w:type="dxa"/>
            <w:shd w:val="clear" w:color="auto" w:fill="auto"/>
            <w:noWrap/>
            <w:vAlign w:val="center"/>
            <w:hideMark/>
          </w:tcPr>
          <w:p w14:paraId="630D4E0D"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Palestinian exports of goods and services to Israel out of total Palestinian exports</w:t>
            </w:r>
          </w:p>
        </w:tc>
        <w:tc>
          <w:tcPr>
            <w:tcW w:w="992" w:type="dxa"/>
            <w:shd w:val="clear" w:color="auto" w:fill="auto"/>
            <w:noWrap/>
            <w:vAlign w:val="center"/>
            <w:hideMark/>
          </w:tcPr>
          <w:p w14:paraId="10784628"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21.2%</w:t>
            </w:r>
          </w:p>
        </w:tc>
        <w:tc>
          <w:tcPr>
            <w:tcW w:w="1134" w:type="dxa"/>
            <w:vMerge w:val="restart"/>
            <w:shd w:val="clear" w:color="auto" w:fill="auto"/>
            <w:noWrap/>
            <w:vAlign w:val="center"/>
            <w:hideMark/>
          </w:tcPr>
          <w:p w14:paraId="7128228D"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18.2%</w:t>
            </w:r>
          </w:p>
        </w:tc>
      </w:tr>
      <w:tr w:rsidR="006E1000" w:rsidRPr="00E963C7" w14:paraId="648B4DB1" w14:textId="77777777" w:rsidTr="004831C9">
        <w:trPr>
          <w:trHeight w:val="300"/>
        </w:trPr>
        <w:tc>
          <w:tcPr>
            <w:tcW w:w="1475" w:type="dxa"/>
            <w:vMerge/>
            <w:vAlign w:val="center"/>
            <w:hideMark/>
          </w:tcPr>
          <w:p w14:paraId="5ECF38BA"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4EC01288"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Palestinian imports of goods and services from Israel out of total Palestinian imports</w:t>
            </w:r>
          </w:p>
        </w:tc>
        <w:tc>
          <w:tcPr>
            <w:tcW w:w="992" w:type="dxa"/>
            <w:shd w:val="clear" w:color="auto" w:fill="auto"/>
            <w:noWrap/>
            <w:vAlign w:val="center"/>
            <w:hideMark/>
          </w:tcPr>
          <w:p w14:paraId="3993D8E1"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20.3%</w:t>
            </w:r>
          </w:p>
        </w:tc>
        <w:tc>
          <w:tcPr>
            <w:tcW w:w="1134" w:type="dxa"/>
            <w:vMerge/>
            <w:vAlign w:val="center"/>
            <w:hideMark/>
          </w:tcPr>
          <w:p w14:paraId="77F3F1AC" w14:textId="77777777" w:rsidR="006E1000" w:rsidRPr="00E963C7" w:rsidRDefault="006E1000" w:rsidP="004831C9">
            <w:pPr>
              <w:bidi w:val="0"/>
              <w:rPr>
                <w:rFonts w:asciiTheme="majorBidi" w:hAnsiTheme="majorBidi" w:cstheme="majorBidi"/>
                <w:color w:val="000000"/>
              </w:rPr>
            </w:pPr>
          </w:p>
        </w:tc>
      </w:tr>
      <w:tr w:rsidR="006E1000" w:rsidRPr="00E963C7" w14:paraId="3C199DCC" w14:textId="77777777" w:rsidTr="004831C9">
        <w:trPr>
          <w:trHeight w:val="300"/>
        </w:trPr>
        <w:tc>
          <w:tcPr>
            <w:tcW w:w="1475" w:type="dxa"/>
            <w:vMerge/>
            <w:vAlign w:val="center"/>
            <w:hideMark/>
          </w:tcPr>
          <w:p w14:paraId="4F306308"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0E53FAAF"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Share of Gross clearance revenues out of Total PA net revenues and grants</w:t>
            </w:r>
          </w:p>
        </w:tc>
        <w:tc>
          <w:tcPr>
            <w:tcW w:w="992" w:type="dxa"/>
            <w:shd w:val="clear" w:color="auto" w:fill="auto"/>
            <w:noWrap/>
            <w:vAlign w:val="center"/>
            <w:hideMark/>
          </w:tcPr>
          <w:p w14:paraId="46C4B7B5"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18.3%</w:t>
            </w:r>
          </w:p>
        </w:tc>
        <w:tc>
          <w:tcPr>
            <w:tcW w:w="1134" w:type="dxa"/>
            <w:vMerge/>
            <w:vAlign w:val="center"/>
            <w:hideMark/>
          </w:tcPr>
          <w:p w14:paraId="03C87413" w14:textId="77777777" w:rsidR="006E1000" w:rsidRPr="00E963C7" w:rsidRDefault="006E1000" w:rsidP="004831C9">
            <w:pPr>
              <w:bidi w:val="0"/>
              <w:rPr>
                <w:rFonts w:asciiTheme="majorBidi" w:hAnsiTheme="majorBidi" w:cstheme="majorBidi"/>
                <w:color w:val="000000"/>
              </w:rPr>
            </w:pPr>
          </w:p>
        </w:tc>
      </w:tr>
      <w:tr w:rsidR="006E1000" w:rsidRPr="00E963C7" w14:paraId="3E88AA02" w14:textId="77777777" w:rsidTr="004831C9">
        <w:trPr>
          <w:trHeight w:val="300"/>
        </w:trPr>
        <w:tc>
          <w:tcPr>
            <w:tcW w:w="1475" w:type="dxa"/>
            <w:vMerge/>
            <w:vAlign w:val="center"/>
            <w:hideMark/>
          </w:tcPr>
          <w:p w14:paraId="3DC76AFC"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26601127"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 xml:space="preserve">Palestinians employed in Israel out of total Palestinian individuals employed </w:t>
            </w:r>
          </w:p>
        </w:tc>
        <w:tc>
          <w:tcPr>
            <w:tcW w:w="992" w:type="dxa"/>
            <w:shd w:val="clear" w:color="auto" w:fill="auto"/>
            <w:noWrap/>
            <w:vAlign w:val="center"/>
            <w:hideMark/>
          </w:tcPr>
          <w:p w14:paraId="4E7EC335"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19.3%</w:t>
            </w:r>
          </w:p>
        </w:tc>
        <w:tc>
          <w:tcPr>
            <w:tcW w:w="1134" w:type="dxa"/>
            <w:vMerge/>
            <w:vAlign w:val="center"/>
            <w:hideMark/>
          </w:tcPr>
          <w:p w14:paraId="7013B160" w14:textId="77777777" w:rsidR="006E1000" w:rsidRPr="00E963C7" w:rsidRDefault="006E1000" w:rsidP="004831C9">
            <w:pPr>
              <w:bidi w:val="0"/>
              <w:rPr>
                <w:rFonts w:asciiTheme="majorBidi" w:hAnsiTheme="majorBidi" w:cstheme="majorBidi"/>
                <w:color w:val="000000"/>
              </w:rPr>
            </w:pPr>
          </w:p>
        </w:tc>
      </w:tr>
      <w:tr w:rsidR="006E1000" w:rsidRPr="00E963C7" w14:paraId="09B42AD7" w14:textId="77777777" w:rsidTr="004831C9">
        <w:trPr>
          <w:trHeight w:val="300"/>
        </w:trPr>
        <w:tc>
          <w:tcPr>
            <w:tcW w:w="1475" w:type="dxa"/>
            <w:vMerge/>
            <w:vAlign w:val="center"/>
            <w:hideMark/>
          </w:tcPr>
          <w:p w14:paraId="1BEEEB91"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37CFCF2D"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Remittances of Palestinians workers in Israel out of WBG GNI</w:t>
            </w:r>
          </w:p>
        </w:tc>
        <w:tc>
          <w:tcPr>
            <w:tcW w:w="992" w:type="dxa"/>
            <w:shd w:val="clear" w:color="auto" w:fill="auto"/>
            <w:noWrap/>
            <w:vAlign w:val="center"/>
            <w:hideMark/>
          </w:tcPr>
          <w:p w14:paraId="3A4BBF59"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20.9%</w:t>
            </w:r>
          </w:p>
        </w:tc>
        <w:tc>
          <w:tcPr>
            <w:tcW w:w="1134" w:type="dxa"/>
            <w:vMerge/>
            <w:vAlign w:val="center"/>
            <w:hideMark/>
          </w:tcPr>
          <w:p w14:paraId="06F8968C" w14:textId="77777777" w:rsidR="006E1000" w:rsidRPr="00E963C7" w:rsidRDefault="006E1000" w:rsidP="004831C9">
            <w:pPr>
              <w:bidi w:val="0"/>
              <w:rPr>
                <w:rFonts w:asciiTheme="majorBidi" w:hAnsiTheme="majorBidi" w:cstheme="majorBidi"/>
                <w:color w:val="000000"/>
              </w:rPr>
            </w:pPr>
          </w:p>
        </w:tc>
      </w:tr>
      <w:tr w:rsidR="006E1000" w:rsidRPr="00E963C7" w14:paraId="7A2EEE7D" w14:textId="77777777" w:rsidTr="004831C9">
        <w:trPr>
          <w:trHeight w:val="300"/>
        </w:trPr>
        <w:tc>
          <w:tcPr>
            <w:tcW w:w="1475" w:type="dxa"/>
            <w:vMerge w:val="restart"/>
            <w:shd w:val="clear" w:color="auto" w:fill="auto"/>
            <w:vAlign w:val="center"/>
            <w:hideMark/>
          </w:tcPr>
          <w:p w14:paraId="5FDC3380"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Movement of people and Services</w:t>
            </w:r>
          </w:p>
        </w:tc>
        <w:tc>
          <w:tcPr>
            <w:tcW w:w="6464" w:type="dxa"/>
            <w:shd w:val="clear" w:color="auto" w:fill="auto"/>
            <w:noWrap/>
            <w:vAlign w:val="center"/>
            <w:hideMark/>
          </w:tcPr>
          <w:p w14:paraId="1DB09496"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Percentage of Israeli cars entering the WB</w:t>
            </w:r>
          </w:p>
        </w:tc>
        <w:tc>
          <w:tcPr>
            <w:tcW w:w="992" w:type="dxa"/>
            <w:shd w:val="clear" w:color="auto" w:fill="auto"/>
            <w:noWrap/>
            <w:vAlign w:val="center"/>
            <w:hideMark/>
          </w:tcPr>
          <w:p w14:paraId="1A41053A"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22.9%</w:t>
            </w:r>
          </w:p>
        </w:tc>
        <w:tc>
          <w:tcPr>
            <w:tcW w:w="1134" w:type="dxa"/>
            <w:vMerge w:val="restart"/>
            <w:shd w:val="clear" w:color="auto" w:fill="auto"/>
            <w:noWrap/>
            <w:vAlign w:val="center"/>
            <w:hideMark/>
          </w:tcPr>
          <w:p w14:paraId="4B724787"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22.4%</w:t>
            </w:r>
          </w:p>
        </w:tc>
      </w:tr>
      <w:tr w:rsidR="006E1000" w:rsidRPr="00E963C7" w14:paraId="0C3EE216" w14:textId="77777777" w:rsidTr="004831C9">
        <w:trPr>
          <w:trHeight w:val="300"/>
        </w:trPr>
        <w:tc>
          <w:tcPr>
            <w:tcW w:w="1475" w:type="dxa"/>
            <w:vMerge/>
            <w:vAlign w:val="center"/>
            <w:hideMark/>
          </w:tcPr>
          <w:p w14:paraId="7580398D"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532CD813"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Movement of people between Israel and the WB</w:t>
            </w:r>
          </w:p>
        </w:tc>
        <w:tc>
          <w:tcPr>
            <w:tcW w:w="992" w:type="dxa"/>
            <w:shd w:val="clear" w:color="auto" w:fill="auto"/>
            <w:noWrap/>
            <w:vAlign w:val="center"/>
            <w:hideMark/>
          </w:tcPr>
          <w:p w14:paraId="7A6A227F"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21.3%</w:t>
            </w:r>
          </w:p>
        </w:tc>
        <w:tc>
          <w:tcPr>
            <w:tcW w:w="1134" w:type="dxa"/>
            <w:vMerge/>
            <w:vAlign w:val="center"/>
            <w:hideMark/>
          </w:tcPr>
          <w:p w14:paraId="54BA5AEC" w14:textId="77777777" w:rsidR="006E1000" w:rsidRPr="00E963C7" w:rsidRDefault="006E1000" w:rsidP="004831C9">
            <w:pPr>
              <w:bidi w:val="0"/>
              <w:rPr>
                <w:rFonts w:asciiTheme="majorBidi" w:hAnsiTheme="majorBidi" w:cstheme="majorBidi"/>
                <w:color w:val="000000"/>
              </w:rPr>
            </w:pPr>
          </w:p>
        </w:tc>
      </w:tr>
      <w:tr w:rsidR="006E1000" w:rsidRPr="00E963C7" w14:paraId="341A0374" w14:textId="77777777" w:rsidTr="004831C9">
        <w:trPr>
          <w:trHeight w:val="300"/>
        </w:trPr>
        <w:tc>
          <w:tcPr>
            <w:tcW w:w="1475" w:type="dxa"/>
            <w:vMerge/>
            <w:vAlign w:val="center"/>
            <w:hideMark/>
          </w:tcPr>
          <w:p w14:paraId="63740B01"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75D71B39"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Percentage of Palestinians entering Israel for medical treatment</w:t>
            </w:r>
          </w:p>
        </w:tc>
        <w:tc>
          <w:tcPr>
            <w:tcW w:w="992" w:type="dxa"/>
            <w:shd w:val="clear" w:color="auto" w:fill="auto"/>
            <w:noWrap/>
            <w:vAlign w:val="center"/>
            <w:hideMark/>
          </w:tcPr>
          <w:p w14:paraId="583C4F32"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18.4%</w:t>
            </w:r>
          </w:p>
        </w:tc>
        <w:tc>
          <w:tcPr>
            <w:tcW w:w="1134" w:type="dxa"/>
            <w:vMerge/>
            <w:vAlign w:val="center"/>
            <w:hideMark/>
          </w:tcPr>
          <w:p w14:paraId="1CB703D0" w14:textId="77777777" w:rsidR="006E1000" w:rsidRPr="00E963C7" w:rsidRDefault="006E1000" w:rsidP="004831C9">
            <w:pPr>
              <w:bidi w:val="0"/>
              <w:rPr>
                <w:rFonts w:asciiTheme="majorBidi" w:hAnsiTheme="majorBidi" w:cstheme="majorBidi"/>
                <w:color w:val="000000"/>
              </w:rPr>
            </w:pPr>
          </w:p>
        </w:tc>
      </w:tr>
      <w:tr w:rsidR="006E1000" w:rsidRPr="00E963C7" w14:paraId="0E60DC85" w14:textId="77777777" w:rsidTr="004831C9">
        <w:trPr>
          <w:trHeight w:val="300"/>
        </w:trPr>
        <w:tc>
          <w:tcPr>
            <w:tcW w:w="1475" w:type="dxa"/>
            <w:vMerge/>
            <w:vAlign w:val="center"/>
            <w:hideMark/>
          </w:tcPr>
          <w:p w14:paraId="65033827"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478E2727"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Percentage of Palestinian households that conducted Outbound Trips to Israel</w:t>
            </w:r>
          </w:p>
        </w:tc>
        <w:tc>
          <w:tcPr>
            <w:tcW w:w="992" w:type="dxa"/>
            <w:shd w:val="clear" w:color="auto" w:fill="auto"/>
            <w:noWrap/>
            <w:vAlign w:val="center"/>
            <w:hideMark/>
          </w:tcPr>
          <w:p w14:paraId="3380EE17"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22.6%</w:t>
            </w:r>
          </w:p>
        </w:tc>
        <w:tc>
          <w:tcPr>
            <w:tcW w:w="1134" w:type="dxa"/>
            <w:vMerge/>
            <w:vAlign w:val="center"/>
            <w:hideMark/>
          </w:tcPr>
          <w:p w14:paraId="743AC9E9" w14:textId="77777777" w:rsidR="006E1000" w:rsidRPr="00E963C7" w:rsidRDefault="006E1000" w:rsidP="004831C9">
            <w:pPr>
              <w:bidi w:val="0"/>
              <w:rPr>
                <w:rFonts w:asciiTheme="majorBidi" w:hAnsiTheme="majorBidi" w:cstheme="majorBidi"/>
                <w:color w:val="000000"/>
              </w:rPr>
            </w:pPr>
          </w:p>
        </w:tc>
      </w:tr>
      <w:tr w:rsidR="006E1000" w:rsidRPr="00E963C7" w14:paraId="0B4CC669" w14:textId="77777777" w:rsidTr="004831C9">
        <w:trPr>
          <w:trHeight w:val="300"/>
        </w:trPr>
        <w:tc>
          <w:tcPr>
            <w:tcW w:w="1475" w:type="dxa"/>
            <w:vMerge/>
            <w:vAlign w:val="center"/>
            <w:hideMark/>
          </w:tcPr>
          <w:p w14:paraId="34F88AF2"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3DF73B55"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Percentage of Israeli guests’ nights in WB Hotels</w:t>
            </w:r>
          </w:p>
        </w:tc>
        <w:tc>
          <w:tcPr>
            <w:tcW w:w="992" w:type="dxa"/>
            <w:shd w:val="clear" w:color="auto" w:fill="auto"/>
            <w:noWrap/>
            <w:vAlign w:val="center"/>
            <w:hideMark/>
          </w:tcPr>
          <w:p w14:paraId="50AC086A"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14.8%</w:t>
            </w:r>
          </w:p>
        </w:tc>
        <w:tc>
          <w:tcPr>
            <w:tcW w:w="1134" w:type="dxa"/>
            <w:vMerge/>
            <w:vAlign w:val="center"/>
            <w:hideMark/>
          </w:tcPr>
          <w:p w14:paraId="72CBB0DB" w14:textId="77777777" w:rsidR="006E1000" w:rsidRPr="00E963C7" w:rsidRDefault="006E1000" w:rsidP="004831C9">
            <w:pPr>
              <w:bidi w:val="0"/>
              <w:rPr>
                <w:rFonts w:asciiTheme="majorBidi" w:hAnsiTheme="majorBidi" w:cstheme="majorBidi"/>
                <w:color w:val="000000"/>
              </w:rPr>
            </w:pPr>
          </w:p>
        </w:tc>
      </w:tr>
      <w:tr w:rsidR="006E1000" w:rsidRPr="00E963C7" w14:paraId="76A875F8" w14:textId="77777777" w:rsidTr="004831C9">
        <w:trPr>
          <w:trHeight w:val="300"/>
        </w:trPr>
        <w:tc>
          <w:tcPr>
            <w:tcW w:w="1475" w:type="dxa"/>
            <w:vMerge w:val="restart"/>
            <w:shd w:val="clear" w:color="auto" w:fill="auto"/>
            <w:vAlign w:val="center"/>
            <w:hideMark/>
          </w:tcPr>
          <w:p w14:paraId="1B645F92"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Resources and infrastructure</w:t>
            </w:r>
          </w:p>
        </w:tc>
        <w:tc>
          <w:tcPr>
            <w:tcW w:w="6464" w:type="dxa"/>
            <w:shd w:val="clear" w:color="auto" w:fill="auto"/>
            <w:noWrap/>
            <w:vAlign w:val="center"/>
            <w:hideMark/>
          </w:tcPr>
          <w:p w14:paraId="74B32B11"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Mobile cellular subscriptions (ratio)</w:t>
            </w:r>
          </w:p>
        </w:tc>
        <w:tc>
          <w:tcPr>
            <w:tcW w:w="992" w:type="dxa"/>
            <w:shd w:val="clear" w:color="auto" w:fill="auto"/>
            <w:noWrap/>
            <w:vAlign w:val="center"/>
            <w:hideMark/>
          </w:tcPr>
          <w:p w14:paraId="188832E0"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19.2%</w:t>
            </w:r>
          </w:p>
        </w:tc>
        <w:tc>
          <w:tcPr>
            <w:tcW w:w="1134" w:type="dxa"/>
            <w:vMerge w:val="restart"/>
            <w:shd w:val="clear" w:color="auto" w:fill="auto"/>
            <w:noWrap/>
            <w:vAlign w:val="center"/>
            <w:hideMark/>
          </w:tcPr>
          <w:p w14:paraId="3C146D0E"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22.4%</w:t>
            </w:r>
          </w:p>
        </w:tc>
      </w:tr>
      <w:tr w:rsidR="006E1000" w:rsidRPr="00E963C7" w14:paraId="6C7F481A" w14:textId="77777777" w:rsidTr="004831C9">
        <w:trPr>
          <w:trHeight w:val="300"/>
        </w:trPr>
        <w:tc>
          <w:tcPr>
            <w:tcW w:w="1475" w:type="dxa"/>
            <w:vMerge/>
            <w:vAlign w:val="center"/>
            <w:hideMark/>
          </w:tcPr>
          <w:p w14:paraId="37C29AAA"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3FB43111"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Individuals using the Internet (ratio)</w:t>
            </w:r>
          </w:p>
        </w:tc>
        <w:tc>
          <w:tcPr>
            <w:tcW w:w="992" w:type="dxa"/>
            <w:shd w:val="clear" w:color="auto" w:fill="auto"/>
            <w:noWrap/>
            <w:vAlign w:val="center"/>
            <w:hideMark/>
          </w:tcPr>
          <w:p w14:paraId="7ECB33B0"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20.7%</w:t>
            </w:r>
          </w:p>
        </w:tc>
        <w:tc>
          <w:tcPr>
            <w:tcW w:w="1134" w:type="dxa"/>
            <w:vMerge/>
            <w:vAlign w:val="center"/>
            <w:hideMark/>
          </w:tcPr>
          <w:p w14:paraId="548AD0F6" w14:textId="77777777" w:rsidR="006E1000" w:rsidRPr="00E963C7" w:rsidRDefault="006E1000" w:rsidP="004831C9">
            <w:pPr>
              <w:bidi w:val="0"/>
              <w:rPr>
                <w:rFonts w:asciiTheme="majorBidi" w:hAnsiTheme="majorBidi" w:cstheme="majorBidi"/>
                <w:color w:val="000000"/>
              </w:rPr>
            </w:pPr>
          </w:p>
        </w:tc>
      </w:tr>
      <w:tr w:rsidR="006E1000" w:rsidRPr="00E963C7" w14:paraId="0DE5905B" w14:textId="77777777" w:rsidTr="004831C9">
        <w:trPr>
          <w:trHeight w:val="300"/>
        </w:trPr>
        <w:tc>
          <w:tcPr>
            <w:tcW w:w="1475" w:type="dxa"/>
            <w:vMerge/>
            <w:vAlign w:val="center"/>
            <w:hideMark/>
          </w:tcPr>
          <w:p w14:paraId="69FE0C5F"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522D8D53"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Fixed broadband subscriptions (ratio)</w:t>
            </w:r>
          </w:p>
        </w:tc>
        <w:tc>
          <w:tcPr>
            <w:tcW w:w="992" w:type="dxa"/>
            <w:shd w:val="clear" w:color="auto" w:fill="auto"/>
            <w:noWrap/>
            <w:vAlign w:val="center"/>
            <w:hideMark/>
          </w:tcPr>
          <w:p w14:paraId="389389D0"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22.8%</w:t>
            </w:r>
          </w:p>
        </w:tc>
        <w:tc>
          <w:tcPr>
            <w:tcW w:w="1134" w:type="dxa"/>
            <w:vMerge/>
            <w:vAlign w:val="center"/>
            <w:hideMark/>
          </w:tcPr>
          <w:p w14:paraId="0F1AB02E" w14:textId="77777777" w:rsidR="006E1000" w:rsidRPr="00E963C7" w:rsidRDefault="006E1000" w:rsidP="004831C9">
            <w:pPr>
              <w:bidi w:val="0"/>
              <w:rPr>
                <w:rFonts w:asciiTheme="majorBidi" w:hAnsiTheme="majorBidi" w:cstheme="majorBidi"/>
                <w:color w:val="000000"/>
              </w:rPr>
            </w:pPr>
          </w:p>
        </w:tc>
      </w:tr>
      <w:tr w:rsidR="006E1000" w:rsidRPr="00E963C7" w14:paraId="5F08C63E" w14:textId="77777777" w:rsidTr="004831C9">
        <w:trPr>
          <w:trHeight w:val="300"/>
        </w:trPr>
        <w:tc>
          <w:tcPr>
            <w:tcW w:w="1475" w:type="dxa"/>
            <w:vMerge/>
            <w:vAlign w:val="center"/>
            <w:hideMark/>
          </w:tcPr>
          <w:p w14:paraId="3ADFBD03"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346300A5"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Electricity imported from Israel out of total available electricity in the WBG</w:t>
            </w:r>
          </w:p>
        </w:tc>
        <w:tc>
          <w:tcPr>
            <w:tcW w:w="992" w:type="dxa"/>
            <w:shd w:val="clear" w:color="auto" w:fill="auto"/>
            <w:noWrap/>
            <w:vAlign w:val="center"/>
            <w:hideMark/>
          </w:tcPr>
          <w:p w14:paraId="551C8AA3"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17.9%</w:t>
            </w:r>
          </w:p>
        </w:tc>
        <w:tc>
          <w:tcPr>
            <w:tcW w:w="1134" w:type="dxa"/>
            <w:vMerge/>
            <w:vAlign w:val="center"/>
            <w:hideMark/>
          </w:tcPr>
          <w:p w14:paraId="42FF811B" w14:textId="77777777" w:rsidR="006E1000" w:rsidRPr="00E963C7" w:rsidRDefault="006E1000" w:rsidP="004831C9">
            <w:pPr>
              <w:bidi w:val="0"/>
              <w:rPr>
                <w:rFonts w:asciiTheme="majorBidi" w:hAnsiTheme="majorBidi" w:cstheme="majorBidi"/>
                <w:color w:val="000000"/>
              </w:rPr>
            </w:pPr>
          </w:p>
        </w:tc>
      </w:tr>
      <w:tr w:rsidR="006E1000" w:rsidRPr="00E963C7" w14:paraId="3BB10616" w14:textId="77777777" w:rsidTr="004831C9">
        <w:trPr>
          <w:trHeight w:val="300"/>
        </w:trPr>
        <w:tc>
          <w:tcPr>
            <w:tcW w:w="1475" w:type="dxa"/>
            <w:vMerge/>
            <w:vAlign w:val="center"/>
            <w:hideMark/>
          </w:tcPr>
          <w:p w14:paraId="6EAA25C4"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1077C9F7"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Water Purchased from Israel out of available water quantity in the WBG</w:t>
            </w:r>
          </w:p>
        </w:tc>
        <w:tc>
          <w:tcPr>
            <w:tcW w:w="992" w:type="dxa"/>
            <w:shd w:val="clear" w:color="auto" w:fill="auto"/>
            <w:noWrap/>
            <w:vAlign w:val="center"/>
            <w:hideMark/>
          </w:tcPr>
          <w:p w14:paraId="5E8BC2A6"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19.4%</w:t>
            </w:r>
          </w:p>
        </w:tc>
        <w:tc>
          <w:tcPr>
            <w:tcW w:w="1134" w:type="dxa"/>
            <w:vMerge/>
            <w:vAlign w:val="center"/>
            <w:hideMark/>
          </w:tcPr>
          <w:p w14:paraId="32B743CE" w14:textId="77777777" w:rsidR="006E1000" w:rsidRPr="00E963C7" w:rsidRDefault="006E1000" w:rsidP="004831C9">
            <w:pPr>
              <w:bidi w:val="0"/>
              <w:rPr>
                <w:rFonts w:asciiTheme="majorBidi" w:hAnsiTheme="majorBidi" w:cstheme="majorBidi"/>
                <w:color w:val="000000"/>
              </w:rPr>
            </w:pPr>
          </w:p>
        </w:tc>
      </w:tr>
      <w:tr w:rsidR="006E1000" w:rsidRPr="00E963C7" w14:paraId="093F1025" w14:textId="77777777" w:rsidTr="004831C9">
        <w:trPr>
          <w:trHeight w:val="300"/>
        </w:trPr>
        <w:tc>
          <w:tcPr>
            <w:tcW w:w="1475" w:type="dxa"/>
            <w:vMerge w:val="restart"/>
            <w:shd w:val="clear" w:color="auto" w:fill="auto"/>
            <w:vAlign w:val="center"/>
            <w:hideMark/>
          </w:tcPr>
          <w:p w14:paraId="11434214"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Banking and money</w:t>
            </w:r>
          </w:p>
        </w:tc>
        <w:tc>
          <w:tcPr>
            <w:tcW w:w="6464" w:type="dxa"/>
            <w:shd w:val="clear" w:color="auto" w:fill="auto"/>
            <w:noWrap/>
            <w:vAlign w:val="center"/>
            <w:hideMark/>
          </w:tcPr>
          <w:p w14:paraId="5C4AA2B3"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Share of NIS deposits in the Palestinian banking system</w:t>
            </w:r>
          </w:p>
        </w:tc>
        <w:tc>
          <w:tcPr>
            <w:tcW w:w="992" w:type="dxa"/>
            <w:shd w:val="clear" w:color="auto" w:fill="auto"/>
            <w:noWrap/>
            <w:vAlign w:val="center"/>
            <w:hideMark/>
          </w:tcPr>
          <w:p w14:paraId="36509807"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20.4%</w:t>
            </w:r>
          </w:p>
        </w:tc>
        <w:tc>
          <w:tcPr>
            <w:tcW w:w="1134" w:type="dxa"/>
            <w:vMerge w:val="restart"/>
            <w:shd w:val="clear" w:color="auto" w:fill="auto"/>
            <w:noWrap/>
            <w:vAlign w:val="center"/>
            <w:hideMark/>
          </w:tcPr>
          <w:p w14:paraId="4CE506B4"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19.8%</w:t>
            </w:r>
          </w:p>
        </w:tc>
      </w:tr>
      <w:tr w:rsidR="006E1000" w:rsidRPr="00E963C7" w14:paraId="4A2F6F02" w14:textId="77777777" w:rsidTr="004831C9">
        <w:trPr>
          <w:trHeight w:val="300"/>
        </w:trPr>
        <w:tc>
          <w:tcPr>
            <w:tcW w:w="1475" w:type="dxa"/>
            <w:vMerge/>
            <w:vAlign w:val="center"/>
            <w:hideMark/>
          </w:tcPr>
          <w:p w14:paraId="535B0C5E"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66F66370"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Share of NIS credit in the Palestinian banking system</w:t>
            </w:r>
          </w:p>
        </w:tc>
        <w:tc>
          <w:tcPr>
            <w:tcW w:w="992" w:type="dxa"/>
            <w:shd w:val="clear" w:color="auto" w:fill="auto"/>
            <w:noWrap/>
            <w:vAlign w:val="center"/>
            <w:hideMark/>
          </w:tcPr>
          <w:p w14:paraId="1551B21B"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20.5%</w:t>
            </w:r>
          </w:p>
        </w:tc>
        <w:tc>
          <w:tcPr>
            <w:tcW w:w="1134" w:type="dxa"/>
            <w:vMerge/>
            <w:vAlign w:val="center"/>
            <w:hideMark/>
          </w:tcPr>
          <w:p w14:paraId="7A2A774B" w14:textId="77777777" w:rsidR="006E1000" w:rsidRPr="00E963C7" w:rsidRDefault="006E1000" w:rsidP="004831C9">
            <w:pPr>
              <w:bidi w:val="0"/>
              <w:rPr>
                <w:rFonts w:asciiTheme="majorBidi" w:hAnsiTheme="majorBidi" w:cstheme="majorBidi"/>
                <w:color w:val="000000"/>
              </w:rPr>
            </w:pPr>
          </w:p>
        </w:tc>
      </w:tr>
      <w:tr w:rsidR="006E1000" w:rsidRPr="00E963C7" w14:paraId="5D3BB47F" w14:textId="77777777" w:rsidTr="004831C9">
        <w:trPr>
          <w:trHeight w:val="300"/>
        </w:trPr>
        <w:tc>
          <w:tcPr>
            <w:tcW w:w="1475" w:type="dxa"/>
            <w:vMerge/>
            <w:vAlign w:val="center"/>
            <w:hideMark/>
          </w:tcPr>
          <w:p w14:paraId="18C275D2"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772EC7D0"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Excess NIS cash deposited in Israel out of total NIS circulation</w:t>
            </w:r>
          </w:p>
        </w:tc>
        <w:tc>
          <w:tcPr>
            <w:tcW w:w="992" w:type="dxa"/>
            <w:shd w:val="clear" w:color="auto" w:fill="auto"/>
            <w:noWrap/>
            <w:vAlign w:val="center"/>
            <w:hideMark/>
          </w:tcPr>
          <w:p w14:paraId="58B45E30"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17.2%</w:t>
            </w:r>
          </w:p>
        </w:tc>
        <w:tc>
          <w:tcPr>
            <w:tcW w:w="1134" w:type="dxa"/>
            <w:vMerge/>
            <w:vAlign w:val="center"/>
            <w:hideMark/>
          </w:tcPr>
          <w:p w14:paraId="1A8E395F" w14:textId="77777777" w:rsidR="006E1000" w:rsidRPr="00E963C7" w:rsidRDefault="006E1000" w:rsidP="004831C9">
            <w:pPr>
              <w:bidi w:val="0"/>
              <w:rPr>
                <w:rFonts w:asciiTheme="majorBidi" w:hAnsiTheme="majorBidi" w:cstheme="majorBidi"/>
                <w:color w:val="000000"/>
              </w:rPr>
            </w:pPr>
          </w:p>
        </w:tc>
      </w:tr>
      <w:tr w:rsidR="006E1000" w:rsidRPr="00E963C7" w14:paraId="666398DC" w14:textId="77777777" w:rsidTr="004831C9">
        <w:trPr>
          <w:trHeight w:val="300"/>
        </w:trPr>
        <w:tc>
          <w:tcPr>
            <w:tcW w:w="1475" w:type="dxa"/>
            <w:vMerge/>
            <w:vAlign w:val="center"/>
            <w:hideMark/>
          </w:tcPr>
          <w:p w14:paraId="568854CF"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472A7FE3"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Checks and Money transfers volume out of WBG GNI</w:t>
            </w:r>
          </w:p>
        </w:tc>
        <w:tc>
          <w:tcPr>
            <w:tcW w:w="992" w:type="dxa"/>
            <w:shd w:val="clear" w:color="auto" w:fill="auto"/>
            <w:noWrap/>
            <w:vAlign w:val="center"/>
            <w:hideMark/>
          </w:tcPr>
          <w:p w14:paraId="4478F684"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21.6%</w:t>
            </w:r>
          </w:p>
        </w:tc>
        <w:tc>
          <w:tcPr>
            <w:tcW w:w="1134" w:type="dxa"/>
            <w:vMerge/>
            <w:vAlign w:val="center"/>
            <w:hideMark/>
          </w:tcPr>
          <w:p w14:paraId="6F95F1A1" w14:textId="77777777" w:rsidR="006E1000" w:rsidRPr="00E963C7" w:rsidRDefault="006E1000" w:rsidP="004831C9">
            <w:pPr>
              <w:bidi w:val="0"/>
              <w:rPr>
                <w:rFonts w:asciiTheme="majorBidi" w:hAnsiTheme="majorBidi" w:cstheme="majorBidi"/>
                <w:color w:val="000000"/>
              </w:rPr>
            </w:pPr>
          </w:p>
        </w:tc>
      </w:tr>
      <w:tr w:rsidR="006E1000" w:rsidRPr="00E963C7" w14:paraId="4213ED3F" w14:textId="77777777" w:rsidTr="004831C9">
        <w:trPr>
          <w:trHeight w:val="300"/>
        </w:trPr>
        <w:tc>
          <w:tcPr>
            <w:tcW w:w="1475" w:type="dxa"/>
            <w:vMerge/>
            <w:vAlign w:val="center"/>
            <w:hideMark/>
          </w:tcPr>
          <w:p w14:paraId="15EC1501"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1CEE7C1E"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rPr>
              <w:t>Share of NIS checks presented for clearing in the Palestinian banking system</w:t>
            </w:r>
          </w:p>
        </w:tc>
        <w:tc>
          <w:tcPr>
            <w:tcW w:w="992" w:type="dxa"/>
            <w:shd w:val="clear" w:color="auto" w:fill="auto"/>
            <w:noWrap/>
            <w:vAlign w:val="center"/>
            <w:hideMark/>
          </w:tcPr>
          <w:p w14:paraId="041C3995"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20.3%</w:t>
            </w:r>
          </w:p>
        </w:tc>
        <w:tc>
          <w:tcPr>
            <w:tcW w:w="1134" w:type="dxa"/>
            <w:vMerge/>
            <w:vAlign w:val="center"/>
            <w:hideMark/>
          </w:tcPr>
          <w:p w14:paraId="49D9C2D3" w14:textId="77777777" w:rsidR="006E1000" w:rsidRPr="00E963C7" w:rsidRDefault="006E1000" w:rsidP="004831C9">
            <w:pPr>
              <w:bidi w:val="0"/>
              <w:rPr>
                <w:rFonts w:asciiTheme="majorBidi" w:hAnsiTheme="majorBidi" w:cstheme="majorBidi"/>
                <w:color w:val="000000"/>
              </w:rPr>
            </w:pPr>
          </w:p>
        </w:tc>
      </w:tr>
      <w:tr w:rsidR="006E1000" w:rsidRPr="00E963C7" w14:paraId="3395B034" w14:textId="77777777" w:rsidTr="004831C9">
        <w:trPr>
          <w:trHeight w:val="300"/>
        </w:trPr>
        <w:tc>
          <w:tcPr>
            <w:tcW w:w="1475" w:type="dxa"/>
            <w:vMerge w:val="restart"/>
            <w:shd w:val="clear" w:color="auto" w:fill="auto"/>
            <w:vAlign w:val="center"/>
            <w:hideMark/>
          </w:tcPr>
          <w:p w14:paraId="11816680"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 Wealth and Standard of living</w:t>
            </w:r>
          </w:p>
        </w:tc>
        <w:tc>
          <w:tcPr>
            <w:tcW w:w="6464" w:type="dxa"/>
            <w:shd w:val="clear" w:color="auto" w:fill="auto"/>
            <w:noWrap/>
            <w:vAlign w:val="center"/>
            <w:hideMark/>
          </w:tcPr>
          <w:p w14:paraId="2C460375"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 xml:space="preserve">GDP per Capita (ratio) </w:t>
            </w:r>
          </w:p>
        </w:tc>
        <w:tc>
          <w:tcPr>
            <w:tcW w:w="992" w:type="dxa"/>
            <w:shd w:val="clear" w:color="auto" w:fill="auto"/>
            <w:noWrap/>
            <w:vAlign w:val="center"/>
            <w:hideMark/>
          </w:tcPr>
          <w:p w14:paraId="14FF79DF"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24.2%</w:t>
            </w:r>
          </w:p>
        </w:tc>
        <w:tc>
          <w:tcPr>
            <w:tcW w:w="1134" w:type="dxa"/>
            <w:vMerge w:val="restart"/>
            <w:shd w:val="clear" w:color="auto" w:fill="auto"/>
            <w:noWrap/>
            <w:vAlign w:val="center"/>
            <w:hideMark/>
          </w:tcPr>
          <w:p w14:paraId="27F315BD"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17.2%</w:t>
            </w:r>
          </w:p>
        </w:tc>
      </w:tr>
      <w:tr w:rsidR="006E1000" w:rsidRPr="00E963C7" w14:paraId="3AC50416" w14:textId="77777777" w:rsidTr="004831C9">
        <w:trPr>
          <w:trHeight w:val="300"/>
        </w:trPr>
        <w:tc>
          <w:tcPr>
            <w:tcW w:w="1475" w:type="dxa"/>
            <w:vMerge/>
            <w:vAlign w:val="center"/>
            <w:hideMark/>
          </w:tcPr>
          <w:p w14:paraId="10958BBE"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541EAB20"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 xml:space="preserve">Price level (ratio) </w:t>
            </w:r>
          </w:p>
        </w:tc>
        <w:tc>
          <w:tcPr>
            <w:tcW w:w="992" w:type="dxa"/>
            <w:shd w:val="clear" w:color="auto" w:fill="auto"/>
            <w:noWrap/>
            <w:vAlign w:val="center"/>
            <w:hideMark/>
          </w:tcPr>
          <w:p w14:paraId="3797BFD2"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28.4%</w:t>
            </w:r>
          </w:p>
        </w:tc>
        <w:tc>
          <w:tcPr>
            <w:tcW w:w="1134" w:type="dxa"/>
            <w:vMerge/>
            <w:vAlign w:val="center"/>
            <w:hideMark/>
          </w:tcPr>
          <w:p w14:paraId="53A6A2EB" w14:textId="77777777" w:rsidR="006E1000" w:rsidRPr="00E963C7" w:rsidRDefault="006E1000" w:rsidP="004831C9">
            <w:pPr>
              <w:bidi w:val="0"/>
              <w:rPr>
                <w:rFonts w:asciiTheme="majorBidi" w:hAnsiTheme="majorBidi" w:cstheme="majorBidi"/>
                <w:color w:val="000000"/>
              </w:rPr>
            </w:pPr>
          </w:p>
        </w:tc>
      </w:tr>
      <w:tr w:rsidR="006E1000" w:rsidRPr="00E963C7" w14:paraId="5BB822EF" w14:textId="77777777" w:rsidTr="004831C9">
        <w:trPr>
          <w:trHeight w:val="300"/>
        </w:trPr>
        <w:tc>
          <w:tcPr>
            <w:tcW w:w="1475" w:type="dxa"/>
            <w:vMerge/>
            <w:vAlign w:val="center"/>
            <w:hideMark/>
          </w:tcPr>
          <w:p w14:paraId="333A9D5B"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6AB36BF8"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 xml:space="preserve">Market capitilazation (ratio) </w:t>
            </w:r>
          </w:p>
        </w:tc>
        <w:tc>
          <w:tcPr>
            <w:tcW w:w="992" w:type="dxa"/>
            <w:shd w:val="clear" w:color="auto" w:fill="auto"/>
            <w:noWrap/>
            <w:vAlign w:val="center"/>
            <w:hideMark/>
          </w:tcPr>
          <w:p w14:paraId="004206FA"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20.7%</w:t>
            </w:r>
          </w:p>
        </w:tc>
        <w:tc>
          <w:tcPr>
            <w:tcW w:w="1134" w:type="dxa"/>
            <w:vMerge/>
            <w:vAlign w:val="center"/>
            <w:hideMark/>
          </w:tcPr>
          <w:p w14:paraId="00125E4B" w14:textId="77777777" w:rsidR="006E1000" w:rsidRPr="00E963C7" w:rsidRDefault="006E1000" w:rsidP="004831C9">
            <w:pPr>
              <w:bidi w:val="0"/>
              <w:rPr>
                <w:rFonts w:asciiTheme="majorBidi" w:hAnsiTheme="majorBidi" w:cstheme="majorBidi"/>
                <w:color w:val="000000"/>
              </w:rPr>
            </w:pPr>
          </w:p>
        </w:tc>
      </w:tr>
      <w:tr w:rsidR="006E1000" w:rsidRPr="00E963C7" w14:paraId="11BD2231" w14:textId="77777777" w:rsidTr="004831C9">
        <w:trPr>
          <w:trHeight w:val="300"/>
        </w:trPr>
        <w:tc>
          <w:tcPr>
            <w:tcW w:w="1475" w:type="dxa"/>
            <w:vMerge/>
            <w:vAlign w:val="center"/>
            <w:hideMark/>
          </w:tcPr>
          <w:p w14:paraId="4221222C" w14:textId="77777777" w:rsidR="006E1000" w:rsidRPr="00E963C7" w:rsidRDefault="006E1000" w:rsidP="004831C9">
            <w:pPr>
              <w:bidi w:val="0"/>
              <w:rPr>
                <w:rFonts w:asciiTheme="majorBidi" w:hAnsiTheme="majorBidi" w:cstheme="majorBidi"/>
                <w:color w:val="000000"/>
              </w:rPr>
            </w:pPr>
          </w:p>
        </w:tc>
        <w:tc>
          <w:tcPr>
            <w:tcW w:w="6464" w:type="dxa"/>
            <w:shd w:val="clear" w:color="auto" w:fill="auto"/>
            <w:noWrap/>
            <w:vAlign w:val="center"/>
            <w:hideMark/>
          </w:tcPr>
          <w:p w14:paraId="0C28D305"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Daily Wage (ratio)</w:t>
            </w:r>
          </w:p>
        </w:tc>
        <w:tc>
          <w:tcPr>
            <w:tcW w:w="992" w:type="dxa"/>
            <w:shd w:val="clear" w:color="auto" w:fill="auto"/>
            <w:noWrap/>
            <w:vAlign w:val="center"/>
            <w:hideMark/>
          </w:tcPr>
          <w:p w14:paraId="153422E9" w14:textId="77777777" w:rsidR="006E1000" w:rsidRPr="00E963C7" w:rsidRDefault="006E1000" w:rsidP="004831C9">
            <w:pPr>
              <w:bidi w:val="0"/>
              <w:rPr>
                <w:rFonts w:asciiTheme="majorBidi" w:hAnsiTheme="majorBidi" w:cstheme="majorBidi"/>
                <w:color w:val="000000"/>
              </w:rPr>
            </w:pPr>
            <w:r w:rsidRPr="00E963C7">
              <w:rPr>
                <w:rFonts w:asciiTheme="majorBidi" w:hAnsiTheme="majorBidi" w:cstheme="majorBidi"/>
                <w:color w:val="000000"/>
              </w:rPr>
              <w:t>26.7%</w:t>
            </w:r>
          </w:p>
        </w:tc>
        <w:tc>
          <w:tcPr>
            <w:tcW w:w="1134" w:type="dxa"/>
            <w:vMerge/>
            <w:vAlign w:val="center"/>
            <w:hideMark/>
          </w:tcPr>
          <w:p w14:paraId="0C2C120D" w14:textId="77777777" w:rsidR="006E1000" w:rsidRPr="00E963C7" w:rsidRDefault="006E1000" w:rsidP="004831C9">
            <w:pPr>
              <w:bidi w:val="0"/>
              <w:rPr>
                <w:rFonts w:asciiTheme="majorBidi" w:hAnsiTheme="majorBidi" w:cstheme="majorBidi"/>
                <w:color w:val="000000"/>
              </w:rPr>
            </w:pPr>
          </w:p>
        </w:tc>
      </w:tr>
    </w:tbl>
    <w:p w14:paraId="1FD55E63" w14:textId="77777777" w:rsidR="006E1000" w:rsidRDefault="006E1000" w:rsidP="006E1000">
      <w:pPr>
        <w:pStyle w:val="ListParagraph"/>
        <w:bidi w:val="0"/>
        <w:spacing w:line="480" w:lineRule="auto"/>
        <w:rPr>
          <w:rFonts w:ascii="Times New Roman" w:hAnsi="Times New Roman" w:cs="David"/>
          <w:b/>
          <w:bCs/>
          <w:sz w:val="24"/>
          <w:szCs w:val="24"/>
        </w:rPr>
      </w:pPr>
    </w:p>
    <w:p w14:paraId="5792B25D" w14:textId="77777777" w:rsidR="006E1000" w:rsidRDefault="006E1000" w:rsidP="006E1000">
      <w:pPr>
        <w:pStyle w:val="ListParagraph"/>
        <w:bidi w:val="0"/>
        <w:spacing w:line="480" w:lineRule="auto"/>
        <w:ind w:left="0"/>
        <w:rPr>
          <w:rFonts w:ascii="Times New Roman" w:hAnsi="Times New Roman" w:cs="David"/>
          <w:sz w:val="24"/>
          <w:szCs w:val="24"/>
        </w:rPr>
      </w:pPr>
      <w:r>
        <w:rPr>
          <w:rFonts w:ascii="Times New Roman" w:hAnsi="Times New Roman" w:cs="David"/>
          <w:sz w:val="24"/>
          <w:szCs w:val="24"/>
        </w:rPr>
        <w:t>Number of dimensions: 5</w:t>
      </w:r>
    </w:p>
    <w:p w14:paraId="31D16EAE" w14:textId="77777777" w:rsidR="006E1000" w:rsidRDefault="006E1000" w:rsidP="006E1000">
      <w:pPr>
        <w:pStyle w:val="ListParagraph"/>
        <w:bidi w:val="0"/>
        <w:spacing w:line="480" w:lineRule="auto"/>
        <w:ind w:left="0"/>
        <w:rPr>
          <w:rFonts w:ascii="Times New Roman" w:hAnsi="Times New Roman" w:cs="David"/>
          <w:sz w:val="24"/>
          <w:szCs w:val="24"/>
        </w:rPr>
      </w:pPr>
      <w:r>
        <w:rPr>
          <w:rFonts w:ascii="Times New Roman" w:hAnsi="Times New Roman" w:cs="David"/>
          <w:sz w:val="24"/>
          <w:szCs w:val="24"/>
        </w:rPr>
        <w:t>Number of indicators: 24</w:t>
      </w:r>
    </w:p>
    <w:p w14:paraId="4A8FDB55" w14:textId="77777777" w:rsidR="006E1000" w:rsidRPr="00DC4D6A" w:rsidRDefault="006E1000" w:rsidP="006E1000">
      <w:pPr>
        <w:pStyle w:val="ListParagraph"/>
        <w:bidi w:val="0"/>
        <w:spacing w:line="480" w:lineRule="auto"/>
        <w:ind w:left="0"/>
        <w:rPr>
          <w:rFonts w:ascii="Times New Roman" w:hAnsi="Times New Roman" w:cs="David"/>
          <w:sz w:val="24"/>
          <w:szCs w:val="24"/>
          <w:rtl/>
        </w:rPr>
      </w:pPr>
      <w:r w:rsidRPr="00A877B8">
        <w:rPr>
          <w:rFonts w:ascii="Times New Roman" w:hAnsi="Times New Roman" w:cs="David"/>
          <w:sz w:val="24"/>
          <w:szCs w:val="24"/>
        </w:rPr>
        <w:t xml:space="preserve">The weighting technique </w:t>
      </w:r>
      <w:r>
        <w:rPr>
          <w:rFonts w:ascii="Times New Roman" w:hAnsi="Times New Roman" w:cs="David"/>
          <w:sz w:val="24"/>
          <w:szCs w:val="24"/>
        </w:rPr>
        <w:t xml:space="preserve">- </w:t>
      </w:r>
      <w:r w:rsidRPr="00DC4D6A">
        <w:rPr>
          <w:rFonts w:ascii="Times New Roman" w:hAnsi="Times New Roman" w:cs="David"/>
          <w:sz w:val="24"/>
          <w:szCs w:val="24"/>
        </w:rPr>
        <w:t xml:space="preserve">PCA </w:t>
      </w:r>
      <w:r>
        <w:rPr>
          <w:rFonts w:ascii="Times New Roman" w:hAnsi="Times New Roman" w:cs="David"/>
          <w:sz w:val="24"/>
          <w:szCs w:val="24"/>
        </w:rPr>
        <w:t xml:space="preserve">(please see </w:t>
      </w:r>
      <w:r>
        <w:rPr>
          <w:rFonts w:ascii="Times New Roman" w:hAnsi="Times New Roman" w:cs="David"/>
          <w:b/>
          <w:bCs/>
          <w:sz w:val="24"/>
          <w:szCs w:val="24"/>
        </w:rPr>
        <w:t>A</w:t>
      </w:r>
      <w:r w:rsidRPr="00D96A24">
        <w:rPr>
          <w:rFonts w:ascii="Times New Roman" w:hAnsi="Times New Roman" w:cs="David"/>
          <w:b/>
          <w:bCs/>
          <w:sz w:val="24"/>
          <w:szCs w:val="24"/>
        </w:rPr>
        <w:t>ppendix II</w:t>
      </w:r>
      <w:r>
        <w:rPr>
          <w:rFonts w:ascii="Times New Roman" w:hAnsi="Times New Roman" w:cs="David"/>
          <w:sz w:val="24"/>
          <w:szCs w:val="24"/>
        </w:rPr>
        <w:t>).</w:t>
      </w:r>
    </w:p>
    <w:p w14:paraId="0BDE28B8" w14:textId="77777777" w:rsidR="006E1000" w:rsidRDefault="006E1000" w:rsidP="006E1000">
      <w:pPr>
        <w:pStyle w:val="ListParagraph"/>
        <w:bidi w:val="0"/>
        <w:spacing w:line="276" w:lineRule="auto"/>
        <w:ind w:left="0"/>
        <w:jc w:val="center"/>
        <w:rPr>
          <w:rFonts w:ascii="Times New Roman" w:hAnsi="Times New Roman" w:cs="David"/>
          <w:b/>
          <w:bCs/>
          <w:sz w:val="24"/>
          <w:szCs w:val="24"/>
          <w:rtl/>
        </w:rPr>
      </w:pPr>
    </w:p>
    <w:p w14:paraId="64CCD057" w14:textId="77777777" w:rsidR="006E1000" w:rsidRDefault="006E1000" w:rsidP="006E1000">
      <w:pPr>
        <w:pStyle w:val="ListParagraph"/>
        <w:bidi w:val="0"/>
        <w:spacing w:line="276" w:lineRule="auto"/>
        <w:ind w:left="0"/>
        <w:jc w:val="center"/>
        <w:rPr>
          <w:rFonts w:ascii="Times New Roman" w:hAnsi="Times New Roman" w:cs="David"/>
          <w:b/>
          <w:bCs/>
          <w:sz w:val="24"/>
          <w:szCs w:val="24"/>
          <w:rtl/>
        </w:rPr>
      </w:pPr>
    </w:p>
    <w:p w14:paraId="20618DF9" w14:textId="77777777" w:rsidR="006E1000" w:rsidRDefault="006E1000" w:rsidP="006E1000">
      <w:pPr>
        <w:pStyle w:val="ListParagraph"/>
        <w:bidi w:val="0"/>
        <w:spacing w:line="276" w:lineRule="auto"/>
        <w:ind w:left="0"/>
        <w:jc w:val="center"/>
        <w:rPr>
          <w:rFonts w:ascii="Times New Roman" w:hAnsi="Times New Roman" w:cs="David"/>
          <w:b/>
          <w:bCs/>
          <w:sz w:val="24"/>
          <w:szCs w:val="24"/>
          <w:rtl/>
        </w:rPr>
      </w:pPr>
    </w:p>
    <w:p w14:paraId="47003D64" w14:textId="77777777" w:rsidR="006E1000" w:rsidRPr="00203C14" w:rsidRDefault="006E1000" w:rsidP="006E1000">
      <w:pPr>
        <w:pStyle w:val="ListParagraph"/>
        <w:bidi w:val="0"/>
        <w:spacing w:line="276" w:lineRule="auto"/>
        <w:ind w:left="0"/>
        <w:jc w:val="center"/>
        <w:rPr>
          <w:rFonts w:ascii="Times New Roman" w:hAnsi="Times New Roman" w:cs="David"/>
          <w:b/>
          <w:bCs/>
          <w:sz w:val="24"/>
          <w:szCs w:val="24"/>
        </w:rPr>
      </w:pPr>
      <w:r>
        <w:rPr>
          <w:rFonts w:ascii="Times New Roman" w:hAnsi="Times New Roman" w:cs="David"/>
          <w:b/>
          <w:bCs/>
          <w:sz w:val="24"/>
          <w:szCs w:val="24"/>
        </w:rPr>
        <w:t xml:space="preserve">Figure 40: </w:t>
      </w:r>
      <w:r w:rsidRPr="00203C14">
        <w:rPr>
          <w:rFonts w:ascii="Times New Roman" w:hAnsi="Times New Roman" w:cs="David"/>
          <w:b/>
          <w:bCs/>
          <w:sz w:val="24"/>
          <w:szCs w:val="24"/>
        </w:rPr>
        <w:t xml:space="preserve">ISR-WBG-II </w:t>
      </w:r>
      <w:r>
        <w:rPr>
          <w:rFonts w:ascii="Times New Roman" w:hAnsi="Times New Roman" w:cs="David"/>
          <w:b/>
          <w:bCs/>
          <w:sz w:val="24"/>
          <w:szCs w:val="24"/>
        </w:rPr>
        <w:t>2010</w:t>
      </w:r>
      <w:r w:rsidRPr="00203C14">
        <w:rPr>
          <w:rFonts w:ascii="Times New Roman" w:hAnsi="Times New Roman" w:cs="David"/>
          <w:b/>
          <w:bCs/>
          <w:sz w:val="24"/>
          <w:szCs w:val="24"/>
        </w:rPr>
        <w:t>-2019</w:t>
      </w:r>
      <w:r>
        <w:rPr>
          <w:rFonts w:ascii="Times New Roman" w:hAnsi="Times New Roman" w:cs="David"/>
          <w:b/>
          <w:bCs/>
          <w:sz w:val="24"/>
          <w:szCs w:val="24"/>
        </w:rPr>
        <w:t xml:space="preserve"> – Total index</w:t>
      </w:r>
    </w:p>
    <w:p w14:paraId="6F40126C" w14:textId="77777777" w:rsidR="006E1000" w:rsidRDefault="006E1000" w:rsidP="006E1000">
      <w:pPr>
        <w:pStyle w:val="ListParagraph"/>
        <w:bidi w:val="0"/>
        <w:spacing w:line="480" w:lineRule="auto"/>
        <w:ind w:left="0"/>
        <w:jc w:val="center"/>
      </w:pPr>
      <w:r>
        <w:rPr>
          <w:noProof/>
        </w:rPr>
        <w:drawing>
          <wp:inline distT="0" distB="0" distL="0" distR="0" wp14:anchorId="1C69B820" wp14:editId="1EC95F92">
            <wp:extent cx="4320000" cy="2520000"/>
            <wp:effectExtent l="0" t="0" r="4445" b="13970"/>
            <wp:docPr id="32" name="תרשים 32">
              <a:extLst xmlns:a="http://schemas.openxmlformats.org/drawingml/2006/main">
                <a:ext uri="{FF2B5EF4-FFF2-40B4-BE49-F238E27FC236}">
                  <a16:creationId xmlns:a16="http://schemas.microsoft.com/office/drawing/2014/main" id="{A64A0C52-7F5C-48D6-A46B-28F3556BFF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0FA50F" w14:textId="77777777" w:rsidR="006E1000" w:rsidRDefault="006E1000" w:rsidP="006E1000">
      <w:pPr>
        <w:rPr>
          <w:noProof/>
        </w:rPr>
      </w:pPr>
    </w:p>
    <w:p w14:paraId="5B3BF29C" w14:textId="77777777" w:rsidR="006E1000" w:rsidRPr="007019D1" w:rsidRDefault="006E1000" w:rsidP="006E1000">
      <w:pPr>
        <w:pStyle w:val="ListParagraph"/>
        <w:bidi w:val="0"/>
        <w:spacing w:line="276" w:lineRule="auto"/>
        <w:ind w:left="0"/>
        <w:jc w:val="center"/>
        <w:rPr>
          <w:rFonts w:ascii="Times New Roman" w:hAnsi="Times New Roman" w:cs="David"/>
          <w:b/>
          <w:bCs/>
          <w:sz w:val="24"/>
          <w:szCs w:val="24"/>
          <w:rtl/>
        </w:rPr>
      </w:pPr>
      <w:r>
        <w:rPr>
          <w:rFonts w:ascii="Times New Roman" w:hAnsi="Times New Roman" w:cs="David"/>
          <w:b/>
          <w:bCs/>
          <w:sz w:val="24"/>
          <w:szCs w:val="24"/>
        </w:rPr>
        <w:t xml:space="preserve">Figure 41: </w:t>
      </w:r>
      <w:r w:rsidRPr="00203C14">
        <w:rPr>
          <w:rFonts w:ascii="Times New Roman" w:hAnsi="Times New Roman" w:cs="David"/>
          <w:b/>
          <w:bCs/>
          <w:sz w:val="24"/>
          <w:szCs w:val="24"/>
        </w:rPr>
        <w:t xml:space="preserve">ISR-WBG-II </w:t>
      </w:r>
      <w:r>
        <w:rPr>
          <w:rFonts w:ascii="Times New Roman" w:hAnsi="Times New Roman" w:cs="David"/>
          <w:b/>
          <w:bCs/>
          <w:sz w:val="24"/>
          <w:szCs w:val="24"/>
        </w:rPr>
        <w:t>2010</w:t>
      </w:r>
      <w:r w:rsidRPr="00203C14">
        <w:rPr>
          <w:rFonts w:ascii="Times New Roman" w:hAnsi="Times New Roman" w:cs="David"/>
          <w:b/>
          <w:bCs/>
          <w:sz w:val="24"/>
          <w:szCs w:val="24"/>
        </w:rPr>
        <w:t>-2019</w:t>
      </w:r>
      <w:r>
        <w:rPr>
          <w:rFonts w:ascii="Times New Roman" w:hAnsi="Times New Roman" w:cs="David"/>
          <w:b/>
          <w:bCs/>
          <w:sz w:val="24"/>
          <w:szCs w:val="24"/>
        </w:rPr>
        <w:t xml:space="preserve"> b</w:t>
      </w:r>
      <w:r w:rsidRPr="009525DA">
        <w:rPr>
          <w:rFonts w:ascii="Times New Roman" w:hAnsi="Times New Roman" w:cs="David"/>
          <w:b/>
          <w:bCs/>
          <w:sz w:val="24"/>
          <w:szCs w:val="24"/>
        </w:rPr>
        <w:t>y dimensions</w:t>
      </w:r>
    </w:p>
    <w:p w14:paraId="25D7336C" w14:textId="77777777" w:rsidR="006E1000" w:rsidRDefault="006E1000" w:rsidP="006E1000">
      <w:pPr>
        <w:pStyle w:val="ListParagraph"/>
        <w:bidi w:val="0"/>
        <w:spacing w:line="480" w:lineRule="auto"/>
        <w:ind w:left="0"/>
        <w:jc w:val="center"/>
        <w:rPr>
          <w:noProof/>
        </w:rPr>
      </w:pPr>
      <w:r>
        <w:rPr>
          <w:noProof/>
        </w:rPr>
        <w:drawing>
          <wp:inline distT="0" distB="0" distL="0" distR="0" wp14:anchorId="2E642381" wp14:editId="52B2DFEF">
            <wp:extent cx="4320000" cy="2520000"/>
            <wp:effectExtent l="0" t="0" r="4445" b="13970"/>
            <wp:docPr id="43" name="תרשים 1">
              <a:extLst xmlns:a="http://schemas.openxmlformats.org/drawingml/2006/main">
                <a:ext uri="{FF2B5EF4-FFF2-40B4-BE49-F238E27FC236}">
                  <a16:creationId xmlns:a16="http://schemas.microsoft.com/office/drawing/2014/main" id="{060E7DDF-96E2-4D9C-8294-AEA4A0E232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DC8D87" w14:textId="77777777" w:rsidR="006E1000" w:rsidRPr="00A811C5" w:rsidRDefault="006E1000" w:rsidP="006E1000">
      <w:pPr>
        <w:pStyle w:val="ListParagraph"/>
        <w:bidi w:val="0"/>
        <w:spacing w:line="276" w:lineRule="auto"/>
        <w:ind w:left="0"/>
        <w:jc w:val="center"/>
        <w:rPr>
          <w:b/>
          <w:bCs/>
          <w:noProof/>
          <w:sz w:val="24"/>
          <w:szCs w:val="24"/>
        </w:rPr>
      </w:pPr>
      <w:r>
        <w:rPr>
          <w:rFonts w:ascii="Times New Roman" w:hAnsi="Times New Roman" w:cs="David"/>
          <w:b/>
          <w:bCs/>
          <w:sz w:val="24"/>
          <w:szCs w:val="24"/>
        </w:rPr>
        <w:t xml:space="preserve">Figure 42: </w:t>
      </w:r>
      <w:r w:rsidRPr="00A811C5">
        <w:rPr>
          <w:rFonts w:ascii="Times New Roman" w:hAnsi="Times New Roman" w:cs="David"/>
          <w:b/>
          <w:bCs/>
          <w:sz w:val="24"/>
          <w:szCs w:val="24"/>
        </w:rPr>
        <w:t xml:space="preserve">ISR-WBG-II </w:t>
      </w:r>
      <w:r>
        <w:rPr>
          <w:rFonts w:ascii="Times New Roman" w:hAnsi="Times New Roman" w:cs="David"/>
          <w:b/>
          <w:bCs/>
          <w:sz w:val="24"/>
          <w:szCs w:val="24"/>
        </w:rPr>
        <w:t>2010</w:t>
      </w:r>
      <w:r w:rsidRPr="00A811C5">
        <w:rPr>
          <w:rFonts w:ascii="Times New Roman" w:hAnsi="Times New Roman" w:cs="David"/>
          <w:b/>
          <w:bCs/>
          <w:sz w:val="24"/>
          <w:szCs w:val="24"/>
        </w:rPr>
        <w:t xml:space="preserve">-2019 </w:t>
      </w:r>
      <w:r w:rsidRPr="00A811C5">
        <w:rPr>
          <w:b/>
          <w:bCs/>
          <w:noProof/>
          <w:sz w:val="24"/>
          <w:szCs w:val="24"/>
        </w:rPr>
        <w:t xml:space="preserve">by contribution of </w:t>
      </w:r>
      <w:r w:rsidRPr="00A811C5">
        <w:rPr>
          <w:rFonts w:ascii="Times New Roman" w:hAnsi="Times New Roman" w:cs="David"/>
          <w:b/>
          <w:bCs/>
          <w:sz w:val="24"/>
          <w:szCs w:val="24"/>
        </w:rPr>
        <w:t>dimensions</w:t>
      </w:r>
      <w:r w:rsidRPr="00A811C5">
        <w:rPr>
          <w:b/>
          <w:bCs/>
          <w:noProof/>
          <w:sz w:val="24"/>
          <w:szCs w:val="24"/>
        </w:rPr>
        <w:t xml:space="preserve"> </w:t>
      </w:r>
    </w:p>
    <w:p w14:paraId="672E3EF8" w14:textId="77777777" w:rsidR="006E1000" w:rsidRDefault="006E1000" w:rsidP="006E1000">
      <w:pPr>
        <w:tabs>
          <w:tab w:val="left" w:pos="5564"/>
        </w:tabs>
        <w:jc w:val="center"/>
        <w:rPr>
          <w:rFonts w:ascii="Times New Roman" w:hAnsi="Times New Roman" w:cs="David"/>
          <w:sz w:val="24"/>
          <w:szCs w:val="24"/>
          <w:rtl/>
        </w:rPr>
      </w:pPr>
      <w:r>
        <w:rPr>
          <w:noProof/>
        </w:rPr>
        <w:drawing>
          <wp:inline distT="0" distB="0" distL="0" distR="0" wp14:anchorId="3345A606" wp14:editId="11FEF1A0">
            <wp:extent cx="4320000" cy="2520000"/>
            <wp:effectExtent l="0" t="0" r="4445" b="13970"/>
            <wp:docPr id="45" name="תרשים 45">
              <a:extLst xmlns:a="http://schemas.openxmlformats.org/drawingml/2006/main">
                <a:ext uri="{FF2B5EF4-FFF2-40B4-BE49-F238E27FC236}">
                  <a16:creationId xmlns:a16="http://schemas.microsoft.com/office/drawing/2014/main" id="{2AFF2E9E-2941-48C2-9981-E064AB2D4C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32A282" w14:textId="77777777" w:rsidR="006E1000" w:rsidRPr="004528A9" w:rsidRDefault="006E1000" w:rsidP="006E1000">
      <w:pPr>
        <w:pStyle w:val="ListParagraph"/>
        <w:numPr>
          <w:ilvl w:val="2"/>
          <w:numId w:val="3"/>
        </w:numPr>
        <w:bidi w:val="0"/>
        <w:spacing w:line="480" w:lineRule="auto"/>
        <w:rPr>
          <w:rFonts w:ascii="Times New Roman" w:hAnsi="Times New Roman" w:cs="David"/>
          <w:b/>
          <w:bCs/>
          <w:sz w:val="24"/>
          <w:szCs w:val="24"/>
        </w:rPr>
      </w:pPr>
      <w:r w:rsidRPr="004528A9">
        <w:rPr>
          <w:rFonts w:ascii="Times New Roman" w:hAnsi="Times New Roman" w:cs="David"/>
          <w:b/>
          <w:bCs/>
          <w:sz w:val="24"/>
          <w:szCs w:val="24"/>
        </w:rPr>
        <w:t xml:space="preserve">Discussion </w:t>
      </w:r>
      <w:r>
        <w:rPr>
          <w:rFonts w:ascii="Times New Roman" w:hAnsi="Times New Roman" w:cs="David"/>
          <w:b/>
          <w:bCs/>
          <w:sz w:val="24"/>
          <w:szCs w:val="24"/>
        </w:rPr>
        <w:t>of</w:t>
      </w:r>
      <w:r w:rsidRPr="004528A9">
        <w:rPr>
          <w:rFonts w:ascii="Times New Roman" w:hAnsi="Times New Roman" w:cs="David"/>
          <w:b/>
          <w:bCs/>
          <w:sz w:val="24"/>
          <w:szCs w:val="24"/>
        </w:rPr>
        <w:t xml:space="preserve"> the results</w:t>
      </w:r>
    </w:p>
    <w:p w14:paraId="55913D14" w14:textId="77777777" w:rsidR="006E1000" w:rsidRDefault="006E1000" w:rsidP="006E1000">
      <w:pPr>
        <w:pStyle w:val="ListParagraph"/>
        <w:bidi w:val="0"/>
        <w:spacing w:line="480" w:lineRule="auto"/>
        <w:ind w:left="1400"/>
        <w:jc w:val="both"/>
        <w:rPr>
          <w:rStyle w:val="normaltextrun"/>
          <w:rFonts w:cs="Calibri"/>
          <w:color w:val="000000"/>
          <w:shd w:val="clear" w:color="auto" w:fill="FFFFFF"/>
        </w:rPr>
      </w:pPr>
      <w:r w:rsidRPr="00012759">
        <w:rPr>
          <w:rFonts w:ascii="Times New Roman" w:hAnsi="Times New Roman" w:cs="David"/>
          <w:sz w:val="24"/>
          <w:szCs w:val="24"/>
        </w:rPr>
        <w:t xml:space="preserve">As can be seen in figure </w:t>
      </w:r>
      <w:r>
        <w:rPr>
          <w:rFonts w:ascii="Times New Roman" w:hAnsi="Times New Roman" w:cs="David"/>
          <w:sz w:val="24"/>
          <w:szCs w:val="24"/>
        </w:rPr>
        <w:t>1</w:t>
      </w:r>
      <w:r w:rsidRPr="00012759">
        <w:rPr>
          <w:rFonts w:ascii="Times New Roman" w:hAnsi="Times New Roman" w:cs="David"/>
          <w:sz w:val="24"/>
          <w:szCs w:val="24"/>
        </w:rPr>
        <w:t xml:space="preserve"> </w:t>
      </w:r>
      <w:r>
        <w:rPr>
          <w:rFonts w:ascii="Times New Roman" w:hAnsi="Times New Roman" w:cs="David"/>
          <w:sz w:val="24"/>
          <w:szCs w:val="24"/>
        </w:rPr>
        <w:t xml:space="preserve">above, </w:t>
      </w:r>
      <w:r w:rsidRPr="00012759">
        <w:rPr>
          <w:rFonts w:ascii="Times New Roman" w:hAnsi="Times New Roman" w:cs="David"/>
          <w:sz w:val="24"/>
          <w:szCs w:val="24"/>
        </w:rPr>
        <w:t xml:space="preserve">the long-term trend is mixed. </w:t>
      </w:r>
      <w:r w:rsidRPr="00E23EF5">
        <w:rPr>
          <w:rFonts w:ascii="Times New Roman" w:hAnsi="Times New Roman" w:cs="David"/>
          <w:sz w:val="24"/>
          <w:szCs w:val="24"/>
        </w:rPr>
        <w:t xml:space="preserve">In the twenty years </w:t>
      </w:r>
      <w:r>
        <w:rPr>
          <w:rFonts w:ascii="Times New Roman" w:hAnsi="Times New Roman" w:cs="David"/>
          <w:sz w:val="24"/>
          <w:szCs w:val="24"/>
        </w:rPr>
        <w:t>after</w:t>
      </w:r>
      <w:r w:rsidRPr="00E23EF5">
        <w:rPr>
          <w:rFonts w:ascii="Times New Roman" w:hAnsi="Times New Roman" w:cs="David"/>
          <w:sz w:val="24"/>
          <w:szCs w:val="24"/>
        </w:rPr>
        <w:t xml:space="preserve"> the 1967 war</w:t>
      </w:r>
      <w:r>
        <w:rPr>
          <w:rFonts w:ascii="Times New Roman" w:hAnsi="Times New Roman" w:cs="David"/>
          <w:sz w:val="24"/>
          <w:szCs w:val="24"/>
        </w:rPr>
        <w:t>, as a result of</w:t>
      </w:r>
      <w:r w:rsidRPr="00E23EF5">
        <w:rPr>
          <w:rFonts w:ascii="Times New Roman" w:hAnsi="Times New Roman" w:cs="David"/>
          <w:sz w:val="24"/>
          <w:szCs w:val="24"/>
        </w:rPr>
        <w:t xml:space="preserve"> Israel's open policy toward </w:t>
      </w:r>
      <w:r w:rsidRPr="006A6847">
        <w:rPr>
          <w:rFonts w:ascii="Times New Roman" w:hAnsi="Times New Roman" w:cs="David"/>
          <w:sz w:val="24"/>
          <w:szCs w:val="24"/>
        </w:rPr>
        <w:t>the West bank</w:t>
      </w:r>
      <w:r w:rsidRPr="00E23EF5">
        <w:rPr>
          <w:rFonts w:ascii="Times New Roman" w:hAnsi="Times New Roman" w:cs="David"/>
          <w:sz w:val="24"/>
          <w:szCs w:val="24"/>
        </w:rPr>
        <w:t xml:space="preserve"> and the Gaza Strip</w:t>
      </w:r>
      <w:r>
        <w:rPr>
          <w:rFonts w:ascii="Times New Roman" w:hAnsi="Times New Roman" w:cs="David"/>
          <w:sz w:val="24"/>
          <w:szCs w:val="24"/>
        </w:rPr>
        <w:t>,</w:t>
      </w:r>
      <w:r w:rsidRPr="00E23EF5">
        <w:rPr>
          <w:rFonts w:ascii="Times New Roman" w:hAnsi="Times New Roman" w:cs="David"/>
          <w:sz w:val="24"/>
          <w:szCs w:val="24"/>
        </w:rPr>
        <w:t xml:space="preserve"> there </w:t>
      </w:r>
      <w:r>
        <w:rPr>
          <w:rFonts w:ascii="Times New Roman" w:hAnsi="Times New Roman" w:cs="David"/>
          <w:sz w:val="24"/>
          <w:szCs w:val="24"/>
        </w:rPr>
        <w:t>was</w:t>
      </w:r>
      <w:r w:rsidRPr="00E23EF5">
        <w:rPr>
          <w:rFonts w:ascii="Times New Roman" w:hAnsi="Times New Roman" w:cs="David"/>
          <w:sz w:val="24"/>
          <w:szCs w:val="24"/>
        </w:rPr>
        <w:t xml:space="preserve"> a dramatic increase in the level of integration</w:t>
      </w:r>
      <w:r>
        <w:rPr>
          <w:rFonts w:ascii="Times New Roman" w:hAnsi="Times New Roman" w:cs="David"/>
          <w:sz w:val="24"/>
          <w:szCs w:val="24"/>
        </w:rPr>
        <w:t>,</w:t>
      </w:r>
      <w:r w:rsidRPr="00E23EF5">
        <w:rPr>
          <w:rFonts w:ascii="Times New Roman" w:hAnsi="Times New Roman" w:cs="David"/>
          <w:sz w:val="24"/>
          <w:szCs w:val="24"/>
        </w:rPr>
        <w:t xml:space="preserve"> to a level that </w:t>
      </w:r>
      <w:r>
        <w:rPr>
          <w:rFonts w:ascii="Times New Roman" w:hAnsi="Times New Roman" w:cs="David"/>
          <w:sz w:val="24"/>
          <w:szCs w:val="24"/>
        </w:rPr>
        <w:t>was</w:t>
      </w:r>
      <w:r w:rsidRPr="00E23EF5">
        <w:rPr>
          <w:rFonts w:ascii="Times New Roman" w:hAnsi="Times New Roman" w:cs="David"/>
          <w:sz w:val="24"/>
          <w:szCs w:val="24"/>
        </w:rPr>
        <w:t xml:space="preserve"> not been achieved again</w:t>
      </w:r>
      <w:r>
        <w:rPr>
          <w:rFonts w:ascii="Times New Roman" w:hAnsi="Times New Roman" w:cs="David"/>
          <w:sz w:val="24"/>
          <w:szCs w:val="24"/>
        </w:rPr>
        <w:t xml:space="preserve"> (</w:t>
      </w:r>
      <w:r w:rsidRPr="003E5208">
        <w:rPr>
          <w:rFonts w:ascii="Times New Roman" w:hAnsi="Times New Roman" w:cs="David"/>
          <w:sz w:val="24"/>
          <w:szCs w:val="24"/>
        </w:rPr>
        <w:t>1987 is the peak year</w:t>
      </w:r>
      <w:r>
        <w:rPr>
          <w:rFonts w:ascii="Times New Roman" w:hAnsi="Times New Roman" w:cs="David" w:hint="cs"/>
          <w:sz w:val="24"/>
          <w:szCs w:val="24"/>
          <w:rtl/>
        </w:rPr>
        <w:t>(</w:t>
      </w:r>
      <w:r w:rsidRPr="00E23EF5">
        <w:rPr>
          <w:rFonts w:ascii="Times New Roman" w:hAnsi="Times New Roman" w:cs="David"/>
          <w:sz w:val="24"/>
          <w:szCs w:val="24"/>
        </w:rPr>
        <w:t>. After the first intifada in the late 1980s, the level of integration began to decline in the face of periodic closures and restrictions on the movement of people</w:t>
      </w:r>
      <w:r>
        <w:rPr>
          <w:rFonts w:ascii="Times New Roman" w:hAnsi="Times New Roman" w:cs="David"/>
          <w:sz w:val="24"/>
          <w:szCs w:val="24"/>
        </w:rPr>
        <w:t>,</w:t>
      </w:r>
      <w:r w:rsidRPr="00E23EF5">
        <w:rPr>
          <w:rFonts w:ascii="Times New Roman" w:hAnsi="Times New Roman" w:cs="David"/>
          <w:sz w:val="24"/>
          <w:szCs w:val="24"/>
        </w:rPr>
        <w:t xml:space="preserve"> and the beginning of the terrorist events that accompanied this period</w:t>
      </w:r>
      <w:r>
        <w:rPr>
          <w:rFonts w:ascii="Times New Roman" w:hAnsi="Times New Roman" w:cs="David"/>
          <w:sz w:val="24"/>
          <w:szCs w:val="24"/>
        </w:rPr>
        <w:t>,</w:t>
      </w:r>
      <w:r w:rsidRPr="00E23EF5">
        <w:rPr>
          <w:rFonts w:ascii="Times New Roman" w:hAnsi="Times New Roman" w:cs="David"/>
          <w:sz w:val="24"/>
          <w:szCs w:val="24"/>
        </w:rPr>
        <w:t xml:space="preserve"> and finally ended in the second intifada in the early 2000s. </w:t>
      </w:r>
      <w:r>
        <w:rPr>
          <w:rFonts w:ascii="Times New Roman" w:hAnsi="Times New Roman" w:cs="David"/>
          <w:sz w:val="24"/>
          <w:szCs w:val="24"/>
        </w:rPr>
        <w:t xml:space="preserve">According to Arnon (2007), those who signed the </w:t>
      </w:r>
      <w:r w:rsidRPr="009435F9">
        <w:rPr>
          <w:rFonts w:ascii="Times New Roman" w:hAnsi="Times New Roman" w:cs="David"/>
          <w:sz w:val="24"/>
          <w:szCs w:val="24"/>
        </w:rPr>
        <w:t xml:space="preserve">Paris Protocol </w:t>
      </w:r>
      <w:r w:rsidRPr="006A6847">
        <w:rPr>
          <w:rFonts w:ascii="Times New Roman" w:hAnsi="Times New Roman" w:cs="David"/>
          <w:sz w:val="24"/>
          <w:szCs w:val="24"/>
        </w:rPr>
        <w:t xml:space="preserve">(1994) </w:t>
      </w:r>
      <w:r w:rsidRPr="009435F9">
        <w:rPr>
          <w:rFonts w:ascii="Times New Roman" w:hAnsi="Times New Roman" w:cs="David"/>
          <w:sz w:val="24"/>
          <w:szCs w:val="24"/>
        </w:rPr>
        <w:t>anticipated an increase in economic integration between the two economies, but the reality was a growing, unilaterally imposed, separation.</w:t>
      </w:r>
      <w:r>
        <w:rPr>
          <w:rStyle w:val="normaltextrun"/>
          <w:rFonts w:cs="Calibri"/>
          <w:color w:val="000000"/>
          <w:shd w:val="clear" w:color="auto" w:fill="FFFFFF"/>
        </w:rPr>
        <w:t xml:space="preserve"> </w:t>
      </w:r>
    </w:p>
    <w:p w14:paraId="3FE0F8D0" w14:textId="77777777" w:rsidR="006E1000" w:rsidRDefault="006E1000" w:rsidP="006E1000">
      <w:pPr>
        <w:pStyle w:val="ListParagraph"/>
        <w:bidi w:val="0"/>
        <w:spacing w:line="480" w:lineRule="auto"/>
        <w:ind w:left="1400"/>
        <w:jc w:val="both"/>
        <w:rPr>
          <w:rFonts w:ascii="Times New Roman" w:hAnsi="Times New Roman" w:cs="David"/>
          <w:sz w:val="24"/>
          <w:szCs w:val="24"/>
        </w:rPr>
      </w:pPr>
      <w:r>
        <w:rPr>
          <w:rFonts w:ascii="Times New Roman" w:hAnsi="Times New Roman" w:cs="David"/>
          <w:sz w:val="24"/>
          <w:szCs w:val="24"/>
        </w:rPr>
        <w:t>Over the period</w:t>
      </w:r>
      <w:r w:rsidRPr="00027DFF">
        <w:rPr>
          <w:rFonts w:ascii="Times New Roman" w:hAnsi="Times New Roman" w:cs="David"/>
          <w:sz w:val="24"/>
          <w:szCs w:val="24"/>
        </w:rPr>
        <w:t xml:space="preserve"> 1996 -</w:t>
      </w:r>
      <w:r>
        <w:rPr>
          <w:rFonts w:ascii="Times New Roman" w:hAnsi="Times New Roman" w:cs="David"/>
          <w:sz w:val="24"/>
          <w:szCs w:val="24"/>
        </w:rPr>
        <w:t xml:space="preserve"> </w:t>
      </w:r>
      <w:r w:rsidRPr="00027DFF">
        <w:rPr>
          <w:rFonts w:ascii="Times New Roman" w:hAnsi="Times New Roman" w:cs="David"/>
          <w:sz w:val="24"/>
          <w:szCs w:val="24"/>
        </w:rPr>
        <w:t xml:space="preserve">1999 </w:t>
      </w:r>
      <w:r>
        <w:rPr>
          <w:rFonts w:ascii="Times New Roman" w:hAnsi="Times New Roman" w:cs="David"/>
          <w:sz w:val="24"/>
          <w:szCs w:val="24"/>
        </w:rPr>
        <w:t xml:space="preserve">the </w:t>
      </w:r>
      <w:r w:rsidRPr="00027DFF">
        <w:rPr>
          <w:rFonts w:ascii="Times New Roman" w:hAnsi="Times New Roman" w:cs="David"/>
          <w:sz w:val="24"/>
          <w:szCs w:val="24"/>
        </w:rPr>
        <w:t xml:space="preserve">relative security calm led to </w:t>
      </w:r>
      <w:r>
        <w:rPr>
          <w:rFonts w:ascii="Times New Roman" w:hAnsi="Times New Roman" w:cs="David"/>
          <w:sz w:val="24"/>
          <w:szCs w:val="24"/>
        </w:rPr>
        <w:t>a temporary</w:t>
      </w:r>
      <w:r w:rsidRPr="00027DFF">
        <w:rPr>
          <w:rFonts w:ascii="Times New Roman" w:hAnsi="Times New Roman" w:cs="David"/>
          <w:sz w:val="24"/>
          <w:szCs w:val="24"/>
        </w:rPr>
        <w:t xml:space="preserve"> increase in integration</w:t>
      </w:r>
      <w:r>
        <w:rPr>
          <w:rFonts w:ascii="Times New Roman" w:hAnsi="Times New Roman" w:cs="David"/>
          <w:sz w:val="24"/>
          <w:szCs w:val="24"/>
        </w:rPr>
        <w:t xml:space="preserve"> (as can be seen in figure 2)</w:t>
      </w:r>
      <w:r w:rsidRPr="00027DFF">
        <w:rPr>
          <w:rFonts w:ascii="Times New Roman" w:hAnsi="Times New Roman" w:cs="David"/>
          <w:sz w:val="24"/>
          <w:szCs w:val="24"/>
        </w:rPr>
        <w:t xml:space="preserve"> until the beginning of the second intifada. </w:t>
      </w:r>
      <w:r w:rsidRPr="00D55E66">
        <w:rPr>
          <w:rFonts w:ascii="Times New Roman" w:hAnsi="Times New Roman" w:cs="David"/>
          <w:sz w:val="24"/>
          <w:szCs w:val="24"/>
        </w:rPr>
        <w:t>The results of the second intifada are clearly reflected in the indices (see graphs 1, 4 and 7)</w:t>
      </w:r>
      <w:r>
        <w:rPr>
          <w:rFonts w:ascii="Times New Roman" w:hAnsi="Times New Roman" w:cs="David" w:hint="cs"/>
          <w:sz w:val="24"/>
          <w:szCs w:val="24"/>
          <w:rtl/>
        </w:rPr>
        <w:t>.</w:t>
      </w:r>
    </w:p>
    <w:p w14:paraId="34B62785" w14:textId="77777777" w:rsidR="006E1000" w:rsidRDefault="006E1000" w:rsidP="006E1000">
      <w:pPr>
        <w:pStyle w:val="ListParagraph"/>
        <w:bidi w:val="0"/>
        <w:spacing w:line="480" w:lineRule="auto"/>
        <w:ind w:left="1400"/>
        <w:jc w:val="both"/>
        <w:rPr>
          <w:rFonts w:ascii="Times New Roman" w:hAnsi="Times New Roman" w:cs="David"/>
          <w:sz w:val="24"/>
          <w:szCs w:val="24"/>
        </w:rPr>
      </w:pPr>
      <w:r w:rsidRPr="00E23EF5">
        <w:rPr>
          <w:rFonts w:ascii="Times New Roman" w:hAnsi="Times New Roman" w:cs="David"/>
          <w:sz w:val="24"/>
          <w:szCs w:val="24"/>
        </w:rPr>
        <w:t>After the end of the</w:t>
      </w:r>
      <w:r>
        <w:rPr>
          <w:rFonts w:ascii="Times New Roman" w:hAnsi="Times New Roman" w:cs="David" w:hint="cs"/>
          <w:sz w:val="24"/>
          <w:szCs w:val="24"/>
          <w:rtl/>
        </w:rPr>
        <w:t xml:space="preserve"> </w:t>
      </w:r>
      <w:r>
        <w:rPr>
          <w:rFonts w:ascii="Times New Roman" w:hAnsi="Times New Roman" w:cs="David"/>
          <w:sz w:val="24"/>
          <w:szCs w:val="24"/>
        </w:rPr>
        <w:t>second</w:t>
      </w:r>
      <w:r w:rsidRPr="00E23EF5">
        <w:rPr>
          <w:rFonts w:ascii="Times New Roman" w:hAnsi="Times New Roman" w:cs="David"/>
          <w:sz w:val="24"/>
          <w:szCs w:val="24"/>
        </w:rPr>
        <w:t xml:space="preserve"> intifada, a certain recovery was observed</w:t>
      </w:r>
      <w:r>
        <w:rPr>
          <w:rFonts w:ascii="Times New Roman" w:hAnsi="Times New Roman" w:cs="David"/>
          <w:sz w:val="24"/>
          <w:szCs w:val="24"/>
        </w:rPr>
        <w:t>.</w:t>
      </w:r>
      <w:r w:rsidRPr="00E23EF5">
        <w:rPr>
          <w:rFonts w:ascii="Times New Roman" w:hAnsi="Times New Roman" w:cs="David"/>
          <w:sz w:val="24"/>
          <w:szCs w:val="24"/>
        </w:rPr>
        <w:t xml:space="preserve"> </w:t>
      </w:r>
      <w:r>
        <w:rPr>
          <w:rFonts w:ascii="Times New Roman" w:hAnsi="Times New Roman" w:cs="David"/>
          <w:sz w:val="24"/>
          <w:szCs w:val="24"/>
        </w:rPr>
        <w:t xml:space="preserve">As can be seen in figures 7 and 10, after the second </w:t>
      </w:r>
      <w:r w:rsidRPr="00027DFF">
        <w:rPr>
          <w:rFonts w:ascii="Times New Roman" w:hAnsi="Times New Roman" w:cs="David"/>
          <w:sz w:val="24"/>
          <w:szCs w:val="24"/>
        </w:rPr>
        <w:t>intifada</w:t>
      </w:r>
      <w:r>
        <w:rPr>
          <w:rFonts w:ascii="Times New Roman" w:hAnsi="Times New Roman" w:cs="David"/>
          <w:sz w:val="24"/>
          <w:szCs w:val="24"/>
        </w:rPr>
        <w:t xml:space="preserve"> there is an upward trend that reflects a steady increase in the level of integration. As can be seen in figures 8 and 11, the main dimensions that contribute to increase of the index is “Banking and money”, “</w:t>
      </w:r>
      <w:r w:rsidRPr="00087953">
        <w:rPr>
          <w:rFonts w:ascii="Times New Roman" w:hAnsi="Times New Roman" w:cs="David"/>
          <w:sz w:val="24"/>
          <w:szCs w:val="24"/>
        </w:rPr>
        <w:t>Resources and infrastructure</w:t>
      </w:r>
      <w:r>
        <w:rPr>
          <w:rFonts w:ascii="Times New Roman" w:hAnsi="Times New Roman" w:cs="David"/>
          <w:sz w:val="24"/>
          <w:szCs w:val="24"/>
        </w:rPr>
        <w:t xml:space="preserve">” and “Movement of people and services”, while the dimension that reduces the integration is </w:t>
      </w:r>
      <w:r w:rsidRPr="00517E44">
        <w:rPr>
          <w:rFonts w:ascii="Times New Roman" w:hAnsi="Times New Roman" w:cs="David"/>
          <w:sz w:val="24"/>
          <w:szCs w:val="24"/>
        </w:rPr>
        <w:t>Wealth and standard of living</w:t>
      </w:r>
      <w:r>
        <w:rPr>
          <w:rFonts w:ascii="Times New Roman" w:hAnsi="Times New Roman" w:cs="David"/>
          <w:sz w:val="24"/>
          <w:szCs w:val="24"/>
        </w:rPr>
        <w:t xml:space="preserve">. </w:t>
      </w:r>
    </w:p>
    <w:p w14:paraId="4B16D8A1" w14:textId="77777777" w:rsidR="006E1000" w:rsidRDefault="006E1000" w:rsidP="006E1000">
      <w:pPr>
        <w:pStyle w:val="ListParagraph"/>
        <w:bidi w:val="0"/>
        <w:spacing w:line="480" w:lineRule="auto"/>
        <w:ind w:left="1400"/>
        <w:jc w:val="both"/>
        <w:rPr>
          <w:rFonts w:ascii="Times New Roman" w:hAnsi="Times New Roman" w:cs="David"/>
          <w:sz w:val="24"/>
          <w:szCs w:val="24"/>
        </w:rPr>
      </w:pPr>
      <w:r w:rsidRPr="00885C26">
        <w:rPr>
          <w:rFonts w:ascii="Times New Roman" w:hAnsi="Times New Roman" w:cs="David"/>
          <w:sz w:val="24"/>
          <w:szCs w:val="24"/>
        </w:rPr>
        <w:t xml:space="preserve">As can be seen in </w:t>
      </w:r>
      <w:r>
        <w:rPr>
          <w:rFonts w:ascii="Times New Roman" w:hAnsi="Times New Roman" w:cs="David"/>
          <w:sz w:val="24"/>
          <w:szCs w:val="24"/>
        </w:rPr>
        <w:t>figure 10,</w:t>
      </w:r>
      <w:r w:rsidRPr="00885C26">
        <w:rPr>
          <w:rFonts w:ascii="Times New Roman" w:hAnsi="Times New Roman" w:cs="David"/>
          <w:sz w:val="24"/>
          <w:szCs w:val="24"/>
        </w:rPr>
        <w:t xml:space="preserve"> in 2014 and 2015 there is a</w:t>
      </w:r>
      <w:r>
        <w:rPr>
          <w:rFonts w:ascii="Times New Roman" w:hAnsi="Times New Roman" w:cs="David"/>
          <w:sz w:val="24"/>
          <w:szCs w:val="24"/>
        </w:rPr>
        <w:t xml:space="preserve"> slight</w:t>
      </w:r>
      <w:r w:rsidRPr="00885C26">
        <w:rPr>
          <w:rFonts w:ascii="Times New Roman" w:hAnsi="Times New Roman" w:cs="David"/>
          <w:sz w:val="24"/>
          <w:szCs w:val="24"/>
        </w:rPr>
        <w:t xml:space="preserve"> decline in the </w:t>
      </w:r>
      <w:r>
        <w:rPr>
          <w:rFonts w:ascii="Times New Roman" w:hAnsi="Times New Roman" w:cs="David"/>
          <w:sz w:val="24"/>
          <w:szCs w:val="24"/>
        </w:rPr>
        <w:t xml:space="preserve">level of integration, as a results of </w:t>
      </w:r>
      <w:r w:rsidRPr="00B05978">
        <w:rPr>
          <w:rFonts w:ascii="Times New Roman" w:hAnsi="Times New Roman" w:cs="David"/>
          <w:sz w:val="24"/>
          <w:szCs w:val="24"/>
        </w:rPr>
        <w:t>“Operation Protective Edge</w:t>
      </w:r>
      <w:r w:rsidRPr="00B05978">
        <w:rPr>
          <w:rFonts w:ascii="Times New Roman" w:hAnsi="Times New Roman" w:cs="David"/>
          <w:sz w:val="24"/>
          <w:szCs w:val="24"/>
          <w:rtl/>
        </w:rPr>
        <w:t xml:space="preserve">״ </w:t>
      </w:r>
      <w:r w:rsidRPr="00B05978">
        <w:rPr>
          <w:rFonts w:ascii="Times New Roman" w:hAnsi="Times New Roman" w:cs="David"/>
          <w:sz w:val="24"/>
          <w:szCs w:val="24"/>
        </w:rPr>
        <w:t>in the Gaza Strip</w:t>
      </w:r>
      <w:r w:rsidRPr="00885C26">
        <w:rPr>
          <w:rFonts w:ascii="Times New Roman" w:hAnsi="Times New Roman" w:cs="David"/>
          <w:sz w:val="24"/>
          <w:szCs w:val="24"/>
        </w:rPr>
        <w:t xml:space="preserve"> which took place in 2014 and </w:t>
      </w:r>
      <w:r w:rsidRPr="00B05978">
        <w:rPr>
          <w:rFonts w:ascii="Times New Roman" w:hAnsi="Times New Roman" w:cs="David"/>
          <w:sz w:val="24"/>
          <w:szCs w:val="24"/>
        </w:rPr>
        <w:t>wave of violence called the "Intifada of the Individuals"</w:t>
      </w:r>
      <w:r w:rsidRPr="00885C26">
        <w:rPr>
          <w:rFonts w:ascii="Times New Roman" w:hAnsi="Times New Roman" w:cs="David"/>
          <w:sz w:val="24"/>
          <w:szCs w:val="24"/>
        </w:rPr>
        <w:t xml:space="preserve"> </w:t>
      </w:r>
      <w:r>
        <w:rPr>
          <w:rFonts w:ascii="Times New Roman" w:hAnsi="Times New Roman" w:cs="David"/>
          <w:sz w:val="24"/>
          <w:szCs w:val="24"/>
        </w:rPr>
        <w:t xml:space="preserve">that </w:t>
      </w:r>
      <w:r w:rsidRPr="00885C26">
        <w:rPr>
          <w:rFonts w:ascii="Times New Roman" w:hAnsi="Times New Roman" w:cs="David"/>
          <w:sz w:val="24"/>
          <w:szCs w:val="24"/>
        </w:rPr>
        <w:t>began in 2015.</w:t>
      </w:r>
    </w:p>
    <w:p w14:paraId="468184FC" w14:textId="77777777" w:rsidR="006E1000" w:rsidRDefault="006E1000" w:rsidP="006E1000">
      <w:pPr>
        <w:pStyle w:val="ListParagraph"/>
        <w:bidi w:val="0"/>
        <w:spacing w:line="480" w:lineRule="auto"/>
        <w:ind w:left="1400"/>
        <w:jc w:val="both"/>
        <w:rPr>
          <w:rFonts w:ascii="Times New Roman" w:hAnsi="Times New Roman" w:cs="David"/>
          <w:sz w:val="24"/>
          <w:szCs w:val="24"/>
        </w:rPr>
      </w:pPr>
      <w:r w:rsidRPr="00B67E30">
        <w:rPr>
          <w:rFonts w:ascii="Times New Roman" w:hAnsi="Times New Roman" w:cs="David"/>
          <w:sz w:val="24"/>
          <w:szCs w:val="24"/>
        </w:rPr>
        <w:t>In recent years, a certain decrease in the level of integration has been observed</w:t>
      </w:r>
      <w:r>
        <w:rPr>
          <w:rFonts w:ascii="Times New Roman" w:hAnsi="Times New Roman" w:cs="David"/>
          <w:sz w:val="24"/>
          <w:szCs w:val="24"/>
        </w:rPr>
        <w:t xml:space="preserve"> in all indices. </w:t>
      </w:r>
      <w:r w:rsidRPr="00E23EF5">
        <w:rPr>
          <w:rFonts w:ascii="Times New Roman" w:hAnsi="Times New Roman" w:cs="David"/>
          <w:sz w:val="24"/>
          <w:szCs w:val="24"/>
        </w:rPr>
        <w:t xml:space="preserve">The main factor explaining this </w:t>
      </w:r>
      <w:r>
        <w:rPr>
          <w:rFonts w:ascii="Times New Roman" w:hAnsi="Times New Roman" w:cs="David"/>
          <w:sz w:val="24"/>
          <w:szCs w:val="24"/>
        </w:rPr>
        <w:t>is</w:t>
      </w:r>
      <w:r w:rsidRPr="00E23EF5">
        <w:rPr>
          <w:rFonts w:ascii="Times New Roman" w:hAnsi="Times New Roman" w:cs="David"/>
          <w:sz w:val="24"/>
          <w:szCs w:val="24"/>
        </w:rPr>
        <w:t xml:space="preserve"> the continuing decline</w:t>
      </w:r>
      <w:r>
        <w:rPr>
          <w:rFonts w:ascii="Times New Roman" w:hAnsi="Times New Roman" w:cs="David"/>
          <w:sz w:val="24"/>
          <w:szCs w:val="24"/>
        </w:rPr>
        <w:t xml:space="preserve"> in “Wealth and standard of living” dimension</w:t>
      </w:r>
      <w:r w:rsidRPr="00E23EF5">
        <w:rPr>
          <w:rFonts w:ascii="Times New Roman" w:hAnsi="Times New Roman" w:cs="David"/>
          <w:sz w:val="24"/>
          <w:szCs w:val="24"/>
        </w:rPr>
        <w:t>.</w:t>
      </w:r>
    </w:p>
    <w:p w14:paraId="71D791FC" w14:textId="77777777" w:rsidR="006E1000" w:rsidRPr="00F76E67" w:rsidRDefault="006E1000" w:rsidP="006E1000">
      <w:pPr>
        <w:pStyle w:val="ListParagraph"/>
        <w:bidi w:val="0"/>
        <w:spacing w:before="240" w:line="480" w:lineRule="auto"/>
        <w:ind w:left="1400"/>
        <w:jc w:val="both"/>
        <w:rPr>
          <w:rFonts w:ascii="Times New Roman" w:hAnsi="Times New Roman" w:cs="David"/>
          <w:sz w:val="24"/>
          <w:szCs w:val="24"/>
        </w:rPr>
      </w:pPr>
      <w:r w:rsidRPr="00512BB7">
        <w:rPr>
          <w:rFonts w:ascii="Times New Roman" w:hAnsi="Times New Roman" w:cs="David"/>
          <w:sz w:val="24"/>
          <w:szCs w:val="24"/>
        </w:rPr>
        <w:t xml:space="preserve">Figure 13 shows in radar </w:t>
      </w:r>
      <w:r w:rsidRPr="00626B68">
        <w:rPr>
          <w:rFonts w:ascii="Times New Roman" w:hAnsi="Times New Roman" w:cs="David"/>
          <w:sz w:val="24"/>
          <w:szCs w:val="24"/>
        </w:rPr>
        <w:t>chart,</w:t>
      </w:r>
      <w:r w:rsidRPr="00512BB7">
        <w:rPr>
          <w:rFonts w:ascii="Times New Roman" w:hAnsi="Times New Roman" w:cs="David"/>
          <w:sz w:val="24"/>
          <w:szCs w:val="24"/>
        </w:rPr>
        <w:t xml:space="preserve"> the development of dimensions </w:t>
      </w:r>
      <w:r>
        <w:rPr>
          <w:rFonts w:ascii="Times New Roman" w:hAnsi="Times New Roman" w:cs="David"/>
          <w:sz w:val="24"/>
          <w:szCs w:val="24"/>
        </w:rPr>
        <w:t>between years</w:t>
      </w:r>
      <w:r w:rsidRPr="00512BB7">
        <w:rPr>
          <w:rFonts w:ascii="Times New Roman" w:hAnsi="Times New Roman" w:cs="David"/>
          <w:sz w:val="24"/>
          <w:szCs w:val="24"/>
        </w:rPr>
        <w:t xml:space="preserve"> </w:t>
      </w:r>
      <w:r>
        <w:rPr>
          <w:rFonts w:ascii="Times New Roman" w:hAnsi="Times New Roman" w:cs="David"/>
          <w:sz w:val="24"/>
          <w:szCs w:val="24"/>
        </w:rPr>
        <w:t>specific (2010, 2015 and 2019). As can be seen, “Banking and money”, “</w:t>
      </w:r>
      <w:r w:rsidRPr="00087953">
        <w:rPr>
          <w:rFonts w:ascii="Times New Roman" w:hAnsi="Times New Roman" w:cs="David"/>
          <w:sz w:val="24"/>
          <w:szCs w:val="24"/>
        </w:rPr>
        <w:t>Resources and infrastructure</w:t>
      </w:r>
      <w:r>
        <w:rPr>
          <w:rFonts w:ascii="Times New Roman" w:hAnsi="Times New Roman" w:cs="David"/>
          <w:sz w:val="24"/>
          <w:szCs w:val="24"/>
        </w:rPr>
        <w:t xml:space="preserve">” and “Movement of people and services” dimensions are contributing to increase in the level of integration between the regions, while "Wealth and standard of living" dimension </w:t>
      </w:r>
      <w:r w:rsidRPr="00F76E67">
        <w:rPr>
          <w:rFonts w:ascii="Times New Roman" w:hAnsi="Times New Roman" w:cs="David"/>
          <w:sz w:val="24"/>
          <w:szCs w:val="24"/>
        </w:rPr>
        <w:t>reduces the level of integration</w:t>
      </w:r>
      <w:r>
        <w:rPr>
          <w:rFonts w:ascii="Times New Roman" w:hAnsi="Times New Roman" w:cs="David"/>
          <w:sz w:val="24"/>
          <w:szCs w:val="24"/>
        </w:rPr>
        <w:t>. The "Trade, employment and taxes" dimension increased between the year 2010 to 2015 but lagged behind between 2015 to 2019.</w:t>
      </w:r>
    </w:p>
    <w:p w14:paraId="76085399" w14:textId="77777777" w:rsidR="006E1000" w:rsidRDefault="006E1000" w:rsidP="006E1000">
      <w:pPr>
        <w:pStyle w:val="ListParagraph"/>
        <w:bidi w:val="0"/>
        <w:spacing w:line="360" w:lineRule="auto"/>
        <w:jc w:val="center"/>
        <w:rPr>
          <w:rFonts w:ascii="Times New Roman" w:hAnsi="Times New Roman" w:cs="David"/>
          <w:sz w:val="24"/>
          <w:szCs w:val="24"/>
        </w:rPr>
      </w:pPr>
      <w:r>
        <w:rPr>
          <w:rFonts w:ascii="Times New Roman" w:hAnsi="Times New Roman" w:cs="David"/>
          <w:b/>
          <w:bCs/>
          <w:sz w:val="24"/>
          <w:szCs w:val="24"/>
        </w:rPr>
        <w:t>Figure 43: Development in dimensions 2010, 2015 and 2019</w:t>
      </w:r>
      <w:r>
        <w:rPr>
          <w:rFonts w:ascii="Times New Roman" w:hAnsi="Times New Roman" w:cs="David"/>
          <w:sz w:val="24"/>
          <w:szCs w:val="24"/>
        </w:rPr>
        <w:t xml:space="preserve"> </w:t>
      </w:r>
    </w:p>
    <w:p w14:paraId="387C19E1" w14:textId="77777777" w:rsidR="006E1000" w:rsidRPr="0001061A" w:rsidRDefault="006E1000" w:rsidP="006E1000">
      <w:pPr>
        <w:pStyle w:val="ListParagraph"/>
        <w:bidi w:val="0"/>
        <w:spacing w:line="360" w:lineRule="auto"/>
        <w:jc w:val="center"/>
        <w:rPr>
          <w:rFonts w:ascii="Times New Roman" w:hAnsi="Times New Roman" w:cs="David"/>
          <w:b/>
          <w:bCs/>
          <w:sz w:val="24"/>
          <w:szCs w:val="24"/>
        </w:rPr>
      </w:pPr>
      <w:r w:rsidRPr="0001061A">
        <w:rPr>
          <w:rFonts w:ascii="Times New Roman" w:hAnsi="Times New Roman" w:cs="David"/>
          <w:b/>
          <w:bCs/>
          <w:sz w:val="24"/>
          <w:szCs w:val="24"/>
        </w:rPr>
        <w:t>based on ISR-WBG-II 2010-2019</w:t>
      </w:r>
    </w:p>
    <w:p w14:paraId="0BF9ABFA" w14:textId="77777777" w:rsidR="006E1000" w:rsidRDefault="006E1000" w:rsidP="006E1000">
      <w:pPr>
        <w:pStyle w:val="ListParagraph"/>
        <w:bidi w:val="0"/>
        <w:spacing w:line="480" w:lineRule="auto"/>
        <w:jc w:val="center"/>
        <w:rPr>
          <w:rFonts w:ascii="Times New Roman" w:hAnsi="Times New Roman" w:cs="David"/>
          <w:b/>
          <w:bCs/>
          <w:sz w:val="24"/>
          <w:szCs w:val="24"/>
        </w:rPr>
      </w:pPr>
      <w:r>
        <w:rPr>
          <w:noProof/>
        </w:rPr>
        <w:drawing>
          <wp:inline distT="0" distB="0" distL="0" distR="0" wp14:anchorId="7C883880" wp14:editId="10EC7B3E">
            <wp:extent cx="4315197" cy="2524804"/>
            <wp:effectExtent l="0" t="0" r="9525" b="8890"/>
            <wp:docPr id="48" name="תרשים 48">
              <a:extLst xmlns:a="http://schemas.openxmlformats.org/drawingml/2006/main">
                <a:ext uri="{FF2B5EF4-FFF2-40B4-BE49-F238E27FC236}">
                  <a16:creationId xmlns:a16="http://schemas.microsoft.com/office/drawing/2014/main" id="{9A821202-C543-4B25-89A6-1659C0707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474421" w14:textId="7C9774D8" w:rsidR="006E1000" w:rsidRDefault="006E1000" w:rsidP="006E1000">
      <w:pPr>
        <w:pStyle w:val="ListParagraph"/>
        <w:bidi w:val="0"/>
        <w:spacing w:line="480" w:lineRule="auto"/>
        <w:rPr>
          <w:rFonts w:ascii="Times New Roman" w:hAnsi="Times New Roman" w:cs="David"/>
          <w:sz w:val="24"/>
          <w:szCs w:val="24"/>
        </w:rPr>
      </w:pPr>
      <w:r w:rsidRPr="00B63E4F">
        <w:rPr>
          <w:rFonts w:ascii="Times New Roman" w:hAnsi="Times New Roman" w:cs="David"/>
          <w:sz w:val="24"/>
          <w:szCs w:val="24"/>
        </w:rPr>
        <w:t xml:space="preserve">For the specific contribution of each indicator </w:t>
      </w:r>
      <w:r>
        <w:rPr>
          <w:rFonts w:ascii="Times New Roman" w:hAnsi="Times New Roman" w:cs="David"/>
          <w:sz w:val="24"/>
          <w:szCs w:val="24"/>
        </w:rPr>
        <w:t>to its</w:t>
      </w:r>
      <w:r w:rsidRPr="00B63E4F">
        <w:rPr>
          <w:rFonts w:ascii="Times New Roman" w:hAnsi="Times New Roman" w:cs="David"/>
          <w:sz w:val="24"/>
          <w:szCs w:val="24"/>
        </w:rPr>
        <w:t xml:space="preserve"> dimensions </w:t>
      </w:r>
      <w:r>
        <w:rPr>
          <w:rFonts w:ascii="Times New Roman" w:hAnsi="Times New Roman" w:cs="David"/>
          <w:sz w:val="24"/>
          <w:szCs w:val="24"/>
        </w:rPr>
        <w:t xml:space="preserve">and to the </w:t>
      </w:r>
      <w:r w:rsidRPr="00B63E4F">
        <w:rPr>
          <w:rFonts w:ascii="Times New Roman" w:hAnsi="Times New Roman" w:cs="David"/>
          <w:sz w:val="24"/>
          <w:szCs w:val="24"/>
        </w:rPr>
        <w:t>total</w:t>
      </w:r>
      <w:r>
        <w:rPr>
          <w:rFonts w:ascii="Times New Roman" w:hAnsi="Times New Roman" w:cs="David"/>
          <w:sz w:val="24"/>
          <w:szCs w:val="24"/>
        </w:rPr>
        <w:t xml:space="preserve"> index see</w:t>
      </w:r>
      <w:r w:rsidRPr="00B63E4F">
        <w:rPr>
          <w:rFonts w:ascii="Times New Roman" w:hAnsi="Times New Roman" w:cs="David"/>
          <w:sz w:val="24"/>
          <w:szCs w:val="24"/>
        </w:rPr>
        <w:t xml:space="preserve"> </w:t>
      </w:r>
      <w:r>
        <w:rPr>
          <w:rFonts w:ascii="Times New Roman" w:hAnsi="Times New Roman" w:cs="David"/>
          <w:b/>
          <w:bCs/>
          <w:sz w:val="24"/>
          <w:szCs w:val="24"/>
        </w:rPr>
        <w:t>A</w:t>
      </w:r>
      <w:r w:rsidRPr="00D96A24">
        <w:rPr>
          <w:rFonts w:ascii="Times New Roman" w:hAnsi="Times New Roman" w:cs="David"/>
          <w:b/>
          <w:bCs/>
          <w:sz w:val="24"/>
          <w:szCs w:val="24"/>
        </w:rPr>
        <w:t>ppendix III</w:t>
      </w:r>
      <w:r>
        <w:rPr>
          <w:rFonts w:ascii="Times New Roman" w:hAnsi="Times New Roman" w:cs="David"/>
          <w:sz w:val="24"/>
          <w:szCs w:val="24"/>
        </w:rPr>
        <w:t>.</w:t>
      </w:r>
    </w:p>
    <w:p w14:paraId="3D0D6335" w14:textId="77777777" w:rsidR="006E1000" w:rsidRDefault="006E1000" w:rsidP="006E1000">
      <w:pPr>
        <w:pStyle w:val="ListParagraph"/>
        <w:numPr>
          <w:ilvl w:val="2"/>
          <w:numId w:val="3"/>
        </w:numPr>
        <w:bidi w:val="0"/>
        <w:spacing w:line="480" w:lineRule="auto"/>
        <w:rPr>
          <w:rFonts w:ascii="Times New Roman" w:hAnsi="Times New Roman" w:cs="David"/>
          <w:b/>
          <w:bCs/>
          <w:sz w:val="24"/>
          <w:szCs w:val="24"/>
        </w:rPr>
      </w:pPr>
      <w:r>
        <w:rPr>
          <w:rFonts w:ascii="Times New Roman" w:hAnsi="Times New Roman" w:cs="David"/>
          <w:b/>
          <w:bCs/>
          <w:sz w:val="24"/>
          <w:szCs w:val="24"/>
        </w:rPr>
        <w:t>An overview of the indices</w:t>
      </w:r>
    </w:p>
    <w:p w14:paraId="45A3AB17" w14:textId="77777777" w:rsidR="006E1000" w:rsidRDefault="006E1000" w:rsidP="006E1000">
      <w:pPr>
        <w:pStyle w:val="ListParagraph"/>
        <w:bidi w:val="0"/>
        <w:spacing w:line="480" w:lineRule="auto"/>
        <w:ind w:left="1400"/>
        <w:jc w:val="both"/>
        <w:rPr>
          <w:rFonts w:ascii="Times New Roman" w:hAnsi="Times New Roman" w:cs="David"/>
          <w:b/>
          <w:bCs/>
          <w:sz w:val="24"/>
          <w:szCs w:val="24"/>
        </w:rPr>
      </w:pPr>
      <w:r w:rsidRPr="006D54A0">
        <w:rPr>
          <w:rFonts w:ascii="Times New Roman" w:hAnsi="Times New Roman" w:cs="David"/>
          <w:sz w:val="24"/>
          <w:szCs w:val="24"/>
        </w:rPr>
        <w:t>In Figures 14 and 15 we summarize the results of the indices graphically</w:t>
      </w:r>
      <w:r>
        <w:rPr>
          <w:rFonts w:ascii="Times New Roman" w:hAnsi="Times New Roman" w:cs="David"/>
          <w:sz w:val="24"/>
          <w:szCs w:val="24"/>
        </w:rPr>
        <w:t>.</w:t>
      </w:r>
      <w:r w:rsidRPr="006D54A0">
        <w:rPr>
          <w:rFonts w:ascii="Times New Roman" w:hAnsi="Times New Roman" w:cs="David"/>
          <w:sz w:val="24"/>
          <w:szCs w:val="24"/>
        </w:rPr>
        <w:t xml:space="preserve"> </w:t>
      </w:r>
      <w:r>
        <w:rPr>
          <w:rFonts w:ascii="Times New Roman" w:hAnsi="Times New Roman" w:cs="David"/>
          <w:sz w:val="24"/>
          <w:szCs w:val="24"/>
        </w:rPr>
        <w:t>I</w:t>
      </w:r>
      <w:r w:rsidRPr="006D54A0">
        <w:rPr>
          <w:rFonts w:ascii="Times New Roman" w:hAnsi="Times New Roman" w:cs="David"/>
          <w:sz w:val="24"/>
          <w:szCs w:val="24"/>
        </w:rPr>
        <w:t xml:space="preserve">n Figure 14 </w:t>
      </w:r>
      <w:r>
        <w:rPr>
          <w:rFonts w:ascii="Times New Roman" w:hAnsi="Times New Roman" w:cs="David"/>
          <w:sz w:val="24"/>
          <w:szCs w:val="24"/>
        </w:rPr>
        <w:t>we</w:t>
      </w:r>
      <w:r w:rsidRPr="006D54A0">
        <w:rPr>
          <w:rFonts w:ascii="Times New Roman" w:hAnsi="Times New Roman" w:cs="David"/>
          <w:sz w:val="24"/>
          <w:szCs w:val="24"/>
        </w:rPr>
        <w:t xml:space="preserve"> see the results of the 4 indices together</w:t>
      </w:r>
      <w:r>
        <w:rPr>
          <w:rFonts w:ascii="Times New Roman" w:hAnsi="Times New Roman" w:cs="David"/>
          <w:sz w:val="24"/>
          <w:szCs w:val="24"/>
        </w:rPr>
        <w:t>,</w:t>
      </w:r>
      <w:r w:rsidRPr="006D54A0">
        <w:rPr>
          <w:rFonts w:ascii="Times New Roman" w:hAnsi="Times New Roman" w:cs="David"/>
          <w:sz w:val="24"/>
          <w:szCs w:val="24"/>
        </w:rPr>
        <w:t xml:space="preserve"> and in Figure 15 the indices are shown according to the period in which they include the most indicators</w:t>
      </w:r>
      <w:r>
        <w:rPr>
          <w:rFonts w:ascii="Times New Roman" w:hAnsi="Times New Roman" w:cs="David"/>
          <w:sz w:val="24"/>
          <w:szCs w:val="24"/>
        </w:rPr>
        <w:t>, as</w:t>
      </w:r>
      <w:r w:rsidRPr="006D54A0">
        <w:rPr>
          <w:rFonts w:ascii="Times New Roman" w:hAnsi="Times New Roman" w:cs="David"/>
          <w:sz w:val="24"/>
          <w:szCs w:val="24"/>
        </w:rPr>
        <w:t xml:space="preserve"> compared to other indices.</w:t>
      </w:r>
      <w:r>
        <w:rPr>
          <w:rFonts w:ascii="Times New Roman" w:hAnsi="Times New Roman" w:cs="David"/>
          <w:sz w:val="24"/>
          <w:szCs w:val="24"/>
        </w:rPr>
        <w:t xml:space="preserve"> </w:t>
      </w:r>
      <w:r w:rsidRPr="005D2CDB">
        <w:rPr>
          <w:rFonts w:ascii="Times New Roman" w:hAnsi="Times New Roman" w:cs="David"/>
          <w:sz w:val="24"/>
          <w:szCs w:val="24"/>
        </w:rPr>
        <w:t xml:space="preserve">It should be noted that methodologically it is incorrect to </w:t>
      </w:r>
      <w:r>
        <w:rPr>
          <w:rFonts w:ascii="Times New Roman" w:hAnsi="Times New Roman" w:cs="David"/>
          <w:sz w:val="24"/>
          <w:szCs w:val="24"/>
        </w:rPr>
        <w:t>compare</w:t>
      </w:r>
      <w:r w:rsidRPr="005D2CDB">
        <w:rPr>
          <w:rFonts w:ascii="Times New Roman" w:hAnsi="Times New Roman" w:cs="David"/>
          <w:sz w:val="24"/>
          <w:szCs w:val="24"/>
        </w:rPr>
        <w:t xml:space="preserve"> or link the indices to each other as they include several different dimensions and indicators</w:t>
      </w:r>
      <w:r>
        <w:rPr>
          <w:rFonts w:ascii="Times New Roman" w:hAnsi="Times New Roman" w:cs="David"/>
          <w:sz w:val="24"/>
          <w:szCs w:val="24"/>
        </w:rPr>
        <w:t>,</w:t>
      </w:r>
      <w:r w:rsidRPr="005D2CDB">
        <w:rPr>
          <w:rFonts w:ascii="Times New Roman" w:hAnsi="Times New Roman" w:cs="David"/>
          <w:sz w:val="24"/>
          <w:szCs w:val="24"/>
        </w:rPr>
        <w:t xml:space="preserve"> as well as normalization and weighting</w:t>
      </w:r>
      <w:r>
        <w:rPr>
          <w:rFonts w:ascii="Times New Roman" w:hAnsi="Times New Roman" w:cs="David"/>
          <w:sz w:val="24"/>
          <w:szCs w:val="24"/>
        </w:rPr>
        <w:t xml:space="preserve"> processes</w:t>
      </w:r>
      <w:r w:rsidRPr="005D2CDB">
        <w:rPr>
          <w:rFonts w:ascii="Times New Roman" w:hAnsi="Times New Roman" w:cs="David"/>
          <w:sz w:val="24"/>
          <w:szCs w:val="24"/>
        </w:rPr>
        <w:t xml:space="preserve"> that include the observations relevant to the specific index. </w:t>
      </w:r>
      <w:r>
        <w:rPr>
          <w:rFonts w:ascii="Times New Roman" w:hAnsi="Times New Roman" w:cs="David"/>
          <w:sz w:val="24"/>
          <w:szCs w:val="24"/>
        </w:rPr>
        <w:t>However,</w:t>
      </w:r>
      <w:r w:rsidRPr="00A27F6F">
        <w:rPr>
          <w:rFonts w:ascii="Times New Roman" w:hAnsi="Times New Roman" w:cs="David"/>
          <w:sz w:val="24"/>
          <w:szCs w:val="24"/>
        </w:rPr>
        <w:t xml:space="preserve"> indices are presented in this way, so that it is possible to get a general and graphical impression </w:t>
      </w:r>
      <w:r>
        <w:rPr>
          <w:rFonts w:ascii="Times New Roman" w:hAnsi="Times New Roman" w:cs="David"/>
          <w:sz w:val="24"/>
          <w:szCs w:val="24"/>
        </w:rPr>
        <w:t>of</w:t>
      </w:r>
      <w:r w:rsidRPr="00A27F6F">
        <w:rPr>
          <w:rFonts w:ascii="Times New Roman" w:hAnsi="Times New Roman" w:cs="David"/>
          <w:sz w:val="24"/>
          <w:szCs w:val="24"/>
        </w:rPr>
        <w:t xml:space="preserve"> the indices.</w:t>
      </w:r>
    </w:p>
    <w:p w14:paraId="32E76C18" w14:textId="77777777" w:rsidR="006E1000" w:rsidRPr="006B0ABF" w:rsidRDefault="006E1000" w:rsidP="006E1000">
      <w:pPr>
        <w:pStyle w:val="ListParagraph"/>
        <w:bidi w:val="0"/>
        <w:spacing w:line="480" w:lineRule="auto"/>
        <w:ind w:left="1400"/>
        <w:jc w:val="center"/>
        <w:rPr>
          <w:rFonts w:ascii="Times New Roman" w:hAnsi="Times New Roman" w:cs="David"/>
          <w:b/>
          <w:bCs/>
          <w:sz w:val="24"/>
          <w:szCs w:val="24"/>
        </w:rPr>
      </w:pPr>
      <w:r>
        <w:rPr>
          <w:rFonts w:ascii="Times New Roman" w:hAnsi="Times New Roman" w:cs="David"/>
          <w:b/>
          <w:bCs/>
          <w:sz w:val="24"/>
          <w:szCs w:val="24"/>
        </w:rPr>
        <w:t>Figure 44: ISR-WBG-II b</w:t>
      </w:r>
      <w:r w:rsidRPr="00421098">
        <w:rPr>
          <w:rFonts w:ascii="Times New Roman" w:hAnsi="Times New Roman" w:cs="David"/>
          <w:b/>
          <w:bCs/>
          <w:sz w:val="24"/>
          <w:szCs w:val="24"/>
        </w:rPr>
        <w:t xml:space="preserve">y </w:t>
      </w:r>
      <w:r>
        <w:rPr>
          <w:rFonts w:ascii="Times New Roman" w:hAnsi="Times New Roman" w:cs="David"/>
          <w:b/>
          <w:bCs/>
          <w:sz w:val="24"/>
          <w:szCs w:val="24"/>
        </w:rPr>
        <w:t>periods</w:t>
      </w:r>
    </w:p>
    <w:p w14:paraId="732AAD48" w14:textId="77777777" w:rsidR="006E1000" w:rsidRDefault="006E1000" w:rsidP="006E1000">
      <w:pPr>
        <w:pStyle w:val="ListParagraph"/>
        <w:bidi w:val="0"/>
        <w:spacing w:line="480" w:lineRule="auto"/>
        <w:jc w:val="center"/>
        <w:rPr>
          <w:rFonts w:ascii="Times New Roman" w:hAnsi="Times New Roman" w:cs="David"/>
          <w:b/>
          <w:bCs/>
          <w:sz w:val="24"/>
          <w:szCs w:val="24"/>
        </w:rPr>
      </w:pPr>
      <w:r>
        <w:rPr>
          <w:noProof/>
        </w:rPr>
        <w:drawing>
          <wp:inline distT="0" distB="0" distL="0" distR="0" wp14:anchorId="5B40ACFF" wp14:editId="5DC76518">
            <wp:extent cx="3939331" cy="2251644"/>
            <wp:effectExtent l="0" t="0" r="4445" b="15875"/>
            <wp:docPr id="68" name="תרשים 68">
              <a:extLst xmlns:a="http://schemas.openxmlformats.org/drawingml/2006/main">
                <a:ext uri="{FF2B5EF4-FFF2-40B4-BE49-F238E27FC236}">
                  <a16:creationId xmlns:a16="http://schemas.microsoft.com/office/drawing/2014/main" id="{3B933576-16B4-43D5-957D-02FFC8A554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9B446F" w14:textId="77777777" w:rsidR="00711296" w:rsidRDefault="00711296" w:rsidP="006E1000">
      <w:pPr>
        <w:pStyle w:val="ListParagraph"/>
        <w:bidi w:val="0"/>
        <w:spacing w:line="480" w:lineRule="auto"/>
        <w:ind w:left="1400"/>
        <w:jc w:val="center"/>
        <w:rPr>
          <w:rFonts w:ascii="Times New Roman" w:hAnsi="Times New Roman" w:cs="David"/>
          <w:b/>
          <w:bCs/>
          <w:sz w:val="24"/>
          <w:szCs w:val="24"/>
        </w:rPr>
      </w:pPr>
    </w:p>
    <w:p w14:paraId="1D6A2047" w14:textId="77777777" w:rsidR="00711296" w:rsidRDefault="00711296" w:rsidP="00711296">
      <w:pPr>
        <w:pStyle w:val="ListParagraph"/>
        <w:bidi w:val="0"/>
        <w:spacing w:line="480" w:lineRule="auto"/>
        <w:ind w:left="1400"/>
        <w:jc w:val="center"/>
        <w:rPr>
          <w:rFonts w:ascii="Times New Roman" w:hAnsi="Times New Roman" w:cs="David"/>
          <w:b/>
          <w:bCs/>
          <w:sz w:val="24"/>
          <w:szCs w:val="24"/>
        </w:rPr>
      </w:pPr>
    </w:p>
    <w:p w14:paraId="3F8DD447" w14:textId="77777777" w:rsidR="00711296" w:rsidRDefault="00711296" w:rsidP="00711296">
      <w:pPr>
        <w:pStyle w:val="ListParagraph"/>
        <w:bidi w:val="0"/>
        <w:spacing w:line="480" w:lineRule="auto"/>
        <w:ind w:left="1400"/>
        <w:jc w:val="center"/>
        <w:rPr>
          <w:rFonts w:ascii="Times New Roman" w:hAnsi="Times New Roman" w:cs="David"/>
          <w:b/>
          <w:bCs/>
          <w:sz w:val="24"/>
          <w:szCs w:val="24"/>
        </w:rPr>
      </w:pPr>
    </w:p>
    <w:p w14:paraId="3499F25D" w14:textId="77777777" w:rsidR="00711296" w:rsidRDefault="00711296" w:rsidP="00711296">
      <w:pPr>
        <w:pStyle w:val="ListParagraph"/>
        <w:bidi w:val="0"/>
        <w:spacing w:line="480" w:lineRule="auto"/>
        <w:ind w:left="1400"/>
        <w:jc w:val="center"/>
        <w:rPr>
          <w:rFonts w:ascii="Times New Roman" w:hAnsi="Times New Roman" w:cs="David"/>
          <w:b/>
          <w:bCs/>
          <w:sz w:val="24"/>
          <w:szCs w:val="24"/>
        </w:rPr>
      </w:pPr>
    </w:p>
    <w:p w14:paraId="7A3B2615" w14:textId="10F3B174" w:rsidR="006E1000" w:rsidRPr="006B0ABF" w:rsidRDefault="006E1000" w:rsidP="00711296">
      <w:pPr>
        <w:pStyle w:val="ListParagraph"/>
        <w:bidi w:val="0"/>
        <w:spacing w:line="480" w:lineRule="auto"/>
        <w:ind w:left="1400"/>
        <w:jc w:val="center"/>
        <w:rPr>
          <w:rFonts w:ascii="Times New Roman" w:hAnsi="Times New Roman" w:cs="David"/>
          <w:b/>
          <w:bCs/>
          <w:sz w:val="24"/>
          <w:szCs w:val="24"/>
          <w:rtl/>
        </w:rPr>
      </w:pPr>
      <w:r>
        <w:rPr>
          <w:rFonts w:ascii="Times New Roman" w:hAnsi="Times New Roman" w:cs="David"/>
          <w:b/>
          <w:bCs/>
          <w:sz w:val="24"/>
          <w:szCs w:val="24"/>
        </w:rPr>
        <w:t>Figure 45: ISR-WBG-II b</w:t>
      </w:r>
      <w:r w:rsidRPr="00421098">
        <w:rPr>
          <w:rFonts w:ascii="Times New Roman" w:hAnsi="Times New Roman" w:cs="David"/>
          <w:b/>
          <w:bCs/>
          <w:sz w:val="24"/>
          <w:szCs w:val="24"/>
        </w:rPr>
        <w:t>y index</w:t>
      </w:r>
      <w:r>
        <w:rPr>
          <w:rFonts w:ascii="Times New Roman" w:hAnsi="Times New Roman" w:cs="David"/>
          <w:b/>
          <w:bCs/>
          <w:sz w:val="24"/>
          <w:szCs w:val="24"/>
        </w:rPr>
        <w:t xml:space="preserve"> </w:t>
      </w:r>
    </w:p>
    <w:p w14:paraId="4A30E8D1" w14:textId="3E447378" w:rsidR="006E1000" w:rsidRDefault="006E1000" w:rsidP="006E1000">
      <w:pPr>
        <w:pStyle w:val="ListParagraph"/>
        <w:autoSpaceDE w:val="0"/>
        <w:autoSpaceDN w:val="0"/>
        <w:bidi w:val="0"/>
        <w:adjustRightInd w:val="0"/>
        <w:spacing w:after="240" w:line="480" w:lineRule="auto"/>
        <w:jc w:val="center"/>
        <w:rPr>
          <w:rFonts w:ascii="Times New Roman" w:hAnsi="Times New Roman" w:cs="David"/>
          <w:b/>
          <w:bCs/>
          <w:sz w:val="24"/>
          <w:szCs w:val="24"/>
        </w:rPr>
      </w:pPr>
      <w:r>
        <w:rPr>
          <w:noProof/>
        </w:rPr>
        <w:drawing>
          <wp:inline distT="0" distB="0" distL="0" distR="0" wp14:anchorId="4E5561E0" wp14:editId="1466532A">
            <wp:extent cx="3928331" cy="2172361"/>
            <wp:effectExtent l="0" t="0" r="15240" b="18415"/>
            <wp:docPr id="70" name="תרשים 70">
              <a:extLst xmlns:a="http://schemas.openxmlformats.org/drawingml/2006/main">
                <a:ext uri="{FF2B5EF4-FFF2-40B4-BE49-F238E27FC236}">
                  <a16:creationId xmlns:a16="http://schemas.microsoft.com/office/drawing/2014/main" id="{CAAB80C5-1A4C-451A-976A-A2D44F709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2FB6AC" w14:textId="77777777" w:rsidR="00711296" w:rsidRDefault="00711296" w:rsidP="00711296">
      <w:pPr>
        <w:pStyle w:val="ListParagraph"/>
        <w:autoSpaceDE w:val="0"/>
        <w:autoSpaceDN w:val="0"/>
        <w:bidi w:val="0"/>
        <w:adjustRightInd w:val="0"/>
        <w:spacing w:after="240" w:line="480" w:lineRule="auto"/>
        <w:ind w:left="851"/>
        <w:jc w:val="center"/>
        <w:rPr>
          <w:rFonts w:asciiTheme="majorBidi" w:hAnsiTheme="majorBidi" w:cstheme="majorBidi"/>
          <w:b/>
          <w:bCs/>
          <w:sz w:val="24"/>
          <w:szCs w:val="24"/>
        </w:rPr>
        <w:sectPr w:rsidR="00711296" w:rsidSect="00A345F3">
          <w:pgSz w:w="11906" w:h="16838"/>
          <w:pgMar w:top="1440" w:right="1800" w:bottom="1440" w:left="1800" w:header="708" w:footer="708" w:gutter="0"/>
          <w:cols w:space="708"/>
          <w:bidi/>
          <w:rtlGutter/>
          <w:docGrid w:linePitch="360"/>
        </w:sectPr>
      </w:pPr>
    </w:p>
    <w:p w14:paraId="4320F9A9" w14:textId="77777777" w:rsidR="00711296" w:rsidRPr="007F1AC1" w:rsidRDefault="00711296" w:rsidP="00711296">
      <w:pPr>
        <w:pStyle w:val="ListParagraph"/>
        <w:autoSpaceDE w:val="0"/>
        <w:autoSpaceDN w:val="0"/>
        <w:bidi w:val="0"/>
        <w:adjustRightInd w:val="0"/>
        <w:spacing w:after="240" w:line="480" w:lineRule="auto"/>
        <w:ind w:left="851"/>
        <w:jc w:val="center"/>
        <w:rPr>
          <w:rFonts w:asciiTheme="majorBidi" w:hAnsiTheme="majorBidi" w:cstheme="majorBidi"/>
          <w:b/>
          <w:bCs/>
          <w:sz w:val="24"/>
          <w:szCs w:val="24"/>
        </w:rPr>
      </w:pPr>
      <w:r>
        <w:rPr>
          <w:rFonts w:asciiTheme="majorBidi" w:hAnsiTheme="majorBidi" w:cstheme="majorBidi"/>
          <w:b/>
          <w:bCs/>
          <w:sz w:val="24"/>
          <w:szCs w:val="24"/>
        </w:rPr>
        <w:t>Appendix</w:t>
      </w:r>
      <w:r w:rsidRPr="007F1AC1">
        <w:rPr>
          <w:rFonts w:asciiTheme="majorBidi" w:hAnsiTheme="majorBidi" w:cstheme="majorBidi"/>
          <w:b/>
          <w:bCs/>
          <w:sz w:val="24"/>
          <w:szCs w:val="24"/>
        </w:rPr>
        <w:t xml:space="preserve"> </w:t>
      </w:r>
      <w:r>
        <w:rPr>
          <w:rFonts w:asciiTheme="majorBidi" w:hAnsiTheme="majorBidi" w:cstheme="majorBidi"/>
          <w:b/>
          <w:bCs/>
          <w:sz w:val="24"/>
          <w:szCs w:val="24"/>
        </w:rPr>
        <w:t>I</w:t>
      </w:r>
      <w:r w:rsidRPr="007F1AC1">
        <w:rPr>
          <w:rFonts w:asciiTheme="majorBidi" w:hAnsiTheme="majorBidi" w:cstheme="majorBidi"/>
          <w:b/>
          <w:bCs/>
          <w:sz w:val="24"/>
          <w:szCs w:val="24"/>
        </w:rPr>
        <w:t xml:space="preserve"> -IS</w:t>
      </w:r>
      <w:r>
        <w:rPr>
          <w:rFonts w:asciiTheme="majorBidi" w:hAnsiTheme="majorBidi" w:cstheme="majorBidi"/>
          <w:b/>
          <w:bCs/>
          <w:sz w:val="24"/>
          <w:szCs w:val="24"/>
        </w:rPr>
        <w:t>R-</w:t>
      </w:r>
      <w:r w:rsidRPr="007F1AC1">
        <w:rPr>
          <w:rFonts w:asciiTheme="majorBidi" w:hAnsiTheme="majorBidi" w:cstheme="majorBidi"/>
          <w:b/>
          <w:bCs/>
          <w:sz w:val="24"/>
          <w:szCs w:val="24"/>
        </w:rPr>
        <w:t>WBG</w:t>
      </w:r>
      <w:r>
        <w:rPr>
          <w:rFonts w:asciiTheme="majorBidi" w:hAnsiTheme="majorBidi" w:cstheme="majorBidi"/>
          <w:b/>
          <w:bCs/>
          <w:sz w:val="24"/>
          <w:szCs w:val="24"/>
        </w:rPr>
        <w:t>-</w:t>
      </w:r>
      <w:r w:rsidRPr="007F1AC1">
        <w:rPr>
          <w:rFonts w:asciiTheme="majorBidi" w:hAnsiTheme="majorBidi" w:cstheme="majorBidi"/>
          <w:b/>
          <w:bCs/>
          <w:sz w:val="24"/>
          <w:szCs w:val="24"/>
        </w:rPr>
        <w:t>II Indicators</w:t>
      </w:r>
      <w:r>
        <w:rPr>
          <w:rFonts w:asciiTheme="majorBidi" w:hAnsiTheme="majorBidi" w:cstheme="majorBidi"/>
          <w:b/>
          <w:bCs/>
          <w:sz w:val="24"/>
          <w:szCs w:val="24"/>
        </w:rPr>
        <w:t xml:space="preserve"> </w:t>
      </w:r>
    </w:p>
    <w:p w14:paraId="631697AB" w14:textId="77777777" w:rsidR="00711296" w:rsidRPr="001D40DD" w:rsidRDefault="00711296" w:rsidP="00711296">
      <w:pPr>
        <w:pStyle w:val="ListParagraph"/>
        <w:numPr>
          <w:ilvl w:val="0"/>
          <w:numId w:val="26"/>
        </w:numPr>
        <w:autoSpaceDE w:val="0"/>
        <w:autoSpaceDN w:val="0"/>
        <w:bidi w:val="0"/>
        <w:adjustRightInd w:val="0"/>
        <w:spacing w:line="360" w:lineRule="auto"/>
        <w:rPr>
          <w:rFonts w:asciiTheme="majorBidi" w:hAnsiTheme="majorBidi" w:cstheme="majorBidi"/>
          <w:b/>
          <w:bCs/>
          <w:sz w:val="24"/>
          <w:szCs w:val="24"/>
        </w:rPr>
      </w:pPr>
      <w:r w:rsidRPr="001D40DD">
        <w:rPr>
          <w:rFonts w:asciiTheme="majorBidi" w:hAnsiTheme="majorBidi" w:cstheme="majorBidi"/>
          <w:b/>
          <w:bCs/>
          <w:sz w:val="24"/>
          <w:szCs w:val="24"/>
        </w:rPr>
        <w:t>Trade, employment, and taxes</w:t>
      </w:r>
    </w:p>
    <w:p w14:paraId="74C55BB3"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461DA6">
        <w:rPr>
          <w:b/>
          <w:bCs/>
        </w:rPr>
        <w:t xml:space="preserve">Palestinian </w:t>
      </w:r>
      <w:r>
        <w:rPr>
          <w:b/>
          <w:bCs/>
        </w:rPr>
        <w:t>e</w:t>
      </w:r>
      <w:r w:rsidRPr="00461DA6">
        <w:rPr>
          <w:b/>
          <w:bCs/>
        </w:rPr>
        <w:t>xports</w:t>
      </w:r>
      <w:r w:rsidRPr="00135645">
        <w:rPr>
          <w:b/>
          <w:bCs/>
        </w:rPr>
        <w:t xml:space="preserve"> of goods and services to Israel out of total </w:t>
      </w:r>
      <w:r w:rsidRPr="00461DA6">
        <w:rPr>
          <w:b/>
          <w:bCs/>
        </w:rPr>
        <w:t xml:space="preserve">Palestinian </w:t>
      </w:r>
      <w:r>
        <w:rPr>
          <w:b/>
          <w:bCs/>
        </w:rPr>
        <w:t>e</w:t>
      </w:r>
      <w:r w:rsidRPr="00135645">
        <w:rPr>
          <w:b/>
          <w:bCs/>
        </w:rPr>
        <w:t>xports –</w:t>
      </w:r>
      <w:r>
        <w:rPr>
          <w:b/>
          <w:bCs/>
        </w:rPr>
        <w:t xml:space="preserve"> </w:t>
      </w:r>
    </w:p>
    <w:p w14:paraId="525BE766" w14:textId="77777777" w:rsidR="00711296" w:rsidRPr="00A00835" w:rsidRDefault="00711296" w:rsidP="00711296">
      <w:pPr>
        <w:pStyle w:val="ListParagraph"/>
        <w:autoSpaceDE w:val="0"/>
        <w:autoSpaceDN w:val="0"/>
        <w:bidi w:val="0"/>
        <w:adjustRightInd w:val="0"/>
        <w:spacing w:line="480" w:lineRule="auto"/>
        <w:rPr>
          <w:b/>
          <w:bCs/>
        </w:rPr>
      </w:pPr>
      <w:r>
        <w:t>M</w:t>
      </w:r>
      <w:r w:rsidRPr="00135645">
        <w:t xml:space="preserve">easures the value of the </w:t>
      </w:r>
      <w:r w:rsidRPr="0080393A">
        <w:t xml:space="preserve">goods and services </w:t>
      </w:r>
      <w:r w:rsidRPr="00135645">
        <w:t xml:space="preserve">that PA has exported to Israel or through Israel abroad as a percentage of </w:t>
      </w:r>
      <w:r w:rsidRPr="0080393A">
        <w:t xml:space="preserve">total </w:t>
      </w:r>
      <w:r>
        <w:t>Palestinian e</w:t>
      </w:r>
      <w:r w:rsidRPr="0080393A">
        <w:t>xports</w:t>
      </w:r>
      <w:r>
        <w:t>.</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735"/>
      </w:tblGrid>
      <w:tr w:rsidR="00711296" w:rsidRPr="007B3551" w14:paraId="7FFE46A6" w14:textId="77777777" w:rsidTr="004831C9">
        <w:trPr>
          <w:trHeight w:val="300"/>
        </w:trPr>
        <w:tc>
          <w:tcPr>
            <w:tcW w:w="9315" w:type="dxa"/>
            <w:gridSpan w:val="2"/>
            <w:shd w:val="clear" w:color="auto" w:fill="auto"/>
            <w:noWrap/>
            <w:vAlign w:val="bottom"/>
          </w:tcPr>
          <w:p w14:paraId="2AC91A2F" w14:textId="77777777" w:rsidR="00711296" w:rsidRPr="00A00835" w:rsidRDefault="00711296" w:rsidP="004831C9">
            <w:pPr>
              <w:bidi w:val="0"/>
              <w:rPr>
                <w:rFonts w:cs="Calibri"/>
                <w:color w:val="000000"/>
              </w:rPr>
            </w:pPr>
            <w:r>
              <w:rPr>
                <w:rFonts w:cs="Calibri"/>
                <w:color w:val="000000"/>
              </w:rPr>
              <w:t>Data source</w:t>
            </w:r>
          </w:p>
        </w:tc>
      </w:tr>
      <w:tr w:rsidR="00711296" w:rsidRPr="007B3551" w14:paraId="593CA20A" w14:textId="77777777" w:rsidTr="004831C9">
        <w:trPr>
          <w:trHeight w:val="300"/>
        </w:trPr>
        <w:tc>
          <w:tcPr>
            <w:tcW w:w="1580" w:type="dxa"/>
            <w:shd w:val="clear" w:color="auto" w:fill="auto"/>
            <w:noWrap/>
            <w:vAlign w:val="center"/>
            <w:hideMark/>
          </w:tcPr>
          <w:p w14:paraId="58E95CBE" w14:textId="77777777" w:rsidR="00711296" w:rsidRPr="007B3551" w:rsidRDefault="00711296" w:rsidP="004831C9">
            <w:pPr>
              <w:bidi w:val="0"/>
              <w:rPr>
                <w:rFonts w:cs="Calibri"/>
                <w:color w:val="000000"/>
              </w:rPr>
            </w:pPr>
            <w:r w:rsidRPr="007B3551">
              <w:rPr>
                <w:rFonts w:cs="Calibri"/>
                <w:color w:val="000000"/>
              </w:rPr>
              <w:t>1968 - 1987</w:t>
            </w:r>
          </w:p>
        </w:tc>
        <w:tc>
          <w:tcPr>
            <w:tcW w:w="7735" w:type="dxa"/>
            <w:shd w:val="clear" w:color="auto" w:fill="auto"/>
            <w:noWrap/>
            <w:vAlign w:val="bottom"/>
            <w:hideMark/>
          </w:tcPr>
          <w:p w14:paraId="0B97CA68" w14:textId="77777777" w:rsidR="00711296" w:rsidRPr="007B3551" w:rsidRDefault="00711296" w:rsidP="004831C9">
            <w:pPr>
              <w:bidi w:val="0"/>
              <w:rPr>
                <w:rFonts w:cs="Calibri"/>
                <w:color w:val="000000"/>
              </w:rPr>
            </w:pPr>
            <w:r w:rsidRPr="007B3551">
              <w:rPr>
                <w:rFonts w:cs="Calibri"/>
                <w:color w:val="000000"/>
              </w:rPr>
              <w:t xml:space="preserve">National Accounts of Judea, Samaria and the Gaza area, 1968-1993, Registered goods only, Publication No. 1012, Israeli Central Bureau of Statistics </w:t>
            </w:r>
          </w:p>
        </w:tc>
      </w:tr>
      <w:tr w:rsidR="00711296" w:rsidRPr="007B3551" w14:paraId="23E39AF3" w14:textId="77777777" w:rsidTr="004831C9">
        <w:trPr>
          <w:trHeight w:val="300"/>
        </w:trPr>
        <w:tc>
          <w:tcPr>
            <w:tcW w:w="1580" w:type="dxa"/>
            <w:shd w:val="clear" w:color="auto" w:fill="auto"/>
            <w:noWrap/>
            <w:vAlign w:val="center"/>
            <w:hideMark/>
          </w:tcPr>
          <w:p w14:paraId="0621448F" w14:textId="77777777" w:rsidR="00711296" w:rsidRPr="007B3551" w:rsidRDefault="00711296" w:rsidP="004831C9">
            <w:pPr>
              <w:bidi w:val="0"/>
              <w:rPr>
                <w:rFonts w:cs="Calibri"/>
                <w:color w:val="000000"/>
              </w:rPr>
            </w:pPr>
            <w:r w:rsidRPr="007B3551">
              <w:rPr>
                <w:rFonts w:cs="Calibri"/>
                <w:color w:val="000000"/>
              </w:rPr>
              <w:t>1988 - 1991</w:t>
            </w:r>
          </w:p>
        </w:tc>
        <w:tc>
          <w:tcPr>
            <w:tcW w:w="7735" w:type="dxa"/>
            <w:shd w:val="clear" w:color="auto" w:fill="auto"/>
            <w:noWrap/>
            <w:vAlign w:val="bottom"/>
            <w:hideMark/>
          </w:tcPr>
          <w:p w14:paraId="454FDD24" w14:textId="77777777" w:rsidR="00711296" w:rsidRPr="007B3551" w:rsidRDefault="00711296" w:rsidP="004831C9">
            <w:pPr>
              <w:bidi w:val="0"/>
              <w:rPr>
                <w:rFonts w:cs="Calibri"/>
                <w:color w:val="000000"/>
              </w:rPr>
            </w:pPr>
            <w:r w:rsidRPr="007B3551">
              <w:rPr>
                <w:rFonts w:cs="Calibri"/>
                <w:color w:val="000000"/>
              </w:rPr>
              <w:t>World bank Report, September 1993, Developing the Occupied territories</w:t>
            </w:r>
          </w:p>
        </w:tc>
      </w:tr>
      <w:tr w:rsidR="00711296" w:rsidRPr="007B3551" w14:paraId="1C370EC5" w14:textId="77777777" w:rsidTr="004831C9">
        <w:trPr>
          <w:trHeight w:val="300"/>
        </w:trPr>
        <w:tc>
          <w:tcPr>
            <w:tcW w:w="1580" w:type="dxa"/>
            <w:shd w:val="clear" w:color="auto" w:fill="auto"/>
            <w:noWrap/>
            <w:vAlign w:val="center"/>
            <w:hideMark/>
          </w:tcPr>
          <w:p w14:paraId="6DBC3331" w14:textId="77777777" w:rsidR="00711296" w:rsidRPr="007B3551" w:rsidRDefault="00711296" w:rsidP="004831C9">
            <w:pPr>
              <w:bidi w:val="0"/>
              <w:rPr>
                <w:rFonts w:cs="Calibri"/>
                <w:color w:val="000000"/>
              </w:rPr>
            </w:pPr>
            <w:r w:rsidRPr="007B3551">
              <w:rPr>
                <w:rFonts w:cs="Calibri"/>
                <w:color w:val="000000"/>
              </w:rPr>
              <w:t>1992-1994</w:t>
            </w:r>
          </w:p>
        </w:tc>
        <w:tc>
          <w:tcPr>
            <w:tcW w:w="7735" w:type="dxa"/>
            <w:shd w:val="clear" w:color="auto" w:fill="auto"/>
            <w:noWrap/>
            <w:vAlign w:val="bottom"/>
            <w:hideMark/>
          </w:tcPr>
          <w:p w14:paraId="6804D39D" w14:textId="77777777" w:rsidR="00711296" w:rsidRPr="007B3551" w:rsidRDefault="00711296" w:rsidP="004831C9">
            <w:pPr>
              <w:bidi w:val="0"/>
              <w:rPr>
                <w:rFonts w:cs="Calibri"/>
                <w:color w:val="000000"/>
              </w:rPr>
            </w:pPr>
            <w:r w:rsidRPr="007B3551">
              <w:rPr>
                <w:rFonts w:cs="Calibri"/>
                <w:color w:val="000000"/>
              </w:rPr>
              <w:t xml:space="preserve">Missing </w:t>
            </w:r>
            <w:r>
              <w:rPr>
                <w:rFonts w:cs="Calibri"/>
                <w:color w:val="000000"/>
              </w:rPr>
              <w:t>data</w:t>
            </w:r>
            <w:r w:rsidRPr="007B3551">
              <w:rPr>
                <w:rFonts w:cs="Calibri"/>
                <w:color w:val="000000"/>
              </w:rPr>
              <w:t xml:space="preserve"> - supplemented by the average of the years before and after</w:t>
            </w:r>
          </w:p>
        </w:tc>
      </w:tr>
      <w:tr w:rsidR="00711296" w:rsidRPr="007B3551" w14:paraId="0E7435A2" w14:textId="77777777" w:rsidTr="004831C9">
        <w:trPr>
          <w:trHeight w:val="300"/>
        </w:trPr>
        <w:tc>
          <w:tcPr>
            <w:tcW w:w="1580" w:type="dxa"/>
            <w:shd w:val="clear" w:color="auto" w:fill="auto"/>
            <w:noWrap/>
            <w:vAlign w:val="center"/>
            <w:hideMark/>
          </w:tcPr>
          <w:p w14:paraId="073E6227" w14:textId="77777777" w:rsidR="00711296" w:rsidRPr="007B3551" w:rsidRDefault="00711296" w:rsidP="004831C9">
            <w:pPr>
              <w:bidi w:val="0"/>
              <w:rPr>
                <w:rFonts w:cs="Calibri"/>
                <w:color w:val="000000"/>
              </w:rPr>
            </w:pPr>
            <w:r w:rsidRPr="007B3551">
              <w:rPr>
                <w:rFonts w:cs="Calibri"/>
                <w:color w:val="000000"/>
              </w:rPr>
              <w:t>1995 - 1999</w:t>
            </w:r>
          </w:p>
        </w:tc>
        <w:tc>
          <w:tcPr>
            <w:tcW w:w="7735" w:type="dxa"/>
            <w:shd w:val="clear" w:color="auto" w:fill="auto"/>
            <w:noWrap/>
            <w:vAlign w:val="bottom"/>
            <w:hideMark/>
          </w:tcPr>
          <w:p w14:paraId="7F4829B0" w14:textId="77777777" w:rsidR="00711296" w:rsidRPr="007B3551" w:rsidRDefault="00711296" w:rsidP="004831C9">
            <w:pPr>
              <w:bidi w:val="0"/>
              <w:rPr>
                <w:rFonts w:cs="Calibri"/>
                <w:color w:val="000000"/>
              </w:rPr>
            </w:pPr>
            <w:r w:rsidRPr="007B3551">
              <w:rPr>
                <w:rFonts w:cs="Calibri"/>
                <w:color w:val="000000"/>
              </w:rPr>
              <w:t>Palestinian Central Bureau of Statistics, Registered goods only, Foreign Trade Statistics</w:t>
            </w:r>
          </w:p>
        </w:tc>
      </w:tr>
      <w:tr w:rsidR="00711296" w:rsidRPr="007B3551" w14:paraId="766DDB54" w14:textId="77777777" w:rsidTr="004831C9">
        <w:trPr>
          <w:trHeight w:val="300"/>
        </w:trPr>
        <w:tc>
          <w:tcPr>
            <w:tcW w:w="1580" w:type="dxa"/>
            <w:shd w:val="clear" w:color="auto" w:fill="auto"/>
            <w:noWrap/>
            <w:vAlign w:val="center"/>
            <w:hideMark/>
          </w:tcPr>
          <w:p w14:paraId="1B3A4286" w14:textId="77777777" w:rsidR="00711296" w:rsidRPr="007B3551" w:rsidRDefault="00711296" w:rsidP="004831C9">
            <w:pPr>
              <w:bidi w:val="0"/>
              <w:rPr>
                <w:rFonts w:cs="Calibri"/>
                <w:color w:val="000000"/>
              </w:rPr>
            </w:pPr>
            <w:r w:rsidRPr="007B3551">
              <w:rPr>
                <w:rFonts w:cs="Calibri"/>
                <w:color w:val="000000"/>
              </w:rPr>
              <w:t>2000 - 2019</w:t>
            </w:r>
          </w:p>
        </w:tc>
        <w:tc>
          <w:tcPr>
            <w:tcW w:w="7735" w:type="dxa"/>
            <w:shd w:val="clear" w:color="auto" w:fill="auto"/>
            <w:noWrap/>
            <w:vAlign w:val="bottom"/>
            <w:hideMark/>
          </w:tcPr>
          <w:p w14:paraId="2516CAC6" w14:textId="77777777" w:rsidR="00711296" w:rsidRPr="007B3551" w:rsidRDefault="00711296" w:rsidP="004831C9">
            <w:pPr>
              <w:bidi w:val="0"/>
              <w:rPr>
                <w:rFonts w:cs="Calibri"/>
                <w:color w:val="000000"/>
              </w:rPr>
            </w:pPr>
            <w:r w:rsidRPr="007B3551">
              <w:rPr>
                <w:rFonts w:cs="Calibri"/>
                <w:color w:val="000000"/>
              </w:rPr>
              <w:t>Palestinian Central Bureau of Statistics, foreign trade and balance of payments</w:t>
            </w:r>
          </w:p>
        </w:tc>
      </w:tr>
    </w:tbl>
    <w:p w14:paraId="6F8417B4" w14:textId="77777777" w:rsidR="00711296" w:rsidRPr="00135645" w:rsidRDefault="00711296" w:rsidP="00711296">
      <w:pPr>
        <w:pStyle w:val="ListParagraph"/>
        <w:autoSpaceDE w:val="0"/>
        <w:autoSpaceDN w:val="0"/>
        <w:bidi w:val="0"/>
        <w:adjustRightInd w:val="0"/>
        <w:spacing w:after="240" w:line="480" w:lineRule="auto"/>
        <w:ind w:left="1080"/>
        <w:rPr>
          <w:b/>
          <w:bCs/>
        </w:rPr>
      </w:pPr>
      <w:r>
        <w:t xml:space="preserve"> </w:t>
      </w:r>
    </w:p>
    <w:p w14:paraId="398E4DB3"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461DA6">
        <w:rPr>
          <w:b/>
          <w:bCs/>
        </w:rPr>
        <w:t xml:space="preserve">Palestinian </w:t>
      </w:r>
      <w:r>
        <w:rPr>
          <w:b/>
          <w:bCs/>
        </w:rPr>
        <w:t>i</w:t>
      </w:r>
      <w:r w:rsidRPr="00135645">
        <w:rPr>
          <w:b/>
          <w:bCs/>
        </w:rPr>
        <w:t xml:space="preserve">mports of goods and services from Israel out of total </w:t>
      </w:r>
      <w:r w:rsidRPr="00461DA6">
        <w:rPr>
          <w:b/>
          <w:bCs/>
        </w:rPr>
        <w:t xml:space="preserve">Palestinian </w:t>
      </w:r>
      <w:r w:rsidRPr="00135645">
        <w:rPr>
          <w:b/>
          <w:bCs/>
        </w:rPr>
        <w:t xml:space="preserve">imports </w:t>
      </w:r>
      <w:r>
        <w:rPr>
          <w:b/>
          <w:bCs/>
        </w:rPr>
        <w:t xml:space="preserve">– </w:t>
      </w:r>
    </w:p>
    <w:p w14:paraId="2347A8DE" w14:textId="77777777" w:rsidR="00711296" w:rsidRPr="006E07D6" w:rsidRDefault="00711296" w:rsidP="00711296">
      <w:pPr>
        <w:pStyle w:val="ListParagraph"/>
        <w:autoSpaceDE w:val="0"/>
        <w:autoSpaceDN w:val="0"/>
        <w:bidi w:val="0"/>
        <w:adjustRightInd w:val="0"/>
        <w:spacing w:line="480" w:lineRule="auto"/>
      </w:pPr>
      <w:r w:rsidRPr="006E07D6">
        <w:t xml:space="preserve">Measures the value of the goods and services the Palestinians </w:t>
      </w:r>
      <w:r>
        <w:t>have</w:t>
      </w:r>
      <w:r w:rsidRPr="006E07D6">
        <w:t xml:space="preserve"> imported from Israel or through Israel as a percentage of total Palestinian </w:t>
      </w:r>
      <w:r>
        <w:t>i</w:t>
      </w:r>
      <w:r w:rsidRPr="006E07D6">
        <w:t xml:space="preserve">mports.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735"/>
      </w:tblGrid>
      <w:tr w:rsidR="00711296" w:rsidRPr="007B3551" w14:paraId="402D39CE" w14:textId="77777777" w:rsidTr="004831C9">
        <w:trPr>
          <w:trHeight w:val="300"/>
        </w:trPr>
        <w:tc>
          <w:tcPr>
            <w:tcW w:w="9315" w:type="dxa"/>
            <w:gridSpan w:val="2"/>
            <w:shd w:val="clear" w:color="auto" w:fill="auto"/>
            <w:noWrap/>
            <w:vAlign w:val="bottom"/>
          </w:tcPr>
          <w:p w14:paraId="0F260227" w14:textId="77777777" w:rsidR="00711296" w:rsidRPr="00A00835" w:rsidRDefault="00711296" w:rsidP="004831C9">
            <w:pPr>
              <w:bidi w:val="0"/>
              <w:rPr>
                <w:rFonts w:cs="Calibri"/>
                <w:color w:val="000000"/>
              </w:rPr>
            </w:pPr>
            <w:r>
              <w:rPr>
                <w:rFonts w:cs="Calibri"/>
                <w:color w:val="000000"/>
              </w:rPr>
              <w:t>Data source</w:t>
            </w:r>
          </w:p>
        </w:tc>
      </w:tr>
      <w:tr w:rsidR="00711296" w:rsidRPr="007B3551" w14:paraId="0F5DFFCA" w14:textId="77777777" w:rsidTr="004831C9">
        <w:trPr>
          <w:trHeight w:val="300"/>
        </w:trPr>
        <w:tc>
          <w:tcPr>
            <w:tcW w:w="1580" w:type="dxa"/>
            <w:shd w:val="clear" w:color="auto" w:fill="auto"/>
            <w:noWrap/>
            <w:vAlign w:val="center"/>
            <w:hideMark/>
          </w:tcPr>
          <w:p w14:paraId="220F710D" w14:textId="77777777" w:rsidR="00711296" w:rsidRPr="007B3551" w:rsidRDefault="00711296" w:rsidP="004831C9">
            <w:pPr>
              <w:bidi w:val="0"/>
              <w:rPr>
                <w:rFonts w:cs="Calibri"/>
                <w:color w:val="000000"/>
              </w:rPr>
            </w:pPr>
            <w:r>
              <w:rPr>
                <w:rFonts w:cs="Calibri"/>
                <w:color w:val="000000"/>
              </w:rPr>
              <w:t>1968 - 1987</w:t>
            </w:r>
          </w:p>
        </w:tc>
        <w:tc>
          <w:tcPr>
            <w:tcW w:w="7735" w:type="dxa"/>
            <w:shd w:val="clear" w:color="auto" w:fill="auto"/>
            <w:noWrap/>
            <w:vAlign w:val="bottom"/>
            <w:hideMark/>
          </w:tcPr>
          <w:p w14:paraId="4570B1B3" w14:textId="77777777" w:rsidR="00711296" w:rsidRPr="007B3551" w:rsidRDefault="00711296" w:rsidP="004831C9">
            <w:pPr>
              <w:bidi w:val="0"/>
              <w:rPr>
                <w:rFonts w:cs="Calibri"/>
                <w:color w:val="000000"/>
              </w:rPr>
            </w:pPr>
            <w:r>
              <w:rPr>
                <w:rFonts w:cs="Calibri"/>
                <w:color w:val="000000"/>
              </w:rPr>
              <w:t xml:space="preserve">National Accounts of Judea, Samaria and the Gaza area, 1968-1993, Registered goods only, Publication No. 1012, Israeli Central Bureau of Statistics </w:t>
            </w:r>
          </w:p>
        </w:tc>
      </w:tr>
      <w:tr w:rsidR="00711296" w:rsidRPr="007B3551" w14:paraId="6CBF4CF4" w14:textId="77777777" w:rsidTr="004831C9">
        <w:trPr>
          <w:trHeight w:val="300"/>
        </w:trPr>
        <w:tc>
          <w:tcPr>
            <w:tcW w:w="1580" w:type="dxa"/>
            <w:shd w:val="clear" w:color="auto" w:fill="auto"/>
            <w:noWrap/>
            <w:vAlign w:val="center"/>
            <w:hideMark/>
          </w:tcPr>
          <w:p w14:paraId="242AA11B" w14:textId="77777777" w:rsidR="00711296" w:rsidRPr="007B3551" w:rsidRDefault="00711296" w:rsidP="004831C9">
            <w:pPr>
              <w:bidi w:val="0"/>
              <w:rPr>
                <w:rFonts w:cs="Calibri"/>
                <w:color w:val="000000"/>
              </w:rPr>
            </w:pPr>
            <w:r>
              <w:rPr>
                <w:rFonts w:cs="Calibri"/>
                <w:color w:val="000000"/>
              </w:rPr>
              <w:t>1988 - 1991</w:t>
            </w:r>
          </w:p>
        </w:tc>
        <w:tc>
          <w:tcPr>
            <w:tcW w:w="7735" w:type="dxa"/>
            <w:shd w:val="clear" w:color="auto" w:fill="auto"/>
            <w:noWrap/>
            <w:vAlign w:val="bottom"/>
            <w:hideMark/>
          </w:tcPr>
          <w:p w14:paraId="12734F8B" w14:textId="77777777" w:rsidR="00711296" w:rsidRPr="007B3551" w:rsidRDefault="00711296" w:rsidP="004831C9">
            <w:pPr>
              <w:bidi w:val="0"/>
              <w:rPr>
                <w:rFonts w:cs="Calibri"/>
                <w:color w:val="000000"/>
              </w:rPr>
            </w:pPr>
            <w:r>
              <w:rPr>
                <w:rFonts w:cs="Calibri"/>
                <w:color w:val="000000"/>
              </w:rPr>
              <w:t>World bank Report, September 1993, Developing the Occupied territories</w:t>
            </w:r>
          </w:p>
        </w:tc>
      </w:tr>
      <w:tr w:rsidR="00711296" w:rsidRPr="007B3551" w14:paraId="3AC7DADF" w14:textId="77777777" w:rsidTr="004831C9">
        <w:trPr>
          <w:trHeight w:val="300"/>
        </w:trPr>
        <w:tc>
          <w:tcPr>
            <w:tcW w:w="1580" w:type="dxa"/>
            <w:shd w:val="clear" w:color="auto" w:fill="auto"/>
            <w:noWrap/>
            <w:vAlign w:val="center"/>
            <w:hideMark/>
          </w:tcPr>
          <w:p w14:paraId="01F81518" w14:textId="77777777" w:rsidR="00711296" w:rsidRPr="007B3551" w:rsidRDefault="00711296" w:rsidP="004831C9">
            <w:pPr>
              <w:bidi w:val="0"/>
              <w:rPr>
                <w:rFonts w:cs="Calibri"/>
                <w:color w:val="000000"/>
              </w:rPr>
            </w:pPr>
            <w:r>
              <w:rPr>
                <w:rFonts w:cs="Calibri"/>
                <w:color w:val="000000"/>
              </w:rPr>
              <w:t>1992-1994</w:t>
            </w:r>
          </w:p>
        </w:tc>
        <w:tc>
          <w:tcPr>
            <w:tcW w:w="7735" w:type="dxa"/>
            <w:shd w:val="clear" w:color="auto" w:fill="auto"/>
            <w:noWrap/>
            <w:vAlign w:val="bottom"/>
            <w:hideMark/>
          </w:tcPr>
          <w:p w14:paraId="254DF54A" w14:textId="77777777" w:rsidR="00711296" w:rsidRPr="007B3551" w:rsidRDefault="00711296" w:rsidP="004831C9">
            <w:pPr>
              <w:bidi w:val="0"/>
              <w:rPr>
                <w:rFonts w:cs="Calibri"/>
                <w:color w:val="000000"/>
              </w:rPr>
            </w:pPr>
            <w:r>
              <w:rPr>
                <w:rFonts w:cs="Calibri"/>
                <w:color w:val="000000"/>
              </w:rPr>
              <w:t>Missing data - supplemented by the average of the years before and after</w:t>
            </w:r>
          </w:p>
        </w:tc>
      </w:tr>
      <w:tr w:rsidR="00711296" w:rsidRPr="007B3551" w14:paraId="68EDEACD" w14:textId="77777777" w:rsidTr="004831C9">
        <w:trPr>
          <w:trHeight w:val="300"/>
        </w:trPr>
        <w:tc>
          <w:tcPr>
            <w:tcW w:w="1580" w:type="dxa"/>
            <w:shd w:val="clear" w:color="auto" w:fill="auto"/>
            <w:noWrap/>
            <w:vAlign w:val="center"/>
            <w:hideMark/>
          </w:tcPr>
          <w:p w14:paraId="20247654" w14:textId="77777777" w:rsidR="00711296" w:rsidRPr="007B3551" w:rsidRDefault="00711296" w:rsidP="004831C9">
            <w:pPr>
              <w:bidi w:val="0"/>
              <w:rPr>
                <w:rFonts w:cs="Calibri"/>
                <w:color w:val="000000"/>
              </w:rPr>
            </w:pPr>
            <w:r>
              <w:rPr>
                <w:rFonts w:cs="Calibri"/>
                <w:color w:val="000000"/>
              </w:rPr>
              <w:t>1995 - 1999</w:t>
            </w:r>
          </w:p>
        </w:tc>
        <w:tc>
          <w:tcPr>
            <w:tcW w:w="7735" w:type="dxa"/>
            <w:shd w:val="clear" w:color="auto" w:fill="auto"/>
            <w:noWrap/>
            <w:vAlign w:val="bottom"/>
            <w:hideMark/>
          </w:tcPr>
          <w:p w14:paraId="31DC3BC6" w14:textId="77777777" w:rsidR="00711296" w:rsidRPr="007B3551" w:rsidRDefault="00711296" w:rsidP="004831C9">
            <w:pPr>
              <w:bidi w:val="0"/>
              <w:rPr>
                <w:rFonts w:cs="Calibri"/>
                <w:color w:val="000000"/>
              </w:rPr>
            </w:pPr>
            <w:r>
              <w:rPr>
                <w:rFonts w:cs="Calibri"/>
                <w:color w:val="000000"/>
              </w:rPr>
              <w:t>Palestinian Central Bureau of Statistics, Registered goods only, Foreign Trade Statistics</w:t>
            </w:r>
          </w:p>
        </w:tc>
      </w:tr>
      <w:tr w:rsidR="00711296" w:rsidRPr="007B3551" w14:paraId="0DC6407C" w14:textId="77777777" w:rsidTr="004831C9">
        <w:trPr>
          <w:trHeight w:val="300"/>
        </w:trPr>
        <w:tc>
          <w:tcPr>
            <w:tcW w:w="1580" w:type="dxa"/>
            <w:shd w:val="clear" w:color="auto" w:fill="auto"/>
            <w:noWrap/>
            <w:vAlign w:val="center"/>
            <w:hideMark/>
          </w:tcPr>
          <w:p w14:paraId="0A55AC71" w14:textId="77777777" w:rsidR="00711296" w:rsidRPr="007B3551" w:rsidRDefault="00711296" w:rsidP="004831C9">
            <w:pPr>
              <w:bidi w:val="0"/>
              <w:rPr>
                <w:rFonts w:cs="Calibri"/>
                <w:color w:val="000000"/>
              </w:rPr>
            </w:pPr>
            <w:r>
              <w:rPr>
                <w:rFonts w:cs="Calibri"/>
                <w:color w:val="000000"/>
              </w:rPr>
              <w:t>2000 - 2019</w:t>
            </w:r>
          </w:p>
        </w:tc>
        <w:tc>
          <w:tcPr>
            <w:tcW w:w="7735" w:type="dxa"/>
            <w:shd w:val="clear" w:color="auto" w:fill="auto"/>
            <w:noWrap/>
            <w:vAlign w:val="bottom"/>
            <w:hideMark/>
          </w:tcPr>
          <w:p w14:paraId="13C52918" w14:textId="77777777" w:rsidR="00711296" w:rsidRPr="007B3551" w:rsidRDefault="00711296" w:rsidP="004831C9">
            <w:pPr>
              <w:bidi w:val="0"/>
              <w:rPr>
                <w:rFonts w:cs="Calibri"/>
                <w:color w:val="000000"/>
              </w:rPr>
            </w:pPr>
            <w:r>
              <w:rPr>
                <w:rFonts w:cs="Calibri"/>
                <w:color w:val="000000"/>
              </w:rPr>
              <w:t>Palestinian Central Bureau of Statistics, foreign trade and balance of payments</w:t>
            </w:r>
          </w:p>
        </w:tc>
      </w:tr>
    </w:tbl>
    <w:p w14:paraId="09A48275" w14:textId="77777777" w:rsidR="00711296" w:rsidRPr="00422D3F" w:rsidRDefault="00711296" w:rsidP="00711296">
      <w:pPr>
        <w:pStyle w:val="ListParagraph"/>
        <w:autoSpaceDE w:val="0"/>
        <w:autoSpaceDN w:val="0"/>
        <w:bidi w:val="0"/>
        <w:adjustRightInd w:val="0"/>
        <w:spacing w:after="240" w:line="480" w:lineRule="auto"/>
        <w:ind w:left="360"/>
        <w:rPr>
          <w:b/>
          <w:bCs/>
        </w:rPr>
      </w:pPr>
    </w:p>
    <w:p w14:paraId="072D78D5" w14:textId="77777777" w:rsidR="00711296" w:rsidRDefault="00711296" w:rsidP="00711296">
      <w:pPr>
        <w:pStyle w:val="ListParagraph"/>
        <w:numPr>
          <w:ilvl w:val="0"/>
          <w:numId w:val="22"/>
        </w:numPr>
        <w:autoSpaceDE w:val="0"/>
        <w:autoSpaceDN w:val="0"/>
        <w:bidi w:val="0"/>
        <w:adjustRightInd w:val="0"/>
        <w:spacing w:line="480" w:lineRule="auto"/>
        <w:ind w:left="720"/>
        <w:rPr>
          <w:b/>
          <w:bCs/>
        </w:rPr>
      </w:pPr>
      <w:r w:rsidRPr="00135645">
        <w:rPr>
          <w:b/>
          <w:bCs/>
        </w:rPr>
        <w:t xml:space="preserve">Share of Gross clearance revenues </w:t>
      </w:r>
      <w:r>
        <w:rPr>
          <w:b/>
          <w:bCs/>
        </w:rPr>
        <w:t xml:space="preserve">out </w:t>
      </w:r>
      <w:r w:rsidRPr="00135645">
        <w:rPr>
          <w:b/>
          <w:bCs/>
        </w:rPr>
        <w:t xml:space="preserve">of Total PA net revenues and grants </w:t>
      </w:r>
      <w:r>
        <w:rPr>
          <w:b/>
          <w:bCs/>
        </w:rPr>
        <w:t>–</w:t>
      </w:r>
      <w:r w:rsidRPr="00135645">
        <w:rPr>
          <w:b/>
          <w:bCs/>
        </w:rPr>
        <w:t xml:space="preserve"> </w:t>
      </w:r>
    </w:p>
    <w:p w14:paraId="76812AF0" w14:textId="77777777" w:rsidR="00711296" w:rsidRDefault="00711296" w:rsidP="00711296">
      <w:pPr>
        <w:pStyle w:val="ListParagraph"/>
        <w:autoSpaceDE w:val="0"/>
        <w:autoSpaceDN w:val="0"/>
        <w:bidi w:val="0"/>
        <w:adjustRightInd w:val="0"/>
        <w:spacing w:line="480" w:lineRule="auto"/>
      </w:pPr>
      <w:r w:rsidRPr="0093017A">
        <w:t>Measures the value of clearance revenues collected by Israel and transferred to the PA out of total PA net revenues and grants</w:t>
      </w:r>
      <w:r>
        <w:t>.</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7D718947" w14:textId="77777777" w:rsidTr="004831C9">
        <w:trPr>
          <w:trHeight w:val="385"/>
        </w:trPr>
        <w:tc>
          <w:tcPr>
            <w:tcW w:w="8409" w:type="dxa"/>
            <w:gridSpan w:val="2"/>
            <w:shd w:val="clear" w:color="auto" w:fill="auto"/>
            <w:noWrap/>
            <w:vAlign w:val="center"/>
          </w:tcPr>
          <w:p w14:paraId="545935CB"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66ED1392" w14:textId="77777777" w:rsidTr="004831C9">
        <w:trPr>
          <w:trHeight w:val="1200"/>
        </w:trPr>
        <w:tc>
          <w:tcPr>
            <w:tcW w:w="1580" w:type="dxa"/>
            <w:shd w:val="clear" w:color="auto" w:fill="auto"/>
            <w:noWrap/>
            <w:vAlign w:val="center"/>
            <w:hideMark/>
          </w:tcPr>
          <w:p w14:paraId="07AC7583" w14:textId="77777777" w:rsidR="00711296" w:rsidRPr="003C3F18" w:rsidRDefault="00711296" w:rsidP="004831C9">
            <w:pPr>
              <w:bidi w:val="0"/>
              <w:rPr>
                <w:rFonts w:cs="Calibri"/>
                <w:color w:val="000000"/>
              </w:rPr>
            </w:pPr>
            <w:r w:rsidRPr="003C3F18">
              <w:rPr>
                <w:rFonts w:cs="Calibri"/>
                <w:color w:val="000000"/>
              </w:rPr>
              <w:t>1998-2019</w:t>
            </w:r>
          </w:p>
        </w:tc>
        <w:tc>
          <w:tcPr>
            <w:tcW w:w="6829" w:type="dxa"/>
            <w:shd w:val="clear" w:color="auto" w:fill="auto"/>
            <w:noWrap/>
            <w:vAlign w:val="center"/>
            <w:hideMark/>
          </w:tcPr>
          <w:p w14:paraId="7E24DADC" w14:textId="77777777" w:rsidR="00711296" w:rsidRPr="003C3F18" w:rsidRDefault="00711296" w:rsidP="004831C9">
            <w:pPr>
              <w:bidi w:val="0"/>
              <w:rPr>
                <w:rFonts w:cs="Calibri"/>
                <w:color w:val="000000"/>
              </w:rPr>
            </w:pPr>
            <w:r w:rsidRPr="003C3F18">
              <w:rPr>
                <w:rFonts w:cs="Calibri"/>
                <w:color w:val="000000"/>
              </w:rPr>
              <w:t>Palestine Monetary Authority, Annual Statistics, Time Series Data,</w:t>
            </w:r>
            <w:r>
              <w:rPr>
                <w:rFonts w:cs="Calibri"/>
                <w:color w:val="000000"/>
              </w:rPr>
              <w:t xml:space="preserve"> </w:t>
            </w:r>
            <w:r w:rsidRPr="003C3F18">
              <w:rPr>
                <w:rFonts w:cs="Calibri"/>
                <w:color w:val="000000"/>
              </w:rPr>
              <w:t>Public Finance, Revenues, expenditures and financing sources of PNA fiscal operations (cash basis)</w:t>
            </w:r>
          </w:p>
        </w:tc>
      </w:tr>
    </w:tbl>
    <w:p w14:paraId="3014A660"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135645">
        <w:rPr>
          <w:b/>
          <w:bCs/>
        </w:rPr>
        <w:t>Palestinians employed in Israel out of total Palestinian</w:t>
      </w:r>
      <w:r>
        <w:rPr>
          <w:b/>
          <w:bCs/>
        </w:rPr>
        <w:t xml:space="preserve"> </w:t>
      </w:r>
      <w:r w:rsidRPr="00135645">
        <w:rPr>
          <w:b/>
          <w:bCs/>
        </w:rPr>
        <w:t xml:space="preserve">employed Individuals </w:t>
      </w:r>
      <w:r>
        <w:rPr>
          <w:b/>
          <w:bCs/>
        </w:rPr>
        <w:t>–</w:t>
      </w:r>
      <w:r w:rsidRPr="00135645">
        <w:rPr>
          <w:b/>
          <w:bCs/>
        </w:rPr>
        <w:t xml:space="preserve"> </w:t>
      </w:r>
    </w:p>
    <w:p w14:paraId="233F7EA7" w14:textId="77777777" w:rsidR="00711296" w:rsidRPr="00BF0BD8" w:rsidRDefault="00711296" w:rsidP="00711296">
      <w:pPr>
        <w:pStyle w:val="ListParagraph"/>
        <w:autoSpaceDE w:val="0"/>
        <w:autoSpaceDN w:val="0"/>
        <w:bidi w:val="0"/>
        <w:adjustRightInd w:val="0"/>
        <w:spacing w:line="480" w:lineRule="auto"/>
      </w:pPr>
      <w:r w:rsidRPr="00BF0BD8">
        <w:t>Measures the number pf Palestinians employed in Israel and the settlements out of total Palestinian employed Individuals.</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735"/>
      </w:tblGrid>
      <w:tr w:rsidR="00711296" w:rsidRPr="007B3551" w14:paraId="2361F92A" w14:textId="77777777" w:rsidTr="004831C9">
        <w:trPr>
          <w:trHeight w:val="300"/>
        </w:trPr>
        <w:tc>
          <w:tcPr>
            <w:tcW w:w="9315" w:type="dxa"/>
            <w:gridSpan w:val="2"/>
            <w:shd w:val="clear" w:color="auto" w:fill="auto"/>
            <w:noWrap/>
            <w:vAlign w:val="bottom"/>
          </w:tcPr>
          <w:p w14:paraId="55EA94F9" w14:textId="77777777" w:rsidR="00711296" w:rsidRPr="00A00835" w:rsidRDefault="00711296" w:rsidP="004831C9">
            <w:pPr>
              <w:bidi w:val="0"/>
              <w:rPr>
                <w:rFonts w:cs="Calibri"/>
                <w:color w:val="000000"/>
              </w:rPr>
            </w:pPr>
            <w:r>
              <w:rPr>
                <w:rFonts w:cs="Calibri"/>
                <w:color w:val="000000"/>
              </w:rPr>
              <w:t>Data source</w:t>
            </w:r>
          </w:p>
        </w:tc>
      </w:tr>
      <w:tr w:rsidR="00711296" w:rsidRPr="007B3551" w14:paraId="601FB07C" w14:textId="77777777" w:rsidTr="004831C9">
        <w:trPr>
          <w:trHeight w:val="300"/>
        </w:trPr>
        <w:tc>
          <w:tcPr>
            <w:tcW w:w="1580" w:type="dxa"/>
            <w:shd w:val="clear" w:color="auto" w:fill="auto"/>
            <w:noWrap/>
            <w:vAlign w:val="center"/>
            <w:hideMark/>
          </w:tcPr>
          <w:p w14:paraId="00A07888" w14:textId="77777777" w:rsidR="00711296" w:rsidRPr="007B3551" w:rsidRDefault="00711296" w:rsidP="004831C9">
            <w:pPr>
              <w:bidi w:val="0"/>
              <w:rPr>
                <w:rFonts w:cs="Calibri"/>
                <w:color w:val="000000"/>
              </w:rPr>
            </w:pPr>
            <w:r>
              <w:rPr>
                <w:rFonts w:cs="Calibri"/>
                <w:color w:val="000000"/>
              </w:rPr>
              <w:t>1968, 1969 ,1994</w:t>
            </w:r>
          </w:p>
        </w:tc>
        <w:tc>
          <w:tcPr>
            <w:tcW w:w="7735" w:type="dxa"/>
            <w:shd w:val="clear" w:color="auto" w:fill="auto"/>
            <w:noWrap/>
            <w:vAlign w:val="center"/>
            <w:hideMark/>
          </w:tcPr>
          <w:p w14:paraId="273CBCB2" w14:textId="77777777" w:rsidR="00711296" w:rsidRPr="007B3551" w:rsidRDefault="00711296" w:rsidP="004831C9">
            <w:pPr>
              <w:bidi w:val="0"/>
              <w:rPr>
                <w:rFonts w:cs="Calibri"/>
                <w:color w:val="000000"/>
              </w:rPr>
            </w:pPr>
            <w:r>
              <w:rPr>
                <w:rFonts w:cs="Calibri"/>
                <w:color w:val="000000"/>
              </w:rPr>
              <w:t>Missing data - supplemented by the average of the years before and after</w:t>
            </w:r>
          </w:p>
        </w:tc>
      </w:tr>
      <w:tr w:rsidR="00711296" w:rsidRPr="007B3551" w14:paraId="6574F258" w14:textId="77777777" w:rsidTr="004831C9">
        <w:trPr>
          <w:trHeight w:val="300"/>
        </w:trPr>
        <w:tc>
          <w:tcPr>
            <w:tcW w:w="1580" w:type="dxa"/>
            <w:shd w:val="clear" w:color="auto" w:fill="auto"/>
            <w:noWrap/>
            <w:vAlign w:val="center"/>
            <w:hideMark/>
          </w:tcPr>
          <w:p w14:paraId="3AC276C0" w14:textId="77777777" w:rsidR="00711296" w:rsidRPr="007B3551" w:rsidRDefault="00711296" w:rsidP="004831C9">
            <w:pPr>
              <w:bidi w:val="0"/>
              <w:rPr>
                <w:rFonts w:cs="Calibri"/>
                <w:color w:val="000000"/>
              </w:rPr>
            </w:pPr>
            <w:r>
              <w:rPr>
                <w:rFonts w:cs="Calibri"/>
                <w:color w:val="000000"/>
              </w:rPr>
              <w:t>1970 - 1993</w:t>
            </w:r>
          </w:p>
        </w:tc>
        <w:tc>
          <w:tcPr>
            <w:tcW w:w="7735" w:type="dxa"/>
            <w:shd w:val="clear" w:color="auto" w:fill="auto"/>
            <w:noWrap/>
            <w:vAlign w:val="center"/>
            <w:hideMark/>
          </w:tcPr>
          <w:p w14:paraId="515282E8" w14:textId="77777777" w:rsidR="00711296" w:rsidRPr="007B3551" w:rsidRDefault="00711296" w:rsidP="004831C9">
            <w:pPr>
              <w:bidi w:val="0"/>
              <w:rPr>
                <w:rFonts w:cs="Calibri"/>
                <w:color w:val="000000"/>
              </w:rPr>
            </w:pPr>
            <w:r>
              <w:rPr>
                <w:rFonts w:cs="Calibri"/>
                <w:color w:val="000000"/>
              </w:rPr>
              <w:t xml:space="preserve">National Accounts of Judea, Samaria and the Gaza area, 1968-1993, Publication No. 1012, Israeli Central Bureau of Statistics </w:t>
            </w:r>
          </w:p>
        </w:tc>
      </w:tr>
      <w:tr w:rsidR="00711296" w:rsidRPr="007B3551" w14:paraId="3230532D" w14:textId="77777777" w:rsidTr="004831C9">
        <w:trPr>
          <w:trHeight w:val="300"/>
        </w:trPr>
        <w:tc>
          <w:tcPr>
            <w:tcW w:w="1580" w:type="dxa"/>
            <w:shd w:val="clear" w:color="auto" w:fill="auto"/>
            <w:noWrap/>
            <w:vAlign w:val="center"/>
            <w:hideMark/>
          </w:tcPr>
          <w:p w14:paraId="528201AB" w14:textId="77777777" w:rsidR="00711296" w:rsidRPr="007B3551" w:rsidRDefault="00711296" w:rsidP="004831C9">
            <w:pPr>
              <w:bidi w:val="0"/>
              <w:rPr>
                <w:rFonts w:cs="Calibri"/>
                <w:color w:val="000000"/>
              </w:rPr>
            </w:pPr>
            <w:r>
              <w:rPr>
                <w:rFonts w:cs="Calibri"/>
                <w:color w:val="000000"/>
              </w:rPr>
              <w:t>1995 - 2019</w:t>
            </w:r>
          </w:p>
        </w:tc>
        <w:tc>
          <w:tcPr>
            <w:tcW w:w="7735" w:type="dxa"/>
            <w:shd w:val="clear" w:color="auto" w:fill="auto"/>
            <w:noWrap/>
            <w:vAlign w:val="center"/>
            <w:hideMark/>
          </w:tcPr>
          <w:p w14:paraId="6086E5F2" w14:textId="77777777" w:rsidR="00711296" w:rsidRPr="007B3551" w:rsidRDefault="00711296" w:rsidP="004831C9">
            <w:pPr>
              <w:bidi w:val="0"/>
              <w:rPr>
                <w:rFonts w:cs="Calibri"/>
                <w:color w:val="000000"/>
              </w:rPr>
            </w:pPr>
            <w:r>
              <w:rPr>
                <w:rFonts w:cs="Calibri"/>
                <w:color w:val="000000"/>
              </w:rPr>
              <w:t>Palestinian Central Bureau of Statistics, </w:t>
            </w:r>
            <w:r>
              <w:rPr>
                <w:i/>
                <w:iCs/>
                <w:color w:val="000000"/>
                <w:sz w:val="20"/>
                <w:szCs w:val="20"/>
              </w:rPr>
              <w:t>Labor Force Survey</w:t>
            </w:r>
          </w:p>
        </w:tc>
      </w:tr>
    </w:tbl>
    <w:p w14:paraId="02F3AC29" w14:textId="77777777" w:rsidR="00711296" w:rsidRPr="00064DC6" w:rsidRDefault="00711296" w:rsidP="00711296">
      <w:pPr>
        <w:pStyle w:val="ListParagraph"/>
        <w:autoSpaceDE w:val="0"/>
        <w:autoSpaceDN w:val="0"/>
        <w:bidi w:val="0"/>
        <w:adjustRightInd w:val="0"/>
        <w:spacing w:after="240" w:line="480" w:lineRule="auto"/>
        <w:ind w:left="360"/>
      </w:pPr>
    </w:p>
    <w:p w14:paraId="592046F5"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135645">
        <w:rPr>
          <w:b/>
          <w:bCs/>
        </w:rPr>
        <w:t xml:space="preserve">Remittances of Palestinians workers in Israel out of WBG GNI </w:t>
      </w:r>
      <w:r>
        <w:rPr>
          <w:b/>
          <w:bCs/>
        </w:rPr>
        <w:t>–</w:t>
      </w:r>
    </w:p>
    <w:p w14:paraId="464F0956" w14:textId="77777777" w:rsidR="00711296" w:rsidRDefault="00711296" w:rsidP="00711296">
      <w:pPr>
        <w:pStyle w:val="ListParagraph"/>
        <w:autoSpaceDE w:val="0"/>
        <w:autoSpaceDN w:val="0"/>
        <w:bidi w:val="0"/>
        <w:adjustRightInd w:val="0"/>
        <w:spacing w:line="480" w:lineRule="auto"/>
      </w:pPr>
      <w:r w:rsidRPr="00F83A2E">
        <w:t>Measures the value of Palestinians workers’ salaries in Israel and the settlements out of total WBG gross national income</w:t>
      </w:r>
      <w:r>
        <w:t>.</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735"/>
      </w:tblGrid>
      <w:tr w:rsidR="00711296" w:rsidRPr="007B3551" w14:paraId="091C7D76" w14:textId="77777777" w:rsidTr="004831C9">
        <w:trPr>
          <w:trHeight w:val="300"/>
        </w:trPr>
        <w:tc>
          <w:tcPr>
            <w:tcW w:w="9315" w:type="dxa"/>
            <w:gridSpan w:val="2"/>
            <w:shd w:val="clear" w:color="auto" w:fill="auto"/>
            <w:noWrap/>
            <w:vAlign w:val="bottom"/>
          </w:tcPr>
          <w:p w14:paraId="6125FB09" w14:textId="77777777" w:rsidR="00711296" w:rsidRDefault="00711296" w:rsidP="004831C9">
            <w:pPr>
              <w:bidi w:val="0"/>
              <w:rPr>
                <w:rFonts w:cs="Calibri"/>
                <w:color w:val="000000"/>
              </w:rPr>
            </w:pPr>
            <w:r>
              <w:rPr>
                <w:rFonts w:cs="Calibri"/>
                <w:color w:val="000000"/>
              </w:rPr>
              <w:t>Data source</w:t>
            </w:r>
          </w:p>
        </w:tc>
      </w:tr>
      <w:tr w:rsidR="00711296" w:rsidRPr="007B3551" w14:paraId="11436029" w14:textId="77777777" w:rsidTr="004831C9">
        <w:trPr>
          <w:trHeight w:val="300"/>
        </w:trPr>
        <w:tc>
          <w:tcPr>
            <w:tcW w:w="1580" w:type="dxa"/>
            <w:shd w:val="clear" w:color="auto" w:fill="auto"/>
            <w:noWrap/>
            <w:vAlign w:val="center"/>
            <w:hideMark/>
          </w:tcPr>
          <w:p w14:paraId="2505CEA4" w14:textId="77777777" w:rsidR="00711296" w:rsidRPr="007B3551" w:rsidRDefault="00711296" w:rsidP="004831C9">
            <w:pPr>
              <w:bidi w:val="0"/>
              <w:rPr>
                <w:rFonts w:cs="Calibri"/>
                <w:color w:val="000000"/>
              </w:rPr>
            </w:pPr>
            <w:r>
              <w:rPr>
                <w:rFonts w:cs="Calibri"/>
                <w:color w:val="000000"/>
              </w:rPr>
              <w:t>1968-1994</w:t>
            </w:r>
          </w:p>
        </w:tc>
        <w:tc>
          <w:tcPr>
            <w:tcW w:w="7735" w:type="dxa"/>
            <w:shd w:val="clear" w:color="auto" w:fill="auto"/>
            <w:noWrap/>
            <w:vAlign w:val="center"/>
            <w:hideMark/>
          </w:tcPr>
          <w:p w14:paraId="6AD53AF3" w14:textId="77777777" w:rsidR="00711296" w:rsidRPr="007B3551" w:rsidRDefault="00711296" w:rsidP="004831C9">
            <w:pPr>
              <w:bidi w:val="0"/>
              <w:rPr>
                <w:rFonts w:cs="Calibri"/>
                <w:color w:val="000000"/>
              </w:rPr>
            </w:pPr>
            <w:r>
              <w:rPr>
                <w:rFonts w:cs="Calibri"/>
                <w:color w:val="000000"/>
              </w:rPr>
              <w:t xml:space="preserve">Sharbel Shoukair (2013), The Impact of Foreign Aid and Donations to Palestine on Development of its Economy under Alternative Israeli- Palestinian Economic Interaction Regimes, Salaries of residents from abroad and net income from abroad </w:t>
            </w:r>
          </w:p>
        </w:tc>
      </w:tr>
      <w:tr w:rsidR="00711296" w:rsidRPr="007B3551" w14:paraId="52B7BF3F" w14:textId="77777777" w:rsidTr="004831C9">
        <w:trPr>
          <w:trHeight w:val="300"/>
        </w:trPr>
        <w:tc>
          <w:tcPr>
            <w:tcW w:w="1580" w:type="dxa"/>
            <w:shd w:val="clear" w:color="auto" w:fill="auto"/>
            <w:noWrap/>
            <w:vAlign w:val="center"/>
            <w:hideMark/>
          </w:tcPr>
          <w:p w14:paraId="60CCBD50" w14:textId="77777777" w:rsidR="00711296" w:rsidRPr="007B3551" w:rsidRDefault="00711296" w:rsidP="004831C9">
            <w:pPr>
              <w:bidi w:val="0"/>
              <w:rPr>
                <w:rFonts w:cs="Calibri"/>
                <w:color w:val="000000"/>
              </w:rPr>
            </w:pPr>
            <w:r>
              <w:rPr>
                <w:rFonts w:cs="Calibri"/>
                <w:color w:val="000000"/>
              </w:rPr>
              <w:t>1995 -2019</w:t>
            </w:r>
          </w:p>
        </w:tc>
        <w:tc>
          <w:tcPr>
            <w:tcW w:w="7735" w:type="dxa"/>
            <w:shd w:val="clear" w:color="auto" w:fill="auto"/>
            <w:noWrap/>
            <w:vAlign w:val="center"/>
            <w:hideMark/>
          </w:tcPr>
          <w:p w14:paraId="29879DA6" w14:textId="77777777" w:rsidR="00711296" w:rsidRPr="007B3551" w:rsidRDefault="00711296" w:rsidP="004831C9">
            <w:pPr>
              <w:bidi w:val="0"/>
              <w:rPr>
                <w:rFonts w:cs="Calibri"/>
                <w:color w:val="000000"/>
              </w:rPr>
            </w:pPr>
            <w:r>
              <w:rPr>
                <w:rFonts w:cs="Calibri"/>
                <w:color w:val="000000"/>
              </w:rPr>
              <w:t>Palestinian Central Bureau of Statistics, National accounts and Balance of Payments, Fifth Edition. Compensation of employees from balance of payment out of GNI in current prices</w:t>
            </w:r>
          </w:p>
        </w:tc>
      </w:tr>
    </w:tbl>
    <w:p w14:paraId="6E30BAD6" w14:textId="77777777" w:rsidR="00711296" w:rsidRDefault="00711296" w:rsidP="00711296">
      <w:pPr>
        <w:pStyle w:val="ListParagraph"/>
        <w:autoSpaceDE w:val="0"/>
        <w:autoSpaceDN w:val="0"/>
        <w:bidi w:val="0"/>
        <w:adjustRightInd w:val="0"/>
        <w:spacing w:after="240" w:line="480" w:lineRule="auto"/>
        <w:ind w:left="360"/>
        <w:jc w:val="center"/>
        <w:rPr>
          <w:b/>
          <w:bCs/>
        </w:rPr>
      </w:pPr>
    </w:p>
    <w:p w14:paraId="5E7C939C" w14:textId="77777777" w:rsidR="00711296" w:rsidRPr="001D40DD" w:rsidRDefault="00711296" w:rsidP="00711296">
      <w:pPr>
        <w:pStyle w:val="ListParagraph"/>
        <w:autoSpaceDE w:val="0"/>
        <w:autoSpaceDN w:val="0"/>
        <w:bidi w:val="0"/>
        <w:adjustRightInd w:val="0"/>
        <w:spacing w:after="240" w:line="480" w:lineRule="auto"/>
        <w:ind w:left="360"/>
        <w:jc w:val="center"/>
        <w:rPr>
          <w:b/>
          <w:bCs/>
        </w:rPr>
      </w:pPr>
      <w:r>
        <w:rPr>
          <w:b/>
          <w:bCs/>
        </w:rPr>
        <w:t xml:space="preserve">Figure </w:t>
      </w:r>
      <w:r w:rsidRPr="00F0741A">
        <w:rPr>
          <w:b/>
          <w:bCs/>
          <w:shd w:val="clear" w:color="auto" w:fill="FFFF00"/>
        </w:rPr>
        <w:t>XX</w:t>
      </w:r>
      <w:r>
        <w:rPr>
          <w:b/>
          <w:bCs/>
        </w:rPr>
        <w:t xml:space="preserve"> - </w:t>
      </w:r>
      <w:r w:rsidRPr="001D40DD">
        <w:rPr>
          <w:b/>
          <w:bCs/>
        </w:rPr>
        <w:t>Trade, Employment and Taxes</w:t>
      </w:r>
    </w:p>
    <w:p w14:paraId="6C37A8DA" w14:textId="77777777" w:rsidR="00711296" w:rsidRDefault="00711296" w:rsidP="00711296">
      <w:pPr>
        <w:pStyle w:val="ListParagraph"/>
        <w:autoSpaceDE w:val="0"/>
        <w:autoSpaceDN w:val="0"/>
        <w:bidi w:val="0"/>
        <w:adjustRightInd w:val="0"/>
        <w:spacing w:after="240" w:line="480" w:lineRule="auto"/>
        <w:ind w:left="360"/>
        <w:jc w:val="center"/>
        <w:rPr>
          <w:rFonts w:asciiTheme="majorBidi" w:hAnsiTheme="majorBidi" w:cstheme="majorBidi"/>
          <w:b/>
          <w:bCs/>
          <w:sz w:val="24"/>
          <w:szCs w:val="24"/>
          <w:rtl/>
        </w:rPr>
      </w:pPr>
      <w:r>
        <w:rPr>
          <w:noProof/>
        </w:rPr>
        <w:drawing>
          <wp:inline distT="0" distB="0" distL="0" distR="0" wp14:anchorId="5F99913C" wp14:editId="21659DE4">
            <wp:extent cx="5292000" cy="3060000"/>
            <wp:effectExtent l="0" t="0" r="4445" b="7620"/>
            <wp:docPr id="44" name="Chart 44">
              <a:extLst xmlns:a="http://schemas.openxmlformats.org/drawingml/2006/main">
                <a:ext uri="{FF2B5EF4-FFF2-40B4-BE49-F238E27FC236}">
                  <a16:creationId xmlns:a16="http://schemas.microsoft.com/office/drawing/2014/main" id="{4F9867DD-86AE-4EC5-8903-32AD57E8B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E55A397" w14:textId="77777777" w:rsidR="00711296" w:rsidRDefault="00711296" w:rsidP="00711296">
      <w:pPr>
        <w:pStyle w:val="ListParagraph"/>
        <w:autoSpaceDE w:val="0"/>
        <w:autoSpaceDN w:val="0"/>
        <w:bidi w:val="0"/>
        <w:adjustRightInd w:val="0"/>
        <w:spacing w:line="360" w:lineRule="auto"/>
        <w:ind w:left="360"/>
        <w:rPr>
          <w:rFonts w:asciiTheme="majorBidi" w:hAnsiTheme="majorBidi" w:cstheme="majorBidi"/>
          <w:b/>
          <w:bCs/>
          <w:sz w:val="24"/>
          <w:szCs w:val="24"/>
        </w:rPr>
      </w:pPr>
    </w:p>
    <w:p w14:paraId="26719D04" w14:textId="77777777" w:rsidR="00711296" w:rsidRDefault="00711296" w:rsidP="00711296">
      <w:pPr>
        <w:pStyle w:val="ListParagraph"/>
        <w:autoSpaceDE w:val="0"/>
        <w:autoSpaceDN w:val="0"/>
        <w:bidi w:val="0"/>
        <w:adjustRightInd w:val="0"/>
        <w:spacing w:line="360" w:lineRule="auto"/>
        <w:ind w:left="360"/>
        <w:jc w:val="center"/>
        <w:rPr>
          <w:rFonts w:asciiTheme="majorBidi" w:hAnsiTheme="majorBidi" w:cstheme="majorBidi"/>
          <w:b/>
          <w:bCs/>
          <w:sz w:val="24"/>
          <w:szCs w:val="24"/>
        </w:rPr>
      </w:pPr>
      <w:r>
        <w:rPr>
          <w:rFonts w:asciiTheme="majorBidi" w:hAnsiTheme="majorBidi" w:cstheme="majorBidi"/>
          <w:b/>
          <w:bCs/>
          <w:sz w:val="24"/>
          <w:szCs w:val="24"/>
        </w:rPr>
        <w:t xml:space="preserve">Table </w:t>
      </w:r>
      <w:r w:rsidRPr="00F0741A">
        <w:rPr>
          <w:rFonts w:asciiTheme="majorBidi" w:hAnsiTheme="majorBidi" w:cstheme="majorBidi"/>
          <w:b/>
          <w:bCs/>
          <w:sz w:val="24"/>
          <w:szCs w:val="24"/>
          <w:shd w:val="clear" w:color="auto" w:fill="FFFF00"/>
        </w:rPr>
        <w:t>XX</w:t>
      </w:r>
      <w:r>
        <w:rPr>
          <w:rFonts w:asciiTheme="majorBidi" w:hAnsiTheme="majorBidi" w:cstheme="majorBidi"/>
          <w:b/>
          <w:bCs/>
          <w:sz w:val="24"/>
          <w:szCs w:val="24"/>
        </w:rPr>
        <w:t xml:space="preserve"> – </w:t>
      </w:r>
      <w:r>
        <w:rPr>
          <w:rFonts w:asciiTheme="majorBidi" w:hAnsiTheme="majorBidi" w:cstheme="majorBidi" w:hint="cs"/>
          <w:b/>
          <w:bCs/>
          <w:sz w:val="24"/>
          <w:szCs w:val="24"/>
        </w:rPr>
        <w:t>R</w:t>
      </w:r>
      <w:r>
        <w:rPr>
          <w:rFonts w:asciiTheme="majorBidi" w:hAnsiTheme="majorBidi" w:cstheme="majorBidi"/>
          <w:b/>
          <w:bCs/>
          <w:sz w:val="24"/>
          <w:szCs w:val="24"/>
        </w:rPr>
        <w:t xml:space="preserve">aw data - </w:t>
      </w:r>
      <w:r w:rsidRPr="001D40DD">
        <w:rPr>
          <w:b/>
          <w:bCs/>
        </w:rPr>
        <w:t>Trade, Employment and Taxes</w:t>
      </w:r>
    </w:p>
    <w:p w14:paraId="6FA16F07" w14:textId="77777777" w:rsidR="00711296" w:rsidRDefault="00711296" w:rsidP="00711296">
      <w:pPr>
        <w:pStyle w:val="ListParagraph"/>
        <w:autoSpaceDE w:val="0"/>
        <w:autoSpaceDN w:val="0"/>
        <w:bidi w:val="0"/>
        <w:adjustRightInd w:val="0"/>
        <w:spacing w:line="360" w:lineRule="auto"/>
        <w:ind w:left="360"/>
        <w:rPr>
          <w:rFonts w:asciiTheme="majorBidi" w:hAnsiTheme="majorBidi" w:cstheme="majorBidi"/>
          <w:b/>
          <w:bCs/>
          <w:sz w:val="24"/>
          <w:szCs w:val="24"/>
        </w:rPr>
      </w:pP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866"/>
        <w:gridCol w:w="1485"/>
        <w:gridCol w:w="1407"/>
        <w:gridCol w:w="1435"/>
        <w:gridCol w:w="1490"/>
      </w:tblGrid>
      <w:tr w:rsidR="00711296" w:rsidRPr="00672DA8" w14:paraId="629A3813" w14:textId="77777777" w:rsidTr="004831C9">
        <w:trPr>
          <w:trHeight w:val="1692"/>
        </w:trPr>
        <w:tc>
          <w:tcPr>
            <w:tcW w:w="722" w:type="dxa"/>
            <w:shd w:val="clear" w:color="auto" w:fill="auto"/>
          </w:tcPr>
          <w:p w14:paraId="1F2D51D0" w14:textId="77777777" w:rsidR="00711296" w:rsidRPr="00741E8E" w:rsidRDefault="00711296" w:rsidP="004831C9">
            <w:pPr>
              <w:bidi w:val="0"/>
              <w:jc w:val="center"/>
              <w:rPr>
                <w:rFonts w:cs="Calibri"/>
                <w:b/>
                <w:bCs/>
                <w:color w:val="000000"/>
                <w:sz w:val="18"/>
                <w:szCs w:val="18"/>
              </w:rPr>
            </w:pPr>
            <w:r w:rsidRPr="00672DA8">
              <w:rPr>
                <w:rFonts w:cs="Calibri"/>
                <w:b/>
                <w:bCs/>
                <w:color w:val="000000"/>
                <w:sz w:val="18"/>
                <w:szCs w:val="18"/>
              </w:rPr>
              <w:t>Year</w:t>
            </w:r>
          </w:p>
        </w:tc>
        <w:tc>
          <w:tcPr>
            <w:tcW w:w="1866" w:type="dxa"/>
            <w:shd w:val="clear" w:color="auto" w:fill="auto"/>
            <w:hideMark/>
          </w:tcPr>
          <w:p w14:paraId="28A84C31" w14:textId="77777777" w:rsidR="00711296" w:rsidRPr="00741E8E" w:rsidRDefault="00711296" w:rsidP="004831C9">
            <w:pPr>
              <w:bidi w:val="0"/>
              <w:rPr>
                <w:rFonts w:cs="Calibri"/>
                <w:b/>
                <w:bCs/>
                <w:color w:val="000000"/>
                <w:sz w:val="18"/>
                <w:szCs w:val="18"/>
              </w:rPr>
            </w:pPr>
            <w:r w:rsidRPr="00741E8E">
              <w:rPr>
                <w:rFonts w:cs="Calibri"/>
                <w:b/>
                <w:bCs/>
                <w:color w:val="000000"/>
                <w:sz w:val="18"/>
                <w:szCs w:val="18"/>
              </w:rPr>
              <w:t>Palestinian exports of goods and services to Israel out of total Palestinian exports</w:t>
            </w:r>
          </w:p>
        </w:tc>
        <w:tc>
          <w:tcPr>
            <w:tcW w:w="1485" w:type="dxa"/>
            <w:shd w:val="clear" w:color="auto" w:fill="auto"/>
            <w:hideMark/>
          </w:tcPr>
          <w:p w14:paraId="5B7FAD0B" w14:textId="77777777" w:rsidR="00711296" w:rsidRPr="00741E8E" w:rsidRDefault="00711296" w:rsidP="004831C9">
            <w:pPr>
              <w:bidi w:val="0"/>
              <w:rPr>
                <w:rFonts w:cs="Calibri"/>
                <w:b/>
                <w:bCs/>
                <w:color w:val="000000"/>
                <w:sz w:val="18"/>
                <w:szCs w:val="18"/>
              </w:rPr>
            </w:pPr>
            <w:r w:rsidRPr="00741E8E">
              <w:rPr>
                <w:rFonts w:cs="Calibri"/>
                <w:b/>
                <w:bCs/>
                <w:color w:val="000000"/>
                <w:sz w:val="18"/>
                <w:szCs w:val="18"/>
              </w:rPr>
              <w:t>Palestinian imports of goods and services from Israel out of total Palestinian imports</w:t>
            </w:r>
          </w:p>
        </w:tc>
        <w:tc>
          <w:tcPr>
            <w:tcW w:w="1407" w:type="dxa"/>
            <w:shd w:val="clear" w:color="auto" w:fill="auto"/>
            <w:hideMark/>
          </w:tcPr>
          <w:p w14:paraId="4C1E7682" w14:textId="77777777" w:rsidR="00711296" w:rsidRPr="00741E8E" w:rsidRDefault="00711296" w:rsidP="004831C9">
            <w:pPr>
              <w:bidi w:val="0"/>
              <w:rPr>
                <w:rFonts w:cs="Calibri"/>
                <w:b/>
                <w:bCs/>
                <w:color w:val="000000"/>
                <w:sz w:val="18"/>
                <w:szCs w:val="18"/>
              </w:rPr>
            </w:pPr>
            <w:r w:rsidRPr="00741E8E">
              <w:rPr>
                <w:rFonts w:cs="Calibri"/>
                <w:b/>
                <w:bCs/>
                <w:color w:val="000000"/>
                <w:sz w:val="18"/>
                <w:szCs w:val="18"/>
              </w:rPr>
              <w:t>Share of Gross clearance revenues out of Total PA net revenues and grants</w:t>
            </w:r>
          </w:p>
        </w:tc>
        <w:tc>
          <w:tcPr>
            <w:tcW w:w="1435" w:type="dxa"/>
            <w:shd w:val="clear" w:color="auto" w:fill="auto"/>
            <w:hideMark/>
          </w:tcPr>
          <w:p w14:paraId="47B52833" w14:textId="77777777" w:rsidR="00711296" w:rsidRPr="00741E8E" w:rsidRDefault="00711296" w:rsidP="004831C9">
            <w:pPr>
              <w:bidi w:val="0"/>
              <w:rPr>
                <w:rFonts w:cs="Calibri"/>
                <w:b/>
                <w:bCs/>
                <w:color w:val="000000"/>
                <w:sz w:val="18"/>
                <w:szCs w:val="18"/>
              </w:rPr>
            </w:pPr>
            <w:r w:rsidRPr="00741E8E">
              <w:rPr>
                <w:rFonts w:cs="Calibri"/>
                <w:b/>
                <w:bCs/>
                <w:color w:val="000000"/>
                <w:sz w:val="18"/>
                <w:szCs w:val="18"/>
              </w:rPr>
              <w:t>Palestinians employed in Israel out of total Palestinian employed Individuals</w:t>
            </w:r>
          </w:p>
        </w:tc>
        <w:tc>
          <w:tcPr>
            <w:tcW w:w="1490" w:type="dxa"/>
            <w:shd w:val="clear" w:color="auto" w:fill="auto"/>
            <w:hideMark/>
          </w:tcPr>
          <w:p w14:paraId="0BD4179A" w14:textId="77777777" w:rsidR="00711296" w:rsidRPr="00741E8E" w:rsidRDefault="00711296" w:rsidP="004831C9">
            <w:pPr>
              <w:bidi w:val="0"/>
              <w:rPr>
                <w:rFonts w:cs="Calibri"/>
                <w:b/>
                <w:bCs/>
                <w:color w:val="000000"/>
                <w:sz w:val="18"/>
                <w:szCs w:val="18"/>
              </w:rPr>
            </w:pPr>
            <w:r w:rsidRPr="00741E8E">
              <w:rPr>
                <w:rFonts w:cs="Calibri"/>
                <w:b/>
                <w:bCs/>
                <w:color w:val="000000"/>
                <w:sz w:val="18"/>
                <w:szCs w:val="18"/>
              </w:rPr>
              <w:t>Remittances of Palestinians workers in Israel out of WBG GNI</w:t>
            </w:r>
          </w:p>
        </w:tc>
      </w:tr>
      <w:tr w:rsidR="00711296" w:rsidRPr="00672DA8" w14:paraId="3FE68B0B" w14:textId="77777777" w:rsidTr="004831C9">
        <w:trPr>
          <w:trHeight w:val="300"/>
        </w:trPr>
        <w:tc>
          <w:tcPr>
            <w:tcW w:w="722" w:type="dxa"/>
            <w:shd w:val="clear" w:color="auto" w:fill="auto"/>
            <w:noWrap/>
            <w:vAlign w:val="bottom"/>
            <w:hideMark/>
          </w:tcPr>
          <w:p w14:paraId="5166158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1968</w:t>
            </w:r>
          </w:p>
        </w:tc>
        <w:tc>
          <w:tcPr>
            <w:tcW w:w="1866" w:type="dxa"/>
            <w:shd w:val="clear" w:color="auto" w:fill="auto"/>
            <w:noWrap/>
            <w:vAlign w:val="bottom"/>
            <w:hideMark/>
          </w:tcPr>
          <w:p w14:paraId="5454DA1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43.1%</w:t>
            </w:r>
          </w:p>
        </w:tc>
        <w:tc>
          <w:tcPr>
            <w:tcW w:w="1485" w:type="dxa"/>
            <w:shd w:val="clear" w:color="auto" w:fill="auto"/>
            <w:noWrap/>
            <w:vAlign w:val="bottom"/>
            <w:hideMark/>
          </w:tcPr>
          <w:p w14:paraId="563ED24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76.5%</w:t>
            </w:r>
          </w:p>
        </w:tc>
        <w:tc>
          <w:tcPr>
            <w:tcW w:w="1407" w:type="dxa"/>
            <w:shd w:val="clear" w:color="auto" w:fill="auto"/>
            <w:noWrap/>
            <w:vAlign w:val="bottom"/>
            <w:hideMark/>
          </w:tcPr>
          <w:p w14:paraId="4316FE82"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DEEAF6" w:themeFill="accent5" w:themeFillTint="33"/>
            <w:noWrap/>
            <w:vAlign w:val="bottom"/>
            <w:hideMark/>
          </w:tcPr>
          <w:p w14:paraId="642EAAF3"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12%</w:t>
            </w:r>
          </w:p>
        </w:tc>
        <w:tc>
          <w:tcPr>
            <w:tcW w:w="1490" w:type="dxa"/>
            <w:shd w:val="clear" w:color="auto" w:fill="auto"/>
            <w:noWrap/>
            <w:vAlign w:val="bottom"/>
            <w:hideMark/>
          </w:tcPr>
          <w:p w14:paraId="6D61116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w:t>
            </w:r>
          </w:p>
        </w:tc>
      </w:tr>
      <w:tr w:rsidR="00711296" w:rsidRPr="00672DA8" w14:paraId="0E140CB4" w14:textId="77777777" w:rsidTr="004831C9">
        <w:trPr>
          <w:trHeight w:val="300"/>
        </w:trPr>
        <w:tc>
          <w:tcPr>
            <w:tcW w:w="722" w:type="dxa"/>
            <w:shd w:val="clear" w:color="auto" w:fill="auto"/>
            <w:noWrap/>
            <w:vAlign w:val="bottom"/>
            <w:hideMark/>
          </w:tcPr>
          <w:p w14:paraId="0A70F5F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1969</w:t>
            </w:r>
          </w:p>
        </w:tc>
        <w:tc>
          <w:tcPr>
            <w:tcW w:w="1866" w:type="dxa"/>
            <w:shd w:val="clear" w:color="auto" w:fill="auto"/>
            <w:noWrap/>
            <w:vAlign w:val="bottom"/>
            <w:hideMark/>
          </w:tcPr>
          <w:p w14:paraId="2A99F8A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36.6%</w:t>
            </w:r>
          </w:p>
        </w:tc>
        <w:tc>
          <w:tcPr>
            <w:tcW w:w="1485" w:type="dxa"/>
            <w:shd w:val="clear" w:color="auto" w:fill="auto"/>
            <w:noWrap/>
            <w:vAlign w:val="bottom"/>
            <w:hideMark/>
          </w:tcPr>
          <w:p w14:paraId="6FE5D1C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80.2%</w:t>
            </w:r>
          </w:p>
        </w:tc>
        <w:tc>
          <w:tcPr>
            <w:tcW w:w="1407" w:type="dxa"/>
            <w:shd w:val="clear" w:color="auto" w:fill="auto"/>
            <w:noWrap/>
            <w:vAlign w:val="bottom"/>
            <w:hideMark/>
          </w:tcPr>
          <w:p w14:paraId="5EAE6DDA"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DEEAF6" w:themeFill="accent5" w:themeFillTint="33"/>
            <w:noWrap/>
            <w:vAlign w:val="bottom"/>
            <w:hideMark/>
          </w:tcPr>
          <w:p w14:paraId="64B9300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12%</w:t>
            </w:r>
          </w:p>
        </w:tc>
        <w:tc>
          <w:tcPr>
            <w:tcW w:w="1490" w:type="dxa"/>
            <w:shd w:val="clear" w:color="auto" w:fill="auto"/>
            <w:noWrap/>
            <w:vAlign w:val="bottom"/>
            <w:hideMark/>
          </w:tcPr>
          <w:p w14:paraId="2F73F1E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w:t>
            </w:r>
          </w:p>
        </w:tc>
      </w:tr>
      <w:tr w:rsidR="00711296" w:rsidRPr="00672DA8" w14:paraId="368A092B" w14:textId="77777777" w:rsidTr="004831C9">
        <w:trPr>
          <w:trHeight w:val="300"/>
        </w:trPr>
        <w:tc>
          <w:tcPr>
            <w:tcW w:w="722" w:type="dxa"/>
            <w:shd w:val="clear" w:color="auto" w:fill="auto"/>
            <w:noWrap/>
            <w:vAlign w:val="bottom"/>
            <w:hideMark/>
          </w:tcPr>
          <w:p w14:paraId="32380A7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1970</w:t>
            </w:r>
          </w:p>
        </w:tc>
        <w:tc>
          <w:tcPr>
            <w:tcW w:w="1866" w:type="dxa"/>
            <w:shd w:val="clear" w:color="auto" w:fill="auto"/>
            <w:noWrap/>
            <w:vAlign w:val="bottom"/>
            <w:hideMark/>
          </w:tcPr>
          <w:p w14:paraId="2AF55B9B"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46.2%</w:t>
            </w:r>
          </w:p>
        </w:tc>
        <w:tc>
          <w:tcPr>
            <w:tcW w:w="1485" w:type="dxa"/>
            <w:shd w:val="clear" w:color="auto" w:fill="auto"/>
            <w:noWrap/>
            <w:vAlign w:val="bottom"/>
            <w:hideMark/>
          </w:tcPr>
          <w:p w14:paraId="21C818E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83.6%</w:t>
            </w:r>
          </w:p>
        </w:tc>
        <w:tc>
          <w:tcPr>
            <w:tcW w:w="1407" w:type="dxa"/>
            <w:shd w:val="clear" w:color="auto" w:fill="auto"/>
            <w:noWrap/>
            <w:vAlign w:val="bottom"/>
            <w:hideMark/>
          </w:tcPr>
          <w:p w14:paraId="146F6C32"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119688B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12%</w:t>
            </w:r>
          </w:p>
        </w:tc>
        <w:tc>
          <w:tcPr>
            <w:tcW w:w="1490" w:type="dxa"/>
            <w:shd w:val="clear" w:color="auto" w:fill="auto"/>
            <w:noWrap/>
            <w:vAlign w:val="bottom"/>
            <w:hideMark/>
          </w:tcPr>
          <w:p w14:paraId="5706AF90"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11%</w:t>
            </w:r>
          </w:p>
        </w:tc>
      </w:tr>
      <w:tr w:rsidR="00711296" w:rsidRPr="00672DA8" w14:paraId="1BAA9561" w14:textId="77777777" w:rsidTr="004831C9">
        <w:trPr>
          <w:trHeight w:val="300"/>
        </w:trPr>
        <w:tc>
          <w:tcPr>
            <w:tcW w:w="722" w:type="dxa"/>
            <w:shd w:val="clear" w:color="auto" w:fill="auto"/>
            <w:noWrap/>
            <w:vAlign w:val="bottom"/>
            <w:hideMark/>
          </w:tcPr>
          <w:p w14:paraId="688E9900"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1971</w:t>
            </w:r>
          </w:p>
        </w:tc>
        <w:tc>
          <w:tcPr>
            <w:tcW w:w="1866" w:type="dxa"/>
            <w:shd w:val="clear" w:color="auto" w:fill="auto"/>
            <w:noWrap/>
            <w:vAlign w:val="bottom"/>
            <w:hideMark/>
          </w:tcPr>
          <w:p w14:paraId="419081C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44.6%</w:t>
            </w:r>
          </w:p>
        </w:tc>
        <w:tc>
          <w:tcPr>
            <w:tcW w:w="1485" w:type="dxa"/>
            <w:shd w:val="clear" w:color="auto" w:fill="auto"/>
            <w:noWrap/>
            <w:vAlign w:val="bottom"/>
            <w:hideMark/>
          </w:tcPr>
          <w:p w14:paraId="5FD03F0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81.7%</w:t>
            </w:r>
          </w:p>
        </w:tc>
        <w:tc>
          <w:tcPr>
            <w:tcW w:w="1407" w:type="dxa"/>
            <w:shd w:val="clear" w:color="auto" w:fill="auto"/>
            <w:noWrap/>
            <w:vAlign w:val="bottom"/>
            <w:hideMark/>
          </w:tcPr>
          <w:p w14:paraId="530FF505"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2637A11A"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w:t>
            </w:r>
          </w:p>
        </w:tc>
        <w:tc>
          <w:tcPr>
            <w:tcW w:w="1490" w:type="dxa"/>
            <w:shd w:val="clear" w:color="auto" w:fill="auto"/>
            <w:noWrap/>
            <w:vAlign w:val="bottom"/>
            <w:hideMark/>
          </w:tcPr>
          <w:p w14:paraId="3F2C2595"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16%</w:t>
            </w:r>
          </w:p>
        </w:tc>
      </w:tr>
      <w:tr w:rsidR="00711296" w:rsidRPr="00672DA8" w14:paraId="78C820F5" w14:textId="77777777" w:rsidTr="004831C9">
        <w:trPr>
          <w:trHeight w:val="300"/>
        </w:trPr>
        <w:tc>
          <w:tcPr>
            <w:tcW w:w="722" w:type="dxa"/>
            <w:shd w:val="clear" w:color="auto" w:fill="auto"/>
            <w:noWrap/>
            <w:vAlign w:val="bottom"/>
            <w:hideMark/>
          </w:tcPr>
          <w:p w14:paraId="7A31725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1972</w:t>
            </w:r>
          </w:p>
        </w:tc>
        <w:tc>
          <w:tcPr>
            <w:tcW w:w="1866" w:type="dxa"/>
            <w:shd w:val="clear" w:color="auto" w:fill="auto"/>
            <w:noWrap/>
            <w:vAlign w:val="bottom"/>
            <w:hideMark/>
          </w:tcPr>
          <w:p w14:paraId="55FB839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48.9%</w:t>
            </w:r>
          </w:p>
        </w:tc>
        <w:tc>
          <w:tcPr>
            <w:tcW w:w="1485" w:type="dxa"/>
            <w:shd w:val="clear" w:color="auto" w:fill="auto"/>
            <w:noWrap/>
            <w:vAlign w:val="bottom"/>
            <w:hideMark/>
          </w:tcPr>
          <w:p w14:paraId="2CF3FC9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85.0%</w:t>
            </w:r>
          </w:p>
        </w:tc>
        <w:tc>
          <w:tcPr>
            <w:tcW w:w="1407" w:type="dxa"/>
            <w:shd w:val="clear" w:color="auto" w:fill="auto"/>
            <w:noWrap/>
            <w:vAlign w:val="bottom"/>
            <w:hideMark/>
          </w:tcPr>
          <w:p w14:paraId="272D0FCF"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06C4367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28%</w:t>
            </w:r>
          </w:p>
        </w:tc>
        <w:tc>
          <w:tcPr>
            <w:tcW w:w="1490" w:type="dxa"/>
            <w:shd w:val="clear" w:color="auto" w:fill="auto"/>
            <w:noWrap/>
            <w:vAlign w:val="bottom"/>
            <w:hideMark/>
          </w:tcPr>
          <w:p w14:paraId="306A4AE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23%</w:t>
            </w:r>
          </w:p>
        </w:tc>
      </w:tr>
      <w:tr w:rsidR="00711296" w:rsidRPr="00672DA8" w14:paraId="48A87012" w14:textId="77777777" w:rsidTr="004831C9">
        <w:trPr>
          <w:trHeight w:val="300"/>
        </w:trPr>
        <w:tc>
          <w:tcPr>
            <w:tcW w:w="722" w:type="dxa"/>
            <w:shd w:val="clear" w:color="auto" w:fill="auto"/>
            <w:noWrap/>
            <w:vAlign w:val="bottom"/>
            <w:hideMark/>
          </w:tcPr>
          <w:p w14:paraId="30A55B2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1973</w:t>
            </w:r>
          </w:p>
        </w:tc>
        <w:tc>
          <w:tcPr>
            <w:tcW w:w="1866" w:type="dxa"/>
            <w:shd w:val="clear" w:color="auto" w:fill="auto"/>
            <w:noWrap/>
            <w:vAlign w:val="bottom"/>
            <w:hideMark/>
          </w:tcPr>
          <w:p w14:paraId="52A7B71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66.1%</w:t>
            </w:r>
          </w:p>
        </w:tc>
        <w:tc>
          <w:tcPr>
            <w:tcW w:w="1485" w:type="dxa"/>
            <w:shd w:val="clear" w:color="auto" w:fill="auto"/>
            <w:noWrap/>
            <w:vAlign w:val="bottom"/>
            <w:hideMark/>
          </w:tcPr>
          <w:p w14:paraId="072712B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90.1%</w:t>
            </w:r>
          </w:p>
        </w:tc>
        <w:tc>
          <w:tcPr>
            <w:tcW w:w="1407" w:type="dxa"/>
            <w:shd w:val="clear" w:color="auto" w:fill="auto"/>
            <w:noWrap/>
            <w:vAlign w:val="bottom"/>
            <w:hideMark/>
          </w:tcPr>
          <w:p w14:paraId="0104F263"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35D36A8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32%</w:t>
            </w:r>
          </w:p>
        </w:tc>
        <w:tc>
          <w:tcPr>
            <w:tcW w:w="1490" w:type="dxa"/>
            <w:shd w:val="clear" w:color="auto" w:fill="auto"/>
            <w:noWrap/>
            <w:vAlign w:val="bottom"/>
            <w:hideMark/>
          </w:tcPr>
          <w:p w14:paraId="0AAA771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24%</w:t>
            </w:r>
          </w:p>
        </w:tc>
      </w:tr>
      <w:tr w:rsidR="00711296" w:rsidRPr="00672DA8" w14:paraId="60521200" w14:textId="77777777" w:rsidTr="004831C9">
        <w:trPr>
          <w:trHeight w:val="300"/>
        </w:trPr>
        <w:tc>
          <w:tcPr>
            <w:tcW w:w="722" w:type="dxa"/>
            <w:shd w:val="clear" w:color="auto" w:fill="auto"/>
            <w:noWrap/>
            <w:vAlign w:val="bottom"/>
            <w:hideMark/>
          </w:tcPr>
          <w:p w14:paraId="00E048E5"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1974</w:t>
            </w:r>
          </w:p>
        </w:tc>
        <w:tc>
          <w:tcPr>
            <w:tcW w:w="1866" w:type="dxa"/>
            <w:shd w:val="clear" w:color="auto" w:fill="auto"/>
            <w:noWrap/>
            <w:vAlign w:val="bottom"/>
            <w:hideMark/>
          </w:tcPr>
          <w:p w14:paraId="37593150"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67.0%</w:t>
            </w:r>
          </w:p>
        </w:tc>
        <w:tc>
          <w:tcPr>
            <w:tcW w:w="1485" w:type="dxa"/>
            <w:shd w:val="clear" w:color="auto" w:fill="auto"/>
            <w:noWrap/>
            <w:vAlign w:val="bottom"/>
            <w:hideMark/>
          </w:tcPr>
          <w:p w14:paraId="73C5A5C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89.2%</w:t>
            </w:r>
          </w:p>
        </w:tc>
        <w:tc>
          <w:tcPr>
            <w:tcW w:w="1407" w:type="dxa"/>
            <w:shd w:val="clear" w:color="auto" w:fill="auto"/>
            <w:noWrap/>
            <w:vAlign w:val="bottom"/>
            <w:hideMark/>
          </w:tcPr>
          <w:p w14:paraId="00758ED3"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38F4EBBA"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33%</w:t>
            </w:r>
          </w:p>
        </w:tc>
        <w:tc>
          <w:tcPr>
            <w:tcW w:w="1490" w:type="dxa"/>
            <w:shd w:val="clear" w:color="auto" w:fill="auto"/>
            <w:noWrap/>
            <w:vAlign w:val="bottom"/>
            <w:hideMark/>
          </w:tcPr>
          <w:p w14:paraId="27040575"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21%</w:t>
            </w:r>
          </w:p>
        </w:tc>
      </w:tr>
      <w:tr w:rsidR="00711296" w:rsidRPr="00672DA8" w14:paraId="6B93450B" w14:textId="77777777" w:rsidTr="004831C9">
        <w:trPr>
          <w:trHeight w:val="300"/>
        </w:trPr>
        <w:tc>
          <w:tcPr>
            <w:tcW w:w="722" w:type="dxa"/>
            <w:shd w:val="clear" w:color="auto" w:fill="auto"/>
            <w:noWrap/>
            <w:vAlign w:val="bottom"/>
            <w:hideMark/>
          </w:tcPr>
          <w:p w14:paraId="4789623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1975</w:t>
            </w:r>
          </w:p>
        </w:tc>
        <w:tc>
          <w:tcPr>
            <w:tcW w:w="1866" w:type="dxa"/>
            <w:shd w:val="clear" w:color="auto" w:fill="auto"/>
            <w:noWrap/>
            <w:vAlign w:val="bottom"/>
            <w:hideMark/>
          </w:tcPr>
          <w:p w14:paraId="7C88C39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63.9%</w:t>
            </w:r>
          </w:p>
        </w:tc>
        <w:tc>
          <w:tcPr>
            <w:tcW w:w="1485" w:type="dxa"/>
            <w:shd w:val="clear" w:color="auto" w:fill="auto"/>
            <w:noWrap/>
            <w:vAlign w:val="bottom"/>
            <w:hideMark/>
          </w:tcPr>
          <w:p w14:paraId="25C59217"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91.2%</w:t>
            </w:r>
          </w:p>
        </w:tc>
        <w:tc>
          <w:tcPr>
            <w:tcW w:w="1407" w:type="dxa"/>
            <w:shd w:val="clear" w:color="auto" w:fill="auto"/>
            <w:noWrap/>
            <w:vAlign w:val="bottom"/>
            <w:hideMark/>
          </w:tcPr>
          <w:p w14:paraId="2782426A"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4B3AAFFA"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33%</w:t>
            </w:r>
          </w:p>
        </w:tc>
        <w:tc>
          <w:tcPr>
            <w:tcW w:w="1490" w:type="dxa"/>
            <w:shd w:val="clear" w:color="auto" w:fill="auto"/>
            <w:noWrap/>
            <w:vAlign w:val="bottom"/>
            <w:hideMark/>
          </w:tcPr>
          <w:p w14:paraId="257DF100"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24%</w:t>
            </w:r>
          </w:p>
        </w:tc>
      </w:tr>
      <w:tr w:rsidR="00711296" w:rsidRPr="00672DA8" w14:paraId="100C94A2" w14:textId="77777777" w:rsidTr="004831C9">
        <w:trPr>
          <w:trHeight w:val="300"/>
        </w:trPr>
        <w:tc>
          <w:tcPr>
            <w:tcW w:w="722" w:type="dxa"/>
            <w:shd w:val="clear" w:color="auto" w:fill="auto"/>
            <w:noWrap/>
            <w:vAlign w:val="bottom"/>
            <w:hideMark/>
          </w:tcPr>
          <w:p w14:paraId="0BCCB21B"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1976</w:t>
            </w:r>
          </w:p>
        </w:tc>
        <w:tc>
          <w:tcPr>
            <w:tcW w:w="1866" w:type="dxa"/>
            <w:shd w:val="clear" w:color="auto" w:fill="auto"/>
            <w:noWrap/>
            <w:vAlign w:val="bottom"/>
            <w:hideMark/>
          </w:tcPr>
          <w:p w14:paraId="46D97A1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63.0%</w:t>
            </w:r>
          </w:p>
        </w:tc>
        <w:tc>
          <w:tcPr>
            <w:tcW w:w="1485" w:type="dxa"/>
            <w:shd w:val="clear" w:color="auto" w:fill="auto"/>
            <w:noWrap/>
            <w:vAlign w:val="bottom"/>
            <w:hideMark/>
          </w:tcPr>
          <w:p w14:paraId="202CCA3A"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90.3%</w:t>
            </w:r>
          </w:p>
        </w:tc>
        <w:tc>
          <w:tcPr>
            <w:tcW w:w="1407" w:type="dxa"/>
            <w:shd w:val="clear" w:color="auto" w:fill="auto"/>
            <w:noWrap/>
            <w:vAlign w:val="bottom"/>
            <w:hideMark/>
          </w:tcPr>
          <w:p w14:paraId="7156C3B2"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289E7F73"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32%</w:t>
            </w:r>
          </w:p>
        </w:tc>
        <w:tc>
          <w:tcPr>
            <w:tcW w:w="1490" w:type="dxa"/>
            <w:shd w:val="clear" w:color="auto" w:fill="auto"/>
            <w:noWrap/>
            <w:vAlign w:val="bottom"/>
            <w:hideMark/>
          </w:tcPr>
          <w:p w14:paraId="638C14F3"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21%</w:t>
            </w:r>
          </w:p>
        </w:tc>
      </w:tr>
      <w:tr w:rsidR="00711296" w:rsidRPr="00672DA8" w14:paraId="5D3547E5" w14:textId="77777777" w:rsidTr="004831C9">
        <w:trPr>
          <w:trHeight w:val="300"/>
        </w:trPr>
        <w:tc>
          <w:tcPr>
            <w:tcW w:w="722" w:type="dxa"/>
            <w:shd w:val="clear" w:color="auto" w:fill="auto"/>
            <w:noWrap/>
            <w:vAlign w:val="bottom"/>
            <w:hideMark/>
          </w:tcPr>
          <w:p w14:paraId="4DAEC2F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1977</w:t>
            </w:r>
          </w:p>
        </w:tc>
        <w:tc>
          <w:tcPr>
            <w:tcW w:w="1866" w:type="dxa"/>
            <w:shd w:val="clear" w:color="auto" w:fill="auto"/>
            <w:noWrap/>
            <w:vAlign w:val="bottom"/>
            <w:hideMark/>
          </w:tcPr>
          <w:p w14:paraId="447AA62B"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60.4%</w:t>
            </w:r>
          </w:p>
        </w:tc>
        <w:tc>
          <w:tcPr>
            <w:tcW w:w="1485" w:type="dxa"/>
            <w:shd w:val="clear" w:color="auto" w:fill="auto"/>
            <w:noWrap/>
            <w:vAlign w:val="bottom"/>
            <w:hideMark/>
          </w:tcPr>
          <w:p w14:paraId="3045A60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91.4%</w:t>
            </w:r>
          </w:p>
        </w:tc>
        <w:tc>
          <w:tcPr>
            <w:tcW w:w="1407" w:type="dxa"/>
            <w:shd w:val="clear" w:color="auto" w:fill="auto"/>
            <w:noWrap/>
            <w:vAlign w:val="bottom"/>
            <w:hideMark/>
          </w:tcPr>
          <w:p w14:paraId="7AFFFFCF"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4A05A627"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31%</w:t>
            </w:r>
          </w:p>
        </w:tc>
        <w:tc>
          <w:tcPr>
            <w:tcW w:w="1490" w:type="dxa"/>
            <w:shd w:val="clear" w:color="auto" w:fill="auto"/>
            <w:noWrap/>
            <w:vAlign w:val="bottom"/>
            <w:hideMark/>
          </w:tcPr>
          <w:p w14:paraId="55C40D0B"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22%</w:t>
            </w:r>
          </w:p>
        </w:tc>
      </w:tr>
      <w:tr w:rsidR="00711296" w:rsidRPr="00672DA8" w14:paraId="0F72F6B6" w14:textId="77777777" w:rsidTr="004831C9">
        <w:trPr>
          <w:trHeight w:val="300"/>
        </w:trPr>
        <w:tc>
          <w:tcPr>
            <w:tcW w:w="722" w:type="dxa"/>
            <w:shd w:val="clear" w:color="auto" w:fill="auto"/>
            <w:noWrap/>
            <w:vAlign w:val="bottom"/>
            <w:hideMark/>
          </w:tcPr>
          <w:p w14:paraId="6014016B"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1978</w:t>
            </w:r>
          </w:p>
        </w:tc>
        <w:tc>
          <w:tcPr>
            <w:tcW w:w="1866" w:type="dxa"/>
            <w:shd w:val="clear" w:color="auto" w:fill="auto"/>
            <w:noWrap/>
            <w:vAlign w:val="bottom"/>
            <w:hideMark/>
          </w:tcPr>
          <w:p w14:paraId="7A874EEB"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60.0%</w:t>
            </w:r>
          </w:p>
        </w:tc>
        <w:tc>
          <w:tcPr>
            <w:tcW w:w="1485" w:type="dxa"/>
            <w:shd w:val="clear" w:color="auto" w:fill="auto"/>
            <w:noWrap/>
            <w:vAlign w:val="bottom"/>
            <w:hideMark/>
          </w:tcPr>
          <w:p w14:paraId="33EB808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88.6%</w:t>
            </w:r>
          </w:p>
        </w:tc>
        <w:tc>
          <w:tcPr>
            <w:tcW w:w="1407" w:type="dxa"/>
            <w:shd w:val="clear" w:color="auto" w:fill="auto"/>
            <w:noWrap/>
            <w:vAlign w:val="bottom"/>
            <w:hideMark/>
          </w:tcPr>
          <w:p w14:paraId="6CAEE8A6"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0D20233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32%</w:t>
            </w:r>
          </w:p>
        </w:tc>
        <w:tc>
          <w:tcPr>
            <w:tcW w:w="1490" w:type="dxa"/>
            <w:shd w:val="clear" w:color="auto" w:fill="auto"/>
            <w:noWrap/>
            <w:vAlign w:val="bottom"/>
            <w:hideMark/>
          </w:tcPr>
          <w:p w14:paraId="24F2BE15"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22%</w:t>
            </w:r>
          </w:p>
        </w:tc>
      </w:tr>
      <w:tr w:rsidR="00711296" w:rsidRPr="00672DA8" w14:paraId="514BE69A" w14:textId="77777777" w:rsidTr="004831C9">
        <w:trPr>
          <w:trHeight w:val="300"/>
        </w:trPr>
        <w:tc>
          <w:tcPr>
            <w:tcW w:w="722" w:type="dxa"/>
            <w:shd w:val="clear" w:color="auto" w:fill="auto"/>
            <w:noWrap/>
            <w:vAlign w:val="bottom"/>
            <w:hideMark/>
          </w:tcPr>
          <w:p w14:paraId="486F57B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1979</w:t>
            </w:r>
          </w:p>
        </w:tc>
        <w:tc>
          <w:tcPr>
            <w:tcW w:w="1866" w:type="dxa"/>
            <w:shd w:val="clear" w:color="auto" w:fill="auto"/>
            <w:noWrap/>
            <w:vAlign w:val="bottom"/>
            <w:hideMark/>
          </w:tcPr>
          <w:p w14:paraId="7285F3A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62.2%</w:t>
            </w:r>
          </w:p>
        </w:tc>
        <w:tc>
          <w:tcPr>
            <w:tcW w:w="1485" w:type="dxa"/>
            <w:shd w:val="clear" w:color="auto" w:fill="auto"/>
            <w:noWrap/>
            <w:vAlign w:val="bottom"/>
            <w:hideMark/>
          </w:tcPr>
          <w:p w14:paraId="17E05F00"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86.8%</w:t>
            </w:r>
          </w:p>
        </w:tc>
        <w:tc>
          <w:tcPr>
            <w:tcW w:w="1407" w:type="dxa"/>
            <w:shd w:val="clear" w:color="auto" w:fill="auto"/>
            <w:noWrap/>
            <w:vAlign w:val="bottom"/>
            <w:hideMark/>
          </w:tcPr>
          <w:p w14:paraId="15A9520D"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1BBD8867"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35%</w:t>
            </w:r>
          </w:p>
        </w:tc>
        <w:tc>
          <w:tcPr>
            <w:tcW w:w="1490" w:type="dxa"/>
            <w:shd w:val="clear" w:color="auto" w:fill="auto"/>
            <w:noWrap/>
            <w:vAlign w:val="bottom"/>
            <w:hideMark/>
          </w:tcPr>
          <w:p w14:paraId="51269C6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25%</w:t>
            </w:r>
          </w:p>
        </w:tc>
      </w:tr>
      <w:tr w:rsidR="00711296" w:rsidRPr="00672DA8" w14:paraId="46006323" w14:textId="77777777" w:rsidTr="004831C9">
        <w:trPr>
          <w:trHeight w:val="300"/>
        </w:trPr>
        <w:tc>
          <w:tcPr>
            <w:tcW w:w="722" w:type="dxa"/>
            <w:shd w:val="clear" w:color="auto" w:fill="auto"/>
            <w:noWrap/>
            <w:vAlign w:val="bottom"/>
            <w:hideMark/>
          </w:tcPr>
          <w:p w14:paraId="67DA761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1980</w:t>
            </w:r>
          </w:p>
        </w:tc>
        <w:tc>
          <w:tcPr>
            <w:tcW w:w="1866" w:type="dxa"/>
            <w:shd w:val="clear" w:color="auto" w:fill="auto"/>
            <w:noWrap/>
            <w:vAlign w:val="bottom"/>
            <w:hideMark/>
          </w:tcPr>
          <w:p w14:paraId="42F12985"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65.4%</w:t>
            </w:r>
          </w:p>
        </w:tc>
        <w:tc>
          <w:tcPr>
            <w:tcW w:w="1485" w:type="dxa"/>
            <w:shd w:val="clear" w:color="auto" w:fill="auto"/>
            <w:noWrap/>
            <w:vAlign w:val="bottom"/>
            <w:hideMark/>
          </w:tcPr>
          <w:p w14:paraId="38D2B300"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87.6%</w:t>
            </w:r>
          </w:p>
        </w:tc>
        <w:tc>
          <w:tcPr>
            <w:tcW w:w="1407" w:type="dxa"/>
            <w:shd w:val="clear" w:color="auto" w:fill="auto"/>
            <w:noWrap/>
            <w:vAlign w:val="bottom"/>
            <w:hideMark/>
          </w:tcPr>
          <w:p w14:paraId="0629DF1F"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0F614CC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35%</w:t>
            </w:r>
          </w:p>
        </w:tc>
        <w:tc>
          <w:tcPr>
            <w:tcW w:w="1490" w:type="dxa"/>
            <w:shd w:val="clear" w:color="auto" w:fill="auto"/>
            <w:noWrap/>
            <w:vAlign w:val="bottom"/>
            <w:hideMark/>
          </w:tcPr>
          <w:p w14:paraId="22CA4D33"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21%</w:t>
            </w:r>
          </w:p>
        </w:tc>
      </w:tr>
      <w:tr w:rsidR="00711296" w:rsidRPr="00672DA8" w14:paraId="4F4798E1" w14:textId="77777777" w:rsidTr="004831C9">
        <w:trPr>
          <w:trHeight w:val="300"/>
        </w:trPr>
        <w:tc>
          <w:tcPr>
            <w:tcW w:w="722" w:type="dxa"/>
            <w:shd w:val="clear" w:color="auto" w:fill="auto"/>
            <w:noWrap/>
            <w:vAlign w:val="bottom"/>
            <w:hideMark/>
          </w:tcPr>
          <w:p w14:paraId="17E805B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1981</w:t>
            </w:r>
          </w:p>
        </w:tc>
        <w:tc>
          <w:tcPr>
            <w:tcW w:w="1866" w:type="dxa"/>
            <w:shd w:val="clear" w:color="auto" w:fill="auto"/>
            <w:noWrap/>
            <w:vAlign w:val="bottom"/>
            <w:hideMark/>
          </w:tcPr>
          <w:p w14:paraId="3B30FD33"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71.6%</w:t>
            </w:r>
          </w:p>
        </w:tc>
        <w:tc>
          <w:tcPr>
            <w:tcW w:w="1485" w:type="dxa"/>
            <w:shd w:val="clear" w:color="auto" w:fill="auto"/>
            <w:noWrap/>
            <w:vAlign w:val="bottom"/>
            <w:hideMark/>
          </w:tcPr>
          <w:p w14:paraId="616E69B0"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90.1%</w:t>
            </w:r>
          </w:p>
        </w:tc>
        <w:tc>
          <w:tcPr>
            <w:tcW w:w="1407" w:type="dxa"/>
            <w:shd w:val="clear" w:color="auto" w:fill="auto"/>
            <w:noWrap/>
            <w:vAlign w:val="bottom"/>
            <w:hideMark/>
          </w:tcPr>
          <w:p w14:paraId="63D96ECF"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277CEE4A"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35%</w:t>
            </w:r>
          </w:p>
        </w:tc>
        <w:tc>
          <w:tcPr>
            <w:tcW w:w="1490" w:type="dxa"/>
            <w:shd w:val="clear" w:color="auto" w:fill="auto"/>
            <w:noWrap/>
            <w:vAlign w:val="bottom"/>
            <w:hideMark/>
          </w:tcPr>
          <w:p w14:paraId="7ECE66B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24%</w:t>
            </w:r>
          </w:p>
        </w:tc>
      </w:tr>
      <w:tr w:rsidR="00711296" w:rsidRPr="00672DA8" w14:paraId="67FFF714" w14:textId="77777777" w:rsidTr="004831C9">
        <w:trPr>
          <w:trHeight w:val="300"/>
        </w:trPr>
        <w:tc>
          <w:tcPr>
            <w:tcW w:w="722" w:type="dxa"/>
            <w:shd w:val="clear" w:color="auto" w:fill="auto"/>
            <w:noWrap/>
            <w:vAlign w:val="bottom"/>
            <w:hideMark/>
          </w:tcPr>
          <w:p w14:paraId="08C0C94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1982</w:t>
            </w:r>
          </w:p>
        </w:tc>
        <w:tc>
          <w:tcPr>
            <w:tcW w:w="1866" w:type="dxa"/>
            <w:shd w:val="clear" w:color="auto" w:fill="auto"/>
            <w:noWrap/>
            <w:vAlign w:val="bottom"/>
            <w:hideMark/>
          </w:tcPr>
          <w:p w14:paraId="66F684F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66.2%</w:t>
            </w:r>
          </w:p>
        </w:tc>
        <w:tc>
          <w:tcPr>
            <w:tcW w:w="1485" w:type="dxa"/>
            <w:shd w:val="clear" w:color="auto" w:fill="auto"/>
            <w:noWrap/>
            <w:vAlign w:val="bottom"/>
            <w:hideMark/>
          </w:tcPr>
          <w:p w14:paraId="1A576E8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89.0%</w:t>
            </w:r>
          </w:p>
        </w:tc>
        <w:tc>
          <w:tcPr>
            <w:tcW w:w="1407" w:type="dxa"/>
            <w:shd w:val="clear" w:color="auto" w:fill="auto"/>
            <w:noWrap/>
            <w:vAlign w:val="bottom"/>
            <w:hideMark/>
          </w:tcPr>
          <w:p w14:paraId="27378AAE"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18D00F0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36%</w:t>
            </w:r>
          </w:p>
        </w:tc>
        <w:tc>
          <w:tcPr>
            <w:tcW w:w="1490" w:type="dxa"/>
            <w:shd w:val="clear" w:color="auto" w:fill="auto"/>
            <w:noWrap/>
            <w:vAlign w:val="bottom"/>
            <w:hideMark/>
          </w:tcPr>
          <w:p w14:paraId="00DE376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26%</w:t>
            </w:r>
          </w:p>
        </w:tc>
      </w:tr>
      <w:tr w:rsidR="00711296" w:rsidRPr="00672DA8" w14:paraId="6E1262B5" w14:textId="77777777" w:rsidTr="004831C9">
        <w:trPr>
          <w:trHeight w:val="300"/>
        </w:trPr>
        <w:tc>
          <w:tcPr>
            <w:tcW w:w="722" w:type="dxa"/>
            <w:shd w:val="clear" w:color="auto" w:fill="auto"/>
            <w:noWrap/>
            <w:vAlign w:val="bottom"/>
            <w:hideMark/>
          </w:tcPr>
          <w:p w14:paraId="61B6AEDA"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1983</w:t>
            </w:r>
          </w:p>
        </w:tc>
        <w:tc>
          <w:tcPr>
            <w:tcW w:w="1866" w:type="dxa"/>
            <w:shd w:val="clear" w:color="auto" w:fill="auto"/>
            <w:noWrap/>
            <w:vAlign w:val="bottom"/>
            <w:hideMark/>
          </w:tcPr>
          <w:p w14:paraId="385EDEC7"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74.7%</w:t>
            </w:r>
          </w:p>
        </w:tc>
        <w:tc>
          <w:tcPr>
            <w:tcW w:w="1485" w:type="dxa"/>
            <w:shd w:val="clear" w:color="auto" w:fill="auto"/>
            <w:noWrap/>
            <w:vAlign w:val="bottom"/>
            <w:hideMark/>
          </w:tcPr>
          <w:p w14:paraId="2A953C4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90.8%</w:t>
            </w:r>
          </w:p>
        </w:tc>
        <w:tc>
          <w:tcPr>
            <w:tcW w:w="1407" w:type="dxa"/>
            <w:shd w:val="clear" w:color="auto" w:fill="auto"/>
            <w:noWrap/>
            <w:vAlign w:val="bottom"/>
            <w:hideMark/>
          </w:tcPr>
          <w:p w14:paraId="3A3559CA"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2BC25B7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38%</w:t>
            </w:r>
          </w:p>
        </w:tc>
        <w:tc>
          <w:tcPr>
            <w:tcW w:w="1490" w:type="dxa"/>
            <w:shd w:val="clear" w:color="auto" w:fill="auto"/>
            <w:noWrap/>
            <w:vAlign w:val="bottom"/>
            <w:hideMark/>
          </w:tcPr>
          <w:p w14:paraId="5A3CEB0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28%</w:t>
            </w:r>
          </w:p>
        </w:tc>
      </w:tr>
      <w:tr w:rsidR="00711296" w:rsidRPr="00672DA8" w14:paraId="32BCDD83" w14:textId="77777777" w:rsidTr="004831C9">
        <w:trPr>
          <w:trHeight w:val="300"/>
        </w:trPr>
        <w:tc>
          <w:tcPr>
            <w:tcW w:w="722" w:type="dxa"/>
            <w:shd w:val="clear" w:color="auto" w:fill="auto"/>
            <w:noWrap/>
            <w:vAlign w:val="bottom"/>
            <w:hideMark/>
          </w:tcPr>
          <w:p w14:paraId="5261A5C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1984</w:t>
            </w:r>
          </w:p>
        </w:tc>
        <w:tc>
          <w:tcPr>
            <w:tcW w:w="1866" w:type="dxa"/>
            <w:shd w:val="clear" w:color="auto" w:fill="auto"/>
            <w:noWrap/>
            <w:vAlign w:val="bottom"/>
            <w:hideMark/>
          </w:tcPr>
          <w:p w14:paraId="0722809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64.1%</w:t>
            </w:r>
          </w:p>
        </w:tc>
        <w:tc>
          <w:tcPr>
            <w:tcW w:w="1485" w:type="dxa"/>
            <w:shd w:val="clear" w:color="auto" w:fill="auto"/>
            <w:noWrap/>
            <w:vAlign w:val="bottom"/>
            <w:hideMark/>
          </w:tcPr>
          <w:p w14:paraId="51ACEA6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90.3%</w:t>
            </w:r>
          </w:p>
        </w:tc>
        <w:tc>
          <w:tcPr>
            <w:tcW w:w="1407" w:type="dxa"/>
            <w:shd w:val="clear" w:color="auto" w:fill="auto"/>
            <w:noWrap/>
            <w:vAlign w:val="bottom"/>
            <w:hideMark/>
          </w:tcPr>
          <w:p w14:paraId="71A8D29F"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74A504D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38%</w:t>
            </w:r>
          </w:p>
        </w:tc>
        <w:tc>
          <w:tcPr>
            <w:tcW w:w="1490" w:type="dxa"/>
            <w:shd w:val="clear" w:color="auto" w:fill="auto"/>
            <w:noWrap/>
            <w:vAlign w:val="bottom"/>
            <w:hideMark/>
          </w:tcPr>
          <w:p w14:paraId="79B869B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25%</w:t>
            </w:r>
          </w:p>
        </w:tc>
      </w:tr>
      <w:tr w:rsidR="00711296" w:rsidRPr="00672DA8" w14:paraId="4B35C860" w14:textId="77777777" w:rsidTr="004831C9">
        <w:trPr>
          <w:trHeight w:val="300"/>
        </w:trPr>
        <w:tc>
          <w:tcPr>
            <w:tcW w:w="722" w:type="dxa"/>
            <w:shd w:val="clear" w:color="auto" w:fill="auto"/>
            <w:noWrap/>
            <w:vAlign w:val="bottom"/>
            <w:hideMark/>
          </w:tcPr>
          <w:p w14:paraId="128AB57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1985</w:t>
            </w:r>
          </w:p>
        </w:tc>
        <w:tc>
          <w:tcPr>
            <w:tcW w:w="1866" w:type="dxa"/>
            <w:shd w:val="clear" w:color="auto" w:fill="auto"/>
            <w:noWrap/>
            <w:vAlign w:val="bottom"/>
            <w:hideMark/>
          </w:tcPr>
          <w:p w14:paraId="6E5F9B7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66.6%</w:t>
            </w:r>
          </w:p>
        </w:tc>
        <w:tc>
          <w:tcPr>
            <w:tcW w:w="1485" w:type="dxa"/>
            <w:shd w:val="clear" w:color="auto" w:fill="auto"/>
            <w:noWrap/>
            <w:vAlign w:val="bottom"/>
            <w:hideMark/>
          </w:tcPr>
          <w:p w14:paraId="64DD431B"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89.5%</w:t>
            </w:r>
          </w:p>
        </w:tc>
        <w:tc>
          <w:tcPr>
            <w:tcW w:w="1407" w:type="dxa"/>
            <w:shd w:val="clear" w:color="auto" w:fill="auto"/>
            <w:noWrap/>
            <w:vAlign w:val="bottom"/>
            <w:hideMark/>
          </w:tcPr>
          <w:p w14:paraId="17645946"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7FC18C9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37%</w:t>
            </w:r>
          </w:p>
        </w:tc>
        <w:tc>
          <w:tcPr>
            <w:tcW w:w="1490" w:type="dxa"/>
            <w:shd w:val="clear" w:color="auto" w:fill="auto"/>
            <w:noWrap/>
            <w:vAlign w:val="bottom"/>
            <w:hideMark/>
          </w:tcPr>
          <w:p w14:paraId="3F3ABB7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24%</w:t>
            </w:r>
          </w:p>
        </w:tc>
      </w:tr>
      <w:tr w:rsidR="00711296" w:rsidRPr="00672DA8" w14:paraId="10903A32" w14:textId="77777777" w:rsidTr="004831C9">
        <w:trPr>
          <w:trHeight w:val="300"/>
        </w:trPr>
        <w:tc>
          <w:tcPr>
            <w:tcW w:w="722" w:type="dxa"/>
            <w:shd w:val="clear" w:color="auto" w:fill="auto"/>
            <w:noWrap/>
            <w:vAlign w:val="bottom"/>
            <w:hideMark/>
          </w:tcPr>
          <w:p w14:paraId="6954DB0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1986</w:t>
            </w:r>
          </w:p>
        </w:tc>
        <w:tc>
          <w:tcPr>
            <w:tcW w:w="1866" w:type="dxa"/>
            <w:shd w:val="clear" w:color="auto" w:fill="auto"/>
            <w:noWrap/>
            <w:vAlign w:val="bottom"/>
            <w:hideMark/>
          </w:tcPr>
          <w:p w14:paraId="776442D5"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72.3%</w:t>
            </w:r>
          </w:p>
        </w:tc>
        <w:tc>
          <w:tcPr>
            <w:tcW w:w="1485" w:type="dxa"/>
            <w:shd w:val="clear" w:color="auto" w:fill="auto"/>
            <w:noWrap/>
            <w:vAlign w:val="bottom"/>
            <w:hideMark/>
          </w:tcPr>
          <w:p w14:paraId="5C64DFA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89.6%</w:t>
            </w:r>
          </w:p>
        </w:tc>
        <w:tc>
          <w:tcPr>
            <w:tcW w:w="1407" w:type="dxa"/>
            <w:shd w:val="clear" w:color="auto" w:fill="auto"/>
            <w:noWrap/>
            <w:vAlign w:val="bottom"/>
            <w:hideMark/>
          </w:tcPr>
          <w:p w14:paraId="24E54105"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09FC228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36%</w:t>
            </w:r>
          </w:p>
        </w:tc>
        <w:tc>
          <w:tcPr>
            <w:tcW w:w="1490" w:type="dxa"/>
            <w:shd w:val="clear" w:color="auto" w:fill="auto"/>
            <w:noWrap/>
            <w:vAlign w:val="bottom"/>
            <w:hideMark/>
          </w:tcPr>
          <w:p w14:paraId="28C45F7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25%</w:t>
            </w:r>
          </w:p>
        </w:tc>
      </w:tr>
      <w:tr w:rsidR="00711296" w:rsidRPr="00672DA8" w14:paraId="5FFAFFD3" w14:textId="77777777" w:rsidTr="004831C9">
        <w:trPr>
          <w:trHeight w:val="300"/>
        </w:trPr>
        <w:tc>
          <w:tcPr>
            <w:tcW w:w="722" w:type="dxa"/>
            <w:shd w:val="clear" w:color="auto" w:fill="auto"/>
            <w:noWrap/>
            <w:vAlign w:val="bottom"/>
            <w:hideMark/>
          </w:tcPr>
          <w:p w14:paraId="08154657"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1987</w:t>
            </w:r>
          </w:p>
        </w:tc>
        <w:tc>
          <w:tcPr>
            <w:tcW w:w="1866" w:type="dxa"/>
            <w:shd w:val="clear" w:color="auto" w:fill="auto"/>
            <w:noWrap/>
            <w:vAlign w:val="bottom"/>
            <w:hideMark/>
          </w:tcPr>
          <w:p w14:paraId="3338379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78.8%</w:t>
            </w:r>
          </w:p>
        </w:tc>
        <w:tc>
          <w:tcPr>
            <w:tcW w:w="1485" w:type="dxa"/>
            <w:shd w:val="clear" w:color="auto" w:fill="auto"/>
            <w:noWrap/>
            <w:vAlign w:val="bottom"/>
            <w:hideMark/>
          </w:tcPr>
          <w:p w14:paraId="0EB9A0B5"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91.4%</w:t>
            </w:r>
          </w:p>
        </w:tc>
        <w:tc>
          <w:tcPr>
            <w:tcW w:w="1407" w:type="dxa"/>
            <w:shd w:val="clear" w:color="auto" w:fill="auto"/>
            <w:noWrap/>
            <w:vAlign w:val="bottom"/>
            <w:hideMark/>
          </w:tcPr>
          <w:p w14:paraId="0256F51B"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5D05CCD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39%</w:t>
            </w:r>
          </w:p>
        </w:tc>
        <w:tc>
          <w:tcPr>
            <w:tcW w:w="1490" w:type="dxa"/>
            <w:shd w:val="clear" w:color="auto" w:fill="auto"/>
            <w:noWrap/>
            <w:vAlign w:val="bottom"/>
            <w:hideMark/>
          </w:tcPr>
          <w:p w14:paraId="42916C7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30%</w:t>
            </w:r>
          </w:p>
        </w:tc>
      </w:tr>
      <w:tr w:rsidR="00711296" w:rsidRPr="00672DA8" w14:paraId="7BE8A55A" w14:textId="77777777" w:rsidTr="004831C9">
        <w:trPr>
          <w:trHeight w:val="300"/>
        </w:trPr>
        <w:tc>
          <w:tcPr>
            <w:tcW w:w="722" w:type="dxa"/>
            <w:shd w:val="clear" w:color="auto" w:fill="auto"/>
            <w:noWrap/>
            <w:vAlign w:val="bottom"/>
            <w:hideMark/>
          </w:tcPr>
          <w:p w14:paraId="3B351F63"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1988</w:t>
            </w:r>
          </w:p>
        </w:tc>
        <w:tc>
          <w:tcPr>
            <w:tcW w:w="1866" w:type="dxa"/>
            <w:shd w:val="clear" w:color="auto" w:fill="auto"/>
            <w:noWrap/>
            <w:vAlign w:val="bottom"/>
            <w:hideMark/>
          </w:tcPr>
          <w:p w14:paraId="0001FBB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70.8%</w:t>
            </w:r>
          </w:p>
        </w:tc>
        <w:tc>
          <w:tcPr>
            <w:tcW w:w="1485" w:type="dxa"/>
            <w:shd w:val="clear" w:color="auto" w:fill="auto"/>
            <w:noWrap/>
            <w:vAlign w:val="bottom"/>
            <w:hideMark/>
          </w:tcPr>
          <w:p w14:paraId="6722AB1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88.2%</w:t>
            </w:r>
          </w:p>
        </w:tc>
        <w:tc>
          <w:tcPr>
            <w:tcW w:w="1407" w:type="dxa"/>
            <w:shd w:val="clear" w:color="auto" w:fill="auto"/>
            <w:noWrap/>
            <w:vAlign w:val="bottom"/>
            <w:hideMark/>
          </w:tcPr>
          <w:p w14:paraId="380B7F9B"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2C2B3F9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39%</w:t>
            </w:r>
          </w:p>
        </w:tc>
        <w:tc>
          <w:tcPr>
            <w:tcW w:w="1490" w:type="dxa"/>
            <w:shd w:val="clear" w:color="auto" w:fill="auto"/>
            <w:noWrap/>
            <w:vAlign w:val="bottom"/>
            <w:hideMark/>
          </w:tcPr>
          <w:p w14:paraId="12344FD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27%</w:t>
            </w:r>
          </w:p>
        </w:tc>
      </w:tr>
      <w:tr w:rsidR="00711296" w:rsidRPr="00672DA8" w14:paraId="358456DC" w14:textId="77777777" w:rsidTr="004831C9">
        <w:trPr>
          <w:trHeight w:val="300"/>
        </w:trPr>
        <w:tc>
          <w:tcPr>
            <w:tcW w:w="722" w:type="dxa"/>
            <w:shd w:val="clear" w:color="auto" w:fill="auto"/>
            <w:noWrap/>
            <w:vAlign w:val="bottom"/>
            <w:hideMark/>
          </w:tcPr>
          <w:p w14:paraId="271C664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1989</w:t>
            </w:r>
          </w:p>
        </w:tc>
        <w:tc>
          <w:tcPr>
            <w:tcW w:w="1866" w:type="dxa"/>
            <w:shd w:val="clear" w:color="auto" w:fill="auto"/>
            <w:noWrap/>
            <w:vAlign w:val="bottom"/>
            <w:hideMark/>
          </w:tcPr>
          <w:p w14:paraId="078BAF7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69.6%</w:t>
            </w:r>
          </w:p>
        </w:tc>
        <w:tc>
          <w:tcPr>
            <w:tcW w:w="1485" w:type="dxa"/>
            <w:shd w:val="clear" w:color="auto" w:fill="auto"/>
            <w:noWrap/>
            <w:vAlign w:val="bottom"/>
            <w:hideMark/>
          </w:tcPr>
          <w:p w14:paraId="14D8537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81.6%</w:t>
            </w:r>
          </w:p>
        </w:tc>
        <w:tc>
          <w:tcPr>
            <w:tcW w:w="1407" w:type="dxa"/>
            <w:shd w:val="clear" w:color="auto" w:fill="auto"/>
            <w:noWrap/>
            <w:vAlign w:val="bottom"/>
            <w:hideMark/>
          </w:tcPr>
          <w:p w14:paraId="4A07864D"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1DB8120A"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38%</w:t>
            </w:r>
          </w:p>
        </w:tc>
        <w:tc>
          <w:tcPr>
            <w:tcW w:w="1490" w:type="dxa"/>
            <w:shd w:val="clear" w:color="auto" w:fill="auto"/>
            <w:noWrap/>
            <w:vAlign w:val="bottom"/>
            <w:hideMark/>
          </w:tcPr>
          <w:p w14:paraId="3998C9D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27%</w:t>
            </w:r>
          </w:p>
        </w:tc>
      </w:tr>
      <w:tr w:rsidR="00711296" w:rsidRPr="00672DA8" w14:paraId="5715ECAA" w14:textId="77777777" w:rsidTr="004831C9">
        <w:trPr>
          <w:trHeight w:val="300"/>
        </w:trPr>
        <w:tc>
          <w:tcPr>
            <w:tcW w:w="722" w:type="dxa"/>
            <w:shd w:val="clear" w:color="auto" w:fill="auto"/>
            <w:noWrap/>
            <w:vAlign w:val="bottom"/>
            <w:hideMark/>
          </w:tcPr>
          <w:p w14:paraId="3105054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1990</w:t>
            </w:r>
          </w:p>
        </w:tc>
        <w:tc>
          <w:tcPr>
            <w:tcW w:w="1866" w:type="dxa"/>
            <w:shd w:val="clear" w:color="auto" w:fill="auto"/>
            <w:noWrap/>
            <w:vAlign w:val="bottom"/>
            <w:hideMark/>
          </w:tcPr>
          <w:p w14:paraId="28A80F9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79.5%</w:t>
            </w:r>
          </w:p>
        </w:tc>
        <w:tc>
          <w:tcPr>
            <w:tcW w:w="1485" w:type="dxa"/>
            <w:shd w:val="clear" w:color="auto" w:fill="auto"/>
            <w:noWrap/>
            <w:vAlign w:val="bottom"/>
            <w:hideMark/>
          </w:tcPr>
          <w:p w14:paraId="526BFB4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84.2%</w:t>
            </w:r>
          </w:p>
        </w:tc>
        <w:tc>
          <w:tcPr>
            <w:tcW w:w="1407" w:type="dxa"/>
            <w:shd w:val="clear" w:color="auto" w:fill="auto"/>
            <w:noWrap/>
            <w:vAlign w:val="bottom"/>
            <w:hideMark/>
          </w:tcPr>
          <w:p w14:paraId="13940606"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30B7DA3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36%</w:t>
            </w:r>
          </w:p>
        </w:tc>
        <w:tc>
          <w:tcPr>
            <w:tcW w:w="1490" w:type="dxa"/>
            <w:shd w:val="clear" w:color="auto" w:fill="auto"/>
            <w:noWrap/>
            <w:vAlign w:val="bottom"/>
            <w:hideMark/>
          </w:tcPr>
          <w:p w14:paraId="183C29A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26%</w:t>
            </w:r>
          </w:p>
        </w:tc>
      </w:tr>
      <w:tr w:rsidR="00711296" w:rsidRPr="00672DA8" w14:paraId="70BA52E8" w14:textId="77777777" w:rsidTr="004831C9">
        <w:trPr>
          <w:trHeight w:val="300"/>
        </w:trPr>
        <w:tc>
          <w:tcPr>
            <w:tcW w:w="722" w:type="dxa"/>
            <w:shd w:val="clear" w:color="auto" w:fill="auto"/>
            <w:noWrap/>
            <w:vAlign w:val="bottom"/>
            <w:hideMark/>
          </w:tcPr>
          <w:p w14:paraId="7F25142A"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1991</w:t>
            </w:r>
          </w:p>
        </w:tc>
        <w:tc>
          <w:tcPr>
            <w:tcW w:w="1866" w:type="dxa"/>
            <w:shd w:val="clear" w:color="auto" w:fill="auto"/>
            <w:noWrap/>
            <w:vAlign w:val="bottom"/>
            <w:hideMark/>
          </w:tcPr>
          <w:p w14:paraId="4C838A5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77.6%</w:t>
            </w:r>
          </w:p>
        </w:tc>
        <w:tc>
          <w:tcPr>
            <w:tcW w:w="1485" w:type="dxa"/>
            <w:shd w:val="clear" w:color="auto" w:fill="auto"/>
            <w:noWrap/>
            <w:vAlign w:val="bottom"/>
            <w:hideMark/>
          </w:tcPr>
          <w:p w14:paraId="6D5FFC6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86.2%</w:t>
            </w:r>
          </w:p>
        </w:tc>
        <w:tc>
          <w:tcPr>
            <w:tcW w:w="1407" w:type="dxa"/>
            <w:shd w:val="clear" w:color="auto" w:fill="auto"/>
            <w:noWrap/>
            <w:vAlign w:val="bottom"/>
            <w:hideMark/>
          </w:tcPr>
          <w:p w14:paraId="16630DD5"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7116552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34%</w:t>
            </w:r>
          </w:p>
        </w:tc>
        <w:tc>
          <w:tcPr>
            <w:tcW w:w="1490" w:type="dxa"/>
            <w:shd w:val="clear" w:color="auto" w:fill="auto"/>
            <w:noWrap/>
            <w:vAlign w:val="bottom"/>
            <w:hideMark/>
          </w:tcPr>
          <w:p w14:paraId="00CDC2E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26%</w:t>
            </w:r>
          </w:p>
        </w:tc>
      </w:tr>
      <w:tr w:rsidR="00711296" w:rsidRPr="00672DA8" w14:paraId="30951AEF" w14:textId="77777777" w:rsidTr="004831C9">
        <w:trPr>
          <w:trHeight w:val="300"/>
        </w:trPr>
        <w:tc>
          <w:tcPr>
            <w:tcW w:w="722" w:type="dxa"/>
            <w:shd w:val="clear" w:color="auto" w:fill="auto"/>
            <w:noWrap/>
            <w:vAlign w:val="bottom"/>
            <w:hideMark/>
          </w:tcPr>
          <w:p w14:paraId="370B835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1992</w:t>
            </w:r>
          </w:p>
        </w:tc>
        <w:tc>
          <w:tcPr>
            <w:tcW w:w="1866" w:type="dxa"/>
            <w:shd w:val="clear" w:color="auto" w:fill="DEEAF6" w:themeFill="accent5" w:themeFillTint="33"/>
            <w:noWrap/>
            <w:vAlign w:val="bottom"/>
            <w:hideMark/>
          </w:tcPr>
          <w:p w14:paraId="4FB9BB87"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85.0%</w:t>
            </w:r>
          </w:p>
        </w:tc>
        <w:tc>
          <w:tcPr>
            <w:tcW w:w="1485" w:type="dxa"/>
            <w:shd w:val="clear" w:color="auto" w:fill="DEEAF6" w:themeFill="accent5" w:themeFillTint="33"/>
            <w:noWrap/>
            <w:vAlign w:val="bottom"/>
            <w:hideMark/>
          </w:tcPr>
          <w:p w14:paraId="235C029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87.1%</w:t>
            </w:r>
          </w:p>
        </w:tc>
        <w:tc>
          <w:tcPr>
            <w:tcW w:w="1407" w:type="dxa"/>
            <w:shd w:val="clear" w:color="auto" w:fill="auto"/>
            <w:noWrap/>
            <w:vAlign w:val="bottom"/>
            <w:hideMark/>
          </w:tcPr>
          <w:p w14:paraId="1BDCE8F9"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04E26B2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36%</w:t>
            </w:r>
          </w:p>
        </w:tc>
        <w:tc>
          <w:tcPr>
            <w:tcW w:w="1490" w:type="dxa"/>
            <w:shd w:val="clear" w:color="auto" w:fill="auto"/>
            <w:noWrap/>
            <w:vAlign w:val="bottom"/>
            <w:hideMark/>
          </w:tcPr>
          <w:p w14:paraId="7D368B90"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26%</w:t>
            </w:r>
          </w:p>
        </w:tc>
      </w:tr>
      <w:tr w:rsidR="00711296" w:rsidRPr="00672DA8" w14:paraId="3A6CC2CD" w14:textId="77777777" w:rsidTr="004831C9">
        <w:trPr>
          <w:trHeight w:val="300"/>
        </w:trPr>
        <w:tc>
          <w:tcPr>
            <w:tcW w:w="722" w:type="dxa"/>
            <w:shd w:val="clear" w:color="auto" w:fill="auto"/>
            <w:noWrap/>
            <w:vAlign w:val="bottom"/>
            <w:hideMark/>
          </w:tcPr>
          <w:p w14:paraId="633713F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1993</w:t>
            </w:r>
          </w:p>
        </w:tc>
        <w:tc>
          <w:tcPr>
            <w:tcW w:w="1866" w:type="dxa"/>
            <w:shd w:val="clear" w:color="auto" w:fill="DEEAF6" w:themeFill="accent5" w:themeFillTint="33"/>
            <w:noWrap/>
            <w:vAlign w:val="bottom"/>
            <w:hideMark/>
          </w:tcPr>
          <w:p w14:paraId="5306066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85.0%</w:t>
            </w:r>
          </w:p>
        </w:tc>
        <w:tc>
          <w:tcPr>
            <w:tcW w:w="1485" w:type="dxa"/>
            <w:shd w:val="clear" w:color="auto" w:fill="DEEAF6" w:themeFill="accent5" w:themeFillTint="33"/>
            <w:noWrap/>
            <w:vAlign w:val="bottom"/>
            <w:hideMark/>
          </w:tcPr>
          <w:p w14:paraId="2931950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87.1%</w:t>
            </w:r>
          </w:p>
        </w:tc>
        <w:tc>
          <w:tcPr>
            <w:tcW w:w="1407" w:type="dxa"/>
            <w:shd w:val="clear" w:color="auto" w:fill="auto"/>
            <w:noWrap/>
            <w:vAlign w:val="bottom"/>
            <w:hideMark/>
          </w:tcPr>
          <w:p w14:paraId="6E2F4366"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263984A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27%</w:t>
            </w:r>
          </w:p>
        </w:tc>
        <w:tc>
          <w:tcPr>
            <w:tcW w:w="1490" w:type="dxa"/>
            <w:shd w:val="clear" w:color="auto" w:fill="auto"/>
            <w:noWrap/>
            <w:vAlign w:val="bottom"/>
            <w:hideMark/>
          </w:tcPr>
          <w:p w14:paraId="07A4055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18%</w:t>
            </w:r>
          </w:p>
        </w:tc>
      </w:tr>
      <w:tr w:rsidR="00711296" w:rsidRPr="00672DA8" w14:paraId="62289B9E" w14:textId="77777777" w:rsidTr="004831C9">
        <w:trPr>
          <w:trHeight w:val="300"/>
        </w:trPr>
        <w:tc>
          <w:tcPr>
            <w:tcW w:w="722" w:type="dxa"/>
            <w:shd w:val="clear" w:color="auto" w:fill="auto"/>
            <w:noWrap/>
            <w:vAlign w:val="bottom"/>
            <w:hideMark/>
          </w:tcPr>
          <w:p w14:paraId="797A0C2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1994</w:t>
            </w:r>
          </w:p>
        </w:tc>
        <w:tc>
          <w:tcPr>
            <w:tcW w:w="1866" w:type="dxa"/>
            <w:shd w:val="clear" w:color="auto" w:fill="DEEAF6" w:themeFill="accent5" w:themeFillTint="33"/>
            <w:noWrap/>
            <w:vAlign w:val="bottom"/>
            <w:hideMark/>
          </w:tcPr>
          <w:p w14:paraId="5A316AF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85.0%</w:t>
            </w:r>
          </w:p>
        </w:tc>
        <w:tc>
          <w:tcPr>
            <w:tcW w:w="1485" w:type="dxa"/>
            <w:shd w:val="clear" w:color="auto" w:fill="DEEAF6" w:themeFill="accent5" w:themeFillTint="33"/>
            <w:noWrap/>
            <w:vAlign w:val="bottom"/>
            <w:hideMark/>
          </w:tcPr>
          <w:p w14:paraId="34E273E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87.1%</w:t>
            </w:r>
          </w:p>
        </w:tc>
        <w:tc>
          <w:tcPr>
            <w:tcW w:w="1407" w:type="dxa"/>
            <w:shd w:val="clear" w:color="auto" w:fill="auto"/>
            <w:noWrap/>
            <w:vAlign w:val="bottom"/>
            <w:hideMark/>
          </w:tcPr>
          <w:p w14:paraId="6E8558C1"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DEEAF6" w:themeFill="accent5" w:themeFillTint="33"/>
            <w:noWrap/>
            <w:vAlign w:val="bottom"/>
            <w:hideMark/>
          </w:tcPr>
          <w:p w14:paraId="0CAADD47"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21%</w:t>
            </w:r>
          </w:p>
        </w:tc>
        <w:tc>
          <w:tcPr>
            <w:tcW w:w="1490" w:type="dxa"/>
            <w:shd w:val="clear" w:color="auto" w:fill="auto"/>
            <w:noWrap/>
            <w:vAlign w:val="bottom"/>
            <w:hideMark/>
          </w:tcPr>
          <w:p w14:paraId="11F79555"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12%</w:t>
            </w:r>
          </w:p>
        </w:tc>
      </w:tr>
      <w:tr w:rsidR="00711296" w:rsidRPr="00672DA8" w14:paraId="5802D056" w14:textId="77777777" w:rsidTr="004831C9">
        <w:trPr>
          <w:trHeight w:val="300"/>
        </w:trPr>
        <w:tc>
          <w:tcPr>
            <w:tcW w:w="722" w:type="dxa"/>
            <w:shd w:val="clear" w:color="auto" w:fill="auto"/>
            <w:noWrap/>
            <w:vAlign w:val="bottom"/>
            <w:hideMark/>
          </w:tcPr>
          <w:p w14:paraId="4AE6F003"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1995</w:t>
            </w:r>
          </w:p>
        </w:tc>
        <w:tc>
          <w:tcPr>
            <w:tcW w:w="1866" w:type="dxa"/>
            <w:shd w:val="clear" w:color="auto" w:fill="auto"/>
            <w:noWrap/>
            <w:vAlign w:val="bottom"/>
            <w:hideMark/>
          </w:tcPr>
          <w:p w14:paraId="1892875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92.4%</w:t>
            </w:r>
          </w:p>
        </w:tc>
        <w:tc>
          <w:tcPr>
            <w:tcW w:w="1485" w:type="dxa"/>
            <w:shd w:val="clear" w:color="auto" w:fill="auto"/>
            <w:noWrap/>
            <w:vAlign w:val="bottom"/>
            <w:hideMark/>
          </w:tcPr>
          <w:p w14:paraId="485F162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88.1%</w:t>
            </w:r>
          </w:p>
        </w:tc>
        <w:tc>
          <w:tcPr>
            <w:tcW w:w="1407" w:type="dxa"/>
            <w:shd w:val="clear" w:color="auto" w:fill="auto"/>
            <w:noWrap/>
            <w:vAlign w:val="bottom"/>
            <w:hideMark/>
          </w:tcPr>
          <w:p w14:paraId="02E1D88C" w14:textId="77777777" w:rsidR="00711296" w:rsidRPr="00741E8E" w:rsidRDefault="00711296" w:rsidP="004831C9">
            <w:pPr>
              <w:bidi w:val="0"/>
              <w:rPr>
                <w:rFonts w:cs="Calibri"/>
                <w:color w:val="000000"/>
                <w:sz w:val="18"/>
                <w:szCs w:val="18"/>
              </w:rPr>
            </w:pPr>
            <w:r w:rsidRPr="00741E8E">
              <w:rPr>
                <w:rFonts w:cs="Calibri"/>
                <w:color w:val="000000"/>
                <w:sz w:val="18"/>
                <w:szCs w:val="18"/>
              </w:rPr>
              <w:t> </w:t>
            </w:r>
          </w:p>
        </w:tc>
        <w:tc>
          <w:tcPr>
            <w:tcW w:w="1435" w:type="dxa"/>
            <w:shd w:val="clear" w:color="auto" w:fill="auto"/>
            <w:noWrap/>
            <w:vAlign w:val="bottom"/>
            <w:hideMark/>
          </w:tcPr>
          <w:p w14:paraId="2D3D286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16%</w:t>
            </w:r>
          </w:p>
        </w:tc>
        <w:tc>
          <w:tcPr>
            <w:tcW w:w="1490" w:type="dxa"/>
            <w:shd w:val="clear" w:color="auto" w:fill="auto"/>
            <w:noWrap/>
            <w:vAlign w:val="bottom"/>
            <w:hideMark/>
          </w:tcPr>
          <w:p w14:paraId="1E44FF4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13%</w:t>
            </w:r>
          </w:p>
        </w:tc>
      </w:tr>
      <w:tr w:rsidR="00711296" w:rsidRPr="00672DA8" w14:paraId="79945BE3" w14:textId="77777777" w:rsidTr="004831C9">
        <w:trPr>
          <w:trHeight w:val="300"/>
        </w:trPr>
        <w:tc>
          <w:tcPr>
            <w:tcW w:w="722" w:type="dxa"/>
            <w:shd w:val="clear" w:color="auto" w:fill="auto"/>
            <w:noWrap/>
            <w:vAlign w:val="bottom"/>
            <w:hideMark/>
          </w:tcPr>
          <w:p w14:paraId="7EFF6940"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1996</w:t>
            </w:r>
          </w:p>
        </w:tc>
        <w:tc>
          <w:tcPr>
            <w:tcW w:w="1866" w:type="dxa"/>
            <w:shd w:val="clear" w:color="auto" w:fill="auto"/>
            <w:noWrap/>
            <w:vAlign w:val="bottom"/>
            <w:hideMark/>
          </w:tcPr>
          <w:p w14:paraId="2775BFA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94.0%</w:t>
            </w:r>
          </w:p>
        </w:tc>
        <w:tc>
          <w:tcPr>
            <w:tcW w:w="1485" w:type="dxa"/>
            <w:shd w:val="clear" w:color="auto" w:fill="auto"/>
            <w:noWrap/>
            <w:vAlign w:val="bottom"/>
            <w:hideMark/>
          </w:tcPr>
          <w:p w14:paraId="6B471A6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86.5%</w:t>
            </w:r>
          </w:p>
        </w:tc>
        <w:tc>
          <w:tcPr>
            <w:tcW w:w="1407" w:type="dxa"/>
            <w:shd w:val="clear" w:color="auto" w:fill="auto"/>
            <w:noWrap/>
            <w:vAlign w:val="bottom"/>
            <w:hideMark/>
          </w:tcPr>
          <w:p w14:paraId="21CCB0F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38%</w:t>
            </w:r>
          </w:p>
        </w:tc>
        <w:tc>
          <w:tcPr>
            <w:tcW w:w="1435" w:type="dxa"/>
            <w:shd w:val="clear" w:color="auto" w:fill="auto"/>
            <w:noWrap/>
            <w:vAlign w:val="bottom"/>
            <w:hideMark/>
          </w:tcPr>
          <w:p w14:paraId="44AED68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14%</w:t>
            </w:r>
          </w:p>
        </w:tc>
        <w:tc>
          <w:tcPr>
            <w:tcW w:w="1490" w:type="dxa"/>
            <w:shd w:val="clear" w:color="auto" w:fill="auto"/>
            <w:noWrap/>
            <w:vAlign w:val="bottom"/>
            <w:hideMark/>
          </w:tcPr>
          <w:p w14:paraId="0268626B"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12%</w:t>
            </w:r>
          </w:p>
        </w:tc>
      </w:tr>
      <w:tr w:rsidR="00711296" w:rsidRPr="00672DA8" w14:paraId="54D13533" w14:textId="77777777" w:rsidTr="004831C9">
        <w:trPr>
          <w:trHeight w:val="300"/>
        </w:trPr>
        <w:tc>
          <w:tcPr>
            <w:tcW w:w="722" w:type="dxa"/>
            <w:shd w:val="clear" w:color="auto" w:fill="auto"/>
            <w:noWrap/>
            <w:vAlign w:val="bottom"/>
            <w:hideMark/>
          </w:tcPr>
          <w:p w14:paraId="4B961C70"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1997</w:t>
            </w:r>
          </w:p>
        </w:tc>
        <w:tc>
          <w:tcPr>
            <w:tcW w:w="1866" w:type="dxa"/>
            <w:shd w:val="clear" w:color="auto" w:fill="auto"/>
            <w:noWrap/>
            <w:vAlign w:val="bottom"/>
            <w:hideMark/>
          </w:tcPr>
          <w:p w14:paraId="58CDC0B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93.7%</w:t>
            </w:r>
          </w:p>
        </w:tc>
        <w:tc>
          <w:tcPr>
            <w:tcW w:w="1485" w:type="dxa"/>
            <w:shd w:val="clear" w:color="auto" w:fill="auto"/>
            <w:noWrap/>
            <w:vAlign w:val="bottom"/>
            <w:hideMark/>
          </w:tcPr>
          <w:p w14:paraId="6867FA8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82.7%</w:t>
            </w:r>
          </w:p>
        </w:tc>
        <w:tc>
          <w:tcPr>
            <w:tcW w:w="1407" w:type="dxa"/>
            <w:shd w:val="clear" w:color="auto" w:fill="auto"/>
            <w:noWrap/>
            <w:vAlign w:val="bottom"/>
            <w:hideMark/>
          </w:tcPr>
          <w:p w14:paraId="780243F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44%</w:t>
            </w:r>
          </w:p>
        </w:tc>
        <w:tc>
          <w:tcPr>
            <w:tcW w:w="1435" w:type="dxa"/>
            <w:shd w:val="clear" w:color="auto" w:fill="auto"/>
            <w:noWrap/>
            <w:vAlign w:val="bottom"/>
            <w:hideMark/>
          </w:tcPr>
          <w:p w14:paraId="09F716E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17%</w:t>
            </w:r>
          </w:p>
        </w:tc>
        <w:tc>
          <w:tcPr>
            <w:tcW w:w="1490" w:type="dxa"/>
            <w:shd w:val="clear" w:color="auto" w:fill="auto"/>
            <w:noWrap/>
            <w:vAlign w:val="bottom"/>
            <w:hideMark/>
          </w:tcPr>
          <w:p w14:paraId="6737700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12%</w:t>
            </w:r>
          </w:p>
        </w:tc>
      </w:tr>
      <w:tr w:rsidR="00711296" w:rsidRPr="00672DA8" w14:paraId="151EA82F" w14:textId="77777777" w:rsidTr="004831C9">
        <w:trPr>
          <w:trHeight w:val="300"/>
        </w:trPr>
        <w:tc>
          <w:tcPr>
            <w:tcW w:w="722" w:type="dxa"/>
            <w:shd w:val="clear" w:color="auto" w:fill="auto"/>
            <w:noWrap/>
            <w:vAlign w:val="bottom"/>
            <w:hideMark/>
          </w:tcPr>
          <w:p w14:paraId="78F2C70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1998</w:t>
            </w:r>
          </w:p>
        </w:tc>
        <w:tc>
          <w:tcPr>
            <w:tcW w:w="1866" w:type="dxa"/>
            <w:shd w:val="clear" w:color="auto" w:fill="auto"/>
            <w:noWrap/>
            <w:vAlign w:val="bottom"/>
            <w:hideMark/>
          </w:tcPr>
          <w:p w14:paraId="14C97DA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96.1%</w:t>
            </w:r>
          </w:p>
        </w:tc>
        <w:tc>
          <w:tcPr>
            <w:tcW w:w="1485" w:type="dxa"/>
            <w:shd w:val="clear" w:color="auto" w:fill="auto"/>
            <w:noWrap/>
            <w:vAlign w:val="bottom"/>
            <w:hideMark/>
          </w:tcPr>
          <w:p w14:paraId="10E5648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77.2%</w:t>
            </w:r>
          </w:p>
        </w:tc>
        <w:tc>
          <w:tcPr>
            <w:tcW w:w="1407" w:type="dxa"/>
            <w:shd w:val="clear" w:color="auto" w:fill="auto"/>
            <w:noWrap/>
            <w:vAlign w:val="bottom"/>
            <w:hideMark/>
          </w:tcPr>
          <w:p w14:paraId="4B4E5D1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49%</w:t>
            </w:r>
          </w:p>
        </w:tc>
        <w:tc>
          <w:tcPr>
            <w:tcW w:w="1435" w:type="dxa"/>
            <w:shd w:val="clear" w:color="auto" w:fill="auto"/>
            <w:noWrap/>
            <w:vAlign w:val="bottom"/>
            <w:hideMark/>
          </w:tcPr>
          <w:p w14:paraId="18572C15"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22%</w:t>
            </w:r>
          </w:p>
        </w:tc>
        <w:tc>
          <w:tcPr>
            <w:tcW w:w="1490" w:type="dxa"/>
            <w:shd w:val="clear" w:color="auto" w:fill="auto"/>
            <w:noWrap/>
            <w:vAlign w:val="bottom"/>
            <w:hideMark/>
          </w:tcPr>
          <w:p w14:paraId="6342CF7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17%</w:t>
            </w:r>
          </w:p>
        </w:tc>
      </w:tr>
      <w:tr w:rsidR="00711296" w:rsidRPr="00672DA8" w14:paraId="770D3F91" w14:textId="77777777" w:rsidTr="004831C9">
        <w:trPr>
          <w:trHeight w:val="300"/>
        </w:trPr>
        <w:tc>
          <w:tcPr>
            <w:tcW w:w="722" w:type="dxa"/>
            <w:shd w:val="clear" w:color="auto" w:fill="auto"/>
            <w:noWrap/>
            <w:vAlign w:val="bottom"/>
            <w:hideMark/>
          </w:tcPr>
          <w:p w14:paraId="5426C84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1999</w:t>
            </w:r>
          </w:p>
        </w:tc>
        <w:tc>
          <w:tcPr>
            <w:tcW w:w="1866" w:type="dxa"/>
            <w:shd w:val="clear" w:color="auto" w:fill="auto"/>
            <w:noWrap/>
            <w:vAlign w:val="bottom"/>
            <w:hideMark/>
          </w:tcPr>
          <w:p w14:paraId="6EDDFDEB"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96.9%</w:t>
            </w:r>
          </w:p>
        </w:tc>
        <w:tc>
          <w:tcPr>
            <w:tcW w:w="1485" w:type="dxa"/>
            <w:shd w:val="clear" w:color="auto" w:fill="auto"/>
            <w:noWrap/>
            <w:vAlign w:val="bottom"/>
            <w:hideMark/>
          </w:tcPr>
          <w:p w14:paraId="55630E1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61.6%</w:t>
            </w:r>
          </w:p>
        </w:tc>
        <w:tc>
          <w:tcPr>
            <w:tcW w:w="1407" w:type="dxa"/>
            <w:shd w:val="clear" w:color="auto" w:fill="auto"/>
            <w:noWrap/>
            <w:vAlign w:val="bottom"/>
            <w:hideMark/>
          </w:tcPr>
          <w:p w14:paraId="541F790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49%</w:t>
            </w:r>
          </w:p>
        </w:tc>
        <w:tc>
          <w:tcPr>
            <w:tcW w:w="1435" w:type="dxa"/>
            <w:shd w:val="clear" w:color="auto" w:fill="auto"/>
            <w:noWrap/>
            <w:vAlign w:val="bottom"/>
            <w:hideMark/>
          </w:tcPr>
          <w:p w14:paraId="56727C4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23%</w:t>
            </w:r>
          </w:p>
        </w:tc>
        <w:tc>
          <w:tcPr>
            <w:tcW w:w="1490" w:type="dxa"/>
            <w:shd w:val="clear" w:color="auto" w:fill="auto"/>
            <w:noWrap/>
            <w:vAlign w:val="bottom"/>
            <w:hideMark/>
          </w:tcPr>
          <w:p w14:paraId="0117546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17%</w:t>
            </w:r>
          </w:p>
        </w:tc>
      </w:tr>
      <w:tr w:rsidR="00711296" w:rsidRPr="00672DA8" w14:paraId="74898EBA" w14:textId="77777777" w:rsidTr="004831C9">
        <w:trPr>
          <w:trHeight w:val="300"/>
        </w:trPr>
        <w:tc>
          <w:tcPr>
            <w:tcW w:w="722" w:type="dxa"/>
            <w:shd w:val="clear" w:color="auto" w:fill="auto"/>
            <w:noWrap/>
            <w:vAlign w:val="bottom"/>
            <w:hideMark/>
          </w:tcPr>
          <w:p w14:paraId="524C833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2000</w:t>
            </w:r>
          </w:p>
        </w:tc>
        <w:tc>
          <w:tcPr>
            <w:tcW w:w="1866" w:type="dxa"/>
            <w:shd w:val="clear" w:color="auto" w:fill="auto"/>
            <w:noWrap/>
            <w:vAlign w:val="bottom"/>
            <w:hideMark/>
          </w:tcPr>
          <w:p w14:paraId="5C524C10"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95.5%</w:t>
            </w:r>
          </w:p>
        </w:tc>
        <w:tc>
          <w:tcPr>
            <w:tcW w:w="1485" w:type="dxa"/>
            <w:shd w:val="clear" w:color="auto" w:fill="auto"/>
            <w:noWrap/>
            <w:vAlign w:val="bottom"/>
            <w:hideMark/>
          </w:tcPr>
          <w:p w14:paraId="5C3CEA6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73.8%</w:t>
            </w:r>
          </w:p>
        </w:tc>
        <w:tc>
          <w:tcPr>
            <w:tcW w:w="1407" w:type="dxa"/>
            <w:shd w:val="clear" w:color="auto" w:fill="auto"/>
            <w:noWrap/>
            <w:vAlign w:val="bottom"/>
            <w:hideMark/>
          </w:tcPr>
          <w:p w14:paraId="27F9ADD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41%</w:t>
            </w:r>
          </w:p>
        </w:tc>
        <w:tc>
          <w:tcPr>
            <w:tcW w:w="1435" w:type="dxa"/>
            <w:shd w:val="clear" w:color="auto" w:fill="auto"/>
            <w:noWrap/>
            <w:vAlign w:val="bottom"/>
            <w:hideMark/>
          </w:tcPr>
          <w:p w14:paraId="308FCA75"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19%</w:t>
            </w:r>
          </w:p>
        </w:tc>
        <w:tc>
          <w:tcPr>
            <w:tcW w:w="1490" w:type="dxa"/>
            <w:shd w:val="clear" w:color="auto" w:fill="auto"/>
            <w:noWrap/>
            <w:vAlign w:val="bottom"/>
            <w:hideMark/>
          </w:tcPr>
          <w:p w14:paraId="1756B5C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w:t>
            </w:r>
          </w:p>
        </w:tc>
      </w:tr>
      <w:tr w:rsidR="00711296" w:rsidRPr="00672DA8" w14:paraId="0DDE9DE6" w14:textId="77777777" w:rsidTr="004831C9">
        <w:trPr>
          <w:trHeight w:val="300"/>
        </w:trPr>
        <w:tc>
          <w:tcPr>
            <w:tcW w:w="722" w:type="dxa"/>
            <w:shd w:val="clear" w:color="auto" w:fill="auto"/>
            <w:noWrap/>
            <w:vAlign w:val="bottom"/>
            <w:hideMark/>
          </w:tcPr>
          <w:p w14:paraId="5C356F2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2001</w:t>
            </w:r>
          </w:p>
        </w:tc>
        <w:tc>
          <w:tcPr>
            <w:tcW w:w="1866" w:type="dxa"/>
            <w:shd w:val="clear" w:color="auto" w:fill="auto"/>
            <w:noWrap/>
            <w:vAlign w:val="bottom"/>
            <w:hideMark/>
          </w:tcPr>
          <w:p w14:paraId="08F70A10"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96.8%</w:t>
            </w:r>
          </w:p>
        </w:tc>
        <w:tc>
          <w:tcPr>
            <w:tcW w:w="1485" w:type="dxa"/>
            <w:shd w:val="clear" w:color="auto" w:fill="auto"/>
            <w:noWrap/>
            <w:vAlign w:val="bottom"/>
            <w:hideMark/>
          </w:tcPr>
          <w:p w14:paraId="0849ACD5"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68.4%</w:t>
            </w:r>
          </w:p>
        </w:tc>
        <w:tc>
          <w:tcPr>
            <w:tcW w:w="1407" w:type="dxa"/>
            <w:shd w:val="clear" w:color="auto" w:fill="auto"/>
            <w:noWrap/>
            <w:vAlign w:val="bottom"/>
            <w:hideMark/>
          </w:tcPr>
          <w:p w14:paraId="0D781085"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0%</w:t>
            </w:r>
          </w:p>
        </w:tc>
        <w:tc>
          <w:tcPr>
            <w:tcW w:w="1435" w:type="dxa"/>
            <w:shd w:val="clear" w:color="auto" w:fill="auto"/>
            <w:noWrap/>
            <w:vAlign w:val="bottom"/>
            <w:hideMark/>
          </w:tcPr>
          <w:p w14:paraId="521E671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13%</w:t>
            </w:r>
          </w:p>
        </w:tc>
        <w:tc>
          <w:tcPr>
            <w:tcW w:w="1490" w:type="dxa"/>
            <w:shd w:val="clear" w:color="auto" w:fill="auto"/>
            <w:noWrap/>
            <w:vAlign w:val="bottom"/>
            <w:hideMark/>
          </w:tcPr>
          <w:p w14:paraId="73653CE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w:t>
            </w:r>
          </w:p>
        </w:tc>
      </w:tr>
      <w:tr w:rsidR="00711296" w:rsidRPr="00672DA8" w14:paraId="37E7B51F" w14:textId="77777777" w:rsidTr="004831C9">
        <w:trPr>
          <w:trHeight w:val="300"/>
        </w:trPr>
        <w:tc>
          <w:tcPr>
            <w:tcW w:w="722" w:type="dxa"/>
            <w:shd w:val="clear" w:color="auto" w:fill="auto"/>
            <w:noWrap/>
            <w:vAlign w:val="bottom"/>
            <w:hideMark/>
          </w:tcPr>
          <w:p w14:paraId="305C3FB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2002</w:t>
            </w:r>
          </w:p>
        </w:tc>
        <w:tc>
          <w:tcPr>
            <w:tcW w:w="1866" w:type="dxa"/>
            <w:shd w:val="clear" w:color="auto" w:fill="auto"/>
            <w:noWrap/>
            <w:vAlign w:val="bottom"/>
            <w:hideMark/>
          </w:tcPr>
          <w:p w14:paraId="5E055467"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94.0%</w:t>
            </w:r>
          </w:p>
        </w:tc>
        <w:tc>
          <w:tcPr>
            <w:tcW w:w="1485" w:type="dxa"/>
            <w:shd w:val="clear" w:color="auto" w:fill="auto"/>
            <w:noWrap/>
            <w:vAlign w:val="bottom"/>
            <w:hideMark/>
          </w:tcPr>
          <w:p w14:paraId="0D83D61A"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76.3%</w:t>
            </w:r>
          </w:p>
        </w:tc>
        <w:tc>
          <w:tcPr>
            <w:tcW w:w="1407" w:type="dxa"/>
            <w:shd w:val="clear" w:color="auto" w:fill="auto"/>
            <w:noWrap/>
            <w:vAlign w:val="bottom"/>
            <w:hideMark/>
          </w:tcPr>
          <w:p w14:paraId="15B95F6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w:t>
            </w:r>
          </w:p>
        </w:tc>
        <w:tc>
          <w:tcPr>
            <w:tcW w:w="1435" w:type="dxa"/>
            <w:shd w:val="clear" w:color="auto" w:fill="auto"/>
            <w:noWrap/>
            <w:vAlign w:val="bottom"/>
            <w:hideMark/>
          </w:tcPr>
          <w:p w14:paraId="038D3EC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w:t>
            </w:r>
          </w:p>
        </w:tc>
        <w:tc>
          <w:tcPr>
            <w:tcW w:w="1490" w:type="dxa"/>
            <w:shd w:val="clear" w:color="auto" w:fill="auto"/>
            <w:noWrap/>
            <w:vAlign w:val="bottom"/>
            <w:hideMark/>
          </w:tcPr>
          <w:p w14:paraId="5CAEC5D0"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w:t>
            </w:r>
          </w:p>
        </w:tc>
      </w:tr>
      <w:tr w:rsidR="00711296" w:rsidRPr="00672DA8" w14:paraId="3F3AA938" w14:textId="77777777" w:rsidTr="004831C9">
        <w:trPr>
          <w:trHeight w:val="300"/>
        </w:trPr>
        <w:tc>
          <w:tcPr>
            <w:tcW w:w="722" w:type="dxa"/>
            <w:shd w:val="clear" w:color="auto" w:fill="auto"/>
            <w:noWrap/>
            <w:vAlign w:val="bottom"/>
            <w:hideMark/>
          </w:tcPr>
          <w:p w14:paraId="4F1C4A1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2003</w:t>
            </w:r>
          </w:p>
        </w:tc>
        <w:tc>
          <w:tcPr>
            <w:tcW w:w="1866" w:type="dxa"/>
            <w:shd w:val="clear" w:color="auto" w:fill="auto"/>
            <w:noWrap/>
            <w:vAlign w:val="bottom"/>
            <w:hideMark/>
          </w:tcPr>
          <w:p w14:paraId="0B5245E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94.1%</w:t>
            </w:r>
          </w:p>
        </w:tc>
        <w:tc>
          <w:tcPr>
            <w:tcW w:w="1485" w:type="dxa"/>
            <w:shd w:val="clear" w:color="auto" w:fill="auto"/>
            <w:noWrap/>
            <w:vAlign w:val="bottom"/>
            <w:hideMark/>
          </w:tcPr>
          <w:p w14:paraId="6E5116B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76.6%</w:t>
            </w:r>
          </w:p>
        </w:tc>
        <w:tc>
          <w:tcPr>
            <w:tcW w:w="1407" w:type="dxa"/>
            <w:shd w:val="clear" w:color="auto" w:fill="auto"/>
            <w:noWrap/>
            <w:vAlign w:val="bottom"/>
            <w:hideMark/>
          </w:tcPr>
          <w:p w14:paraId="37E2771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35%</w:t>
            </w:r>
          </w:p>
        </w:tc>
        <w:tc>
          <w:tcPr>
            <w:tcW w:w="1435" w:type="dxa"/>
            <w:shd w:val="clear" w:color="auto" w:fill="auto"/>
            <w:noWrap/>
            <w:vAlign w:val="bottom"/>
            <w:hideMark/>
          </w:tcPr>
          <w:p w14:paraId="05FEFE1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w:t>
            </w:r>
          </w:p>
        </w:tc>
        <w:tc>
          <w:tcPr>
            <w:tcW w:w="1490" w:type="dxa"/>
            <w:shd w:val="clear" w:color="auto" w:fill="auto"/>
            <w:noWrap/>
            <w:vAlign w:val="bottom"/>
            <w:hideMark/>
          </w:tcPr>
          <w:p w14:paraId="2266078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w:t>
            </w:r>
          </w:p>
        </w:tc>
      </w:tr>
      <w:tr w:rsidR="00711296" w:rsidRPr="00672DA8" w14:paraId="55975A16" w14:textId="77777777" w:rsidTr="004831C9">
        <w:trPr>
          <w:trHeight w:val="300"/>
        </w:trPr>
        <w:tc>
          <w:tcPr>
            <w:tcW w:w="722" w:type="dxa"/>
            <w:shd w:val="clear" w:color="auto" w:fill="auto"/>
            <w:noWrap/>
            <w:vAlign w:val="bottom"/>
            <w:hideMark/>
          </w:tcPr>
          <w:p w14:paraId="487A9C8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2004</w:t>
            </w:r>
          </w:p>
        </w:tc>
        <w:tc>
          <w:tcPr>
            <w:tcW w:w="1866" w:type="dxa"/>
            <w:shd w:val="clear" w:color="auto" w:fill="auto"/>
            <w:noWrap/>
            <w:vAlign w:val="bottom"/>
            <w:hideMark/>
          </w:tcPr>
          <w:p w14:paraId="22D33F4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93.2%</w:t>
            </w:r>
          </w:p>
        </w:tc>
        <w:tc>
          <w:tcPr>
            <w:tcW w:w="1485" w:type="dxa"/>
            <w:shd w:val="clear" w:color="auto" w:fill="auto"/>
            <w:noWrap/>
            <w:vAlign w:val="bottom"/>
            <w:hideMark/>
          </w:tcPr>
          <w:p w14:paraId="1D2E8F8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77.0%</w:t>
            </w:r>
          </w:p>
        </w:tc>
        <w:tc>
          <w:tcPr>
            <w:tcW w:w="1407" w:type="dxa"/>
            <w:shd w:val="clear" w:color="auto" w:fill="auto"/>
            <w:noWrap/>
            <w:vAlign w:val="bottom"/>
            <w:hideMark/>
          </w:tcPr>
          <w:p w14:paraId="1E44417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51%</w:t>
            </w:r>
          </w:p>
        </w:tc>
        <w:tc>
          <w:tcPr>
            <w:tcW w:w="1435" w:type="dxa"/>
            <w:shd w:val="clear" w:color="auto" w:fill="auto"/>
            <w:noWrap/>
            <w:vAlign w:val="bottom"/>
            <w:hideMark/>
          </w:tcPr>
          <w:p w14:paraId="3B90913B"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w:t>
            </w:r>
          </w:p>
        </w:tc>
        <w:tc>
          <w:tcPr>
            <w:tcW w:w="1490" w:type="dxa"/>
            <w:shd w:val="clear" w:color="auto" w:fill="auto"/>
            <w:noWrap/>
            <w:vAlign w:val="bottom"/>
            <w:hideMark/>
          </w:tcPr>
          <w:p w14:paraId="342048D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w:t>
            </w:r>
          </w:p>
        </w:tc>
      </w:tr>
      <w:tr w:rsidR="00711296" w:rsidRPr="00672DA8" w14:paraId="11CAB47A" w14:textId="77777777" w:rsidTr="004831C9">
        <w:trPr>
          <w:trHeight w:val="300"/>
        </w:trPr>
        <w:tc>
          <w:tcPr>
            <w:tcW w:w="722" w:type="dxa"/>
            <w:shd w:val="clear" w:color="auto" w:fill="auto"/>
            <w:noWrap/>
            <w:vAlign w:val="bottom"/>
            <w:hideMark/>
          </w:tcPr>
          <w:p w14:paraId="2A67F31B"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2005</w:t>
            </w:r>
          </w:p>
        </w:tc>
        <w:tc>
          <w:tcPr>
            <w:tcW w:w="1866" w:type="dxa"/>
            <w:shd w:val="clear" w:color="auto" w:fill="auto"/>
            <w:noWrap/>
            <w:vAlign w:val="bottom"/>
            <w:hideMark/>
          </w:tcPr>
          <w:p w14:paraId="70E628F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92.8%</w:t>
            </w:r>
          </w:p>
        </w:tc>
        <w:tc>
          <w:tcPr>
            <w:tcW w:w="1485" w:type="dxa"/>
            <w:shd w:val="clear" w:color="auto" w:fill="auto"/>
            <w:noWrap/>
            <w:vAlign w:val="bottom"/>
            <w:hideMark/>
          </w:tcPr>
          <w:p w14:paraId="48BED450"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75.5%</w:t>
            </w:r>
          </w:p>
        </w:tc>
        <w:tc>
          <w:tcPr>
            <w:tcW w:w="1407" w:type="dxa"/>
            <w:shd w:val="clear" w:color="auto" w:fill="auto"/>
            <w:noWrap/>
            <w:vAlign w:val="bottom"/>
            <w:hideMark/>
          </w:tcPr>
          <w:p w14:paraId="5BE3E4A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45%</w:t>
            </w:r>
          </w:p>
        </w:tc>
        <w:tc>
          <w:tcPr>
            <w:tcW w:w="1435" w:type="dxa"/>
            <w:shd w:val="clear" w:color="auto" w:fill="auto"/>
            <w:noWrap/>
            <w:vAlign w:val="bottom"/>
            <w:hideMark/>
          </w:tcPr>
          <w:p w14:paraId="50C750C7"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w:t>
            </w:r>
          </w:p>
        </w:tc>
        <w:tc>
          <w:tcPr>
            <w:tcW w:w="1490" w:type="dxa"/>
            <w:shd w:val="clear" w:color="auto" w:fill="auto"/>
            <w:noWrap/>
            <w:vAlign w:val="bottom"/>
            <w:hideMark/>
          </w:tcPr>
          <w:p w14:paraId="0972BD0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w:t>
            </w:r>
          </w:p>
        </w:tc>
      </w:tr>
      <w:tr w:rsidR="00711296" w:rsidRPr="00672DA8" w14:paraId="5B68DBA8" w14:textId="77777777" w:rsidTr="004831C9">
        <w:trPr>
          <w:trHeight w:val="300"/>
        </w:trPr>
        <w:tc>
          <w:tcPr>
            <w:tcW w:w="722" w:type="dxa"/>
            <w:shd w:val="clear" w:color="auto" w:fill="auto"/>
            <w:noWrap/>
            <w:vAlign w:val="bottom"/>
            <w:hideMark/>
          </w:tcPr>
          <w:p w14:paraId="287A544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2006</w:t>
            </w:r>
          </w:p>
        </w:tc>
        <w:tc>
          <w:tcPr>
            <w:tcW w:w="1866" w:type="dxa"/>
            <w:shd w:val="clear" w:color="auto" w:fill="auto"/>
            <w:noWrap/>
            <w:vAlign w:val="bottom"/>
            <w:hideMark/>
          </w:tcPr>
          <w:p w14:paraId="77FF3AB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94.2%</w:t>
            </w:r>
          </w:p>
        </w:tc>
        <w:tc>
          <w:tcPr>
            <w:tcW w:w="1485" w:type="dxa"/>
            <w:shd w:val="clear" w:color="auto" w:fill="auto"/>
            <w:noWrap/>
            <w:vAlign w:val="bottom"/>
            <w:hideMark/>
          </w:tcPr>
          <w:p w14:paraId="157BACE3"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77.4%</w:t>
            </w:r>
          </w:p>
        </w:tc>
        <w:tc>
          <w:tcPr>
            <w:tcW w:w="1407" w:type="dxa"/>
            <w:shd w:val="clear" w:color="auto" w:fill="auto"/>
            <w:noWrap/>
            <w:vAlign w:val="bottom"/>
            <w:hideMark/>
          </w:tcPr>
          <w:p w14:paraId="44A43B6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w:t>
            </w:r>
          </w:p>
        </w:tc>
        <w:tc>
          <w:tcPr>
            <w:tcW w:w="1435" w:type="dxa"/>
            <w:shd w:val="clear" w:color="auto" w:fill="auto"/>
            <w:noWrap/>
            <w:vAlign w:val="bottom"/>
            <w:hideMark/>
          </w:tcPr>
          <w:p w14:paraId="6B88E94A"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w:t>
            </w:r>
          </w:p>
        </w:tc>
        <w:tc>
          <w:tcPr>
            <w:tcW w:w="1490" w:type="dxa"/>
            <w:shd w:val="clear" w:color="auto" w:fill="auto"/>
            <w:noWrap/>
            <w:vAlign w:val="bottom"/>
            <w:hideMark/>
          </w:tcPr>
          <w:p w14:paraId="7E6A9F2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5%</w:t>
            </w:r>
          </w:p>
        </w:tc>
      </w:tr>
      <w:tr w:rsidR="00711296" w:rsidRPr="00672DA8" w14:paraId="15958D61" w14:textId="77777777" w:rsidTr="004831C9">
        <w:trPr>
          <w:trHeight w:val="300"/>
        </w:trPr>
        <w:tc>
          <w:tcPr>
            <w:tcW w:w="722" w:type="dxa"/>
            <w:shd w:val="clear" w:color="auto" w:fill="auto"/>
            <w:noWrap/>
            <w:vAlign w:val="bottom"/>
            <w:hideMark/>
          </w:tcPr>
          <w:p w14:paraId="60BFAE4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2007</w:t>
            </w:r>
          </w:p>
        </w:tc>
        <w:tc>
          <w:tcPr>
            <w:tcW w:w="1866" w:type="dxa"/>
            <w:shd w:val="clear" w:color="auto" w:fill="auto"/>
            <w:noWrap/>
            <w:vAlign w:val="bottom"/>
            <w:hideMark/>
          </w:tcPr>
          <w:p w14:paraId="348E738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93.8%</w:t>
            </w:r>
          </w:p>
        </w:tc>
        <w:tc>
          <w:tcPr>
            <w:tcW w:w="1485" w:type="dxa"/>
            <w:shd w:val="clear" w:color="auto" w:fill="auto"/>
            <w:noWrap/>
            <w:vAlign w:val="bottom"/>
            <w:hideMark/>
          </w:tcPr>
          <w:p w14:paraId="57F2B45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77.6%</w:t>
            </w:r>
          </w:p>
        </w:tc>
        <w:tc>
          <w:tcPr>
            <w:tcW w:w="1407" w:type="dxa"/>
            <w:shd w:val="clear" w:color="auto" w:fill="auto"/>
            <w:noWrap/>
            <w:vAlign w:val="bottom"/>
            <w:hideMark/>
          </w:tcPr>
          <w:p w14:paraId="14FC830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45%</w:t>
            </w:r>
          </w:p>
        </w:tc>
        <w:tc>
          <w:tcPr>
            <w:tcW w:w="1435" w:type="dxa"/>
            <w:shd w:val="clear" w:color="auto" w:fill="auto"/>
            <w:noWrap/>
            <w:vAlign w:val="bottom"/>
            <w:hideMark/>
          </w:tcPr>
          <w:p w14:paraId="363CA50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w:t>
            </w:r>
          </w:p>
        </w:tc>
        <w:tc>
          <w:tcPr>
            <w:tcW w:w="1490" w:type="dxa"/>
            <w:shd w:val="clear" w:color="auto" w:fill="auto"/>
            <w:noWrap/>
            <w:vAlign w:val="bottom"/>
            <w:hideMark/>
          </w:tcPr>
          <w:p w14:paraId="4F94ABF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5%</w:t>
            </w:r>
          </w:p>
        </w:tc>
      </w:tr>
      <w:tr w:rsidR="00711296" w:rsidRPr="00672DA8" w14:paraId="7450897F" w14:textId="77777777" w:rsidTr="004831C9">
        <w:trPr>
          <w:trHeight w:val="300"/>
        </w:trPr>
        <w:tc>
          <w:tcPr>
            <w:tcW w:w="722" w:type="dxa"/>
            <w:shd w:val="clear" w:color="auto" w:fill="auto"/>
            <w:noWrap/>
            <w:vAlign w:val="bottom"/>
            <w:hideMark/>
          </w:tcPr>
          <w:p w14:paraId="255D7EA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2008</w:t>
            </w:r>
          </w:p>
        </w:tc>
        <w:tc>
          <w:tcPr>
            <w:tcW w:w="1866" w:type="dxa"/>
            <w:shd w:val="clear" w:color="auto" w:fill="auto"/>
            <w:noWrap/>
            <w:vAlign w:val="bottom"/>
            <w:hideMark/>
          </w:tcPr>
          <w:p w14:paraId="0ECFCFC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93.7%</w:t>
            </w:r>
          </w:p>
        </w:tc>
        <w:tc>
          <w:tcPr>
            <w:tcW w:w="1485" w:type="dxa"/>
            <w:shd w:val="clear" w:color="auto" w:fill="auto"/>
            <w:noWrap/>
            <w:vAlign w:val="bottom"/>
            <w:hideMark/>
          </w:tcPr>
          <w:p w14:paraId="55624D8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83.4%</w:t>
            </w:r>
          </w:p>
        </w:tc>
        <w:tc>
          <w:tcPr>
            <w:tcW w:w="1407" w:type="dxa"/>
            <w:shd w:val="clear" w:color="auto" w:fill="auto"/>
            <w:noWrap/>
            <w:vAlign w:val="bottom"/>
            <w:hideMark/>
          </w:tcPr>
          <w:p w14:paraId="3745C84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30%</w:t>
            </w:r>
          </w:p>
        </w:tc>
        <w:tc>
          <w:tcPr>
            <w:tcW w:w="1435" w:type="dxa"/>
            <w:shd w:val="clear" w:color="auto" w:fill="auto"/>
            <w:noWrap/>
            <w:vAlign w:val="bottom"/>
            <w:hideMark/>
          </w:tcPr>
          <w:p w14:paraId="0B22270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10%</w:t>
            </w:r>
          </w:p>
        </w:tc>
        <w:tc>
          <w:tcPr>
            <w:tcW w:w="1490" w:type="dxa"/>
            <w:shd w:val="clear" w:color="auto" w:fill="auto"/>
            <w:noWrap/>
            <w:vAlign w:val="bottom"/>
            <w:hideMark/>
          </w:tcPr>
          <w:p w14:paraId="383F6D4A"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w:t>
            </w:r>
          </w:p>
        </w:tc>
      </w:tr>
      <w:tr w:rsidR="00711296" w:rsidRPr="00672DA8" w14:paraId="23C2CCCC" w14:textId="77777777" w:rsidTr="004831C9">
        <w:trPr>
          <w:trHeight w:val="300"/>
        </w:trPr>
        <w:tc>
          <w:tcPr>
            <w:tcW w:w="722" w:type="dxa"/>
            <w:shd w:val="clear" w:color="auto" w:fill="auto"/>
            <w:noWrap/>
            <w:vAlign w:val="bottom"/>
            <w:hideMark/>
          </w:tcPr>
          <w:p w14:paraId="50B7B04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2009</w:t>
            </w:r>
          </w:p>
        </w:tc>
        <w:tc>
          <w:tcPr>
            <w:tcW w:w="1866" w:type="dxa"/>
            <w:shd w:val="clear" w:color="auto" w:fill="auto"/>
            <w:noWrap/>
            <w:vAlign w:val="bottom"/>
            <w:hideMark/>
          </w:tcPr>
          <w:p w14:paraId="31F2068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93.0%</w:t>
            </w:r>
          </w:p>
        </w:tc>
        <w:tc>
          <w:tcPr>
            <w:tcW w:w="1485" w:type="dxa"/>
            <w:shd w:val="clear" w:color="auto" w:fill="auto"/>
            <w:noWrap/>
            <w:vAlign w:val="bottom"/>
            <w:hideMark/>
          </w:tcPr>
          <w:p w14:paraId="2CF1637A"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78.0%</w:t>
            </w:r>
          </w:p>
        </w:tc>
        <w:tc>
          <w:tcPr>
            <w:tcW w:w="1407" w:type="dxa"/>
            <w:shd w:val="clear" w:color="auto" w:fill="auto"/>
            <w:noWrap/>
            <w:vAlign w:val="bottom"/>
            <w:hideMark/>
          </w:tcPr>
          <w:p w14:paraId="4382118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37%</w:t>
            </w:r>
          </w:p>
        </w:tc>
        <w:tc>
          <w:tcPr>
            <w:tcW w:w="1435" w:type="dxa"/>
            <w:shd w:val="clear" w:color="auto" w:fill="auto"/>
            <w:noWrap/>
            <w:vAlign w:val="bottom"/>
            <w:hideMark/>
          </w:tcPr>
          <w:p w14:paraId="6FE6D8C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10%</w:t>
            </w:r>
          </w:p>
        </w:tc>
        <w:tc>
          <w:tcPr>
            <w:tcW w:w="1490" w:type="dxa"/>
            <w:shd w:val="clear" w:color="auto" w:fill="auto"/>
            <w:noWrap/>
            <w:vAlign w:val="bottom"/>
            <w:hideMark/>
          </w:tcPr>
          <w:p w14:paraId="0616623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5%</w:t>
            </w:r>
          </w:p>
        </w:tc>
      </w:tr>
      <w:tr w:rsidR="00711296" w:rsidRPr="00672DA8" w14:paraId="6EA43C79" w14:textId="77777777" w:rsidTr="004831C9">
        <w:trPr>
          <w:trHeight w:val="315"/>
        </w:trPr>
        <w:tc>
          <w:tcPr>
            <w:tcW w:w="722" w:type="dxa"/>
            <w:shd w:val="clear" w:color="auto" w:fill="auto"/>
            <w:noWrap/>
            <w:vAlign w:val="bottom"/>
            <w:hideMark/>
          </w:tcPr>
          <w:p w14:paraId="0337686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2010</w:t>
            </w:r>
          </w:p>
        </w:tc>
        <w:tc>
          <w:tcPr>
            <w:tcW w:w="1866" w:type="dxa"/>
            <w:shd w:val="clear" w:color="auto" w:fill="auto"/>
            <w:noWrap/>
            <w:vAlign w:val="bottom"/>
            <w:hideMark/>
          </w:tcPr>
          <w:p w14:paraId="7FAD1D6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90.7%</w:t>
            </w:r>
          </w:p>
        </w:tc>
        <w:tc>
          <w:tcPr>
            <w:tcW w:w="1485" w:type="dxa"/>
            <w:shd w:val="clear" w:color="auto" w:fill="auto"/>
            <w:noWrap/>
            <w:vAlign w:val="bottom"/>
            <w:hideMark/>
          </w:tcPr>
          <w:p w14:paraId="2F4D8DB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75.3%</w:t>
            </w:r>
          </w:p>
        </w:tc>
        <w:tc>
          <w:tcPr>
            <w:tcW w:w="1407" w:type="dxa"/>
            <w:shd w:val="clear" w:color="auto" w:fill="auto"/>
            <w:noWrap/>
            <w:vAlign w:val="bottom"/>
            <w:hideMark/>
          </w:tcPr>
          <w:p w14:paraId="4D41ED0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40%</w:t>
            </w:r>
          </w:p>
        </w:tc>
        <w:tc>
          <w:tcPr>
            <w:tcW w:w="1435" w:type="dxa"/>
            <w:shd w:val="clear" w:color="auto" w:fill="auto"/>
            <w:noWrap/>
            <w:vAlign w:val="bottom"/>
            <w:hideMark/>
          </w:tcPr>
          <w:p w14:paraId="75303AE7"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10%</w:t>
            </w:r>
          </w:p>
        </w:tc>
        <w:tc>
          <w:tcPr>
            <w:tcW w:w="1490" w:type="dxa"/>
            <w:shd w:val="clear" w:color="auto" w:fill="auto"/>
            <w:noWrap/>
            <w:vAlign w:val="bottom"/>
            <w:hideMark/>
          </w:tcPr>
          <w:p w14:paraId="5650A3A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5%</w:t>
            </w:r>
          </w:p>
        </w:tc>
      </w:tr>
      <w:tr w:rsidR="00711296" w:rsidRPr="00672DA8" w14:paraId="4C95FACF" w14:textId="77777777" w:rsidTr="004831C9">
        <w:trPr>
          <w:trHeight w:val="300"/>
        </w:trPr>
        <w:tc>
          <w:tcPr>
            <w:tcW w:w="722" w:type="dxa"/>
            <w:shd w:val="clear" w:color="auto" w:fill="auto"/>
            <w:noWrap/>
            <w:vAlign w:val="bottom"/>
            <w:hideMark/>
          </w:tcPr>
          <w:p w14:paraId="2DB0EE3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2011</w:t>
            </w:r>
          </w:p>
        </w:tc>
        <w:tc>
          <w:tcPr>
            <w:tcW w:w="1866" w:type="dxa"/>
            <w:shd w:val="clear" w:color="auto" w:fill="auto"/>
            <w:noWrap/>
            <w:vAlign w:val="bottom"/>
            <w:hideMark/>
          </w:tcPr>
          <w:p w14:paraId="77B04C6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91.6%</w:t>
            </w:r>
          </w:p>
        </w:tc>
        <w:tc>
          <w:tcPr>
            <w:tcW w:w="1485" w:type="dxa"/>
            <w:shd w:val="clear" w:color="auto" w:fill="auto"/>
            <w:noWrap/>
            <w:vAlign w:val="bottom"/>
            <w:hideMark/>
          </w:tcPr>
          <w:p w14:paraId="417139F5"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74.1%</w:t>
            </w:r>
          </w:p>
        </w:tc>
        <w:tc>
          <w:tcPr>
            <w:tcW w:w="1407" w:type="dxa"/>
            <w:shd w:val="clear" w:color="auto" w:fill="auto"/>
            <w:noWrap/>
            <w:vAlign w:val="bottom"/>
            <w:hideMark/>
          </w:tcPr>
          <w:p w14:paraId="2FC93AC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47%</w:t>
            </w:r>
          </w:p>
        </w:tc>
        <w:tc>
          <w:tcPr>
            <w:tcW w:w="1435" w:type="dxa"/>
            <w:shd w:val="clear" w:color="auto" w:fill="auto"/>
            <w:noWrap/>
            <w:vAlign w:val="bottom"/>
            <w:hideMark/>
          </w:tcPr>
          <w:p w14:paraId="55DFD44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10%</w:t>
            </w:r>
          </w:p>
        </w:tc>
        <w:tc>
          <w:tcPr>
            <w:tcW w:w="1490" w:type="dxa"/>
            <w:shd w:val="clear" w:color="auto" w:fill="auto"/>
            <w:noWrap/>
            <w:vAlign w:val="bottom"/>
            <w:hideMark/>
          </w:tcPr>
          <w:p w14:paraId="06DFA3A7"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w:t>
            </w:r>
          </w:p>
        </w:tc>
      </w:tr>
      <w:tr w:rsidR="00711296" w:rsidRPr="00672DA8" w14:paraId="3A0D8F06" w14:textId="77777777" w:rsidTr="004831C9">
        <w:trPr>
          <w:trHeight w:val="300"/>
        </w:trPr>
        <w:tc>
          <w:tcPr>
            <w:tcW w:w="722" w:type="dxa"/>
            <w:shd w:val="clear" w:color="auto" w:fill="auto"/>
            <w:noWrap/>
            <w:vAlign w:val="bottom"/>
            <w:hideMark/>
          </w:tcPr>
          <w:p w14:paraId="30C3B96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2012</w:t>
            </w:r>
          </w:p>
        </w:tc>
        <w:tc>
          <w:tcPr>
            <w:tcW w:w="1866" w:type="dxa"/>
            <w:shd w:val="clear" w:color="auto" w:fill="auto"/>
            <w:noWrap/>
            <w:vAlign w:val="bottom"/>
            <w:hideMark/>
          </w:tcPr>
          <w:p w14:paraId="5FAD8FD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88.9%</w:t>
            </w:r>
          </w:p>
        </w:tc>
        <w:tc>
          <w:tcPr>
            <w:tcW w:w="1485" w:type="dxa"/>
            <w:shd w:val="clear" w:color="auto" w:fill="auto"/>
            <w:noWrap/>
            <w:vAlign w:val="bottom"/>
            <w:hideMark/>
          </w:tcPr>
          <w:p w14:paraId="2073437B"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75.0%</w:t>
            </w:r>
          </w:p>
        </w:tc>
        <w:tc>
          <w:tcPr>
            <w:tcW w:w="1407" w:type="dxa"/>
            <w:shd w:val="clear" w:color="auto" w:fill="auto"/>
            <w:noWrap/>
            <w:vAlign w:val="bottom"/>
            <w:hideMark/>
          </w:tcPr>
          <w:p w14:paraId="00F0978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50%</w:t>
            </w:r>
          </w:p>
        </w:tc>
        <w:tc>
          <w:tcPr>
            <w:tcW w:w="1435" w:type="dxa"/>
            <w:shd w:val="clear" w:color="auto" w:fill="auto"/>
            <w:noWrap/>
            <w:vAlign w:val="bottom"/>
            <w:hideMark/>
          </w:tcPr>
          <w:p w14:paraId="28F1173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10%</w:t>
            </w:r>
          </w:p>
        </w:tc>
        <w:tc>
          <w:tcPr>
            <w:tcW w:w="1490" w:type="dxa"/>
            <w:shd w:val="clear" w:color="auto" w:fill="auto"/>
            <w:noWrap/>
            <w:vAlign w:val="bottom"/>
            <w:hideMark/>
          </w:tcPr>
          <w:p w14:paraId="441378C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w:t>
            </w:r>
          </w:p>
        </w:tc>
      </w:tr>
      <w:tr w:rsidR="00711296" w:rsidRPr="00672DA8" w14:paraId="3391B0CE" w14:textId="77777777" w:rsidTr="004831C9">
        <w:trPr>
          <w:trHeight w:val="300"/>
        </w:trPr>
        <w:tc>
          <w:tcPr>
            <w:tcW w:w="722" w:type="dxa"/>
            <w:shd w:val="clear" w:color="auto" w:fill="auto"/>
            <w:noWrap/>
            <w:vAlign w:val="bottom"/>
            <w:hideMark/>
          </w:tcPr>
          <w:p w14:paraId="3534ACC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2013</w:t>
            </w:r>
          </w:p>
        </w:tc>
        <w:tc>
          <w:tcPr>
            <w:tcW w:w="1866" w:type="dxa"/>
            <w:shd w:val="clear" w:color="auto" w:fill="auto"/>
            <w:noWrap/>
            <w:vAlign w:val="bottom"/>
            <w:hideMark/>
          </w:tcPr>
          <w:p w14:paraId="40D6033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91.7%</w:t>
            </w:r>
          </w:p>
        </w:tc>
        <w:tc>
          <w:tcPr>
            <w:tcW w:w="1485" w:type="dxa"/>
            <w:shd w:val="clear" w:color="auto" w:fill="auto"/>
            <w:noWrap/>
            <w:vAlign w:val="bottom"/>
            <w:hideMark/>
          </w:tcPr>
          <w:p w14:paraId="6D4677D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75.6%</w:t>
            </w:r>
          </w:p>
        </w:tc>
        <w:tc>
          <w:tcPr>
            <w:tcW w:w="1407" w:type="dxa"/>
            <w:shd w:val="clear" w:color="auto" w:fill="auto"/>
            <w:noWrap/>
            <w:vAlign w:val="bottom"/>
            <w:hideMark/>
          </w:tcPr>
          <w:p w14:paraId="4371A1D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46%</w:t>
            </w:r>
          </w:p>
        </w:tc>
        <w:tc>
          <w:tcPr>
            <w:tcW w:w="1435" w:type="dxa"/>
            <w:shd w:val="clear" w:color="auto" w:fill="auto"/>
            <w:noWrap/>
            <w:vAlign w:val="bottom"/>
            <w:hideMark/>
          </w:tcPr>
          <w:p w14:paraId="795BA53A"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11%</w:t>
            </w:r>
          </w:p>
        </w:tc>
        <w:tc>
          <w:tcPr>
            <w:tcW w:w="1490" w:type="dxa"/>
            <w:shd w:val="clear" w:color="auto" w:fill="auto"/>
            <w:noWrap/>
            <w:vAlign w:val="bottom"/>
            <w:hideMark/>
          </w:tcPr>
          <w:p w14:paraId="4BDE8B45"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w:t>
            </w:r>
          </w:p>
        </w:tc>
      </w:tr>
      <w:tr w:rsidR="00711296" w:rsidRPr="00672DA8" w14:paraId="318925E2" w14:textId="77777777" w:rsidTr="004831C9">
        <w:trPr>
          <w:trHeight w:val="300"/>
        </w:trPr>
        <w:tc>
          <w:tcPr>
            <w:tcW w:w="722" w:type="dxa"/>
            <w:shd w:val="clear" w:color="auto" w:fill="auto"/>
            <w:noWrap/>
            <w:vAlign w:val="bottom"/>
            <w:hideMark/>
          </w:tcPr>
          <w:p w14:paraId="7738A76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2014</w:t>
            </w:r>
          </w:p>
        </w:tc>
        <w:tc>
          <w:tcPr>
            <w:tcW w:w="1866" w:type="dxa"/>
            <w:shd w:val="clear" w:color="auto" w:fill="auto"/>
            <w:noWrap/>
            <w:vAlign w:val="bottom"/>
            <w:hideMark/>
          </w:tcPr>
          <w:p w14:paraId="537AE8B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90.6%</w:t>
            </w:r>
          </w:p>
        </w:tc>
        <w:tc>
          <w:tcPr>
            <w:tcW w:w="1485" w:type="dxa"/>
            <w:shd w:val="clear" w:color="auto" w:fill="auto"/>
            <w:noWrap/>
            <w:vAlign w:val="bottom"/>
            <w:hideMark/>
          </w:tcPr>
          <w:p w14:paraId="2D3EADA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73.2%</w:t>
            </w:r>
          </w:p>
        </w:tc>
        <w:tc>
          <w:tcPr>
            <w:tcW w:w="1407" w:type="dxa"/>
            <w:shd w:val="clear" w:color="auto" w:fill="auto"/>
            <w:noWrap/>
            <w:vAlign w:val="bottom"/>
            <w:hideMark/>
          </w:tcPr>
          <w:p w14:paraId="58983B67"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51%</w:t>
            </w:r>
          </w:p>
        </w:tc>
        <w:tc>
          <w:tcPr>
            <w:tcW w:w="1435" w:type="dxa"/>
            <w:shd w:val="clear" w:color="auto" w:fill="auto"/>
            <w:noWrap/>
            <w:vAlign w:val="bottom"/>
            <w:hideMark/>
          </w:tcPr>
          <w:p w14:paraId="632BBB8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12%</w:t>
            </w:r>
          </w:p>
        </w:tc>
        <w:tc>
          <w:tcPr>
            <w:tcW w:w="1490" w:type="dxa"/>
            <w:shd w:val="clear" w:color="auto" w:fill="auto"/>
            <w:noWrap/>
            <w:vAlign w:val="bottom"/>
            <w:hideMark/>
          </w:tcPr>
          <w:p w14:paraId="1FC707F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w:t>
            </w:r>
          </w:p>
        </w:tc>
      </w:tr>
      <w:tr w:rsidR="00711296" w:rsidRPr="00672DA8" w14:paraId="0E9C7932" w14:textId="77777777" w:rsidTr="004831C9">
        <w:trPr>
          <w:trHeight w:val="300"/>
        </w:trPr>
        <w:tc>
          <w:tcPr>
            <w:tcW w:w="722" w:type="dxa"/>
            <w:shd w:val="clear" w:color="auto" w:fill="auto"/>
            <w:noWrap/>
            <w:vAlign w:val="bottom"/>
            <w:hideMark/>
          </w:tcPr>
          <w:p w14:paraId="757F2DC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2015</w:t>
            </w:r>
          </w:p>
        </w:tc>
        <w:tc>
          <w:tcPr>
            <w:tcW w:w="1866" w:type="dxa"/>
            <w:shd w:val="clear" w:color="auto" w:fill="auto"/>
            <w:noWrap/>
            <w:vAlign w:val="bottom"/>
            <w:hideMark/>
          </w:tcPr>
          <w:p w14:paraId="2B0D4ED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91.5%</w:t>
            </w:r>
          </w:p>
        </w:tc>
        <w:tc>
          <w:tcPr>
            <w:tcW w:w="1485" w:type="dxa"/>
            <w:shd w:val="clear" w:color="auto" w:fill="auto"/>
            <w:noWrap/>
            <w:vAlign w:val="bottom"/>
            <w:hideMark/>
          </w:tcPr>
          <w:p w14:paraId="3895821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65.5%</w:t>
            </w:r>
          </w:p>
        </w:tc>
        <w:tc>
          <w:tcPr>
            <w:tcW w:w="1407" w:type="dxa"/>
            <w:shd w:val="clear" w:color="auto" w:fill="auto"/>
            <w:noWrap/>
            <w:vAlign w:val="bottom"/>
            <w:hideMark/>
          </w:tcPr>
          <w:p w14:paraId="5AAB8D5B"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55%</w:t>
            </w:r>
          </w:p>
        </w:tc>
        <w:tc>
          <w:tcPr>
            <w:tcW w:w="1435" w:type="dxa"/>
            <w:shd w:val="clear" w:color="auto" w:fill="auto"/>
            <w:noWrap/>
            <w:vAlign w:val="bottom"/>
            <w:hideMark/>
          </w:tcPr>
          <w:p w14:paraId="025ACB55"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12%</w:t>
            </w:r>
          </w:p>
        </w:tc>
        <w:tc>
          <w:tcPr>
            <w:tcW w:w="1490" w:type="dxa"/>
            <w:shd w:val="clear" w:color="auto" w:fill="auto"/>
            <w:noWrap/>
            <w:vAlign w:val="bottom"/>
            <w:hideMark/>
          </w:tcPr>
          <w:p w14:paraId="7037253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11%</w:t>
            </w:r>
          </w:p>
        </w:tc>
      </w:tr>
      <w:tr w:rsidR="00711296" w:rsidRPr="00672DA8" w14:paraId="4D3C955E" w14:textId="77777777" w:rsidTr="004831C9">
        <w:trPr>
          <w:trHeight w:val="300"/>
        </w:trPr>
        <w:tc>
          <w:tcPr>
            <w:tcW w:w="722" w:type="dxa"/>
            <w:shd w:val="clear" w:color="auto" w:fill="auto"/>
            <w:noWrap/>
            <w:vAlign w:val="bottom"/>
            <w:hideMark/>
          </w:tcPr>
          <w:p w14:paraId="23E22A17"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2016</w:t>
            </w:r>
          </w:p>
        </w:tc>
        <w:tc>
          <w:tcPr>
            <w:tcW w:w="1866" w:type="dxa"/>
            <w:shd w:val="clear" w:color="auto" w:fill="auto"/>
            <w:noWrap/>
            <w:vAlign w:val="bottom"/>
            <w:hideMark/>
          </w:tcPr>
          <w:p w14:paraId="36756D4D"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91.6%</w:t>
            </w:r>
          </w:p>
        </w:tc>
        <w:tc>
          <w:tcPr>
            <w:tcW w:w="1485" w:type="dxa"/>
            <w:shd w:val="clear" w:color="auto" w:fill="auto"/>
            <w:noWrap/>
            <w:vAlign w:val="bottom"/>
            <w:hideMark/>
          </w:tcPr>
          <w:p w14:paraId="51EEFE9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66.0%</w:t>
            </w:r>
          </w:p>
        </w:tc>
        <w:tc>
          <w:tcPr>
            <w:tcW w:w="1407" w:type="dxa"/>
            <w:shd w:val="clear" w:color="auto" w:fill="auto"/>
            <w:noWrap/>
            <w:vAlign w:val="bottom"/>
            <w:hideMark/>
          </w:tcPr>
          <w:p w14:paraId="58AA862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54%</w:t>
            </w:r>
          </w:p>
        </w:tc>
        <w:tc>
          <w:tcPr>
            <w:tcW w:w="1435" w:type="dxa"/>
            <w:shd w:val="clear" w:color="auto" w:fill="auto"/>
            <w:noWrap/>
            <w:vAlign w:val="bottom"/>
            <w:hideMark/>
          </w:tcPr>
          <w:p w14:paraId="20E88991"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12%</w:t>
            </w:r>
          </w:p>
        </w:tc>
        <w:tc>
          <w:tcPr>
            <w:tcW w:w="1490" w:type="dxa"/>
            <w:shd w:val="clear" w:color="auto" w:fill="auto"/>
            <w:noWrap/>
            <w:vAlign w:val="bottom"/>
            <w:hideMark/>
          </w:tcPr>
          <w:p w14:paraId="13F2308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11%</w:t>
            </w:r>
          </w:p>
        </w:tc>
      </w:tr>
      <w:tr w:rsidR="00711296" w:rsidRPr="00672DA8" w14:paraId="01672CC6" w14:textId="77777777" w:rsidTr="004831C9">
        <w:trPr>
          <w:trHeight w:val="300"/>
        </w:trPr>
        <w:tc>
          <w:tcPr>
            <w:tcW w:w="722" w:type="dxa"/>
            <w:shd w:val="clear" w:color="auto" w:fill="auto"/>
            <w:noWrap/>
            <w:vAlign w:val="bottom"/>
            <w:hideMark/>
          </w:tcPr>
          <w:p w14:paraId="283B0753"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2017</w:t>
            </w:r>
          </w:p>
        </w:tc>
        <w:tc>
          <w:tcPr>
            <w:tcW w:w="1866" w:type="dxa"/>
            <w:shd w:val="clear" w:color="auto" w:fill="auto"/>
            <w:noWrap/>
            <w:vAlign w:val="bottom"/>
            <w:hideMark/>
          </w:tcPr>
          <w:p w14:paraId="7B94BC43"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91.1%</w:t>
            </w:r>
          </w:p>
        </w:tc>
        <w:tc>
          <w:tcPr>
            <w:tcW w:w="1485" w:type="dxa"/>
            <w:shd w:val="clear" w:color="auto" w:fill="auto"/>
            <w:noWrap/>
            <w:vAlign w:val="bottom"/>
            <w:hideMark/>
          </w:tcPr>
          <w:p w14:paraId="140750A0"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63.0%</w:t>
            </w:r>
          </w:p>
        </w:tc>
        <w:tc>
          <w:tcPr>
            <w:tcW w:w="1407" w:type="dxa"/>
            <w:shd w:val="clear" w:color="auto" w:fill="auto"/>
            <w:noWrap/>
            <w:vAlign w:val="bottom"/>
            <w:hideMark/>
          </w:tcPr>
          <w:p w14:paraId="77ACCE6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57%</w:t>
            </w:r>
          </w:p>
        </w:tc>
        <w:tc>
          <w:tcPr>
            <w:tcW w:w="1435" w:type="dxa"/>
            <w:shd w:val="clear" w:color="auto" w:fill="auto"/>
            <w:noWrap/>
            <w:vAlign w:val="bottom"/>
            <w:hideMark/>
          </w:tcPr>
          <w:p w14:paraId="3B7671A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13%</w:t>
            </w:r>
          </w:p>
        </w:tc>
        <w:tc>
          <w:tcPr>
            <w:tcW w:w="1490" w:type="dxa"/>
            <w:shd w:val="clear" w:color="auto" w:fill="auto"/>
            <w:noWrap/>
            <w:vAlign w:val="bottom"/>
            <w:hideMark/>
          </w:tcPr>
          <w:p w14:paraId="49F2C47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11%</w:t>
            </w:r>
          </w:p>
        </w:tc>
      </w:tr>
      <w:tr w:rsidR="00711296" w:rsidRPr="00672DA8" w14:paraId="0E4F78CD" w14:textId="77777777" w:rsidTr="004831C9">
        <w:trPr>
          <w:trHeight w:val="300"/>
        </w:trPr>
        <w:tc>
          <w:tcPr>
            <w:tcW w:w="722" w:type="dxa"/>
            <w:shd w:val="clear" w:color="auto" w:fill="auto"/>
            <w:noWrap/>
            <w:vAlign w:val="bottom"/>
            <w:hideMark/>
          </w:tcPr>
          <w:p w14:paraId="6E2D55DC"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2018</w:t>
            </w:r>
          </w:p>
        </w:tc>
        <w:tc>
          <w:tcPr>
            <w:tcW w:w="1866" w:type="dxa"/>
            <w:shd w:val="clear" w:color="auto" w:fill="auto"/>
            <w:noWrap/>
            <w:vAlign w:val="bottom"/>
            <w:hideMark/>
          </w:tcPr>
          <w:p w14:paraId="5C43C00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90.8%</w:t>
            </w:r>
          </w:p>
        </w:tc>
        <w:tc>
          <w:tcPr>
            <w:tcW w:w="1485" w:type="dxa"/>
            <w:shd w:val="clear" w:color="auto" w:fill="auto"/>
            <w:noWrap/>
            <w:vAlign w:val="bottom"/>
            <w:hideMark/>
          </w:tcPr>
          <w:p w14:paraId="2E2A892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60.6%</w:t>
            </w:r>
          </w:p>
        </w:tc>
        <w:tc>
          <w:tcPr>
            <w:tcW w:w="1407" w:type="dxa"/>
            <w:shd w:val="clear" w:color="auto" w:fill="auto"/>
            <w:noWrap/>
            <w:vAlign w:val="bottom"/>
            <w:hideMark/>
          </w:tcPr>
          <w:p w14:paraId="30DCC1B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55%</w:t>
            </w:r>
          </w:p>
        </w:tc>
        <w:tc>
          <w:tcPr>
            <w:tcW w:w="1435" w:type="dxa"/>
            <w:shd w:val="clear" w:color="auto" w:fill="auto"/>
            <w:noWrap/>
            <w:vAlign w:val="bottom"/>
            <w:hideMark/>
          </w:tcPr>
          <w:p w14:paraId="20003876"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13%</w:t>
            </w:r>
          </w:p>
        </w:tc>
        <w:tc>
          <w:tcPr>
            <w:tcW w:w="1490" w:type="dxa"/>
            <w:shd w:val="clear" w:color="auto" w:fill="auto"/>
            <w:noWrap/>
            <w:vAlign w:val="bottom"/>
            <w:hideMark/>
          </w:tcPr>
          <w:p w14:paraId="4382DC6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14%</w:t>
            </w:r>
          </w:p>
        </w:tc>
      </w:tr>
      <w:tr w:rsidR="00711296" w:rsidRPr="00672DA8" w14:paraId="6E30A3C7" w14:textId="77777777" w:rsidTr="004831C9">
        <w:trPr>
          <w:trHeight w:val="315"/>
        </w:trPr>
        <w:tc>
          <w:tcPr>
            <w:tcW w:w="722" w:type="dxa"/>
            <w:shd w:val="clear" w:color="auto" w:fill="auto"/>
            <w:noWrap/>
            <w:vAlign w:val="bottom"/>
            <w:hideMark/>
          </w:tcPr>
          <w:p w14:paraId="19DA0839"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2019</w:t>
            </w:r>
          </w:p>
        </w:tc>
        <w:tc>
          <w:tcPr>
            <w:tcW w:w="1866" w:type="dxa"/>
            <w:shd w:val="clear" w:color="auto" w:fill="auto"/>
            <w:noWrap/>
            <w:vAlign w:val="bottom"/>
            <w:hideMark/>
          </w:tcPr>
          <w:p w14:paraId="5C7A2B94"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89.4%</w:t>
            </w:r>
          </w:p>
        </w:tc>
        <w:tc>
          <w:tcPr>
            <w:tcW w:w="1485" w:type="dxa"/>
            <w:shd w:val="clear" w:color="auto" w:fill="auto"/>
            <w:noWrap/>
            <w:vAlign w:val="bottom"/>
            <w:hideMark/>
          </w:tcPr>
          <w:p w14:paraId="55E6A16F"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60.2%</w:t>
            </w:r>
          </w:p>
        </w:tc>
        <w:tc>
          <w:tcPr>
            <w:tcW w:w="1407" w:type="dxa"/>
            <w:shd w:val="clear" w:color="auto" w:fill="auto"/>
            <w:noWrap/>
            <w:vAlign w:val="bottom"/>
            <w:hideMark/>
          </w:tcPr>
          <w:p w14:paraId="0BCC02E8"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59%</w:t>
            </w:r>
          </w:p>
        </w:tc>
        <w:tc>
          <w:tcPr>
            <w:tcW w:w="1435" w:type="dxa"/>
            <w:shd w:val="clear" w:color="auto" w:fill="auto"/>
            <w:noWrap/>
            <w:vAlign w:val="bottom"/>
            <w:hideMark/>
          </w:tcPr>
          <w:p w14:paraId="2C98411E"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13%</w:t>
            </w:r>
          </w:p>
        </w:tc>
        <w:tc>
          <w:tcPr>
            <w:tcW w:w="1490" w:type="dxa"/>
            <w:shd w:val="clear" w:color="auto" w:fill="auto"/>
            <w:noWrap/>
            <w:vAlign w:val="bottom"/>
            <w:hideMark/>
          </w:tcPr>
          <w:p w14:paraId="6806F6A2" w14:textId="77777777" w:rsidR="00711296" w:rsidRPr="00741E8E" w:rsidRDefault="00711296" w:rsidP="004831C9">
            <w:pPr>
              <w:bidi w:val="0"/>
              <w:jc w:val="right"/>
              <w:rPr>
                <w:rFonts w:cs="Calibri"/>
                <w:color w:val="000000"/>
                <w:sz w:val="18"/>
                <w:szCs w:val="18"/>
              </w:rPr>
            </w:pPr>
            <w:r w:rsidRPr="00741E8E">
              <w:rPr>
                <w:rFonts w:cs="Calibri"/>
                <w:color w:val="000000"/>
                <w:sz w:val="18"/>
                <w:szCs w:val="18"/>
              </w:rPr>
              <w:t>14.61%</w:t>
            </w:r>
          </w:p>
        </w:tc>
      </w:tr>
    </w:tbl>
    <w:p w14:paraId="5B07FDF4" w14:textId="77777777" w:rsidR="00711296" w:rsidRDefault="00711296" w:rsidP="00711296">
      <w:pPr>
        <w:pStyle w:val="ListParagraph"/>
        <w:autoSpaceDE w:val="0"/>
        <w:autoSpaceDN w:val="0"/>
        <w:bidi w:val="0"/>
        <w:adjustRightInd w:val="0"/>
        <w:spacing w:line="360" w:lineRule="auto"/>
        <w:ind w:left="360"/>
        <w:rPr>
          <w:rFonts w:asciiTheme="majorBidi" w:hAnsiTheme="majorBidi" w:cstheme="majorBidi"/>
          <w:b/>
          <w:bCs/>
          <w:sz w:val="24"/>
          <w:szCs w:val="24"/>
        </w:rPr>
      </w:pPr>
    </w:p>
    <w:p w14:paraId="5CA672CC" w14:textId="77777777" w:rsidR="00711296" w:rsidRDefault="00711296" w:rsidP="00711296">
      <w:pPr>
        <w:pStyle w:val="ListParagraph"/>
        <w:autoSpaceDE w:val="0"/>
        <w:autoSpaceDN w:val="0"/>
        <w:bidi w:val="0"/>
        <w:adjustRightInd w:val="0"/>
        <w:spacing w:line="360" w:lineRule="auto"/>
        <w:ind w:left="360"/>
        <w:rPr>
          <w:rFonts w:asciiTheme="majorBidi" w:hAnsiTheme="majorBidi" w:cstheme="majorBidi"/>
          <w:b/>
          <w:bCs/>
          <w:sz w:val="24"/>
          <w:szCs w:val="24"/>
        </w:rPr>
      </w:pPr>
    </w:p>
    <w:p w14:paraId="788EF14B" w14:textId="77777777" w:rsidR="00711296" w:rsidRPr="001D40DD" w:rsidRDefault="00711296" w:rsidP="00711296">
      <w:pPr>
        <w:pStyle w:val="ListParagraph"/>
        <w:numPr>
          <w:ilvl w:val="0"/>
          <w:numId w:val="26"/>
        </w:numPr>
        <w:autoSpaceDE w:val="0"/>
        <w:autoSpaceDN w:val="0"/>
        <w:bidi w:val="0"/>
        <w:adjustRightInd w:val="0"/>
        <w:spacing w:line="360" w:lineRule="auto"/>
        <w:rPr>
          <w:rFonts w:asciiTheme="majorBidi" w:hAnsiTheme="majorBidi" w:cstheme="majorBidi"/>
          <w:b/>
          <w:bCs/>
          <w:sz w:val="24"/>
          <w:szCs w:val="24"/>
        </w:rPr>
      </w:pPr>
      <w:r w:rsidRPr="001D40DD">
        <w:rPr>
          <w:rFonts w:asciiTheme="majorBidi" w:hAnsiTheme="majorBidi" w:cstheme="majorBidi"/>
          <w:b/>
          <w:bCs/>
          <w:sz w:val="24"/>
          <w:szCs w:val="24"/>
        </w:rPr>
        <w:t xml:space="preserve">Movement of people </w:t>
      </w:r>
    </w:p>
    <w:p w14:paraId="1ECBCDBF" w14:textId="77777777" w:rsidR="00711296" w:rsidRPr="00146FE6" w:rsidRDefault="00711296" w:rsidP="00711296">
      <w:pPr>
        <w:pStyle w:val="ListParagraph"/>
        <w:numPr>
          <w:ilvl w:val="0"/>
          <w:numId w:val="22"/>
        </w:numPr>
        <w:autoSpaceDE w:val="0"/>
        <w:autoSpaceDN w:val="0"/>
        <w:bidi w:val="0"/>
        <w:adjustRightInd w:val="0"/>
        <w:spacing w:after="240" w:line="480" w:lineRule="auto"/>
        <w:ind w:left="720"/>
        <w:rPr>
          <w:b/>
          <w:bCs/>
        </w:rPr>
      </w:pPr>
      <w:r w:rsidRPr="00146FE6">
        <w:rPr>
          <w:b/>
          <w:bCs/>
        </w:rPr>
        <w:t xml:space="preserve">Percentage of Israeli cars </w:t>
      </w:r>
      <w:r>
        <w:rPr>
          <w:b/>
          <w:bCs/>
        </w:rPr>
        <w:t>entering</w:t>
      </w:r>
      <w:r w:rsidRPr="00146FE6">
        <w:rPr>
          <w:b/>
          <w:bCs/>
        </w:rPr>
        <w:t xml:space="preserve"> the WB </w:t>
      </w:r>
      <w:r>
        <w:rPr>
          <w:b/>
          <w:bCs/>
        </w:rPr>
        <w:t>-</w:t>
      </w:r>
    </w:p>
    <w:p w14:paraId="0BA0E9D6" w14:textId="77777777" w:rsidR="00711296" w:rsidRPr="0018372C" w:rsidRDefault="00711296" w:rsidP="00711296">
      <w:pPr>
        <w:pStyle w:val="ListParagraph"/>
        <w:autoSpaceDE w:val="0"/>
        <w:autoSpaceDN w:val="0"/>
        <w:bidi w:val="0"/>
        <w:adjustRightInd w:val="0"/>
        <w:spacing w:after="240" w:line="480" w:lineRule="auto"/>
      </w:pPr>
      <w:r w:rsidRPr="0018372C">
        <w:t xml:space="preserve">Measures the number of Israeli cars (mainly Israeli Arab) </w:t>
      </w:r>
      <w:r>
        <w:t>entering</w:t>
      </w:r>
      <w:r w:rsidRPr="0018372C">
        <w:t xml:space="preserve"> the WB through the Gilboa crossing point</w:t>
      </w:r>
      <w:r>
        <w:t xml:space="preserve"> out of </w:t>
      </w:r>
      <w:r w:rsidRPr="00510561">
        <w:t>total Israeli Arab population</w:t>
      </w:r>
      <w:r w:rsidRPr="0018372C">
        <w:t xml:space="preserve">. The index reflects aspects of private consumption of Israeli Arabs in the </w:t>
      </w:r>
      <w:r w:rsidRPr="0018372C">
        <w:rPr>
          <w:rFonts w:hint="cs"/>
        </w:rPr>
        <w:t>WB</w:t>
      </w:r>
      <w:r w:rsidRPr="0018372C">
        <w:t>.</w:t>
      </w:r>
      <w:r w:rsidRPr="0018372C">
        <w:tab/>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667F3AA8" w14:textId="77777777" w:rsidTr="004831C9">
        <w:trPr>
          <w:trHeight w:val="385"/>
        </w:trPr>
        <w:tc>
          <w:tcPr>
            <w:tcW w:w="8409" w:type="dxa"/>
            <w:gridSpan w:val="2"/>
            <w:shd w:val="clear" w:color="auto" w:fill="auto"/>
            <w:noWrap/>
            <w:vAlign w:val="center"/>
          </w:tcPr>
          <w:p w14:paraId="37377B3A"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03ED872F" w14:textId="77777777" w:rsidTr="004831C9">
        <w:trPr>
          <w:trHeight w:val="1200"/>
        </w:trPr>
        <w:tc>
          <w:tcPr>
            <w:tcW w:w="1580" w:type="dxa"/>
            <w:shd w:val="clear" w:color="auto" w:fill="auto"/>
            <w:noWrap/>
            <w:vAlign w:val="center"/>
          </w:tcPr>
          <w:p w14:paraId="39FA3006" w14:textId="77777777" w:rsidR="00711296" w:rsidRPr="003C3F18" w:rsidRDefault="00711296" w:rsidP="004831C9">
            <w:pPr>
              <w:bidi w:val="0"/>
              <w:jc w:val="center"/>
              <w:rPr>
                <w:rFonts w:cs="Calibri"/>
                <w:color w:val="000000"/>
              </w:rPr>
            </w:pPr>
            <w:r>
              <w:rPr>
                <w:rFonts w:cs="Calibri" w:hint="cs"/>
                <w:color w:val="000000"/>
                <w:rtl/>
              </w:rPr>
              <w:t>2010</w:t>
            </w:r>
          </w:p>
        </w:tc>
        <w:tc>
          <w:tcPr>
            <w:tcW w:w="6829" w:type="dxa"/>
            <w:shd w:val="clear" w:color="auto" w:fill="auto"/>
            <w:noWrap/>
            <w:vAlign w:val="center"/>
          </w:tcPr>
          <w:p w14:paraId="4E112CB9" w14:textId="77777777" w:rsidR="00711296" w:rsidRPr="003C3F18" w:rsidRDefault="00711296" w:rsidP="004831C9">
            <w:pPr>
              <w:bidi w:val="0"/>
              <w:rPr>
                <w:rFonts w:cs="Calibri"/>
                <w:color w:val="000000"/>
              </w:rPr>
            </w:pPr>
            <w:r>
              <w:rPr>
                <w:rFonts w:cs="Calibri"/>
                <w:color w:val="000000"/>
              </w:rPr>
              <w:t>Missing data – equal to year 2011</w:t>
            </w:r>
          </w:p>
        </w:tc>
      </w:tr>
      <w:tr w:rsidR="00711296" w:rsidRPr="003C3F18" w14:paraId="1E29818C" w14:textId="77777777" w:rsidTr="004831C9">
        <w:trPr>
          <w:trHeight w:val="1200"/>
        </w:trPr>
        <w:tc>
          <w:tcPr>
            <w:tcW w:w="1580" w:type="dxa"/>
            <w:shd w:val="clear" w:color="auto" w:fill="auto"/>
            <w:noWrap/>
            <w:vAlign w:val="center"/>
          </w:tcPr>
          <w:p w14:paraId="4A67BE9C" w14:textId="77777777" w:rsidR="00711296" w:rsidRDefault="00711296" w:rsidP="004831C9">
            <w:pPr>
              <w:bidi w:val="0"/>
              <w:jc w:val="center"/>
              <w:rPr>
                <w:rFonts w:cs="Calibri"/>
                <w:color w:val="000000"/>
              </w:rPr>
            </w:pPr>
            <w:r>
              <w:rPr>
                <w:rFonts w:cs="Calibri"/>
                <w:color w:val="000000"/>
              </w:rPr>
              <w:t>201</w:t>
            </w:r>
            <w:r>
              <w:rPr>
                <w:rFonts w:cs="Calibri" w:hint="cs"/>
                <w:color w:val="000000"/>
                <w:rtl/>
              </w:rPr>
              <w:t>1</w:t>
            </w:r>
            <w:r>
              <w:rPr>
                <w:rFonts w:cs="Calibri"/>
                <w:color w:val="000000"/>
              </w:rPr>
              <w:t>-2019</w:t>
            </w:r>
          </w:p>
        </w:tc>
        <w:tc>
          <w:tcPr>
            <w:tcW w:w="6829" w:type="dxa"/>
            <w:shd w:val="clear" w:color="auto" w:fill="auto"/>
            <w:noWrap/>
            <w:vAlign w:val="center"/>
          </w:tcPr>
          <w:p w14:paraId="09084AC8" w14:textId="77777777" w:rsidR="00711296" w:rsidRDefault="00711296" w:rsidP="004831C9">
            <w:pPr>
              <w:bidi w:val="0"/>
              <w:rPr>
                <w:rFonts w:cs="Calibri"/>
                <w:color w:val="000000"/>
              </w:rPr>
            </w:pPr>
            <w:r>
              <w:rPr>
                <w:rFonts w:cs="Calibri"/>
                <w:color w:val="000000"/>
              </w:rPr>
              <w:t>The Ministry of Defense Crossing Points Authority (C.P.A.) and the Israeli Central Bureau of Statistics</w:t>
            </w:r>
          </w:p>
        </w:tc>
      </w:tr>
    </w:tbl>
    <w:p w14:paraId="395B95C0" w14:textId="77777777" w:rsidR="00711296" w:rsidRDefault="00711296" w:rsidP="00711296">
      <w:pPr>
        <w:pStyle w:val="ListParagraph"/>
        <w:autoSpaceDE w:val="0"/>
        <w:autoSpaceDN w:val="0"/>
        <w:bidi w:val="0"/>
        <w:adjustRightInd w:val="0"/>
        <w:spacing w:after="240" w:line="480" w:lineRule="auto"/>
        <w:ind w:left="1080"/>
        <w:rPr>
          <w:b/>
          <w:bCs/>
        </w:rPr>
      </w:pPr>
    </w:p>
    <w:p w14:paraId="098CC1F1" w14:textId="77777777" w:rsidR="00711296" w:rsidRDefault="00711296" w:rsidP="00711296">
      <w:pPr>
        <w:pStyle w:val="ListParagraph"/>
        <w:autoSpaceDE w:val="0"/>
        <w:autoSpaceDN w:val="0"/>
        <w:bidi w:val="0"/>
        <w:adjustRightInd w:val="0"/>
        <w:spacing w:after="240" w:line="480" w:lineRule="auto"/>
        <w:ind w:left="1080"/>
        <w:rPr>
          <w:b/>
          <w:bCs/>
        </w:rPr>
      </w:pPr>
    </w:p>
    <w:p w14:paraId="77F8F032" w14:textId="77777777" w:rsidR="00711296" w:rsidRDefault="00711296" w:rsidP="00711296">
      <w:pPr>
        <w:pStyle w:val="ListParagraph"/>
        <w:autoSpaceDE w:val="0"/>
        <w:autoSpaceDN w:val="0"/>
        <w:bidi w:val="0"/>
        <w:adjustRightInd w:val="0"/>
        <w:spacing w:after="240" w:line="480" w:lineRule="auto"/>
        <w:ind w:left="1080"/>
        <w:rPr>
          <w:b/>
          <w:bCs/>
        </w:rPr>
      </w:pPr>
    </w:p>
    <w:p w14:paraId="2423B077" w14:textId="77777777" w:rsidR="00711296" w:rsidRDefault="00711296" w:rsidP="00711296">
      <w:pPr>
        <w:pStyle w:val="ListParagraph"/>
        <w:autoSpaceDE w:val="0"/>
        <w:autoSpaceDN w:val="0"/>
        <w:bidi w:val="0"/>
        <w:adjustRightInd w:val="0"/>
        <w:spacing w:after="240" w:line="480" w:lineRule="auto"/>
        <w:ind w:left="1080"/>
        <w:rPr>
          <w:b/>
          <w:bCs/>
        </w:rPr>
      </w:pPr>
    </w:p>
    <w:p w14:paraId="08359A47" w14:textId="77777777" w:rsidR="00711296" w:rsidRDefault="00711296" w:rsidP="00711296">
      <w:pPr>
        <w:pStyle w:val="ListParagraph"/>
        <w:autoSpaceDE w:val="0"/>
        <w:autoSpaceDN w:val="0"/>
        <w:bidi w:val="0"/>
        <w:adjustRightInd w:val="0"/>
        <w:spacing w:after="240" w:line="480" w:lineRule="auto"/>
        <w:ind w:left="1080"/>
        <w:rPr>
          <w:b/>
          <w:bCs/>
        </w:rPr>
      </w:pPr>
    </w:p>
    <w:p w14:paraId="0B6C4F7E" w14:textId="77777777" w:rsidR="00711296" w:rsidRDefault="00711296" w:rsidP="00711296">
      <w:pPr>
        <w:pStyle w:val="ListParagraph"/>
        <w:autoSpaceDE w:val="0"/>
        <w:autoSpaceDN w:val="0"/>
        <w:bidi w:val="0"/>
        <w:adjustRightInd w:val="0"/>
        <w:spacing w:after="240" w:line="480" w:lineRule="auto"/>
        <w:ind w:left="1080"/>
        <w:rPr>
          <w:b/>
          <w:bCs/>
        </w:rPr>
      </w:pPr>
    </w:p>
    <w:p w14:paraId="55324301"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4067D0">
        <w:rPr>
          <w:rFonts w:cs="Calibri"/>
          <w:b/>
          <w:bCs/>
          <w:color w:val="000000"/>
          <w:sz w:val="20"/>
          <w:szCs w:val="20"/>
        </w:rPr>
        <w:t xml:space="preserve">Movement of people between Israel and the WB </w:t>
      </w:r>
      <w:r>
        <w:rPr>
          <w:b/>
          <w:bCs/>
        </w:rPr>
        <w:t>–</w:t>
      </w:r>
    </w:p>
    <w:p w14:paraId="044159FB" w14:textId="77777777" w:rsidR="00711296" w:rsidRDefault="00711296" w:rsidP="00711296">
      <w:pPr>
        <w:pStyle w:val="ListParagraph"/>
        <w:autoSpaceDE w:val="0"/>
        <w:autoSpaceDN w:val="0"/>
        <w:bidi w:val="0"/>
        <w:adjustRightInd w:val="0"/>
        <w:spacing w:after="240" w:line="480" w:lineRule="auto"/>
        <w:rPr>
          <w:b/>
          <w:bCs/>
          <w:rtl/>
        </w:rPr>
      </w:pPr>
      <w:r w:rsidRPr="00507765">
        <w:t>Measures the number of people passing through the crossings between Israel and the West Bank to the total average population of Israel and the West Bank</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6E7CB6A7" w14:textId="77777777" w:rsidTr="004831C9">
        <w:trPr>
          <w:trHeight w:val="385"/>
        </w:trPr>
        <w:tc>
          <w:tcPr>
            <w:tcW w:w="8409" w:type="dxa"/>
            <w:gridSpan w:val="2"/>
            <w:shd w:val="clear" w:color="auto" w:fill="auto"/>
            <w:noWrap/>
            <w:vAlign w:val="center"/>
          </w:tcPr>
          <w:p w14:paraId="5A2592C7" w14:textId="77777777" w:rsidR="00711296" w:rsidRPr="003C3F18" w:rsidRDefault="00711296" w:rsidP="004831C9">
            <w:pPr>
              <w:bidi w:val="0"/>
              <w:rPr>
                <w:rFonts w:cs="Calibri"/>
                <w:color w:val="000000"/>
              </w:rPr>
            </w:pPr>
            <w:r w:rsidRPr="0099720C">
              <w:rPr>
                <w:b/>
                <w:bCs/>
              </w:rPr>
              <w:t xml:space="preserve"> </w:t>
            </w:r>
            <w:r>
              <w:rPr>
                <w:rFonts w:cs="Calibri"/>
                <w:color w:val="000000"/>
              </w:rPr>
              <w:t>Data source</w:t>
            </w:r>
          </w:p>
        </w:tc>
      </w:tr>
      <w:tr w:rsidR="00711296" w:rsidRPr="003C3F18" w14:paraId="3A066B8E" w14:textId="77777777" w:rsidTr="004831C9">
        <w:trPr>
          <w:trHeight w:val="1200"/>
        </w:trPr>
        <w:tc>
          <w:tcPr>
            <w:tcW w:w="1580" w:type="dxa"/>
            <w:shd w:val="clear" w:color="auto" w:fill="auto"/>
            <w:noWrap/>
            <w:vAlign w:val="center"/>
          </w:tcPr>
          <w:p w14:paraId="4178271E" w14:textId="77777777" w:rsidR="00711296" w:rsidRPr="003C3F18" w:rsidRDefault="00711296" w:rsidP="004831C9">
            <w:pPr>
              <w:bidi w:val="0"/>
              <w:jc w:val="center"/>
              <w:rPr>
                <w:rFonts w:cs="Calibri"/>
                <w:color w:val="000000"/>
              </w:rPr>
            </w:pPr>
            <w:r>
              <w:rPr>
                <w:rFonts w:cs="Calibri" w:hint="cs"/>
                <w:color w:val="000000"/>
                <w:rtl/>
              </w:rPr>
              <w:t>2010</w:t>
            </w:r>
          </w:p>
        </w:tc>
        <w:tc>
          <w:tcPr>
            <w:tcW w:w="6829" w:type="dxa"/>
            <w:shd w:val="clear" w:color="auto" w:fill="auto"/>
            <w:noWrap/>
            <w:vAlign w:val="center"/>
          </w:tcPr>
          <w:p w14:paraId="39818CE1" w14:textId="77777777" w:rsidR="00711296" w:rsidRPr="003C3F18" w:rsidRDefault="00711296" w:rsidP="004831C9">
            <w:pPr>
              <w:bidi w:val="0"/>
              <w:rPr>
                <w:rFonts w:cs="Calibri"/>
                <w:color w:val="000000"/>
              </w:rPr>
            </w:pPr>
            <w:r>
              <w:rPr>
                <w:rFonts w:cs="Calibri"/>
                <w:color w:val="000000"/>
              </w:rPr>
              <w:t>Missing data – equal to year 2011</w:t>
            </w:r>
          </w:p>
        </w:tc>
      </w:tr>
      <w:tr w:rsidR="00711296" w:rsidRPr="003C3F18" w14:paraId="65D88A04" w14:textId="77777777" w:rsidTr="004831C9">
        <w:trPr>
          <w:trHeight w:val="1200"/>
        </w:trPr>
        <w:tc>
          <w:tcPr>
            <w:tcW w:w="1580" w:type="dxa"/>
            <w:shd w:val="clear" w:color="auto" w:fill="auto"/>
            <w:noWrap/>
            <w:vAlign w:val="center"/>
          </w:tcPr>
          <w:p w14:paraId="2358FBEE" w14:textId="77777777" w:rsidR="00711296" w:rsidRDefault="00711296" w:rsidP="004831C9">
            <w:pPr>
              <w:bidi w:val="0"/>
              <w:jc w:val="center"/>
              <w:rPr>
                <w:rFonts w:cs="Calibri"/>
                <w:color w:val="000000"/>
              </w:rPr>
            </w:pPr>
            <w:r>
              <w:rPr>
                <w:rFonts w:cs="Calibri"/>
                <w:color w:val="000000"/>
              </w:rPr>
              <w:t>2011-2019</w:t>
            </w:r>
          </w:p>
        </w:tc>
        <w:tc>
          <w:tcPr>
            <w:tcW w:w="6829" w:type="dxa"/>
            <w:shd w:val="clear" w:color="auto" w:fill="auto"/>
            <w:noWrap/>
            <w:vAlign w:val="center"/>
          </w:tcPr>
          <w:p w14:paraId="27C5AF08" w14:textId="77777777" w:rsidR="00711296" w:rsidRDefault="00711296" w:rsidP="004831C9">
            <w:pPr>
              <w:bidi w:val="0"/>
              <w:rPr>
                <w:rFonts w:cs="Calibri"/>
                <w:color w:val="000000"/>
              </w:rPr>
            </w:pPr>
            <w:r>
              <w:rPr>
                <w:rFonts w:cs="Calibri"/>
                <w:color w:val="000000"/>
              </w:rPr>
              <w:t>The Ministry of Defense Crossing Points Authority (C.P.A.), Palestinian Central Bureau of Statistics, Israeli Central Bureau of Statistics</w:t>
            </w:r>
          </w:p>
        </w:tc>
      </w:tr>
    </w:tbl>
    <w:p w14:paraId="3F339990" w14:textId="77777777" w:rsidR="00711296" w:rsidRDefault="00711296" w:rsidP="00711296">
      <w:pPr>
        <w:pStyle w:val="ListParagraph"/>
        <w:autoSpaceDE w:val="0"/>
        <w:autoSpaceDN w:val="0"/>
        <w:bidi w:val="0"/>
        <w:adjustRightInd w:val="0"/>
        <w:spacing w:after="240" w:line="480" w:lineRule="auto"/>
        <w:ind w:left="1440"/>
        <w:rPr>
          <w:b/>
          <w:bCs/>
        </w:rPr>
      </w:pPr>
    </w:p>
    <w:p w14:paraId="3997088C" w14:textId="77777777" w:rsidR="00711296" w:rsidRPr="00E64478" w:rsidRDefault="00711296" w:rsidP="00711296">
      <w:pPr>
        <w:pStyle w:val="ListParagraph"/>
        <w:numPr>
          <w:ilvl w:val="0"/>
          <w:numId w:val="22"/>
        </w:numPr>
        <w:autoSpaceDE w:val="0"/>
        <w:autoSpaceDN w:val="0"/>
        <w:bidi w:val="0"/>
        <w:adjustRightInd w:val="0"/>
        <w:spacing w:after="240" w:line="480" w:lineRule="auto"/>
        <w:ind w:left="720"/>
        <w:rPr>
          <w:b/>
          <w:bCs/>
        </w:rPr>
      </w:pPr>
      <w:r>
        <w:rPr>
          <w:b/>
          <w:bCs/>
        </w:rPr>
        <w:t>Percentage of</w:t>
      </w:r>
      <w:r w:rsidRPr="00E64478">
        <w:rPr>
          <w:b/>
          <w:bCs/>
        </w:rPr>
        <w:t xml:space="preserve"> Palestinians </w:t>
      </w:r>
      <w:r>
        <w:rPr>
          <w:b/>
          <w:bCs/>
        </w:rPr>
        <w:t xml:space="preserve">entering </w:t>
      </w:r>
      <w:r w:rsidRPr="00E64478">
        <w:rPr>
          <w:b/>
          <w:bCs/>
        </w:rPr>
        <w:t>Israel for medical treatment</w:t>
      </w:r>
      <w:r>
        <w:rPr>
          <w:b/>
          <w:bCs/>
        </w:rPr>
        <w:t xml:space="preserve"> </w:t>
      </w:r>
      <w:r w:rsidRPr="00E64478">
        <w:rPr>
          <w:b/>
          <w:bCs/>
        </w:rPr>
        <w:t xml:space="preserve">– </w:t>
      </w:r>
    </w:p>
    <w:p w14:paraId="722FB787" w14:textId="77777777" w:rsidR="00711296" w:rsidRPr="007C1E95" w:rsidRDefault="00711296" w:rsidP="00711296">
      <w:pPr>
        <w:pStyle w:val="ListParagraph"/>
        <w:autoSpaceDE w:val="0"/>
        <w:autoSpaceDN w:val="0"/>
        <w:bidi w:val="0"/>
        <w:adjustRightInd w:val="0"/>
        <w:spacing w:after="240" w:line="480" w:lineRule="auto"/>
      </w:pPr>
      <w:r w:rsidRPr="007C1E95">
        <w:t>Measures the number of applications approved by the Coordination of Government Activities in the Territories in favor of the entry of Palestinians into Israel for the purpose of receiving medical treatment</w:t>
      </w:r>
      <w:r>
        <w:t xml:space="preserve"> out of total Palestinian population.</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4B325209" w14:textId="77777777" w:rsidTr="004831C9">
        <w:trPr>
          <w:trHeight w:val="385"/>
        </w:trPr>
        <w:tc>
          <w:tcPr>
            <w:tcW w:w="8409" w:type="dxa"/>
            <w:gridSpan w:val="2"/>
            <w:shd w:val="clear" w:color="auto" w:fill="auto"/>
            <w:noWrap/>
            <w:vAlign w:val="center"/>
          </w:tcPr>
          <w:p w14:paraId="2BA099A0"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56876260" w14:textId="77777777" w:rsidTr="004831C9">
        <w:trPr>
          <w:trHeight w:val="1200"/>
        </w:trPr>
        <w:tc>
          <w:tcPr>
            <w:tcW w:w="1580" w:type="dxa"/>
            <w:shd w:val="clear" w:color="auto" w:fill="auto"/>
            <w:noWrap/>
            <w:vAlign w:val="center"/>
          </w:tcPr>
          <w:p w14:paraId="648204F9" w14:textId="77777777" w:rsidR="00711296" w:rsidRDefault="00711296" w:rsidP="004831C9">
            <w:pPr>
              <w:bidi w:val="0"/>
              <w:rPr>
                <w:rFonts w:cs="Calibri"/>
                <w:color w:val="000000"/>
              </w:rPr>
            </w:pPr>
            <w:r>
              <w:rPr>
                <w:rFonts w:cs="Calibri"/>
                <w:color w:val="000000"/>
              </w:rPr>
              <w:t>2010</w:t>
            </w:r>
          </w:p>
        </w:tc>
        <w:tc>
          <w:tcPr>
            <w:tcW w:w="6829" w:type="dxa"/>
            <w:shd w:val="clear" w:color="auto" w:fill="auto"/>
            <w:noWrap/>
            <w:vAlign w:val="center"/>
          </w:tcPr>
          <w:p w14:paraId="6B05BF43" w14:textId="77777777" w:rsidR="00711296" w:rsidRDefault="00711296" w:rsidP="004831C9">
            <w:pPr>
              <w:bidi w:val="0"/>
              <w:rPr>
                <w:rFonts w:cs="Calibri"/>
                <w:color w:val="000000"/>
              </w:rPr>
            </w:pPr>
            <w:r>
              <w:rPr>
                <w:rFonts w:cs="Calibri"/>
                <w:color w:val="000000"/>
              </w:rPr>
              <w:t>Missing data – equal to year 2011</w:t>
            </w:r>
          </w:p>
        </w:tc>
      </w:tr>
      <w:tr w:rsidR="00711296" w:rsidRPr="003C3F18" w14:paraId="42FD59B2" w14:textId="77777777" w:rsidTr="004831C9">
        <w:trPr>
          <w:trHeight w:val="1200"/>
        </w:trPr>
        <w:tc>
          <w:tcPr>
            <w:tcW w:w="1580" w:type="dxa"/>
            <w:shd w:val="clear" w:color="auto" w:fill="auto"/>
            <w:noWrap/>
            <w:vAlign w:val="center"/>
          </w:tcPr>
          <w:p w14:paraId="22D5F297" w14:textId="77777777" w:rsidR="00711296" w:rsidRDefault="00711296" w:rsidP="004831C9">
            <w:pPr>
              <w:bidi w:val="0"/>
              <w:rPr>
                <w:rFonts w:cs="Calibri"/>
                <w:color w:val="000000"/>
              </w:rPr>
            </w:pPr>
            <w:r>
              <w:rPr>
                <w:rFonts w:cs="Calibri"/>
                <w:color w:val="000000"/>
              </w:rPr>
              <w:t>2011 - 2014</w:t>
            </w:r>
          </w:p>
        </w:tc>
        <w:tc>
          <w:tcPr>
            <w:tcW w:w="6829" w:type="dxa"/>
            <w:shd w:val="clear" w:color="auto" w:fill="auto"/>
            <w:noWrap/>
            <w:vAlign w:val="center"/>
          </w:tcPr>
          <w:p w14:paraId="04C84C0C" w14:textId="77777777" w:rsidR="00711296" w:rsidRPr="00E35B9E" w:rsidRDefault="00711296" w:rsidP="004831C9">
            <w:pPr>
              <w:bidi w:val="0"/>
              <w:rPr>
                <w:rFonts w:cs="Calibri"/>
                <w:color w:val="000000"/>
              </w:rPr>
            </w:pPr>
            <w:r>
              <w:rPr>
                <w:rFonts w:cs="Calibri"/>
                <w:color w:val="000000"/>
              </w:rPr>
              <w:t xml:space="preserve">Israeli Knesset, </w:t>
            </w:r>
            <w:r w:rsidRPr="00E35B9E">
              <w:rPr>
                <w:rFonts w:cs="Calibri"/>
                <w:color w:val="000000"/>
              </w:rPr>
              <w:t>Data on providing medical care to Palestinians</w:t>
            </w:r>
          </w:p>
          <w:p w14:paraId="131A1CE3" w14:textId="77777777" w:rsidR="00711296" w:rsidRDefault="00711296" w:rsidP="004831C9">
            <w:pPr>
              <w:bidi w:val="0"/>
              <w:rPr>
                <w:rFonts w:cs="Calibri"/>
                <w:color w:val="000000"/>
              </w:rPr>
            </w:pPr>
            <w:r w:rsidRPr="00E35B9E">
              <w:rPr>
                <w:rFonts w:cs="Calibri"/>
                <w:color w:val="000000"/>
              </w:rPr>
              <w:t>In hospitals in Israel</w:t>
            </w:r>
            <w:r>
              <w:rPr>
                <w:rFonts w:cs="Calibri"/>
                <w:color w:val="000000"/>
              </w:rPr>
              <w:t>, 2017</w:t>
            </w:r>
          </w:p>
          <w:p w14:paraId="6BD2F09A" w14:textId="77777777" w:rsidR="00711296" w:rsidRDefault="00857FD1" w:rsidP="004831C9">
            <w:pPr>
              <w:bidi w:val="0"/>
              <w:rPr>
                <w:rFonts w:cs="Calibri"/>
                <w:color w:val="000000"/>
                <w:rtl/>
              </w:rPr>
            </w:pPr>
            <w:hyperlink r:id="rId23" w:history="1">
              <w:r w:rsidR="00711296" w:rsidRPr="00FE2B32">
                <w:rPr>
                  <w:rStyle w:val="Hyperlink"/>
                  <w:rFonts w:cs="Calibri"/>
                </w:rPr>
                <w:t>https://fs.knesset.gov.il/globaldocs/MMM/302ae8cf-a7b3-e511-80d0-00155d0acb9e/2_302ae8cf-a7b3-e511-80d0-00155d0acb9e_11_10394.pdf</w:t>
              </w:r>
            </w:hyperlink>
          </w:p>
          <w:p w14:paraId="1665305F" w14:textId="77777777" w:rsidR="00711296" w:rsidRDefault="00711296" w:rsidP="004831C9">
            <w:pPr>
              <w:bidi w:val="0"/>
              <w:rPr>
                <w:rFonts w:cs="Calibri"/>
                <w:color w:val="000000"/>
              </w:rPr>
            </w:pPr>
            <w:r>
              <w:rPr>
                <w:rFonts w:cs="Calibri"/>
                <w:color w:val="000000"/>
              </w:rPr>
              <w:t>Missing data for Gaza strip for the years 2011-2012 - equal to year 2013</w:t>
            </w:r>
          </w:p>
        </w:tc>
      </w:tr>
      <w:tr w:rsidR="00711296" w:rsidRPr="003C3F18" w14:paraId="7C9A7281" w14:textId="77777777" w:rsidTr="004831C9">
        <w:trPr>
          <w:trHeight w:val="1200"/>
        </w:trPr>
        <w:tc>
          <w:tcPr>
            <w:tcW w:w="1580" w:type="dxa"/>
            <w:shd w:val="clear" w:color="auto" w:fill="auto"/>
            <w:noWrap/>
            <w:vAlign w:val="center"/>
            <w:hideMark/>
          </w:tcPr>
          <w:p w14:paraId="0C66C973" w14:textId="77777777" w:rsidR="00711296" w:rsidRPr="003C3F18" w:rsidRDefault="00711296" w:rsidP="004831C9">
            <w:pPr>
              <w:bidi w:val="0"/>
              <w:rPr>
                <w:rFonts w:cs="Calibri"/>
                <w:color w:val="000000"/>
              </w:rPr>
            </w:pPr>
            <w:r>
              <w:rPr>
                <w:rFonts w:cs="Calibri"/>
                <w:color w:val="000000"/>
              </w:rPr>
              <w:t>2015-2019</w:t>
            </w:r>
          </w:p>
        </w:tc>
        <w:tc>
          <w:tcPr>
            <w:tcW w:w="6829" w:type="dxa"/>
            <w:shd w:val="clear" w:color="auto" w:fill="auto"/>
            <w:noWrap/>
            <w:vAlign w:val="center"/>
            <w:hideMark/>
          </w:tcPr>
          <w:p w14:paraId="5E4AF4B3" w14:textId="77777777" w:rsidR="00711296" w:rsidRPr="003C3F18" w:rsidRDefault="00711296" w:rsidP="004831C9">
            <w:pPr>
              <w:bidi w:val="0"/>
              <w:rPr>
                <w:rFonts w:cs="Calibri"/>
                <w:color w:val="000000"/>
              </w:rPr>
            </w:pPr>
            <w:r>
              <w:rPr>
                <w:rFonts w:cs="Calibri"/>
                <w:color w:val="000000"/>
              </w:rPr>
              <w:t>Specific request - Coordinator of government activities in the territories, Palestinian Central Bureau of Statistics</w:t>
            </w:r>
          </w:p>
        </w:tc>
      </w:tr>
    </w:tbl>
    <w:p w14:paraId="4C27CC41" w14:textId="77777777" w:rsidR="00711296" w:rsidRDefault="00711296" w:rsidP="00711296">
      <w:pPr>
        <w:pStyle w:val="ListParagraph"/>
        <w:autoSpaceDE w:val="0"/>
        <w:autoSpaceDN w:val="0"/>
        <w:bidi w:val="0"/>
        <w:adjustRightInd w:val="0"/>
        <w:spacing w:after="240" w:line="480" w:lineRule="auto"/>
        <w:ind w:left="1080"/>
        <w:rPr>
          <w:b/>
          <w:bCs/>
        </w:rPr>
      </w:pPr>
    </w:p>
    <w:p w14:paraId="2DD3AA2A" w14:textId="77777777" w:rsidR="00711296" w:rsidRDefault="00711296" w:rsidP="00711296">
      <w:pPr>
        <w:pStyle w:val="ListParagraph"/>
        <w:autoSpaceDE w:val="0"/>
        <w:autoSpaceDN w:val="0"/>
        <w:bidi w:val="0"/>
        <w:adjustRightInd w:val="0"/>
        <w:spacing w:after="240" w:line="480" w:lineRule="auto"/>
        <w:ind w:left="1080"/>
        <w:rPr>
          <w:b/>
          <w:bCs/>
        </w:rPr>
      </w:pPr>
    </w:p>
    <w:p w14:paraId="2C33CADA" w14:textId="77777777" w:rsidR="00711296" w:rsidRDefault="00711296" w:rsidP="00711296">
      <w:pPr>
        <w:pStyle w:val="ListParagraph"/>
        <w:autoSpaceDE w:val="0"/>
        <w:autoSpaceDN w:val="0"/>
        <w:bidi w:val="0"/>
        <w:adjustRightInd w:val="0"/>
        <w:spacing w:after="240" w:line="480" w:lineRule="auto"/>
        <w:ind w:left="1080"/>
        <w:rPr>
          <w:b/>
          <w:bCs/>
        </w:rPr>
      </w:pPr>
    </w:p>
    <w:p w14:paraId="59F9CC82" w14:textId="77777777" w:rsidR="00711296" w:rsidRDefault="00711296" w:rsidP="00711296">
      <w:pPr>
        <w:pStyle w:val="ListParagraph"/>
        <w:autoSpaceDE w:val="0"/>
        <w:autoSpaceDN w:val="0"/>
        <w:bidi w:val="0"/>
        <w:adjustRightInd w:val="0"/>
        <w:spacing w:after="240" w:line="480" w:lineRule="auto"/>
        <w:ind w:left="1080"/>
        <w:rPr>
          <w:b/>
          <w:bCs/>
        </w:rPr>
      </w:pPr>
    </w:p>
    <w:p w14:paraId="5F2783B9"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99720C">
        <w:rPr>
          <w:b/>
          <w:bCs/>
        </w:rPr>
        <w:t>Percentage of Israeli guest</w:t>
      </w:r>
      <w:r>
        <w:rPr>
          <w:b/>
          <w:bCs/>
        </w:rPr>
        <w:t>s’</w:t>
      </w:r>
      <w:r w:rsidRPr="0099720C">
        <w:rPr>
          <w:b/>
          <w:bCs/>
        </w:rPr>
        <w:t xml:space="preserve"> nights in </w:t>
      </w:r>
      <w:r>
        <w:rPr>
          <w:b/>
          <w:bCs/>
        </w:rPr>
        <w:t>WB</w:t>
      </w:r>
      <w:r w:rsidRPr="0099720C">
        <w:rPr>
          <w:b/>
          <w:bCs/>
        </w:rPr>
        <w:t xml:space="preserve"> Hotels </w:t>
      </w:r>
      <w:r>
        <w:rPr>
          <w:b/>
          <w:bCs/>
        </w:rPr>
        <w:t>–</w:t>
      </w:r>
      <w:r w:rsidRPr="0099720C">
        <w:rPr>
          <w:b/>
          <w:bCs/>
        </w:rPr>
        <w:t xml:space="preserve"> </w:t>
      </w:r>
    </w:p>
    <w:p w14:paraId="09F52AA6" w14:textId="77777777" w:rsidR="00711296" w:rsidRPr="002E2AA5" w:rsidRDefault="00711296" w:rsidP="00711296">
      <w:pPr>
        <w:pStyle w:val="ListParagraph"/>
        <w:autoSpaceDE w:val="0"/>
        <w:autoSpaceDN w:val="0"/>
        <w:bidi w:val="0"/>
        <w:adjustRightInd w:val="0"/>
        <w:spacing w:line="480" w:lineRule="auto"/>
      </w:pPr>
      <w:r>
        <w:t xml:space="preserve">Measures the number of guest Nights in Hotels in the West Bank by Israeli nationality to total number of </w:t>
      </w:r>
      <w:r w:rsidRPr="002E2AA5">
        <w:t>guest nights.</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3484BB6C" w14:textId="77777777" w:rsidTr="004831C9">
        <w:trPr>
          <w:trHeight w:val="385"/>
        </w:trPr>
        <w:tc>
          <w:tcPr>
            <w:tcW w:w="8409" w:type="dxa"/>
            <w:gridSpan w:val="2"/>
            <w:shd w:val="clear" w:color="auto" w:fill="auto"/>
            <w:noWrap/>
            <w:vAlign w:val="center"/>
          </w:tcPr>
          <w:p w14:paraId="1D71DF00"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038EC95F" w14:textId="77777777" w:rsidTr="004831C9">
        <w:trPr>
          <w:trHeight w:val="1200"/>
        </w:trPr>
        <w:tc>
          <w:tcPr>
            <w:tcW w:w="1580" w:type="dxa"/>
            <w:shd w:val="clear" w:color="auto" w:fill="auto"/>
            <w:noWrap/>
            <w:vAlign w:val="center"/>
          </w:tcPr>
          <w:p w14:paraId="6316EF74" w14:textId="77777777" w:rsidR="00711296" w:rsidRDefault="00711296" w:rsidP="004831C9">
            <w:pPr>
              <w:bidi w:val="0"/>
              <w:rPr>
                <w:rFonts w:cs="Calibri"/>
                <w:color w:val="000000"/>
              </w:rPr>
            </w:pPr>
            <w:r>
              <w:rPr>
                <w:rFonts w:cs="Calibri"/>
                <w:color w:val="000000"/>
              </w:rPr>
              <w:t>1996-2019</w:t>
            </w:r>
          </w:p>
        </w:tc>
        <w:tc>
          <w:tcPr>
            <w:tcW w:w="6829" w:type="dxa"/>
            <w:shd w:val="clear" w:color="auto" w:fill="auto"/>
            <w:noWrap/>
            <w:vAlign w:val="center"/>
          </w:tcPr>
          <w:p w14:paraId="01ED3173" w14:textId="77777777" w:rsidR="00711296" w:rsidRDefault="00711296" w:rsidP="004831C9">
            <w:pPr>
              <w:bidi w:val="0"/>
              <w:rPr>
                <w:rFonts w:cs="Calibri"/>
                <w:color w:val="000000"/>
              </w:rPr>
            </w:pPr>
            <w:r>
              <w:rPr>
                <w:rFonts w:cs="Calibri"/>
                <w:color w:val="000000"/>
              </w:rPr>
              <w:t xml:space="preserve">Palestinian Central Bureau of Statistics, Hotel Activities </w:t>
            </w:r>
          </w:p>
        </w:tc>
      </w:tr>
    </w:tbl>
    <w:p w14:paraId="17CFE4A9" w14:textId="77777777" w:rsidR="00711296" w:rsidRDefault="00711296" w:rsidP="00711296">
      <w:pPr>
        <w:pStyle w:val="ListParagraph"/>
        <w:autoSpaceDE w:val="0"/>
        <w:autoSpaceDN w:val="0"/>
        <w:bidi w:val="0"/>
        <w:adjustRightInd w:val="0"/>
        <w:spacing w:after="240" w:line="480" w:lineRule="auto"/>
        <w:ind w:left="1440"/>
        <w:rPr>
          <w:b/>
          <w:bCs/>
        </w:rPr>
      </w:pPr>
    </w:p>
    <w:p w14:paraId="1D83D2C5"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B2559E">
        <w:rPr>
          <w:b/>
          <w:bCs/>
        </w:rPr>
        <w:t xml:space="preserve">Percentage of Palestinian households that conducted Outbound Trips to Israel– </w:t>
      </w:r>
    </w:p>
    <w:p w14:paraId="6539A0AD" w14:textId="77777777" w:rsidR="00711296" w:rsidRPr="001F0D27" w:rsidRDefault="00711296" w:rsidP="00711296">
      <w:pPr>
        <w:pStyle w:val="ListParagraph"/>
        <w:autoSpaceDE w:val="0"/>
        <w:autoSpaceDN w:val="0"/>
        <w:bidi w:val="0"/>
        <w:adjustRightInd w:val="0"/>
        <w:spacing w:after="240" w:line="480" w:lineRule="auto"/>
      </w:pPr>
      <w:r w:rsidRPr="001F0D27">
        <w:t>Measures the number of Palestinian households that conducted Outbound Trips to Israel out of total Palestinian households who conducted a trip.</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1FB9273C" w14:textId="77777777" w:rsidTr="004831C9">
        <w:trPr>
          <w:trHeight w:val="385"/>
        </w:trPr>
        <w:tc>
          <w:tcPr>
            <w:tcW w:w="8409" w:type="dxa"/>
            <w:gridSpan w:val="2"/>
            <w:shd w:val="clear" w:color="auto" w:fill="auto"/>
            <w:noWrap/>
            <w:vAlign w:val="center"/>
          </w:tcPr>
          <w:p w14:paraId="6ED5EB84"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44A68F96" w14:textId="77777777" w:rsidTr="004831C9">
        <w:trPr>
          <w:trHeight w:val="1200"/>
        </w:trPr>
        <w:tc>
          <w:tcPr>
            <w:tcW w:w="1580" w:type="dxa"/>
            <w:shd w:val="clear" w:color="auto" w:fill="auto"/>
            <w:noWrap/>
            <w:vAlign w:val="center"/>
          </w:tcPr>
          <w:p w14:paraId="1D22DB14" w14:textId="77777777" w:rsidR="00711296" w:rsidRPr="003C3F18" w:rsidRDefault="00711296" w:rsidP="004831C9">
            <w:pPr>
              <w:bidi w:val="0"/>
              <w:rPr>
                <w:rFonts w:cs="Calibri"/>
                <w:color w:val="000000"/>
              </w:rPr>
            </w:pPr>
            <w:r>
              <w:rPr>
                <w:rFonts w:cs="Calibri"/>
                <w:color w:val="000000"/>
              </w:rPr>
              <w:t>2009-2019</w:t>
            </w:r>
          </w:p>
        </w:tc>
        <w:tc>
          <w:tcPr>
            <w:tcW w:w="6829" w:type="dxa"/>
            <w:shd w:val="clear" w:color="auto" w:fill="auto"/>
            <w:noWrap/>
            <w:vAlign w:val="center"/>
          </w:tcPr>
          <w:p w14:paraId="5D3B3D2B" w14:textId="77777777" w:rsidR="00711296" w:rsidRPr="003C3F18" w:rsidRDefault="00711296" w:rsidP="004831C9">
            <w:pPr>
              <w:bidi w:val="0"/>
              <w:rPr>
                <w:rFonts w:cs="Calibri"/>
                <w:color w:val="000000"/>
              </w:rPr>
            </w:pPr>
            <w:r>
              <w:rPr>
                <w:rFonts w:cs="Calibri"/>
                <w:color w:val="000000"/>
              </w:rPr>
              <w:t>Palestinian Central Bureau of Statistics, traveled Households on Outbound Trips by Destination Country and year, the data are published with a frequency of two years and therefore an average is made in the missing years (2011,2013,2015,2017, 2019)</w:t>
            </w:r>
          </w:p>
        </w:tc>
      </w:tr>
    </w:tbl>
    <w:p w14:paraId="44DF35B9" w14:textId="77777777" w:rsidR="00711296" w:rsidRDefault="00711296" w:rsidP="00711296">
      <w:pPr>
        <w:autoSpaceDE w:val="0"/>
        <w:autoSpaceDN w:val="0"/>
        <w:bidi w:val="0"/>
        <w:adjustRightInd w:val="0"/>
        <w:spacing w:after="240" w:line="480" w:lineRule="auto"/>
        <w:jc w:val="center"/>
        <w:rPr>
          <w:rFonts w:asciiTheme="majorBidi" w:hAnsiTheme="majorBidi" w:cstheme="majorBidi"/>
          <w:b/>
          <w:bCs/>
          <w:sz w:val="24"/>
          <w:szCs w:val="24"/>
        </w:rPr>
      </w:pPr>
    </w:p>
    <w:p w14:paraId="421CD7F1" w14:textId="77777777" w:rsidR="00711296" w:rsidRDefault="00711296" w:rsidP="00711296">
      <w:pPr>
        <w:autoSpaceDE w:val="0"/>
        <w:autoSpaceDN w:val="0"/>
        <w:bidi w:val="0"/>
        <w:adjustRightInd w:val="0"/>
        <w:spacing w:after="240" w:line="480" w:lineRule="auto"/>
        <w:jc w:val="center"/>
        <w:rPr>
          <w:rFonts w:asciiTheme="majorBidi" w:hAnsiTheme="majorBidi" w:cstheme="majorBidi"/>
          <w:sz w:val="24"/>
          <w:szCs w:val="24"/>
        </w:rPr>
      </w:pPr>
      <w:r>
        <w:rPr>
          <w:rFonts w:asciiTheme="majorBidi" w:hAnsiTheme="majorBidi" w:cstheme="majorBidi"/>
          <w:b/>
          <w:bCs/>
          <w:sz w:val="24"/>
          <w:szCs w:val="24"/>
        </w:rPr>
        <w:t xml:space="preserve">Figure </w:t>
      </w:r>
      <w:r w:rsidRPr="00810E53">
        <w:rPr>
          <w:rFonts w:asciiTheme="majorBidi" w:hAnsiTheme="majorBidi" w:cstheme="majorBidi"/>
          <w:b/>
          <w:bCs/>
          <w:sz w:val="24"/>
          <w:szCs w:val="24"/>
          <w:shd w:val="clear" w:color="auto" w:fill="FFFF00"/>
        </w:rPr>
        <w:t>XX</w:t>
      </w:r>
      <w:r>
        <w:rPr>
          <w:rFonts w:asciiTheme="majorBidi" w:hAnsiTheme="majorBidi" w:cstheme="majorBidi"/>
          <w:b/>
          <w:bCs/>
          <w:sz w:val="24"/>
          <w:szCs w:val="24"/>
        </w:rPr>
        <w:t xml:space="preserve"> - </w:t>
      </w:r>
      <w:r w:rsidRPr="001664CF">
        <w:rPr>
          <w:rFonts w:asciiTheme="majorBidi" w:hAnsiTheme="majorBidi" w:cstheme="majorBidi"/>
          <w:b/>
          <w:bCs/>
          <w:sz w:val="24"/>
          <w:szCs w:val="24"/>
        </w:rPr>
        <w:t>Movement of people</w:t>
      </w:r>
      <w:r>
        <w:rPr>
          <w:noProof/>
        </w:rPr>
        <w:drawing>
          <wp:inline distT="0" distB="0" distL="0" distR="0" wp14:anchorId="5266E74E" wp14:editId="50C46D02">
            <wp:extent cx="5292000" cy="3060000"/>
            <wp:effectExtent l="0" t="0" r="4445" b="7620"/>
            <wp:docPr id="46" name="Chart 46">
              <a:extLst xmlns:a="http://schemas.openxmlformats.org/drawingml/2006/main">
                <a:ext uri="{FF2B5EF4-FFF2-40B4-BE49-F238E27FC236}">
                  <a16:creationId xmlns:a16="http://schemas.microsoft.com/office/drawing/2014/main" id="{45F59AA7-88C3-45DE-A12F-BAA52F9110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7951B4E" w14:textId="77777777" w:rsidR="00711296" w:rsidRPr="00351568" w:rsidRDefault="00711296" w:rsidP="00711296">
      <w:pPr>
        <w:autoSpaceDE w:val="0"/>
        <w:autoSpaceDN w:val="0"/>
        <w:bidi w:val="0"/>
        <w:adjustRightInd w:val="0"/>
        <w:spacing w:after="24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Table </w:t>
      </w:r>
      <w:r w:rsidRPr="00810E53">
        <w:rPr>
          <w:rFonts w:asciiTheme="majorBidi" w:hAnsiTheme="majorBidi" w:cstheme="majorBidi"/>
          <w:b/>
          <w:bCs/>
          <w:sz w:val="24"/>
          <w:szCs w:val="24"/>
          <w:shd w:val="clear" w:color="auto" w:fill="FFFF00"/>
        </w:rPr>
        <w:t>XX</w:t>
      </w:r>
      <w:r>
        <w:rPr>
          <w:rFonts w:asciiTheme="majorBidi" w:hAnsiTheme="majorBidi" w:cstheme="majorBidi"/>
          <w:b/>
          <w:bCs/>
          <w:sz w:val="24"/>
          <w:szCs w:val="24"/>
        </w:rPr>
        <w:t xml:space="preserve"> - </w:t>
      </w:r>
      <w:r w:rsidRPr="00351568">
        <w:rPr>
          <w:rFonts w:asciiTheme="majorBidi" w:hAnsiTheme="majorBidi" w:cstheme="majorBidi"/>
          <w:b/>
          <w:bCs/>
          <w:sz w:val="24"/>
          <w:szCs w:val="24"/>
        </w:rPr>
        <w:t>Raw data</w:t>
      </w:r>
      <w:r>
        <w:rPr>
          <w:rFonts w:asciiTheme="majorBidi" w:hAnsiTheme="majorBidi" w:cstheme="majorBidi"/>
          <w:b/>
          <w:bCs/>
          <w:sz w:val="24"/>
          <w:szCs w:val="24"/>
        </w:rPr>
        <w:t xml:space="preserve"> - </w:t>
      </w:r>
      <w:r w:rsidRPr="001664CF">
        <w:rPr>
          <w:rFonts w:asciiTheme="majorBidi" w:hAnsiTheme="majorBidi" w:cstheme="majorBidi"/>
          <w:b/>
          <w:bCs/>
          <w:sz w:val="24"/>
          <w:szCs w:val="24"/>
        </w:rPr>
        <w:t>Movement of people</w:t>
      </w: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191"/>
        <w:gridCol w:w="1380"/>
        <w:gridCol w:w="1616"/>
        <w:gridCol w:w="2085"/>
        <w:gridCol w:w="1987"/>
      </w:tblGrid>
      <w:tr w:rsidR="00711296" w:rsidRPr="00672DA8" w14:paraId="7420ED75" w14:textId="77777777" w:rsidTr="004831C9">
        <w:trPr>
          <w:trHeight w:val="300"/>
        </w:trPr>
        <w:tc>
          <w:tcPr>
            <w:tcW w:w="622" w:type="dxa"/>
          </w:tcPr>
          <w:p w14:paraId="5E45689C" w14:textId="77777777" w:rsidR="00711296" w:rsidRPr="00672DA8" w:rsidRDefault="00711296" w:rsidP="004831C9">
            <w:pPr>
              <w:bidi w:val="0"/>
              <w:rPr>
                <w:rFonts w:cs="Calibri"/>
                <w:b/>
                <w:bCs/>
                <w:color w:val="000000"/>
                <w:sz w:val="18"/>
                <w:szCs w:val="18"/>
              </w:rPr>
            </w:pPr>
            <w:r w:rsidRPr="00672DA8">
              <w:rPr>
                <w:rFonts w:cs="Calibri"/>
                <w:b/>
                <w:bCs/>
                <w:color w:val="000000"/>
                <w:sz w:val="18"/>
                <w:szCs w:val="18"/>
              </w:rPr>
              <w:t>Year</w:t>
            </w:r>
          </w:p>
        </w:tc>
        <w:tc>
          <w:tcPr>
            <w:tcW w:w="1191" w:type="dxa"/>
            <w:shd w:val="clear" w:color="auto" w:fill="auto"/>
            <w:noWrap/>
          </w:tcPr>
          <w:p w14:paraId="27CB0A61" w14:textId="77777777" w:rsidR="00711296" w:rsidRPr="00672DA8" w:rsidRDefault="00711296" w:rsidP="004831C9">
            <w:pPr>
              <w:bidi w:val="0"/>
              <w:rPr>
                <w:rFonts w:cs="Calibri"/>
                <w:b/>
                <w:bCs/>
                <w:color w:val="000000"/>
                <w:sz w:val="18"/>
                <w:szCs w:val="18"/>
              </w:rPr>
            </w:pPr>
            <w:r w:rsidRPr="00672DA8">
              <w:rPr>
                <w:rFonts w:cs="Calibri"/>
                <w:b/>
                <w:bCs/>
                <w:color w:val="000000"/>
                <w:sz w:val="18"/>
                <w:szCs w:val="18"/>
              </w:rPr>
              <w:t xml:space="preserve">Percentage of Israeli cars entered the WB </w:t>
            </w:r>
          </w:p>
        </w:tc>
        <w:tc>
          <w:tcPr>
            <w:tcW w:w="1380" w:type="dxa"/>
            <w:shd w:val="clear" w:color="auto" w:fill="auto"/>
            <w:noWrap/>
          </w:tcPr>
          <w:p w14:paraId="3359FFAF" w14:textId="77777777" w:rsidR="00711296" w:rsidRPr="00672DA8" w:rsidRDefault="00711296" w:rsidP="004831C9">
            <w:pPr>
              <w:bidi w:val="0"/>
              <w:rPr>
                <w:rFonts w:cs="Calibri"/>
                <w:b/>
                <w:bCs/>
                <w:color w:val="000000"/>
                <w:sz w:val="18"/>
                <w:szCs w:val="18"/>
              </w:rPr>
            </w:pPr>
            <w:r w:rsidRPr="00672DA8">
              <w:rPr>
                <w:rFonts w:cs="Calibri"/>
                <w:b/>
                <w:bCs/>
                <w:color w:val="000000"/>
                <w:sz w:val="18"/>
                <w:szCs w:val="18"/>
              </w:rPr>
              <w:t xml:space="preserve">Movement of people between Israel and the WB </w:t>
            </w:r>
          </w:p>
        </w:tc>
        <w:tc>
          <w:tcPr>
            <w:tcW w:w="1616" w:type="dxa"/>
            <w:shd w:val="clear" w:color="auto" w:fill="auto"/>
            <w:noWrap/>
          </w:tcPr>
          <w:p w14:paraId="1EB2AB40" w14:textId="77777777" w:rsidR="00711296" w:rsidRPr="00672DA8" w:rsidRDefault="00711296" w:rsidP="004831C9">
            <w:pPr>
              <w:bidi w:val="0"/>
              <w:rPr>
                <w:rFonts w:cs="Calibri"/>
                <w:b/>
                <w:bCs/>
                <w:color w:val="000000"/>
                <w:sz w:val="18"/>
                <w:szCs w:val="18"/>
              </w:rPr>
            </w:pPr>
            <w:r w:rsidRPr="00672DA8">
              <w:rPr>
                <w:rFonts w:cs="Calibri"/>
                <w:b/>
                <w:bCs/>
                <w:color w:val="000000"/>
                <w:sz w:val="18"/>
                <w:szCs w:val="18"/>
              </w:rPr>
              <w:t>Percentage of Palestinians entered to Israel for medical treatment</w:t>
            </w:r>
          </w:p>
        </w:tc>
        <w:tc>
          <w:tcPr>
            <w:tcW w:w="2085" w:type="dxa"/>
            <w:shd w:val="clear" w:color="auto" w:fill="auto"/>
            <w:noWrap/>
          </w:tcPr>
          <w:p w14:paraId="47608573" w14:textId="77777777" w:rsidR="00711296" w:rsidRPr="00672DA8" w:rsidRDefault="00711296" w:rsidP="004831C9">
            <w:pPr>
              <w:bidi w:val="0"/>
              <w:rPr>
                <w:rFonts w:ascii="Times New Roman" w:hAnsi="Times New Roman" w:cs="Times New Roman"/>
                <w:b/>
                <w:bCs/>
                <w:sz w:val="18"/>
                <w:szCs w:val="18"/>
              </w:rPr>
            </w:pPr>
            <w:r w:rsidRPr="00672DA8">
              <w:rPr>
                <w:rFonts w:cs="Calibri"/>
                <w:b/>
                <w:bCs/>
                <w:color w:val="000000"/>
                <w:sz w:val="18"/>
                <w:szCs w:val="18"/>
              </w:rPr>
              <w:t>Percentage of Palestinian households that conducted Outbound Trips to Israel</w:t>
            </w:r>
          </w:p>
        </w:tc>
        <w:tc>
          <w:tcPr>
            <w:tcW w:w="1987" w:type="dxa"/>
            <w:shd w:val="clear" w:color="auto" w:fill="auto"/>
            <w:noWrap/>
          </w:tcPr>
          <w:p w14:paraId="5CEC6664" w14:textId="77777777" w:rsidR="00711296" w:rsidRPr="00672DA8" w:rsidRDefault="00711296" w:rsidP="004831C9">
            <w:pPr>
              <w:bidi w:val="0"/>
              <w:rPr>
                <w:rFonts w:cs="Calibri"/>
                <w:b/>
                <w:bCs/>
                <w:color w:val="000000"/>
                <w:sz w:val="18"/>
                <w:szCs w:val="18"/>
              </w:rPr>
            </w:pPr>
            <w:r w:rsidRPr="00672DA8">
              <w:rPr>
                <w:rFonts w:cs="Calibri"/>
                <w:b/>
                <w:bCs/>
                <w:color w:val="000000"/>
                <w:sz w:val="18"/>
                <w:szCs w:val="18"/>
              </w:rPr>
              <w:t xml:space="preserve">Percentage of Israeli guests’ nights in WB Hotels </w:t>
            </w:r>
          </w:p>
        </w:tc>
      </w:tr>
      <w:tr w:rsidR="00711296" w:rsidRPr="00672DA8" w14:paraId="5A36DC1A" w14:textId="77777777" w:rsidTr="004831C9">
        <w:trPr>
          <w:trHeight w:val="300"/>
        </w:trPr>
        <w:tc>
          <w:tcPr>
            <w:tcW w:w="622" w:type="dxa"/>
            <w:vAlign w:val="bottom"/>
          </w:tcPr>
          <w:p w14:paraId="2E428742" w14:textId="77777777" w:rsidR="00711296" w:rsidRPr="00672DA8" w:rsidRDefault="00711296" w:rsidP="004831C9">
            <w:pPr>
              <w:bidi w:val="0"/>
              <w:rPr>
                <w:rFonts w:cs="Calibri"/>
                <w:color w:val="000000"/>
                <w:sz w:val="18"/>
                <w:szCs w:val="18"/>
              </w:rPr>
            </w:pPr>
            <w:r w:rsidRPr="00672DA8">
              <w:rPr>
                <w:rFonts w:cs="Calibri"/>
                <w:color w:val="000000"/>
                <w:sz w:val="18"/>
                <w:szCs w:val="18"/>
              </w:rPr>
              <w:t>1996</w:t>
            </w:r>
          </w:p>
        </w:tc>
        <w:tc>
          <w:tcPr>
            <w:tcW w:w="1191" w:type="dxa"/>
            <w:shd w:val="clear" w:color="auto" w:fill="auto"/>
            <w:noWrap/>
            <w:vAlign w:val="bottom"/>
            <w:hideMark/>
          </w:tcPr>
          <w:p w14:paraId="494BBC3A" w14:textId="77777777" w:rsidR="00711296" w:rsidRPr="000535E2" w:rsidRDefault="00711296" w:rsidP="004831C9">
            <w:pPr>
              <w:bidi w:val="0"/>
              <w:rPr>
                <w:rFonts w:cs="Calibri"/>
                <w:color w:val="000000"/>
                <w:sz w:val="18"/>
                <w:szCs w:val="18"/>
              </w:rPr>
            </w:pPr>
            <w:r w:rsidRPr="000535E2">
              <w:rPr>
                <w:rFonts w:cs="Calibri"/>
                <w:color w:val="000000"/>
                <w:sz w:val="18"/>
                <w:szCs w:val="18"/>
              </w:rPr>
              <w:t> </w:t>
            </w:r>
          </w:p>
        </w:tc>
        <w:tc>
          <w:tcPr>
            <w:tcW w:w="1380" w:type="dxa"/>
            <w:shd w:val="clear" w:color="auto" w:fill="auto"/>
            <w:noWrap/>
            <w:vAlign w:val="bottom"/>
            <w:hideMark/>
          </w:tcPr>
          <w:p w14:paraId="7980E152" w14:textId="77777777" w:rsidR="00711296" w:rsidRPr="000535E2" w:rsidRDefault="00711296" w:rsidP="004831C9">
            <w:pPr>
              <w:bidi w:val="0"/>
              <w:rPr>
                <w:rFonts w:cs="Calibri"/>
                <w:color w:val="000000"/>
                <w:sz w:val="18"/>
                <w:szCs w:val="18"/>
              </w:rPr>
            </w:pPr>
          </w:p>
        </w:tc>
        <w:tc>
          <w:tcPr>
            <w:tcW w:w="1616" w:type="dxa"/>
            <w:shd w:val="clear" w:color="auto" w:fill="auto"/>
            <w:noWrap/>
            <w:vAlign w:val="bottom"/>
            <w:hideMark/>
          </w:tcPr>
          <w:p w14:paraId="60510857" w14:textId="77777777" w:rsidR="00711296" w:rsidRPr="000535E2" w:rsidRDefault="00711296" w:rsidP="004831C9">
            <w:pPr>
              <w:bidi w:val="0"/>
              <w:rPr>
                <w:rFonts w:cs="Calibri"/>
                <w:b/>
                <w:bCs/>
                <w:color w:val="000000"/>
                <w:sz w:val="18"/>
                <w:szCs w:val="18"/>
              </w:rPr>
            </w:pPr>
          </w:p>
        </w:tc>
        <w:tc>
          <w:tcPr>
            <w:tcW w:w="2085" w:type="dxa"/>
            <w:shd w:val="clear" w:color="auto" w:fill="auto"/>
            <w:noWrap/>
            <w:vAlign w:val="bottom"/>
            <w:hideMark/>
          </w:tcPr>
          <w:p w14:paraId="1FB9CDB2" w14:textId="77777777" w:rsidR="00711296" w:rsidRPr="000535E2" w:rsidRDefault="00711296" w:rsidP="004831C9">
            <w:pPr>
              <w:bidi w:val="0"/>
              <w:rPr>
                <w:rFonts w:ascii="Times New Roman" w:hAnsi="Times New Roman" w:cs="Times New Roman"/>
                <w:sz w:val="18"/>
                <w:szCs w:val="18"/>
              </w:rPr>
            </w:pPr>
          </w:p>
        </w:tc>
        <w:tc>
          <w:tcPr>
            <w:tcW w:w="1987" w:type="dxa"/>
            <w:shd w:val="clear" w:color="auto" w:fill="auto"/>
            <w:noWrap/>
            <w:vAlign w:val="bottom"/>
            <w:hideMark/>
          </w:tcPr>
          <w:p w14:paraId="3614E235"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2.70%</w:t>
            </w:r>
          </w:p>
        </w:tc>
      </w:tr>
      <w:tr w:rsidR="00711296" w:rsidRPr="00672DA8" w14:paraId="65CA519A" w14:textId="77777777" w:rsidTr="004831C9">
        <w:trPr>
          <w:trHeight w:val="300"/>
        </w:trPr>
        <w:tc>
          <w:tcPr>
            <w:tcW w:w="622" w:type="dxa"/>
            <w:vAlign w:val="bottom"/>
          </w:tcPr>
          <w:p w14:paraId="05A6AAEA" w14:textId="77777777" w:rsidR="00711296" w:rsidRPr="00672DA8" w:rsidRDefault="00711296" w:rsidP="004831C9">
            <w:pPr>
              <w:bidi w:val="0"/>
              <w:rPr>
                <w:rFonts w:cs="Calibri"/>
                <w:color w:val="000000"/>
                <w:sz w:val="18"/>
                <w:szCs w:val="18"/>
              </w:rPr>
            </w:pPr>
            <w:r w:rsidRPr="00672DA8">
              <w:rPr>
                <w:rFonts w:cs="Calibri"/>
                <w:color w:val="000000"/>
                <w:sz w:val="18"/>
                <w:szCs w:val="18"/>
              </w:rPr>
              <w:t>1997</w:t>
            </w:r>
          </w:p>
        </w:tc>
        <w:tc>
          <w:tcPr>
            <w:tcW w:w="1191" w:type="dxa"/>
            <w:shd w:val="clear" w:color="auto" w:fill="auto"/>
            <w:noWrap/>
            <w:vAlign w:val="bottom"/>
            <w:hideMark/>
          </w:tcPr>
          <w:p w14:paraId="65F781D6" w14:textId="77777777" w:rsidR="00711296" w:rsidRPr="000535E2" w:rsidRDefault="00711296" w:rsidP="004831C9">
            <w:pPr>
              <w:bidi w:val="0"/>
              <w:rPr>
                <w:rFonts w:cs="Calibri"/>
                <w:color w:val="000000"/>
                <w:sz w:val="18"/>
                <w:szCs w:val="18"/>
              </w:rPr>
            </w:pPr>
            <w:r w:rsidRPr="000535E2">
              <w:rPr>
                <w:rFonts w:cs="Calibri"/>
                <w:color w:val="000000"/>
                <w:sz w:val="18"/>
                <w:szCs w:val="18"/>
              </w:rPr>
              <w:t> </w:t>
            </w:r>
          </w:p>
        </w:tc>
        <w:tc>
          <w:tcPr>
            <w:tcW w:w="1380" w:type="dxa"/>
            <w:shd w:val="clear" w:color="auto" w:fill="auto"/>
            <w:noWrap/>
            <w:vAlign w:val="bottom"/>
            <w:hideMark/>
          </w:tcPr>
          <w:p w14:paraId="633CDCBC" w14:textId="77777777" w:rsidR="00711296" w:rsidRPr="000535E2" w:rsidRDefault="00711296" w:rsidP="004831C9">
            <w:pPr>
              <w:bidi w:val="0"/>
              <w:rPr>
                <w:rFonts w:cs="Calibri"/>
                <w:color w:val="000000"/>
                <w:sz w:val="18"/>
                <w:szCs w:val="18"/>
              </w:rPr>
            </w:pPr>
          </w:p>
        </w:tc>
        <w:tc>
          <w:tcPr>
            <w:tcW w:w="1616" w:type="dxa"/>
            <w:shd w:val="clear" w:color="auto" w:fill="auto"/>
            <w:noWrap/>
            <w:vAlign w:val="bottom"/>
            <w:hideMark/>
          </w:tcPr>
          <w:p w14:paraId="30ED0B03" w14:textId="77777777" w:rsidR="00711296" w:rsidRPr="000535E2" w:rsidRDefault="00711296" w:rsidP="004831C9">
            <w:pPr>
              <w:bidi w:val="0"/>
              <w:rPr>
                <w:rFonts w:ascii="Times New Roman" w:hAnsi="Times New Roman" w:cs="Times New Roman"/>
                <w:sz w:val="18"/>
                <w:szCs w:val="18"/>
              </w:rPr>
            </w:pPr>
          </w:p>
        </w:tc>
        <w:tc>
          <w:tcPr>
            <w:tcW w:w="2085" w:type="dxa"/>
            <w:shd w:val="clear" w:color="auto" w:fill="auto"/>
            <w:noWrap/>
            <w:vAlign w:val="bottom"/>
            <w:hideMark/>
          </w:tcPr>
          <w:p w14:paraId="10CC4F74" w14:textId="77777777" w:rsidR="00711296" w:rsidRPr="000535E2" w:rsidRDefault="00711296" w:rsidP="004831C9">
            <w:pPr>
              <w:bidi w:val="0"/>
              <w:rPr>
                <w:rFonts w:ascii="Times New Roman" w:hAnsi="Times New Roman" w:cs="Times New Roman"/>
                <w:sz w:val="18"/>
                <w:szCs w:val="18"/>
              </w:rPr>
            </w:pPr>
          </w:p>
        </w:tc>
        <w:tc>
          <w:tcPr>
            <w:tcW w:w="1987" w:type="dxa"/>
            <w:shd w:val="clear" w:color="auto" w:fill="auto"/>
            <w:noWrap/>
            <w:vAlign w:val="bottom"/>
            <w:hideMark/>
          </w:tcPr>
          <w:p w14:paraId="0910D50F"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3.20%</w:t>
            </w:r>
          </w:p>
        </w:tc>
      </w:tr>
      <w:tr w:rsidR="00711296" w:rsidRPr="00672DA8" w14:paraId="78094DBB" w14:textId="77777777" w:rsidTr="004831C9">
        <w:trPr>
          <w:trHeight w:val="300"/>
        </w:trPr>
        <w:tc>
          <w:tcPr>
            <w:tcW w:w="622" w:type="dxa"/>
            <w:vAlign w:val="bottom"/>
          </w:tcPr>
          <w:p w14:paraId="1DA960C8" w14:textId="77777777" w:rsidR="00711296" w:rsidRPr="00672DA8" w:rsidRDefault="00711296" w:rsidP="004831C9">
            <w:pPr>
              <w:bidi w:val="0"/>
              <w:rPr>
                <w:rFonts w:cs="Calibri"/>
                <w:color w:val="000000"/>
                <w:sz w:val="18"/>
                <w:szCs w:val="18"/>
              </w:rPr>
            </w:pPr>
            <w:r w:rsidRPr="00672DA8">
              <w:rPr>
                <w:rFonts w:cs="Calibri"/>
                <w:color w:val="000000"/>
                <w:sz w:val="18"/>
                <w:szCs w:val="18"/>
              </w:rPr>
              <w:t>1998</w:t>
            </w:r>
          </w:p>
        </w:tc>
        <w:tc>
          <w:tcPr>
            <w:tcW w:w="1191" w:type="dxa"/>
            <w:shd w:val="clear" w:color="auto" w:fill="auto"/>
            <w:noWrap/>
            <w:vAlign w:val="bottom"/>
            <w:hideMark/>
          </w:tcPr>
          <w:p w14:paraId="05F29859" w14:textId="77777777" w:rsidR="00711296" w:rsidRPr="000535E2" w:rsidRDefault="00711296" w:rsidP="004831C9">
            <w:pPr>
              <w:bidi w:val="0"/>
              <w:rPr>
                <w:rFonts w:cs="Calibri"/>
                <w:color w:val="000000"/>
                <w:sz w:val="18"/>
                <w:szCs w:val="18"/>
              </w:rPr>
            </w:pPr>
            <w:r w:rsidRPr="000535E2">
              <w:rPr>
                <w:rFonts w:cs="Calibri"/>
                <w:color w:val="000000"/>
                <w:sz w:val="18"/>
                <w:szCs w:val="18"/>
              </w:rPr>
              <w:t> </w:t>
            </w:r>
          </w:p>
        </w:tc>
        <w:tc>
          <w:tcPr>
            <w:tcW w:w="1380" w:type="dxa"/>
            <w:shd w:val="clear" w:color="auto" w:fill="auto"/>
            <w:noWrap/>
            <w:vAlign w:val="bottom"/>
            <w:hideMark/>
          </w:tcPr>
          <w:p w14:paraId="46CB50F1" w14:textId="77777777" w:rsidR="00711296" w:rsidRPr="000535E2" w:rsidRDefault="00711296" w:rsidP="004831C9">
            <w:pPr>
              <w:bidi w:val="0"/>
              <w:rPr>
                <w:rFonts w:cs="Calibri"/>
                <w:color w:val="000000"/>
                <w:sz w:val="18"/>
                <w:szCs w:val="18"/>
              </w:rPr>
            </w:pPr>
          </w:p>
        </w:tc>
        <w:tc>
          <w:tcPr>
            <w:tcW w:w="1616" w:type="dxa"/>
            <w:shd w:val="clear" w:color="auto" w:fill="auto"/>
            <w:noWrap/>
            <w:vAlign w:val="bottom"/>
            <w:hideMark/>
          </w:tcPr>
          <w:p w14:paraId="00ED19C0" w14:textId="77777777" w:rsidR="00711296" w:rsidRPr="000535E2" w:rsidRDefault="00711296" w:rsidP="004831C9">
            <w:pPr>
              <w:bidi w:val="0"/>
              <w:rPr>
                <w:rFonts w:ascii="Times New Roman" w:hAnsi="Times New Roman" w:cs="Times New Roman"/>
                <w:sz w:val="18"/>
                <w:szCs w:val="18"/>
              </w:rPr>
            </w:pPr>
          </w:p>
        </w:tc>
        <w:tc>
          <w:tcPr>
            <w:tcW w:w="2085" w:type="dxa"/>
            <w:shd w:val="clear" w:color="auto" w:fill="auto"/>
            <w:noWrap/>
            <w:vAlign w:val="bottom"/>
            <w:hideMark/>
          </w:tcPr>
          <w:p w14:paraId="23019951" w14:textId="77777777" w:rsidR="00711296" w:rsidRPr="000535E2" w:rsidRDefault="00711296" w:rsidP="004831C9">
            <w:pPr>
              <w:bidi w:val="0"/>
              <w:rPr>
                <w:rFonts w:ascii="Times New Roman" w:hAnsi="Times New Roman" w:cs="Times New Roman"/>
                <w:sz w:val="18"/>
                <w:szCs w:val="18"/>
              </w:rPr>
            </w:pPr>
          </w:p>
        </w:tc>
        <w:tc>
          <w:tcPr>
            <w:tcW w:w="1987" w:type="dxa"/>
            <w:shd w:val="clear" w:color="auto" w:fill="auto"/>
            <w:noWrap/>
            <w:vAlign w:val="bottom"/>
            <w:hideMark/>
          </w:tcPr>
          <w:p w14:paraId="0F63859B"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5.00%</w:t>
            </w:r>
          </w:p>
        </w:tc>
      </w:tr>
      <w:tr w:rsidR="00711296" w:rsidRPr="00672DA8" w14:paraId="057CBE83" w14:textId="77777777" w:rsidTr="004831C9">
        <w:trPr>
          <w:trHeight w:val="300"/>
        </w:trPr>
        <w:tc>
          <w:tcPr>
            <w:tcW w:w="622" w:type="dxa"/>
            <w:vAlign w:val="bottom"/>
          </w:tcPr>
          <w:p w14:paraId="17F7ECE5" w14:textId="77777777" w:rsidR="00711296" w:rsidRPr="00672DA8" w:rsidRDefault="00711296" w:rsidP="004831C9">
            <w:pPr>
              <w:bidi w:val="0"/>
              <w:rPr>
                <w:rFonts w:cs="Calibri"/>
                <w:color w:val="000000"/>
                <w:sz w:val="18"/>
                <w:szCs w:val="18"/>
              </w:rPr>
            </w:pPr>
            <w:r w:rsidRPr="00672DA8">
              <w:rPr>
                <w:rFonts w:cs="Calibri"/>
                <w:color w:val="000000"/>
                <w:sz w:val="18"/>
                <w:szCs w:val="18"/>
              </w:rPr>
              <w:t>1999</w:t>
            </w:r>
          </w:p>
        </w:tc>
        <w:tc>
          <w:tcPr>
            <w:tcW w:w="1191" w:type="dxa"/>
            <w:shd w:val="clear" w:color="auto" w:fill="auto"/>
            <w:noWrap/>
            <w:vAlign w:val="bottom"/>
            <w:hideMark/>
          </w:tcPr>
          <w:p w14:paraId="1D47C2EB" w14:textId="77777777" w:rsidR="00711296" w:rsidRPr="000535E2" w:rsidRDefault="00711296" w:rsidP="004831C9">
            <w:pPr>
              <w:bidi w:val="0"/>
              <w:rPr>
                <w:rFonts w:cs="Calibri"/>
                <w:color w:val="000000"/>
                <w:sz w:val="18"/>
                <w:szCs w:val="18"/>
              </w:rPr>
            </w:pPr>
            <w:r w:rsidRPr="000535E2">
              <w:rPr>
                <w:rFonts w:cs="Calibri"/>
                <w:color w:val="000000"/>
                <w:sz w:val="18"/>
                <w:szCs w:val="18"/>
              </w:rPr>
              <w:t> </w:t>
            </w:r>
          </w:p>
        </w:tc>
        <w:tc>
          <w:tcPr>
            <w:tcW w:w="1380" w:type="dxa"/>
            <w:shd w:val="clear" w:color="auto" w:fill="auto"/>
            <w:noWrap/>
            <w:vAlign w:val="bottom"/>
            <w:hideMark/>
          </w:tcPr>
          <w:p w14:paraId="650D6DE9" w14:textId="77777777" w:rsidR="00711296" w:rsidRPr="000535E2" w:rsidRDefault="00711296" w:rsidP="004831C9">
            <w:pPr>
              <w:bidi w:val="0"/>
              <w:rPr>
                <w:rFonts w:cs="Calibri"/>
                <w:color w:val="000000"/>
                <w:sz w:val="18"/>
                <w:szCs w:val="18"/>
              </w:rPr>
            </w:pPr>
          </w:p>
        </w:tc>
        <w:tc>
          <w:tcPr>
            <w:tcW w:w="1616" w:type="dxa"/>
            <w:shd w:val="clear" w:color="auto" w:fill="auto"/>
            <w:noWrap/>
            <w:vAlign w:val="bottom"/>
            <w:hideMark/>
          </w:tcPr>
          <w:p w14:paraId="4F3E7ADB" w14:textId="77777777" w:rsidR="00711296" w:rsidRPr="000535E2" w:rsidRDefault="00711296" w:rsidP="004831C9">
            <w:pPr>
              <w:bidi w:val="0"/>
              <w:rPr>
                <w:rFonts w:ascii="Times New Roman" w:hAnsi="Times New Roman" w:cs="Times New Roman"/>
                <w:sz w:val="18"/>
                <w:szCs w:val="18"/>
              </w:rPr>
            </w:pPr>
          </w:p>
        </w:tc>
        <w:tc>
          <w:tcPr>
            <w:tcW w:w="2085" w:type="dxa"/>
            <w:shd w:val="clear" w:color="auto" w:fill="auto"/>
            <w:noWrap/>
            <w:vAlign w:val="bottom"/>
            <w:hideMark/>
          </w:tcPr>
          <w:p w14:paraId="2AFBFD06" w14:textId="77777777" w:rsidR="00711296" w:rsidRPr="000535E2" w:rsidRDefault="00711296" w:rsidP="004831C9">
            <w:pPr>
              <w:bidi w:val="0"/>
              <w:rPr>
                <w:rFonts w:ascii="Times New Roman" w:hAnsi="Times New Roman" w:cs="Times New Roman"/>
                <w:sz w:val="18"/>
                <w:szCs w:val="18"/>
              </w:rPr>
            </w:pPr>
          </w:p>
        </w:tc>
        <w:tc>
          <w:tcPr>
            <w:tcW w:w="1987" w:type="dxa"/>
            <w:shd w:val="clear" w:color="auto" w:fill="auto"/>
            <w:noWrap/>
            <w:vAlign w:val="bottom"/>
            <w:hideMark/>
          </w:tcPr>
          <w:p w14:paraId="2026A460"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9.70%</w:t>
            </w:r>
          </w:p>
        </w:tc>
      </w:tr>
      <w:tr w:rsidR="00711296" w:rsidRPr="00672DA8" w14:paraId="3C34A11B" w14:textId="77777777" w:rsidTr="004831C9">
        <w:trPr>
          <w:trHeight w:val="300"/>
        </w:trPr>
        <w:tc>
          <w:tcPr>
            <w:tcW w:w="622" w:type="dxa"/>
            <w:vAlign w:val="bottom"/>
          </w:tcPr>
          <w:p w14:paraId="1DA54D95" w14:textId="77777777" w:rsidR="00711296" w:rsidRPr="00672DA8" w:rsidRDefault="00711296" w:rsidP="004831C9">
            <w:pPr>
              <w:bidi w:val="0"/>
              <w:rPr>
                <w:rFonts w:cs="Calibri"/>
                <w:color w:val="000000"/>
                <w:sz w:val="18"/>
                <w:szCs w:val="18"/>
              </w:rPr>
            </w:pPr>
            <w:r w:rsidRPr="00672DA8">
              <w:rPr>
                <w:rFonts w:cs="Calibri"/>
                <w:color w:val="000000"/>
                <w:sz w:val="18"/>
                <w:szCs w:val="18"/>
              </w:rPr>
              <w:t>2000</w:t>
            </w:r>
          </w:p>
        </w:tc>
        <w:tc>
          <w:tcPr>
            <w:tcW w:w="1191" w:type="dxa"/>
            <w:shd w:val="clear" w:color="auto" w:fill="auto"/>
            <w:noWrap/>
            <w:vAlign w:val="bottom"/>
            <w:hideMark/>
          </w:tcPr>
          <w:p w14:paraId="699E0420" w14:textId="77777777" w:rsidR="00711296" w:rsidRPr="000535E2" w:rsidRDefault="00711296" w:rsidP="004831C9">
            <w:pPr>
              <w:bidi w:val="0"/>
              <w:rPr>
                <w:rFonts w:cs="Calibri"/>
                <w:color w:val="000000"/>
                <w:sz w:val="18"/>
                <w:szCs w:val="18"/>
              </w:rPr>
            </w:pPr>
            <w:r w:rsidRPr="000535E2">
              <w:rPr>
                <w:rFonts w:cs="Calibri"/>
                <w:color w:val="000000"/>
                <w:sz w:val="18"/>
                <w:szCs w:val="18"/>
              </w:rPr>
              <w:t> </w:t>
            </w:r>
          </w:p>
        </w:tc>
        <w:tc>
          <w:tcPr>
            <w:tcW w:w="1380" w:type="dxa"/>
            <w:shd w:val="clear" w:color="auto" w:fill="auto"/>
            <w:noWrap/>
            <w:vAlign w:val="bottom"/>
            <w:hideMark/>
          </w:tcPr>
          <w:p w14:paraId="6E1125E6" w14:textId="77777777" w:rsidR="00711296" w:rsidRPr="000535E2" w:rsidRDefault="00711296" w:rsidP="004831C9">
            <w:pPr>
              <w:bidi w:val="0"/>
              <w:rPr>
                <w:rFonts w:cs="Calibri"/>
                <w:color w:val="000000"/>
                <w:sz w:val="18"/>
                <w:szCs w:val="18"/>
              </w:rPr>
            </w:pPr>
          </w:p>
        </w:tc>
        <w:tc>
          <w:tcPr>
            <w:tcW w:w="1616" w:type="dxa"/>
            <w:shd w:val="clear" w:color="auto" w:fill="auto"/>
            <w:noWrap/>
            <w:vAlign w:val="bottom"/>
            <w:hideMark/>
          </w:tcPr>
          <w:p w14:paraId="22E7E670" w14:textId="77777777" w:rsidR="00711296" w:rsidRPr="000535E2" w:rsidRDefault="00711296" w:rsidP="004831C9">
            <w:pPr>
              <w:bidi w:val="0"/>
              <w:rPr>
                <w:rFonts w:ascii="Times New Roman" w:hAnsi="Times New Roman" w:cs="Times New Roman"/>
                <w:sz w:val="18"/>
                <w:szCs w:val="18"/>
              </w:rPr>
            </w:pPr>
          </w:p>
        </w:tc>
        <w:tc>
          <w:tcPr>
            <w:tcW w:w="2085" w:type="dxa"/>
            <w:shd w:val="clear" w:color="auto" w:fill="auto"/>
            <w:noWrap/>
            <w:vAlign w:val="bottom"/>
            <w:hideMark/>
          </w:tcPr>
          <w:p w14:paraId="35801029" w14:textId="77777777" w:rsidR="00711296" w:rsidRPr="000535E2" w:rsidRDefault="00711296" w:rsidP="004831C9">
            <w:pPr>
              <w:bidi w:val="0"/>
              <w:rPr>
                <w:rFonts w:ascii="Times New Roman" w:hAnsi="Times New Roman" w:cs="Times New Roman"/>
                <w:sz w:val="18"/>
                <w:szCs w:val="18"/>
              </w:rPr>
            </w:pPr>
          </w:p>
        </w:tc>
        <w:tc>
          <w:tcPr>
            <w:tcW w:w="1987" w:type="dxa"/>
            <w:shd w:val="clear" w:color="auto" w:fill="auto"/>
            <w:noWrap/>
            <w:vAlign w:val="bottom"/>
            <w:hideMark/>
          </w:tcPr>
          <w:p w14:paraId="0CF8B496"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9.30%</w:t>
            </w:r>
          </w:p>
        </w:tc>
      </w:tr>
      <w:tr w:rsidR="00711296" w:rsidRPr="00672DA8" w14:paraId="71AA2137" w14:textId="77777777" w:rsidTr="004831C9">
        <w:trPr>
          <w:trHeight w:val="300"/>
        </w:trPr>
        <w:tc>
          <w:tcPr>
            <w:tcW w:w="622" w:type="dxa"/>
            <w:vAlign w:val="bottom"/>
          </w:tcPr>
          <w:p w14:paraId="4A154EA4" w14:textId="77777777" w:rsidR="00711296" w:rsidRPr="00672DA8" w:rsidRDefault="00711296" w:rsidP="004831C9">
            <w:pPr>
              <w:bidi w:val="0"/>
              <w:rPr>
                <w:rFonts w:cs="Calibri"/>
                <w:color w:val="000000"/>
                <w:sz w:val="18"/>
                <w:szCs w:val="18"/>
              </w:rPr>
            </w:pPr>
            <w:r w:rsidRPr="00672DA8">
              <w:rPr>
                <w:rFonts w:cs="Calibri"/>
                <w:color w:val="000000"/>
                <w:sz w:val="18"/>
                <w:szCs w:val="18"/>
              </w:rPr>
              <w:t>2001</w:t>
            </w:r>
          </w:p>
        </w:tc>
        <w:tc>
          <w:tcPr>
            <w:tcW w:w="1191" w:type="dxa"/>
            <w:shd w:val="clear" w:color="auto" w:fill="auto"/>
            <w:noWrap/>
            <w:vAlign w:val="bottom"/>
            <w:hideMark/>
          </w:tcPr>
          <w:p w14:paraId="2E76CE82" w14:textId="77777777" w:rsidR="00711296" w:rsidRPr="000535E2" w:rsidRDefault="00711296" w:rsidP="004831C9">
            <w:pPr>
              <w:bidi w:val="0"/>
              <w:rPr>
                <w:rFonts w:cs="Calibri"/>
                <w:color w:val="000000"/>
                <w:sz w:val="18"/>
                <w:szCs w:val="18"/>
              </w:rPr>
            </w:pPr>
            <w:r w:rsidRPr="000535E2">
              <w:rPr>
                <w:rFonts w:cs="Calibri"/>
                <w:color w:val="000000"/>
                <w:sz w:val="18"/>
                <w:szCs w:val="18"/>
              </w:rPr>
              <w:t> </w:t>
            </w:r>
          </w:p>
        </w:tc>
        <w:tc>
          <w:tcPr>
            <w:tcW w:w="1380" w:type="dxa"/>
            <w:shd w:val="clear" w:color="auto" w:fill="auto"/>
            <w:noWrap/>
            <w:vAlign w:val="bottom"/>
            <w:hideMark/>
          </w:tcPr>
          <w:p w14:paraId="1EDD1E68" w14:textId="77777777" w:rsidR="00711296" w:rsidRPr="000535E2" w:rsidRDefault="00711296" w:rsidP="004831C9">
            <w:pPr>
              <w:bidi w:val="0"/>
              <w:rPr>
                <w:rFonts w:cs="Calibri"/>
                <w:color w:val="000000"/>
                <w:sz w:val="18"/>
                <w:szCs w:val="18"/>
              </w:rPr>
            </w:pPr>
          </w:p>
        </w:tc>
        <w:tc>
          <w:tcPr>
            <w:tcW w:w="1616" w:type="dxa"/>
            <w:shd w:val="clear" w:color="auto" w:fill="auto"/>
            <w:noWrap/>
            <w:vAlign w:val="bottom"/>
            <w:hideMark/>
          </w:tcPr>
          <w:p w14:paraId="23E432B5" w14:textId="77777777" w:rsidR="00711296" w:rsidRPr="000535E2" w:rsidRDefault="00711296" w:rsidP="004831C9">
            <w:pPr>
              <w:bidi w:val="0"/>
              <w:rPr>
                <w:rFonts w:ascii="Times New Roman" w:hAnsi="Times New Roman" w:cs="Times New Roman"/>
                <w:sz w:val="18"/>
                <w:szCs w:val="18"/>
              </w:rPr>
            </w:pPr>
          </w:p>
        </w:tc>
        <w:tc>
          <w:tcPr>
            <w:tcW w:w="2085" w:type="dxa"/>
            <w:shd w:val="clear" w:color="auto" w:fill="auto"/>
            <w:noWrap/>
            <w:vAlign w:val="bottom"/>
            <w:hideMark/>
          </w:tcPr>
          <w:p w14:paraId="047A02B4" w14:textId="77777777" w:rsidR="00711296" w:rsidRPr="000535E2" w:rsidRDefault="00711296" w:rsidP="004831C9">
            <w:pPr>
              <w:bidi w:val="0"/>
              <w:rPr>
                <w:rFonts w:ascii="Times New Roman" w:hAnsi="Times New Roman" w:cs="Times New Roman"/>
                <w:sz w:val="18"/>
                <w:szCs w:val="18"/>
              </w:rPr>
            </w:pPr>
          </w:p>
        </w:tc>
        <w:tc>
          <w:tcPr>
            <w:tcW w:w="1987" w:type="dxa"/>
            <w:shd w:val="clear" w:color="auto" w:fill="auto"/>
            <w:noWrap/>
            <w:vAlign w:val="bottom"/>
            <w:hideMark/>
          </w:tcPr>
          <w:p w14:paraId="57C668AA"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5.30%</w:t>
            </w:r>
          </w:p>
        </w:tc>
      </w:tr>
      <w:tr w:rsidR="00711296" w:rsidRPr="00672DA8" w14:paraId="3EE69419" w14:textId="77777777" w:rsidTr="004831C9">
        <w:trPr>
          <w:trHeight w:val="300"/>
        </w:trPr>
        <w:tc>
          <w:tcPr>
            <w:tcW w:w="622" w:type="dxa"/>
            <w:vAlign w:val="bottom"/>
          </w:tcPr>
          <w:p w14:paraId="26C9248E" w14:textId="77777777" w:rsidR="00711296" w:rsidRPr="00672DA8" w:rsidRDefault="00711296" w:rsidP="004831C9">
            <w:pPr>
              <w:bidi w:val="0"/>
              <w:rPr>
                <w:rFonts w:cs="Calibri"/>
                <w:color w:val="000000"/>
                <w:sz w:val="18"/>
                <w:szCs w:val="18"/>
              </w:rPr>
            </w:pPr>
            <w:r w:rsidRPr="00672DA8">
              <w:rPr>
                <w:rFonts w:cs="Calibri"/>
                <w:color w:val="000000"/>
                <w:sz w:val="18"/>
                <w:szCs w:val="18"/>
              </w:rPr>
              <w:t>2002</w:t>
            </w:r>
          </w:p>
        </w:tc>
        <w:tc>
          <w:tcPr>
            <w:tcW w:w="1191" w:type="dxa"/>
            <w:shd w:val="clear" w:color="auto" w:fill="auto"/>
            <w:noWrap/>
            <w:vAlign w:val="bottom"/>
            <w:hideMark/>
          </w:tcPr>
          <w:p w14:paraId="0D8C32E1" w14:textId="77777777" w:rsidR="00711296" w:rsidRPr="000535E2" w:rsidRDefault="00711296" w:rsidP="004831C9">
            <w:pPr>
              <w:bidi w:val="0"/>
              <w:rPr>
                <w:rFonts w:cs="Calibri"/>
                <w:color w:val="000000"/>
                <w:sz w:val="18"/>
                <w:szCs w:val="18"/>
              </w:rPr>
            </w:pPr>
            <w:r w:rsidRPr="000535E2">
              <w:rPr>
                <w:rFonts w:cs="Calibri"/>
                <w:color w:val="000000"/>
                <w:sz w:val="18"/>
                <w:szCs w:val="18"/>
              </w:rPr>
              <w:t> </w:t>
            </w:r>
          </w:p>
        </w:tc>
        <w:tc>
          <w:tcPr>
            <w:tcW w:w="1380" w:type="dxa"/>
            <w:shd w:val="clear" w:color="auto" w:fill="auto"/>
            <w:noWrap/>
            <w:vAlign w:val="bottom"/>
            <w:hideMark/>
          </w:tcPr>
          <w:p w14:paraId="5688ACAA" w14:textId="77777777" w:rsidR="00711296" w:rsidRPr="000535E2" w:rsidRDefault="00711296" w:rsidP="004831C9">
            <w:pPr>
              <w:bidi w:val="0"/>
              <w:rPr>
                <w:rFonts w:cs="Calibri"/>
                <w:color w:val="000000"/>
                <w:sz w:val="18"/>
                <w:szCs w:val="18"/>
              </w:rPr>
            </w:pPr>
          </w:p>
        </w:tc>
        <w:tc>
          <w:tcPr>
            <w:tcW w:w="1616" w:type="dxa"/>
            <w:shd w:val="clear" w:color="auto" w:fill="auto"/>
            <w:noWrap/>
            <w:vAlign w:val="bottom"/>
            <w:hideMark/>
          </w:tcPr>
          <w:p w14:paraId="5454E82C" w14:textId="77777777" w:rsidR="00711296" w:rsidRPr="000535E2" w:rsidRDefault="00711296" w:rsidP="004831C9">
            <w:pPr>
              <w:bidi w:val="0"/>
              <w:rPr>
                <w:rFonts w:ascii="Times New Roman" w:hAnsi="Times New Roman" w:cs="Times New Roman"/>
                <w:sz w:val="18"/>
                <w:szCs w:val="18"/>
              </w:rPr>
            </w:pPr>
          </w:p>
        </w:tc>
        <w:tc>
          <w:tcPr>
            <w:tcW w:w="2085" w:type="dxa"/>
            <w:shd w:val="clear" w:color="auto" w:fill="auto"/>
            <w:noWrap/>
            <w:vAlign w:val="bottom"/>
            <w:hideMark/>
          </w:tcPr>
          <w:p w14:paraId="585BC7D5" w14:textId="77777777" w:rsidR="00711296" w:rsidRPr="000535E2" w:rsidRDefault="00711296" w:rsidP="004831C9">
            <w:pPr>
              <w:bidi w:val="0"/>
              <w:rPr>
                <w:rFonts w:ascii="Times New Roman" w:hAnsi="Times New Roman" w:cs="Times New Roman"/>
                <w:sz w:val="18"/>
                <w:szCs w:val="18"/>
              </w:rPr>
            </w:pPr>
          </w:p>
        </w:tc>
        <w:tc>
          <w:tcPr>
            <w:tcW w:w="1987" w:type="dxa"/>
            <w:shd w:val="clear" w:color="auto" w:fill="auto"/>
            <w:noWrap/>
            <w:vAlign w:val="bottom"/>
            <w:hideMark/>
          </w:tcPr>
          <w:p w14:paraId="540E2D24"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4.30%</w:t>
            </w:r>
          </w:p>
        </w:tc>
      </w:tr>
      <w:tr w:rsidR="00711296" w:rsidRPr="00672DA8" w14:paraId="536905E2" w14:textId="77777777" w:rsidTr="004831C9">
        <w:trPr>
          <w:trHeight w:val="300"/>
        </w:trPr>
        <w:tc>
          <w:tcPr>
            <w:tcW w:w="622" w:type="dxa"/>
            <w:vAlign w:val="bottom"/>
          </w:tcPr>
          <w:p w14:paraId="2ECC4AA4" w14:textId="77777777" w:rsidR="00711296" w:rsidRPr="00672DA8" w:rsidRDefault="00711296" w:rsidP="004831C9">
            <w:pPr>
              <w:bidi w:val="0"/>
              <w:rPr>
                <w:rFonts w:cs="Calibri"/>
                <w:color w:val="000000"/>
                <w:sz w:val="18"/>
                <w:szCs w:val="18"/>
              </w:rPr>
            </w:pPr>
            <w:r w:rsidRPr="00672DA8">
              <w:rPr>
                <w:rFonts w:cs="Calibri"/>
                <w:color w:val="000000"/>
                <w:sz w:val="18"/>
                <w:szCs w:val="18"/>
              </w:rPr>
              <w:t>2003</w:t>
            </w:r>
          </w:p>
        </w:tc>
        <w:tc>
          <w:tcPr>
            <w:tcW w:w="1191" w:type="dxa"/>
            <w:shd w:val="clear" w:color="auto" w:fill="auto"/>
            <w:noWrap/>
            <w:vAlign w:val="bottom"/>
            <w:hideMark/>
          </w:tcPr>
          <w:p w14:paraId="6E583AF6" w14:textId="77777777" w:rsidR="00711296" w:rsidRPr="000535E2" w:rsidRDefault="00711296" w:rsidP="004831C9">
            <w:pPr>
              <w:bidi w:val="0"/>
              <w:rPr>
                <w:rFonts w:cs="Calibri"/>
                <w:color w:val="000000"/>
                <w:sz w:val="18"/>
                <w:szCs w:val="18"/>
              </w:rPr>
            </w:pPr>
            <w:r w:rsidRPr="000535E2">
              <w:rPr>
                <w:rFonts w:cs="Calibri"/>
                <w:color w:val="000000"/>
                <w:sz w:val="18"/>
                <w:szCs w:val="18"/>
              </w:rPr>
              <w:t> </w:t>
            </w:r>
          </w:p>
        </w:tc>
        <w:tc>
          <w:tcPr>
            <w:tcW w:w="1380" w:type="dxa"/>
            <w:shd w:val="clear" w:color="auto" w:fill="auto"/>
            <w:noWrap/>
            <w:vAlign w:val="bottom"/>
            <w:hideMark/>
          </w:tcPr>
          <w:p w14:paraId="49DAD0D9" w14:textId="77777777" w:rsidR="00711296" w:rsidRPr="000535E2" w:rsidRDefault="00711296" w:rsidP="004831C9">
            <w:pPr>
              <w:bidi w:val="0"/>
              <w:rPr>
                <w:rFonts w:cs="Calibri"/>
                <w:color w:val="000000"/>
                <w:sz w:val="18"/>
                <w:szCs w:val="18"/>
              </w:rPr>
            </w:pPr>
          </w:p>
        </w:tc>
        <w:tc>
          <w:tcPr>
            <w:tcW w:w="1616" w:type="dxa"/>
            <w:shd w:val="clear" w:color="auto" w:fill="auto"/>
            <w:noWrap/>
            <w:vAlign w:val="bottom"/>
            <w:hideMark/>
          </w:tcPr>
          <w:p w14:paraId="6A8AFACF" w14:textId="77777777" w:rsidR="00711296" w:rsidRPr="000535E2" w:rsidRDefault="00711296" w:rsidP="004831C9">
            <w:pPr>
              <w:bidi w:val="0"/>
              <w:rPr>
                <w:rFonts w:ascii="Times New Roman" w:hAnsi="Times New Roman" w:cs="Times New Roman"/>
                <w:sz w:val="18"/>
                <w:szCs w:val="18"/>
              </w:rPr>
            </w:pPr>
          </w:p>
        </w:tc>
        <w:tc>
          <w:tcPr>
            <w:tcW w:w="2085" w:type="dxa"/>
            <w:shd w:val="clear" w:color="auto" w:fill="auto"/>
            <w:noWrap/>
            <w:vAlign w:val="bottom"/>
            <w:hideMark/>
          </w:tcPr>
          <w:p w14:paraId="70C4B934" w14:textId="77777777" w:rsidR="00711296" w:rsidRPr="000535E2" w:rsidRDefault="00711296" w:rsidP="004831C9">
            <w:pPr>
              <w:bidi w:val="0"/>
              <w:rPr>
                <w:rFonts w:ascii="Times New Roman" w:hAnsi="Times New Roman" w:cs="Times New Roman"/>
                <w:sz w:val="18"/>
                <w:szCs w:val="18"/>
              </w:rPr>
            </w:pPr>
          </w:p>
        </w:tc>
        <w:tc>
          <w:tcPr>
            <w:tcW w:w="1987" w:type="dxa"/>
            <w:shd w:val="clear" w:color="auto" w:fill="auto"/>
            <w:noWrap/>
            <w:vAlign w:val="bottom"/>
            <w:hideMark/>
          </w:tcPr>
          <w:p w14:paraId="4601F035"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8.40%</w:t>
            </w:r>
          </w:p>
        </w:tc>
      </w:tr>
      <w:tr w:rsidR="00711296" w:rsidRPr="00672DA8" w14:paraId="3A7B4AAC" w14:textId="77777777" w:rsidTr="004831C9">
        <w:trPr>
          <w:trHeight w:val="300"/>
        </w:trPr>
        <w:tc>
          <w:tcPr>
            <w:tcW w:w="622" w:type="dxa"/>
            <w:vAlign w:val="bottom"/>
          </w:tcPr>
          <w:p w14:paraId="7F1386C4" w14:textId="77777777" w:rsidR="00711296" w:rsidRPr="00672DA8" w:rsidRDefault="00711296" w:rsidP="004831C9">
            <w:pPr>
              <w:bidi w:val="0"/>
              <w:rPr>
                <w:rFonts w:cs="Calibri"/>
                <w:color w:val="000000"/>
                <w:sz w:val="18"/>
                <w:szCs w:val="18"/>
              </w:rPr>
            </w:pPr>
            <w:r w:rsidRPr="00672DA8">
              <w:rPr>
                <w:rFonts w:cs="Calibri"/>
                <w:color w:val="000000"/>
                <w:sz w:val="18"/>
                <w:szCs w:val="18"/>
              </w:rPr>
              <w:t>2004</w:t>
            </w:r>
          </w:p>
        </w:tc>
        <w:tc>
          <w:tcPr>
            <w:tcW w:w="1191" w:type="dxa"/>
            <w:shd w:val="clear" w:color="auto" w:fill="auto"/>
            <w:noWrap/>
            <w:vAlign w:val="bottom"/>
            <w:hideMark/>
          </w:tcPr>
          <w:p w14:paraId="2B25FAFA" w14:textId="77777777" w:rsidR="00711296" w:rsidRPr="000535E2" w:rsidRDefault="00711296" w:rsidP="004831C9">
            <w:pPr>
              <w:bidi w:val="0"/>
              <w:rPr>
                <w:rFonts w:cs="Calibri"/>
                <w:color w:val="000000"/>
                <w:sz w:val="18"/>
                <w:szCs w:val="18"/>
              </w:rPr>
            </w:pPr>
            <w:r w:rsidRPr="000535E2">
              <w:rPr>
                <w:rFonts w:cs="Calibri"/>
                <w:color w:val="000000"/>
                <w:sz w:val="18"/>
                <w:szCs w:val="18"/>
              </w:rPr>
              <w:t> </w:t>
            </w:r>
          </w:p>
        </w:tc>
        <w:tc>
          <w:tcPr>
            <w:tcW w:w="1380" w:type="dxa"/>
            <w:shd w:val="clear" w:color="auto" w:fill="auto"/>
            <w:noWrap/>
            <w:vAlign w:val="bottom"/>
            <w:hideMark/>
          </w:tcPr>
          <w:p w14:paraId="6B1A0057" w14:textId="77777777" w:rsidR="00711296" w:rsidRPr="000535E2" w:rsidRDefault="00711296" w:rsidP="004831C9">
            <w:pPr>
              <w:bidi w:val="0"/>
              <w:rPr>
                <w:rFonts w:cs="Calibri"/>
                <w:color w:val="000000"/>
                <w:sz w:val="18"/>
                <w:szCs w:val="18"/>
              </w:rPr>
            </w:pPr>
          </w:p>
        </w:tc>
        <w:tc>
          <w:tcPr>
            <w:tcW w:w="1616" w:type="dxa"/>
            <w:shd w:val="clear" w:color="auto" w:fill="auto"/>
            <w:noWrap/>
            <w:vAlign w:val="bottom"/>
            <w:hideMark/>
          </w:tcPr>
          <w:p w14:paraId="5F8BFA4C" w14:textId="77777777" w:rsidR="00711296" w:rsidRPr="000535E2" w:rsidRDefault="00711296" w:rsidP="004831C9">
            <w:pPr>
              <w:bidi w:val="0"/>
              <w:rPr>
                <w:rFonts w:ascii="Times New Roman" w:hAnsi="Times New Roman" w:cs="Times New Roman"/>
                <w:sz w:val="18"/>
                <w:szCs w:val="18"/>
              </w:rPr>
            </w:pPr>
          </w:p>
        </w:tc>
        <w:tc>
          <w:tcPr>
            <w:tcW w:w="2085" w:type="dxa"/>
            <w:shd w:val="clear" w:color="auto" w:fill="auto"/>
            <w:noWrap/>
            <w:vAlign w:val="bottom"/>
            <w:hideMark/>
          </w:tcPr>
          <w:p w14:paraId="180E16A5" w14:textId="77777777" w:rsidR="00711296" w:rsidRPr="000535E2" w:rsidRDefault="00711296" w:rsidP="004831C9">
            <w:pPr>
              <w:bidi w:val="0"/>
              <w:rPr>
                <w:rFonts w:ascii="Times New Roman" w:hAnsi="Times New Roman" w:cs="Times New Roman"/>
                <w:sz w:val="18"/>
                <w:szCs w:val="18"/>
              </w:rPr>
            </w:pPr>
          </w:p>
        </w:tc>
        <w:tc>
          <w:tcPr>
            <w:tcW w:w="1987" w:type="dxa"/>
            <w:shd w:val="clear" w:color="auto" w:fill="auto"/>
            <w:noWrap/>
            <w:vAlign w:val="bottom"/>
            <w:hideMark/>
          </w:tcPr>
          <w:p w14:paraId="6F877408"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8.70%</w:t>
            </w:r>
          </w:p>
        </w:tc>
      </w:tr>
      <w:tr w:rsidR="00711296" w:rsidRPr="00672DA8" w14:paraId="0EDA95A0" w14:textId="77777777" w:rsidTr="004831C9">
        <w:trPr>
          <w:trHeight w:val="300"/>
        </w:trPr>
        <w:tc>
          <w:tcPr>
            <w:tcW w:w="622" w:type="dxa"/>
            <w:vAlign w:val="bottom"/>
          </w:tcPr>
          <w:p w14:paraId="26EC7463" w14:textId="77777777" w:rsidR="00711296" w:rsidRPr="00672DA8" w:rsidRDefault="00711296" w:rsidP="004831C9">
            <w:pPr>
              <w:bidi w:val="0"/>
              <w:rPr>
                <w:rFonts w:cs="Calibri"/>
                <w:color w:val="000000"/>
                <w:sz w:val="18"/>
                <w:szCs w:val="18"/>
              </w:rPr>
            </w:pPr>
            <w:r w:rsidRPr="00672DA8">
              <w:rPr>
                <w:rFonts w:cs="Calibri"/>
                <w:color w:val="000000"/>
                <w:sz w:val="18"/>
                <w:szCs w:val="18"/>
              </w:rPr>
              <w:t>2005</w:t>
            </w:r>
          </w:p>
        </w:tc>
        <w:tc>
          <w:tcPr>
            <w:tcW w:w="1191" w:type="dxa"/>
            <w:shd w:val="clear" w:color="auto" w:fill="auto"/>
            <w:noWrap/>
            <w:vAlign w:val="bottom"/>
            <w:hideMark/>
          </w:tcPr>
          <w:p w14:paraId="5839D3E1" w14:textId="77777777" w:rsidR="00711296" w:rsidRPr="000535E2" w:rsidRDefault="00711296" w:rsidP="004831C9">
            <w:pPr>
              <w:bidi w:val="0"/>
              <w:rPr>
                <w:rFonts w:cs="Calibri"/>
                <w:color w:val="000000"/>
                <w:sz w:val="18"/>
                <w:szCs w:val="18"/>
              </w:rPr>
            </w:pPr>
            <w:r w:rsidRPr="000535E2">
              <w:rPr>
                <w:rFonts w:cs="Calibri"/>
                <w:color w:val="000000"/>
                <w:sz w:val="18"/>
                <w:szCs w:val="18"/>
              </w:rPr>
              <w:t> </w:t>
            </w:r>
          </w:p>
        </w:tc>
        <w:tc>
          <w:tcPr>
            <w:tcW w:w="1380" w:type="dxa"/>
            <w:shd w:val="clear" w:color="auto" w:fill="auto"/>
            <w:noWrap/>
            <w:vAlign w:val="bottom"/>
            <w:hideMark/>
          </w:tcPr>
          <w:p w14:paraId="3D823761" w14:textId="77777777" w:rsidR="00711296" w:rsidRPr="000535E2" w:rsidRDefault="00711296" w:rsidP="004831C9">
            <w:pPr>
              <w:bidi w:val="0"/>
              <w:rPr>
                <w:rFonts w:cs="Calibri"/>
                <w:color w:val="000000"/>
                <w:sz w:val="18"/>
                <w:szCs w:val="18"/>
              </w:rPr>
            </w:pPr>
          </w:p>
        </w:tc>
        <w:tc>
          <w:tcPr>
            <w:tcW w:w="1616" w:type="dxa"/>
            <w:shd w:val="clear" w:color="auto" w:fill="auto"/>
            <w:noWrap/>
            <w:vAlign w:val="bottom"/>
            <w:hideMark/>
          </w:tcPr>
          <w:p w14:paraId="47935982" w14:textId="77777777" w:rsidR="00711296" w:rsidRPr="000535E2" w:rsidRDefault="00711296" w:rsidP="004831C9">
            <w:pPr>
              <w:bidi w:val="0"/>
              <w:rPr>
                <w:rFonts w:ascii="Times New Roman" w:hAnsi="Times New Roman" w:cs="Times New Roman"/>
                <w:sz w:val="18"/>
                <w:szCs w:val="18"/>
              </w:rPr>
            </w:pPr>
          </w:p>
        </w:tc>
        <w:tc>
          <w:tcPr>
            <w:tcW w:w="2085" w:type="dxa"/>
            <w:shd w:val="clear" w:color="auto" w:fill="auto"/>
            <w:noWrap/>
            <w:vAlign w:val="bottom"/>
            <w:hideMark/>
          </w:tcPr>
          <w:p w14:paraId="7ADD9ED3" w14:textId="77777777" w:rsidR="00711296" w:rsidRPr="000535E2" w:rsidRDefault="00711296" w:rsidP="004831C9">
            <w:pPr>
              <w:bidi w:val="0"/>
              <w:rPr>
                <w:rFonts w:ascii="Times New Roman" w:hAnsi="Times New Roman" w:cs="Times New Roman"/>
                <w:sz w:val="18"/>
                <w:szCs w:val="18"/>
              </w:rPr>
            </w:pPr>
          </w:p>
        </w:tc>
        <w:tc>
          <w:tcPr>
            <w:tcW w:w="1987" w:type="dxa"/>
            <w:shd w:val="clear" w:color="auto" w:fill="auto"/>
            <w:noWrap/>
            <w:vAlign w:val="bottom"/>
            <w:hideMark/>
          </w:tcPr>
          <w:p w14:paraId="2322F340"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8.70%</w:t>
            </w:r>
          </w:p>
        </w:tc>
      </w:tr>
      <w:tr w:rsidR="00711296" w:rsidRPr="00672DA8" w14:paraId="71A67F08" w14:textId="77777777" w:rsidTr="004831C9">
        <w:trPr>
          <w:trHeight w:val="300"/>
        </w:trPr>
        <w:tc>
          <w:tcPr>
            <w:tcW w:w="622" w:type="dxa"/>
            <w:vAlign w:val="bottom"/>
          </w:tcPr>
          <w:p w14:paraId="72AAD784" w14:textId="77777777" w:rsidR="00711296" w:rsidRPr="00672DA8" w:rsidRDefault="00711296" w:rsidP="004831C9">
            <w:pPr>
              <w:bidi w:val="0"/>
              <w:rPr>
                <w:rFonts w:cs="Calibri"/>
                <w:color w:val="000000"/>
                <w:sz w:val="18"/>
                <w:szCs w:val="18"/>
              </w:rPr>
            </w:pPr>
            <w:r w:rsidRPr="00672DA8">
              <w:rPr>
                <w:rFonts w:cs="Calibri"/>
                <w:color w:val="000000"/>
                <w:sz w:val="18"/>
                <w:szCs w:val="18"/>
              </w:rPr>
              <w:t>2006</w:t>
            </w:r>
          </w:p>
        </w:tc>
        <w:tc>
          <w:tcPr>
            <w:tcW w:w="1191" w:type="dxa"/>
            <w:shd w:val="clear" w:color="auto" w:fill="auto"/>
            <w:noWrap/>
            <w:vAlign w:val="bottom"/>
            <w:hideMark/>
          </w:tcPr>
          <w:p w14:paraId="1F1ACC3B" w14:textId="77777777" w:rsidR="00711296" w:rsidRPr="000535E2" w:rsidRDefault="00711296" w:rsidP="004831C9">
            <w:pPr>
              <w:bidi w:val="0"/>
              <w:rPr>
                <w:rFonts w:cs="Calibri"/>
                <w:color w:val="000000"/>
                <w:sz w:val="18"/>
                <w:szCs w:val="18"/>
              </w:rPr>
            </w:pPr>
            <w:r w:rsidRPr="000535E2">
              <w:rPr>
                <w:rFonts w:cs="Calibri"/>
                <w:color w:val="000000"/>
                <w:sz w:val="18"/>
                <w:szCs w:val="18"/>
              </w:rPr>
              <w:t> </w:t>
            </w:r>
          </w:p>
        </w:tc>
        <w:tc>
          <w:tcPr>
            <w:tcW w:w="1380" w:type="dxa"/>
            <w:shd w:val="clear" w:color="auto" w:fill="auto"/>
            <w:noWrap/>
            <w:vAlign w:val="bottom"/>
            <w:hideMark/>
          </w:tcPr>
          <w:p w14:paraId="6219AEDA" w14:textId="77777777" w:rsidR="00711296" w:rsidRPr="000535E2" w:rsidRDefault="00711296" w:rsidP="004831C9">
            <w:pPr>
              <w:bidi w:val="0"/>
              <w:rPr>
                <w:rFonts w:cs="Calibri"/>
                <w:color w:val="000000"/>
                <w:sz w:val="18"/>
                <w:szCs w:val="18"/>
              </w:rPr>
            </w:pPr>
          </w:p>
        </w:tc>
        <w:tc>
          <w:tcPr>
            <w:tcW w:w="1616" w:type="dxa"/>
            <w:shd w:val="clear" w:color="auto" w:fill="auto"/>
            <w:noWrap/>
            <w:vAlign w:val="bottom"/>
            <w:hideMark/>
          </w:tcPr>
          <w:p w14:paraId="0E55BC9C" w14:textId="77777777" w:rsidR="00711296" w:rsidRPr="000535E2" w:rsidRDefault="00711296" w:rsidP="004831C9">
            <w:pPr>
              <w:bidi w:val="0"/>
              <w:rPr>
                <w:rFonts w:ascii="Times New Roman" w:hAnsi="Times New Roman" w:cs="Times New Roman"/>
                <w:sz w:val="18"/>
                <w:szCs w:val="18"/>
              </w:rPr>
            </w:pPr>
          </w:p>
        </w:tc>
        <w:tc>
          <w:tcPr>
            <w:tcW w:w="2085" w:type="dxa"/>
            <w:shd w:val="clear" w:color="auto" w:fill="auto"/>
            <w:noWrap/>
            <w:vAlign w:val="bottom"/>
            <w:hideMark/>
          </w:tcPr>
          <w:p w14:paraId="0A31773B" w14:textId="77777777" w:rsidR="00711296" w:rsidRPr="000535E2" w:rsidRDefault="00711296" w:rsidP="004831C9">
            <w:pPr>
              <w:bidi w:val="0"/>
              <w:rPr>
                <w:rFonts w:ascii="Times New Roman" w:hAnsi="Times New Roman" w:cs="Times New Roman"/>
                <w:sz w:val="18"/>
                <w:szCs w:val="18"/>
              </w:rPr>
            </w:pPr>
          </w:p>
        </w:tc>
        <w:tc>
          <w:tcPr>
            <w:tcW w:w="1987" w:type="dxa"/>
            <w:shd w:val="clear" w:color="auto" w:fill="auto"/>
            <w:noWrap/>
            <w:vAlign w:val="bottom"/>
            <w:hideMark/>
          </w:tcPr>
          <w:p w14:paraId="26B7BBA5"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11.60%</w:t>
            </w:r>
          </w:p>
        </w:tc>
      </w:tr>
      <w:tr w:rsidR="00711296" w:rsidRPr="00672DA8" w14:paraId="587D7A10" w14:textId="77777777" w:rsidTr="004831C9">
        <w:trPr>
          <w:trHeight w:val="300"/>
        </w:trPr>
        <w:tc>
          <w:tcPr>
            <w:tcW w:w="622" w:type="dxa"/>
            <w:vAlign w:val="bottom"/>
          </w:tcPr>
          <w:p w14:paraId="1B644ACC" w14:textId="77777777" w:rsidR="00711296" w:rsidRPr="00672DA8" w:rsidRDefault="00711296" w:rsidP="004831C9">
            <w:pPr>
              <w:bidi w:val="0"/>
              <w:rPr>
                <w:rFonts w:cs="Calibri"/>
                <w:color w:val="000000"/>
                <w:sz w:val="18"/>
                <w:szCs w:val="18"/>
              </w:rPr>
            </w:pPr>
            <w:r w:rsidRPr="00672DA8">
              <w:rPr>
                <w:rFonts w:cs="Calibri"/>
                <w:color w:val="000000"/>
                <w:sz w:val="18"/>
                <w:szCs w:val="18"/>
              </w:rPr>
              <w:t>2007</w:t>
            </w:r>
          </w:p>
        </w:tc>
        <w:tc>
          <w:tcPr>
            <w:tcW w:w="1191" w:type="dxa"/>
            <w:shd w:val="clear" w:color="auto" w:fill="auto"/>
            <w:noWrap/>
            <w:vAlign w:val="bottom"/>
            <w:hideMark/>
          </w:tcPr>
          <w:p w14:paraId="7196355F" w14:textId="77777777" w:rsidR="00711296" w:rsidRPr="000535E2" w:rsidRDefault="00711296" w:rsidP="004831C9">
            <w:pPr>
              <w:bidi w:val="0"/>
              <w:rPr>
                <w:rFonts w:cs="Calibri"/>
                <w:color w:val="000000"/>
                <w:sz w:val="18"/>
                <w:szCs w:val="18"/>
              </w:rPr>
            </w:pPr>
            <w:r w:rsidRPr="000535E2">
              <w:rPr>
                <w:rFonts w:cs="Calibri"/>
                <w:color w:val="000000"/>
                <w:sz w:val="18"/>
                <w:szCs w:val="18"/>
              </w:rPr>
              <w:t> </w:t>
            </w:r>
          </w:p>
        </w:tc>
        <w:tc>
          <w:tcPr>
            <w:tcW w:w="1380" w:type="dxa"/>
            <w:shd w:val="clear" w:color="auto" w:fill="auto"/>
            <w:noWrap/>
            <w:vAlign w:val="bottom"/>
            <w:hideMark/>
          </w:tcPr>
          <w:p w14:paraId="2A8A5F5F" w14:textId="77777777" w:rsidR="00711296" w:rsidRPr="000535E2" w:rsidRDefault="00711296" w:rsidP="004831C9">
            <w:pPr>
              <w:bidi w:val="0"/>
              <w:rPr>
                <w:rFonts w:cs="Calibri"/>
                <w:color w:val="000000"/>
                <w:sz w:val="18"/>
                <w:szCs w:val="18"/>
              </w:rPr>
            </w:pPr>
          </w:p>
        </w:tc>
        <w:tc>
          <w:tcPr>
            <w:tcW w:w="1616" w:type="dxa"/>
            <w:shd w:val="clear" w:color="auto" w:fill="auto"/>
            <w:noWrap/>
            <w:vAlign w:val="bottom"/>
            <w:hideMark/>
          </w:tcPr>
          <w:p w14:paraId="19797BAF" w14:textId="77777777" w:rsidR="00711296" w:rsidRPr="000535E2" w:rsidRDefault="00711296" w:rsidP="004831C9">
            <w:pPr>
              <w:bidi w:val="0"/>
              <w:rPr>
                <w:rFonts w:ascii="Times New Roman" w:hAnsi="Times New Roman" w:cs="Times New Roman"/>
                <w:sz w:val="18"/>
                <w:szCs w:val="18"/>
              </w:rPr>
            </w:pPr>
          </w:p>
        </w:tc>
        <w:tc>
          <w:tcPr>
            <w:tcW w:w="2085" w:type="dxa"/>
            <w:shd w:val="clear" w:color="auto" w:fill="auto"/>
            <w:noWrap/>
            <w:vAlign w:val="bottom"/>
            <w:hideMark/>
          </w:tcPr>
          <w:p w14:paraId="648A9694" w14:textId="77777777" w:rsidR="00711296" w:rsidRPr="000535E2" w:rsidRDefault="00711296" w:rsidP="004831C9">
            <w:pPr>
              <w:bidi w:val="0"/>
              <w:rPr>
                <w:rFonts w:ascii="Times New Roman" w:hAnsi="Times New Roman" w:cs="Times New Roman"/>
                <w:sz w:val="18"/>
                <w:szCs w:val="18"/>
              </w:rPr>
            </w:pPr>
          </w:p>
        </w:tc>
        <w:tc>
          <w:tcPr>
            <w:tcW w:w="1987" w:type="dxa"/>
            <w:shd w:val="clear" w:color="auto" w:fill="auto"/>
            <w:noWrap/>
            <w:vAlign w:val="bottom"/>
            <w:hideMark/>
          </w:tcPr>
          <w:p w14:paraId="33BF99D6"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10.00%</w:t>
            </w:r>
          </w:p>
        </w:tc>
      </w:tr>
      <w:tr w:rsidR="00711296" w:rsidRPr="00672DA8" w14:paraId="7C18D030" w14:textId="77777777" w:rsidTr="004831C9">
        <w:trPr>
          <w:trHeight w:val="300"/>
        </w:trPr>
        <w:tc>
          <w:tcPr>
            <w:tcW w:w="622" w:type="dxa"/>
            <w:vAlign w:val="bottom"/>
          </w:tcPr>
          <w:p w14:paraId="60C0910D" w14:textId="77777777" w:rsidR="00711296" w:rsidRPr="00672DA8" w:rsidRDefault="00711296" w:rsidP="004831C9">
            <w:pPr>
              <w:bidi w:val="0"/>
              <w:rPr>
                <w:rFonts w:cs="Calibri"/>
                <w:color w:val="000000"/>
                <w:sz w:val="18"/>
                <w:szCs w:val="18"/>
              </w:rPr>
            </w:pPr>
            <w:r w:rsidRPr="00672DA8">
              <w:rPr>
                <w:rFonts w:cs="Calibri"/>
                <w:color w:val="000000"/>
                <w:sz w:val="18"/>
                <w:szCs w:val="18"/>
              </w:rPr>
              <w:t>2008</w:t>
            </w:r>
          </w:p>
        </w:tc>
        <w:tc>
          <w:tcPr>
            <w:tcW w:w="1191" w:type="dxa"/>
            <w:shd w:val="clear" w:color="auto" w:fill="auto"/>
            <w:noWrap/>
            <w:vAlign w:val="bottom"/>
            <w:hideMark/>
          </w:tcPr>
          <w:p w14:paraId="56898660" w14:textId="77777777" w:rsidR="00711296" w:rsidRPr="000535E2" w:rsidRDefault="00711296" w:rsidP="004831C9">
            <w:pPr>
              <w:bidi w:val="0"/>
              <w:rPr>
                <w:rFonts w:cs="Calibri"/>
                <w:color w:val="000000"/>
                <w:sz w:val="18"/>
                <w:szCs w:val="18"/>
              </w:rPr>
            </w:pPr>
            <w:r w:rsidRPr="000535E2">
              <w:rPr>
                <w:rFonts w:cs="Calibri"/>
                <w:color w:val="000000"/>
                <w:sz w:val="18"/>
                <w:szCs w:val="18"/>
              </w:rPr>
              <w:t> </w:t>
            </w:r>
          </w:p>
        </w:tc>
        <w:tc>
          <w:tcPr>
            <w:tcW w:w="1380" w:type="dxa"/>
            <w:shd w:val="clear" w:color="auto" w:fill="auto"/>
            <w:noWrap/>
            <w:vAlign w:val="bottom"/>
            <w:hideMark/>
          </w:tcPr>
          <w:p w14:paraId="74F4E4DE" w14:textId="77777777" w:rsidR="00711296" w:rsidRPr="000535E2" w:rsidRDefault="00711296" w:rsidP="004831C9">
            <w:pPr>
              <w:bidi w:val="0"/>
              <w:rPr>
                <w:rFonts w:cs="Calibri"/>
                <w:color w:val="000000"/>
                <w:sz w:val="18"/>
                <w:szCs w:val="18"/>
              </w:rPr>
            </w:pPr>
          </w:p>
        </w:tc>
        <w:tc>
          <w:tcPr>
            <w:tcW w:w="1616" w:type="dxa"/>
            <w:shd w:val="clear" w:color="auto" w:fill="auto"/>
            <w:noWrap/>
            <w:vAlign w:val="bottom"/>
            <w:hideMark/>
          </w:tcPr>
          <w:p w14:paraId="71FD0A3D" w14:textId="77777777" w:rsidR="00711296" w:rsidRPr="000535E2" w:rsidRDefault="00711296" w:rsidP="004831C9">
            <w:pPr>
              <w:bidi w:val="0"/>
              <w:rPr>
                <w:rFonts w:ascii="Times New Roman" w:hAnsi="Times New Roman" w:cs="Times New Roman"/>
                <w:sz w:val="18"/>
                <w:szCs w:val="18"/>
              </w:rPr>
            </w:pPr>
          </w:p>
        </w:tc>
        <w:tc>
          <w:tcPr>
            <w:tcW w:w="2085" w:type="dxa"/>
            <w:shd w:val="clear" w:color="auto" w:fill="auto"/>
            <w:noWrap/>
            <w:vAlign w:val="bottom"/>
            <w:hideMark/>
          </w:tcPr>
          <w:p w14:paraId="137EAE17" w14:textId="77777777" w:rsidR="00711296" w:rsidRPr="000535E2" w:rsidRDefault="00711296" w:rsidP="004831C9">
            <w:pPr>
              <w:bidi w:val="0"/>
              <w:rPr>
                <w:rFonts w:ascii="Times New Roman" w:hAnsi="Times New Roman" w:cs="Times New Roman"/>
                <w:sz w:val="18"/>
                <w:szCs w:val="18"/>
              </w:rPr>
            </w:pPr>
          </w:p>
        </w:tc>
        <w:tc>
          <w:tcPr>
            <w:tcW w:w="1987" w:type="dxa"/>
            <w:shd w:val="clear" w:color="auto" w:fill="auto"/>
            <w:noWrap/>
            <w:vAlign w:val="bottom"/>
            <w:hideMark/>
          </w:tcPr>
          <w:p w14:paraId="7DE9596E"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4.20%</w:t>
            </w:r>
          </w:p>
        </w:tc>
      </w:tr>
      <w:tr w:rsidR="00711296" w:rsidRPr="00672DA8" w14:paraId="6E494710" w14:textId="77777777" w:rsidTr="004831C9">
        <w:trPr>
          <w:trHeight w:val="300"/>
        </w:trPr>
        <w:tc>
          <w:tcPr>
            <w:tcW w:w="622" w:type="dxa"/>
            <w:vAlign w:val="bottom"/>
          </w:tcPr>
          <w:p w14:paraId="5EF7ABC2" w14:textId="77777777" w:rsidR="00711296" w:rsidRPr="00672DA8" w:rsidRDefault="00711296" w:rsidP="004831C9">
            <w:pPr>
              <w:bidi w:val="0"/>
              <w:rPr>
                <w:rFonts w:cs="Calibri"/>
                <w:color w:val="000000"/>
                <w:sz w:val="18"/>
                <w:szCs w:val="18"/>
              </w:rPr>
            </w:pPr>
            <w:r w:rsidRPr="00672DA8">
              <w:rPr>
                <w:rFonts w:cs="Calibri"/>
                <w:color w:val="000000"/>
                <w:sz w:val="18"/>
                <w:szCs w:val="18"/>
              </w:rPr>
              <w:t>2009</w:t>
            </w:r>
          </w:p>
        </w:tc>
        <w:tc>
          <w:tcPr>
            <w:tcW w:w="1191" w:type="dxa"/>
            <w:shd w:val="clear" w:color="auto" w:fill="auto"/>
            <w:noWrap/>
            <w:vAlign w:val="bottom"/>
            <w:hideMark/>
          </w:tcPr>
          <w:p w14:paraId="5E852816" w14:textId="77777777" w:rsidR="00711296" w:rsidRPr="000535E2" w:rsidRDefault="00711296" w:rsidP="004831C9">
            <w:pPr>
              <w:bidi w:val="0"/>
              <w:rPr>
                <w:rFonts w:cs="Calibri"/>
                <w:color w:val="000000"/>
                <w:sz w:val="18"/>
                <w:szCs w:val="18"/>
              </w:rPr>
            </w:pPr>
            <w:r w:rsidRPr="000535E2">
              <w:rPr>
                <w:rFonts w:cs="Calibri"/>
                <w:color w:val="000000"/>
                <w:sz w:val="18"/>
                <w:szCs w:val="18"/>
              </w:rPr>
              <w:t> </w:t>
            </w:r>
          </w:p>
        </w:tc>
        <w:tc>
          <w:tcPr>
            <w:tcW w:w="1380" w:type="dxa"/>
            <w:shd w:val="clear" w:color="auto" w:fill="auto"/>
            <w:noWrap/>
            <w:vAlign w:val="bottom"/>
            <w:hideMark/>
          </w:tcPr>
          <w:p w14:paraId="355FC270" w14:textId="77777777" w:rsidR="00711296" w:rsidRPr="000535E2" w:rsidRDefault="00711296" w:rsidP="004831C9">
            <w:pPr>
              <w:bidi w:val="0"/>
              <w:rPr>
                <w:rFonts w:cs="Calibri"/>
                <w:color w:val="000000"/>
                <w:sz w:val="18"/>
                <w:szCs w:val="18"/>
              </w:rPr>
            </w:pPr>
          </w:p>
        </w:tc>
        <w:tc>
          <w:tcPr>
            <w:tcW w:w="1616" w:type="dxa"/>
            <w:shd w:val="clear" w:color="auto" w:fill="auto"/>
            <w:noWrap/>
            <w:vAlign w:val="bottom"/>
            <w:hideMark/>
          </w:tcPr>
          <w:p w14:paraId="35B3127D" w14:textId="77777777" w:rsidR="00711296" w:rsidRPr="000535E2" w:rsidRDefault="00711296" w:rsidP="004831C9">
            <w:pPr>
              <w:bidi w:val="0"/>
              <w:rPr>
                <w:rFonts w:ascii="Times New Roman" w:hAnsi="Times New Roman" w:cs="Times New Roman"/>
                <w:sz w:val="18"/>
                <w:szCs w:val="18"/>
              </w:rPr>
            </w:pPr>
          </w:p>
        </w:tc>
        <w:tc>
          <w:tcPr>
            <w:tcW w:w="2085" w:type="dxa"/>
            <w:shd w:val="clear" w:color="auto" w:fill="auto"/>
            <w:noWrap/>
            <w:vAlign w:val="bottom"/>
            <w:hideMark/>
          </w:tcPr>
          <w:p w14:paraId="31D90A0C"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9.80%</w:t>
            </w:r>
          </w:p>
        </w:tc>
        <w:tc>
          <w:tcPr>
            <w:tcW w:w="1987" w:type="dxa"/>
            <w:shd w:val="clear" w:color="auto" w:fill="auto"/>
            <w:noWrap/>
            <w:vAlign w:val="bottom"/>
            <w:hideMark/>
          </w:tcPr>
          <w:p w14:paraId="6E633085"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7.70%</w:t>
            </w:r>
          </w:p>
        </w:tc>
      </w:tr>
      <w:tr w:rsidR="00711296" w:rsidRPr="00672DA8" w14:paraId="12054F9A" w14:textId="77777777" w:rsidTr="004831C9">
        <w:trPr>
          <w:trHeight w:val="315"/>
        </w:trPr>
        <w:tc>
          <w:tcPr>
            <w:tcW w:w="622" w:type="dxa"/>
            <w:shd w:val="clear" w:color="auto" w:fill="auto"/>
            <w:vAlign w:val="bottom"/>
          </w:tcPr>
          <w:p w14:paraId="0C382E9F" w14:textId="77777777" w:rsidR="00711296" w:rsidRPr="00672DA8" w:rsidRDefault="00711296" w:rsidP="004831C9">
            <w:pPr>
              <w:bidi w:val="0"/>
              <w:jc w:val="right"/>
              <w:rPr>
                <w:rFonts w:cs="Calibri"/>
                <w:color w:val="000000"/>
                <w:sz w:val="18"/>
                <w:szCs w:val="18"/>
              </w:rPr>
            </w:pPr>
            <w:r w:rsidRPr="00672DA8">
              <w:rPr>
                <w:rFonts w:cs="Calibri"/>
                <w:color w:val="000000"/>
                <w:sz w:val="18"/>
                <w:szCs w:val="18"/>
              </w:rPr>
              <w:t>2010</w:t>
            </w:r>
          </w:p>
        </w:tc>
        <w:tc>
          <w:tcPr>
            <w:tcW w:w="1191" w:type="dxa"/>
            <w:shd w:val="clear" w:color="auto" w:fill="DEEAF6" w:themeFill="accent5" w:themeFillTint="33"/>
            <w:noWrap/>
            <w:vAlign w:val="bottom"/>
            <w:hideMark/>
          </w:tcPr>
          <w:p w14:paraId="62613C56"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54%</w:t>
            </w:r>
          </w:p>
        </w:tc>
        <w:tc>
          <w:tcPr>
            <w:tcW w:w="1380" w:type="dxa"/>
            <w:shd w:val="clear" w:color="auto" w:fill="DEEAF6" w:themeFill="accent5" w:themeFillTint="33"/>
            <w:noWrap/>
            <w:vAlign w:val="bottom"/>
            <w:hideMark/>
          </w:tcPr>
          <w:p w14:paraId="4754A062"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46.71%</w:t>
            </w:r>
          </w:p>
        </w:tc>
        <w:tc>
          <w:tcPr>
            <w:tcW w:w="1616" w:type="dxa"/>
            <w:shd w:val="clear" w:color="auto" w:fill="DEEAF6" w:themeFill="accent5" w:themeFillTint="33"/>
            <w:noWrap/>
            <w:vAlign w:val="bottom"/>
            <w:hideMark/>
          </w:tcPr>
          <w:p w14:paraId="1499B415"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2.75%</w:t>
            </w:r>
          </w:p>
        </w:tc>
        <w:tc>
          <w:tcPr>
            <w:tcW w:w="2085" w:type="dxa"/>
            <w:shd w:val="clear" w:color="auto" w:fill="auto"/>
            <w:noWrap/>
            <w:vAlign w:val="bottom"/>
            <w:hideMark/>
          </w:tcPr>
          <w:p w14:paraId="679E535B"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15.80%</w:t>
            </w:r>
          </w:p>
        </w:tc>
        <w:tc>
          <w:tcPr>
            <w:tcW w:w="1987" w:type="dxa"/>
            <w:shd w:val="clear" w:color="auto" w:fill="auto"/>
            <w:noWrap/>
            <w:vAlign w:val="bottom"/>
            <w:hideMark/>
          </w:tcPr>
          <w:p w14:paraId="3FF0C012"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6.00%</w:t>
            </w:r>
          </w:p>
        </w:tc>
      </w:tr>
      <w:tr w:rsidR="00711296" w:rsidRPr="00672DA8" w14:paraId="4C136C0E" w14:textId="77777777" w:rsidTr="004831C9">
        <w:trPr>
          <w:trHeight w:val="300"/>
        </w:trPr>
        <w:tc>
          <w:tcPr>
            <w:tcW w:w="622" w:type="dxa"/>
            <w:vAlign w:val="bottom"/>
          </w:tcPr>
          <w:p w14:paraId="70CB9159" w14:textId="77777777" w:rsidR="00711296" w:rsidRPr="00672DA8" w:rsidRDefault="00711296" w:rsidP="004831C9">
            <w:pPr>
              <w:bidi w:val="0"/>
              <w:jc w:val="right"/>
              <w:rPr>
                <w:rFonts w:cs="Calibri"/>
                <w:color w:val="000000"/>
                <w:sz w:val="18"/>
                <w:szCs w:val="18"/>
              </w:rPr>
            </w:pPr>
            <w:r w:rsidRPr="00672DA8">
              <w:rPr>
                <w:rFonts w:cs="Calibri"/>
                <w:color w:val="000000"/>
                <w:sz w:val="18"/>
                <w:szCs w:val="18"/>
              </w:rPr>
              <w:t>2011</w:t>
            </w:r>
          </w:p>
        </w:tc>
        <w:tc>
          <w:tcPr>
            <w:tcW w:w="1191" w:type="dxa"/>
            <w:shd w:val="clear" w:color="auto" w:fill="auto"/>
            <w:noWrap/>
            <w:vAlign w:val="bottom"/>
            <w:hideMark/>
          </w:tcPr>
          <w:p w14:paraId="4C93EB55"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54%</w:t>
            </w:r>
          </w:p>
        </w:tc>
        <w:tc>
          <w:tcPr>
            <w:tcW w:w="1380" w:type="dxa"/>
            <w:shd w:val="clear" w:color="auto" w:fill="auto"/>
            <w:noWrap/>
            <w:vAlign w:val="bottom"/>
            <w:hideMark/>
          </w:tcPr>
          <w:p w14:paraId="61B7FA36"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47%</w:t>
            </w:r>
          </w:p>
        </w:tc>
        <w:tc>
          <w:tcPr>
            <w:tcW w:w="1616" w:type="dxa"/>
            <w:shd w:val="clear" w:color="auto" w:fill="auto"/>
            <w:noWrap/>
            <w:vAlign w:val="bottom"/>
            <w:hideMark/>
          </w:tcPr>
          <w:p w14:paraId="6A06DDC1"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2.75%</w:t>
            </w:r>
          </w:p>
        </w:tc>
        <w:tc>
          <w:tcPr>
            <w:tcW w:w="2085" w:type="dxa"/>
            <w:shd w:val="clear" w:color="auto" w:fill="DEEAF6" w:themeFill="accent5" w:themeFillTint="33"/>
            <w:noWrap/>
            <w:vAlign w:val="bottom"/>
            <w:hideMark/>
          </w:tcPr>
          <w:p w14:paraId="247623C9"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12.80%</w:t>
            </w:r>
          </w:p>
        </w:tc>
        <w:tc>
          <w:tcPr>
            <w:tcW w:w="1987" w:type="dxa"/>
            <w:shd w:val="clear" w:color="auto" w:fill="auto"/>
            <w:noWrap/>
            <w:vAlign w:val="bottom"/>
            <w:hideMark/>
          </w:tcPr>
          <w:p w14:paraId="6347945C"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5.90%</w:t>
            </w:r>
          </w:p>
        </w:tc>
      </w:tr>
      <w:tr w:rsidR="00711296" w:rsidRPr="00672DA8" w14:paraId="34D08DFB" w14:textId="77777777" w:rsidTr="004831C9">
        <w:trPr>
          <w:trHeight w:val="300"/>
        </w:trPr>
        <w:tc>
          <w:tcPr>
            <w:tcW w:w="622" w:type="dxa"/>
            <w:vAlign w:val="bottom"/>
          </w:tcPr>
          <w:p w14:paraId="20253EBD" w14:textId="77777777" w:rsidR="00711296" w:rsidRPr="00672DA8" w:rsidRDefault="00711296" w:rsidP="004831C9">
            <w:pPr>
              <w:bidi w:val="0"/>
              <w:jc w:val="right"/>
              <w:rPr>
                <w:rFonts w:cs="Calibri"/>
                <w:color w:val="000000"/>
                <w:sz w:val="18"/>
                <w:szCs w:val="18"/>
              </w:rPr>
            </w:pPr>
            <w:r w:rsidRPr="00672DA8">
              <w:rPr>
                <w:rFonts w:cs="Calibri"/>
                <w:color w:val="000000"/>
                <w:sz w:val="18"/>
                <w:szCs w:val="18"/>
              </w:rPr>
              <w:t>2012</w:t>
            </w:r>
          </w:p>
        </w:tc>
        <w:tc>
          <w:tcPr>
            <w:tcW w:w="1191" w:type="dxa"/>
            <w:shd w:val="clear" w:color="auto" w:fill="auto"/>
            <w:noWrap/>
            <w:vAlign w:val="bottom"/>
            <w:hideMark/>
          </w:tcPr>
          <w:p w14:paraId="4FE4907B"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67%</w:t>
            </w:r>
          </w:p>
        </w:tc>
        <w:tc>
          <w:tcPr>
            <w:tcW w:w="1380" w:type="dxa"/>
            <w:shd w:val="clear" w:color="auto" w:fill="auto"/>
            <w:noWrap/>
            <w:vAlign w:val="bottom"/>
            <w:hideMark/>
          </w:tcPr>
          <w:p w14:paraId="0E87A4E4"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56%</w:t>
            </w:r>
          </w:p>
        </w:tc>
        <w:tc>
          <w:tcPr>
            <w:tcW w:w="1616" w:type="dxa"/>
            <w:shd w:val="clear" w:color="auto" w:fill="auto"/>
            <w:noWrap/>
            <w:vAlign w:val="bottom"/>
            <w:hideMark/>
          </w:tcPr>
          <w:p w14:paraId="04CD6904"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2.93%</w:t>
            </w:r>
          </w:p>
        </w:tc>
        <w:tc>
          <w:tcPr>
            <w:tcW w:w="2085" w:type="dxa"/>
            <w:shd w:val="clear" w:color="auto" w:fill="auto"/>
            <w:noWrap/>
            <w:vAlign w:val="bottom"/>
            <w:hideMark/>
          </w:tcPr>
          <w:p w14:paraId="57427C0B"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9.80%</w:t>
            </w:r>
          </w:p>
        </w:tc>
        <w:tc>
          <w:tcPr>
            <w:tcW w:w="1987" w:type="dxa"/>
            <w:shd w:val="clear" w:color="auto" w:fill="auto"/>
            <w:noWrap/>
            <w:vAlign w:val="bottom"/>
            <w:hideMark/>
          </w:tcPr>
          <w:p w14:paraId="2C9D97AD"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8.40%</w:t>
            </w:r>
          </w:p>
        </w:tc>
      </w:tr>
      <w:tr w:rsidR="00711296" w:rsidRPr="00672DA8" w14:paraId="7BDAF9EF" w14:textId="77777777" w:rsidTr="004831C9">
        <w:trPr>
          <w:trHeight w:val="300"/>
        </w:trPr>
        <w:tc>
          <w:tcPr>
            <w:tcW w:w="622" w:type="dxa"/>
            <w:vAlign w:val="bottom"/>
          </w:tcPr>
          <w:p w14:paraId="3FE3B09F" w14:textId="77777777" w:rsidR="00711296" w:rsidRPr="00672DA8" w:rsidRDefault="00711296" w:rsidP="004831C9">
            <w:pPr>
              <w:bidi w:val="0"/>
              <w:jc w:val="right"/>
              <w:rPr>
                <w:rFonts w:cs="Calibri"/>
                <w:color w:val="000000"/>
                <w:sz w:val="18"/>
                <w:szCs w:val="18"/>
              </w:rPr>
            </w:pPr>
            <w:r w:rsidRPr="00672DA8">
              <w:rPr>
                <w:rFonts w:cs="Calibri"/>
                <w:color w:val="000000"/>
                <w:sz w:val="18"/>
                <w:szCs w:val="18"/>
              </w:rPr>
              <w:t>2013</w:t>
            </w:r>
          </w:p>
        </w:tc>
        <w:tc>
          <w:tcPr>
            <w:tcW w:w="1191" w:type="dxa"/>
            <w:shd w:val="clear" w:color="auto" w:fill="auto"/>
            <w:noWrap/>
            <w:vAlign w:val="bottom"/>
            <w:hideMark/>
          </w:tcPr>
          <w:p w14:paraId="1CFBA6D2"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75%</w:t>
            </w:r>
          </w:p>
        </w:tc>
        <w:tc>
          <w:tcPr>
            <w:tcW w:w="1380" w:type="dxa"/>
            <w:shd w:val="clear" w:color="auto" w:fill="auto"/>
            <w:noWrap/>
            <w:vAlign w:val="bottom"/>
            <w:hideMark/>
          </w:tcPr>
          <w:p w14:paraId="7D3B7EB5"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67%</w:t>
            </w:r>
          </w:p>
        </w:tc>
        <w:tc>
          <w:tcPr>
            <w:tcW w:w="1616" w:type="dxa"/>
            <w:shd w:val="clear" w:color="auto" w:fill="auto"/>
            <w:noWrap/>
            <w:vAlign w:val="bottom"/>
            <w:hideMark/>
          </w:tcPr>
          <w:p w14:paraId="6E78DD56"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2.64%</w:t>
            </w:r>
          </w:p>
        </w:tc>
        <w:tc>
          <w:tcPr>
            <w:tcW w:w="2085" w:type="dxa"/>
            <w:shd w:val="clear" w:color="auto" w:fill="DEEAF6" w:themeFill="accent5" w:themeFillTint="33"/>
            <w:noWrap/>
            <w:vAlign w:val="bottom"/>
            <w:hideMark/>
          </w:tcPr>
          <w:p w14:paraId="2DD0288D"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11.10%</w:t>
            </w:r>
          </w:p>
        </w:tc>
        <w:tc>
          <w:tcPr>
            <w:tcW w:w="1987" w:type="dxa"/>
            <w:shd w:val="clear" w:color="auto" w:fill="auto"/>
            <w:noWrap/>
            <w:vAlign w:val="bottom"/>
            <w:hideMark/>
          </w:tcPr>
          <w:p w14:paraId="25B069E3"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9.60%</w:t>
            </w:r>
          </w:p>
        </w:tc>
      </w:tr>
      <w:tr w:rsidR="00711296" w:rsidRPr="00672DA8" w14:paraId="5FB11810" w14:textId="77777777" w:rsidTr="004831C9">
        <w:trPr>
          <w:trHeight w:val="300"/>
        </w:trPr>
        <w:tc>
          <w:tcPr>
            <w:tcW w:w="622" w:type="dxa"/>
            <w:vAlign w:val="bottom"/>
          </w:tcPr>
          <w:p w14:paraId="1AB3492D" w14:textId="77777777" w:rsidR="00711296" w:rsidRPr="00672DA8" w:rsidRDefault="00711296" w:rsidP="004831C9">
            <w:pPr>
              <w:bidi w:val="0"/>
              <w:jc w:val="right"/>
              <w:rPr>
                <w:rFonts w:cs="Calibri"/>
                <w:color w:val="000000"/>
                <w:sz w:val="18"/>
                <w:szCs w:val="18"/>
              </w:rPr>
            </w:pPr>
            <w:r w:rsidRPr="00672DA8">
              <w:rPr>
                <w:rFonts w:cs="Calibri"/>
                <w:color w:val="000000"/>
                <w:sz w:val="18"/>
                <w:szCs w:val="18"/>
              </w:rPr>
              <w:t>2014</w:t>
            </w:r>
          </w:p>
        </w:tc>
        <w:tc>
          <w:tcPr>
            <w:tcW w:w="1191" w:type="dxa"/>
            <w:shd w:val="clear" w:color="auto" w:fill="auto"/>
            <w:noWrap/>
            <w:vAlign w:val="bottom"/>
            <w:hideMark/>
          </w:tcPr>
          <w:p w14:paraId="6B0B06DB"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77%</w:t>
            </w:r>
          </w:p>
        </w:tc>
        <w:tc>
          <w:tcPr>
            <w:tcW w:w="1380" w:type="dxa"/>
            <w:shd w:val="clear" w:color="auto" w:fill="auto"/>
            <w:noWrap/>
            <w:vAlign w:val="bottom"/>
            <w:hideMark/>
          </w:tcPr>
          <w:p w14:paraId="2112F2A7"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80%</w:t>
            </w:r>
          </w:p>
        </w:tc>
        <w:tc>
          <w:tcPr>
            <w:tcW w:w="1616" w:type="dxa"/>
            <w:shd w:val="clear" w:color="auto" w:fill="auto"/>
            <w:noWrap/>
            <w:vAlign w:val="bottom"/>
            <w:hideMark/>
          </w:tcPr>
          <w:p w14:paraId="6EF3A424"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2.93%</w:t>
            </w:r>
          </w:p>
        </w:tc>
        <w:tc>
          <w:tcPr>
            <w:tcW w:w="2085" w:type="dxa"/>
            <w:shd w:val="clear" w:color="auto" w:fill="auto"/>
            <w:noWrap/>
            <w:vAlign w:val="bottom"/>
            <w:hideMark/>
          </w:tcPr>
          <w:p w14:paraId="13ECF11E"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12.40%</w:t>
            </w:r>
          </w:p>
        </w:tc>
        <w:tc>
          <w:tcPr>
            <w:tcW w:w="1987" w:type="dxa"/>
            <w:shd w:val="clear" w:color="auto" w:fill="auto"/>
            <w:noWrap/>
            <w:vAlign w:val="bottom"/>
            <w:hideMark/>
          </w:tcPr>
          <w:p w14:paraId="03EABF14"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8.90%</w:t>
            </w:r>
          </w:p>
        </w:tc>
      </w:tr>
      <w:tr w:rsidR="00711296" w:rsidRPr="00672DA8" w14:paraId="405ED8D0" w14:textId="77777777" w:rsidTr="004831C9">
        <w:trPr>
          <w:trHeight w:val="300"/>
        </w:trPr>
        <w:tc>
          <w:tcPr>
            <w:tcW w:w="622" w:type="dxa"/>
            <w:vAlign w:val="bottom"/>
          </w:tcPr>
          <w:p w14:paraId="27F507B0" w14:textId="77777777" w:rsidR="00711296" w:rsidRPr="00672DA8" w:rsidRDefault="00711296" w:rsidP="004831C9">
            <w:pPr>
              <w:bidi w:val="0"/>
              <w:jc w:val="right"/>
              <w:rPr>
                <w:rFonts w:cs="Calibri"/>
                <w:color w:val="000000"/>
                <w:sz w:val="18"/>
                <w:szCs w:val="18"/>
              </w:rPr>
            </w:pPr>
            <w:r w:rsidRPr="00672DA8">
              <w:rPr>
                <w:rFonts w:cs="Calibri"/>
                <w:color w:val="000000"/>
                <w:sz w:val="18"/>
                <w:szCs w:val="18"/>
              </w:rPr>
              <w:t>2015</w:t>
            </w:r>
          </w:p>
        </w:tc>
        <w:tc>
          <w:tcPr>
            <w:tcW w:w="1191" w:type="dxa"/>
            <w:shd w:val="clear" w:color="auto" w:fill="auto"/>
            <w:noWrap/>
            <w:vAlign w:val="bottom"/>
            <w:hideMark/>
          </w:tcPr>
          <w:p w14:paraId="7E34B7A9"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89%</w:t>
            </w:r>
          </w:p>
        </w:tc>
        <w:tc>
          <w:tcPr>
            <w:tcW w:w="1380" w:type="dxa"/>
            <w:shd w:val="clear" w:color="auto" w:fill="auto"/>
            <w:noWrap/>
            <w:vAlign w:val="bottom"/>
            <w:hideMark/>
          </w:tcPr>
          <w:p w14:paraId="4776CE99"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104%</w:t>
            </w:r>
          </w:p>
        </w:tc>
        <w:tc>
          <w:tcPr>
            <w:tcW w:w="1616" w:type="dxa"/>
            <w:shd w:val="clear" w:color="auto" w:fill="auto"/>
            <w:noWrap/>
            <w:vAlign w:val="bottom"/>
            <w:hideMark/>
          </w:tcPr>
          <w:p w14:paraId="33E09554"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2.53%</w:t>
            </w:r>
          </w:p>
        </w:tc>
        <w:tc>
          <w:tcPr>
            <w:tcW w:w="2085" w:type="dxa"/>
            <w:shd w:val="clear" w:color="auto" w:fill="DEEAF6" w:themeFill="accent5" w:themeFillTint="33"/>
            <w:noWrap/>
            <w:vAlign w:val="bottom"/>
            <w:hideMark/>
          </w:tcPr>
          <w:p w14:paraId="49CD97E0"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19.65%</w:t>
            </w:r>
          </w:p>
        </w:tc>
        <w:tc>
          <w:tcPr>
            <w:tcW w:w="1987" w:type="dxa"/>
            <w:shd w:val="clear" w:color="auto" w:fill="auto"/>
            <w:noWrap/>
            <w:vAlign w:val="bottom"/>
            <w:hideMark/>
          </w:tcPr>
          <w:p w14:paraId="6F48367A"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2.90%</w:t>
            </w:r>
          </w:p>
        </w:tc>
      </w:tr>
      <w:tr w:rsidR="00711296" w:rsidRPr="00672DA8" w14:paraId="7BA7D377" w14:textId="77777777" w:rsidTr="004831C9">
        <w:trPr>
          <w:trHeight w:val="300"/>
        </w:trPr>
        <w:tc>
          <w:tcPr>
            <w:tcW w:w="622" w:type="dxa"/>
            <w:vAlign w:val="bottom"/>
          </w:tcPr>
          <w:p w14:paraId="11B06C05" w14:textId="77777777" w:rsidR="00711296" w:rsidRPr="00672DA8" w:rsidRDefault="00711296" w:rsidP="004831C9">
            <w:pPr>
              <w:bidi w:val="0"/>
              <w:jc w:val="right"/>
              <w:rPr>
                <w:rFonts w:cs="Calibri"/>
                <w:color w:val="000000"/>
                <w:sz w:val="18"/>
                <w:szCs w:val="18"/>
              </w:rPr>
            </w:pPr>
            <w:r w:rsidRPr="00672DA8">
              <w:rPr>
                <w:rFonts w:cs="Calibri"/>
                <w:color w:val="000000"/>
                <w:sz w:val="18"/>
                <w:szCs w:val="18"/>
              </w:rPr>
              <w:t>2016</w:t>
            </w:r>
          </w:p>
        </w:tc>
        <w:tc>
          <w:tcPr>
            <w:tcW w:w="1191" w:type="dxa"/>
            <w:shd w:val="clear" w:color="auto" w:fill="auto"/>
            <w:noWrap/>
            <w:vAlign w:val="bottom"/>
            <w:hideMark/>
          </w:tcPr>
          <w:p w14:paraId="382CC818"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101%</w:t>
            </w:r>
          </w:p>
        </w:tc>
        <w:tc>
          <w:tcPr>
            <w:tcW w:w="1380" w:type="dxa"/>
            <w:shd w:val="clear" w:color="auto" w:fill="auto"/>
            <w:noWrap/>
            <w:vAlign w:val="bottom"/>
            <w:hideMark/>
          </w:tcPr>
          <w:p w14:paraId="2905171D"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118%</w:t>
            </w:r>
          </w:p>
        </w:tc>
        <w:tc>
          <w:tcPr>
            <w:tcW w:w="1616" w:type="dxa"/>
            <w:shd w:val="clear" w:color="auto" w:fill="auto"/>
            <w:noWrap/>
            <w:vAlign w:val="bottom"/>
            <w:hideMark/>
          </w:tcPr>
          <w:p w14:paraId="43547792"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2.46%</w:t>
            </w:r>
          </w:p>
        </w:tc>
        <w:tc>
          <w:tcPr>
            <w:tcW w:w="2085" w:type="dxa"/>
            <w:shd w:val="clear" w:color="auto" w:fill="auto"/>
            <w:noWrap/>
            <w:vAlign w:val="bottom"/>
            <w:hideMark/>
          </w:tcPr>
          <w:p w14:paraId="1A7BF32F"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26.90%</w:t>
            </w:r>
          </w:p>
        </w:tc>
        <w:tc>
          <w:tcPr>
            <w:tcW w:w="1987" w:type="dxa"/>
            <w:shd w:val="clear" w:color="auto" w:fill="auto"/>
            <w:noWrap/>
            <w:vAlign w:val="bottom"/>
            <w:hideMark/>
          </w:tcPr>
          <w:p w14:paraId="202D0F11"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11.50%</w:t>
            </w:r>
          </w:p>
        </w:tc>
      </w:tr>
      <w:tr w:rsidR="00711296" w:rsidRPr="00672DA8" w14:paraId="3658CBE3" w14:textId="77777777" w:rsidTr="004831C9">
        <w:trPr>
          <w:trHeight w:val="300"/>
        </w:trPr>
        <w:tc>
          <w:tcPr>
            <w:tcW w:w="622" w:type="dxa"/>
            <w:vAlign w:val="bottom"/>
          </w:tcPr>
          <w:p w14:paraId="706889B1" w14:textId="77777777" w:rsidR="00711296" w:rsidRPr="00672DA8" w:rsidRDefault="00711296" w:rsidP="004831C9">
            <w:pPr>
              <w:bidi w:val="0"/>
              <w:jc w:val="right"/>
              <w:rPr>
                <w:rFonts w:cs="Calibri"/>
                <w:color w:val="000000"/>
                <w:sz w:val="18"/>
                <w:szCs w:val="18"/>
              </w:rPr>
            </w:pPr>
            <w:r w:rsidRPr="00672DA8">
              <w:rPr>
                <w:rFonts w:cs="Calibri"/>
                <w:color w:val="000000"/>
                <w:sz w:val="18"/>
                <w:szCs w:val="18"/>
              </w:rPr>
              <w:t>2017</w:t>
            </w:r>
          </w:p>
        </w:tc>
        <w:tc>
          <w:tcPr>
            <w:tcW w:w="1191" w:type="dxa"/>
            <w:shd w:val="clear" w:color="auto" w:fill="auto"/>
            <w:noWrap/>
            <w:vAlign w:val="bottom"/>
            <w:hideMark/>
          </w:tcPr>
          <w:p w14:paraId="7577491A"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102%</w:t>
            </w:r>
          </w:p>
        </w:tc>
        <w:tc>
          <w:tcPr>
            <w:tcW w:w="1380" w:type="dxa"/>
            <w:shd w:val="clear" w:color="auto" w:fill="auto"/>
            <w:noWrap/>
            <w:vAlign w:val="bottom"/>
            <w:hideMark/>
          </w:tcPr>
          <w:p w14:paraId="7C3C69BF"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134%</w:t>
            </w:r>
          </w:p>
        </w:tc>
        <w:tc>
          <w:tcPr>
            <w:tcW w:w="1616" w:type="dxa"/>
            <w:shd w:val="clear" w:color="auto" w:fill="auto"/>
            <w:noWrap/>
            <w:vAlign w:val="bottom"/>
            <w:hideMark/>
          </w:tcPr>
          <w:p w14:paraId="34B1B59B"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2.49%</w:t>
            </w:r>
          </w:p>
        </w:tc>
        <w:tc>
          <w:tcPr>
            <w:tcW w:w="2085" w:type="dxa"/>
            <w:shd w:val="clear" w:color="auto" w:fill="DEEAF6" w:themeFill="accent5" w:themeFillTint="33"/>
            <w:noWrap/>
            <w:vAlign w:val="bottom"/>
            <w:hideMark/>
          </w:tcPr>
          <w:p w14:paraId="2090C078"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24.10%</w:t>
            </w:r>
          </w:p>
        </w:tc>
        <w:tc>
          <w:tcPr>
            <w:tcW w:w="1987" w:type="dxa"/>
            <w:shd w:val="clear" w:color="auto" w:fill="auto"/>
            <w:noWrap/>
            <w:vAlign w:val="bottom"/>
            <w:hideMark/>
          </w:tcPr>
          <w:p w14:paraId="6C34882B"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8.80%</w:t>
            </w:r>
          </w:p>
        </w:tc>
      </w:tr>
      <w:tr w:rsidR="00711296" w:rsidRPr="00672DA8" w14:paraId="60A3452C" w14:textId="77777777" w:rsidTr="004831C9">
        <w:trPr>
          <w:trHeight w:val="300"/>
        </w:trPr>
        <w:tc>
          <w:tcPr>
            <w:tcW w:w="622" w:type="dxa"/>
            <w:vAlign w:val="bottom"/>
          </w:tcPr>
          <w:p w14:paraId="07929D75" w14:textId="77777777" w:rsidR="00711296" w:rsidRPr="00672DA8" w:rsidRDefault="00711296" w:rsidP="004831C9">
            <w:pPr>
              <w:bidi w:val="0"/>
              <w:jc w:val="right"/>
              <w:rPr>
                <w:rFonts w:cs="Calibri"/>
                <w:color w:val="000000"/>
                <w:sz w:val="18"/>
                <w:szCs w:val="18"/>
              </w:rPr>
            </w:pPr>
            <w:r w:rsidRPr="00672DA8">
              <w:rPr>
                <w:rFonts w:cs="Calibri"/>
                <w:color w:val="000000"/>
                <w:sz w:val="18"/>
                <w:szCs w:val="18"/>
              </w:rPr>
              <w:t>2018</w:t>
            </w:r>
          </w:p>
        </w:tc>
        <w:tc>
          <w:tcPr>
            <w:tcW w:w="1191" w:type="dxa"/>
            <w:shd w:val="clear" w:color="auto" w:fill="auto"/>
            <w:noWrap/>
            <w:vAlign w:val="bottom"/>
            <w:hideMark/>
          </w:tcPr>
          <w:p w14:paraId="1EAF4AC0"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99%</w:t>
            </w:r>
          </w:p>
        </w:tc>
        <w:tc>
          <w:tcPr>
            <w:tcW w:w="1380" w:type="dxa"/>
            <w:shd w:val="clear" w:color="auto" w:fill="auto"/>
            <w:noWrap/>
            <w:vAlign w:val="bottom"/>
            <w:hideMark/>
          </w:tcPr>
          <w:p w14:paraId="45D378E6"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149%</w:t>
            </w:r>
          </w:p>
        </w:tc>
        <w:tc>
          <w:tcPr>
            <w:tcW w:w="1616" w:type="dxa"/>
            <w:shd w:val="clear" w:color="auto" w:fill="auto"/>
            <w:noWrap/>
            <w:vAlign w:val="bottom"/>
            <w:hideMark/>
          </w:tcPr>
          <w:p w14:paraId="5CD1DE87"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2.62%</w:t>
            </w:r>
          </w:p>
        </w:tc>
        <w:tc>
          <w:tcPr>
            <w:tcW w:w="2085" w:type="dxa"/>
            <w:shd w:val="clear" w:color="auto" w:fill="auto"/>
            <w:noWrap/>
            <w:vAlign w:val="bottom"/>
            <w:hideMark/>
          </w:tcPr>
          <w:p w14:paraId="7A52CC1D"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21.30%</w:t>
            </w:r>
          </w:p>
        </w:tc>
        <w:tc>
          <w:tcPr>
            <w:tcW w:w="1987" w:type="dxa"/>
            <w:shd w:val="clear" w:color="auto" w:fill="auto"/>
            <w:noWrap/>
            <w:vAlign w:val="bottom"/>
            <w:hideMark/>
          </w:tcPr>
          <w:p w14:paraId="556D6407"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7.60%</w:t>
            </w:r>
          </w:p>
        </w:tc>
      </w:tr>
      <w:tr w:rsidR="00711296" w:rsidRPr="00672DA8" w14:paraId="48CA51E4" w14:textId="77777777" w:rsidTr="004831C9">
        <w:trPr>
          <w:trHeight w:val="315"/>
        </w:trPr>
        <w:tc>
          <w:tcPr>
            <w:tcW w:w="622" w:type="dxa"/>
            <w:vAlign w:val="bottom"/>
          </w:tcPr>
          <w:p w14:paraId="72A180A6" w14:textId="77777777" w:rsidR="00711296" w:rsidRPr="00672DA8" w:rsidRDefault="00711296" w:rsidP="004831C9">
            <w:pPr>
              <w:bidi w:val="0"/>
              <w:jc w:val="right"/>
              <w:rPr>
                <w:rFonts w:cs="Calibri"/>
                <w:color w:val="000000"/>
                <w:sz w:val="18"/>
                <w:szCs w:val="18"/>
              </w:rPr>
            </w:pPr>
            <w:r w:rsidRPr="00672DA8">
              <w:rPr>
                <w:rFonts w:cs="Calibri"/>
                <w:color w:val="000000"/>
                <w:sz w:val="18"/>
                <w:szCs w:val="18"/>
              </w:rPr>
              <w:t>2019</w:t>
            </w:r>
          </w:p>
        </w:tc>
        <w:tc>
          <w:tcPr>
            <w:tcW w:w="1191" w:type="dxa"/>
            <w:shd w:val="clear" w:color="auto" w:fill="auto"/>
            <w:noWrap/>
            <w:vAlign w:val="bottom"/>
            <w:hideMark/>
          </w:tcPr>
          <w:p w14:paraId="38D14E13"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94%</w:t>
            </w:r>
          </w:p>
        </w:tc>
        <w:tc>
          <w:tcPr>
            <w:tcW w:w="1380" w:type="dxa"/>
            <w:shd w:val="clear" w:color="auto" w:fill="auto"/>
            <w:noWrap/>
            <w:vAlign w:val="bottom"/>
            <w:hideMark/>
          </w:tcPr>
          <w:p w14:paraId="50AD0CC9"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157%</w:t>
            </w:r>
          </w:p>
        </w:tc>
        <w:tc>
          <w:tcPr>
            <w:tcW w:w="1616" w:type="dxa"/>
            <w:shd w:val="clear" w:color="auto" w:fill="auto"/>
            <w:noWrap/>
            <w:vAlign w:val="bottom"/>
            <w:hideMark/>
          </w:tcPr>
          <w:p w14:paraId="19D06BB7"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2.53%</w:t>
            </w:r>
          </w:p>
        </w:tc>
        <w:tc>
          <w:tcPr>
            <w:tcW w:w="2085" w:type="dxa"/>
            <w:shd w:val="clear" w:color="auto" w:fill="DEEAF6" w:themeFill="accent5" w:themeFillTint="33"/>
            <w:noWrap/>
            <w:vAlign w:val="bottom"/>
            <w:hideMark/>
          </w:tcPr>
          <w:p w14:paraId="6BC10626"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21.30%</w:t>
            </w:r>
          </w:p>
        </w:tc>
        <w:tc>
          <w:tcPr>
            <w:tcW w:w="1987" w:type="dxa"/>
            <w:shd w:val="clear" w:color="auto" w:fill="auto"/>
            <w:noWrap/>
            <w:vAlign w:val="bottom"/>
            <w:hideMark/>
          </w:tcPr>
          <w:p w14:paraId="6715C242" w14:textId="77777777" w:rsidR="00711296" w:rsidRPr="000535E2" w:rsidRDefault="00711296" w:rsidP="004831C9">
            <w:pPr>
              <w:bidi w:val="0"/>
              <w:jc w:val="right"/>
              <w:rPr>
                <w:rFonts w:cs="Calibri"/>
                <w:color w:val="000000"/>
                <w:sz w:val="18"/>
                <w:szCs w:val="18"/>
              </w:rPr>
            </w:pPr>
            <w:r w:rsidRPr="000535E2">
              <w:rPr>
                <w:rFonts w:cs="Calibri"/>
                <w:color w:val="000000"/>
                <w:sz w:val="18"/>
                <w:szCs w:val="18"/>
              </w:rPr>
              <w:t>6.50%</w:t>
            </w:r>
          </w:p>
        </w:tc>
      </w:tr>
    </w:tbl>
    <w:p w14:paraId="14B47198" w14:textId="77777777" w:rsidR="00711296" w:rsidRDefault="00711296" w:rsidP="00711296">
      <w:pPr>
        <w:autoSpaceDE w:val="0"/>
        <w:autoSpaceDN w:val="0"/>
        <w:bidi w:val="0"/>
        <w:adjustRightInd w:val="0"/>
        <w:spacing w:after="240" w:line="360" w:lineRule="auto"/>
        <w:ind w:left="131" w:firstLine="720"/>
        <w:rPr>
          <w:rFonts w:asciiTheme="majorBidi" w:hAnsiTheme="majorBidi" w:cstheme="majorBidi"/>
          <w:sz w:val="24"/>
          <w:szCs w:val="24"/>
          <w:u w:val="single"/>
        </w:rPr>
      </w:pPr>
    </w:p>
    <w:p w14:paraId="69769EEC" w14:textId="77777777" w:rsidR="00711296" w:rsidRDefault="00711296" w:rsidP="00711296">
      <w:pPr>
        <w:autoSpaceDE w:val="0"/>
        <w:autoSpaceDN w:val="0"/>
        <w:bidi w:val="0"/>
        <w:adjustRightInd w:val="0"/>
        <w:spacing w:after="240" w:line="360" w:lineRule="auto"/>
        <w:ind w:left="131" w:firstLine="720"/>
        <w:rPr>
          <w:rFonts w:asciiTheme="majorBidi" w:hAnsiTheme="majorBidi" w:cstheme="majorBidi"/>
          <w:sz w:val="24"/>
          <w:szCs w:val="24"/>
          <w:u w:val="single"/>
        </w:rPr>
      </w:pPr>
    </w:p>
    <w:p w14:paraId="06BBA140" w14:textId="77777777" w:rsidR="00711296" w:rsidRDefault="00711296" w:rsidP="00711296">
      <w:pPr>
        <w:autoSpaceDE w:val="0"/>
        <w:autoSpaceDN w:val="0"/>
        <w:bidi w:val="0"/>
        <w:adjustRightInd w:val="0"/>
        <w:spacing w:after="240" w:line="360" w:lineRule="auto"/>
        <w:ind w:left="131" w:firstLine="720"/>
        <w:rPr>
          <w:rFonts w:asciiTheme="majorBidi" w:hAnsiTheme="majorBidi" w:cstheme="majorBidi"/>
          <w:sz w:val="24"/>
          <w:szCs w:val="24"/>
          <w:u w:val="single"/>
        </w:rPr>
      </w:pPr>
    </w:p>
    <w:p w14:paraId="6725BBBC" w14:textId="77777777" w:rsidR="00711296" w:rsidRDefault="00711296" w:rsidP="00711296">
      <w:pPr>
        <w:autoSpaceDE w:val="0"/>
        <w:autoSpaceDN w:val="0"/>
        <w:bidi w:val="0"/>
        <w:adjustRightInd w:val="0"/>
        <w:spacing w:after="240" w:line="360" w:lineRule="auto"/>
        <w:ind w:left="131" w:firstLine="720"/>
        <w:rPr>
          <w:rFonts w:asciiTheme="majorBidi" w:hAnsiTheme="majorBidi" w:cstheme="majorBidi"/>
          <w:sz w:val="24"/>
          <w:szCs w:val="24"/>
          <w:u w:val="single"/>
        </w:rPr>
      </w:pPr>
    </w:p>
    <w:p w14:paraId="2DA010F0" w14:textId="77777777" w:rsidR="00711296" w:rsidRDefault="00711296" w:rsidP="00711296">
      <w:pPr>
        <w:autoSpaceDE w:val="0"/>
        <w:autoSpaceDN w:val="0"/>
        <w:bidi w:val="0"/>
        <w:adjustRightInd w:val="0"/>
        <w:spacing w:after="240" w:line="360" w:lineRule="auto"/>
        <w:ind w:left="131" w:firstLine="720"/>
        <w:rPr>
          <w:rFonts w:asciiTheme="majorBidi" w:hAnsiTheme="majorBidi" w:cstheme="majorBidi"/>
          <w:sz w:val="24"/>
          <w:szCs w:val="24"/>
          <w:u w:val="single"/>
        </w:rPr>
      </w:pPr>
    </w:p>
    <w:p w14:paraId="70B68167" w14:textId="77777777" w:rsidR="00711296" w:rsidRDefault="00711296" w:rsidP="00711296">
      <w:pPr>
        <w:autoSpaceDE w:val="0"/>
        <w:autoSpaceDN w:val="0"/>
        <w:bidi w:val="0"/>
        <w:adjustRightInd w:val="0"/>
        <w:spacing w:after="240" w:line="360" w:lineRule="auto"/>
        <w:ind w:left="131" w:firstLine="720"/>
        <w:rPr>
          <w:rFonts w:asciiTheme="majorBidi" w:hAnsiTheme="majorBidi" w:cstheme="majorBidi"/>
          <w:sz w:val="24"/>
          <w:szCs w:val="24"/>
          <w:u w:val="single"/>
        </w:rPr>
      </w:pPr>
    </w:p>
    <w:p w14:paraId="248F51CB" w14:textId="77777777" w:rsidR="00711296" w:rsidRDefault="00711296" w:rsidP="00711296">
      <w:pPr>
        <w:autoSpaceDE w:val="0"/>
        <w:autoSpaceDN w:val="0"/>
        <w:bidi w:val="0"/>
        <w:adjustRightInd w:val="0"/>
        <w:spacing w:after="240" w:line="360" w:lineRule="auto"/>
        <w:ind w:left="131" w:firstLine="720"/>
        <w:rPr>
          <w:rFonts w:asciiTheme="majorBidi" w:hAnsiTheme="majorBidi" w:cstheme="majorBidi"/>
          <w:sz w:val="24"/>
          <w:szCs w:val="24"/>
          <w:u w:val="single"/>
        </w:rPr>
      </w:pPr>
    </w:p>
    <w:p w14:paraId="29419883" w14:textId="77777777" w:rsidR="00711296" w:rsidRPr="001664CF" w:rsidRDefault="00711296" w:rsidP="00711296">
      <w:pPr>
        <w:pStyle w:val="ListParagraph"/>
        <w:numPr>
          <w:ilvl w:val="0"/>
          <w:numId w:val="26"/>
        </w:numPr>
        <w:autoSpaceDE w:val="0"/>
        <w:autoSpaceDN w:val="0"/>
        <w:bidi w:val="0"/>
        <w:adjustRightInd w:val="0"/>
        <w:spacing w:line="360" w:lineRule="auto"/>
        <w:rPr>
          <w:rFonts w:asciiTheme="majorBidi" w:hAnsiTheme="majorBidi" w:cstheme="majorBidi"/>
          <w:b/>
          <w:bCs/>
          <w:sz w:val="24"/>
          <w:szCs w:val="24"/>
        </w:rPr>
      </w:pPr>
      <w:r w:rsidRPr="001664CF">
        <w:rPr>
          <w:rFonts w:asciiTheme="majorBidi" w:hAnsiTheme="majorBidi" w:cstheme="majorBidi"/>
          <w:b/>
          <w:bCs/>
          <w:sz w:val="24"/>
          <w:szCs w:val="24"/>
        </w:rPr>
        <w:t>Resources and infrastructure</w:t>
      </w:r>
      <w:r>
        <w:rPr>
          <w:rStyle w:val="FootnoteReference"/>
          <w:rFonts w:asciiTheme="majorBidi" w:hAnsiTheme="majorBidi" w:cstheme="majorBidi"/>
          <w:b/>
          <w:bCs/>
          <w:sz w:val="24"/>
          <w:szCs w:val="24"/>
        </w:rPr>
        <w:footnoteReference w:id="7"/>
      </w:r>
    </w:p>
    <w:p w14:paraId="5484A32B"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99720C">
        <w:rPr>
          <w:b/>
          <w:bCs/>
        </w:rPr>
        <w:t xml:space="preserve">Mobile cellular subscriptions ratio </w:t>
      </w:r>
      <w:r>
        <w:rPr>
          <w:b/>
          <w:bCs/>
        </w:rPr>
        <w:t>–</w:t>
      </w:r>
      <w:r w:rsidRPr="0099720C">
        <w:rPr>
          <w:b/>
          <w:bCs/>
        </w:rPr>
        <w:t xml:space="preserve"> </w:t>
      </w:r>
    </w:p>
    <w:p w14:paraId="7F7490B1" w14:textId="77777777" w:rsidR="00711296" w:rsidRDefault="00711296" w:rsidP="00711296">
      <w:pPr>
        <w:pStyle w:val="ListParagraph"/>
        <w:autoSpaceDE w:val="0"/>
        <w:autoSpaceDN w:val="0"/>
        <w:bidi w:val="0"/>
        <w:adjustRightInd w:val="0"/>
        <w:spacing w:after="240" w:line="480" w:lineRule="auto"/>
        <w:jc w:val="both"/>
      </w:pPr>
      <w:r w:rsidRPr="00E46EEB">
        <w:t xml:space="preserve">The indicator measures the ratio of Mobile cellular subscriptions </w:t>
      </w:r>
      <w:r w:rsidRPr="00B01CFC">
        <w:t xml:space="preserve">(per 100 people) </w:t>
      </w:r>
      <w:r w:rsidRPr="00E46EEB">
        <w:t xml:space="preserve">in WBG </w:t>
      </w:r>
      <w:r>
        <w:t xml:space="preserve">relative </w:t>
      </w:r>
      <w:r w:rsidRPr="00E46EEB">
        <w:t>to Israel.</w:t>
      </w:r>
      <w:r>
        <w:t xml:space="preserve"> </w:t>
      </w:r>
      <w:r w:rsidRPr="00EB74C0">
        <w:t>Mobile cellular telephone subscriptions are subscriptions to a public mobile telephone service using cellular technology, which provide access to the public switched telephone network (PSTN) using cellular technology.</w:t>
      </w:r>
      <w:r>
        <w:t xml:space="preserve"> </w:t>
      </w:r>
    </w:p>
    <w:p w14:paraId="35DFE1F8" w14:textId="77777777" w:rsidR="00711296" w:rsidRPr="00EB74C0" w:rsidRDefault="00711296" w:rsidP="00711296">
      <w:pPr>
        <w:pStyle w:val="ListParagraph"/>
        <w:autoSpaceDE w:val="0"/>
        <w:autoSpaceDN w:val="0"/>
        <w:bidi w:val="0"/>
        <w:adjustRightInd w:val="0"/>
        <w:spacing w:after="240" w:line="480" w:lineRule="auto"/>
        <w:jc w:val="both"/>
      </w:pPr>
      <w:r w:rsidRPr="00EB74C0">
        <w:t>Mobile communications have a particularly important impact in rural areas. The mobility, ease of use, flexible deployment, and relatively low and declining rollout costs of wireless technologies enable them to reach rural populations with low levels of income and literacy. </w:t>
      </w:r>
      <w:r>
        <w:t xml:space="preserve"> </w:t>
      </w:r>
      <w:r w:rsidRPr="00D137C4">
        <w:t>In 2015, an agreement was signed</w:t>
      </w:r>
      <w:r>
        <w:t xml:space="preserve"> between the </w:t>
      </w:r>
      <w:r w:rsidRPr="00BE15AA">
        <w:t>Palestinian Ministry of Communications</w:t>
      </w:r>
      <w:r>
        <w:t xml:space="preserve"> and the </w:t>
      </w:r>
      <w:r w:rsidRPr="00BE15AA">
        <w:t>Ministry of Communications in Israel</w:t>
      </w:r>
      <w:r>
        <w:t xml:space="preserve"> that enables </w:t>
      </w:r>
      <w:r w:rsidRPr="00D137C4">
        <w:t xml:space="preserve">the establishment of infrastructure for a 3G cellular network for the Palestinian population in </w:t>
      </w:r>
      <w:r>
        <w:t>the WB</w:t>
      </w:r>
      <w:r w:rsidRPr="00D137C4">
        <w:t xml:space="preserve"> to help the development of the cellular field and increase the number of Palestinians employed in Palestinian telecommunications companies. </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5B457E6E" w14:textId="77777777" w:rsidTr="004831C9">
        <w:trPr>
          <w:trHeight w:val="385"/>
        </w:trPr>
        <w:tc>
          <w:tcPr>
            <w:tcW w:w="8409" w:type="dxa"/>
            <w:gridSpan w:val="2"/>
            <w:shd w:val="clear" w:color="auto" w:fill="auto"/>
            <w:noWrap/>
            <w:vAlign w:val="center"/>
          </w:tcPr>
          <w:p w14:paraId="68ECB0BF"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1963A27A" w14:textId="77777777" w:rsidTr="004831C9">
        <w:trPr>
          <w:trHeight w:val="1200"/>
        </w:trPr>
        <w:tc>
          <w:tcPr>
            <w:tcW w:w="1580" w:type="dxa"/>
            <w:shd w:val="clear" w:color="auto" w:fill="auto"/>
            <w:noWrap/>
            <w:vAlign w:val="center"/>
            <w:hideMark/>
          </w:tcPr>
          <w:p w14:paraId="14102325" w14:textId="77777777" w:rsidR="00711296" w:rsidRPr="003C3F18" w:rsidRDefault="00711296" w:rsidP="004831C9">
            <w:pPr>
              <w:bidi w:val="0"/>
              <w:rPr>
                <w:rFonts w:cs="Calibri"/>
                <w:color w:val="000000"/>
              </w:rPr>
            </w:pPr>
            <w:r>
              <w:rPr>
                <w:rFonts w:cs="Calibri"/>
                <w:color w:val="000000"/>
              </w:rPr>
              <w:t>2000-2019</w:t>
            </w:r>
          </w:p>
        </w:tc>
        <w:tc>
          <w:tcPr>
            <w:tcW w:w="6829" w:type="dxa"/>
            <w:shd w:val="clear" w:color="auto" w:fill="auto"/>
            <w:noWrap/>
            <w:vAlign w:val="center"/>
            <w:hideMark/>
          </w:tcPr>
          <w:p w14:paraId="4A210C78" w14:textId="77777777" w:rsidR="00711296" w:rsidRDefault="00711296" w:rsidP="004831C9">
            <w:pPr>
              <w:bidi w:val="0"/>
              <w:rPr>
                <w:rFonts w:cs="Calibri"/>
                <w:color w:val="000000"/>
              </w:rPr>
            </w:pPr>
            <w:r w:rsidRPr="44534EDD">
              <w:rPr>
                <w:rFonts w:cs="Calibri"/>
                <w:color w:val="000000" w:themeColor="text1"/>
              </w:rPr>
              <w:t>World bank, World Development Indicators, ID: IT.CEL.SETS.P2</w:t>
            </w:r>
          </w:p>
          <w:p w14:paraId="70E8431D" w14:textId="77777777" w:rsidR="00711296" w:rsidRPr="003C3F18" w:rsidRDefault="00857FD1" w:rsidP="004831C9">
            <w:pPr>
              <w:bidi w:val="0"/>
              <w:rPr>
                <w:rFonts w:cs="Calibri"/>
                <w:color w:val="000000"/>
              </w:rPr>
            </w:pPr>
            <w:hyperlink r:id="rId25">
              <w:r w:rsidR="00711296" w:rsidRPr="44534EDD">
                <w:rPr>
                  <w:rStyle w:val="Hyperlink"/>
                  <w:rFonts w:cs="Calibri"/>
                </w:rPr>
                <w:t>https://data.worldbank.org/indicator/IT.CEL.SETS.P2?locations=IL-PS</w:t>
              </w:r>
            </w:hyperlink>
          </w:p>
        </w:tc>
      </w:tr>
    </w:tbl>
    <w:p w14:paraId="1E5CEE60" w14:textId="77777777" w:rsidR="00711296" w:rsidRPr="0099720C" w:rsidRDefault="00711296" w:rsidP="00711296">
      <w:pPr>
        <w:pStyle w:val="ListParagraph"/>
        <w:autoSpaceDE w:val="0"/>
        <w:autoSpaceDN w:val="0"/>
        <w:bidi w:val="0"/>
        <w:adjustRightInd w:val="0"/>
        <w:spacing w:after="240" w:line="480" w:lineRule="auto"/>
        <w:ind w:left="1702"/>
        <w:rPr>
          <w:b/>
          <w:bCs/>
        </w:rPr>
      </w:pPr>
    </w:p>
    <w:p w14:paraId="6E319A5C" w14:textId="77777777" w:rsidR="00711296" w:rsidRDefault="00711296" w:rsidP="00711296">
      <w:pPr>
        <w:pStyle w:val="ListParagraph"/>
        <w:autoSpaceDE w:val="0"/>
        <w:autoSpaceDN w:val="0"/>
        <w:bidi w:val="0"/>
        <w:adjustRightInd w:val="0"/>
        <w:spacing w:after="240" w:line="480" w:lineRule="auto"/>
        <w:ind w:left="1702"/>
        <w:rPr>
          <w:b/>
          <w:bCs/>
        </w:rPr>
      </w:pPr>
    </w:p>
    <w:p w14:paraId="7FFBB22E" w14:textId="77777777" w:rsidR="00711296" w:rsidRDefault="00711296" w:rsidP="00711296">
      <w:pPr>
        <w:pStyle w:val="ListParagraph"/>
        <w:autoSpaceDE w:val="0"/>
        <w:autoSpaceDN w:val="0"/>
        <w:bidi w:val="0"/>
        <w:adjustRightInd w:val="0"/>
        <w:spacing w:after="240" w:line="480" w:lineRule="auto"/>
        <w:ind w:left="1702"/>
        <w:rPr>
          <w:b/>
          <w:bCs/>
        </w:rPr>
      </w:pPr>
    </w:p>
    <w:p w14:paraId="75EF8B2A" w14:textId="77777777" w:rsidR="00711296" w:rsidRPr="0099720C" w:rsidRDefault="00711296" w:rsidP="00711296">
      <w:pPr>
        <w:pStyle w:val="ListParagraph"/>
        <w:autoSpaceDE w:val="0"/>
        <w:autoSpaceDN w:val="0"/>
        <w:bidi w:val="0"/>
        <w:adjustRightInd w:val="0"/>
        <w:spacing w:after="240" w:line="480" w:lineRule="auto"/>
        <w:ind w:left="1702"/>
        <w:rPr>
          <w:b/>
          <w:bCs/>
        </w:rPr>
      </w:pPr>
    </w:p>
    <w:p w14:paraId="01BABF3A" w14:textId="77777777" w:rsidR="00711296" w:rsidRDefault="00711296" w:rsidP="00711296">
      <w:pPr>
        <w:pStyle w:val="ListParagraph"/>
        <w:numPr>
          <w:ilvl w:val="0"/>
          <w:numId w:val="22"/>
        </w:numPr>
        <w:autoSpaceDE w:val="0"/>
        <w:autoSpaceDN w:val="0"/>
        <w:bidi w:val="0"/>
        <w:adjustRightInd w:val="0"/>
        <w:spacing w:line="480" w:lineRule="auto"/>
        <w:ind w:left="720"/>
        <w:rPr>
          <w:b/>
          <w:bCs/>
        </w:rPr>
      </w:pPr>
      <w:r w:rsidRPr="0099720C">
        <w:rPr>
          <w:b/>
          <w:bCs/>
        </w:rPr>
        <w:t xml:space="preserve">Individuals using the Internet ratio </w:t>
      </w:r>
      <w:r>
        <w:rPr>
          <w:b/>
          <w:bCs/>
        </w:rPr>
        <w:t>–</w:t>
      </w:r>
      <w:r w:rsidRPr="0099720C">
        <w:rPr>
          <w:b/>
          <w:bCs/>
        </w:rPr>
        <w:t xml:space="preserve"> </w:t>
      </w:r>
    </w:p>
    <w:p w14:paraId="7446B603" w14:textId="77777777" w:rsidR="00711296" w:rsidRPr="00320C7C" w:rsidRDefault="00711296" w:rsidP="00711296">
      <w:pPr>
        <w:pStyle w:val="ListParagraph"/>
        <w:autoSpaceDE w:val="0"/>
        <w:autoSpaceDN w:val="0"/>
        <w:bidi w:val="0"/>
        <w:adjustRightInd w:val="0"/>
        <w:spacing w:after="240" w:line="480" w:lineRule="auto"/>
        <w:jc w:val="both"/>
      </w:pPr>
      <w:r w:rsidRPr="00E46EEB">
        <w:t xml:space="preserve">The indicator measures the ratio </w:t>
      </w:r>
      <w:r w:rsidRPr="00B01CFC">
        <w:t>of Individuals using the Internet (% of population)</w:t>
      </w:r>
      <w:r w:rsidRPr="0099720C">
        <w:rPr>
          <w:b/>
          <w:bCs/>
        </w:rPr>
        <w:t xml:space="preserve"> </w:t>
      </w:r>
      <w:r w:rsidRPr="00E46EEB">
        <w:t xml:space="preserve">in </w:t>
      </w:r>
      <w:r>
        <w:t xml:space="preserve">the </w:t>
      </w:r>
      <w:r w:rsidRPr="00E46EEB">
        <w:t>WBG to Israel.</w:t>
      </w:r>
      <w:r>
        <w:t xml:space="preserve"> </w:t>
      </w:r>
      <w:r w:rsidRPr="00320C7C">
        <w:t>Internet users are individuals who have used the Internet (from any location) in the last 3 months. The Internet can be used via a computer, mobile phone, personal digital assistant, games machine, digital TV etc.</w:t>
      </w:r>
      <w:r>
        <w:t xml:space="preserve"> </w:t>
      </w:r>
      <w:r w:rsidRPr="00A64CD1">
        <w:t>New information and communications technologies (ICT) offer vast opportunities for progress in all walks of life in all countries - opportunities for economic growth, improved health, better service delivery, learning through distance education, and social and cultural advances.</w:t>
      </w:r>
      <w:r>
        <w:t xml:space="preserve"> </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33D0E276" w14:textId="77777777" w:rsidTr="004831C9">
        <w:trPr>
          <w:trHeight w:val="385"/>
        </w:trPr>
        <w:tc>
          <w:tcPr>
            <w:tcW w:w="8409" w:type="dxa"/>
            <w:gridSpan w:val="2"/>
            <w:shd w:val="clear" w:color="auto" w:fill="auto"/>
            <w:noWrap/>
            <w:vAlign w:val="center"/>
          </w:tcPr>
          <w:p w14:paraId="57C175CB"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3D289E5F" w14:textId="77777777" w:rsidTr="004831C9">
        <w:trPr>
          <w:trHeight w:val="1200"/>
        </w:trPr>
        <w:tc>
          <w:tcPr>
            <w:tcW w:w="1580" w:type="dxa"/>
            <w:shd w:val="clear" w:color="auto" w:fill="auto"/>
            <w:noWrap/>
            <w:vAlign w:val="center"/>
            <w:hideMark/>
          </w:tcPr>
          <w:p w14:paraId="6F8C8A0D" w14:textId="77777777" w:rsidR="00711296" w:rsidRPr="003C3F18" w:rsidRDefault="00711296" w:rsidP="004831C9">
            <w:pPr>
              <w:bidi w:val="0"/>
              <w:rPr>
                <w:rFonts w:cs="Calibri"/>
                <w:color w:val="000000"/>
              </w:rPr>
            </w:pPr>
            <w:r>
              <w:rPr>
                <w:rFonts w:cs="Calibri"/>
                <w:color w:val="000000"/>
              </w:rPr>
              <w:t>2000-2019</w:t>
            </w:r>
          </w:p>
        </w:tc>
        <w:tc>
          <w:tcPr>
            <w:tcW w:w="6829" w:type="dxa"/>
            <w:shd w:val="clear" w:color="auto" w:fill="auto"/>
            <w:noWrap/>
            <w:vAlign w:val="center"/>
            <w:hideMark/>
          </w:tcPr>
          <w:p w14:paraId="7D9915F8" w14:textId="77777777" w:rsidR="00711296" w:rsidRDefault="00711296" w:rsidP="004831C9">
            <w:pPr>
              <w:bidi w:val="0"/>
              <w:rPr>
                <w:rFonts w:cs="Calibri"/>
                <w:color w:val="000000"/>
              </w:rPr>
            </w:pPr>
            <w:r w:rsidRPr="44534EDD">
              <w:rPr>
                <w:rFonts w:cs="Calibri"/>
                <w:color w:val="000000" w:themeColor="text1"/>
              </w:rPr>
              <w:t>World bank, World Development Indicators</w:t>
            </w:r>
            <w:r>
              <w:rPr>
                <w:rFonts w:cs="Calibri"/>
                <w:color w:val="000000"/>
              </w:rPr>
              <w:t xml:space="preserve">, </w:t>
            </w:r>
            <w:r w:rsidRPr="009566E0">
              <w:rPr>
                <w:rFonts w:cs="Calibri"/>
                <w:color w:val="000000"/>
              </w:rPr>
              <w:t>ID: IT.NET.USER.ZS</w:t>
            </w:r>
          </w:p>
          <w:p w14:paraId="74ECD808" w14:textId="77777777" w:rsidR="00711296" w:rsidRPr="003C3F18" w:rsidRDefault="00857FD1" w:rsidP="004831C9">
            <w:pPr>
              <w:bidi w:val="0"/>
              <w:rPr>
                <w:rFonts w:cs="Calibri"/>
                <w:color w:val="000000"/>
              </w:rPr>
            </w:pPr>
            <w:hyperlink r:id="rId26">
              <w:r w:rsidR="00711296" w:rsidRPr="44534EDD">
                <w:rPr>
                  <w:rStyle w:val="Hyperlink"/>
                  <w:rFonts w:cs="Calibri"/>
                </w:rPr>
                <w:t>https://data.worldbank.org/indicator/IT.NET.USER.ZS?locations=IL-PS</w:t>
              </w:r>
            </w:hyperlink>
          </w:p>
        </w:tc>
      </w:tr>
    </w:tbl>
    <w:p w14:paraId="5A5078E7" w14:textId="77777777" w:rsidR="00711296" w:rsidRPr="0099720C" w:rsidRDefault="00711296" w:rsidP="00711296">
      <w:pPr>
        <w:pStyle w:val="ListParagraph"/>
        <w:autoSpaceDE w:val="0"/>
        <w:autoSpaceDN w:val="0"/>
        <w:bidi w:val="0"/>
        <w:adjustRightInd w:val="0"/>
        <w:spacing w:after="240" w:line="480" w:lineRule="auto"/>
        <w:ind w:left="1702"/>
        <w:rPr>
          <w:b/>
          <w:bCs/>
        </w:rPr>
      </w:pPr>
    </w:p>
    <w:p w14:paraId="5C3B2051"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99720C">
        <w:rPr>
          <w:b/>
          <w:bCs/>
        </w:rPr>
        <w:t xml:space="preserve">Fixed broadband subscriptions ratio </w:t>
      </w:r>
      <w:r>
        <w:rPr>
          <w:b/>
          <w:bCs/>
        </w:rPr>
        <w:t>–</w:t>
      </w:r>
      <w:r w:rsidRPr="0099720C">
        <w:rPr>
          <w:b/>
          <w:bCs/>
        </w:rPr>
        <w:t xml:space="preserve"> </w:t>
      </w:r>
    </w:p>
    <w:p w14:paraId="63539A91" w14:textId="77777777" w:rsidR="00711296" w:rsidRPr="00AA26F9" w:rsidRDefault="00711296" w:rsidP="00711296">
      <w:pPr>
        <w:pStyle w:val="ListParagraph"/>
        <w:autoSpaceDE w:val="0"/>
        <w:autoSpaceDN w:val="0"/>
        <w:bidi w:val="0"/>
        <w:adjustRightInd w:val="0"/>
        <w:spacing w:after="240" w:line="480" w:lineRule="auto"/>
        <w:jc w:val="both"/>
      </w:pPr>
      <w:r w:rsidRPr="00E46EEB">
        <w:t xml:space="preserve">The indicator measures </w:t>
      </w:r>
      <w:r w:rsidRPr="00524D75">
        <w:t xml:space="preserve">fixed broadband subscriptions (per 100 people) </w:t>
      </w:r>
      <w:r w:rsidRPr="00E46EEB">
        <w:t xml:space="preserve">in </w:t>
      </w:r>
      <w:r>
        <w:t xml:space="preserve">the </w:t>
      </w:r>
      <w:r w:rsidRPr="00E46EEB">
        <w:t>WBG to Israel.</w:t>
      </w:r>
      <w:r>
        <w:t xml:space="preserve"> </w:t>
      </w:r>
      <w:r w:rsidRPr="00AA26F9">
        <w:t>Fixed broadband subscriptions refers to fixed subscriptions to high-speed access to the public Internet (a TCP/IP connection), at downstream speeds equal to, or greater than, 256 kbit/s. This includes cable modem, DSL, fiber-to-the-home/building, other fixed (wired)-broadband subscriptions, satellite broadband and terrestrial fixed wireless broadband. </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356B5734" w14:textId="77777777" w:rsidTr="004831C9">
        <w:trPr>
          <w:trHeight w:val="385"/>
        </w:trPr>
        <w:tc>
          <w:tcPr>
            <w:tcW w:w="8409" w:type="dxa"/>
            <w:gridSpan w:val="2"/>
            <w:shd w:val="clear" w:color="auto" w:fill="auto"/>
            <w:noWrap/>
            <w:vAlign w:val="center"/>
          </w:tcPr>
          <w:p w14:paraId="195D9009"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33191467" w14:textId="77777777" w:rsidTr="004831C9">
        <w:trPr>
          <w:trHeight w:val="1200"/>
        </w:trPr>
        <w:tc>
          <w:tcPr>
            <w:tcW w:w="1580" w:type="dxa"/>
            <w:shd w:val="clear" w:color="auto" w:fill="auto"/>
            <w:noWrap/>
            <w:vAlign w:val="center"/>
            <w:hideMark/>
          </w:tcPr>
          <w:p w14:paraId="71FD26A0" w14:textId="77777777" w:rsidR="00711296" w:rsidRPr="003C3F18" w:rsidRDefault="00711296" w:rsidP="004831C9">
            <w:pPr>
              <w:bidi w:val="0"/>
              <w:rPr>
                <w:rFonts w:cs="Calibri"/>
                <w:color w:val="000000"/>
              </w:rPr>
            </w:pPr>
            <w:r>
              <w:rPr>
                <w:rFonts w:cs="Calibri"/>
                <w:color w:val="000000"/>
              </w:rPr>
              <w:t>2010</w:t>
            </w:r>
          </w:p>
        </w:tc>
        <w:tc>
          <w:tcPr>
            <w:tcW w:w="6829" w:type="dxa"/>
            <w:shd w:val="clear" w:color="auto" w:fill="auto"/>
            <w:noWrap/>
            <w:vAlign w:val="center"/>
            <w:hideMark/>
          </w:tcPr>
          <w:p w14:paraId="17BFC5EF" w14:textId="77777777" w:rsidR="00711296" w:rsidRPr="003C3F18" w:rsidRDefault="00711296" w:rsidP="004831C9">
            <w:pPr>
              <w:bidi w:val="0"/>
              <w:rPr>
                <w:rFonts w:cs="Calibri"/>
                <w:color w:val="000000"/>
              </w:rPr>
            </w:pPr>
            <w:r w:rsidRPr="3D45ED07">
              <w:rPr>
                <w:rFonts w:cs="Calibri"/>
                <w:color w:val="000000" w:themeColor="text1"/>
              </w:rPr>
              <w:t>Missing data – equal to year 2011</w:t>
            </w:r>
            <w:r>
              <w:rPr>
                <w:rFonts w:cs="Calibri"/>
                <w:color w:val="000000"/>
              </w:rPr>
              <w:t xml:space="preserve">, </w:t>
            </w:r>
            <w:r w:rsidRPr="00AA26F9">
              <w:rPr>
                <w:rFonts w:cs="Calibri"/>
                <w:color w:val="000000"/>
              </w:rPr>
              <w:t>ID: IT.NET.BBND.P2</w:t>
            </w:r>
          </w:p>
        </w:tc>
      </w:tr>
      <w:tr w:rsidR="00711296" w:rsidRPr="003C3F18" w14:paraId="27F69523" w14:textId="77777777" w:rsidTr="004831C9">
        <w:trPr>
          <w:trHeight w:val="1200"/>
        </w:trPr>
        <w:tc>
          <w:tcPr>
            <w:tcW w:w="1580" w:type="dxa"/>
            <w:shd w:val="clear" w:color="auto" w:fill="auto"/>
            <w:noWrap/>
            <w:vAlign w:val="center"/>
          </w:tcPr>
          <w:p w14:paraId="64307E32" w14:textId="77777777" w:rsidR="00711296" w:rsidRDefault="00711296" w:rsidP="004831C9">
            <w:pPr>
              <w:bidi w:val="0"/>
              <w:rPr>
                <w:rFonts w:cs="Calibri"/>
                <w:color w:val="000000"/>
              </w:rPr>
            </w:pPr>
            <w:r>
              <w:rPr>
                <w:rFonts w:cs="Calibri"/>
                <w:color w:val="000000"/>
              </w:rPr>
              <w:t>2011-2019</w:t>
            </w:r>
          </w:p>
        </w:tc>
        <w:tc>
          <w:tcPr>
            <w:tcW w:w="6829" w:type="dxa"/>
            <w:shd w:val="clear" w:color="auto" w:fill="auto"/>
            <w:noWrap/>
            <w:vAlign w:val="center"/>
          </w:tcPr>
          <w:p w14:paraId="336628A5" w14:textId="77777777" w:rsidR="00711296" w:rsidRDefault="00711296" w:rsidP="004831C9">
            <w:pPr>
              <w:bidi w:val="0"/>
              <w:rPr>
                <w:rFonts w:cs="Calibri"/>
                <w:color w:val="000000"/>
              </w:rPr>
            </w:pPr>
            <w:r>
              <w:rPr>
                <w:rFonts w:cs="Calibri"/>
                <w:color w:val="000000"/>
              </w:rPr>
              <w:t>World bank, World Development Indicators</w:t>
            </w:r>
          </w:p>
          <w:p w14:paraId="71320BAB" w14:textId="77777777" w:rsidR="00711296" w:rsidRDefault="00857FD1" w:rsidP="004831C9">
            <w:pPr>
              <w:bidi w:val="0"/>
              <w:rPr>
                <w:rFonts w:cs="Calibri"/>
                <w:color w:val="000000"/>
              </w:rPr>
            </w:pPr>
            <w:hyperlink r:id="rId27" w:history="1">
              <w:r w:rsidR="00711296" w:rsidRPr="00E75C8F">
                <w:rPr>
                  <w:rStyle w:val="Hyperlink"/>
                  <w:rFonts w:cs="Calibri"/>
                </w:rPr>
                <w:t>https://data.worldbank.org/indicator/IT.NET.BBND.P2?locations=IL-PS</w:t>
              </w:r>
            </w:hyperlink>
          </w:p>
        </w:tc>
      </w:tr>
    </w:tbl>
    <w:p w14:paraId="39C4167D" w14:textId="77777777" w:rsidR="00711296" w:rsidRDefault="00711296" w:rsidP="00711296">
      <w:pPr>
        <w:pStyle w:val="ListParagraph"/>
        <w:autoSpaceDE w:val="0"/>
        <w:autoSpaceDN w:val="0"/>
        <w:bidi w:val="0"/>
        <w:adjustRightInd w:val="0"/>
        <w:spacing w:after="240" w:line="480" w:lineRule="auto"/>
        <w:ind w:left="1211"/>
        <w:rPr>
          <w:b/>
          <w:bCs/>
        </w:rPr>
      </w:pPr>
    </w:p>
    <w:p w14:paraId="329F8AC9"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99720C">
        <w:rPr>
          <w:b/>
          <w:bCs/>
        </w:rPr>
        <w:t xml:space="preserve">Electricity </w:t>
      </w:r>
      <w:r>
        <w:rPr>
          <w:b/>
          <w:bCs/>
        </w:rPr>
        <w:t>i</w:t>
      </w:r>
      <w:r w:rsidRPr="0099720C">
        <w:rPr>
          <w:b/>
          <w:bCs/>
        </w:rPr>
        <w:t xml:space="preserve">mported from Israel out of total </w:t>
      </w:r>
      <w:r>
        <w:rPr>
          <w:b/>
          <w:bCs/>
        </w:rPr>
        <w:t>a</w:t>
      </w:r>
      <w:r w:rsidRPr="0099720C">
        <w:rPr>
          <w:b/>
          <w:bCs/>
        </w:rPr>
        <w:t xml:space="preserve">vailable </w:t>
      </w:r>
      <w:r>
        <w:rPr>
          <w:b/>
          <w:bCs/>
        </w:rPr>
        <w:t>e</w:t>
      </w:r>
      <w:r w:rsidRPr="0099720C">
        <w:rPr>
          <w:b/>
          <w:bCs/>
        </w:rPr>
        <w:t xml:space="preserve">lectricity in the </w:t>
      </w:r>
      <w:r>
        <w:rPr>
          <w:b/>
          <w:bCs/>
        </w:rPr>
        <w:t>WBG</w:t>
      </w:r>
      <w:r w:rsidRPr="0099720C">
        <w:rPr>
          <w:b/>
          <w:bCs/>
        </w:rPr>
        <w:t xml:space="preserve"> </w:t>
      </w:r>
      <w:r>
        <w:rPr>
          <w:b/>
          <w:bCs/>
        </w:rPr>
        <w:t>–</w:t>
      </w:r>
    </w:p>
    <w:p w14:paraId="2D9BFE8A" w14:textId="77777777" w:rsidR="00711296" w:rsidRDefault="00711296" w:rsidP="00711296">
      <w:pPr>
        <w:pStyle w:val="ListParagraph"/>
        <w:autoSpaceDE w:val="0"/>
        <w:autoSpaceDN w:val="0"/>
        <w:bidi w:val="0"/>
        <w:adjustRightInd w:val="0"/>
        <w:spacing w:after="240" w:line="480" w:lineRule="auto"/>
        <w:jc w:val="both"/>
      </w:pPr>
      <w:r>
        <w:t>The indicator measures the quantity of electricity Imported from Israeli Electricity</w:t>
      </w:r>
    </w:p>
    <w:p w14:paraId="5480AC7A" w14:textId="77777777" w:rsidR="00711296" w:rsidRDefault="00711296" w:rsidP="00711296">
      <w:pPr>
        <w:pStyle w:val="ListParagraph"/>
        <w:autoSpaceDE w:val="0"/>
        <w:autoSpaceDN w:val="0"/>
        <w:bidi w:val="0"/>
        <w:adjustRightInd w:val="0"/>
        <w:spacing w:after="240" w:line="480" w:lineRule="auto"/>
        <w:jc w:val="both"/>
        <w:rPr>
          <w:b/>
          <w:bCs/>
        </w:rPr>
      </w:pPr>
      <w:r w:rsidRPr="002218AD">
        <w:t>Company to total available electricity in the WBG. It reflects</w:t>
      </w:r>
      <w:r>
        <w:t xml:space="preserve"> the dependency of the WBG on Israeli electricity infrastructure.</w:t>
      </w:r>
      <w:r>
        <w:tab/>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43DB3540" w14:textId="77777777" w:rsidTr="004831C9">
        <w:trPr>
          <w:trHeight w:val="385"/>
        </w:trPr>
        <w:tc>
          <w:tcPr>
            <w:tcW w:w="8409" w:type="dxa"/>
            <w:gridSpan w:val="2"/>
            <w:shd w:val="clear" w:color="auto" w:fill="auto"/>
            <w:noWrap/>
            <w:vAlign w:val="center"/>
          </w:tcPr>
          <w:p w14:paraId="6765B4EF"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7D8CAD57" w14:textId="77777777" w:rsidTr="004831C9">
        <w:trPr>
          <w:trHeight w:val="1200"/>
        </w:trPr>
        <w:tc>
          <w:tcPr>
            <w:tcW w:w="1580" w:type="dxa"/>
            <w:shd w:val="clear" w:color="auto" w:fill="auto"/>
            <w:noWrap/>
            <w:vAlign w:val="center"/>
            <w:hideMark/>
          </w:tcPr>
          <w:p w14:paraId="4B96BED4" w14:textId="77777777" w:rsidR="00711296" w:rsidRPr="003C3F18" w:rsidRDefault="00711296" w:rsidP="004831C9">
            <w:pPr>
              <w:bidi w:val="0"/>
              <w:rPr>
                <w:rFonts w:cs="Calibri"/>
                <w:color w:val="000000"/>
              </w:rPr>
            </w:pPr>
            <w:r>
              <w:rPr>
                <w:rFonts w:cs="Calibri"/>
                <w:color w:val="000000"/>
              </w:rPr>
              <w:t>2004-2019</w:t>
            </w:r>
          </w:p>
        </w:tc>
        <w:tc>
          <w:tcPr>
            <w:tcW w:w="6829" w:type="dxa"/>
            <w:shd w:val="clear" w:color="auto" w:fill="auto"/>
            <w:noWrap/>
            <w:vAlign w:val="center"/>
            <w:hideMark/>
          </w:tcPr>
          <w:p w14:paraId="7123980A" w14:textId="77777777" w:rsidR="00711296" w:rsidRPr="003C3F18" w:rsidRDefault="00711296" w:rsidP="004831C9">
            <w:pPr>
              <w:bidi w:val="0"/>
              <w:rPr>
                <w:rFonts w:cs="Calibri"/>
                <w:color w:val="000000"/>
              </w:rPr>
            </w:pPr>
            <w:r>
              <w:rPr>
                <w:rFonts w:cs="Calibri"/>
                <w:color w:val="000000"/>
              </w:rPr>
              <w:t>Palestinian Central Bureau of Statistics, Energy Tables and Energy Balance</w:t>
            </w:r>
          </w:p>
        </w:tc>
      </w:tr>
    </w:tbl>
    <w:p w14:paraId="18E2F099" w14:textId="77777777" w:rsidR="00711296" w:rsidRPr="0099720C" w:rsidRDefault="00711296" w:rsidP="00711296">
      <w:pPr>
        <w:pStyle w:val="ListParagraph"/>
        <w:autoSpaceDE w:val="0"/>
        <w:autoSpaceDN w:val="0"/>
        <w:bidi w:val="0"/>
        <w:adjustRightInd w:val="0"/>
        <w:spacing w:after="240" w:line="480" w:lineRule="auto"/>
        <w:ind w:left="1702"/>
        <w:rPr>
          <w:b/>
          <w:bCs/>
        </w:rPr>
      </w:pPr>
    </w:p>
    <w:p w14:paraId="5534D926"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99720C">
        <w:rPr>
          <w:b/>
          <w:bCs/>
        </w:rPr>
        <w:t xml:space="preserve">Water Purchased from Israel </w:t>
      </w:r>
      <w:r w:rsidRPr="00592547">
        <w:rPr>
          <w:b/>
          <w:bCs/>
        </w:rPr>
        <w:t xml:space="preserve">out of </w:t>
      </w:r>
      <w:r>
        <w:rPr>
          <w:b/>
          <w:bCs/>
        </w:rPr>
        <w:t>a</w:t>
      </w:r>
      <w:r w:rsidRPr="00592547">
        <w:rPr>
          <w:b/>
          <w:bCs/>
        </w:rPr>
        <w:t xml:space="preserve">vailable </w:t>
      </w:r>
      <w:r>
        <w:rPr>
          <w:b/>
          <w:bCs/>
        </w:rPr>
        <w:t>w</w:t>
      </w:r>
      <w:r w:rsidRPr="00592547">
        <w:rPr>
          <w:b/>
          <w:bCs/>
        </w:rPr>
        <w:t xml:space="preserve">ater </w:t>
      </w:r>
      <w:r>
        <w:rPr>
          <w:b/>
          <w:bCs/>
        </w:rPr>
        <w:t>q</w:t>
      </w:r>
      <w:r w:rsidRPr="00592547">
        <w:rPr>
          <w:b/>
          <w:bCs/>
        </w:rPr>
        <w:t xml:space="preserve">uantity in the </w:t>
      </w:r>
      <w:r>
        <w:rPr>
          <w:b/>
          <w:bCs/>
        </w:rPr>
        <w:t>WBG</w:t>
      </w:r>
      <w:r w:rsidRPr="00592547">
        <w:rPr>
          <w:b/>
          <w:bCs/>
        </w:rPr>
        <w:t xml:space="preserve"> </w:t>
      </w:r>
      <w:r>
        <w:rPr>
          <w:b/>
          <w:bCs/>
        </w:rPr>
        <w:t>–</w:t>
      </w:r>
      <w:r w:rsidRPr="0099720C">
        <w:rPr>
          <w:b/>
          <w:bCs/>
        </w:rPr>
        <w:t xml:space="preserve"> </w:t>
      </w:r>
    </w:p>
    <w:p w14:paraId="677B7027" w14:textId="77777777" w:rsidR="00711296" w:rsidRPr="00EF02A2" w:rsidRDefault="00711296" w:rsidP="00711296">
      <w:pPr>
        <w:pStyle w:val="ListParagraph"/>
        <w:autoSpaceDE w:val="0"/>
        <w:autoSpaceDN w:val="0"/>
        <w:bidi w:val="0"/>
        <w:adjustRightInd w:val="0"/>
        <w:spacing w:after="240" w:line="480" w:lineRule="auto"/>
      </w:pPr>
      <w:r w:rsidRPr="00EF02A2">
        <w:t xml:space="preserve">Annual </w:t>
      </w:r>
      <w:r>
        <w:t>q</w:t>
      </w:r>
      <w:r w:rsidRPr="00EF02A2">
        <w:t xml:space="preserve">uantity of </w:t>
      </w:r>
      <w:r>
        <w:t>w</w:t>
      </w:r>
      <w:r w:rsidRPr="00EF02A2">
        <w:t xml:space="preserve">ater </w:t>
      </w:r>
      <w:r>
        <w:t>p</w:t>
      </w:r>
      <w:r w:rsidRPr="00EF02A2">
        <w:t>urchased from Israeli Water Company (Mekorot) out of total annual available water quantity</w:t>
      </w:r>
      <w:r>
        <w:t xml:space="preserve"> in the WBG</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2B17DECB" w14:textId="77777777" w:rsidTr="004831C9">
        <w:trPr>
          <w:trHeight w:val="385"/>
        </w:trPr>
        <w:tc>
          <w:tcPr>
            <w:tcW w:w="8409" w:type="dxa"/>
            <w:gridSpan w:val="2"/>
            <w:shd w:val="clear" w:color="auto" w:fill="auto"/>
            <w:noWrap/>
            <w:vAlign w:val="center"/>
          </w:tcPr>
          <w:p w14:paraId="058A70D9"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6563B364" w14:textId="77777777" w:rsidTr="004831C9">
        <w:trPr>
          <w:trHeight w:val="1200"/>
        </w:trPr>
        <w:tc>
          <w:tcPr>
            <w:tcW w:w="1580" w:type="dxa"/>
            <w:shd w:val="clear" w:color="auto" w:fill="auto"/>
            <w:noWrap/>
            <w:vAlign w:val="center"/>
            <w:hideMark/>
          </w:tcPr>
          <w:p w14:paraId="4DCAE0CC" w14:textId="77777777" w:rsidR="00711296" w:rsidRPr="003C3F18" w:rsidRDefault="00711296" w:rsidP="004831C9">
            <w:pPr>
              <w:bidi w:val="0"/>
              <w:rPr>
                <w:rFonts w:cs="Calibri"/>
                <w:color w:val="000000"/>
              </w:rPr>
            </w:pPr>
            <w:r>
              <w:rPr>
                <w:rFonts w:cs="Calibri"/>
                <w:color w:val="000000"/>
              </w:rPr>
              <w:t>2000-2019</w:t>
            </w:r>
          </w:p>
        </w:tc>
        <w:tc>
          <w:tcPr>
            <w:tcW w:w="6829" w:type="dxa"/>
            <w:shd w:val="clear" w:color="auto" w:fill="auto"/>
            <w:noWrap/>
            <w:vAlign w:val="center"/>
            <w:hideMark/>
          </w:tcPr>
          <w:p w14:paraId="7B1EBDC9" w14:textId="77777777" w:rsidR="00711296" w:rsidRPr="003C3F18" w:rsidRDefault="00711296" w:rsidP="004831C9">
            <w:pPr>
              <w:bidi w:val="0"/>
              <w:rPr>
                <w:rFonts w:cs="Calibri"/>
                <w:color w:val="000000"/>
              </w:rPr>
            </w:pPr>
            <w:r>
              <w:rPr>
                <w:rFonts w:cs="Calibri"/>
                <w:color w:val="000000"/>
              </w:rPr>
              <w:t>Palestinian Central Bureau of Statistics, Selected Indicators for Water Statistics</w:t>
            </w:r>
          </w:p>
        </w:tc>
      </w:tr>
    </w:tbl>
    <w:p w14:paraId="3CE5E868" w14:textId="77777777" w:rsidR="00711296" w:rsidRDefault="00711296" w:rsidP="00711296">
      <w:pPr>
        <w:autoSpaceDE w:val="0"/>
        <w:autoSpaceDN w:val="0"/>
        <w:bidi w:val="0"/>
        <w:adjustRightInd w:val="0"/>
        <w:spacing w:after="240" w:line="480" w:lineRule="auto"/>
        <w:rPr>
          <w:b/>
          <w:bCs/>
        </w:rPr>
      </w:pPr>
    </w:p>
    <w:p w14:paraId="5B11B8E5" w14:textId="77777777" w:rsidR="00711296" w:rsidRDefault="00711296" w:rsidP="00711296">
      <w:pPr>
        <w:autoSpaceDE w:val="0"/>
        <w:autoSpaceDN w:val="0"/>
        <w:bidi w:val="0"/>
        <w:adjustRightInd w:val="0"/>
        <w:spacing w:after="240" w:line="480" w:lineRule="auto"/>
        <w:jc w:val="center"/>
        <w:rPr>
          <w:b/>
          <w:bCs/>
        </w:rPr>
      </w:pPr>
    </w:p>
    <w:p w14:paraId="51EEFE3C" w14:textId="77777777" w:rsidR="00711296" w:rsidRDefault="00711296" w:rsidP="00711296">
      <w:pPr>
        <w:autoSpaceDE w:val="0"/>
        <w:autoSpaceDN w:val="0"/>
        <w:bidi w:val="0"/>
        <w:adjustRightInd w:val="0"/>
        <w:spacing w:after="240" w:line="480" w:lineRule="auto"/>
        <w:jc w:val="center"/>
        <w:rPr>
          <w:b/>
          <w:bCs/>
        </w:rPr>
      </w:pPr>
    </w:p>
    <w:p w14:paraId="589C23DB" w14:textId="77777777" w:rsidR="00711296" w:rsidRDefault="00711296" w:rsidP="00711296">
      <w:pPr>
        <w:autoSpaceDE w:val="0"/>
        <w:autoSpaceDN w:val="0"/>
        <w:bidi w:val="0"/>
        <w:adjustRightInd w:val="0"/>
        <w:spacing w:after="240" w:line="480" w:lineRule="auto"/>
        <w:jc w:val="center"/>
        <w:rPr>
          <w:b/>
          <w:bCs/>
        </w:rPr>
      </w:pPr>
    </w:p>
    <w:p w14:paraId="79185D26" w14:textId="77777777" w:rsidR="00711296" w:rsidRDefault="00711296" w:rsidP="00711296">
      <w:pPr>
        <w:autoSpaceDE w:val="0"/>
        <w:autoSpaceDN w:val="0"/>
        <w:bidi w:val="0"/>
        <w:adjustRightInd w:val="0"/>
        <w:spacing w:after="240" w:line="480" w:lineRule="auto"/>
        <w:jc w:val="center"/>
        <w:rPr>
          <w:b/>
          <w:bCs/>
        </w:rPr>
      </w:pPr>
    </w:p>
    <w:p w14:paraId="36BA7DC8" w14:textId="77777777" w:rsidR="00711296" w:rsidRDefault="00711296" w:rsidP="00711296">
      <w:pPr>
        <w:autoSpaceDE w:val="0"/>
        <w:autoSpaceDN w:val="0"/>
        <w:bidi w:val="0"/>
        <w:adjustRightInd w:val="0"/>
        <w:spacing w:after="240" w:line="480" w:lineRule="auto"/>
        <w:jc w:val="center"/>
        <w:rPr>
          <w:b/>
          <w:bCs/>
        </w:rPr>
      </w:pPr>
    </w:p>
    <w:p w14:paraId="2B78289D" w14:textId="77777777" w:rsidR="00711296" w:rsidRPr="0099720C" w:rsidRDefault="00711296" w:rsidP="00711296">
      <w:pPr>
        <w:autoSpaceDE w:val="0"/>
        <w:autoSpaceDN w:val="0"/>
        <w:bidi w:val="0"/>
        <w:adjustRightInd w:val="0"/>
        <w:spacing w:line="480" w:lineRule="auto"/>
        <w:jc w:val="center"/>
        <w:rPr>
          <w:rFonts w:asciiTheme="majorBidi" w:hAnsiTheme="majorBidi" w:cstheme="majorBidi"/>
          <w:b/>
          <w:bCs/>
          <w:sz w:val="24"/>
          <w:szCs w:val="24"/>
        </w:rPr>
      </w:pPr>
      <w:r>
        <w:rPr>
          <w:b/>
          <w:bCs/>
        </w:rPr>
        <w:t xml:space="preserve">Figure </w:t>
      </w:r>
      <w:r w:rsidRPr="001C4FA3">
        <w:rPr>
          <w:b/>
          <w:bCs/>
          <w:shd w:val="clear" w:color="auto" w:fill="FFFF00"/>
        </w:rPr>
        <w:t>XX</w:t>
      </w:r>
      <w:r>
        <w:rPr>
          <w:b/>
          <w:bCs/>
        </w:rPr>
        <w:t xml:space="preserve"> - </w:t>
      </w:r>
      <w:r w:rsidRPr="00E36872">
        <w:rPr>
          <w:b/>
          <w:bCs/>
        </w:rPr>
        <w:t>Resources and networks</w:t>
      </w:r>
    </w:p>
    <w:p w14:paraId="3BBAE966" w14:textId="77777777" w:rsidR="00711296" w:rsidRDefault="00711296" w:rsidP="00711296">
      <w:pPr>
        <w:pStyle w:val="ListParagraph"/>
        <w:autoSpaceDE w:val="0"/>
        <w:autoSpaceDN w:val="0"/>
        <w:bidi w:val="0"/>
        <w:adjustRightInd w:val="0"/>
        <w:spacing w:after="240" w:line="480" w:lineRule="auto"/>
        <w:ind w:left="0"/>
        <w:rPr>
          <w:rFonts w:asciiTheme="majorBidi" w:hAnsiTheme="majorBidi" w:cstheme="majorBidi"/>
          <w:b/>
          <w:bCs/>
          <w:sz w:val="24"/>
          <w:szCs w:val="24"/>
        </w:rPr>
      </w:pPr>
      <w:r>
        <w:rPr>
          <w:noProof/>
        </w:rPr>
        <w:drawing>
          <wp:inline distT="0" distB="0" distL="0" distR="0" wp14:anchorId="1A96BF1E" wp14:editId="242EB020">
            <wp:extent cx="5292000" cy="3060000"/>
            <wp:effectExtent l="0" t="0" r="4445" b="7620"/>
            <wp:docPr id="47" name="Chart 47">
              <a:extLst xmlns:a="http://schemas.openxmlformats.org/drawingml/2006/main">
                <a:ext uri="{FF2B5EF4-FFF2-40B4-BE49-F238E27FC236}">
                  <a16:creationId xmlns:a16="http://schemas.microsoft.com/office/drawing/2014/main" id="{6F7A3421-C107-45F8-ADFC-EA97CE283B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C98CA25" w14:textId="77777777" w:rsidR="00711296" w:rsidRDefault="00711296" w:rsidP="00711296">
      <w:pPr>
        <w:pStyle w:val="ListParagraph"/>
        <w:autoSpaceDE w:val="0"/>
        <w:autoSpaceDN w:val="0"/>
        <w:bidi w:val="0"/>
        <w:adjustRightInd w:val="0"/>
        <w:spacing w:line="360" w:lineRule="auto"/>
        <w:ind w:left="360"/>
        <w:jc w:val="center"/>
        <w:rPr>
          <w:rFonts w:asciiTheme="majorBidi" w:hAnsiTheme="majorBidi" w:cstheme="majorBidi"/>
          <w:b/>
          <w:bCs/>
          <w:sz w:val="24"/>
          <w:szCs w:val="24"/>
        </w:rPr>
      </w:pPr>
      <w:r>
        <w:rPr>
          <w:rFonts w:asciiTheme="majorBidi" w:hAnsiTheme="majorBidi" w:cstheme="majorBidi"/>
          <w:b/>
          <w:bCs/>
          <w:sz w:val="24"/>
          <w:szCs w:val="24"/>
        </w:rPr>
        <w:t xml:space="preserve">Table </w:t>
      </w:r>
      <w:r w:rsidRPr="001C4FA3">
        <w:rPr>
          <w:rFonts w:asciiTheme="majorBidi" w:hAnsiTheme="majorBidi" w:cstheme="majorBidi"/>
          <w:b/>
          <w:bCs/>
          <w:sz w:val="24"/>
          <w:szCs w:val="24"/>
          <w:shd w:val="clear" w:color="auto" w:fill="FFFF00"/>
        </w:rPr>
        <w:t>XX</w:t>
      </w:r>
      <w:r>
        <w:rPr>
          <w:rFonts w:asciiTheme="majorBidi" w:hAnsiTheme="majorBidi" w:cstheme="majorBidi"/>
          <w:b/>
          <w:bCs/>
          <w:sz w:val="24"/>
          <w:szCs w:val="24"/>
        </w:rPr>
        <w:t xml:space="preserve"> - Raw data - </w:t>
      </w:r>
      <w:r w:rsidRPr="00DF021D">
        <w:rPr>
          <w:rFonts w:asciiTheme="majorBidi" w:hAnsiTheme="majorBidi" w:cstheme="majorBidi"/>
          <w:b/>
          <w:bCs/>
          <w:sz w:val="24"/>
          <w:szCs w:val="24"/>
        </w:rPr>
        <w:t>Resources and networks</w:t>
      </w:r>
    </w:p>
    <w:tbl>
      <w:tblPr>
        <w:tblpPr w:leftFromText="180" w:rightFromText="180" w:vertAnchor="text" w:horzAnchor="margin" w:tblpXSpec="center" w:tblpY="18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5"/>
        <w:gridCol w:w="1955"/>
        <w:gridCol w:w="1275"/>
        <w:gridCol w:w="2263"/>
        <w:gridCol w:w="1848"/>
      </w:tblGrid>
      <w:tr w:rsidR="00711296" w:rsidRPr="00B91BCA" w14:paraId="737E81E2" w14:textId="77777777" w:rsidTr="004831C9">
        <w:trPr>
          <w:trHeight w:val="300"/>
        </w:trPr>
        <w:tc>
          <w:tcPr>
            <w:tcW w:w="663" w:type="dxa"/>
          </w:tcPr>
          <w:p w14:paraId="5C8FA9FB" w14:textId="77777777" w:rsidR="00711296" w:rsidRPr="00672DA8" w:rsidRDefault="00711296" w:rsidP="004831C9">
            <w:pPr>
              <w:bidi w:val="0"/>
              <w:rPr>
                <w:rFonts w:cs="Calibri"/>
                <w:b/>
                <w:bCs/>
                <w:color w:val="000000"/>
                <w:sz w:val="18"/>
                <w:szCs w:val="18"/>
              </w:rPr>
            </w:pPr>
            <w:r w:rsidRPr="00672DA8">
              <w:rPr>
                <w:rFonts w:cs="Calibri"/>
                <w:b/>
                <w:bCs/>
                <w:color w:val="000000"/>
                <w:sz w:val="18"/>
                <w:szCs w:val="18"/>
              </w:rPr>
              <w:t>Year</w:t>
            </w:r>
          </w:p>
        </w:tc>
        <w:tc>
          <w:tcPr>
            <w:tcW w:w="1205" w:type="dxa"/>
            <w:shd w:val="clear" w:color="auto" w:fill="auto"/>
            <w:noWrap/>
          </w:tcPr>
          <w:p w14:paraId="0E78F966" w14:textId="77777777" w:rsidR="00711296" w:rsidRPr="00672DA8" w:rsidRDefault="00711296" w:rsidP="004831C9">
            <w:pPr>
              <w:bidi w:val="0"/>
              <w:rPr>
                <w:rFonts w:cs="Calibri"/>
                <w:b/>
                <w:bCs/>
                <w:color w:val="000000"/>
                <w:sz w:val="18"/>
                <w:szCs w:val="18"/>
              </w:rPr>
            </w:pPr>
            <w:r w:rsidRPr="00672DA8">
              <w:rPr>
                <w:rFonts w:cs="Calibri"/>
                <w:b/>
                <w:bCs/>
                <w:color w:val="000000"/>
                <w:sz w:val="18"/>
                <w:szCs w:val="18"/>
              </w:rPr>
              <w:t xml:space="preserve">Mobile cellular subscriptions ratio </w:t>
            </w:r>
          </w:p>
        </w:tc>
        <w:tc>
          <w:tcPr>
            <w:tcW w:w="1955" w:type="dxa"/>
            <w:shd w:val="clear" w:color="auto" w:fill="auto"/>
            <w:noWrap/>
          </w:tcPr>
          <w:p w14:paraId="52047128" w14:textId="77777777" w:rsidR="00711296" w:rsidRPr="00672DA8" w:rsidRDefault="00711296" w:rsidP="004831C9">
            <w:pPr>
              <w:bidi w:val="0"/>
              <w:rPr>
                <w:rFonts w:cs="Calibri"/>
                <w:b/>
                <w:bCs/>
                <w:color w:val="000000"/>
                <w:sz w:val="18"/>
                <w:szCs w:val="18"/>
              </w:rPr>
            </w:pPr>
            <w:r w:rsidRPr="00672DA8">
              <w:rPr>
                <w:rFonts w:cs="Calibri"/>
                <w:b/>
                <w:bCs/>
                <w:color w:val="000000"/>
                <w:sz w:val="18"/>
                <w:szCs w:val="18"/>
              </w:rPr>
              <w:t xml:space="preserve">Individuals using the Internet ratio </w:t>
            </w:r>
          </w:p>
        </w:tc>
        <w:tc>
          <w:tcPr>
            <w:tcW w:w="1275" w:type="dxa"/>
            <w:shd w:val="clear" w:color="auto" w:fill="auto"/>
            <w:noWrap/>
          </w:tcPr>
          <w:p w14:paraId="0F75E0BA" w14:textId="77777777" w:rsidR="00711296" w:rsidRPr="00672DA8" w:rsidRDefault="00711296" w:rsidP="004831C9">
            <w:pPr>
              <w:bidi w:val="0"/>
              <w:rPr>
                <w:rFonts w:cs="Calibri"/>
                <w:b/>
                <w:bCs/>
                <w:color w:val="000000"/>
                <w:sz w:val="18"/>
                <w:szCs w:val="18"/>
              </w:rPr>
            </w:pPr>
            <w:r w:rsidRPr="00672DA8">
              <w:rPr>
                <w:rFonts w:cs="Calibri"/>
                <w:b/>
                <w:bCs/>
                <w:color w:val="000000"/>
                <w:sz w:val="18"/>
                <w:szCs w:val="18"/>
              </w:rPr>
              <w:t xml:space="preserve">Fixed broadband subscriptions ratio </w:t>
            </w:r>
          </w:p>
        </w:tc>
        <w:tc>
          <w:tcPr>
            <w:tcW w:w="2263" w:type="dxa"/>
            <w:shd w:val="clear" w:color="auto" w:fill="auto"/>
            <w:noWrap/>
          </w:tcPr>
          <w:p w14:paraId="383B0734" w14:textId="77777777" w:rsidR="00711296" w:rsidRPr="00672DA8" w:rsidRDefault="00711296" w:rsidP="004831C9">
            <w:pPr>
              <w:bidi w:val="0"/>
              <w:rPr>
                <w:rFonts w:ascii="Times New Roman" w:hAnsi="Times New Roman" w:cs="Times New Roman"/>
                <w:b/>
                <w:bCs/>
                <w:sz w:val="18"/>
                <w:szCs w:val="18"/>
              </w:rPr>
            </w:pPr>
            <w:r w:rsidRPr="00672DA8">
              <w:rPr>
                <w:rFonts w:cs="Calibri"/>
                <w:b/>
                <w:bCs/>
                <w:color w:val="000000"/>
                <w:sz w:val="18"/>
                <w:szCs w:val="18"/>
              </w:rPr>
              <w:t>Electricity imported from Israel out of total available electricity in the WBG</w:t>
            </w:r>
          </w:p>
        </w:tc>
        <w:tc>
          <w:tcPr>
            <w:tcW w:w="1848" w:type="dxa"/>
            <w:shd w:val="clear" w:color="auto" w:fill="auto"/>
            <w:noWrap/>
          </w:tcPr>
          <w:p w14:paraId="4B90223E" w14:textId="77777777" w:rsidR="00711296" w:rsidRPr="00672DA8" w:rsidRDefault="00711296" w:rsidP="004831C9">
            <w:pPr>
              <w:bidi w:val="0"/>
              <w:rPr>
                <w:rFonts w:cs="Calibri"/>
                <w:b/>
                <w:bCs/>
                <w:color w:val="000000"/>
                <w:sz w:val="18"/>
                <w:szCs w:val="18"/>
              </w:rPr>
            </w:pPr>
            <w:r w:rsidRPr="00672DA8">
              <w:rPr>
                <w:rFonts w:cs="Calibri"/>
                <w:b/>
                <w:bCs/>
                <w:color w:val="000000"/>
                <w:sz w:val="18"/>
                <w:szCs w:val="18"/>
              </w:rPr>
              <w:t>Water Purchased from Israel out of available water quantity in the WBG</w:t>
            </w:r>
          </w:p>
        </w:tc>
      </w:tr>
      <w:tr w:rsidR="00711296" w:rsidRPr="00B91BCA" w14:paraId="00164068" w14:textId="77777777" w:rsidTr="004831C9">
        <w:trPr>
          <w:trHeight w:val="300"/>
        </w:trPr>
        <w:tc>
          <w:tcPr>
            <w:tcW w:w="663" w:type="dxa"/>
            <w:vAlign w:val="bottom"/>
          </w:tcPr>
          <w:p w14:paraId="5749A161" w14:textId="77777777" w:rsidR="00711296" w:rsidRPr="00B91BCA" w:rsidRDefault="00711296" w:rsidP="004831C9">
            <w:pPr>
              <w:bidi w:val="0"/>
              <w:jc w:val="right"/>
              <w:rPr>
                <w:rFonts w:cs="Calibri"/>
                <w:color w:val="000000"/>
                <w:sz w:val="18"/>
                <w:szCs w:val="18"/>
              </w:rPr>
            </w:pPr>
            <w:r>
              <w:rPr>
                <w:rFonts w:cs="Calibri"/>
                <w:color w:val="000000"/>
              </w:rPr>
              <w:t>2000</w:t>
            </w:r>
          </w:p>
        </w:tc>
        <w:tc>
          <w:tcPr>
            <w:tcW w:w="1205" w:type="dxa"/>
            <w:shd w:val="clear" w:color="auto" w:fill="auto"/>
            <w:noWrap/>
            <w:vAlign w:val="bottom"/>
            <w:hideMark/>
          </w:tcPr>
          <w:p w14:paraId="3EC0DDD4"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0%</w:t>
            </w:r>
          </w:p>
        </w:tc>
        <w:tc>
          <w:tcPr>
            <w:tcW w:w="1955" w:type="dxa"/>
            <w:shd w:val="clear" w:color="auto" w:fill="auto"/>
            <w:noWrap/>
            <w:vAlign w:val="bottom"/>
            <w:hideMark/>
          </w:tcPr>
          <w:p w14:paraId="080AF4D2"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5%</w:t>
            </w:r>
          </w:p>
        </w:tc>
        <w:tc>
          <w:tcPr>
            <w:tcW w:w="1275" w:type="dxa"/>
            <w:shd w:val="clear" w:color="auto" w:fill="auto"/>
            <w:noWrap/>
            <w:vAlign w:val="bottom"/>
            <w:hideMark/>
          </w:tcPr>
          <w:p w14:paraId="275ED7DC" w14:textId="77777777" w:rsidR="00711296" w:rsidRPr="00B91BCA" w:rsidRDefault="00711296" w:rsidP="004831C9">
            <w:pPr>
              <w:bidi w:val="0"/>
              <w:jc w:val="right"/>
              <w:rPr>
                <w:rFonts w:cs="Calibri"/>
                <w:color w:val="000000"/>
                <w:sz w:val="18"/>
                <w:szCs w:val="18"/>
              </w:rPr>
            </w:pPr>
          </w:p>
        </w:tc>
        <w:tc>
          <w:tcPr>
            <w:tcW w:w="2263" w:type="dxa"/>
            <w:shd w:val="clear" w:color="auto" w:fill="auto"/>
            <w:noWrap/>
            <w:vAlign w:val="bottom"/>
            <w:hideMark/>
          </w:tcPr>
          <w:p w14:paraId="7C8BD5E8" w14:textId="77777777" w:rsidR="00711296" w:rsidRPr="00B91BCA" w:rsidRDefault="00711296" w:rsidP="004831C9">
            <w:pPr>
              <w:bidi w:val="0"/>
              <w:rPr>
                <w:rFonts w:ascii="Times New Roman" w:hAnsi="Times New Roman" w:cs="Times New Roman"/>
                <w:sz w:val="18"/>
                <w:szCs w:val="18"/>
              </w:rPr>
            </w:pPr>
          </w:p>
        </w:tc>
        <w:tc>
          <w:tcPr>
            <w:tcW w:w="1848" w:type="dxa"/>
            <w:shd w:val="clear" w:color="auto" w:fill="auto"/>
            <w:noWrap/>
            <w:vAlign w:val="bottom"/>
            <w:hideMark/>
          </w:tcPr>
          <w:p w14:paraId="1B9A0DF5"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13.74%</w:t>
            </w:r>
          </w:p>
        </w:tc>
      </w:tr>
      <w:tr w:rsidR="00711296" w:rsidRPr="00B91BCA" w14:paraId="0BD0BC58" w14:textId="77777777" w:rsidTr="004831C9">
        <w:trPr>
          <w:trHeight w:val="300"/>
        </w:trPr>
        <w:tc>
          <w:tcPr>
            <w:tcW w:w="663" w:type="dxa"/>
            <w:vAlign w:val="bottom"/>
          </w:tcPr>
          <w:p w14:paraId="70B1856F" w14:textId="77777777" w:rsidR="00711296" w:rsidRPr="00B91BCA" w:rsidRDefault="00711296" w:rsidP="004831C9">
            <w:pPr>
              <w:bidi w:val="0"/>
              <w:jc w:val="right"/>
              <w:rPr>
                <w:rFonts w:cs="Calibri"/>
                <w:color w:val="000000"/>
                <w:sz w:val="18"/>
                <w:szCs w:val="18"/>
              </w:rPr>
            </w:pPr>
            <w:r>
              <w:rPr>
                <w:rFonts w:cs="Calibri"/>
                <w:color w:val="000000"/>
              </w:rPr>
              <w:t>2001</w:t>
            </w:r>
          </w:p>
        </w:tc>
        <w:tc>
          <w:tcPr>
            <w:tcW w:w="1205" w:type="dxa"/>
            <w:shd w:val="clear" w:color="auto" w:fill="auto"/>
            <w:noWrap/>
            <w:vAlign w:val="bottom"/>
            <w:hideMark/>
          </w:tcPr>
          <w:p w14:paraId="6558E13E"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6%</w:t>
            </w:r>
          </w:p>
        </w:tc>
        <w:tc>
          <w:tcPr>
            <w:tcW w:w="1955" w:type="dxa"/>
            <w:shd w:val="clear" w:color="auto" w:fill="auto"/>
            <w:noWrap/>
            <w:vAlign w:val="bottom"/>
            <w:hideMark/>
          </w:tcPr>
          <w:p w14:paraId="1DC600FC"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11%</w:t>
            </w:r>
          </w:p>
        </w:tc>
        <w:tc>
          <w:tcPr>
            <w:tcW w:w="1275" w:type="dxa"/>
            <w:shd w:val="clear" w:color="auto" w:fill="auto"/>
            <w:noWrap/>
            <w:vAlign w:val="bottom"/>
            <w:hideMark/>
          </w:tcPr>
          <w:p w14:paraId="502087E1" w14:textId="77777777" w:rsidR="00711296" w:rsidRPr="00B91BCA" w:rsidRDefault="00711296" w:rsidP="004831C9">
            <w:pPr>
              <w:bidi w:val="0"/>
              <w:jc w:val="right"/>
              <w:rPr>
                <w:rFonts w:cs="Calibri"/>
                <w:color w:val="000000"/>
                <w:sz w:val="18"/>
                <w:szCs w:val="18"/>
              </w:rPr>
            </w:pPr>
          </w:p>
        </w:tc>
        <w:tc>
          <w:tcPr>
            <w:tcW w:w="2263" w:type="dxa"/>
            <w:shd w:val="clear" w:color="auto" w:fill="auto"/>
            <w:noWrap/>
            <w:vAlign w:val="bottom"/>
            <w:hideMark/>
          </w:tcPr>
          <w:p w14:paraId="0B09B5C2" w14:textId="77777777" w:rsidR="00711296" w:rsidRPr="00B91BCA" w:rsidRDefault="00711296" w:rsidP="004831C9">
            <w:pPr>
              <w:bidi w:val="0"/>
              <w:rPr>
                <w:rFonts w:ascii="Times New Roman" w:hAnsi="Times New Roman" w:cs="Times New Roman"/>
                <w:sz w:val="18"/>
                <w:szCs w:val="18"/>
              </w:rPr>
            </w:pPr>
          </w:p>
        </w:tc>
        <w:tc>
          <w:tcPr>
            <w:tcW w:w="1848" w:type="dxa"/>
            <w:shd w:val="clear" w:color="auto" w:fill="auto"/>
            <w:noWrap/>
            <w:vAlign w:val="bottom"/>
            <w:hideMark/>
          </w:tcPr>
          <w:p w14:paraId="0E8E7FFD"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15.17%</w:t>
            </w:r>
          </w:p>
        </w:tc>
      </w:tr>
      <w:tr w:rsidR="00711296" w:rsidRPr="00B91BCA" w14:paraId="7B38A915" w14:textId="77777777" w:rsidTr="004831C9">
        <w:trPr>
          <w:trHeight w:val="300"/>
        </w:trPr>
        <w:tc>
          <w:tcPr>
            <w:tcW w:w="663" w:type="dxa"/>
            <w:vAlign w:val="bottom"/>
          </w:tcPr>
          <w:p w14:paraId="61D62E9E" w14:textId="77777777" w:rsidR="00711296" w:rsidRPr="00B91BCA" w:rsidRDefault="00711296" w:rsidP="004831C9">
            <w:pPr>
              <w:bidi w:val="0"/>
              <w:jc w:val="right"/>
              <w:rPr>
                <w:rFonts w:cs="Calibri"/>
                <w:color w:val="000000"/>
                <w:sz w:val="18"/>
                <w:szCs w:val="18"/>
              </w:rPr>
            </w:pPr>
            <w:r>
              <w:rPr>
                <w:rFonts w:cs="Calibri"/>
                <w:color w:val="000000"/>
              </w:rPr>
              <w:t>2002</w:t>
            </w:r>
          </w:p>
        </w:tc>
        <w:tc>
          <w:tcPr>
            <w:tcW w:w="1205" w:type="dxa"/>
            <w:shd w:val="clear" w:color="auto" w:fill="auto"/>
            <w:noWrap/>
            <w:vAlign w:val="bottom"/>
            <w:hideMark/>
          </w:tcPr>
          <w:p w14:paraId="70C75B81"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7%</w:t>
            </w:r>
          </w:p>
        </w:tc>
        <w:tc>
          <w:tcPr>
            <w:tcW w:w="1955" w:type="dxa"/>
            <w:shd w:val="clear" w:color="auto" w:fill="auto"/>
            <w:noWrap/>
            <w:vAlign w:val="bottom"/>
            <w:hideMark/>
          </w:tcPr>
          <w:p w14:paraId="2B0E6A96"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17%</w:t>
            </w:r>
          </w:p>
        </w:tc>
        <w:tc>
          <w:tcPr>
            <w:tcW w:w="1275" w:type="dxa"/>
            <w:shd w:val="clear" w:color="auto" w:fill="auto"/>
            <w:noWrap/>
            <w:vAlign w:val="bottom"/>
            <w:hideMark/>
          </w:tcPr>
          <w:p w14:paraId="631BC6BF" w14:textId="77777777" w:rsidR="00711296" w:rsidRPr="00B91BCA" w:rsidRDefault="00711296" w:rsidP="004831C9">
            <w:pPr>
              <w:bidi w:val="0"/>
              <w:jc w:val="right"/>
              <w:rPr>
                <w:rFonts w:cs="Calibri"/>
                <w:color w:val="000000"/>
                <w:sz w:val="18"/>
                <w:szCs w:val="18"/>
              </w:rPr>
            </w:pPr>
          </w:p>
        </w:tc>
        <w:tc>
          <w:tcPr>
            <w:tcW w:w="2263" w:type="dxa"/>
            <w:shd w:val="clear" w:color="auto" w:fill="auto"/>
            <w:noWrap/>
            <w:vAlign w:val="bottom"/>
            <w:hideMark/>
          </w:tcPr>
          <w:p w14:paraId="3BA46773" w14:textId="77777777" w:rsidR="00711296" w:rsidRPr="00B91BCA" w:rsidRDefault="00711296" w:rsidP="004831C9">
            <w:pPr>
              <w:bidi w:val="0"/>
              <w:rPr>
                <w:rFonts w:ascii="Times New Roman" w:hAnsi="Times New Roman" w:cs="Times New Roman"/>
                <w:sz w:val="18"/>
                <w:szCs w:val="18"/>
              </w:rPr>
            </w:pPr>
          </w:p>
        </w:tc>
        <w:tc>
          <w:tcPr>
            <w:tcW w:w="1848" w:type="dxa"/>
            <w:shd w:val="clear" w:color="auto" w:fill="auto"/>
            <w:noWrap/>
            <w:vAlign w:val="bottom"/>
            <w:hideMark/>
          </w:tcPr>
          <w:p w14:paraId="2D218D5B"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13.72%</w:t>
            </w:r>
          </w:p>
        </w:tc>
      </w:tr>
      <w:tr w:rsidR="00711296" w:rsidRPr="00B91BCA" w14:paraId="6A3F74BB" w14:textId="77777777" w:rsidTr="004831C9">
        <w:trPr>
          <w:trHeight w:val="300"/>
        </w:trPr>
        <w:tc>
          <w:tcPr>
            <w:tcW w:w="663" w:type="dxa"/>
            <w:vAlign w:val="bottom"/>
          </w:tcPr>
          <w:p w14:paraId="47BB8057" w14:textId="77777777" w:rsidR="00711296" w:rsidRPr="00B91BCA" w:rsidRDefault="00711296" w:rsidP="004831C9">
            <w:pPr>
              <w:bidi w:val="0"/>
              <w:jc w:val="right"/>
              <w:rPr>
                <w:rFonts w:cs="Calibri"/>
                <w:color w:val="000000"/>
                <w:sz w:val="18"/>
                <w:szCs w:val="18"/>
              </w:rPr>
            </w:pPr>
            <w:r>
              <w:rPr>
                <w:rFonts w:cs="Calibri"/>
                <w:color w:val="000000"/>
              </w:rPr>
              <w:t>2003</w:t>
            </w:r>
          </w:p>
        </w:tc>
        <w:tc>
          <w:tcPr>
            <w:tcW w:w="1205" w:type="dxa"/>
            <w:shd w:val="clear" w:color="auto" w:fill="auto"/>
            <w:noWrap/>
            <w:vAlign w:val="bottom"/>
            <w:hideMark/>
          </w:tcPr>
          <w:p w14:paraId="7F37713A"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7%</w:t>
            </w:r>
          </w:p>
        </w:tc>
        <w:tc>
          <w:tcPr>
            <w:tcW w:w="1955" w:type="dxa"/>
            <w:shd w:val="clear" w:color="auto" w:fill="auto"/>
            <w:noWrap/>
            <w:vAlign w:val="bottom"/>
            <w:hideMark/>
          </w:tcPr>
          <w:p w14:paraId="0CFFC64B"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21%</w:t>
            </w:r>
          </w:p>
        </w:tc>
        <w:tc>
          <w:tcPr>
            <w:tcW w:w="1275" w:type="dxa"/>
            <w:shd w:val="clear" w:color="auto" w:fill="auto"/>
            <w:noWrap/>
            <w:vAlign w:val="bottom"/>
            <w:hideMark/>
          </w:tcPr>
          <w:p w14:paraId="4B66E76A" w14:textId="77777777" w:rsidR="00711296" w:rsidRPr="00B91BCA" w:rsidRDefault="00711296" w:rsidP="004831C9">
            <w:pPr>
              <w:bidi w:val="0"/>
              <w:jc w:val="right"/>
              <w:rPr>
                <w:rFonts w:cs="Calibri"/>
                <w:color w:val="000000"/>
                <w:sz w:val="18"/>
                <w:szCs w:val="18"/>
              </w:rPr>
            </w:pPr>
          </w:p>
        </w:tc>
        <w:tc>
          <w:tcPr>
            <w:tcW w:w="2263" w:type="dxa"/>
            <w:shd w:val="clear" w:color="auto" w:fill="auto"/>
            <w:noWrap/>
            <w:vAlign w:val="bottom"/>
            <w:hideMark/>
          </w:tcPr>
          <w:p w14:paraId="45C8A1E1" w14:textId="77777777" w:rsidR="00711296" w:rsidRPr="00B91BCA" w:rsidRDefault="00711296" w:rsidP="004831C9">
            <w:pPr>
              <w:bidi w:val="0"/>
              <w:rPr>
                <w:rFonts w:ascii="Times New Roman" w:hAnsi="Times New Roman" w:cs="Times New Roman"/>
                <w:sz w:val="18"/>
                <w:szCs w:val="18"/>
              </w:rPr>
            </w:pPr>
          </w:p>
        </w:tc>
        <w:tc>
          <w:tcPr>
            <w:tcW w:w="1848" w:type="dxa"/>
            <w:shd w:val="clear" w:color="auto" w:fill="auto"/>
            <w:noWrap/>
            <w:vAlign w:val="bottom"/>
            <w:hideMark/>
          </w:tcPr>
          <w:p w14:paraId="3CF6FC72"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14.05%</w:t>
            </w:r>
          </w:p>
        </w:tc>
      </w:tr>
      <w:tr w:rsidR="00711296" w:rsidRPr="00B91BCA" w14:paraId="2F5A946E" w14:textId="77777777" w:rsidTr="004831C9">
        <w:trPr>
          <w:trHeight w:val="300"/>
        </w:trPr>
        <w:tc>
          <w:tcPr>
            <w:tcW w:w="663" w:type="dxa"/>
            <w:vAlign w:val="bottom"/>
          </w:tcPr>
          <w:p w14:paraId="1F6E298A" w14:textId="77777777" w:rsidR="00711296" w:rsidRPr="00B91BCA" w:rsidRDefault="00711296" w:rsidP="004831C9">
            <w:pPr>
              <w:bidi w:val="0"/>
              <w:jc w:val="right"/>
              <w:rPr>
                <w:rFonts w:cs="Calibri"/>
                <w:color w:val="000000"/>
                <w:sz w:val="18"/>
                <w:szCs w:val="18"/>
              </w:rPr>
            </w:pPr>
            <w:r>
              <w:rPr>
                <w:rFonts w:cs="Calibri"/>
                <w:color w:val="000000"/>
              </w:rPr>
              <w:t>2004</w:t>
            </w:r>
          </w:p>
        </w:tc>
        <w:tc>
          <w:tcPr>
            <w:tcW w:w="1205" w:type="dxa"/>
            <w:shd w:val="clear" w:color="auto" w:fill="auto"/>
            <w:noWrap/>
            <w:vAlign w:val="bottom"/>
            <w:hideMark/>
          </w:tcPr>
          <w:p w14:paraId="603C536B"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11%</w:t>
            </w:r>
          </w:p>
        </w:tc>
        <w:tc>
          <w:tcPr>
            <w:tcW w:w="1955" w:type="dxa"/>
            <w:shd w:val="clear" w:color="auto" w:fill="auto"/>
            <w:noWrap/>
            <w:vAlign w:val="bottom"/>
            <w:hideMark/>
          </w:tcPr>
          <w:p w14:paraId="05592A3C"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19%</w:t>
            </w:r>
          </w:p>
        </w:tc>
        <w:tc>
          <w:tcPr>
            <w:tcW w:w="1275" w:type="dxa"/>
            <w:shd w:val="clear" w:color="auto" w:fill="auto"/>
            <w:noWrap/>
            <w:vAlign w:val="bottom"/>
            <w:hideMark/>
          </w:tcPr>
          <w:p w14:paraId="48B5E4A9" w14:textId="77777777" w:rsidR="00711296" w:rsidRPr="00B91BCA" w:rsidRDefault="00711296" w:rsidP="004831C9">
            <w:pPr>
              <w:bidi w:val="0"/>
              <w:jc w:val="right"/>
              <w:rPr>
                <w:rFonts w:cs="Calibri"/>
                <w:color w:val="000000"/>
                <w:sz w:val="18"/>
                <w:szCs w:val="18"/>
              </w:rPr>
            </w:pPr>
          </w:p>
        </w:tc>
        <w:tc>
          <w:tcPr>
            <w:tcW w:w="2263" w:type="dxa"/>
            <w:shd w:val="clear" w:color="auto" w:fill="auto"/>
            <w:noWrap/>
            <w:vAlign w:val="bottom"/>
            <w:hideMark/>
          </w:tcPr>
          <w:p w14:paraId="05120F53"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87%</w:t>
            </w:r>
          </w:p>
        </w:tc>
        <w:tc>
          <w:tcPr>
            <w:tcW w:w="1848" w:type="dxa"/>
            <w:shd w:val="clear" w:color="auto" w:fill="auto"/>
            <w:noWrap/>
            <w:vAlign w:val="bottom"/>
            <w:hideMark/>
          </w:tcPr>
          <w:p w14:paraId="20E29428"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14.39%</w:t>
            </w:r>
          </w:p>
        </w:tc>
      </w:tr>
      <w:tr w:rsidR="00711296" w:rsidRPr="00B91BCA" w14:paraId="04A2B85B" w14:textId="77777777" w:rsidTr="004831C9">
        <w:trPr>
          <w:trHeight w:val="300"/>
        </w:trPr>
        <w:tc>
          <w:tcPr>
            <w:tcW w:w="663" w:type="dxa"/>
            <w:vAlign w:val="bottom"/>
          </w:tcPr>
          <w:p w14:paraId="40FD07E4" w14:textId="77777777" w:rsidR="00711296" w:rsidRPr="00B91BCA" w:rsidRDefault="00711296" w:rsidP="004831C9">
            <w:pPr>
              <w:bidi w:val="0"/>
              <w:jc w:val="right"/>
              <w:rPr>
                <w:rFonts w:cs="Calibri"/>
                <w:color w:val="000000"/>
                <w:sz w:val="18"/>
                <w:szCs w:val="18"/>
              </w:rPr>
            </w:pPr>
            <w:r>
              <w:rPr>
                <w:rFonts w:cs="Calibri"/>
                <w:color w:val="000000"/>
              </w:rPr>
              <w:t>2005</w:t>
            </w:r>
          </w:p>
        </w:tc>
        <w:tc>
          <w:tcPr>
            <w:tcW w:w="1205" w:type="dxa"/>
            <w:shd w:val="clear" w:color="auto" w:fill="auto"/>
            <w:noWrap/>
            <w:vAlign w:val="bottom"/>
            <w:hideMark/>
          </w:tcPr>
          <w:p w14:paraId="46249E0E"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13%</w:t>
            </w:r>
          </w:p>
        </w:tc>
        <w:tc>
          <w:tcPr>
            <w:tcW w:w="1955" w:type="dxa"/>
            <w:shd w:val="clear" w:color="auto" w:fill="auto"/>
            <w:noWrap/>
            <w:vAlign w:val="bottom"/>
            <w:hideMark/>
          </w:tcPr>
          <w:p w14:paraId="05D04BF7"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64%</w:t>
            </w:r>
          </w:p>
        </w:tc>
        <w:tc>
          <w:tcPr>
            <w:tcW w:w="1275" w:type="dxa"/>
            <w:shd w:val="clear" w:color="auto" w:fill="auto"/>
            <w:noWrap/>
            <w:vAlign w:val="bottom"/>
            <w:hideMark/>
          </w:tcPr>
          <w:p w14:paraId="22FF0425" w14:textId="77777777" w:rsidR="00711296" w:rsidRPr="00B91BCA" w:rsidRDefault="00711296" w:rsidP="004831C9">
            <w:pPr>
              <w:bidi w:val="0"/>
              <w:jc w:val="right"/>
              <w:rPr>
                <w:rFonts w:cs="Calibri"/>
                <w:color w:val="000000"/>
                <w:sz w:val="18"/>
                <w:szCs w:val="18"/>
              </w:rPr>
            </w:pPr>
          </w:p>
        </w:tc>
        <w:tc>
          <w:tcPr>
            <w:tcW w:w="2263" w:type="dxa"/>
            <w:shd w:val="clear" w:color="auto" w:fill="auto"/>
            <w:noWrap/>
            <w:vAlign w:val="bottom"/>
            <w:hideMark/>
          </w:tcPr>
          <w:p w14:paraId="2C4EC8DF"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85%</w:t>
            </w:r>
          </w:p>
        </w:tc>
        <w:tc>
          <w:tcPr>
            <w:tcW w:w="1848" w:type="dxa"/>
            <w:shd w:val="clear" w:color="auto" w:fill="auto"/>
            <w:noWrap/>
            <w:vAlign w:val="bottom"/>
            <w:hideMark/>
          </w:tcPr>
          <w:p w14:paraId="657CED26"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13.38%</w:t>
            </w:r>
          </w:p>
        </w:tc>
      </w:tr>
      <w:tr w:rsidR="00711296" w:rsidRPr="00B91BCA" w14:paraId="48B140B8" w14:textId="77777777" w:rsidTr="004831C9">
        <w:trPr>
          <w:trHeight w:val="300"/>
        </w:trPr>
        <w:tc>
          <w:tcPr>
            <w:tcW w:w="663" w:type="dxa"/>
            <w:vAlign w:val="bottom"/>
          </w:tcPr>
          <w:p w14:paraId="71871D99" w14:textId="77777777" w:rsidR="00711296" w:rsidRPr="00B91BCA" w:rsidRDefault="00711296" w:rsidP="004831C9">
            <w:pPr>
              <w:bidi w:val="0"/>
              <w:jc w:val="right"/>
              <w:rPr>
                <w:rFonts w:cs="Calibri"/>
                <w:color w:val="000000"/>
                <w:sz w:val="18"/>
                <w:szCs w:val="18"/>
              </w:rPr>
            </w:pPr>
            <w:r>
              <w:rPr>
                <w:rFonts w:cs="Calibri"/>
                <w:color w:val="000000"/>
              </w:rPr>
              <w:t>2006</w:t>
            </w:r>
          </w:p>
        </w:tc>
        <w:tc>
          <w:tcPr>
            <w:tcW w:w="1205" w:type="dxa"/>
            <w:shd w:val="clear" w:color="auto" w:fill="auto"/>
            <w:noWrap/>
            <w:vAlign w:val="bottom"/>
            <w:hideMark/>
          </w:tcPr>
          <w:p w14:paraId="67876CAB"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18%</w:t>
            </w:r>
          </w:p>
        </w:tc>
        <w:tc>
          <w:tcPr>
            <w:tcW w:w="1955" w:type="dxa"/>
            <w:shd w:val="clear" w:color="auto" w:fill="auto"/>
            <w:noWrap/>
            <w:vAlign w:val="bottom"/>
            <w:hideMark/>
          </w:tcPr>
          <w:p w14:paraId="5160C026"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66%</w:t>
            </w:r>
          </w:p>
        </w:tc>
        <w:tc>
          <w:tcPr>
            <w:tcW w:w="1275" w:type="dxa"/>
            <w:shd w:val="clear" w:color="auto" w:fill="auto"/>
            <w:noWrap/>
            <w:vAlign w:val="bottom"/>
            <w:hideMark/>
          </w:tcPr>
          <w:p w14:paraId="07B85E74" w14:textId="77777777" w:rsidR="00711296" w:rsidRPr="00B91BCA" w:rsidRDefault="00711296" w:rsidP="004831C9">
            <w:pPr>
              <w:bidi w:val="0"/>
              <w:jc w:val="right"/>
              <w:rPr>
                <w:rFonts w:cs="Calibri"/>
                <w:color w:val="000000"/>
                <w:sz w:val="18"/>
                <w:szCs w:val="18"/>
              </w:rPr>
            </w:pPr>
          </w:p>
        </w:tc>
        <w:tc>
          <w:tcPr>
            <w:tcW w:w="2263" w:type="dxa"/>
            <w:shd w:val="clear" w:color="auto" w:fill="auto"/>
            <w:noWrap/>
            <w:vAlign w:val="bottom"/>
            <w:hideMark/>
          </w:tcPr>
          <w:p w14:paraId="470C4A27"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90%</w:t>
            </w:r>
          </w:p>
        </w:tc>
        <w:tc>
          <w:tcPr>
            <w:tcW w:w="1848" w:type="dxa"/>
            <w:shd w:val="clear" w:color="auto" w:fill="auto"/>
            <w:noWrap/>
            <w:vAlign w:val="bottom"/>
            <w:hideMark/>
          </w:tcPr>
          <w:p w14:paraId="3D8594FB"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13.76%</w:t>
            </w:r>
          </w:p>
        </w:tc>
      </w:tr>
      <w:tr w:rsidR="00711296" w:rsidRPr="00B91BCA" w14:paraId="43583521" w14:textId="77777777" w:rsidTr="004831C9">
        <w:trPr>
          <w:trHeight w:val="300"/>
        </w:trPr>
        <w:tc>
          <w:tcPr>
            <w:tcW w:w="663" w:type="dxa"/>
            <w:vAlign w:val="bottom"/>
          </w:tcPr>
          <w:p w14:paraId="530C9D06" w14:textId="77777777" w:rsidR="00711296" w:rsidRPr="00B91BCA" w:rsidRDefault="00711296" w:rsidP="004831C9">
            <w:pPr>
              <w:bidi w:val="0"/>
              <w:jc w:val="right"/>
              <w:rPr>
                <w:rFonts w:cs="Calibri"/>
                <w:color w:val="000000"/>
                <w:sz w:val="18"/>
                <w:szCs w:val="18"/>
              </w:rPr>
            </w:pPr>
            <w:r>
              <w:rPr>
                <w:rFonts w:cs="Calibri"/>
                <w:color w:val="000000"/>
              </w:rPr>
              <w:t>2007</w:t>
            </w:r>
          </w:p>
        </w:tc>
        <w:tc>
          <w:tcPr>
            <w:tcW w:w="1205" w:type="dxa"/>
            <w:shd w:val="clear" w:color="auto" w:fill="auto"/>
            <w:noWrap/>
            <w:vAlign w:val="bottom"/>
            <w:hideMark/>
          </w:tcPr>
          <w:p w14:paraId="25F0C247"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21%</w:t>
            </w:r>
          </w:p>
        </w:tc>
        <w:tc>
          <w:tcPr>
            <w:tcW w:w="1955" w:type="dxa"/>
            <w:shd w:val="clear" w:color="auto" w:fill="auto"/>
            <w:noWrap/>
            <w:vAlign w:val="bottom"/>
            <w:hideMark/>
          </w:tcPr>
          <w:p w14:paraId="2059E221"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44%</w:t>
            </w:r>
          </w:p>
        </w:tc>
        <w:tc>
          <w:tcPr>
            <w:tcW w:w="1275" w:type="dxa"/>
            <w:shd w:val="clear" w:color="auto" w:fill="auto"/>
            <w:noWrap/>
            <w:vAlign w:val="bottom"/>
            <w:hideMark/>
          </w:tcPr>
          <w:p w14:paraId="3344D8A4" w14:textId="77777777" w:rsidR="00711296" w:rsidRPr="00B91BCA" w:rsidRDefault="00711296" w:rsidP="004831C9">
            <w:pPr>
              <w:bidi w:val="0"/>
              <w:jc w:val="right"/>
              <w:rPr>
                <w:rFonts w:cs="Calibri"/>
                <w:color w:val="000000"/>
                <w:sz w:val="18"/>
                <w:szCs w:val="18"/>
              </w:rPr>
            </w:pPr>
          </w:p>
        </w:tc>
        <w:tc>
          <w:tcPr>
            <w:tcW w:w="2263" w:type="dxa"/>
            <w:shd w:val="clear" w:color="auto" w:fill="auto"/>
            <w:noWrap/>
            <w:vAlign w:val="bottom"/>
            <w:hideMark/>
          </w:tcPr>
          <w:p w14:paraId="7337DE72"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85%</w:t>
            </w:r>
          </w:p>
        </w:tc>
        <w:tc>
          <w:tcPr>
            <w:tcW w:w="1848" w:type="dxa"/>
            <w:shd w:val="clear" w:color="auto" w:fill="auto"/>
            <w:noWrap/>
            <w:vAlign w:val="bottom"/>
            <w:hideMark/>
          </w:tcPr>
          <w:p w14:paraId="415DB792"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14.74%</w:t>
            </w:r>
          </w:p>
        </w:tc>
      </w:tr>
      <w:tr w:rsidR="00711296" w:rsidRPr="00B91BCA" w14:paraId="23B046A2" w14:textId="77777777" w:rsidTr="004831C9">
        <w:trPr>
          <w:trHeight w:val="300"/>
        </w:trPr>
        <w:tc>
          <w:tcPr>
            <w:tcW w:w="663" w:type="dxa"/>
            <w:vAlign w:val="bottom"/>
          </w:tcPr>
          <w:p w14:paraId="29FB0BB4" w14:textId="77777777" w:rsidR="00711296" w:rsidRPr="00B91BCA" w:rsidRDefault="00711296" w:rsidP="004831C9">
            <w:pPr>
              <w:bidi w:val="0"/>
              <w:jc w:val="right"/>
              <w:rPr>
                <w:rFonts w:cs="Calibri"/>
                <w:color w:val="000000"/>
                <w:sz w:val="18"/>
                <w:szCs w:val="18"/>
              </w:rPr>
            </w:pPr>
            <w:r>
              <w:rPr>
                <w:rFonts w:cs="Calibri"/>
                <w:color w:val="000000"/>
              </w:rPr>
              <w:t>2008</w:t>
            </w:r>
          </w:p>
        </w:tc>
        <w:tc>
          <w:tcPr>
            <w:tcW w:w="1205" w:type="dxa"/>
            <w:shd w:val="clear" w:color="auto" w:fill="auto"/>
            <w:noWrap/>
            <w:vAlign w:val="bottom"/>
            <w:hideMark/>
          </w:tcPr>
          <w:p w14:paraId="1EFCD4A1"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27%</w:t>
            </w:r>
          </w:p>
        </w:tc>
        <w:tc>
          <w:tcPr>
            <w:tcW w:w="1955" w:type="dxa"/>
            <w:shd w:val="clear" w:color="auto" w:fill="auto"/>
            <w:noWrap/>
            <w:vAlign w:val="bottom"/>
            <w:hideMark/>
          </w:tcPr>
          <w:p w14:paraId="6475EEF7"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41%</w:t>
            </w:r>
          </w:p>
        </w:tc>
        <w:tc>
          <w:tcPr>
            <w:tcW w:w="1275" w:type="dxa"/>
            <w:shd w:val="clear" w:color="auto" w:fill="auto"/>
            <w:noWrap/>
            <w:vAlign w:val="bottom"/>
            <w:hideMark/>
          </w:tcPr>
          <w:p w14:paraId="1B5D68B4" w14:textId="77777777" w:rsidR="00711296" w:rsidRPr="00B91BCA" w:rsidRDefault="00711296" w:rsidP="004831C9">
            <w:pPr>
              <w:bidi w:val="0"/>
              <w:jc w:val="right"/>
              <w:rPr>
                <w:rFonts w:cs="Calibri"/>
                <w:color w:val="000000"/>
                <w:sz w:val="18"/>
                <w:szCs w:val="18"/>
              </w:rPr>
            </w:pPr>
          </w:p>
        </w:tc>
        <w:tc>
          <w:tcPr>
            <w:tcW w:w="2263" w:type="dxa"/>
            <w:shd w:val="clear" w:color="auto" w:fill="auto"/>
            <w:noWrap/>
            <w:vAlign w:val="bottom"/>
            <w:hideMark/>
          </w:tcPr>
          <w:p w14:paraId="6986753D"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86%</w:t>
            </w:r>
          </w:p>
        </w:tc>
        <w:tc>
          <w:tcPr>
            <w:tcW w:w="1848" w:type="dxa"/>
            <w:shd w:val="clear" w:color="auto" w:fill="auto"/>
            <w:noWrap/>
            <w:vAlign w:val="bottom"/>
            <w:hideMark/>
          </w:tcPr>
          <w:p w14:paraId="664C99AC"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17.11%</w:t>
            </w:r>
          </w:p>
        </w:tc>
      </w:tr>
      <w:tr w:rsidR="00711296" w:rsidRPr="00B91BCA" w14:paraId="577E3373" w14:textId="77777777" w:rsidTr="004831C9">
        <w:trPr>
          <w:trHeight w:val="300"/>
        </w:trPr>
        <w:tc>
          <w:tcPr>
            <w:tcW w:w="663" w:type="dxa"/>
            <w:vAlign w:val="bottom"/>
          </w:tcPr>
          <w:p w14:paraId="3C9284F3" w14:textId="77777777" w:rsidR="00711296" w:rsidRPr="00B91BCA" w:rsidRDefault="00711296" w:rsidP="004831C9">
            <w:pPr>
              <w:bidi w:val="0"/>
              <w:jc w:val="right"/>
              <w:rPr>
                <w:rFonts w:cs="Calibri"/>
                <w:color w:val="000000"/>
                <w:sz w:val="18"/>
                <w:szCs w:val="18"/>
              </w:rPr>
            </w:pPr>
            <w:r>
              <w:rPr>
                <w:rFonts w:cs="Calibri"/>
                <w:color w:val="000000"/>
              </w:rPr>
              <w:t>2009</w:t>
            </w:r>
          </w:p>
        </w:tc>
        <w:tc>
          <w:tcPr>
            <w:tcW w:w="1205" w:type="dxa"/>
            <w:shd w:val="clear" w:color="auto" w:fill="auto"/>
            <w:noWrap/>
            <w:vAlign w:val="bottom"/>
            <w:hideMark/>
          </w:tcPr>
          <w:p w14:paraId="5C033EC9"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36%</w:t>
            </w:r>
          </w:p>
        </w:tc>
        <w:tc>
          <w:tcPr>
            <w:tcW w:w="1955" w:type="dxa"/>
            <w:shd w:val="clear" w:color="auto" w:fill="auto"/>
            <w:noWrap/>
            <w:vAlign w:val="bottom"/>
            <w:hideMark/>
          </w:tcPr>
          <w:p w14:paraId="038C7D10"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51%</w:t>
            </w:r>
          </w:p>
        </w:tc>
        <w:tc>
          <w:tcPr>
            <w:tcW w:w="1275" w:type="dxa"/>
            <w:shd w:val="clear" w:color="auto" w:fill="auto"/>
            <w:noWrap/>
            <w:vAlign w:val="bottom"/>
            <w:hideMark/>
          </w:tcPr>
          <w:p w14:paraId="3FA692B3" w14:textId="77777777" w:rsidR="00711296" w:rsidRPr="00B91BCA" w:rsidRDefault="00711296" w:rsidP="004831C9">
            <w:pPr>
              <w:bidi w:val="0"/>
              <w:jc w:val="right"/>
              <w:rPr>
                <w:rFonts w:cs="Calibri"/>
                <w:color w:val="000000"/>
                <w:sz w:val="18"/>
                <w:szCs w:val="18"/>
              </w:rPr>
            </w:pPr>
          </w:p>
        </w:tc>
        <w:tc>
          <w:tcPr>
            <w:tcW w:w="2263" w:type="dxa"/>
            <w:shd w:val="clear" w:color="auto" w:fill="auto"/>
            <w:noWrap/>
            <w:vAlign w:val="bottom"/>
            <w:hideMark/>
          </w:tcPr>
          <w:p w14:paraId="7456A63B"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84%</w:t>
            </w:r>
          </w:p>
        </w:tc>
        <w:tc>
          <w:tcPr>
            <w:tcW w:w="1848" w:type="dxa"/>
            <w:shd w:val="clear" w:color="auto" w:fill="auto"/>
            <w:noWrap/>
            <w:vAlign w:val="bottom"/>
            <w:hideMark/>
          </w:tcPr>
          <w:p w14:paraId="3B341108"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16.93%</w:t>
            </w:r>
          </w:p>
        </w:tc>
      </w:tr>
      <w:tr w:rsidR="00711296" w:rsidRPr="00B91BCA" w14:paraId="50781D88" w14:textId="77777777" w:rsidTr="004831C9">
        <w:trPr>
          <w:trHeight w:val="315"/>
        </w:trPr>
        <w:tc>
          <w:tcPr>
            <w:tcW w:w="663" w:type="dxa"/>
            <w:vAlign w:val="bottom"/>
          </w:tcPr>
          <w:p w14:paraId="1F88B0ED" w14:textId="77777777" w:rsidR="00711296" w:rsidRPr="00B91BCA" w:rsidRDefault="00711296" w:rsidP="004831C9">
            <w:pPr>
              <w:bidi w:val="0"/>
              <w:jc w:val="right"/>
              <w:rPr>
                <w:rFonts w:cs="Calibri"/>
                <w:color w:val="000000"/>
                <w:sz w:val="18"/>
                <w:szCs w:val="18"/>
              </w:rPr>
            </w:pPr>
            <w:r>
              <w:rPr>
                <w:rFonts w:cs="Calibri"/>
                <w:color w:val="000000"/>
              </w:rPr>
              <w:t>2010</w:t>
            </w:r>
          </w:p>
        </w:tc>
        <w:tc>
          <w:tcPr>
            <w:tcW w:w="1205" w:type="dxa"/>
            <w:shd w:val="clear" w:color="auto" w:fill="auto"/>
            <w:noWrap/>
            <w:vAlign w:val="bottom"/>
            <w:hideMark/>
          </w:tcPr>
          <w:p w14:paraId="59F82806"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52%</w:t>
            </w:r>
          </w:p>
        </w:tc>
        <w:tc>
          <w:tcPr>
            <w:tcW w:w="1955" w:type="dxa"/>
            <w:shd w:val="clear" w:color="auto" w:fill="auto"/>
            <w:noWrap/>
            <w:vAlign w:val="bottom"/>
            <w:hideMark/>
          </w:tcPr>
          <w:p w14:paraId="2024434D"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55%</w:t>
            </w:r>
          </w:p>
        </w:tc>
        <w:tc>
          <w:tcPr>
            <w:tcW w:w="1275" w:type="dxa"/>
            <w:shd w:val="clear" w:color="auto" w:fill="DEEAF6" w:themeFill="accent5" w:themeFillTint="33"/>
            <w:noWrap/>
            <w:vAlign w:val="bottom"/>
            <w:hideMark/>
          </w:tcPr>
          <w:p w14:paraId="2A36A1A3"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14.98%</w:t>
            </w:r>
          </w:p>
        </w:tc>
        <w:tc>
          <w:tcPr>
            <w:tcW w:w="2263" w:type="dxa"/>
            <w:shd w:val="clear" w:color="auto" w:fill="auto"/>
            <w:noWrap/>
            <w:vAlign w:val="bottom"/>
            <w:hideMark/>
          </w:tcPr>
          <w:p w14:paraId="0CE3BAB1"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86%</w:t>
            </w:r>
          </w:p>
        </w:tc>
        <w:tc>
          <w:tcPr>
            <w:tcW w:w="1848" w:type="dxa"/>
            <w:shd w:val="clear" w:color="auto" w:fill="auto"/>
            <w:noWrap/>
            <w:vAlign w:val="bottom"/>
            <w:hideMark/>
          </w:tcPr>
          <w:p w14:paraId="177DCEED"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18.21%</w:t>
            </w:r>
          </w:p>
        </w:tc>
      </w:tr>
      <w:tr w:rsidR="00711296" w:rsidRPr="00B91BCA" w14:paraId="48848816" w14:textId="77777777" w:rsidTr="004831C9">
        <w:trPr>
          <w:trHeight w:val="300"/>
        </w:trPr>
        <w:tc>
          <w:tcPr>
            <w:tcW w:w="663" w:type="dxa"/>
            <w:vAlign w:val="bottom"/>
          </w:tcPr>
          <w:p w14:paraId="2B11D688" w14:textId="77777777" w:rsidR="00711296" w:rsidRPr="00B91BCA" w:rsidRDefault="00711296" w:rsidP="004831C9">
            <w:pPr>
              <w:bidi w:val="0"/>
              <w:jc w:val="right"/>
              <w:rPr>
                <w:rFonts w:cs="Calibri"/>
                <w:color w:val="000000"/>
                <w:sz w:val="18"/>
                <w:szCs w:val="18"/>
              </w:rPr>
            </w:pPr>
            <w:r>
              <w:rPr>
                <w:rFonts w:cs="Calibri"/>
                <w:color w:val="000000"/>
              </w:rPr>
              <w:t>2011</w:t>
            </w:r>
          </w:p>
        </w:tc>
        <w:tc>
          <w:tcPr>
            <w:tcW w:w="1205" w:type="dxa"/>
            <w:shd w:val="clear" w:color="auto" w:fill="auto"/>
            <w:noWrap/>
            <w:vAlign w:val="bottom"/>
            <w:hideMark/>
          </w:tcPr>
          <w:p w14:paraId="665FD700"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57%</w:t>
            </w:r>
          </w:p>
        </w:tc>
        <w:tc>
          <w:tcPr>
            <w:tcW w:w="1955" w:type="dxa"/>
            <w:shd w:val="clear" w:color="auto" w:fill="auto"/>
            <w:noWrap/>
            <w:vAlign w:val="bottom"/>
            <w:hideMark/>
          </w:tcPr>
          <w:p w14:paraId="05C812AA"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60%</w:t>
            </w:r>
          </w:p>
        </w:tc>
        <w:tc>
          <w:tcPr>
            <w:tcW w:w="1275" w:type="dxa"/>
            <w:shd w:val="clear" w:color="auto" w:fill="auto"/>
            <w:noWrap/>
            <w:vAlign w:val="bottom"/>
            <w:hideMark/>
          </w:tcPr>
          <w:p w14:paraId="6780BA4E"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15%</w:t>
            </w:r>
          </w:p>
        </w:tc>
        <w:tc>
          <w:tcPr>
            <w:tcW w:w="2263" w:type="dxa"/>
            <w:shd w:val="clear" w:color="auto" w:fill="auto"/>
            <w:noWrap/>
            <w:vAlign w:val="bottom"/>
            <w:hideMark/>
          </w:tcPr>
          <w:p w14:paraId="5078252A"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85%</w:t>
            </w:r>
          </w:p>
        </w:tc>
        <w:tc>
          <w:tcPr>
            <w:tcW w:w="1848" w:type="dxa"/>
            <w:shd w:val="clear" w:color="auto" w:fill="auto"/>
            <w:noWrap/>
            <w:vAlign w:val="bottom"/>
            <w:hideMark/>
          </w:tcPr>
          <w:p w14:paraId="2C36AC80"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17.60%</w:t>
            </w:r>
          </w:p>
        </w:tc>
      </w:tr>
      <w:tr w:rsidR="00711296" w:rsidRPr="00B91BCA" w14:paraId="7535A7C5" w14:textId="77777777" w:rsidTr="004831C9">
        <w:trPr>
          <w:trHeight w:val="300"/>
        </w:trPr>
        <w:tc>
          <w:tcPr>
            <w:tcW w:w="663" w:type="dxa"/>
            <w:vAlign w:val="bottom"/>
          </w:tcPr>
          <w:p w14:paraId="1F6588D0" w14:textId="77777777" w:rsidR="00711296" w:rsidRPr="00B91BCA" w:rsidRDefault="00711296" w:rsidP="004831C9">
            <w:pPr>
              <w:bidi w:val="0"/>
              <w:jc w:val="right"/>
              <w:rPr>
                <w:rFonts w:cs="Calibri"/>
                <w:color w:val="000000"/>
                <w:sz w:val="18"/>
                <w:szCs w:val="18"/>
              </w:rPr>
            </w:pPr>
            <w:r>
              <w:rPr>
                <w:rFonts w:cs="Calibri"/>
                <w:color w:val="000000"/>
              </w:rPr>
              <w:t>2012</w:t>
            </w:r>
          </w:p>
        </w:tc>
        <w:tc>
          <w:tcPr>
            <w:tcW w:w="1205" w:type="dxa"/>
            <w:shd w:val="clear" w:color="auto" w:fill="auto"/>
            <w:noWrap/>
            <w:vAlign w:val="bottom"/>
            <w:hideMark/>
          </w:tcPr>
          <w:p w14:paraId="153E5EB8"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61%</w:t>
            </w:r>
          </w:p>
        </w:tc>
        <w:tc>
          <w:tcPr>
            <w:tcW w:w="1955" w:type="dxa"/>
            <w:shd w:val="clear" w:color="auto" w:fill="auto"/>
            <w:noWrap/>
            <w:vAlign w:val="bottom"/>
            <w:hideMark/>
          </w:tcPr>
          <w:p w14:paraId="14C47371"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61%</w:t>
            </w:r>
          </w:p>
        </w:tc>
        <w:tc>
          <w:tcPr>
            <w:tcW w:w="1275" w:type="dxa"/>
            <w:shd w:val="clear" w:color="auto" w:fill="auto"/>
            <w:noWrap/>
            <w:vAlign w:val="bottom"/>
            <w:hideMark/>
          </w:tcPr>
          <w:p w14:paraId="4F8D6B2D"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17%</w:t>
            </w:r>
          </w:p>
        </w:tc>
        <w:tc>
          <w:tcPr>
            <w:tcW w:w="2263" w:type="dxa"/>
            <w:shd w:val="clear" w:color="auto" w:fill="auto"/>
            <w:noWrap/>
            <w:vAlign w:val="bottom"/>
            <w:hideMark/>
          </w:tcPr>
          <w:p w14:paraId="7F556EDE"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88%</w:t>
            </w:r>
          </w:p>
        </w:tc>
        <w:tc>
          <w:tcPr>
            <w:tcW w:w="1848" w:type="dxa"/>
            <w:shd w:val="clear" w:color="auto" w:fill="auto"/>
            <w:noWrap/>
            <w:vAlign w:val="bottom"/>
            <w:hideMark/>
          </w:tcPr>
          <w:p w14:paraId="0B8B2C78"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16.21%</w:t>
            </w:r>
          </w:p>
        </w:tc>
      </w:tr>
      <w:tr w:rsidR="00711296" w:rsidRPr="00B91BCA" w14:paraId="1C3C9115" w14:textId="77777777" w:rsidTr="004831C9">
        <w:trPr>
          <w:trHeight w:val="300"/>
        </w:trPr>
        <w:tc>
          <w:tcPr>
            <w:tcW w:w="663" w:type="dxa"/>
            <w:vAlign w:val="bottom"/>
          </w:tcPr>
          <w:p w14:paraId="267228E7" w14:textId="77777777" w:rsidR="00711296" w:rsidRPr="00B91BCA" w:rsidRDefault="00711296" w:rsidP="004831C9">
            <w:pPr>
              <w:bidi w:val="0"/>
              <w:jc w:val="right"/>
              <w:rPr>
                <w:rFonts w:cs="Calibri"/>
                <w:color w:val="000000"/>
                <w:sz w:val="18"/>
                <w:szCs w:val="18"/>
              </w:rPr>
            </w:pPr>
            <w:r>
              <w:rPr>
                <w:rFonts w:cs="Calibri"/>
                <w:color w:val="000000"/>
              </w:rPr>
              <w:t>2013</w:t>
            </w:r>
          </w:p>
        </w:tc>
        <w:tc>
          <w:tcPr>
            <w:tcW w:w="1205" w:type="dxa"/>
            <w:shd w:val="clear" w:color="auto" w:fill="auto"/>
            <w:noWrap/>
            <w:vAlign w:val="bottom"/>
            <w:hideMark/>
          </w:tcPr>
          <w:p w14:paraId="0497F4F9"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60%</w:t>
            </w:r>
          </w:p>
        </w:tc>
        <w:tc>
          <w:tcPr>
            <w:tcW w:w="1955" w:type="dxa"/>
            <w:shd w:val="clear" w:color="auto" w:fill="auto"/>
            <w:noWrap/>
            <w:vAlign w:val="bottom"/>
            <w:hideMark/>
          </w:tcPr>
          <w:p w14:paraId="549D99C5"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66%</w:t>
            </w:r>
          </w:p>
        </w:tc>
        <w:tc>
          <w:tcPr>
            <w:tcW w:w="1275" w:type="dxa"/>
            <w:shd w:val="clear" w:color="auto" w:fill="auto"/>
            <w:noWrap/>
            <w:vAlign w:val="bottom"/>
            <w:hideMark/>
          </w:tcPr>
          <w:p w14:paraId="3D2105F0"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19%</w:t>
            </w:r>
          </w:p>
        </w:tc>
        <w:tc>
          <w:tcPr>
            <w:tcW w:w="2263" w:type="dxa"/>
            <w:shd w:val="clear" w:color="auto" w:fill="auto"/>
            <w:noWrap/>
            <w:vAlign w:val="bottom"/>
            <w:hideMark/>
          </w:tcPr>
          <w:p w14:paraId="36EDAD31"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85%</w:t>
            </w:r>
          </w:p>
        </w:tc>
        <w:tc>
          <w:tcPr>
            <w:tcW w:w="1848" w:type="dxa"/>
            <w:shd w:val="clear" w:color="auto" w:fill="auto"/>
            <w:noWrap/>
            <w:vAlign w:val="bottom"/>
            <w:hideMark/>
          </w:tcPr>
          <w:p w14:paraId="571A04F2"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17.31%</w:t>
            </w:r>
          </w:p>
        </w:tc>
      </w:tr>
      <w:tr w:rsidR="00711296" w:rsidRPr="00B91BCA" w14:paraId="01D5A86F" w14:textId="77777777" w:rsidTr="004831C9">
        <w:trPr>
          <w:trHeight w:val="300"/>
        </w:trPr>
        <w:tc>
          <w:tcPr>
            <w:tcW w:w="663" w:type="dxa"/>
            <w:vAlign w:val="bottom"/>
          </w:tcPr>
          <w:p w14:paraId="5A968BF3" w14:textId="77777777" w:rsidR="00711296" w:rsidRPr="00B91BCA" w:rsidRDefault="00711296" w:rsidP="004831C9">
            <w:pPr>
              <w:bidi w:val="0"/>
              <w:jc w:val="right"/>
              <w:rPr>
                <w:rFonts w:cs="Calibri"/>
                <w:color w:val="000000"/>
                <w:sz w:val="18"/>
                <w:szCs w:val="18"/>
              </w:rPr>
            </w:pPr>
            <w:r>
              <w:rPr>
                <w:rFonts w:cs="Calibri"/>
                <w:color w:val="000000"/>
              </w:rPr>
              <w:t>2014</w:t>
            </w:r>
          </w:p>
        </w:tc>
        <w:tc>
          <w:tcPr>
            <w:tcW w:w="1205" w:type="dxa"/>
            <w:shd w:val="clear" w:color="auto" w:fill="auto"/>
            <w:noWrap/>
            <w:vAlign w:val="bottom"/>
            <w:hideMark/>
          </w:tcPr>
          <w:p w14:paraId="5C83C164"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60%</w:t>
            </w:r>
          </w:p>
        </w:tc>
        <w:tc>
          <w:tcPr>
            <w:tcW w:w="1955" w:type="dxa"/>
            <w:shd w:val="clear" w:color="auto" w:fill="auto"/>
            <w:noWrap/>
            <w:vAlign w:val="bottom"/>
            <w:hideMark/>
          </w:tcPr>
          <w:p w14:paraId="459F0A8B"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72%</w:t>
            </w:r>
          </w:p>
        </w:tc>
        <w:tc>
          <w:tcPr>
            <w:tcW w:w="1275" w:type="dxa"/>
            <w:shd w:val="clear" w:color="auto" w:fill="auto"/>
            <w:noWrap/>
            <w:vAlign w:val="bottom"/>
            <w:hideMark/>
          </w:tcPr>
          <w:p w14:paraId="016461F3"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20%</w:t>
            </w:r>
          </w:p>
        </w:tc>
        <w:tc>
          <w:tcPr>
            <w:tcW w:w="2263" w:type="dxa"/>
            <w:shd w:val="clear" w:color="auto" w:fill="auto"/>
            <w:noWrap/>
            <w:vAlign w:val="bottom"/>
            <w:hideMark/>
          </w:tcPr>
          <w:p w14:paraId="030E4687"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89%</w:t>
            </w:r>
          </w:p>
        </w:tc>
        <w:tc>
          <w:tcPr>
            <w:tcW w:w="1848" w:type="dxa"/>
            <w:shd w:val="clear" w:color="auto" w:fill="auto"/>
            <w:noWrap/>
            <w:vAlign w:val="bottom"/>
            <w:hideMark/>
          </w:tcPr>
          <w:p w14:paraId="55B452B4"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18.53%</w:t>
            </w:r>
          </w:p>
        </w:tc>
      </w:tr>
      <w:tr w:rsidR="00711296" w:rsidRPr="00B91BCA" w14:paraId="2F4DD28F" w14:textId="77777777" w:rsidTr="004831C9">
        <w:trPr>
          <w:trHeight w:val="300"/>
        </w:trPr>
        <w:tc>
          <w:tcPr>
            <w:tcW w:w="663" w:type="dxa"/>
            <w:vAlign w:val="bottom"/>
          </w:tcPr>
          <w:p w14:paraId="7CAB57CD" w14:textId="77777777" w:rsidR="00711296" w:rsidRPr="00B91BCA" w:rsidRDefault="00711296" w:rsidP="004831C9">
            <w:pPr>
              <w:bidi w:val="0"/>
              <w:jc w:val="right"/>
              <w:rPr>
                <w:rFonts w:cs="Calibri"/>
                <w:color w:val="000000"/>
                <w:sz w:val="18"/>
                <w:szCs w:val="18"/>
              </w:rPr>
            </w:pPr>
            <w:r>
              <w:rPr>
                <w:rFonts w:cs="Calibri"/>
                <w:color w:val="000000"/>
              </w:rPr>
              <w:t>2015</w:t>
            </w:r>
          </w:p>
        </w:tc>
        <w:tc>
          <w:tcPr>
            <w:tcW w:w="1205" w:type="dxa"/>
            <w:shd w:val="clear" w:color="auto" w:fill="auto"/>
            <w:noWrap/>
            <w:vAlign w:val="bottom"/>
            <w:hideMark/>
          </w:tcPr>
          <w:p w14:paraId="54545D7E"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59%</w:t>
            </w:r>
          </w:p>
        </w:tc>
        <w:tc>
          <w:tcPr>
            <w:tcW w:w="1955" w:type="dxa"/>
            <w:shd w:val="clear" w:color="auto" w:fill="auto"/>
            <w:noWrap/>
            <w:vAlign w:val="bottom"/>
            <w:hideMark/>
          </w:tcPr>
          <w:p w14:paraId="43938BA8"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74%</w:t>
            </w:r>
          </w:p>
        </w:tc>
        <w:tc>
          <w:tcPr>
            <w:tcW w:w="1275" w:type="dxa"/>
            <w:shd w:val="clear" w:color="auto" w:fill="auto"/>
            <w:noWrap/>
            <w:vAlign w:val="bottom"/>
            <w:hideMark/>
          </w:tcPr>
          <w:p w14:paraId="0E61808E"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22%</w:t>
            </w:r>
          </w:p>
        </w:tc>
        <w:tc>
          <w:tcPr>
            <w:tcW w:w="2263" w:type="dxa"/>
            <w:shd w:val="clear" w:color="auto" w:fill="auto"/>
            <w:noWrap/>
            <w:vAlign w:val="bottom"/>
            <w:hideMark/>
          </w:tcPr>
          <w:p w14:paraId="4D8D76DD"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87%</w:t>
            </w:r>
          </w:p>
        </w:tc>
        <w:tc>
          <w:tcPr>
            <w:tcW w:w="1848" w:type="dxa"/>
            <w:shd w:val="clear" w:color="auto" w:fill="auto"/>
            <w:noWrap/>
            <w:vAlign w:val="bottom"/>
            <w:hideMark/>
          </w:tcPr>
          <w:p w14:paraId="4715EDBA"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19.22%</w:t>
            </w:r>
          </w:p>
        </w:tc>
      </w:tr>
      <w:tr w:rsidR="00711296" w:rsidRPr="00B91BCA" w14:paraId="49297AA0" w14:textId="77777777" w:rsidTr="004831C9">
        <w:trPr>
          <w:trHeight w:val="300"/>
        </w:trPr>
        <w:tc>
          <w:tcPr>
            <w:tcW w:w="663" w:type="dxa"/>
            <w:vAlign w:val="bottom"/>
          </w:tcPr>
          <w:p w14:paraId="5793978E" w14:textId="77777777" w:rsidR="00711296" w:rsidRPr="00B91BCA" w:rsidRDefault="00711296" w:rsidP="004831C9">
            <w:pPr>
              <w:bidi w:val="0"/>
              <w:jc w:val="right"/>
              <w:rPr>
                <w:rFonts w:cs="Calibri"/>
                <w:color w:val="000000"/>
                <w:sz w:val="18"/>
                <w:szCs w:val="18"/>
              </w:rPr>
            </w:pPr>
            <w:r>
              <w:rPr>
                <w:rFonts w:cs="Calibri"/>
                <w:color w:val="000000"/>
              </w:rPr>
              <w:t>2016</w:t>
            </w:r>
          </w:p>
        </w:tc>
        <w:tc>
          <w:tcPr>
            <w:tcW w:w="1205" w:type="dxa"/>
            <w:shd w:val="clear" w:color="auto" w:fill="auto"/>
            <w:noWrap/>
            <w:vAlign w:val="bottom"/>
            <w:hideMark/>
          </w:tcPr>
          <w:p w14:paraId="542A1A18"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61%</w:t>
            </w:r>
          </w:p>
        </w:tc>
        <w:tc>
          <w:tcPr>
            <w:tcW w:w="1955" w:type="dxa"/>
            <w:shd w:val="clear" w:color="auto" w:fill="auto"/>
            <w:noWrap/>
            <w:vAlign w:val="bottom"/>
            <w:hideMark/>
          </w:tcPr>
          <w:p w14:paraId="6E38000E"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77%</w:t>
            </w:r>
          </w:p>
        </w:tc>
        <w:tc>
          <w:tcPr>
            <w:tcW w:w="1275" w:type="dxa"/>
            <w:shd w:val="clear" w:color="auto" w:fill="auto"/>
            <w:noWrap/>
            <w:vAlign w:val="bottom"/>
            <w:hideMark/>
          </w:tcPr>
          <w:p w14:paraId="75670428"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25%</w:t>
            </w:r>
          </w:p>
        </w:tc>
        <w:tc>
          <w:tcPr>
            <w:tcW w:w="2263" w:type="dxa"/>
            <w:shd w:val="clear" w:color="auto" w:fill="auto"/>
            <w:noWrap/>
            <w:vAlign w:val="bottom"/>
            <w:hideMark/>
          </w:tcPr>
          <w:p w14:paraId="0C17621A"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88%</w:t>
            </w:r>
          </w:p>
        </w:tc>
        <w:tc>
          <w:tcPr>
            <w:tcW w:w="1848" w:type="dxa"/>
            <w:shd w:val="clear" w:color="auto" w:fill="auto"/>
            <w:noWrap/>
            <w:vAlign w:val="bottom"/>
            <w:hideMark/>
          </w:tcPr>
          <w:p w14:paraId="781B44C0"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21.75%</w:t>
            </w:r>
          </w:p>
        </w:tc>
      </w:tr>
      <w:tr w:rsidR="00711296" w:rsidRPr="00B91BCA" w14:paraId="58868EE1" w14:textId="77777777" w:rsidTr="004831C9">
        <w:trPr>
          <w:trHeight w:val="300"/>
        </w:trPr>
        <w:tc>
          <w:tcPr>
            <w:tcW w:w="663" w:type="dxa"/>
            <w:vAlign w:val="bottom"/>
          </w:tcPr>
          <w:p w14:paraId="57523626" w14:textId="77777777" w:rsidR="00711296" w:rsidRPr="00B91BCA" w:rsidRDefault="00711296" w:rsidP="004831C9">
            <w:pPr>
              <w:bidi w:val="0"/>
              <w:jc w:val="right"/>
              <w:rPr>
                <w:rFonts w:cs="Calibri"/>
                <w:color w:val="000000"/>
                <w:sz w:val="18"/>
                <w:szCs w:val="18"/>
              </w:rPr>
            </w:pPr>
            <w:r>
              <w:rPr>
                <w:rFonts w:cs="Calibri"/>
                <w:color w:val="000000"/>
              </w:rPr>
              <w:t>2017</w:t>
            </w:r>
          </w:p>
        </w:tc>
        <w:tc>
          <w:tcPr>
            <w:tcW w:w="1205" w:type="dxa"/>
            <w:shd w:val="clear" w:color="auto" w:fill="auto"/>
            <w:noWrap/>
            <w:vAlign w:val="bottom"/>
            <w:hideMark/>
          </w:tcPr>
          <w:p w14:paraId="07F42A79"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66%</w:t>
            </w:r>
          </w:p>
        </w:tc>
        <w:tc>
          <w:tcPr>
            <w:tcW w:w="1955" w:type="dxa"/>
            <w:shd w:val="clear" w:color="auto" w:fill="auto"/>
            <w:noWrap/>
            <w:vAlign w:val="bottom"/>
            <w:hideMark/>
          </w:tcPr>
          <w:p w14:paraId="3D0E0F31"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80%</w:t>
            </w:r>
          </w:p>
        </w:tc>
        <w:tc>
          <w:tcPr>
            <w:tcW w:w="1275" w:type="dxa"/>
            <w:shd w:val="clear" w:color="auto" w:fill="auto"/>
            <w:noWrap/>
            <w:vAlign w:val="bottom"/>
            <w:hideMark/>
          </w:tcPr>
          <w:p w14:paraId="5F699D38"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27%</w:t>
            </w:r>
          </w:p>
        </w:tc>
        <w:tc>
          <w:tcPr>
            <w:tcW w:w="2263" w:type="dxa"/>
            <w:shd w:val="clear" w:color="auto" w:fill="auto"/>
            <w:noWrap/>
            <w:vAlign w:val="bottom"/>
            <w:hideMark/>
          </w:tcPr>
          <w:p w14:paraId="71C1660D"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89%</w:t>
            </w:r>
          </w:p>
        </w:tc>
        <w:tc>
          <w:tcPr>
            <w:tcW w:w="1848" w:type="dxa"/>
            <w:shd w:val="clear" w:color="auto" w:fill="auto"/>
            <w:noWrap/>
            <w:vAlign w:val="bottom"/>
            <w:hideMark/>
          </w:tcPr>
          <w:p w14:paraId="2374F277"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22.17%</w:t>
            </w:r>
          </w:p>
        </w:tc>
      </w:tr>
      <w:tr w:rsidR="00711296" w:rsidRPr="00B91BCA" w14:paraId="1F29D63C" w14:textId="77777777" w:rsidTr="004831C9">
        <w:trPr>
          <w:trHeight w:val="300"/>
        </w:trPr>
        <w:tc>
          <w:tcPr>
            <w:tcW w:w="663" w:type="dxa"/>
            <w:vAlign w:val="bottom"/>
          </w:tcPr>
          <w:p w14:paraId="3D242ACD" w14:textId="77777777" w:rsidR="00711296" w:rsidRPr="00B91BCA" w:rsidRDefault="00711296" w:rsidP="004831C9">
            <w:pPr>
              <w:bidi w:val="0"/>
              <w:jc w:val="right"/>
              <w:rPr>
                <w:rFonts w:cs="Calibri"/>
                <w:color w:val="000000"/>
                <w:sz w:val="18"/>
                <w:szCs w:val="18"/>
              </w:rPr>
            </w:pPr>
            <w:r>
              <w:rPr>
                <w:rFonts w:cs="Calibri"/>
                <w:color w:val="000000"/>
              </w:rPr>
              <w:t>2018</w:t>
            </w:r>
          </w:p>
        </w:tc>
        <w:tc>
          <w:tcPr>
            <w:tcW w:w="1205" w:type="dxa"/>
            <w:shd w:val="clear" w:color="auto" w:fill="auto"/>
            <w:noWrap/>
            <w:vAlign w:val="bottom"/>
            <w:hideMark/>
          </w:tcPr>
          <w:p w14:paraId="2F8AC4E1"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70%</w:t>
            </w:r>
          </w:p>
        </w:tc>
        <w:tc>
          <w:tcPr>
            <w:tcW w:w="1955" w:type="dxa"/>
            <w:shd w:val="clear" w:color="auto" w:fill="auto"/>
            <w:noWrap/>
            <w:vAlign w:val="bottom"/>
            <w:hideMark/>
          </w:tcPr>
          <w:p w14:paraId="79AFAD5F"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77%</w:t>
            </w:r>
          </w:p>
        </w:tc>
        <w:tc>
          <w:tcPr>
            <w:tcW w:w="1275" w:type="dxa"/>
            <w:shd w:val="clear" w:color="auto" w:fill="auto"/>
            <w:noWrap/>
            <w:vAlign w:val="bottom"/>
            <w:hideMark/>
          </w:tcPr>
          <w:p w14:paraId="639B1A35"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26%</w:t>
            </w:r>
          </w:p>
        </w:tc>
        <w:tc>
          <w:tcPr>
            <w:tcW w:w="2263" w:type="dxa"/>
            <w:shd w:val="clear" w:color="auto" w:fill="auto"/>
            <w:noWrap/>
            <w:vAlign w:val="bottom"/>
            <w:hideMark/>
          </w:tcPr>
          <w:p w14:paraId="50495778"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91%</w:t>
            </w:r>
          </w:p>
        </w:tc>
        <w:tc>
          <w:tcPr>
            <w:tcW w:w="1848" w:type="dxa"/>
            <w:shd w:val="clear" w:color="auto" w:fill="auto"/>
            <w:noWrap/>
            <w:vAlign w:val="bottom"/>
            <w:hideMark/>
          </w:tcPr>
          <w:p w14:paraId="28AD65DF"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22.00%</w:t>
            </w:r>
          </w:p>
        </w:tc>
      </w:tr>
      <w:tr w:rsidR="00711296" w:rsidRPr="00B91BCA" w14:paraId="766890BC" w14:textId="77777777" w:rsidTr="004831C9">
        <w:trPr>
          <w:trHeight w:val="315"/>
        </w:trPr>
        <w:tc>
          <w:tcPr>
            <w:tcW w:w="663" w:type="dxa"/>
            <w:vAlign w:val="bottom"/>
          </w:tcPr>
          <w:p w14:paraId="230C7472" w14:textId="77777777" w:rsidR="00711296" w:rsidRPr="00B91BCA" w:rsidRDefault="00711296" w:rsidP="004831C9">
            <w:pPr>
              <w:bidi w:val="0"/>
              <w:jc w:val="right"/>
              <w:rPr>
                <w:rFonts w:cs="Calibri"/>
                <w:color w:val="000000"/>
                <w:sz w:val="18"/>
                <w:szCs w:val="18"/>
              </w:rPr>
            </w:pPr>
            <w:r>
              <w:rPr>
                <w:rFonts w:cs="Calibri"/>
                <w:color w:val="000000"/>
              </w:rPr>
              <w:t>2019</w:t>
            </w:r>
          </w:p>
        </w:tc>
        <w:tc>
          <w:tcPr>
            <w:tcW w:w="1205" w:type="dxa"/>
            <w:shd w:val="clear" w:color="auto" w:fill="auto"/>
            <w:noWrap/>
            <w:vAlign w:val="bottom"/>
            <w:hideMark/>
          </w:tcPr>
          <w:p w14:paraId="2FDBF92E"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63%</w:t>
            </w:r>
          </w:p>
        </w:tc>
        <w:tc>
          <w:tcPr>
            <w:tcW w:w="1955" w:type="dxa"/>
            <w:shd w:val="clear" w:color="auto" w:fill="auto"/>
            <w:noWrap/>
            <w:vAlign w:val="bottom"/>
            <w:hideMark/>
          </w:tcPr>
          <w:p w14:paraId="24F3234B"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81%</w:t>
            </w:r>
          </w:p>
        </w:tc>
        <w:tc>
          <w:tcPr>
            <w:tcW w:w="1275" w:type="dxa"/>
            <w:shd w:val="clear" w:color="auto" w:fill="auto"/>
            <w:noWrap/>
            <w:vAlign w:val="bottom"/>
            <w:hideMark/>
          </w:tcPr>
          <w:p w14:paraId="1E9DB5F6"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25%</w:t>
            </w:r>
          </w:p>
        </w:tc>
        <w:tc>
          <w:tcPr>
            <w:tcW w:w="2263" w:type="dxa"/>
            <w:shd w:val="clear" w:color="auto" w:fill="auto"/>
            <w:noWrap/>
            <w:vAlign w:val="bottom"/>
            <w:hideMark/>
          </w:tcPr>
          <w:p w14:paraId="235A5D4F"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87%</w:t>
            </w:r>
          </w:p>
        </w:tc>
        <w:tc>
          <w:tcPr>
            <w:tcW w:w="1848" w:type="dxa"/>
            <w:shd w:val="clear" w:color="auto" w:fill="auto"/>
            <w:noWrap/>
            <w:vAlign w:val="bottom"/>
            <w:hideMark/>
          </w:tcPr>
          <w:p w14:paraId="5CBA695A" w14:textId="77777777" w:rsidR="00711296" w:rsidRPr="00B91BCA" w:rsidRDefault="00711296" w:rsidP="004831C9">
            <w:pPr>
              <w:bidi w:val="0"/>
              <w:jc w:val="right"/>
              <w:rPr>
                <w:rFonts w:cs="Calibri"/>
                <w:color w:val="000000"/>
                <w:sz w:val="18"/>
                <w:szCs w:val="18"/>
              </w:rPr>
            </w:pPr>
            <w:r w:rsidRPr="00B91BCA">
              <w:rPr>
                <w:rFonts w:cs="Calibri"/>
                <w:color w:val="000000"/>
                <w:sz w:val="18"/>
                <w:szCs w:val="18"/>
              </w:rPr>
              <w:t>20.15%</w:t>
            </w:r>
          </w:p>
        </w:tc>
      </w:tr>
    </w:tbl>
    <w:p w14:paraId="248583D8" w14:textId="77777777" w:rsidR="00711296" w:rsidRDefault="00711296" w:rsidP="00711296">
      <w:pPr>
        <w:pStyle w:val="ListParagraph"/>
        <w:autoSpaceDE w:val="0"/>
        <w:autoSpaceDN w:val="0"/>
        <w:bidi w:val="0"/>
        <w:adjustRightInd w:val="0"/>
        <w:spacing w:line="360" w:lineRule="auto"/>
        <w:ind w:left="360"/>
        <w:jc w:val="center"/>
        <w:rPr>
          <w:rFonts w:asciiTheme="majorBidi" w:hAnsiTheme="majorBidi" w:cstheme="majorBidi"/>
          <w:b/>
          <w:bCs/>
          <w:sz w:val="24"/>
          <w:szCs w:val="24"/>
        </w:rPr>
      </w:pPr>
    </w:p>
    <w:p w14:paraId="311FBF93" w14:textId="77777777" w:rsidR="00711296" w:rsidRPr="001664CF" w:rsidRDefault="00711296" w:rsidP="00711296">
      <w:pPr>
        <w:pStyle w:val="ListParagraph"/>
        <w:numPr>
          <w:ilvl w:val="0"/>
          <w:numId w:val="26"/>
        </w:numPr>
        <w:autoSpaceDE w:val="0"/>
        <w:autoSpaceDN w:val="0"/>
        <w:bidi w:val="0"/>
        <w:adjustRightInd w:val="0"/>
        <w:spacing w:line="360" w:lineRule="auto"/>
        <w:rPr>
          <w:rFonts w:asciiTheme="majorBidi" w:hAnsiTheme="majorBidi" w:cstheme="majorBidi"/>
          <w:b/>
          <w:bCs/>
          <w:sz w:val="24"/>
          <w:szCs w:val="24"/>
        </w:rPr>
      </w:pPr>
      <w:r w:rsidRPr="001664CF">
        <w:rPr>
          <w:rFonts w:asciiTheme="majorBidi" w:hAnsiTheme="majorBidi" w:cstheme="majorBidi"/>
          <w:b/>
          <w:bCs/>
          <w:sz w:val="24"/>
          <w:szCs w:val="24"/>
        </w:rPr>
        <w:t>Banking and money</w:t>
      </w:r>
    </w:p>
    <w:p w14:paraId="2A053688"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99720C">
        <w:rPr>
          <w:b/>
          <w:bCs/>
        </w:rPr>
        <w:t xml:space="preserve">Share of NIS deposits in the Palestinian banking system </w:t>
      </w:r>
      <w:r>
        <w:rPr>
          <w:b/>
          <w:bCs/>
        </w:rPr>
        <w:t>–</w:t>
      </w:r>
      <w:r w:rsidRPr="0099720C">
        <w:rPr>
          <w:b/>
          <w:bCs/>
        </w:rPr>
        <w:t xml:space="preserve"> </w:t>
      </w:r>
    </w:p>
    <w:p w14:paraId="2509C7DD" w14:textId="77777777" w:rsidR="00711296" w:rsidRPr="006E789E" w:rsidRDefault="00711296" w:rsidP="00711296">
      <w:pPr>
        <w:pStyle w:val="ListParagraph"/>
        <w:autoSpaceDE w:val="0"/>
        <w:autoSpaceDN w:val="0"/>
        <w:bidi w:val="0"/>
        <w:adjustRightInd w:val="0"/>
        <w:spacing w:line="480" w:lineRule="auto"/>
      </w:pPr>
      <w:r w:rsidRPr="006E789E">
        <w:t>Measures the amount of NIS deposits in the Palestinian banking system out of total amount of deposits</w:t>
      </w:r>
      <w:r>
        <w:t>.</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1124ABB5" w14:textId="77777777" w:rsidTr="004831C9">
        <w:trPr>
          <w:trHeight w:val="385"/>
        </w:trPr>
        <w:tc>
          <w:tcPr>
            <w:tcW w:w="8409" w:type="dxa"/>
            <w:gridSpan w:val="2"/>
            <w:shd w:val="clear" w:color="auto" w:fill="auto"/>
            <w:noWrap/>
            <w:vAlign w:val="center"/>
          </w:tcPr>
          <w:p w14:paraId="03453591"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719C2E54" w14:textId="77777777" w:rsidTr="004831C9">
        <w:trPr>
          <w:trHeight w:val="548"/>
        </w:trPr>
        <w:tc>
          <w:tcPr>
            <w:tcW w:w="1580" w:type="dxa"/>
            <w:shd w:val="clear" w:color="auto" w:fill="auto"/>
            <w:noWrap/>
            <w:vAlign w:val="center"/>
            <w:hideMark/>
          </w:tcPr>
          <w:p w14:paraId="46DC02CB" w14:textId="77777777" w:rsidR="00711296" w:rsidRPr="003C3F18" w:rsidRDefault="00711296" w:rsidP="004831C9">
            <w:pPr>
              <w:bidi w:val="0"/>
              <w:rPr>
                <w:rFonts w:cs="Calibri"/>
                <w:color w:val="000000"/>
              </w:rPr>
            </w:pPr>
            <w:r>
              <w:rPr>
                <w:rFonts w:cs="Calibri"/>
                <w:color w:val="000000"/>
              </w:rPr>
              <w:t>2006 - 2019</w:t>
            </w:r>
          </w:p>
        </w:tc>
        <w:tc>
          <w:tcPr>
            <w:tcW w:w="6829" w:type="dxa"/>
            <w:shd w:val="clear" w:color="auto" w:fill="auto"/>
            <w:noWrap/>
            <w:vAlign w:val="center"/>
            <w:hideMark/>
          </w:tcPr>
          <w:p w14:paraId="0163ED88" w14:textId="77777777" w:rsidR="00711296" w:rsidRPr="003C3F18" w:rsidRDefault="00711296" w:rsidP="004831C9">
            <w:pPr>
              <w:bidi w:val="0"/>
              <w:rPr>
                <w:rFonts w:cs="Calibri"/>
                <w:color w:val="000000"/>
              </w:rPr>
            </w:pPr>
            <w:r>
              <w:rPr>
                <w:rFonts w:cs="Calibri"/>
                <w:color w:val="000000"/>
              </w:rPr>
              <w:t>Palestine Monetary Authority, Annual Statistics, Time Series Data, Deposits</w:t>
            </w:r>
          </w:p>
        </w:tc>
      </w:tr>
    </w:tbl>
    <w:p w14:paraId="0FAA4800" w14:textId="77777777" w:rsidR="00711296" w:rsidRDefault="00711296" w:rsidP="00711296">
      <w:pPr>
        <w:pStyle w:val="ListParagraph"/>
        <w:autoSpaceDE w:val="0"/>
        <w:autoSpaceDN w:val="0"/>
        <w:bidi w:val="0"/>
        <w:adjustRightInd w:val="0"/>
        <w:spacing w:after="240" w:line="480" w:lineRule="auto"/>
        <w:rPr>
          <w:b/>
          <w:bCs/>
        </w:rPr>
      </w:pPr>
    </w:p>
    <w:p w14:paraId="1298F435"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99720C">
        <w:rPr>
          <w:b/>
          <w:bCs/>
        </w:rPr>
        <w:t xml:space="preserve">Share of NIS credit in the Palestinian banking system </w:t>
      </w:r>
      <w:r>
        <w:rPr>
          <w:b/>
          <w:bCs/>
        </w:rPr>
        <w:t>–</w:t>
      </w:r>
      <w:r w:rsidRPr="0099720C">
        <w:rPr>
          <w:b/>
          <w:bCs/>
        </w:rPr>
        <w:t xml:space="preserve"> </w:t>
      </w:r>
    </w:p>
    <w:p w14:paraId="10DD3E51" w14:textId="77777777" w:rsidR="00711296" w:rsidRPr="006E789E" w:rsidRDefault="00711296" w:rsidP="00711296">
      <w:pPr>
        <w:pStyle w:val="ListParagraph"/>
        <w:autoSpaceDE w:val="0"/>
        <w:autoSpaceDN w:val="0"/>
        <w:bidi w:val="0"/>
        <w:adjustRightInd w:val="0"/>
        <w:spacing w:line="480" w:lineRule="auto"/>
      </w:pPr>
      <w:r w:rsidRPr="006E789E">
        <w:t xml:space="preserve">Measures the amount of NIS </w:t>
      </w:r>
      <w:r>
        <w:t>gross credit</w:t>
      </w:r>
      <w:r w:rsidRPr="008F08BE">
        <w:t xml:space="preserve"> facilities</w:t>
      </w:r>
      <w:r w:rsidRPr="006E789E">
        <w:t xml:space="preserve"> out of total amount of </w:t>
      </w:r>
      <w:r>
        <w:t xml:space="preserve">gross credit </w:t>
      </w:r>
      <w:r w:rsidRPr="008F08BE">
        <w:t>facilities</w:t>
      </w:r>
      <w:r w:rsidRPr="006E789E">
        <w:t xml:space="preserve"> in the Palestinian banking system</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7C8E37E4" w14:textId="77777777" w:rsidTr="004831C9">
        <w:trPr>
          <w:trHeight w:val="385"/>
        </w:trPr>
        <w:tc>
          <w:tcPr>
            <w:tcW w:w="8409" w:type="dxa"/>
            <w:gridSpan w:val="2"/>
            <w:shd w:val="clear" w:color="auto" w:fill="auto"/>
            <w:noWrap/>
            <w:vAlign w:val="center"/>
          </w:tcPr>
          <w:p w14:paraId="12AC7196"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16382A14" w14:textId="77777777" w:rsidTr="004831C9">
        <w:trPr>
          <w:trHeight w:val="744"/>
        </w:trPr>
        <w:tc>
          <w:tcPr>
            <w:tcW w:w="1580" w:type="dxa"/>
            <w:shd w:val="clear" w:color="auto" w:fill="auto"/>
            <w:noWrap/>
            <w:vAlign w:val="center"/>
            <w:hideMark/>
          </w:tcPr>
          <w:p w14:paraId="77033311" w14:textId="77777777" w:rsidR="00711296" w:rsidRPr="003C3F18" w:rsidRDefault="00711296" w:rsidP="004831C9">
            <w:pPr>
              <w:bidi w:val="0"/>
              <w:rPr>
                <w:rFonts w:cs="Calibri"/>
                <w:color w:val="000000"/>
              </w:rPr>
            </w:pPr>
            <w:r>
              <w:rPr>
                <w:rFonts w:cs="Calibri"/>
                <w:color w:val="000000"/>
              </w:rPr>
              <w:t>1996-2019</w:t>
            </w:r>
          </w:p>
        </w:tc>
        <w:tc>
          <w:tcPr>
            <w:tcW w:w="6829" w:type="dxa"/>
            <w:shd w:val="clear" w:color="auto" w:fill="auto"/>
            <w:noWrap/>
            <w:vAlign w:val="center"/>
            <w:hideMark/>
          </w:tcPr>
          <w:p w14:paraId="50CAFC26" w14:textId="77777777" w:rsidR="00711296" w:rsidRPr="003C3F18" w:rsidRDefault="00711296" w:rsidP="004831C9">
            <w:pPr>
              <w:bidi w:val="0"/>
              <w:rPr>
                <w:rFonts w:cs="Calibri"/>
                <w:color w:val="000000"/>
              </w:rPr>
            </w:pPr>
            <w:r>
              <w:rPr>
                <w:rFonts w:cs="Calibri"/>
                <w:color w:val="000000"/>
              </w:rPr>
              <w:t>Palestine Monetary Authority, Annual Statistics, Time Series Data, Credit Facilities</w:t>
            </w:r>
          </w:p>
        </w:tc>
      </w:tr>
    </w:tbl>
    <w:p w14:paraId="03B306CE" w14:textId="77777777" w:rsidR="00711296" w:rsidRPr="0099720C" w:rsidRDefault="00711296" w:rsidP="00711296">
      <w:pPr>
        <w:pStyle w:val="ListParagraph"/>
        <w:autoSpaceDE w:val="0"/>
        <w:autoSpaceDN w:val="0"/>
        <w:bidi w:val="0"/>
        <w:adjustRightInd w:val="0"/>
        <w:spacing w:after="240" w:line="480" w:lineRule="auto"/>
        <w:ind w:left="1702"/>
        <w:rPr>
          <w:b/>
          <w:bCs/>
        </w:rPr>
      </w:pPr>
    </w:p>
    <w:p w14:paraId="0618AF88" w14:textId="77777777" w:rsidR="00711296" w:rsidRDefault="00711296" w:rsidP="00711296">
      <w:pPr>
        <w:pStyle w:val="ListParagraph"/>
        <w:numPr>
          <w:ilvl w:val="0"/>
          <w:numId w:val="22"/>
        </w:numPr>
        <w:autoSpaceDE w:val="0"/>
        <w:autoSpaceDN w:val="0"/>
        <w:bidi w:val="0"/>
        <w:adjustRightInd w:val="0"/>
        <w:spacing w:line="480" w:lineRule="auto"/>
        <w:ind w:left="720"/>
        <w:rPr>
          <w:b/>
          <w:bCs/>
        </w:rPr>
      </w:pPr>
      <w:r w:rsidRPr="0099720C">
        <w:rPr>
          <w:b/>
          <w:bCs/>
        </w:rPr>
        <w:t xml:space="preserve">Share of NIS checks presented for clearing in the Palestinian banking system </w:t>
      </w:r>
      <w:r>
        <w:rPr>
          <w:b/>
          <w:bCs/>
        </w:rPr>
        <w:t>–</w:t>
      </w:r>
      <w:r w:rsidRPr="0099720C">
        <w:rPr>
          <w:b/>
          <w:bCs/>
        </w:rPr>
        <w:t xml:space="preserve"> </w:t>
      </w:r>
    </w:p>
    <w:p w14:paraId="7C12ABB3" w14:textId="77777777" w:rsidR="00711296" w:rsidRPr="00E86D29" w:rsidRDefault="00711296" w:rsidP="00711296">
      <w:pPr>
        <w:autoSpaceDE w:val="0"/>
        <w:autoSpaceDN w:val="0"/>
        <w:bidi w:val="0"/>
        <w:adjustRightInd w:val="0"/>
        <w:spacing w:line="480" w:lineRule="auto"/>
        <w:ind w:left="720"/>
      </w:pPr>
      <w:r w:rsidRPr="00E86D29">
        <w:t>Measures the value of NIS checks presented for clearing out of total value of checks presented for clearing in the Palestinian banking system</w:t>
      </w:r>
      <w:r>
        <w:t>.</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2A114FD2" w14:textId="77777777" w:rsidTr="004831C9">
        <w:trPr>
          <w:trHeight w:val="385"/>
        </w:trPr>
        <w:tc>
          <w:tcPr>
            <w:tcW w:w="8409" w:type="dxa"/>
            <w:gridSpan w:val="2"/>
            <w:shd w:val="clear" w:color="auto" w:fill="auto"/>
            <w:noWrap/>
            <w:vAlign w:val="center"/>
          </w:tcPr>
          <w:p w14:paraId="7351F42D"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4979678E" w14:textId="77777777" w:rsidTr="004831C9">
        <w:trPr>
          <w:trHeight w:val="813"/>
        </w:trPr>
        <w:tc>
          <w:tcPr>
            <w:tcW w:w="1580" w:type="dxa"/>
            <w:shd w:val="clear" w:color="auto" w:fill="auto"/>
            <w:noWrap/>
            <w:vAlign w:val="center"/>
            <w:hideMark/>
          </w:tcPr>
          <w:p w14:paraId="752FED4C" w14:textId="77777777" w:rsidR="00711296" w:rsidRPr="003C3F18" w:rsidRDefault="00711296" w:rsidP="004831C9">
            <w:pPr>
              <w:bidi w:val="0"/>
              <w:rPr>
                <w:rFonts w:cs="Calibri"/>
                <w:color w:val="000000"/>
              </w:rPr>
            </w:pPr>
            <w:r>
              <w:rPr>
                <w:rFonts w:cs="Calibri"/>
                <w:color w:val="000000"/>
              </w:rPr>
              <w:t>1998-2019</w:t>
            </w:r>
          </w:p>
        </w:tc>
        <w:tc>
          <w:tcPr>
            <w:tcW w:w="6829" w:type="dxa"/>
            <w:shd w:val="clear" w:color="auto" w:fill="auto"/>
            <w:noWrap/>
            <w:vAlign w:val="center"/>
            <w:hideMark/>
          </w:tcPr>
          <w:p w14:paraId="4AAF7DC9" w14:textId="77777777" w:rsidR="00711296" w:rsidRPr="003C3F18" w:rsidRDefault="00711296" w:rsidP="004831C9">
            <w:pPr>
              <w:bidi w:val="0"/>
              <w:rPr>
                <w:rFonts w:cs="Calibri"/>
                <w:color w:val="000000"/>
              </w:rPr>
            </w:pPr>
            <w:r>
              <w:rPr>
                <w:rFonts w:cs="Calibri"/>
                <w:color w:val="000000"/>
              </w:rPr>
              <w:t>Palestine Monetary Authority, Annual Statistics, Time Series Data, Clearance Data</w:t>
            </w:r>
          </w:p>
        </w:tc>
      </w:tr>
    </w:tbl>
    <w:p w14:paraId="51867CC4" w14:textId="77777777" w:rsidR="00711296" w:rsidRDefault="00711296" w:rsidP="00711296">
      <w:pPr>
        <w:pStyle w:val="ListParagraph"/>
        <w:autoSpaceDE w:val="0"/>
        <w:autoSpaceDN w:val="0"/>
        <w:bidi w:val="0"/>
        <w:adjustRightInd w:val="0"/>
        <w:spacing w:after="240" w:line="480" w:lineRule="auto"/>
        <w:rPr>
          <w:b/>
          <w:bCs/>
        </w:rPr>
      </w:pPr>
    </w:p>
    <w:p w14:paraId="2F6D3E4D"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Pr>
          <w:b/>
          <w:bCs/>
        </w:rPr>
        <w:t>E</w:t>
      </w:r>
      <w:r w:rsidRPr="0099720C">
        <w:rPr>
          <w:b/>
          <w:bCs/>
        </w:rPr>
        <w:t xml:space="preserve">xcess NIS cash deposited in Israel out of total NIS circulation -  </w:t>
      </w:r>
    </w:p>
    <w:p w14:paraId="0CFBD450" w14:textId="77777777" w:rsidR="00711296" w:rsidRPr="00570994" w:rsidRDefault="00711296" w:rsidP="00711296">
      <w:pPr>
        <w:pStyle w:val="ListParagraph"/>
        <w:autoSpaceDE w:val="0"/>
        <w:autoSpaceDN w:val="0"/>
        <w:bidi w:val="0"/>
        <w:adjustRightInd w:val="0"/>
        <w:spacing w:line="480" w:lineRule="auto"/>
      </w:pPr>
      <w:r w:rsidRPr="00570994">
        <w:t>Measures the amount of excess NIS cash of the Palestinian banking system deposited in Israel out of total NIS circulation</w:t>
      </w:r>
      <w:r>
        <w:t>.</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647CFA90" w14:textId="77777777" w:rsidTr="004831C9">
        <w:trPr>
          <w:trHeight w:val="385"/>
        </w:trPr>
        <w:tc>
          <w:tcPr>
            <w:tcW w:w="8409" w:type="dxa"/>
            <w:gridSpan w:val="2"/>
            <w:shd w:val="clear" w:color="auto" w:fill="auto"/>
            <w:noWrap/>
            <w:vAlign w:val="center"/>
          </w:tcPr>
          <w:p w14:paraId="340CA75A"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7303286A" w14:textId="77777777" w:rsidTr="004831C9">
        <w:trPr>
          <w:trHeight w:val="699"/>
        </w:trPr>
        <w:tc>
          <w:tcPr>
            <w:tcW w:w="1580" w:type="dxa"/>
            <w:shd w:val="clear" w:color="auto" w:fill="auto"/>
            <w:noWrap/>
            <w:vAlign w:val="center"/>
            <w:hideMark/>
          </w:tcPr>
          <w:p w14:paraId="29A56278" w14:textId="77777777" w:rsidR="00711296" w:rsidRPr="003C3F18" w:rsidRDefault="00711296" w:rsidP="004831C9">
            <w:pPr>
              <w:bidi w:val="0"/>
              <w:rPr>
                <w:rFonts w:cs="Calibri"/>
                <w:color w:val="000000"/>
              </w:rPr>
            </w:pPr>
            <w:r>
              <w:rPr>
                <w:rFonts w:cs="Calibri"/>
                <w:color w:val="000000"/>
              </w:rPr>
              <w:t>2010 -2019</w:t>
            </w:r>
          </w:p>
        </w:tc>
        <w:tc>
          <w:tcPr>
            <w:tcW w:w="6829" w:type="dxa"/>
            <w:shd w:val="clear" w:color="auto" w:fill="auto"/>
            <w:noWrap/>
            <w:vAlign w:val="center"/>
            <w:hideMark/>
          </w:tcPr>
          <w:p w14:paraId="48BF6E9C" w14:textId="77777777" w:rsidR="00711296" w:rsidRPr="003C3F18" w:rsidRDefault="00711296" w:rsidP="004831C9">
            <w:pPr>
              <w:bidi w:val="0"/>
              <w:rPr>
                <w:rFonts w:cs="Calibri"/>
                <w:color w:val="000000"/>
              </w:rPr>
            </w:pPr>
            <w:r>
              <w:rPr>
                <w:rFonts w:cs="Calibri"/>
                <w:color w:val="000000"/>
              </w:rPr>
              <w:t>Palestine Monetary Authority, annual reports</w:t>
            </w:r>
          </w:p>
        </w:tc>
      </w:tr>
    </w:tbl>
    <w:p w14:paraId="5B32713A" w14:textId="77777777" w:rsidR="00711296" w:rsidRPr="00883882" w:rsidRDefault="00711296" w:rsidP="00711296">
      <w:pPr>
        <w:autoSpaceDE w:val="0"/>
        <w:autoSpaceDN w:val="0"/>
        <w:bidi w:val="0"/>
        <w:adjustRightInd w:val="0"/>
        <w:spacing w:after="240" w:line="480" w:lineRule="auto"/>
        <w:rPr>
          <w:b/>
          <w:bCs/>
        </w:rPr>
      </w:pPr>
    </w:p>
    <w:p w14:paraId="392EAEB0" w14:textId="77777777" w:rsidR="00711296" w:rsidRPr="00A70CEF" w:rsidRDefault="00711296" w:rsidP="00711296">
      <w:pPr>
        <w:pStyle w:val="ListParagraph"/>
        <w:numPr>
          <w:ilvl w:val="0"/>
          <w:numId w:val="22"/>
        </w:numPr>
        <w:autoSpaceDE w:val="0"/>
        <w:autoSpaceDN w:val="0"/>
        <w:bidi w:val="0"/>
        <w:adjustRightInd w:val="0"/>
        <w:spacing w:line="480" w:lineRule="auto"/>
        <w:ind w:left="720"/>
        <w:rPr>
          <w:b/>
          <w:bCs/>
        </w:rPr>
      </w:pPr>
      <w:r w:rsidRPr="00A70CEF">
        <w:rPr>
          <w:b/>
          <w:bCs/>
        </w:rPr>
        <w:t>Checks and Money transfers volume out of WBG GNI</w:t>
      </w:r>
      <w:r>
        <w:rPr>
          <w:b/>
          <w:bCs/>
        </w:rPr>
        <w:t xml:space="preserve"> -</w:t>
      </w:r>
    </w:p>
    <w:p w14:paraId="4EF07000" w14:textId="77777777" w:rsidR="00711296" w:rsidRPr="00C5539F" w:rsidRDefault="00711296" w:rsidP="00711296">
      <w:pPr>
        <w:pStyle w:val="ListParagraph"/>
        <w:autoSpaceDE w:val="0"/>
        <w:autoSpaceDN w:val="0"/>
        <w:bidi w:val="0"/>
        <w:adjustRightInd w:val="0"/>
        <w:spacing w:line="480" w:lineRule="auto"/>
        <w:jc w:val="both"/>
      </w:pPr>
      <w:r w:rsidRPr="00C5539F">
        <w:t xml:space="preserve">Measures the amount of NIS Checks &amp; Money transfers </w:t>
      </w:r>
      <w:r>
        <w:t>on</w:t>
      </w:r>
      <w:r w:rsidRPr="00C5539F">
        <w:t xml:space="preserve"> the correspondent banking relation of Israeli banks and the Palestinian banks out of WBG </w:t>
      </w:r>
      <w:r>
        <w:t>g</w:t>
      </w:r>
      <w:r w:rsidRPr="00C5539F">
        <w:t>ross national income.</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666E78CA" w14:textId="77777777" w:rsidTr="004831C9">
        <w:trPr>
          <w:trHeight w:val="385"/>
        </w:trPr>
        <w:tc>
          <w:tcPr>
            <w:tcW w:w="8409" w:type="dxa"/>
            <w:gridSpan w:val="2"/>
            <w:shd w:val="clear" w:color="auto" w:fill="auto"/>
            <w:noWrap/>
            <w:vAlign w:val="center"/>
          </w:tcPr>
          <w:p w14:paraId="79059693"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5D7E5CF4" w14:textId="77777777" w:rsidTr="004831C9">
        <w:trPr>
          <w:trHeight w:val="633"/>
        </w:trPr>
        <w:tc>
          <w:tcPr>
            <w:tcW w:w="1580" w:type="dxa"/>
            <w:shd w:val="clear" w:color="auto" w:fill="auto"/>
            <w:noWrap/>
            <w:vAlign w:val="center"/>
            <w:hideMark/>
          </w:tcPr>
          <w:p w14:paraId="371CD319" w14:textId="77777777" w:rsidR="00711296" w:rsidRPr="003C3F18" w:rsidRDefault="00711296" w:rsidP="004831C9">
            <w:pPr>
              <w:bidi w:val="0"/>
              <w:rPr>
                <w:rFonts w:cs="Calibri"/>
                <w:color w:val="000000"/>
              </w:rPr>
            </w:pPr>
            <w:r>
              <w:rPr>
                <w:rFonts w:cs="Calibri"/>
                <w:color w:val="000000"/>
              </w:rPr>
              <w:t>2010 - 2019</w:t>
            </w:r>
          </w:p>
        </w:tc>
        <w:tc>
          <w:tcPr>
            <w:tcW w:w="6829" w:type="dxa"/>
            <w:shd w:val="clear" w:color="auto" w:fill="auto"/>
            <w:noWrap/>
            <w:vAlign w:val="center"/>
            <w:hideMark/>
          </w:tcPr>
          <w:p w14:paraId="67DB2744" w14:textId="77777777" w:rsidR="00711296" w:rsidRPr="003C3F18" w:rsidRDefault="00711296" w:rsidP="004831C9">
            <w:pPr>
              <w:bidi w:val="0"/>
              <w:rPr>
                <w:rFonts w:cs="Calibri"/>
                <w:color w:val="000000"/>
              </w:rPr>
            </w:pPr>
            <w:r>
              <w:rPr>
                <w:rFonts w:cs="Calibri"/>
                <w:color w:val="000000"/>
              </w:rPr>
              <w:t>Palestine Monetary Authority and Palestinian Central Bureau of Statistics</w:t>
            </w:r>
          </w:p>
        </w:tc>
      </w:tr>
    </w:tbl>
    <w:p w14:paraId="53C0E324" w14:textId="77777777" w:rsidR="00711296" w:rsidRDefault="00711296" w:rsidP="00711296">
      <w:pPr>
        <w:autoSpaceDE w:val="0"/>
        <w:autoSpaceDN w:val="0"/>
        <w:bidi w:val="0"/>
        <w:adjustRightInd w:val="0"/>
        <w:spacing w:line="480" w:lineRule="auto"/>
        <w:jc w:val="center"/>
        <w:rPr>
          <w:b/>
          <w:bCs/>
        </w:rPr>
      </w:pPr>
    </w:p>
    <w:p w14:paraId="29D6C880" w14:textId="77777777" w:rsidR="00711296" w:rsidRPr="00147490" w:rsidRDefault="00711296" w:rsidP="00711296">
      <w:pPr>
        <w:autoSpaceDE w:val="0"/>
        <w:autoSpaceDN w:val="0"/>
        <w:bidi w:val="0"/>
        <w:adjustRightInd w:val="0"/>
        <w:spacing w:line="480" w:lineRule="auto"/>
        <w:jc w:val="center"/>
        <w:rPr>
          <w:b/>
          <w:bCs/>
        </w:rPr>
      </w:pPr>
      <w:r>
        <w:rPr>
          <w:b/>
          <w:bCs/>
        </w:rPr>
        <w:t xml:space="preserve">Figure </w:t>
      </w:r>
      <w:r w:rsidRPr="00986C40">
        <w:rPr>
          <w:b/>
          <w:bCs/>
          <w:shd w:val="clear" w:color="auto" w:fill="FFFF00"/>
        </w:rPr>
        <w:t>XX</w:t>
      </w:r>
      <w:r>
        <w:rPr>
          <w:b/>
          <w:bCs/>
        </w:rPr>
        <w:t xml:space="preserve"> - </w:t>
      </w:r>
      <w:r w:rsidRPr="00147490">
        <w:rPr>
          <w:b/>
          <w:bCs/>
        </w:rPr>
        <w:t>Banking and money</w:t>
      </w:r>
    </w:p>
    <w:p w14:paraId="2FD6A9F9" w14:textId="77777777" w:rsidR="00711296" w:rsidRPr="0099720C" w:rsidRDefault="00711296" w:rsidP="00711296">
      <w:pPr>
        <w:pStyle w:val="ListParagraph"/>
        <w:autoSpaceDE w:val="0"/>
        <w:autoSpaceDN w:val="0"/>
        <w:bidi w:val="0"/>
        <w:adjustRightInd w:val="0"/>
        <w:spacing w:after="240" w:line="480" w:lineRule="auto"/>
        <w:ind w:left="0"/>
        <w:rPr>
          <w:b/>
          <w:bCs/>
        </w:rPr>
      </w:pPr>
      <w:r>
        <w:rPr>
          <w:noProof/>
        </w:rPr>
        <w:drawing>
          <wp:inline distT="0" distB="0" distL="0" distR="0" wp14:anchorId="2E278761" wp14:editId="3D816037">
            <wp:extent cx="5292000" cy="3060000"/>
            <wp:effectExtent l="0" t="0" r="4445" b="7620"/>
            <wp:docPr id="49" name="Chart 49">
              <a:extLst xmlns:a="http://schemas.openxmlformats.org/drawingml/2006/main">
                <a:ext uri="{FF2B5EF4-FFF2-40B4-BE49-F238E27FC236}">
                  <a16:creationId xmlns:a16="http://schemas.microsoft.com/office/drawing/2014/main" id="{6D19B342-3AAE-49A7-8F68-6E0DCEA4D9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9437645" w14:textId="77777777" w:rsidR="00711296" w:rsidRPr="00147490" w:rsidRDefault="00711296" w:rsidP="00711296">
      <w:pPr>
        <w:autoSpaceDE w:val="0"/>
        <w:autoSpaceDN w:val="0"/>
        <w:bidi w:val="0"/>
        <w:adjustRightInd w:val="0"/>
        <w:spacing w:line="480" w:lineRule="auto"/>
        <w:jc w:val="center"/>
        <w:rPr>
          <w:b/>
          <w:bCs/>
        </w:rPr>
      </w:pPr>
      <w:r>
        <w:rPr>
          <w:rFonts w:cs="Calibri"/>
          <w:b/>
          <w:bCs/>
          <w:color w:val="000000"/>
        </w:rPr>
        <w:t xml:space="preserve">Table XX - </w:t>
      </w:r>
      <w:r w:rsidRPr="004D1081">
        <w:rPr>
          <w:rFonts w:cs="Calibri"/>
          <w:b/>
          <w:bCs/>
          <w:color w:val="000000"/>
        </w:rPr>
        <w:t>Raw data</w:t>
      </w:r>
      <w:r>
        <w:rPr>
          <w:rFonts w:cs="Calibri"/>
          <w:b/>
          <w:bCs/>
          <w:color w:val="000000"/>
        </w:rPr>
        <w:t xml:space="preserve"> - </w:t>
      </w:r>
      <w:r w:rsidRPr="00147490">
        <w:rPr>
          <w:b/>
          <w:bCs/>
        </w:rPr>
        <w:t>Banking and money</w:t>
      </w:r>
    </w:p>
    <w:tbl>
      <w:tblPr>
        <w:tblW w:w="665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193"/>
        <w:gridCol w:w="1193"/>
        <w:gridCol w:w="1157"/>
        <w:gridCol w:w="1116"/>
        <w:gridCol w:w="1418"/>
      </w:tblGrid>
      <w:tr w:rsidR="00711296" w:rsidRPr="000853B7" w14:paraId="693FC652" w14:textId="77777777" w:rsidTr="004831C9">
        <w:trPr>
          <w:trHeight w:val="300"/>
        </w:trPr>
        <w:tc>
          <w:tcPr>
            <w:tcW w:w="581" w:type="dxa"/>
          </w:tcPr>
          <w:p w14:paraId="0C1D137B" w14:textId="77777777" w:rsidR="00711296" w:rsidRPr="000853B7" w:rsidRDefault="00711296" w:rsidP="004831C9">
            <w:pPr>
              <w:bidi w:val="0"/>
              <w:rPr>
                <w:rFonts w:cs="Calibri"/>
                <w:b/>
                <w:bCs/>
                <w:color w:val="000000"/>
                <w:sz w:val="18"/>
                <w:szCs w:val="18"/>
              </w:rPr>
            </w:pPr>
            <w:r w:rsidRPr="000853B7">
              <w:rPr>
                <w:rFonts w:cs="Calibri"/>
                <w:b/>
                <w:bCs/>
                <w:color w:val="000000"/>
                <w:sz w:val="18"/>
                <w:szCs w:val="18"/>
              </w:rPr>
              <w:t>Year</w:t>
            </w:r>
          </w:p>
        </w:tc>
        <w:tc>
          <w:tcPr>
            <w:tcW w:w="1193" w:type="dxa"/>
            <w:shd w:val="clear" w:color="auto" w:fill="auto"/>
            <w:noWrap/>
          </w:tcPr>
          <w:p w14:paraId="52810410" w14:textId="77777777" w:rsidR="00711296" w:rsidRPr="000853B7" w:rsidRDefault="00711296" w:rsidP="004831C9">
            <w:pPr>
              <w:bidi w:val="0"/>
              <w:rPr>
                <w:rFonts w:cs="Calibri"/>
                <w:b/>
                <w:bCs/>
                <w:color w:val="000000"/>
                <w:sz w:val="18"/>
                <w:szCs w:val="18"/>
              </w:rPr>
            </w:pPr>
            <w:r w:rsidRPr="000853B7">
              <w:rPr>
                <w:rFonts w:cs="Calibri"/>
                <w:b/>
                <w:bCs/>
                <w:color w:val="000000"/>
                <w:sz w:val="18"/>
                <w:szCs w:val="18"/>
              </w:rPr>
              <w:t>Share of NIS deposits in the Palestinian banking system</w:t>
            </w:r>
          </w:p>
        </w:tc>
        <w:tc>
          <w:tcPr>
            <w:tcW w:w="1193" w:type="dxa"/>
            <w:shd w:val="clear" w:color="auto" w:fill="auto"/>
            <w:noWrap/>
          </w:tcPr>
          <w:p w14:paraId="3A85C45C" w14:textId="77777777" w:rsidR="00711296" w:rsidRPr="000853B7" w:rsidRDefault="00711296" w:rsidP="004831C9">
            <w:pPr>
              <w:bidi w:val="0"/>
              <w:rPr>
                <w:rFonts w:cs="Calibri"/>
                <w:b/>
                <w:bCs/>
                <w:color w:val="000000"/>
                <w:sz w:val="18"/>
                <w:szCs w:val="18"/>
              </w:rPr>
            </w:pPr>
            <w:r w:rsidRPr="000853B7">
              <w:rPr>
                <w:rFonts w:cs="Calibri"/>
                <w:b/>
                <w:bCs/>
                <w:color w:val="000000"/>
                <w:sz w:val="18"/>
                <w:szCs w:val="18"/>
              </w:rPr>
              <w:t>Share of NIS credit in the Palestinian banking system</w:t>
            </w:r>
          </w:p>
        </w:tc>
        <w:tc>
          <w:tcPr>
            <w:tcW w:w="1157" w:type="dxa"/>
            <w:shd w:val="clear" w:color="auto" w:fill="auto"/>
            <w:noWrap/>
          </w:tcPr>
          <w:p w14:paraId="38CAE280" w14:textId="77777777" w:rsidR="00711296" w:rsidRPr="000853B7" w:rsidRDefault="00711296" w:rsidP="004831C9">
            <w:pPr>
              <w:bidi w:val="0"/>
              <w:rPr>
                <w:rFonts w:cs="Calibri"/>
                <w:b/>
                <w:bCs/>
                <w:color w:val="000000"/>
                <w:sz w:val="18"/>
                <w:szCs w:val="18"/>
              </w:rPr>
            </w:pPr>
            <w:r w:rsidRPr="000853B7">
              <w:rPr>
                <w:rFonts w:cs="Calibri"/>
                <w:b/>
                <w:bCs/>
                <w:color w:val="000000"/>
                <w:sz w:val="18"/>
                <w:szCs w:val="18"/>
              </w:rPr>
              <w:t>Excess NIS cash deposited in Israel out of total NIS circulation</w:t>
            </w:r>
          </w:p>
        </w:tc>
        <w:tc>
          <w:tcPr>
            <w:tcW w:w="1116" w:type="dxa"/>
            <w:shd w:val="clear" w:color="auto" w:fill="auto"/>
            <w:noWrap/>
          </w:tcPr>
          <w:p w14:paraId="5A60239D" w14:textId="77777777" w:rsidR="00711296" w:rsidRPr="000853B7" w:rsidRDefault="00711296" w:rsidP="004831C9">
            <w:pPr>
              <w:bidi w:val="0"/>
              <w:rPr>
                <w:rFonts w:ascii="Times New Roman" w:hAnsi="Times New Roman" w:cs="Times New Roman"/>
                <w:b/>
                <w:bCs/>
                <w:sz w:val="18"/>
                <w:szCs w:val="18"/>
              </w:rPr>
            </w:pPr>
            <w:r w:rsidRPr="000853B7">
              <w:rPr>
                <w:rFonts w:cs="Calibri"/>
                <w:b/>
                <w:bCs/>
                <w:color w:val="000000"/>
                <w:sz w:val="18"/>
                <w:szCs w:val="18"/>
              </w:rPr>
              <w:t xml:space="preserve">Checks and Money transfers volume out of WBG GNI </w:t>
            </w:r>
          </w:p>
        </w:tc>
        <w:tc>
          <w:tcPr>
            <w:tcW w:w="1418" w:type="dxa"/>
            <w:shd w:val="clear" w:color="auto" w:fill="auto"/>
            <w:noWrap/>
          </w:tcPr>
          <w:p w14:paraId="35431314" w14:textId="77777777" w:rsidR="00711296" w:rsidRPr="000853B7" w:rsidRDefault="00711296" w:rsidP="004831C9">
            <w:pPr>
              <w:bidi w:val="0"/>
              <w:rPr>
                <w:rFonts w:cs="Calibri"/>
                <w:b/>
                <w:bCs/>
                <w:color w:val="000000"/>
                <w:sz w:val="18"/>
                <w:szCs w:val="18"/>
              </w:rPr>
            </w:pPr>
            <w:r w:rsidRPr="000853B7">
              <w:rPr>
                <w:rFonts w:cs="Calibri"/>
                <w:b/>
                <w:bCs/>
                <w:color w:val="000000"/>
                <w:sz w:val="18"/>
                <w:szCs w:val="18"/>
              </w:rPr>
              <w:t xml:space="preserve">Share of NIS checks presented for clearing in the Palestinian banking system </w:t>
            </w:r>
          </w:p>
        </w:tc>
      </w:tr>
      <w:tr w:rsidR="00711296" w:rsidRPr="000853B7" w14:paraId="5F0B351B" w14:textId="77777777" w:rsidTr="004831C9">
        <w:trPr>
          <w:trHeight w:val="300"/>
        </w:trPr>
        <w:tc>
          <w:tcPr>
            <w:tcW w:w="581" w:type="dxa"/>
            <w:vAlign w:val="bottom"/>
          </w:tcPr>
          <w:p w14:paraId="4EA832BF" w14:textId="77777777" w:rsidR="00711296" w:rsidRPr="000853B7" w:rsidRDefault="00711296" w:rsidP="004831C9">
            <w:pPr>
              <w:bidi w:val="0"/>
              <w:rPr>
                <w:rFonts w:cs="Calibri"/>
                <w:color w:val="000000"/>
                <w:sz w:val="18"/>
                <w:szCs w:val="18"/>
              </w:rPr>
            </w:pPr>
            <w:r w:rsidRPr="000853B7">
              <w:rPr>
                <w:rFonts w:cs="Calibri"/>
                <w:color w:val="000000"/>
                <w:sz w:val="18"/>
                <w:szCs w:val="18"/>
              </w:rPr>
              <w:t>1996</w:t>
            </w:r>
          </w:p>
        </w:tc>
        <w:tc>
          <w:tcPr>
            <w:tcW w:w="1193" w:type="dxa"/>
            <w:shd w:val="clear" w:color="auto" w:fill="auto"/>
            <w:noWrap/>
            <w:vAlign w:val="bottom"/>
            <w:hideMark/>
          </w:tcPr>
          <w:p w14:paraId="25AFA600" w14:textId="77777777" w:rsidR="00711296" w:rsidRPr="00533A00" w:rsidRDefault="00711296" w:rsidP="004831C9">
            <w:pPr>
              <w:bidi w:val="0"/>
              <w:rPr>
                <w:rFonts w:cs="Calibri"/>
                <w:color w:val="000000"/>
                <w:sz w:val="18"/>
                <w:szCs w:val="18"/>
              </w:rPr>
            </w:pPr>
            <w:r w:rsidRPr="00533A00">
              <w:rPr>
                <w:rFonts w:cs="Calibri"/>
                <w:color w:val="000000"/>
                <w:sz w:val="18"/>
                <w:szCs w:val="18"/>
              </w:rPr>
              <w:t> </w:t>
            </w:r>
          </w:p>
        </w:tc>
        <w:tc>
          <w:tcPr>
            <w:tcW w:w="1193" w:type="dxa"/>
            <w:shd w:val="clear" w:color="auto" w:fill="auto"/>
            <w:noWrap/>
            <w:vAlign w:val="bottom"/>
            <w:hideMark/>
          </w:tcPr>
          <w:p w14:paraId="5E8014F5"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30%</w:t>
            </w:r>
          </w:p>
        </w:tc>
        <w:tc>
          <w:tcPr>
            <w:tcW w:w="1157" w:type="dxa"/>
            <w:shd w:val="clear" w:color="auto" w:fill="auto"/>
            <w:noWrap/>
            <w:vAlign w:val="bottom"/>
            <w:hideMark/>
          </w:tcPr>
          <w:p w14:paraId="72B0D55D" w14:textId="77777777" w:rsidR="00711296" w:rsidRPr="00533A00" w:rsidRDefault="00711296" w:rsidP="004831C9">
            <w:pPr>
              <w:bidi w:val="0"/>
              <w:jc w:val="right"/>
              <w:rPr>
                <w:rFonts w:cs="Calibri"/>
                <w:color w:val="000000"/>
                <w:sz w:val="18"/>
                <w:szCs w:val="18"/>
              </w:rPr>
            </w:pPr>
          </w:p>
        </w:tc>
        <w:tc>
          <w:tcPr>
            <w:tcW w:w="1116" w:type="dxa"/>
            <w:shd w:val="clear" w:color="auto" w:fill="auto"/>
            <w:noWrap/>
            <w:vAlign w:val="bottom"/>
            <w:hideMark/>
          </w:tcPr>
          <w:p w14:paraId="04F6533D" w14:textId="77777777" w:rsidR="00711296" w:rsidRPr="00533A00" w:rsidRDefault="00711296" w:rsidP="004831C9">
            <w:pPr>
              <w:bidi w:val="0"/>
              <w:rPr>
                <w:rFonts w:ascii="Times New Roman" w:hAnsi="Times New Roman" w:cs="Times New Roman"/>
                <w:sz w:val="18"/>
                <w:szCs w:val="18"/>
              </w:rPr>
            </w:pPr>
          </w:p>
        </w:tc>
        <w:tc>
          <w:tcPr>
            <w:tcW w:w="1418" w:type="dxa"/>
            <w:shd w:val="clear" w:color="auto" w:fill="auto"/>
            <w:noWrap/>
            <w:vAlign w:val="bottom"/>
            <w:hideMark/>
          </w:tcPr>
          <w:p w14:paraId="78E407C6" w14:textId="77777777" w:rsidR="00711296" w:rsidRPr="00533A00" w:rsidRDefault="00711296" w:rsidP="004831C9">
            <w:pPr>
              <w:bidi w:val="0"/>
              <w:rPr>
                <w:rFonts w:cs="Calibri"/>
                <w:color w:val="000000"/>
                <w:sz w:val="18"/>
                <w:szCs w:val="18"/>
              </w:rPr>
            </w:pPr>
            <w:r w:rsidRPr="00533A00">
              <w:rPr>
                <w:rFonts w:cs="Calibri"/>
                <w:color w:val="000000"/>
                <w:sz w:val="18"/>
                <w:szCs w:val="18"/>
              </w:rPr>
              <w:t> </w:t>
            </w:r>
          </w:p>
        </w:tc>
      </w:tr>
      <w:tr w:rsidR="00711296" w:rsidRPr="000853B7" w14:paraId="3437F446" w14:textId="77777777" w:rsidTr="004831C9">
        <w:trPr>
          <w:trHeight w:val="300"/>
        </w:trPr>
        <w:tc>
          <w:tcPr>
            <w:tcW w:w="581" w:type="dxa"/>
            <w:vAlign w:val="bottom"/>
          </w:tcPr>
          <w:p w14:paraId="4C014884" w14:textId="77777777" w:rsidR="00711296" w:rsidRPr="000853B7" w:rsidRDefault="00711296" w:rsidP="004831C9">
            <w:pPr>
              <w:bidi w:val="0"/>
              <w:rPr>
                <w:rFonts w:cs="Calibri"/>
                <w:color w:val="000000"/>
                <w:sz w:val="18"/>
                <w:szCs w:val="18"/>
              </w:rPr>
            </w:pPr>
            <w:r w:rsidRPr="000853B7">
              <w:rPr>
                <w:rFonts w:cs="Calibri"/>
                <w:color w:val="000000"/>
                <w:sz w:val="18"/>
                <w:szCs w:val="18"/>
              </w:rPr>
              <w:t>1997</w:t>
            </w:r>
          </w:p>
        </w:tc>
        <w:tc>
          <w:tcPr>
            <w:tcW w:w="1193" w:type="dxa"/>
            <w:shd w:val="clear" w:color="auto" w:fill="auto"/>
            <w:noWrap/>
            <w:vAlign w:val="bottom"/>
            <w:hideMark/>
          </w:tcPr>
          <w:p w14:paraId="6847C585" w14:textId="77777777" w:rsidR="00711296" w:rsidRPr="00533A00" w:rsidRDefault="00711296" w:rsidP="004831C9">
            <w:pPr>
              <w:bidi w:val="0"/>
              <w:rPr>
                <w:rFonts w:cs="Calibri"/>
                <w:color w:val="000000"/>
                <w:sz w:val="18"/>
                <w:szCs w:val="18"/>
              </w:rPr>
            </w:pPr>
            <w:r w:rsidRPr="00533A00">
              <w:rPr>
                <w:rFonts w:cs="Calibri"/>
                <w:color w:val="000000"/>
                <w:sz w:val="18"/>
                <w:szCs w:val="18"/>
              </w:rPr>
              <w:t> </w:t>
            </w:r>
          </w:p>
        </w:tc>
        <w:tc>
          <w:tcPr>
            <w:tcW w:w="1193" w:type="dxa"/>
            <w:shd w:val="clear" w:color="auto" w:fill="auto"/>
            <w:noWrap/>
            <w:vAlign w:val="bottom"/>
            <w:hideMark/>
          </w:tcPr>
          <w:p w14:paraId="247169CB"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31%</w:t>
            </w:r>
          </w:p>
        </w:tc>
        <w:tc>
          <w:tcPr>
            <w:tcW w:w="1157" w:type="dxa"/>
            <w:shd w:val="clear" w:color="auto" w:fill="auto"/>
            <w:noWrap/>
            <w:vAlign w:val="bottom"/>
            <w:hideMark/>
          </w:tcPr>
          <w:p w14:paraId="2DF4487F" w14:textId="77777777" w:rsidR="00711296" w:rsidRPr="00533A00" w:rsidRDefault="00711296" w:rsidP="004831C9">
            <w:pPr>
              <w:bidi w:val="0"/>
              <w:jc w:val="right"/>
              <w:rPr>
                <w:rFonts w:cs="Calibri"/>
                <w:color w:val="000000"/>
                <w:sz w:val="18"/>
                <w:szCs w:val="18"/>
              </w:rPr>
            </w:pPr>
          </w:p>
        </w:tc>
        <w:tc>
          <w:tcPr>
            <w:tcW w:w="1116" w:type="dxa"/>
            <w:shd w:val="clear" w:color="auto" w:fill="auto"/>
            <w:noWrap/>
            <w:vAlign w:val="bottom"/>
            <w:hideMark/>
          </w:tcPr>
          <w:p w14:paraId="0F8DE903" w14:textId="77777777" w:rsidR="00711296" w:rsidRPr="00533A00" w:rsidRDefault="00711296" w:rsidP="004831C9">
            <w:pPr>
              <w:bidi w:val="0"/>
              <w:rPr>
                <w:rFonts w:ascii="Times New Roman" w:hAnsi="Times New Roman" w:cs="Times New Roman"/>
                <w:sz w:val="18"/>
                <w:szCs w:val="18"/>
              </w:rPr>
            </w:pPr>
          </w:p>
        </w:tc>
        <w:tc>
          <w:tcPr>
            <w:tcW w:w="1418" w:type="dxa"/>
            <w:shd w:val="clear" w:color="auto" w:fill="auto"/>
            <w:noWrap/>
            <w:vAlign w:val="bottom"/>
            <w:hideMark/>
          </w:tcPr>
          <w:p w14:paraId="5230C665" w14:textId="77777777" w:rsidR="00711296" w:rsidRPr="00533A00" w:rsidRDefault="00711296" w:rsidP="004831C9">
            <w:pPr>
              <w:bidi w:val="0"/>
              <w:rPr>
                <w:rFonts w:cs="Calibri"/>
                <w:color w:val="000000"/>
                <w:sz w:val="18"/>
                <w:szCs w:val="18"/>
              </w:rPr>
            </w:pPr>
            <w:r w:rsidRPr="00533A00">
              <w:rPr>
                <w:rFonts w:cs="Calibri"/>
                <w:color w:val="000000"/>
                <w:sz w:val="18"/>
                <w:szCs w:val="18"/>
              </w:rPr>
              <w:t> </w:t>
            </w:r>
          </w:p>
        </w:tc>
      </w:tr>
      <w:tr w:rsidR="00711296" w:rsidRPr="000853B7" w14:paraId="0DDC32A5" w14:textId="77777777" w:rsidTr="004831C9">
        <w:trPr>
          <w:trHeight w:val="300"/>
        </w:trPr>
        <w:tc>
          <w:tcPr>
            <w:tcW w:w="581" w:type="dxa"/>
            <w:vAlign w:val="bottom"/>
          </w:tcPr>
          <w:p w14:paraId="61A2E444" w14:textId="77777777" w:rsidR="00711296" w:rsidRPr="000853B7" w:rsidRDefault="00711296" w:rsidP="004831C9">
            <w:pPr>
              <w:bidi w:val="0"/>
              <w:rPr>
                <w:rFonts w:cs="Calibri"/>
                <w:color w:val="000000"/>
                <w:sz w:val="18"/>
                <w:szCs w:val="18"/>
              </w:rPr>
            </w:pPr>
            <w:r w:rsidRPr="000853B7">
              <w:rPr>
                <w:rFonts w:cs="Calibri"/>
                <w:color w:val="000000"/>
                <w:sz w:val="18"/>
                <w:szCs w:val="18"/>
              </w:rPr>
              <w:t>1998</w:t>
            </w:r>
          </w:p>
        </w:tc>
        <w:tc>
          <w:tcPr>
            <w:tcW w:w="1193" w:type="dxa"/>
            <w:shd w:val="clear" w:color="auto" w:fill="auto"/>
            <w:noWrap/>
            <w:vAlign w:val="bottom"/>
            <w:hideMark/>
          </w:tcPr>
          <w:p w14:paraId="411BDF71" w14:textId="77777777" w:rsidR="00711296" w:rsidRPr="00533A00" w:rsidRDefault="00711296" w:rsidP="004831C9">
            <w:pPr>
              <w:bidi w:val="0"/>
              <w:rPr>
                <w:rFonts w:cs="Calibri"/>
                <w:color w:val="000000"/>
                <w:sz w:val="18"/>
                <w:szCs w:val="18"/>
              </w:rPr>
            </w:pPr>
            <w:r w:rsidRPr="00533A00">
              <w:rPr>
                <w:rFonts w:cs="Calibri"/>
                <w:color w:val="000000"/>
                <w:sz w:val="18"/>
                <w:szCs w:val="18"/>
              </w:rPr>
              <w:t> </w:t>
            </w:r>
          </w:p>
        </w:tc>
        <w:tc>
          <w:tcPr>
            <w:tcW w:w="1193" w:type="dxa"/>
            <w:shd w:val="clear" w:color="auto" w:fill="auto"/>
            <w:noWrap/>
            <w:vAlign w:val="bottom"/>
            <w:hideMark/>
          </w:tcPr>
          <w:p w14:paraId="6557CA9D"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25%</w:t>
            </w:r>
          </w:p>
        </w:tc>
        <w:tc>
          <w:tcPr>
            <w:tcW w:w="1157" w:type="dxa"/>
            <w:shd w:val="clear" w:color="auto" w:fill="auto"/>
            <w:noWrap/>
            <w:vAlign w:val="bottom"/>
            <w:hideMark/>
          </w:tcPr>
          <w:p w14:paraId="7404DDB2" w14:textId="77777777" w:rsidR="00711296" w:rsidRPr="00533A00" w:rsidRDefault="00711296" w:rsidP="004831C9">
            <w:pPr>
              <w:bidi w:val="0"/>
              <w:jc w:val="right"/>
              <w:rPr>
                <w:rFonts w:cs="Calibri"/>
                <w:color w:val="000000"/>
                <w:sz w:val="18"/>
                <w:szCs w:val="18"/>
              </w:rPr>
            </w:pPr>
          </w:p>
        </w:tc>
        <w:tc>
          <w:tcPr>
            <w:tcW w:w="1116" w:type="dxa"/>
            <w:shd w:val="clear" w:color="auto" w:fill="auto"/>
            <w:noWrap/>
            <w:vAlign w:val="bottom"/>
            <w:hideMark/>
          </w:tcPr>
          <w:p w14:paraId="79B9EEBF" w14:textId="77777777" w:rsidR="00711296" w:rsidRPr="00533A00" w:rsidRDefault="00711296" w:rsidP="004831C9">
            <w:pPr>
              <w:bidi w:val="0"/>
              <w:rPr>
                <w:rFonts w:ascii="Times New Roman" w:hAnsi="Times New Roman" w:cs="Times New Roman"/>
                <w:sz w:val="18"/>
                <w:szCs w:val="18"/>
              </w:rPr>
            </w:pPr>
          </w:p>
        </w:tc>
        <w:tc>
          <w:tcPr>
            <w:tcW w:w="1418" w:type="dxa"/>
            <w:shd w:val="clear" w:color="auto" w:fill="auto"/>
            <w:noWrap/>
            <w:vAlign w:val="bottom"/>
            <w:hideMark/>
          </w:tcPr>
          <w:p w14:paraId="6D09039B"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57%</w:t>
            </w:r>
          </w:p>
        </w:tc>
      </w:tr>
      <w:tr w:rsidR="00711296" w:rsidRPr="000853B7" w14:paraId="6484BDFC" w14:textId="77777777" w:rsidTr="004831C9">
        <w:trPr>
          <w:trHeight w:val="300"/>
        </w:trPr>
        <w:tc>
          <w:tcPr>
            <w:tcW w:w="581" w:type="dxa"/>
            <w:vAlign w:val="bottom"/>
          </w:tcPr>
          <w:p w14:paraId="538F959E" w14:textId="77777777" w:rsidR="00711296" w:rsidRPr="000853B7" w:rsidRDefault="00711296" w:rsidP="004831C9">
            <w:pPr>
              <w:bidi w:val="0"/>
              <w:rPr>
                <w:rFonts w:cs="Calibri"/>
                <w:color w:val="000000"/>
                <w:sz w:val="18"/>
                <w:szCs w:val="18"/>
              </w:rPr>
            </w:pPr>
            <w:r w:rsidRPr="000853B7">
              <w:rPr>
                <w:rFonts w:cs="Calibri"/>
                <w:color w:val="000000"/>
                <w:sz w:val="18"/>
                <w:szCs w:val="18"/>
              </w:rPr>
              <w:t>1999</w:t>
            </w:r>
          </w:p>
        </w:tc>
        <w:tc>
          <w:tcPr>
            <w:tcW w:w="1193" w:type="dxa"/>
            <w:shd w:val="clear" w:color="auto" w:fill="auto"/>
            <w:noWrap/>
            <w:vAlign w:val="bottom"/>
            <w:hideMark/>
          </w:tcPr>
          <w:p w14:paraId="466BB8A6" w14:textId="77777777" w:rsidR="00711296" w:rsidRPr="00533A00" w:rsidRDefault="00711296" w:rsidP="004831C9">
            <w:pPr>
              <w:bidi w:val="0"/>
              <w:rPr>
                <w:rFonts w:cs="Calibri"/>
                <w:color w:val="000000"/>
                <w:sz w:val="18"/>
                <w:szCs w:val="18"/>
              </w:rPr>
            </w:pPr>
            <w:r w:rsidRPr="00533A00">
              <w:rPr>
                <w:rFonts w:cs="Calibri"/>
                <w:color w:val="000000"/>
                <w:sz w:val="18"/>
                <w:szCs w:val="18"/>
              </w:rPr>
              <w:t> </w:t>
            </w:r>
          </w:p>
        </w:tc>
        <w:tc>
          <w:tcPr>
            <w:tcW w:w="1193" w:type="dxa"/>
            <w:shd w:val="clear" w:color="auto" w:fill="auto"/>
            <w:noWrap/>
            <w:vAlign w:val="bottom"/>
            <w:hideMark/>
          </w:tcPr>
          <w:p w14:paraId="2D978183"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21%</w:t>
            </w:r>
          </w:p>
        </w:tc>
        <w:tc>
          <w:tcPr>
            <w:tcW w:w="1157" w:type="dxa"/>
            <w:shd w:val="clear" w:color="auto" w:fill="auto"/>
            <w:noWrap/>
            <w:vAlign w:val="bottom"/>
            <w:hideMark/>
          </w:tcPr>
          <w:p w14:paraId="285043D3" w14:textId="77777777" w:rsidR="00711296" w:rsidRPr="00533A00" w:rsidRDefault="00711296" w:rsidP="004831C9">
            <w:pPr>
              <w:bidi w:val="0"/>
              <w:jc w:val="right"/>
              <w:rPr>
                <w:rFonts w:cs="Calibri"/>
                <w:color w:val="000000"/>
                <w:sz w:val="18"/>
                <w:szCs w:val="18"/>
              </w:rPr>
            </w:pPr>
          </w:p>
        </w:tc>
        <w:tc>
          <w:tcPr>
            <w:tcW w:w="1116" w:type="dxa"/>
            <w:shd w:val="clear" w:color="auto" w:fill="auto"/>
            <w:noWrap/>
            <w:vAlign w:val="bottom"/>
            <w:hideMark/>
          </w:tcPr>
          <w:p w14:paraId="2A46C933" w14:textId="77777777" w:rsidR="00711296" w:rsidRPr="00533A00" w:rsidRDefault="00711296" w:rsidP="004831C9">
            <w:pPr>
              <w:bidi w:val="0"/>
              <w:rPr>
                <w:rFonts w:ascii="Times New Roman" w:hAnsi="Times New Roman" w:cs="Times New Roman"/>
                <w:sz w:val="18"/>
                <w:szCs w:val="18"/>
              </w:rPr>
            </w:pPr>
          </w:p>
        </w:tc>
        <w:tc>
          <w:tcPr>
            <w:tcW w:w="1418" w:type="dxa"/>
            <w:shd w:val="clear" w:color="auto" w:fill="auto"/>
            <w:noWrap/>
            <w:vAlign w:val="bottom"/>
            <w:hideMark/>
          </w:tcPr>
          <w:p w14:paraId="78A1714E"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67%</w:t>
            </w:r>
          </w:p>
        </w:tc>
      </w:tr>
      <w:tr w:rsidR="00711296" w:rsidRPr="000853B7" w14:paraId="2F106DB3" w14:textId="77777777" w:rsidTr="004831C9">
        <w:trPr>
          <w:trHeight w:val="300"/>
        </w:trPr>
        <w:tc>
          <w:tcPr>
            <w:tcW w:w="581" w:type="dxa"/>
            <w:vAlign w:val="bottom"/>
          </w:tcPr>
          <w:p w14:paraId="5379681A" w14:textId="77777777" w:rsidR="00711296" w:rsidRPr="000853B7" w:rsidRDefault="00711296" w:rsidP="004831C9">
            <w:pPr>
              <w:bidi w:val="0"/>
              <w:rPr>
                <w:rFonts w:cs="Calibri"/>
                <w:color w:val="000000"/>
                <w:sz w:val="18"/>
                <w:szCs w:val="18"/>
              </w:rPr>
            </w:pPr>
            <w:r w:rsidRPr="000853B7">
              <w:rPr>
                <w:rFonts w:cs="Calibri"/>
                <w:color w:val="000000"/>
                <w:sz w:val="18"/>
                <w:szCs w:val="18"/>
              </w:rPr>
              <w:t>2000</w:t>
            </w:r>
          </w:p>
        </w:tc>
        <w:tc>
          <w:tcPr>
            <w:tcW w:w="1193" w:type="dxa"/>
            <w:shd w:val="clear" w:color="auto" w:fill="auto"/>
            <w:noWrap/>
            <w:vAlign w:val="bottom"/>
            <w:hideMark/>
          </w:tcPr>
          <w:p w14:paraId="739B9B70" w14:textId="77777777" w:rsidR="00711296" w:rsidRPr="00533A00" w:rsidRDefault="00711296" w:rsidP="004831C9">
            <w:pPr>
              <w:bidi w:val="0"/>
              <w:rPr>
                <w:rFonts w:cs="Calibri"/>
                <w:color w:val="000000"/>
                <w:sz w:val="18"/>
                <w:szCs w:val="18"/>
              </w:rPr>
            </w:pPr>
            <w:r w:rsidRPr="00533A00">
              <w:rPr>
                <w:rFonts w:cs="Calibri"/>
                <w:color w:val="000000"/>
                <w:sz w:val="18"/>
                <w:szCs w:val="18"/>
              </w:rPr>
              <w:t> </w:t>
            </w:r>
          </w:p>
        </w:tc>
        <w:tc>
          <w:tcPr>
            <w:tcW w:w="1193" w:type="dxa"/>
            <w:shd w:val="clear" w:color="auto" w:fill="auto"/>
            <w:noWrap/>
            <w:vAlign w:val="bottom"/>
            <w:hideMark/>
          </w:tcPr>
          <w:p w14:paraId="33A70A67"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23%</w:t>
            </w:r>
          </w:p>
        </w:tc>
        <w:tc>
          <w:tcPr>
            <w:tcW w:w="1157" w:type="dxa"/>
            <w:shd w:val="clear" w:color="auto" w:fill="auto"/>
            <w:noWrap/>
            <w:vAlign w:val="bottom"/>
            <w:hideMark/>
          </w:tcPr>
          <w:p w14:paraId="2A46EEDB" w14:textId="77777777" w:rsidR="00711296" w:rsidRPr="00533A00" w:rsidRDefault="00711296" w:rsidP="004831C9">
            <w:pPr>
              <w:bidi w:val="0"/>
              <w:jc w:val="right"/>
              <w:rPr>
                <w:rFonts w:cs="Calibri"/>
                <w:color w:val="000000"/>
                <w:sz w:val="18"/>
                <w:szCs w:val="18"/>
              </w:rPr>
            </w:pPr>
          </w:p>
        </w:tc>
        <w:tc>
          <w:tcPr>
            <w:tcW w:w="1116" w:type="dxa"/>
            <w:shd w:val="clear" w:color="auto" w:fill="auto"/>
            <w:noWrap/>
            <w:vAlign w:val="bottom"/>
            <w:hideMark/>
          </w:tcPr>
          <w:p w14:paraId="7E460E70" w14:textId="77777777" w:rsidR="00711296" w:rsidRPr="00533A00" w:rsidRDefault="00711296" w:rsidP="004831C9">
            <w:pPr>
              <w:bidi w:val="0"/>
              <w:rPr>
                <w:rFonts w:ascii="Times New Roman" w:hAnsi="Times New Roman" w:cs="Times New Roman"/>
                <w:sz w:val="18"/>
                <w:szCs w:val="18"/>
              </w:rPr>
            </w:pPr>
          </w:p>
        </w:tc>
        <w:tc>
          <w:tcPr>
            <w:tcW w:w="1418" w:type="dxa"/>
            <w:shd w:val="clear" w:color="auto" w:fill="auto"/>
            <w:noWrap/>
            <w:vAlign w:val="bottom"/>
            <w:hideMark/>
          </w:tcPr>
          <w:p w14:paraId="60A4D872"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66%</w:t>
            </w:r>
          </w:p>
        </w:tc>
      </w:tr>
      <w:tr w:rsidR="00711296" w:rsidRPr="000853B7" w14:paraId="06E9D7BE" w14:textId="77777777" w:rsidTr="004831C9">
        <w:trPr>
          <w:trHeight w:val="300"/>
        </w:trPr>
        <w:tc>
          <w:tcPr>
            <w:tcW w:w="581" w:type="dxa"/>
            <w:vAlign w:val="bottom"/>
          </w:tcPr>
          <w:p w14:paraId="244D2F2A" w14:textId="77777777" w:rsidR="00711296" w:rsidRPr="000853B7" w:rsidRDefault="00711296" w:rsidP="004831C9">
            <w:pPr>
              <w:bidi w:val="0"/>
              <w:rPr>
                <w:rFonts w:cs="Calibri"/>
                <w:color w:val="000000"/>
                <w:sz w:val="18"/>
                <w:szCs w:val="18"/>
              </w:rPr>
            </w:pPr>
            <w:r w:rsidRPr="000853B7">
              <w:rPr>
                <w:rFonts w:cs="Calibri"/>
                <w:color w:val="000000"/>
                <w:sz w:val="18"/>
                <w:szCs w:val="18"/>
              </w:rPr>
              <w:t>2001</w:t>
            </w:r>
          </w:p>
        </w:tc>
        <w:tc>
          <w:tcPr>
            <w:tcW w:w="1193" w:type="dxa"/>
            <w:shd w:val="clear" w:color="auto" w:fill="auto"/>
            <w:noWrap/>
            <w:vAlign w:val="bottom"/>
            <w:hideMark/>
          </w:tcPr>
          <w:p w14:paraId="40172E82" w14:textId="77777777" w:rsidR="00711296" w:rsidRPr="00533A00" w:rsidRDefault="00711296" w:rsidP="004831C9">
            <w:pPr>
              <w:bidi w:val="0"/>
              <w:rPr>
                <w:rFonts w:cs="Calibri"/>
                <w:color w:val="000000"/>
                <w:sz w:val="18"/>
                <w:szCs w:val="18"/>
              </w:rPr>
            </w:pPr>
            <w:r w:rsidRPr="00533A00">
              <w:rPr>
                <w:rFonts w:cs="Calibri"/>
                <w:color w:val="000000"/>
                <w:sz w:val="18"/>
                <w:szCs w:val="18"/>
              </w:rPr>
              <w:t> </w:t>
            </w:r>
          </w:p>
        </w:tc>
        <w:tc>
          <w:tcPr>
            <w:tcW w:w="1193" w:type="dxa"/>
            <w:shd w:val="clear" w:color="auto" w:fill="auto"/>
            <w:noWrap/>
            <w:vAlign w:val="bottom"/>
            <w:hideMark/>
          </w:tcPr>
          <w:p w14:paraId="545FF94F"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19%</w:t>
            </w:r>
          </w:p>
        </w:tc>
        <w:tc>
          <w:tcPr>
            <w:tcW w:w="1157" w:type="dxa"/>
            <w:shd w:val="clear" w:color="auto" w:fill="auto"/>
            <w:noWrap/>
            <w:vAlign w:val="bottom"/>
            <w:hideMark/>
          </w:tcPr>
          <w:p w14:paraId="00EC1B81" w14:textId="77777777" w:rsidR="00711296" w:rsidRPr="00533A00" w:rsidRDefault="00711296" w:rsidP="004831C9">
            <w:pPr>
              <w:bidi w:val="0"/>
              <w:jc w:val="right"/>
              <w:rPr>
                <w:rFonts w:cs="Calibri"/>
                <w:color w:val="000000"/>
                <w:sz w:val="18"/>
                <w:szCs w:val="18"/>
              </w:rPr>
            </w:pPr>
          </w:p>
        </w:tc>
        <w:tc>
          <w:tcPr>
            <w:tcW w:w="1116" w:type="dxa"/>
            <w:shd w:val="clear" w:color="auto" w:fill="auto"/>
            <w:noWrap/>
            <w:vAlign w:val="bottom"/>
            <w:hideMark/>
          </w:tcPr>
          <w:p w14:paraId="7CE7C222" w14:textId="77777777" w:rsidR="00711296" w:rsidRPr="00533A00" w:rsidRDefault="00711296" w:rsidP="004831C9">
            <w:pPr>
              <w:bidi w:val="0"/>
              <w:rPr>
                <w:rFonts w:ascii="Times New Roman" w:hAnsi="Times New Roman" w:cs="Times New Roman"/>
                <w:sz w:val="18"/>
                <w:szCs w:val="18"/>
              </w:rPr>
            </w:pPr>
          </w:p>
        </w:tc>
        <w:tc>
          <w:tcPr>
            <w:tcW w:w="1418" w:type="dxa"/>
            <w:shd w:val="clear" w:color="auto" w:fill="auto"/>
            <w:noWrap/>
            <w:vAlign w:val="bottom"/>
            <w:hideMark/>
          </w:tcPr>
          <w:p w14:paraId="620F7AE0"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66%</w:t>
            </w:r>
          </w:p>
        </w:tc>
      </w:tr>
      <w:tr w:rsidR="00711296" w:rsidRPr="000853B7" w14:paraId="42ADCAB2" w14:textId="77777777" w:rsidTr="004831C9">
        <w:trPr>
          <w:trHeight w:val="300"/>
        </w:trPr>
        <w:tc>
          <w:tcPr>
            <w:tcW w:w="581" w:type="dxa"/>
            <w:vAlign w:val="bottom"/>
          </w:tcPr>
          <w:p w14:paraId="54064ADF" w14:textId="77777777" w:rsidR="00711296" w:rsidRPr="000853B7" w:rsidRDefault="00711296" w:rsidP="004831C9">
            <w:pPr>
              <w:bidi w:val="0"/>
              <w:rPr>
                <w:rFonts w:cs="Calibri"/>
                <w:color w:val="000000"/>
                <w:sz w:val="18"/>
                <w:szCs w:val="18"/>
              </w:rPr>
            </w:pPr>
            <w:r w:rsidRPr="000853B7">
              <w:rPr>
                <w:rFonts w:cs="Calibri"/>
                <w:color w:val="000000"/>
                <w:sz w:val="18"/>
                <w:szCs w:val="18"/>
              </w:rPr>
              <w:t>2002</w:t>
            </w:r>
          </w:p>
        </w:tc>
        <w:tc>
          <w:tcPr>
            <w:tcW w:w="1193" w:type="dxa"/>
            <w:shd w:val="clear" w:color="auto" w:fill="auto"/>
            <w:noWrap/>
            <w:vAlign w:val="bottom"/>
            <w:hideMark/>
          </w:tcPr>
          <w:p w14:paraId="1073255B" w14:textId="77777777" w:rsidR="00711296" w:rsidRPr="00533A00" w:rsidRDefault="00711296" w:rsidP="004831C9">
            <w:pPr>
              <w:bidi w:val="0"/>
              <w:rPr>
                <w:rFonts w:cs="Calibri"/>
                <w:color w:val="000000"/>
                <w:sz w:val="18"/>
                <w:szCs w:val="18"/>
              </w:rPr>
            </w:pPr>
            <w:r w:rsidRPr="00533A00">
              <w:rPr>
                <w:rFonts w:cs="Calibri"/>
                <w:color w:val="000000"/>
                <w:sz w:val="18"/>
                <w:szCs w:val="18"/>
              </w:rPr>
              <w:t> </w:t>
            </w:r>
          </w:p>
        </w:tc>
        <w:tc>
          <w:tcPr>
            <w:tcW w:w="1193" w:type="dxa"/>
            <w:shd w:val="clear" w:color="auto" w:fill="auto"/>
            <w:noWrap/>
            <w:vAlign w:val="bottom"/>
            <w:hideMark/>
          </w:tcPr>
          <w:p w14:paraId="2C6CCD75"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18%</w:t>
            </w:r>
          </w:p>
        </w:tc>
        <w:tc>
          <w:tcPr>
            <w:tcW w:w="1157" w:type="dxa"/>
            <w:shd w:val="clear" w:color="auto" w:fill="auto"/>
            <w:noWrap/>
            <w:vAlign w:val="bottom"/>
            <w:hideMark/>
          </w:tcPr>
          <w:p w14:paraId="6512BA39" w14:textId="77777777" w:rsidR="00711296" w:rsidRPr="00533A00" w:rsidRDefault="00711296" w:rsidP="004831C9">
            <w:pPr>
              <w:bidi w:val="0"/>
              <w:jc w:val="right"/>
              <w:rPr>
                <w:rFonts w:cs="Calibri"/>
                <w:color w:val="000000"/>
                <w:sz w:val="18"/>
                <w:szCs w:val="18"/>
              </w:rPr>
            </w:pPr>
          </w:p>
        </w:tc>
        <w:tc>
          <w:tcPr>
            <w:tcW w:w="1116" w:type="dxa"/>
            <w:shd w:val="clear" w:color="auto" w:fill="auto"/>
            <w:noWrap/>
            <w:vAlign w:val="bottom"/>
            <w:hideMark/>
          </w:tcPr>
          <w:p w14:paraId="1A7F09CE" w14:textId="77777777" w:rsidR="00711296" w:rsidRPr="00533A00" w:rsidRDefault="00711296" w:rsidP="004831C9">
            <w:pPr>
              <w:bidi w:val="0"/>
              <w:rPr>
                <w:rFonts w:ascii="Times New Roman" w:hAnsi="Times New Roman" w:cs="Times New Roman"/>
                <w:sz w:val="18"/>
                <w:szCs w:val="18"/>
              </w:rPr>
            </w:pPr>
          </w:p>
        </w:tc>
        <w:tc>
          <w:tcPr>
            <w:tcW w:w="1418" w:type="dxa"/>
            <w:shd w:val="clear" w:color="auto" w:fill="auto"/>
            <w:noWrap/>
            <w:vAlign w:val="bottom"/>
            <w:hideMark/>
          </w:tcPr>
          <w:p w14:paraId="16A7E94C"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63%</w:t>
            </w:r>
          </w:p>
        </w:tc>
      </w:tr>
      <w:tr w:rsidR="00711296" w:rsidRPr="000853B7" w14:paraId="09B8F100" w14:textId="77777777" w:rsidTr="004831C9">
        <w:trPr>
          <w:trHeight w:val="300"/>
        </w:trPr>
        <w:tc>
          <w:tcPr>
            <w:tcW w:w="581" w:type="dxa"/>
            <w:vAlign w:val="bottom"/>
          </w:tcPr>
          <w:p w14:paraId="2045F073" w14:textId="77777777" w:rsidR="00711296" w:rsidRPr="000853B7" w:rsidRDefault="00711296" w:rsidP="004831C9">
            <w:pPr>
              <w:bidi w:val="0"/>
              <w:rPr>
                <w:rFonts w:cs="Calibri"/>
                <w:color w:val="000000"/>
                <w:sz w:val="18"/>
                <w:szCs w:val="18"/>
              </w:rPr>
            </w:pPr>
            <w:r w:rsidRPr="000853B7">
              <w:rPr>
                <w:rFonts w:cs="Calibri"/>
                <w:color w:val="000000"/>
                <w:sz w:val="18"/>
                <w:szCs w:val="18"/>
              </w:rPr>
              <w:t>2003</w:t>
            </w:r>
          </w:p>
        </w:tc>
        <w:tc>
          <w:tcPr>
            <w:tcW w:w="1193" w:type="dxa"/>
            <w:shd w:val="clear" w:color="auto" w:fill="auto"/>
            <w:noWrap/>
            <w:vAlign w:val="bottom"/>
            <w:hideMark/>
          </w:tcPr>
          <w:p w14:paraId="362620D4" w14:textId="77777777" w:rsidR="00711296" w:rsidRPr="00533A00" w:rsidRDefault="00711296" w:rsidP="004831C9">
            <w:pPr>
              <w:bidi w:val="0"/>
              <w:rPr>
                <w:rFonts w:cs="Calibri"/>
                <w:color w:val="000000"/>
                <w:sz w:val="18"/>
                <w:szCs w:val="18"/>
              </w:rPr>
            </w:pPr>
            <w:r w:rsidRPr="00533A00">
              <w:rPr>
                <w:rFonts w:cs="Calibri"/>
                <w:color w:val="000000"/>
                <w:sz w:val="18"/>
                <w:szCs w:val="18"/>
              </w:rPr>
              <w:t> </w:t>
            </w:r>
          </w:p>
        </w:tc>
        <w:tc>
          <w:tcPr>
            <w:tcW w:w="1193" w:type="dxa"/>
            <w:shd w:val="clear" w:color="auto" w:fill="auto"/>
            <w:noWrap/>
            <w:vAlign w:val="bottom"/>
            <w:hideMark/>
          </w:tcPr>
          <w:p w14:paraId="6FC62F91"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23%</w:t>
            </w:r>
          </w:p>
        </w:tc>
        <w:tc>
          <w:tcPr>
            <w:tcW w:w="1157" w:type="dxa"/>
            <w:shd w:val="clear" w:color="auto" w:fill="auto"/>
            <w:noWrap/>
            <w:vAlign w:val="bottom"/>
            <w:hideMark/>
          </w:tcPr>
          <w:p w14:paraId="211BC39D" w14:textId="77777777" w:rsidR="00711296" w:rsidRPr="00533A00" w:rsidRDefault="00711296" w:rsidP="004831C9">
            <w:pPr>
              <w:bidi w:val="0"/>
              <w:jc w:val="right"/>
              <w:rPr>
                <w:rFonts w:cs="Calibri"/>
                <w:color w:val="000000"/>
                <w:sz w:val="18"/>
                <w:szCs w:val="18"/>
              </w:rPr>
            </w:pPr>
          </w:p>
        </w:tc>
        <w:tc>
          <w:tcPr>
            <w:tcW w:w="1116" w:type="dxa"/>
            <w:shd w:val="clear" w:color="auto" w:fill="auto"/>
            <w:noWrap/>
            <w:vAlign w:val="bottom"/>
            <w:hideMark/>
          </w:tcPr>
          <w:p w14:paraId="412C3447" w14:textId="77777777" w:rsidR="00711296" w:rsidRPr="00533A00" w:rsidRDefault="00711296" w:rsidP="004831C9">
            <w:pPr>
              <w:bidi w:val="0"/>
              <w:rPr>
                <w:rFonts w:ascii="Times New Roman" w:hAnsi="Times New Roman" w:cs="Times New Roman"/>
                <w:sz w:val="18"/>
                <w:szCs w:val="18"/>
              </w:rPr>
            </w:pPr>
          </w:p>
        </w:tc>
        <w:tc>
          <w:tcPr>
            <w:tcW w:w="1418" w:type="dxa"/>
            <w:shd w:val="clear" w:color="auto" w:fill="auto"/>
            <w:noWrap/>
            <w:vAlign w:val="bottom"/>
            <w:hideMark/>
          </w:tcPr>
          <w:p w14:paraId="57DE6441"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62%</w:t>
            </w:r>
          </w:p>
        </w:tc>
      </w:tr>
      <w:tr w:rsidR="00711296" w:rsidRPr="000853B7" w14:paraId="2592B020" w14:textId="77777777" w:rsidTr="004831C9">
        <w:trPr>
          <w:trHeight w:val="300"/>
        </w:trPr>
        <w:tc>
          <w:tcPr>
            <w:tcW w:w="581" w:type="dxa"/>
            <w:vAlign w:val="bottom"/>
          </w:tcPr>
          <w:p w14:paraId="1702493F" w14:textId="77777777" w:rsidR="00711296" w:rsidRPr="000853B7" w:rsidRDefault="00711296" w:rsidP="004831C9">
            <w:pPr>
              <w:bidi w:val="0"/>
              <w:rPr>
                <w:rFonts w:cs="Calibri"/>
                <w:color w:val="000000"/>
                <w:sz w:val="18"/>
                <w:szCs w:val="18"/>
              </w:rPr>
            </w:pPr>
            <w:r w:rsidRPr="000853B7">
              <w:rPr>
                <w:rFonts w:cs="Calibri"/>
                <w:color w:val="000000"/>
                <w:sz w:val="18"/>
                <w:szCs w:val="18"/>
              </w:rPr>
              <w:t>2004</w:t>
            </w:r>
          </w:p>
        </w:tc>
        <w:tc>
          <w:tcPr>
            <w:tcW w:w="1193" w:type="dxa"/>
            <w:shd w:val="clear" w:color="auto" w:fill="auto"/>
            <w:noWrap/>
            <w:vAlign w:val="bottom"/>
            <w:hideMark/>
          </w:tcPr>
          <w:p w14:paraId="4DC0AADC" w14:textId="77777777" w:rsidR="00711296" w:rsidRPr="00533A00" w:rsidRDefault="00711296" w:rsidP="004831C9">
            <w:pPr>
              <w:bidi w:val="0"/>
              <w:rPr>
                <w:rFonts w:cs="Calibri"/>
                <w:color w:val="000000"/>
                <w:sz w:val="18"/>
                <w:szCs w:val="18"/>
              </w:rPr>
            </w:pPr>
            <w:r w:rsidRPr="00533A00">
              <w:rPr>
                <w:rFonts w:cs="Calibri"/>
                <w:color w:val="000000"/>
                <w:sz w:val="18"/>
                <w:szCs w:val="18"/>
              </w:rPr>
              <w:t> </w:t>
            </w:r>
          </w:p>
        </w:tc>
        <w:tc>
          <w:tcPr>
            <w:tcW w:w="1193" w:type="dxa"/>
            <w:shd w:val="clear" w:color="auto" w:fill="auto"/>
            <w:noWrap/>
            <w:vAlign w:val="bottom"/>
            <w:hideMark/>
          </w:tcPr>
          <w:p w14:paraId="7367A3DE"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28%</w:t>
            </w:r>
          </w:p>
        </w:tc>
        <w:tc>
          <w:tcPr>
            <w:tcW w:w="1157" w:type="dxa"/>
            <w:shd w:val="clear" w:color="auto" w:fill="auto"/>
            <w:noWrap/>
            <w:vAlign w:val="bottom"/>
            <w:hideMark/>
          </w:tcPr>
          <w:p w14:paraId="6A0675B4" w14:textId="77777777" w:rsidR="00711296" w:rsidRPr="00533A00" w:rsidRDefault="00711296" w:rsidP="004831C9">
            <w:pPr>
              <w:bidi w:val="0"/>
              <w:jc w:val="right"/>
              <w:rPr>
                <w:rFonts w:cs="Calibri"/>
                <w:color w:val="000000"/>
                <w:sz w:val="18"/>
                <w:szCs w:val="18"/>
              </w:rPr>
            </w:pPr>
          </w:p>
        </w:tc>
        <w:tc>
          <w:tcPr>
            <w:tcW w:w="1116" w:type="dxa"/>
            <w:shd w:val="clear" w:color="auto" w:fill="auto"/>
            <w:noWrap/>
            <w:vAlign w:val="bottom"/>
            <w:hideMark/>
          </w:tcPr>
          <w:p w14:paraId="14DE768D" w14:textId="77777777" w:rsidR="00711296" w:rsidRPr="00533A00" w:rsidRDefault="00711296" w:rsidP="004831C9">
            <w:pPr>
              <w:bidi w:val="0"/>
              <w:rPr>
                <w:rFonts w:ascii="Times New Roman" w:hAnsi="Times New Roman" w:cs="Times New Roman"/>
                <w:sz w:val="18"/>
                <w:szCs w:val="18"/>
              </w:rPr>
            </w:pPr>
          </w:p>
        </w:tc>
        <w:tc>
          <w:tcPr>
            <w:tcW w:w="1418" w:type="dxa"/>
            <w:shd w:val="clear" w:color="auto" w:fill="auto"/>
            <w:noWrap/>
            <w:vAlign w:val="bottom"/>
            <w:hideMark/>
          </w:tcPr>
          <w:p w14:paraId="3576B1E0"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65%</w:t>
            </w:r>
          </w:p>
        </w:tc>
      </w:tr>
      <w:tr w:rsidR="00711296" w:rsidRPr="000853B7" w14:paraId="75B54F38" w14:textId="77777777" w:rsidTr="004831C9">
        <w:trPr>
          <w:trHeight w:val="300"/>
        </w:trPr>
        <w:tc>
          <w:tcPr>
            <w:tcW w:w="581" w:type="dxa"/>
            <w:vAlign w:val="bottom"/>
          </w:tcPr>
          <w:p w14:paraId="077B75A0" w14:textId="77777777" w:rsidR="00711296" w:rsidRPr="000853B7" w:rsidRDefault="00711296" w:rsidP="004831C9">
            <w:pPr>
              <w:bidi w:val="0"/>
              <w:rPr>
                <w:rFonts w:cs="Calibri"/>
                <w:color w:val="000000"/>
                <w:sz w:val="18"/>
                <w:szCs w:val="18"/>
              </w:rPr>
            </w:pPr>
            <w:r w:rsidRPr="000853B7">
              <w:rPr>
                <w:rFonts w:cs="Calibri"/>
                <w:color w:val="000000"/>
                <w:sz w:val="18"/>
                <w:szCs w:val="18"/>
              </w:rPr>
              <w:t>2005</w:t>
            </w:r>
          </w:p>
        </w:tc>
        <w:tc>
          <w:tcPr>
            <w:tcW w:w="1193" w:type="dxa"/>
            <w:shd w:val="clear" w:color="auto" w:fill="auto"/>
            <w:noWrap/>
            <w:vAlign w:val="bottom"/>
            <w:hideMark/>
          </w:tcPr>
          <w:p w14:paraId="265C1EDE" w14:textId="77777777" w:rsidR="00711296" w:rsidRPr="00533A00" w:rsidRDefault="00711296" w:rsidP="004831C9">
            <w:pPr>
              <w:bidi w:val="0"/>
              <w:rPr>
                <w:rFonts w:cs="Calibri"/>
                <w:color w:val="000000"/>
                <w:sz w:val="18"/>
                <w:szCs w:val="18"/>
              </w:rPr>
            </w:pPr>
            <w:r w:rsidRPr="00533A00">
              <w:rPr>
                <w:rFonts w:cs="Calibri"/>
                <w:color w:val="000000"/>
                <w:sz w:val="18"/>
                <w:szCs w:val="18"/>
              </w:rPr>
              <w:t> </w:t>
            </w:r>
          </w:p>
        </w:tc>
        <w:tc>
          <w:tcPr>
            <w:tcW w:w="1193" w:type="dxa"/>
            <w:shd w:val="clear" w:color="auto" w:fill="auto"/>
            <w:noWrap/>
            <w:vAlign w:val="bottom"/>
            <w:hideMark/>
          </w:tcPr>
          <w:p w14:paraId="3718F6C7"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17%</w:t>
            </w:r>
          </w:p>
        </w:tc>
        <w:tc>
          <w:tcPr>
            <w:tcW w:w="1157" w:type="dxa"/>
            <w:shd w:val="clear" w:color="auto" w:fill="auto"/>
            <w:noWrap/>
            <w:vAlign w:val="bottom"/>
            <w:hideMark/>
          </w:tcPr>
          <w:p w14:paraId="53BFF8BF" w14:textId="77777777" w:rsidR="00711296" w:rsidRPr="00533A00" w:rsidRDefault="00711296" w:rsidP="004831C9">
            <w:pPr>
              <w:bidi w:val="0"/>
              <w:jc w:val="right"/>
              <w:rPr>
                <w:rFonts w:cs="Calibri"/>
                <w:color w:val="000000"/>
                <w:sz w:val="18"/>
                <w:szCs w:val="18"/>
              </w:rPr>
            </w:pPr>
          </w:p>
        </w:tc>
        <w:tc>
          <w:tcPr>
            <w:tcW w:w="1116" w:type="dxa"/>
            <w:shd w:val="clear" w:color="auto" w:fill="auto"/>
            <w:noWrap/>
            <w:vAlign w:val="bottom"/>
            <w:hideMark/>
          </w:tcPr>
          <w:p w14:paraId="06B6AA08" w14:textId="77777777" w:rsidR="00711296" w:rsidRPr="00533A00" w:rsidRDefault="00711296" w:rsidP="004831C9">
            <w:pPr>
              <w:bidi w:val="0"/>
              <w:rPr>
                <w:rFonts w:ascii="Times New Roman" w:hAnsi="Times New Roman" w:cs="Times New Roman"/>
                <w:sz w:val="18"/>
                <w:szCs w:val="18"/>
              </w:rPr>
            </w:pPr>
          </w:p>
        </w:tc>
        <w:tc>
          <w:tcPr>
            <w:tcW w:w="1418" w:type="dxa"/>
            <w:shd w:val="clear" w:color="auto" w:fill="auto"/>
            <w:noWrap/>
            <w:vAlign w:val="bottom"/>
            <w:hideMark/>
          </w:tcPr>
          <w:p w14:paraId="28A5A4F0"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61%</w:t>
            </w:r>
          </w:p>
        </w:tc>
      </w:tr>
      <w:tr w:rsidR="00711296" w:rsidRPr="000853B7" w14:paraId="14135244" w14:textId="77777777" w:rsidTr="004831C9">
        <w:trPr>
          <w:trHeight w:val="300"/>
        </w:trPr>
        <w:tc>
          <w:tcPr>
            <w:tcW w:w="581" w:type="dxa"/>
            <w:vAlign w:val="bottom"/>
          </w:tcPr>
          <w:p w14:paraId="47AD14D9" w14:textId="77777777" w:rsidR="00711296" w:rsidRPr="000853B7" w:rsidRDefault="00711296" w:rsidP="004831C9">
            <w:pPr>
              <w:bidi w:val="0"/>
              <w:jc w:val="right"/>
              <w:rPr>
                <w:rFonts w:cs="Calibri"/>
                <w:color w:val="000000"/>
                <w:sz w:val="18"/>
                <w:szCs w:val="18"/>
              </w:rPr>
            </w:pPr>
            <w:r w:rsidRPr="000853B7">
              <w:rPr>
                <w:rFonts w:cs="Calibri"/>
                <w:color w:val="000000"/>
                <w:sz w:val="18"/>
                <w:szCs w:val="18"/>
              </w:rPr>
              <w:t>2006</w:t>
            </w:r>
          </w:p>
        </w:tc>
        <w:tc>
          <w:tcPr>
            <w:tcW w:w="1193" w:type="dxa"/>
            <w:shd w:val="clear" w:color="auto" w:fill="auto"/>
            <w:noWrap/>
            <w:vAlign w:val="bottom"/>
            <w:hideMark/>
          </w:tcPr>
          <w:p w14:paraId="5605AC43"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14%</w:t>
            </w:r>
          </w:p>
        </w:tc>
        <w:tc>
          <w:tcPr>
            <w:tcW w:w="1193" w:type="dxa"/>
            <w:shd w:val="clear" w:color="auto" w:fill="auto"/>
            <w:noWrap/>
            <w:vAlign w:val="bottom"/>
            <w:hideMark/>
          </w:tcPr>
          <w:p w14:paraId="32AE619B"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17%</w:t>
            </w:r>
          </w:p>
        </w:tc>
        <w:tc>
          <w:tcPr>
            <w:tcW w:w="1157" w:type="dxa"/>
            <w:shd w:val="clear" w:color="auto" w:fill="auto"/>
            <w:noWrap/>
            <w:vAlign w:val="bottom"/>
            <w:hideMark/>
          </w:tcPr>
          <w:p w14:paraId="66E333EC" w14:textId="77777777" w:rsidR="00711296" w:rsidRPr="00533A00" w:rsidRDefault="00711296" w:rsidP="004831C9">
            <w:pPr>
              <w:bidi w:val="0"/>
              <w:jc w:val="right"/>
              <w:rPr>
                <w:rFonts w:cs="Calibri"/>
                <w:color w:val="000000"/>
                <w:sz w:val="18"/>
                <w:szCs w:val="18"/>
              </w:rPr>
            </w:pPr>
          </w:p>
        </w:tc>
        <w:tc>
          <w:tcPr>
            <w:tcW w:w="1116" w:type="dxa"/>
            <w:shd w:val="clear" w:color="auto" w:fill="auto"/>
            <w:noWrap/>
            <w:vAlign w:val="bottom"/>
            <w:hideMark/>
          </w:tcPr>
          <w:p w14:paraId="354BE2EA" w14:textId="77777777" w:rsidR="00711296" w:rsidRPr="00533A00" w:rsidRDefault="00711296" w:rsidP="004831C9">
            <w:pPr>
              <w:bidi w:val="0"/>
              <w:rPr>
                <w:rFonts w:ascii="Times New Roman" w:hAnsi="Times New Roman" w:cs="Times New Roman"/>
                <w:sz w:val="18"/>
                <w:szCs w:val="18"/>
              </w:rPr>
            </w:pPr>
          </w:p>
        </w:tc>
        <w:tc>
          <w:tcPr>
            <w:tcW w:w="1418" w:type="dxa"/>
            <w:shd w:val="clear" w:color="auto" w:fill="auto"/>
            <w:noWrap/>
            <w:vAlign w:val="bottom"/>
            <w:hideMark/>
          </w:tcPr>
          <w:p w14:paraId="3B4D005A"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65%</w:t>
            </w:r>
          </w:p>
        </w:tc>
      </w:tr>
      <w:tr w:rsidR="00711296" w:rsidRPr="000853B7" w14:paraId="763D0D06" w14:textId="77777777" w:rsidTr="004831C9">
        <w:trPr>
          <w:trHeight w:val="300"/>
        </w:trPr>
        <w:tc>
          <w:tcPr>
            <w:tcW w:w="581" w:type="dxa"/>
            <w:vAlign w:val="bottom"/>
          </w:tcPr>
          <w:p w14:paraId="4447BED0" w14:textId="77777777" w:rsidR="00711296" w:rsidRPr="000853B7" w:rsidRDefault="00711296" w:rsidP="004831C9">
            <w:pPr>
              <w:bidi w:val="0"/>
              <w:jc w:val="right"/>
              <w:rPr>
                <w:rFonts w:cs="Calibri"/>
                <w:color w:val="000000"/>
                <w:sz w:val="18"/>
                <w:szCs w:val="18"/>
              </w:rPr>
            </w:pPr>
            <w:r w:rsidRPr="000853B7">
              <w:rPr>
                <w:rFonts w:cs="Calibri"/>
                <w:color w:val="000000"/>
                <w:sz w:val="18"/>
                <w:szCs w:val="18"/>
              </w:rPr>
              <w:t>2007</w:t>
            </w:r>
          </w:p>
        </w:tc>
        <w:tc>
          <w:tcPr>
            <w:tcW w:w="1193" w:type="dxa"/>
            <w:shd w:val="clear" w:color="auto" w:fill="auto"/>
            <w:noWrap/>
            <w:vAlign w:val="bottom"/>
            <w:hideMark/>
          </w:tcPr>
          <w:p w14:paraId="0F700FAD"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18%</w:t>
            </w:r>
          </w:p>
        </w:tc>
        <w:tc>
          <w:tcPr>
            <w:tcW w:w="1193" w:type="dxa"/>
            <w:shd w:val="clear" w:color="auto" w:fill="auto"/>
            <w:noWrap/>
            <w:vAlign w:val="bottom"/>
            <w:hideMark/>
          </w:tcPr>
          <w:p w14:paraId="591618B8"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20%</w:t>
            </w:r>
          </w:p>
        </w:tc>
        <w:tc>
          <w:tcPr>
            <w:tcW w:w="1157" w:type="dxa"/>
            <w:shd w:val="clear" w:color="auto" w:fill="auto"/>
            <w:noWrap/>
            <w:vAlign w:val="bottom"/>
            <w:hideMark/>
          </w:tcPr>
          <w:p w14:paraId="3FBF1F83" w14:textId="77777777" w:rsidR="00711296" w:rsidRPr="00533A00" w:rsidRDefault="00711296" w:rsidP="004831C9">
            <w:pPr>
              <w:bidi w:val="0"/>
              <w:jc w:val="right"/>
              <w:rPr>
                <w:rFonts w:cs="Calibri"/>
                <w:color w:val="000000"/>
                <w:sz w:val="18"/>
                <w:szCs w:val="18"/>
              </w:rPr>
            </w:pPr>
          </w:p>
        </w:tc>
        <w:tc>
          <w:tcPr>
            <w:tcW w:w="1116" w:type="dxa"/>
            <w:shd w:val="clear" w:color="auto" w:fill="auto"/>
            <w:noWrap/>
            <w:vAlign w:val="bottom"/>
            <w:hideMark/>
          </w:tcPr>
          <w:p w14:paraId="2228C82C" w14:textId="77777777" w:rsidR="00711296" w:rsidRPr="00533A00" w:rsidRDefault="00711296" w:rsidP="004831C9">
            <w:pPr>
              <w:bidi w:val="0"/>
              <w:rPr>
                <w:rFonts w:ascii="Times New Roman" w:hAnsi="Times New Roman" w:cs="Times New Roman"/>
                <w:sz w:val="18"/>
                <w:szCs w:val="18"/>
              </w:rPr>
            </w:pPr>
          </w:p>
        </w:tc>
        <w:tc>
          <w:tcPr>
            <w:tcW w:w="1418" w:type="dxa"/>
            <w:shd w:val="clear" w:color="auto" w:fill="auto"/>
            <w:noWrap/>
            <w:vAlign w:val="bottom"/>
            <w:hideMark/>
          </w:tcPr>
          <w:p w14:paraId="119402D3"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66%</w:t>
            </w:r>
          </w:p>
        </w:tc>
      </w:tr>
      <w:tr w:rsidR="00711296" w:rsidRPr="000853B7" w14:paraId="52B8FC01" w14:textId="77777777" w:rsidTr="004831C9">
        <w:trPr>
          <w:trHeight w:val="300"/>
        </w:trPr>
        <w:tc>
          <w:tcPr>
            <w:tcW w:w="581" w:type="dxa"/>
            <w:vAlign w:val="bottom"/>
          </w:tcPr>
          <w:p w14:paraId="1F299E1C" w14:textId="77777777" w:rsidR="00711296" w:rsidRPr="000853B7" w:rsidRDefault="00711296" w:rsidP="004831C9">
            <w:pPr>
              <w:bidi w:val="0"/>
              <w:jc w:val="right"/>
              <w:rPr>
                <w:rFonts w:cs="Calibri"/>
                <w:color w:val="000000"/>
                <w:sz w:val="18"/>
                <w:szCs w:val="18"/>
              </w:rPr>
            </w:pPr>
            <w:r w:rsidRPr="000853B7">
              <w:rPr>
                <w:rFonts w:cs="Calibri"/>
                <w:color w:val="000000"/>
                <w:sz w:val="18"/>
                <w:szCs w:val="18"/>
              </w:rPr>
              <w:t>2008</w:t>
            </w:r>
          </w:p>
        </w:tc>
        <w:tc>
          <w:tcPr>
            <w:tcW w:w="1193" w:type="dxa"/>
            <w:shd w:val="clear" w:color="auto" w:fill="auto"/>
            <w:noWrap/>
            <w:vAlign w:val="bottom"/>
            <w:hideMark/>
          </w:tcPr>
          <w:p w14:paraId="1AA366A0"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22%</w:t>
            </w:r>
          </w:p>
        </w:tc>
        <w:tc>
          <w:tcPr>
            <w:tcW w:w="1193" w:type="dxa"/>
            <w:shd w:val="clear" w:color="auto" w:fill="auto"/>
            <w:noWrap/>
            <w:vAlign w:val="bottom"/>
            <w:hideMark/>
          </w:tcPr>
          <w:p w14:paraId="09A4C26C"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26%</w:t>
            </w:r>
          </w:p>
        </w:tc>
        <w:tc>
          <w:tcPr>
            <w:tcW w:w="1157" w:type="dxa"/>
            <w:shd w:val="clear" w:color="auto" w:fill="auto"/>
            <w:noWrap/>
            <w:vAlign w:val="bottom"/>
            <w:hideMark/>
          </w:tcPr>
          <w:p w14:paraId="10C368DA" w14:textId="77777777" w:rsidR="00711296" w:rsidRPr="00533A00" w:rsidRDefault="00711296" w:rsidP="004831C9">
            <w:pPr>
              <w:bidi w:val="0"/>
              <w:jc w:val="right"/>
              <w:rPr>
                <w:rFonts w:cs="Calibri"/>
                <w:color w:val="000000"/>
                <w:sz w:val="18"/>
                <w:szCs w:val="18"/>
              </w:rPr>
            </w:pPr>
          </w:p>
        </w:tc>
        <w:tc>
          <w:tcPr>
            <w:tcW w:w="1116" w:type="dxa"/>
            <w:shd w:val="clear" w:color="auto" w:fill="auto"/>
            <w:noWrap/>
            <w:vAlign w:val="bottom"/>
            <w:hideMark/>
          </w:tcPr>
          <w:p w14:paraId="339A2ED7" w14:textId="77777777" w:rsidR="00711296" w:rsidRPr="00533A00" w:rsidRDefault="00711296" w:rsidP="004831C9">
            <w:pPr>
              <w:bidi w:val="0"/>
              <w:rPr>
                <w:rFonts w:ascii="Times New Roman" w:hAnsi="Times New Roman" w:cs="Times New Roman"/>
                <w:sz w:val="18"/>
                <w:szCs w:val="18"/>
              </w:rPr>
            </w:pPr>
          </w:p>
        </w:tc>
        <w:tc>
          <w:tcPr>
            <w:tcW w:w="1418" w:type="dxa"/>
            <w:shd w:val="clear" w:color="auto" w:fill="auto"/>
            <w:noWrap/>
            <w:vAlign w:val="bottom"/>
            <w:hideMark/>
          </w:tcPr>
          <w:p w14:paraId="3D03B80F"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70%</w:t>
            </w:r>
          </w:p>
        </w:tc>
      </w:tr>
      <w:tr w:rsidR="00711296" w:rsidRPr="000853B7" w14:paraId="2253667B" w14:textId="77777777" w:rsidTr="004831C9">
        <w:trPr>
          <w:trHeight w:val="300"/>
        </w:trPr>
        <w:tc>
          <w:tcPr>
            <w:tcW w:w="581" w:type="dxa"/>
            <w:vAlign w:val="bottom"/>
          </w:tcPr>
          <w:p w14:paraId="1DA88310" w14:textId="77777777" w:rsidR="00711296" w:rsidRPr="000853B7" w:rsidRDefault="00711296" w:rsidP="004831C9">
            <w:pPr>
              <w:bidi w:val="0"/>
              <w:jc w:val="right"/>
              <w:rPr>
                <w:rFonts w:cs="Calibri"/>
                <w:color w:val="000000"/>
                <w:sz w:val="18"/>
                <w:szCs w:val="18"/>
              </w:rPr>
            </w:pPr>
            <w:r w:rsidRPr="000853B7">
              <w:rPr>
                <w:rFonts w:cs="Calibri"/>
                <w:color w:val="000000"/>
                <w:sz w:val="18"/>
                <w:szCs w:val="18"/>
              </w:rPr>
              <w:t>2009</w:t>
            </w:r>
          </w:p>
        </w:tc>
        <w:tc>
          <w:tcPr>
            <w:tcW w:w="1193" w:type="dxa"/>
            <w:shd w:val="clear" w:color="auto" w:fill="auto"/>
            <w:noWrap/>
            <w:vAlign w:val="bottom"/>
            <w:hideMark/>
          </w:tcPr>
          <w:p w14:paraId="64B8C857"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23%</w:t>
            </w:r>
          </w:p>
        </w:tc>
        <w:tc>
          <w:tcPr>
            <w:tcW w:w="1193" w:type="dxa"/>
            <w:shd w:val="clear" w:color="auto" w:fill="auto"/>
            <w:noWrap/>
            <w:vAlign w:val="bottom"/>
            <w:hideMark/>
          </w:tcPr>
          <w:p w14:paraId="1FEA8F0B"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26%</w:t>
            </w:r>
          </w:p>
        </w:tc>
        <w:tc>
          <w:tcPr>
            <w:tcW w:w="1157" w:type="dxa"/>
            <w:shd w:val="clear" w:color="auto" w:fill="auto"/>
            <w:noWrap/>
            <w:vAlign w:val="bottom"/>
            <w:hideMark/>
          </w:tcPr>
          <w:p w14:paraId="047E5FE2" w14:textId="77777777" w:rsidR="00711296" w:rsidRPr="00533A00" w:rsidRDefault="00711296" w:rsidP="004831C9">
            <w:pPr>
              <w:bidi w:val="0"/>
              <w:jc w:val="right"/>
              <w:rPr>
                <w:rFonts w:cs="Calibri"/>
                <w:color w:val="000000"/>
                <w:sz w:val="18"/>
                <w:szCs w:val="18"/>
              </w:rPr>
            </w:pPr>
          </w:p>
        </w:tc>
        <w:tc>
          <w:tcPr>
            <w:tcW w:w="1116" w:type="dxa"/>
            <w:shd w:val="clear" w:color="auto" w:fill="auto"/>
            <w:noWrap/>
            <w:vAlign w:val="bottom"/>
            <w:hideMark/>
          </w:tcPr>
          <w:p w14:paraId="7F310E21" w14:textId="77777777" w:rsidR="00711296" w:rsidRPr="00533A00" w:rsidRDefault="00711296" w:rsidP="004831C9">
            <w:pPr>
              <w:bidi w:val="0"/>
              <w:rPr>
                <w:rFonts w:ascii="Times New Roman" w:hAnsi="Times New Roman" w:cs="Times New Roman"/>
                <w:sz w:val="18"/>
                <w:szCs w:val="18"/>
              </w:rPr>
            </w:pPr>
          </w:p>
        </w:tc>
        <w:tc>
          <w:tcPr>
            <w:tcW w:w="1418" w:type="dxa"/>
            <w:shd w:val="clear" w:color="auto" w:fill="auto"/>
            <w:noWrap/>
            <w:vAlign w:val="bottom"/>
            <w:hideMark/>
          </w:tcPr>
          <w:p w14:paraId="17F80E90"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69%</w:t>
            </w:r>
          </w:p>
        </w:tc>
      </w:tr>
      <w:tr w:rsidR="00711296" w:rsidRPr="000853B7" w14:paraId="2D73676D" w14:textId="77777777" w:rsidTr="004831C9">
        <w:trPr>
          <w:trHeight w:val="315"/>
        </w:trPr>
        <w:tc>
          <w:tcPr>
            <w:tcW w:w="581" w:type="dxa"/>
            <w:vAlign w:val="bottom"/>
          </w:tcPr>
          <w:p w14:paraId="748F510D" w14:textId="77777777" w:rsidR="00711296" w:rsidRPr="000853B7" w:rsidRDefault="00711296" w:rsidP="004831C9">
            <w:pPr>
              <w:bidi w:val="0"/>
              <w:jc w:val="right"/>
              <w:rPr>
                <w:rFonts w:cs="Calibri"/>
                <w:color w:val="000000"/>
                <w:sz w:val="18"/>
                <w:szCs w:val="18"/>
              </w:rPr>
            </w:pPr>
            <w:r w:rsidRPr="000853B7">
              <w:rPr>
                <w:rFonts w:cs="Calibri"/>
                <w:color w:val="000000"/>
                <w:sz w:val="18"/>
                <w:szCs w:val="18"/>
              </w:rPr>
              <w:t>2010</w:t>
            </w:r>
          </w:p>
        </w:tc>
        <w:tc>
          <w:tcPr>
            <w:tcW w:w="1193" w:type="dxa"/>
            <w:shd w:val="clear" w:color="auto" w:fill="auto"/>
            <w:noWrap/>
            <w:vAlign w:val="bottom"/>
            <w:hideMark/>
          </w:tcPr>
          <w:p w14:paraId="39254DCB"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25%</w:t>
            </w:r>
          </w:p>
        </w:tc>
        <w:tc>
          <w:tcPr>
            <w:tcW w:w="1193" w:type="dxa"/>
            <w:shd w:val="clear" w:color="auto" w:fill="auto"/>
            <w:noWrap/>
            <w:vAlign w:val="bottom"/>
            <w:hideMark/>
          </w:tcPr>
          <w:p w14:paraId="67263824"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30%</w:t>
            </w:r>
          </w:p>
        </w:tc>
        <w:tc>
          <w:tcPr>
            <w:tcW w:w="1157" w:type="dxa"/>
            <w:shd w:val="clear" w:color="auto" w:fill="auto"/>
            <w:noWrap/>
            <w:vAlign w:val="bottom"/>
            <w:hideMark/>
          </w:tcPr>
          <w:p w14:paraId="40449D49"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10%</w:t>
            </w:r>
          </w:p>
        </w:tc>
        <w:tc>
          <w:tcPr>
            <w:tcW w:w="1116" w:type="dxa"/>
            <w:shd w:val="clear" w:color="auto" w:fill="auto"/>
            <w:noWrap/>
            <w:vAlign w:val="bottom"/>
            <w:hideMark/>
          </w:tcPr>
          <w:p w14:paraId="2352DC0D"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87%</w:t>
            </w:r>
          </w:p>
        </w:tc>
        <w:tc>
          <w:tcPr>
            <w:tcW w:w="1418" w:type="dxa"/>
            <w:shd w:val="clear" w:color="auto" w:fill="auto"/>
            <w:noWrap/>
            <w:vAlign w:val="bottom"/>
            <w:hideMark/>
          </w:tcPr>
          <w:p w14:paraId="3CD0B318"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70%</w:t>
            </w:r>
          </w:p>
        </w:tc>
      </w:tr>
      <w:tr w:rsidR="00711296" w:rsidRPr="000853B7" w14:paraId="709ACFBE" w14:textId="77777777" w:rsidTr="004831C9">
        <w:trPr>
          <w:trHeight w:val="300"/>
        </w:trPr>
        <w:tc>
          <w:tcPr>
            <w:tcW w:w="581" w:type="dxa"/>
            <w:vAlign w:val="bottom"/>
          </w:tcPr>
          <w:p w14:paraId="3F5393EB" w14:textId="77777777" w:rsidR="00711296" w:rsidRPr="000853B7" w:rsidRDefault="00711296" w:rsidP="004831C9">
            <w:pPr>
              <w:bidi w:val="0"/>
              <w:jc w:val="right"/>
              <w:rPr>
                <w:rFonts w:cs="Calibri"/>
                <w:color w:val="000000"/>
                <w:sz w:val="18"/>
                <w:szCs w:val="18"/>
              </w:rPr>
            </w:pPr>
            <w:r w:rsidRPr="000853B7">
              <w:rPr>
                <w:rFonts w:cs="Calibri"/>
                <w:color w:val="000000"/>
                <w:sz w:val="18"/>
                <w:szCs w:val="18"/>
              </w:rPr>
              <w:t>2011</w:t>
            </w:r>
          </w:p>
        </w:tc>
        <w:tc>
          <w:tcPr>
            <w:tcW w:w="1193" w:type="dxa"/>
            <w:shd w:val="clear" w:color="auto" w:fill="auto"/>
            <w:noWrap/>
            <w:vAlign w:val="bottom"/>
            <w:hideMark/>
          </w:tcPr>
          <w:p w14:paraId="045E779D"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30%</w:t>
            </w:r>
          </w:p>
        </w:tc>
        <w:tc>
          <w:tcPr>
            <w:tcW w:w="1193" w:type="dxa"/>
            <w:shd w:val="clear" w:color="auto" w:fill="auto"/>
            <w:noWrap/>
            <w:vAlign w:val="bottom"/>
            <w:hideMark/>
          </w:tcPr>
          <w:p w14:paraId="371F8253"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24%</w:t>
            </w:r>
          </w:p>
        </w:tc>
        <w:tc>
          <w:tcPr>
            <w:tcW w:w="1157" w:type="dxa"/>
            <w:shd w:val="clear" w:color="auto" w:fill="auto"/>
            <w:noWrap/>
            <w:vAlign w:val="bottom"/>
            <w:hideMark/>
          </w:tcPr>
          <w:p w14:paraId="4ED77E25"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11%</w:t>
            </w:r>
          </w:p>
        </w:tc>
        <w:tc>
          <w:tcPr>
            <w:tcW w:w="1116" w:type="dxa"/>
            <w:shd w:val="clear" w:color="auto" w:fill="auto"/>
            <w:noWrap/>
            <w:vAlign w:val="bottom"/>
            <w:hideMark/>
          </w:tcPr>
          <w:p w14:paraId="3C0F4309"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61%</w:t>
            </w:r>
          </w:p>
        </w:tc>
        <w:tc>
          <w:tcPr>
            <w:tcW w:w="1418" w:type="dxa"/>
            <w:shd w:val="clear" w:color="auto" w:fill="auto"/>
            <w:noWrap/>
            <w:vAlign w:val="bottom"/>
            <w:hideMark/>
          </w:tcPr>
          <w:p w14:paraId="308B71D5"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67%</w:t>
            </w:r>
          </w:p>
        </w:tc>
      </w:tr>
      <w:tr w:rsidR="00711296" w:rsidRPr="000853B7" w14:paraId="138483D1" w14:textId="77777777" w:rsidTr="004831C9">
        <w:trPr>
          <w:trHeight w:val="300"/>
        </w:trPr>
        <w:tc>
          <w:tcPr>
            <w:tcW w:w="581" w:type="dxa"/>
            <w:vAlign w:val="bottom"/>
          </w:tcPr>
          <w:p w14:paraId="7E20A448" w14:textId="77777777" w:rsidR="00711296" w:rsidRPr="000853B7" w:rsidRDefault="00711296" w:rsidP="004831C9">
            <w:pPr>
              <w:bidi w:val="0"/>
              <w:jc w:val="right"/>
              <w:rPr>
                <w:rFonts w:cs="Calibri"/>
                <w:color w:val="000000"/>
                <w:sz w:val="18"/>
                <w:szCs w:val="18"/>
              </w:rPr>
            </w:pPr>
            <w:r w:rsidRPr="000853B7">
              <w:rPr>
                <w:rFonts w:cs="Calibri"/>
                <w:color w:val="000000"/>
                <w:sz w:val="18"/>
                <w:szCs w:val="18"/>
              </w:rPr>
              <w:t>2012</w:t>
            </w:r>
          </w:p>
        </w:tc>
        <w:tc>
          <w:tcPr>
            <w:tcW w:w="1193" w:type="dxa"/>
            <w:shd w:val="clear" w:color="auto" w:fill="auto"/>
            <w:noWrap/>
            <w:vAlign w:val="bottom"/>
            <w:hideMark/>
          </w:tcPr>
          <w:p w14:paraId="454B4C87"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31%</w:t>
            </w:r>
          </w:p>
        </w:tc>
        <w:tc>
          <w:tcPr>
            <w:tcW w:w="1193" w:type="dxa"/>
            <w:shd w:val="clear" w:color="auto" w:fill="auto"/>
            <w:noWrap/>
            <w:vAlign w:val="bottom"/>
            <w:hideMark/>
          </w:tcPr>
          <w:p w14:paraId="74C39FF2"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33%</w:t>
            </w:r>
          </w:p>
        </w:tc>
        <w:tc>
          <w:tcPr>
            <w:tcW w:w="1157" w:type="dxa"/>
            <w:shd w:val="clear" w:color="auto" w:fill="auto"/>
            <w:noWrap/>
            <w:vAlign w:val="bottom"/>
            <w:hideMark/>
          </w:tcPr>
          <w:p w14:paraId="0FDBFD01"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11%</w:t>
            </w:r>
          </w:p>
        </w:tc>
        <w:tc>
          <w:tcPr>
            <w:tcW w:w="1116" w:type="dxa"/>
            <w:shd w:val="clear" w:color="auto" w:fill="auto"/>
            <w:noWrap/>
            <w:vAlign w:val="bottom"/>
            <w:hideMark/>
          </w:tcPr>
          <w:p w14:paraId="0585CD08"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65%</w:t>
            </w:r>
          </w:p>
        </w:tc>
        <w:tc>
          <w:tcPr>
            <w:tcW w:w="1418" w:type="dxa"/>
            <w:shd w:val="clear" w:color="auto" w:fill="auto"/>
            <w:noWrap/>
            <w:vAlign w:val="bottom"/>
            <w:hideMark/>
          </w:tcPr>
          <w:p w14:paraId="79177230"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73%</w:t>
            </w:r>
          </w:p>
        </w:tc>
      </w:tr>
      <w:tr w:rsidR="00711296" w:rsidRPr="000853B7" w14:paraId="33748078" w14:textId="77777777" w:rsidTr="004831C9">
        <w:trPr>
          <w:trHeight w:val="300"/>
        </w:trPr>
        <w:tc>
          <w:tcPr>
            <w:tcW w:w="581" w:type="dxa"/>
            <w:vAlign w:val="bottom"/>
          </w:tcPr>
          <w:p w14:paraId="5DC19D73" w14:textId="77777777" w:rsidR="00711296" w:rsidRPr="000853B7" w:rsidRDefault="00711296" w:rsidP="004831C9">
            <w:pPr>
              <w:bidi w:val="0"/>
              <w:jc w:val="right"/>
              <w:rPr>
                <w:rFonts w:cs="Calibri"/>
                <w:color w:val="000000"/>
                <w:sz w:val="18"/>
                <w:szCs w:val="18"/>
              </w:rPr>
            </w:pPr>
            <w:r w:rsidRPr="000853B7">
              <w:rPr>
                <w:rFonts w:cs="Calibri"/>
                <w:color w:val="000000"/>
                <w:sz w:val="18"/>
                <w:szCs w:val="18"/>
              </w:rPr>
              <w:t>2013</w:t>
            </w:r>
          </w:p>
        </w:tc>
        <w:tc>
          <w:tcPr>
            <w:tcW w:w="1193" w:type="dxa"/>
            <w:shd w:val="clear" w:color="auto" w:fill="auto"/>
            <w:noWrap/>
            <w:vAlign w:val="bottom"/>
            <w:hideMark/>
          </w:tcPr>
          <w:p w14:paraId="67C22B47"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29%</w:t>
            </w:r>
          </w:p>
        </w:tc>
        <w:tc>
          <w:tcPr>
            <w:tcW w:w="1193" w:type="dxa"/>
            <w:shd w:val="clear" w:color="auto" w:fill="auto"/>
            <w:noWrap/>
            <w:vAlign w:val="bottom"/>
            <w:hideMark/>
          </w:tcPr>
          <w:p w14:paraId="1F032F37"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34%</w:t>
            </w:r>
          </w:p>
        </w:tc>
        <w:tc>
          <w:tcPr>
            <w:tcW w:w="1157" w:type="dxa"/>
            <w:shd w:val="clear" w:color="auto" w:fill="auto"/>
            <w:noWrap/>
            <w:vAlign w:val="bottom"/>
            <w:hideMark/>
          </w:tcPr>
          <w:p w14:paraId="58372473"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17%</w:t>
            </w:r>
          </w:p>
        </w:tc>
        <w:tc>
          <w:tcPr>
            <w:tcW w:w="1116" w:type="dxa"/>
            <w:shd w:val="clear" w:color="auto" w:fill="auto"/>
            <w:noWrap/>
            <w:vAlign w:val="bottom"/>
            <w:hideMark/>
          </w:tcPr>
          <w:p w14:paraId="567E36F4"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66%</w:t>
            </w:r>
          </w:p>
        </w:tc>
        <w:tc>
          <w:tcPr>
            <w:tcW w:w="1418" w:type="dxa"/>
            <w:shd w:val="clear" w:color="auto" w:fill="auto"/>
            <w:noWrap/>
            <w:vAlign w:val="bottom"/>
            <w:hideMark/>
          </w:tcPr>
          <w:p w14:paraId="430F0D0D"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73%</w:t>
            </w:r>
          </w:p>
        </w:tc>
      </w:tr>
      <w:tr w:rsidR="00711296" w:rsidRPr="000853B7" w14:paraId="6F8CA372" w14:textId="77777777" w:rsidTr="004831C9">
        <w:trPr>
          <w:trHeight w:val="300"/>
        </w:trPr>
        <w:tc>
          <w:tcPr>
            <w:tcW w:w="581" w:type="dxa"/>
            <w:vAlign w:val="bottom"/>
          </w:tcPr>
          <w:p w14:paraId="17713FC8" w14:textId="77777777" w:rsidR="00711296" w:rsidRPr="000853B7" w:rsidRDefault="00711296" w:rsidP="004831C9">
            <w:pPr>
              <w:bidi w:val="0"/>
              <w:jc w:val="right"/>
              <w:rPr>
                <w:rFonts w:cs="Calibri"/>
                <w:color w:val="000000"/>
                <w:sz w:val="18"/>
                <w:szCs w:val="18"/>
              </w:rPr>
            </w:pPr>
            <w:r w:rsidRPr="000853B7">
              <w:rPr>
                <w:rFonts w:cs="Calibri"/>
                <w:color w:val="000000"/>
                <w:sz w:val="18"/>
                <w:szCs w:val="18"/>
              </w:rPr>
              <w:t>2014</w:t>
            </w:r>
          </w:p>
        </w:tc>
        <w:tc>
          <w:tcPr>
            <w:tcW w:w="1193" w:type="dxa"/>
            <w:shd w:val="clear" w:color="auto" w:fill="auto"/>
            <w:noWrap/>
            <w:vAlign w:val="bottom"/>
            <w:hideMark/>
          </w:tcPr>
          <w:p w14:paraId="6EA89A5E"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31%</w:t>
            </w:r>
          </w:p>
        </w:tc>
        <w:tc>
          <w:tcPr>
            <w:tcW w:w="1193" w:type="dxa"/>
            <w:shd w:val="clear" w:color="auto" w:fill="auto"/>
            <w:noWrap/>
            <w:vAlign w:val="bottom"/>
            <w:hideMark/>
          </w:tcPr>
          <w:p w14:paraId="553709A0"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29%</w:t>
            </w:r>
          </w:p>
        </w:tc>
        <w:tc>
          <w:tcPr>
            <w:tcW w:w="1157" w:type="dxa"/>
            <w:shd w:val="clear" w:color="auto" w:fill="auto"/>
            <w:noWrap/>
            <w:vAlign w:val="bottom"/>
            <w:hideMark/>
          </w:tcPr>
          <w:p w14:paraId="3B79142B"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14%</w:t>
            </w:r>
          </w:p>
        </w:tc>
        <w:tc>
          <w:tcPr>
            <w:tcW w:w="1116" w:type="dxa"/>
            <w:shd w:val="clear" w:color="auto" w:fill="auto"/>
            <w:noWrap/>
            <w:vAlign w:val="bottom"/>
            <w:hideMark/>
          </w:tcPr>
          <w:p w14:paraId="2F0795AE"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64%</w:t>
            </w:r>
          </w:p>
        </w:tc>
        <w:tc>
          <w:tcPr>
            <w:tcW w:w="1418" w:type="dxa"/>
            <w:shd w:val="clear" w:color="auto" w:fill="auto"/>
            <w:noWrap/>
            <w:vAlign w:val="bottom"/>
            <w:hideMark/>
          </w:tcPr>
          <w:p w14:paraId="510608CE"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74%</w:t>
            </w:r>
          </w:p>
        </w:tc>
      </w:tr>
      <w:tr w:rsidR="00711296" w:rsidRPr="000853B7" w14:paraId="0F213EE3" w14:textId="77777777" w:rsidTr="004831C9">
        <w:trPr>
          <w:trHeight w:val="300"/>
        </w:trPr>
        <w:tc>
          <w:tcPr>
            <w:tcW w:w="581" w:type="dxa"/>
            <w:vAlign w:val="bottom"/>
          </w:tcPr>
          <w:p w14:paraId="016739BD" w14:textId="77777777" w:rsidR="00711296" w:rsidRPr="000853B7" w:rsidRDefault="00711296" w:rsidP="004831C9">
            <w:pPr>
              <w:bidi w:val="0"/>
              <w:jc w:val="right"/>
              <w:rPr>
                <w:rFonts w:cs="Calibri"/>
                <w:color w:val="000000"/>
                <w:sz w:val="18"/>
                <w:szCs w:val="18"/>
              </w:rPr>
            </w:pPr>
            <w:r w:rsidRPr="000853B7">
              <w:rPr>
                <w:rFonts w:cs="Calibri"/>
                <w:color w:val="000000"/>
                <w:sz w:val="18"/>
                <w:szCs w:val="18"/>
              </w:rPr>
              <w:t>2015</w:t>
            </w:r>
          </w:p>
        </w:tc>
        <w:tc>
          <w:tcPr>
            <w:tcW w:w="1193" w:type="dxa"/>
            <w:shd w:val="clear" w:color="auto" w:fill="auto"/>
            <w:noWrap/>
            <w:vAlign w:val="bottom"/>
            <w:hideMark/>
          </w:tcPr>
          <w:p w14:paraId="701EBBBC"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33%</w:t>
            </w:r>
          </w:p>
        </w:tc>
        <w:tc>
          <w:tcPr>
            <w:tcW w:w="1193" w:type="dxa"/>
            <w:shd w:val="clear" w:color="auto" w:fill="auto"/>
            <w:noWrap/>
            <w:vAlign w:val="bottom"/>
            <w:hideMark/>
          </w:tcPr>
          <w:p w14:paraId="6614FE5A"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34%</w:t>
            </w:r>
          </w:p>
        </w:tc>
        <w:tc>
          <w:tcPr>
            <w:tcW w:w="1157" w:type="dxa"/>
            <w:shd w:val="clear" w:color="auto" w:fill="auto"/>
            <w:noWrap/>
            <w:vAlign w:val="bottom"/>
            <w:hideMark/>
          </w:tcPr>
          <w:p w14:paraId="4E6EAD05"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12%</w:t>
            </w:r>
          </w:p>
        </w:tc>
        <w:tc>
          <w:tcPr>
            <w:tcW w:w="1116" w:type="dxa"/>
            <w:shd w:val="clear" w:color="auto" w:fill="auto"/>
            <w:noWrap/>
            <w:vAlign w:val="bottom"/>
            <w:hideMark/>
          </w:tcPr>
          <w:p w14:paraId="06F068FE"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60%</w:t>
            </w:r>
          </w:p>
        </w:tc>
        <w:tc>
          <w:tcPr>
            <w:tcW w:w="1418" w:type="dxa"/>
            <w:shd w:val="clear" w:color="auto" w:fill="auto"/>
            <w:noWrap/>
            <w:vAlign w:val="bottom"/>
            <w:hideMark/>
          </w:tcPr>
          <w:p w14:paraId="4FF89963"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74%</w:t>
            </w:r>
          </w:p>
        </w:tc>
      </w:tr>
      <w:tr w:rsidR="00711296" w:rsidRPr="000853B7" w14:paraId="17100762" w14:textId="77777777" w:rsidTr="004831C9">
        <w:trPr>
          <w:trHeight w:val="300"/>
        </w:trPr>
        <w:tc>
          <w:tcPr>
            <w:tcW w:w="581" w:type="dxa"/>
            <w:vAlign w:val="bottom"/>
          </w:tcPr>
          <w:p w14:paraId="09764EBA" w14:textId="77777777" w:rsidR="00711296" w:rsidRPr="000853B7" w:rsidRDefault="00711296" w:rsidP="004831C9">
            <w:pPr>
              <w:bidi w:val="0"/>
              <w:jc w:val="right"/>
              <w:rPr>
                <w:rFonts w:cs="Calibri"/>
                <w:color w:val="000000"/>
                <w:sz w:val="18"/>
                <w:szCs w:val="18"/>
              </w:rPr>
            </w:pPr>
            <w:r w:rsidRPr="000853B7">
              <w:rPr>
                <w:rFonts w:cs="Calibri"/>
                <w:color w:val="000000"/>
                <w:sz w:val="18"/>
                <w:szCs w:val="18"/>
              </w:rPr>
              <w:t>2016</w:t>
            </w:r>
          </w:p>
        </w:tc>
        <w:tc>
          <w:tcPr>
            <w:tcW w:w="1193" w:type="dxa"/>
            <w:shd w:val="clear" w:color="auto" w:fill="auto"/>
            <w:noWrap/>
            <w:vAlign w:val="bottom"/>
            <w:hideMark/>
          </w:tcPr>
          <w:p w14:paraId="1AB6FB42"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33%</w:t>
            </w:r>
          </w:p>
        </w:tc>
        <w:tc>
          <w:tcPr>
            <w:tcW w:w="1193" w:type="dxa"/>
            <w:shd w:val="clear" w:color="auto" w:fill="auto"/>
            <w:noWrap/>
            <w:vAlign w:val="bottom"/>
            <w:hideMark/>
          </w:tcPr>
          <w:p w14:paraId="78D1C39A"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36%</w:t>
            </w:r>
          </w:p>
        </w:tc>
        <w:tc>
          <w:tcPr>
            <w:tcW w:w="1157" w:type="dxa"/>
            <w:shd w:val="clear" w:color="auto" w:fill="auto"/>
            <w:noWrap/>
            <w:vAlign w:val="bottom"/>
            <w:hideMark/>
          </w:tcPr>
          <w:p w14:paraId="2249E6BB"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16%</w:t>
            </w:r>
          </w:p>
        </w:tc>
        <w:tc>
          <w:tcPr>
            <w:tcW w:w="1116" w:type="dxa"/>
            <w:shd w:val="clear" w:color="auto" w:fill="auto"/>
            <w:noWrap/>
            <w:vAlign w:val="bottom"/>
            <w:hideMark/>
          </w:tcPr>
          <w:p w14:paraId="08254A1C"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67%</w:t>
            </w:r>
          </w:p>
        </w:tc>
        <w:tc>
          <w:tcPr>
            <w:tcW w:w="1418" w:type="dxa"/>
            <w:shd w:val="clear" w:color="auto" w:fill="auto"/>
            <w:noWrap/>
            <w:vAlign w:val="bottom"/>
            <w:hideMark/>
          </w:tcPr>
          <w:p w14:paraId="1998D42A"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73%</w:t>
            </w:r>
          </w:p>
        </w:tc>
      </w:tr>
      <w:tr w:rsidR="00711296" w:rsidRPr="000853B7" w14:paraId="56E44C0F" w14:textId="77777777" w:rsidTr="004831C9">
        <w:trPr>
          <w:trHeight w:val="300"/>
        </w:trPr>
        <w:tc>
          <w:tcPr>
            <w:tcW w:w="581" w:type="dxa"/>
            <w:vAlign w:val="bottom"/>
          </w:tcPr>
          <w:p w14:paraId="5CF7EFF3" w14:textId="77777777" w:rsidR="00711296" w:rsidRPr="000853B7" w:rsidRDefault="00711296" w:rsidP="004831C9">
            <w:pPr>
              <w:bidi w:val="0"/>
              <w:jc w:val="right"/>
              <w:rPr>
                <w:rFonts w:cs="Calibri"/>
                <w:color w:val="000000"/>
                <w:sz w:val="18"/>
                <w:szCs w:val="18"/>
              </w:rPr>
            </w:pPr>
            <w:r w:rsidRPr="000853B7">
              <w:rPr>
                <w:rFonts w:cs="Calibri"/>
                <w:color w:val="000000"/>
                <w:sz w:val="18"/>
                <w:szCs w:val="18"/>
              </w:rPr>
              <w:t>2017</w:t>
            </w:r>
          </w:p>
        </w:tc>
        <w:tc>
          <w:tcPr>
            <w:tcW w:w="1193" w:type="dxa"/>
            <w:shd w:val="clear" w:color="auto" w:fill="auto"/>
            <w:noWrap/>
            <w:vAlign w:val="bottom"/>
            <w:hideMark/>
          </w:tcPr>
          <w:p w14:paraId="2EBD23B5"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34%</w:t>
            </w:r>
          </w:p>
        </w:tc>
        <w:tc>
          <w:tcPr>
            <w:tcW w:w="1193" w:type="dxa"/>
            <w:shd w:val="clear" w:color="auto" w:fill="auto"/>
            <w:noWrap/>
            <w:vAlign w:val="bottom"/>
            <w:hideMark/>
          </w:tcPr>
          <w:p w14:paraId="290F95D8"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40%</w:t>
            </w:r>
          </w:p>
        </w:tc>
        <w:tc>
          <w:tcPr>
            <w:tcW w:w="1157" w:type="dxa"/>
            <w:shd w:val="clear" w:color="auto" w:fill="auto"/>
            <w:noWrap/>
            <w:vAlign w:val="bottom"/>
            <w:hideMark/>
          </w:tcPr>
          <w:p w14:paraId="55F4570F"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15%</w:t>
            </w:r>
          </w:p>
        </w:tc>
        <w:tc>
          <w:tcPr>
            <w:tcW w:w="1116" w:type="dxa"/>
            <w:shd w:val="clear" w:color="auto" w:fill="auto"/>
            <w:noWrap/>
            <w:vAlign w:val="bottom"/>
            <w:hideMark/>
          </w:tcPr>
          <w:p w14:paraId="19BCC141"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68%</w:t>
            </w:r>
          </w:p>
        </w:tc>
        <w:tc>
          <w:tcPr>
            <w:tcW w:w="1418" w:type="dxa"/>
            <w:shd w:val="clear" w:color="auto" w:fill="auto"/>
            <w:noWrap/>
            <w:vAlign w:val="bottom"/>
            <w:hideMark/>
          </w:tcPr>
          <w:p w14:paraId="794E962E"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75%</w:t>
            </w:r>
          </w:p>
        </w:tc>
      </w:tr>
      <w:tr w:rsidR="00711296" w:rsidRPr="000853B7" w14:paraId="6CAEFB83" w14:textId="77777777" w:rsidTr="004831C9">
        <w:trPr>
          <w:trHeight w:val="300"/>
        </w:trPr>
        <w:tc>
          <w:tcPr>
            <w:tcW w:w="581" w:type="dxa"/>
            <w:vAlign w:val="bottom"/>
          </w:tcPr>
          <w:p w14:paraId="0F46C447" w14:textId="77777777" w:rsidR="00711296" w:rsidRPr="000853B7" w:rsidRDefault="00711296" w:rsidP="004831C9">
            <w:pPr>
              <w:bidi w:val="0"/>
              <w:jc w:val="right"/>
              <w:rPr>
                <w:rFonts w:cs="Calibri"/>
                <w:color w:val="000000"/>
                <w:sz w:val="18"/>
                <w:szCs w:val="18"/>
              </w:rPr>
            </w:pPr>
            <w:r w:rsidRPr="000853B7">
              <w:rPr>
                <w:rFonts w:cs="Calibri"/>
                <w:color w:val="000000"/>
                <w:sz w:val="18"/>
                <w:szCs w:val="18"/>
              </w:rPr>
              <w:t>2018</w:t>
            </w:r>
          </w:p>
        </w:tc>
        <w:tc>
          <w:tcPr>
            <w:tcW w:w="1193" w:type="dxa"/>
            <w:shd w:val="clear" w:color="auto" w:fill="auto"/>
            <w:noWrap/>
            <w:vAlign w:val="bottom"/>
            <w:hideMark/>
          </w:tcPr>
          <w:p w14:paraId="28E48FB1"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36%</w:t>
            </w:r>
          </w:p>
        </w:tc>
        <w:tc>
          <w:tcPr>
            <w:tcW w:w="1193" w:type="dxa"/>
            <w:shd w:val="clear" w:color="auto" w:fill="auto"/>
            <w:noWrap/>
            <w:vAlign w:val="bottom"/>
            <w:hideMark/>
          </w:tcPr>
          <w:p w14:paraId="6369401B"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37%</w:t>
            </w:r>
          </w:p>
        </w:tc>
        <w:tc>
          <w:tcPr>
            <w:tcW w:w="1157" w:type="dxa"/>
            <w:shd w:val="clear" w:color="auto" w:fill="auto"/>
            <w:noWrap/>
            <w:vAlign w:val="bottom"/>
            <w:hideMark/>
          </w:tcPr>
          <w:p w14:paraId="57CD3E99"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17%</w:t>
            </w:r>
          </w:p>
        </w:tc>
        <w:tc>
          <w:tcPr>
            <w:tcW w:w="1116" w:type="dxa"/>
            <w:shd w:val="clear" w:color="auto" w:fill="auto"/>
            <w:noWrap/>
            <w:vAlign w:val="bottom"/>
            <w:hideMark/>
          </w:tcPr>
          <w:p w14:paraId="77E757E8"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54%</w:t>
            </w:r>
          </w:p>
        </w:tc>
        <w:tc>
          <w:tcPr>
            <w:tcW w:w="1418" w:type="dxa"/>
            <w:shd w:val="clear" w:color="auto" w:fill="auto"/>
            <w:noWrap/>
            <w:vAlign w:val="bottom"/>
            <w:hideMark/>
          </w:tcPr>
          <w:p w14:paraId="012467CE"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78%</w:t>
            </w:r>
          </w:p>
        </w:tc>
      </w:tr>
      <w:tr w:rsidR="00711296" w:rsidRPr="000853B7" w14:paraId="4082AE68" w14:textId="77777777" w:rsidTr="004831C9">
        <w:trPr>
          <w:trHeight w:val="315"/>
        </w:trPr>
        <w:tc>
          <w:tcPr>
            <w:tcW w:w="581" w:type="dxa"/>
            <w:vAlign w:val="bottom"/>
          </w:tcPr>
          <w:p w14:paraId="0FF3BAD8" w14:textId="77777777" w:rsidR="00711296" w:rsidRPr="000853B7" w:rsidRDefault="00711296" w:rsidP="004831C9">
            <w:pPr>
              <w:bidi w:val="0"/>
              <w:jc w:val="right"/>
              <w:rPr>
                <w:rFonts w:cs="Calibri"/>
                <w:color w:val="000000"/>
                <w:sz w:val="18"/>
                <w:szCs w:val="18"/>
              </w:rPr>
            </w:pPr>
            <w:r w:rsidRPr="000853B7">
              <w:rPr>
                <w:rFonts w:cs="Calibri"/>
                <w:color w:val="000000"/>
                <w:sz w:val="18"/>
                <w:szCs w:val="18"/>
              </w:rPr>
              <w:t>2019</w:t>
            </w:r>
          </w:p>
        </w:tc>
        <w:tc>
          <w:tcPr>
            <w:tcW w:w="1193" w:type="dxa"/>
            <w:shd w:val="clear" w:color="auto" w:fill="auto"/>
            <w:noWrap/>
            <w:vAlign w:val="bottom"/>
            <w:hideMark/>
          </w:tcPr>
          <w:p w14:paraId="14539EDA"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36%</w:t>
            </w:r>
          </w:p>
        </w:tc>
        <w:tc>
          <w:tcPr>
            <w:tcW w:w="1193" w:type="dxa"/>
            <w:shd w:val="clear" w:color="auto" w:fill="auto"/>
            <w:noWrap/>
            <w:vAlign w:val="bottom"/>
            <w:hideMark/>
          </w:tcPr>
          <w:p w14:paraId="6701D561"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40%</w:t>
            </w:r>
          </w:p>
        </w:tc>
        <w:tc>
          <w:tcPr>
            <w:tcW w:w="1157" w:type="dxa"/>
            <w:shd w:val="clear" w:color="auto" w:fill="auto"/>
            <w:noWrap/>
            <w:vAlign w:val="bottom"/>
            <w:hideMark/>
          </w:tcPr>
          <w:p w14:paraId="4C63CF51"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20%</w:t>
            </w:r>
          </w:p>
        </w:tc>
        <w:tc>
          <w:tcPr>
            <w:tcW w:w="1116" w:type="dxa"/>
            <w:shd w:val="clear" w:color="auto" w:fill="auto"/>
            <w:noWrap/>
            <w:vAlign w:val="bottom"/>
            <w:hideMark/>
          </w:tcPr>
          <w:p w14:paraId="2C15318A"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58%</w:t>
            </w:r>
          </w:p>
        </w:tc>
        <w:tc>
          <w:tcPr>
            <w:tcW w:w="1418" w:type="dxa"/>
            <w:shd w:val="clear" w:color="auto" w:fill="auto"/>
            <w:noWrap/>
            <w:vAlign w:val="bottom"/>
            <w:hideMark/>
          </w:tcPr>
          <w:p w14:paraId="441A502D" w14:textId="77777777" w:rsidR="00711296" w:rsidRPr="00533A00" w:rsidRDefault="00711296" w:rsidP="004831C9">
            <w:pPr>
              <w:bidi w:val="0"/>
              <w:jc w:val="right"/>
              <w:rPr>
                <w:rFonts w:cs="Calibri"/>
                <w:color w:val="000000"/>
                <w:sz w:val="18"/>
                <w:szCs w:val="18"/>
              </w:rPr>
            </w:pPr>
            <w:r w:rsidRPr="00533A00">
              <w:rPr>
                <w:rFonts w:cs="Calibri"/>
                <w:color w:val="000000"/>
                <w:sz w:val="18"/>
                <w:szCs w:val="18"/>
              </w:rPr>
              <w:t>80%</w:t>
            </w:r>
          </w:p>
        </w:tc>
      </w:tr>
    </w:tbl>
    <w:p w14:paraId="7069A05F" w14:textId="77777777" w:rsidR="00711296" w:rsidRDefault="00711296" w:rsidP="00711296">
      <w:pPr>
        <w:pStyle w:val="ListParagraph"/>
        <w:autoSpaceDE w:val="0"/>
        <w:autoSpaceDN w:val="0"/>
        <w:bidi w:val="0"/>
        <w:adjustRightInd w:val="0"/>
        <w:spacing w:line="360" w:lineRule="auto"/>
        <w:ind w:left="1211"/>
        <w:rPr>
          <w:rFonts w:asciiTheme="majorBidi" w:hAnsiTheme="majorBidi" w:cstheme="majorBidi"/>
          <w:sz w:val="24"/>
          <w:szCs w:val="24"/>
        </w:rPr>
      </w:pPr>
    </w:p>
    <w:p w14:paraId="1F3A5F7D" w14:textId="77777777" w:rsidR="00711296" w:rsidRDefault="00711296" w:rsidP="00711296">
      <w:pPr>
        <w:pStyle w:val="ListParagraph"/>
        <w:autoSpaceDE w:val="0"/>
        <w:autoSpaceDN w:val="0"/>
        <w:bidi w:val="0"/>
        <w:adjustRightInd w:val="0"/>
        <w:spacing w:line="360" w:lineRule="auto"/>
        <w:ind w:left="1211"/>
        <w:rPr>
          <w:rFonts w:asciiTheme="majorBidi" w:hAnsiTheme="majorBidi" w:cstheme="majorBidi"/>
          <w:sz w:val="24"/>
          <w:szCs w:val="24"/>
        </w:rPr>
      </w:pPr>
    </w:p>
    <w:p w14:paraId="1D6E055F" w14:textId="77777777" w:rsidR="00711296" w:rsidRPr="001664CF" w:rsidRDefault="00711296" w:rsidP="00711296">
      <w:pPr>
        <w:pStyle w:val="ListParagraph"/>
        <w:numPr>
          <w:ilvl w:val="0"/>
          <w:numId w:val="26"/>
        </w:numPr>
        <w:autoSpaceDE w:val="0"/>
        <w:autoSpaceDN w:val="0"/>
        <w:bidi w:val="0"/>
        <w:adjustRightInd w:val="0"/>
        <w:spacing w:line="360" w:lineRule="auto"/>
        <w:rPr>
          <w:rFonts w:asciiTheme="majorBidi" w:hAnsiTheme="majorBidi" w:cstheme="majorBidi"/>
          <w:b/>
          <w:bCs/>
          <w:sz w:val="24"/>
          <w:szCs w:val="24"/>
        </w:rPr>
      </w:pPr>
      <w:r w:rsidRPr="001664CF">
        <w:rPr>
          <w:rFonts w:asciiTheme="majorBidi" w:hAnsiTheme="majorBidi" w:cstheme="majorBidi"/>
          <w:b/>
          <w:bCs/>
          <w:sz w:val="24"/>
          <w:szCs w:val="24"/>
        </w:rPr>
        <w:t>Wealth and Standard of living</w:t>
      </w:r>
    </w:p>
    <w:p w14:paraId="20D0C184"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99720C">
        <w:rPr>
          <w:b/>
          <w:bCs/>
        </w:rPr>
        <w:t xml:space="preserve">GDP per Capita Ratio </w:t>
      </w:r>
      <w:r>
        <w:rPr>
          <w:b/>
          <w:bCs/>
        </w:rPr>
        <w:t xml:space="preserve">– </w:t>
      </w:r>
    </w:p>
    <w:p w14:paraId="039C9AAE" w14:textId="77777777" w:rsidR="00711296" w:rsidRPr="00884CD2" w:rsidRDefault="00711296" w:rsidP="00711296">
      <w:pPr>
        <w:pStyle w:val="ListParagraph"/>
        <w:autoSpaceDE w:val="0"/>
        <w:autoSpaceDN w:val="0"/>
        <w:bidi w:val="0"/>
        <w:adjustRightInd w:val="0"/>
        <w:spacing w:after="240" w:line="480" w:lineRule="auto"/>
        <w:rPr>
          <w:rtl/>
        </w:rPr>
      </w:pPr>
      <w:r w:rsidRPr="00884CD2">
        <w:t>Measures the ratio of GDP per capita of the WBG to Israel</w:t>
      </w:r>
      <w:r>
        <w:t xml:space="preserve">. </w:t>
      </w:r>
      <w:r w:rsidRPr="00BE04A1">
        <w:t>GDP per capita is gross domestic product divided by midyear population. GDP is the sum of gross value added by all resident producers in the economy plus any product taxes and minus any subsidies not included in the value of the products.</w:t>
      </w:r>
      <w:r>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735"/>
      </w:tblGrid>
      <w:tr w:rsidR="00711296" w:rsidRPr="007B3551" w14:paraId="14A3D9F7" w14:textId="77777777" w:rsidTr="004831C9">
        <w:trPr>
          <w:trHeight w:val="300"/>
        </w:trPr>
        <w:tc>
          <w:tcPr>
            <w:tcW w:w="9315" w:type="dxa"/>
            <w:gridSpan w:val="2"/>
            <w:shd w:val="clear" w:color="auto" w:fill="auto"/>
            <w:noWrap/>
            <w:vAlign w:val="bottom"/>
          </w:tcPr>
          <w:p w14:paraId="29E6C1C1" w14:textId="77777777" w:rsidR="00711296" w:rsidRDefault="00711296" w:rsidP="004831C9">
            <w:pPr>
              <w:bidi w:val="0"/>
              <w:rPr>
                <w:rFonts w:cs="Calibri"/>
                <w:color w:val="000000"/>
              </w:rPr>
            </w:pPr>
            <w:r>
              <w:rPr>
                <w:rFonts w:cs="Calibri"/>
                <w:color w:val="000000"/>
              </w:rPr>
              <w:t>Data source</w:t>
            </w:r>
          </w:p>
        </w:tc>
      </w:tr>
      <w:tr w:rsidR="00711296" w:rsidRPr="007B3551" w14:paraId="3A05B21C" w14:textId="77777777" w:rsidTr="004831C9">
        <w:trPr>
          <w:trHeight w:val="300"/>
        </w:trPr>
        <w:tc>
          <w:tcPr>
            <w:tcW w:w="1580" w:type="dxa"/>
            <w:shd w:val="clear" w:color="auto" w:fill="auto"/>
            <w:noWrap/>
            <w:vAlign w:val="center"/>
            <w:hideMark/>
          </w:tcPr>
          <w:p w14:paraId="6CED8BD4" w14:textId="77777777" w:rsidR="00711296" w:rsidRPr="007B3551" w:rsidRDefault="00711296" w:rsidP="004831C9">
            <w:pPr>
              <w:bidi w:val="0"/>
              <w:rPr>
                <w:rFonts w:cs="Calibri"/>
                <w:color w:val="000000"/>
              </w:rPr>
            </w:pPr>
            <w:r>
              <w:rPr>
                <w:rFonts w:cs="Calibri"/>
                <w:color w:val="000000"/>
              </w:rPr>
              <w:t>1968-1993</w:t>
            </w:r>
          </w:p>
        </w:tc>
        <w:tc>
          <w:tcPr>
            <w:tcW w:w="7735" w:type="dxa"/>
            <w:shd w:val="clear" w:color="auto" w:fill="auto"/>
            <w:noWrap/>
            <w:vAlign w:val="center"/>
            <w:hideMark/>
          </w:tcPr>
          <w:p w14:paraId="701A3F92" w14:textId="77777777" w:rsidR="00711296" w:rsidRPr="007B3551" w:rsidRDefault="00711296" w:rsidP="004831C9">
            <w:pPr>
              <w:bidi w:val="0"/>
              <w:rPr>
                <w:rFonts w:cs="Calibri"/>
                <w:color w:val="000000"/>
              </w:rPr>
            </w:pPr>
            <w:r>
              <w:rPr>
                <w:rFonts w:cs="Calibri"/>
                <w:color w:val="000000"/>
              </w:rPr>
              <w:t>SCHEIN, A. (2013). Growth in Per Capita GDP in the West Bank and Gaza 1950–2005, Per capita GDP in WBG in 1990 international dollars, Middle Eastern Studies, 49(6), 973-989. Retrieved April 25, 2021, from http://www.jstor.org/stable/24585955</w:t>
            </w:r>
          </w:p>
        </w:tc>
      </w:tr>
      <w:tr w:rsidR="00711296" w:rsidRPr="007B3551" w14:paraId="70D719A1" w14:textId="77777777" w:rsidTr="004831C9">
        <w:trPr>
          <w:trHeight w:val="300"/>
        </w:trPr>
        <w:tc>
          <w:tcPr>
            <w:tcW w:w="1580" w:type="dxa"/>
            <w:shd w:val="clear" w:color="auto" w:fill="auto"/>
            <w:noWrap/>
            <w:vAlign w:val="center"/>
            <w:hideMark/>
          </w:tcPr>
          <w:p w14:paraId="078EAF92" w14:textId="77777777" w:rsidR="00711296" w:rsidRPr="007B3551" w:rsidRDefault="00711296" w:rsidP="004831C9">
            <w:pPr>
              <w:bidi w:val="0"/>
              <w:rPr>
                <w:rFonts w:cs="Calibri"/>
                <w:color w:val="000000"/>
              </w:rPr>
            </w:pPr>
            <w:r>
              <w:rPr>
                <w:rFonts w:cs="Calibri"/>
                <w:color w:val="000000"/>
              </w:rPr>
              <w:t>1994-2019</w:t>
            </w:r>
          </w:p>
        </w:tc>
        <w:tc>
          <w:tcPr>
            <w:tcW w:w="7735" w:type="dxa"/>
            <w:shd w:val="clear" w:color="auto" w:fill="auto"/>
            <w:noWrap/>
            <w:vAlign w:val="center"/>
            <w:hideMark/>
          </w:tcPr>
          <w:p w14:paraId="07F22DE3" w14:textId="77777777" w:rsidR="00711296" w:rsidRPr="007B3551" w:rsidRDefault="00711296" w:rsidP="004831C9">
            <w:pPr>
              <w:bidi w:val="0"/>
              <w:rPr>
                <w:rFonts w:cs="Calibri"/>
                <w:color w:val="000000"/>
              </w:rPr>
            </w:pPr>
            <w:r>
              <w:rPr>
                <w:rFonts w:cs="Calibri"/>
                <w:color w:val="000000"/>
              </w:rPr>
              <w:t>World bank, World Development Indicators, GDP per capita (constant 2010 US$)</w:t>
            </w:r>
          </w:p>
        </w:tc>
      </w:tr>
    </w:tbl>
    <w:p w14:paraId="06FF303A" w14:textId="77777777" w:rsidR="00711296" w:rsidRPr="0099720C" w:rsidRDefault="00711296" w:rsidP="00711296">
      <w:pPr>
        <w:pStyle w:val="ListParagraph"/>
        <w:autoSpaceDE w:val="0"/>
        <w:autoSpaceDN w:val="0"/>
        <w:bidi w:val="0"/>
        <w:adjustRightInd w:val="0"/>
        <w:spacing w:after="240" w:line="480" w:lineRule="auto"/>
        <w:rPr>
          <w:b/>
          <w:bCs/>
        </w:rPr>
      </w:pPr>
    </w:p>
    <w:p w14:paraId="06E9C291"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99720C">
        <w:rPr>
          <w:b/>
          <w:bCs/>
        </w:rPr>
        <w:t xml:space="preserve">Price level ratio </w:t>
      </w:r>
      <w:r>
        <w:rPr>
          <w:b/>
          <w:bCs/>
        </w:rPr>
        <w:t xml:space="preserve">– </w:t>
      </w:r>
    </w:p>
    <w:p w14:paraId="50D9EF92" w14:textId="77777777" w:rsidR="00711296" w:rsidRDefault="00711296" w:rsidP="00711296">
      <w:pPr>
        <w:pStyle w:val="ListParagraph"/>
        <w:autoSpaceDE w:val="0"/>
        <w:autoSpaceDN w:val="0"/>
        <w:bidi w:val="0"/>
        <w:adjustRightInd w:val="0"/>
        <w:spacing w:line="480" w:lineRule="auto"/>
        <w:jc w:val="both"/>
      </w:pPr>
      <w:r>
        <w:t>M</w:t>
      </w:r>
      <w:r w:rsidRPr="00775E85">
        <w:t xml:space="preserve">easure the differences in price levels between </w:t>
      </w:r>
      <w:r>
        <w:t>the WBG and Israel.</w:t>
      </w:r>
    </w:p>
    <w:p w14:paraId="53C88509" w14:textId="77777777" w:rsidR="00711296" w:rsidRPr="00775E85" w:rsidRDefault="00711296" w:rsidP="00711296">
      <w:pPr>
        <w:pStyle w:val="ListParagraph"/>
        <w:autoSpaceDE w:val="0"/>
        <w:autoSpaceDN w:val="0"/>
        <w:bidi w:val="0"/>
        <w:adjustRightInd w:val="0"/>
        <w:spacing w:line="480" w:lineRule="auto"/>
        <w:jc w:val="both"/>
      </w:pPr>
      <w:r w:rsidRPr="00775E85">
        <w:t>Price level ratio is the ratio of a purchasing power parity (PPP) conversion factor to an exchange rate. It provides a measure of the differences in price levels between countries by indicating the number of units of the common currency needed to buy the same volume of the aggregation level in each country. At the level of GDP, they provide a measure of the differences in the general price levels of countries.</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1A754070" w14:textId="77777777" w:rsidTr="004831C9">
        <w:trPr>
          <w:trHeight w:val="385"/>
        </w:trPr>
        <w:tc>
          <w:tcPr>
            <w:tcW w:w="8409" w:type="dxa"/>
            <w:gridSpan w:val="2"/>
            <w:shd w:val="clear" w:color="auto" w:fill="auto"/>
            <w:noWrap/>
            <w:vAlign w:val="center"/>
          </w:tcPr>
          <w:p w14:paraId="4EA491AC"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7D728AEF" w14:textId="77777777" w:rsidTr="004831C9">
        <w:trPr>
          <w:trHeight w:val="1200"/>
        </w:trPr>
        <w:tc>
          <w:tcPr>
            <w:tcW w:w="1580" w:type="dxa"/>
            <w:shd w:val="clear" w:color="auto" w:fill="auto"/>
            <w:noWrap/>
            <w:vAlign w:val="center"/>
            <w:hideMark/>
          </w:tcPr>
          <w:p w14:paraId="1F35D112" w14:textId="77777777" w:rsidR="00711296" w:rsidRPr="003C3F18" w:rsidRDefault="00711296" w:rsidP="004831C9">
            <w:pPr>
              <w:bidi w:val="0"/>
              <w:rPr>
                <w:rFonts w:cs="Calibri"/>
                <w:color w:val="000000"/>
              </w:rPr>
            </w:pPr>
            <w:r>
              <w:rPr>
                <w:rFonts w:cs="Calibri"/>
                <w:color w:val="000000"/>
              </w:rPr>
              <w:t>1994-2019</w:t>
            </w:r>
          </w:p>
        </w:tc>
        <w:tc>
          <w:tcPr>
            <w:tcW w:w="6829" w:type="dxa"/>
            <w:shd w:val="clear" w:color="auto" w:fill="auto"/>
            <w:noWrap/>
            <w:vAlign w:val="center"/>
            <w:hideMark/>
          </w:tcPr>
          <w:p w14:paraId="6EA264D8" w14:textId="77777777" w:rsidR="00711296" w:rsidRDefault="00711296" w:rsidP="004831C9">
            <w:pPr>
              <w:bidi w:val="0"/>
              <w:rPr>
                <w:rFonts w:cs="Calibri"/>
                <w:color w:val="000000"/>
              </w:rPr>
            </w:pPr>
            <w:r>
              <w:rPr>
                <w:rFonts w:cs="Calibri"/>
                <w:color w:val="000000"/>
              </w:rPr>
              <w:t>World bank, World Development Indicators,</w:t>
            </w:r>
            <w:r>
              <w:t xml:space="preserve"> </w:t>
            </w:r>
            <w:r w:rsidRPr="00B2679E">
              <w:rPr>
                <w:rFonts w:cs="Calibri"/>
                <w:color w:val="000000"/>
              </w:rPr>
              <w:t>Price level ratio of PPP conversion factor (GDP) to market exchange rate</w:t>
            </w:r>
            <w:r>
              <w:rPr>
                <w:rFonts w:cs="Calibri"/>
                <w:color w:val="000000"/>
              </w:rPr>
              <w:t>,</w:t>
            </w:r>
          </w:p>
          <w:p w14:paraId="6703B358" w14:textId="77777777" w:rsidR="00711296" w:rsidRDefault="00711296" w:rsidP="004831C9">
            <w:pPr>
              <w:bidi w:val="0"/>
              <w:rPr>
                <w:rFonts w:cs="Calibri"/>
                <w:color w:val="000000"/>
              </w:rPr>
            </w:pPr>
            <w:r w:rsidRPr="001D7171">
              <w:rPr>
                <w:rFonts w:cs="Calibri"/>
                <w:color w:val="000000"/>
              </w:rPr>
              <w:t>PA.NUS.PPPC.RF</w:t>
            </w:r>
          </w:p>
          <w:p w14:paraId="140420FF" w14:textId="77777777" w:rsidR="00711296" w:rsidRPr="003C3F18" w:rsidRDefault="00711296" w:rsidP="004831C9">
            <w:pPr>
              <w:bidi w:val="0"/>
              <w:rPr>
                <w:rFonts w:cs="Calibri"/>
                <w:color w:val="000000"/>
              </w:rPr>
            </w:pPr>
          </w:p>
        </w:tc>
      </w:tr>
    </w:tbl>
    <w:p w14:paraId="2E48EAC9" w14:textId="77777777" w:rsidR="00711296" w:rsidRPr="0099720C" w:rsidRDefault="00711296" w:rsidP="00711296">
      <w:pPr>
        <w:pStyle w:val="ListParagraph"/>
        <w:autoSpaceDE w:val="0"/>
        <w:autoSpaceDN w:val="0"/>
        <w:bidi w:val="0"/>
        <w:adjustRightInd w:val="0"/>
        <w:spacing w:after="240" w:line="480" w:lineRule="auto"/>
        <w:ind w:left="491" w:firstLine="45"/>
        <w:rPr>
          <w:b/>
          <w:bCs/>
        </w:rPr>
      </w:pPr>
    </w:p>
    <w:p w14:paraId="3E63F384"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99720C">
        <w:rPr>
          <w:b/>
          <w:bCs/>
        </w:rPr>
        <w:t xml:space="preserve">Market capitalization Ratio </w:t>
      </w:r>
      <w:r>
        <w:rPr>
          <w:b/>
          <w:bCs/>
        </w:rPr>
        <w:t>–</w:t>
      </w:r>
      <w:r w:rsidRPr="0099720C">
        <w:rPr>
          <w:b/>
          <w:bCs/>
        </w:rPr>
        <w:t xml:space="preserve"> </w:t>
      </w:r>
    </w:p>
    <w:p w14:paraId="1B81E845" w14:textId="77777777" w:rsidR="00711296" w:rsidRPr="00441157" w:rsidRDefault="00711296" w:rsidP="00711296">
      <w:pPr>
        <w:pStyle w:val="ListParagraph"/>
        <w:autoSpaceDE w:val="0"/>
        <w:autoSpaceDN w:val="0"/>
        <w:bidi w:val="0"/>
        <w:adjustRightInd w:val="0"/>
        <w:spacing w:after="240" w:line="480" w:lineRule="auto"/>
        <w:jc w:val="both"/>
      </w:pPr>
      <w:r w:rsidRPr="00884CD2">
        <w:t>Measures the ratio of</w:t>
      </w:r>
      <w:r w:rsidRPr="00C2349E">
        <w:t xml:space="preserve"> market value for listed domestic companies</w:t>
      </w:r>
      <w:r>
        <w:t xml:space="preserve"> on </w:t>
      </w:r>
      <w:r w:rsidRPr="00441157">
        <w:t>Palestine Exchange (</w:t>
      </w:r>
      <w:r>
        <w:t>PEX</w:t>
      </w:r>
      <w:r w:rsidRPr="00441157">
        <w:t>) and the Tel Aviv Stock Exchange (TASE)</w:t>
      </w:r>
      <w:r>
        <w:t>.</w:t>
      </w:r>
    </w:p>
    <w:p w14:paraId="61B86652" w14:textId="77777777" w:rsidR="00711296" w:rsidRPr="00C2349E" w:rsidRDefault="00711296" w:rsidP="00711296">
      <w:pPr>
        <w:pStyle w:val="ListParagraph"/>
        <w:autoSpaceDE w:val="0"/>
        <w:autoSpaceDN w:val="0"/>
        <w:bidi w:val="0"/>
        <w:adjustRightInd w:val="0"/>
        <w:spacing w:after="240" w:line="480" w:lineRule="auto"/>
        <w:jc w:val="both"/>
      </w:pPr>
      <w:r w:rsidRPr="00C2349E">
        <w:t xml:space="preserve">Market capitalization (also known as market value) is the share price times the number of shares outstanding (including their several classes) for listed domestic companies. Investment funds, unit trusts, and companies whose only business goal is to hold shares of other listed companies are excluded. </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29D02E26" w14:textId="77777777" w:rsidTr="004831C9">
        <w:trPr>
          <w:trHeight w:val="385"/>
        </w:trPr>
        <w:tc>
          <w:tcPr>
            <w:tcW w:w="8409" w:type="dxa"/>
            <w:gridSpan w:val="2"/>
            <w:shd w:val="clear" w:color="auto" w:fill="auto"/>
            <w:noWrap/>
            <w:vAlign w:val="center"/>
          </w:tcPr>
          <w:p w14:paraId="7A3A4E06"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2ED3DCE1" w14:textId="77777777" w:rsidTr="004831C9">
        <w:trPr>
          <w:trHeight w:val="1200"/>
        </w:trPr>
        <w:tc>
          <w:tcPr>
            <w:tcW w:w="1580" w:type="dxa"/>
            <w:shd w:val="clear" w:color="auto" w:fill="auto"/>
            <w:noWrap/>
            <w:vAlign w:val="center"/>
            <w:hideMark/>
          </w:tcPr>
          <w:p w14:paraId="328725EC" w14:textId="77777777" w:rsidR="00711296" w:rsidRPr="003C3F18" w:rsidRDefault="00711296" w:rsidP="004831C9">
            <w:pPr>
              <w:bidi w:val="0"/>
              <w:rPr>
                <w:rFonts w:cs="Calibri"/>
                <w:color w:val="000000"/>
              </w:rPr>
            </w:pPr>
            <w:r>
              <w:rPr>
                <w:rFonts w:cs="Calibri"/>
                <w:color w:val="000000"/>
              </w:rPr>
              <w:t>2000-2019</w:t>
            </w:r>
          </w:p>
        </w:tc>
        <w:tc>
          <w:tcPr>
            <w:tcW w:w="6829" w:type="dxa"/>
            <w:shd w:val="clear" w:color="auto" w:fill="auto"/>
            <w:noWrap/>
            <w:vAlign w:val="center"/>
            <w:hideMark/>
          </w:tcPr>
          <w:p w14:paraId="05C69878" w14:textId="77777777" w:rsidR="00711296" w:rsidRPr="003C3F18" w:rsidRDefault="00711296" w:rsidP="004831C9">
            <w:pPr>
              <w:bidi w:val="0"/>
              <w:spacing w:line="420" w:lineRule="atLeast"/>
              <w:outlineLvl w:val="1"/>
              <w:rPr>
                <w:rFonts w:cs="Calibri"/>
                <w:color w:val="000000"/>
              </w:rPr>
            </w:pPr>
            <w:r>
              <w:rPr>
                <w:rFonts w:cs="Calibri"/>
                <w:color w:val="000000"/>
              </w:rPr>
              <w:t>World bank, World Development Indicators,</w:t>
            </w:r>
            <w:r w:rsidRPr="00CE3999">
              <w:rPr>
                <w:rFonts w:cs="Calibri"/>
                <w:color w:val="000000"/>
              </w:rPr>
              <w:t xml:space="preserve"> </w:t>
            </w:r>
            <w:r w:rsidRPr="008F146F">
              <w:rPr>
                <w:rFonts w:cs="Calibri"/>
                <w:color w:val="000000"/>
              </w:rPr>
              <w:t>Market capitalization of listed domestic companies (current US$) - Israel, West Bank and Gaza</w:t>
            </w:r>
            <w:r w:rsidRPr="00CE3999">
              <w:rPr>
                <w:rFonts w:cs="Calibri"/>
                <w:color w:val="000000"/>
              </w:rPr>
              <w:t>,  </w:t>
            </w:r>
            <w:hyperlink r:id="rId30" w:history="1">
              <w:r w:rsidRPr="00CE3999">
                <w:rPr>
                  <w:rFonts w:cs="Calibri"/>
                  <w:color w:val="000000"/>
                </w:rPr>
                <w:t>CM.MKT.LCAP.CD</w:t>
              </w:r>
            </w:hyperlink>
          </w:p>
        </w:tc>
      </w:tr>
    </w:tbl>
    <w:p w14:paraId="10CD80CD" w14:textId="77777777" w:rsidR="00711296" w:rsidRDefault="00711296" w:rsidP="00711296">
      <w:pPr>
        <w:pStyle w:val="ListParagraph"/>
        <w:autoSpaceDE w:val="0"/>
        <w:autoSpaceDN w:val="0"/>
        <w:bidi w:val="0"/>
        <w:adjustRightInd w:val="0"/>
        <w:spacing w:after="240" w:line="480" w:lineRule="auto"/>
        <w:ind w:left="491"/>
        <w:rPr>
          <w:b/>
          <w:bCs/>
        </w:rPr>
      </w:pPr>
    </w:p>
    <w:p w14:paraId="36D302E1" w14:textId="77777777" w:rsidR="00711296" w:rsidRDefault="00711296" w:rsidP="00711296">
      <w:pPr>
        <w:pStyle w:val="ListParagraph"/>
        <w:numPr>
          <w:ilvl w:val="0"/>
          <w:numId w:val="22"/>
        </w:numPr>
        <w:autoSpaceDE w:val="0"/>
        <w:autoSpaceDN w:val="0"/>
        <w:bidi w:val="0"/>
        <w:adjustRightInd w:val="0"/>
        <w:spacing w:after="240" w:line="480" w:lineRule="auto"/>
        <w:ind w:left="720"/>
        <w:rPr>
          <w:b/>
          <w:bCs/>
        </w:rPr>
      </w:pPr>
      <w:r w:rsidRPr="0099720C">
        <w:rPr>
          <w:b/>
          <w:bCs/>
        </w:rPr>
        <w:t xml:space="preserve">Daily Wage Ratio </w:t>
      </w:r>
      <w:r>
        <w:rPr>
          <w:b/>
          <w:bCs/>
        </w:rPr>
        <w:t>–</w:t>
      </w:r>
      <w:r w:rsidRPr="0099720C">
        <w:rPr>
          <w:b/>
          <w:bCs/>
        </w:rPr>
        <w:t xml:space="preserve"> </w:t>
      </w:r>
    </w:p>
    <w:p w14:paraId="58223360" w14:textId="77777777" w:rsidR="00711296" w:rsidRPr="00810D6B" w:rsidRDefault="00711296" w:rsidP="00711296">
      <w:pPr>
        <w:pStyle w:val="ListParagraph"/>
        <w:autoSpaceDE w:val="0"/>
        <w:autoSpaceDN w:val="0"/>
        <w:bidi w:val="0"/>
        <w:adjustRightInd w:val="0"/>
        <w:spacing w:after="240" w:line="480" w:lineRule="auto"/>
      </w:pPr>
      <w:r>
        <w:t>Measures the a</w:t>
      </w:r>
      <w:r w:rsidRPr="00810D6B">
        <w:t>verage wage of Palestinian employees working in Palestine to average wage of Palestinian employees working in Israel</w:t>
      </w:r>
      <w:r>
        <w:t>.</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3C3F18" w14:paraId="7F228D64" w14:textId="77777777" w:rsidTr="004831C9">
        <w:trPr>
          <w:trHeight w:val="385"/>
        </w:trPr>
        <w:tc>
          <w:tcPr>
            <w:tcW w:w="8409" w:type="dxa"/>
            <w:gridSpan w:val="2"/>
            <w:shd w:val="clear" w:color="auto" w:fill="auto"/>
            <w:noWrap/>
            <w:vAlign w:val="center"/>
          </w:tcPr>
          <w:p w14:paraId="3319C836" w14:textId="77777777" w:rsidR="00711296" w:rsidRPr="003C3F18" w:rsidRDefault="00711296" w:rsidP="004831C9">
            <w:pPr>
              <w:bidi w:val="0"/>
              <w:rPr>
                <w:rFonts w:cs="Calibri"/>
                <w:color w:val="000000"/>
              </w:rPr>
            </w:pPr>
            <w:r>
              <w:rPr>
                <w:rFonts w:cs="Calibri"/>
                <w:color w:val="000000"/>
              </w:rPr>
              <w:t>Data source</w:t>
            </w:r>
          </w:p>
        </w:tc>
      </w:tr>
      <w:tr w:rsidR="00711296" w:rsidRPr="003C3F18" w14:paraId="3E311230" w14:textId="77777777" w:rsidTr="004831C9">
        <w:trPr>
          <w:trHeight w:val="634"/>
        </w:trPr>
        <w:tc>
          <w:tcPr>
            <w:tcW w:w="1580" w:type="dxa"/>
            <w:shd w:val="clear" w:color="auto" w:fill="auto"/>
            <w:noWrap/>
            <w:vAlign w:val="center"/>
            <w:hideMark/>
          </w:tcPr>
          <w:p w14:paraId="6B9723FF" w14:textId="77777777" w:rsidR="00711296" w:rsidRPr="003C3F18" w:rsidRDefault="00711296" w:rsidP="004831C9">
            <w:pPr>
              <w:bidi w:val="0"/>
              <w:rPr>
                <w:rFonts w:cs="Calibri"/>
                <w:color w:val="000000"/>
              </w:rPr>
            </w:pPr>
            <w:r>
              <w:rPr>
                <w:rFonts w:cs="Calibri"/>
                <w:color w:val="000000"/>
              </w:rPr>
              <w:t xml:space="preserve">1968, 1969 ,1991 - 1994 </w:t>
            </w:r>
          </w:p>
        </w:tc>
        <w:tc>
          <w:tcPr>
            <w:tcW w:w="6829" w:type="dxa"/>
            <w:shd w:val="clear" w:color="auto" w:fill="auto"/>
            <w:noWrap/>
            <w:vAlign w:val="center"/>
            <w:hideMark/>
          </w:tcPr>
          <w:p w14:paraId="204CD26B" w14:textId="77777777" w:rsidR="00711296" w:rsidRPr="003C3F18" w:rsidRDefault="00711296" w:rsidP="004831C9">
            <w:pPr>
              <w:bidi w:val="0"/>
              <w:rPr>
                <w:rFonts w:cs="Calibri"/>
                <w:color w:val="000000"/>
              </w:rPr>
            </w:pPr>
            <w:r>
              <w:rPr>
                <w:rFonts w:cs="Calibri"/>
                <w:color w:val="000000"/>
              </w:rPr>
              <w:t>Missing information - supplemented by the average of the years before and after</w:t>
            </w:r>
          </w:p>
        </w:tc>
      </w:tr>
      <w:tr w:rsidR="00711296" w:rsidRPr="003C3F18" w14:paraId="4A8C6373" w14:textId="77777777" w:rsidTr="004831C9">
        <w:trPr>
          <w:trHeight w:val="558"/>
        </w:trPr>
        <w:tc>
          <w:tcPr>
            <w:tcW w:w="1580" w:type="dxa"/>
            <w:shd w:val="clear" w:color="auto" w:fill="auto"/>
            <w:noWrap/>
            <w:vAlign w:val="center"/>
          </w:tcPr>
          <w:p w14:paraId="7B938191" w14:textId="77777777" w:rsidR="00711296" w:rsidRDefault="00711296" w:rsidP="004831C9">
            <w:pPr>
              <w:bidi w:val="0"/>
              <w:rPr>
                <w:rFonts w:cs="Calibri"/>
                <w:color w:val="000000"/>
              </w:rPr>
            </w:pPr>
            <w:r>
              <w:rPr>
                <w:rFonts w:cs="Calibri"/>
                <w:color w:val="000000"/>
              </w:rPr>
              <w:t>1970 - 1990</w:t>
            </w:r>
          </w:p>
        </w:tc>
        <w:tc>
          <w:tcPr>
            <w:tcW w:w="6829" w:type="dxa"/>
            <w:shd w:val="clear" w:color="auto" w:fill="auto"/>
            <w:noWrap/>
            <w:vAlign w:val="center"/>
          </w:tcPr>
          <w:p w14:paraId="64DE987A" w14:textId="77777777" w:rsidR="00711296" w:rsidRDefault="00711296" w:rsidP="004831C9">
            <w:pPr>
              <w:bidi w:val="0"/>
              <w:rPr>
                <w:rFonts w:cs="Calibri"/>
                <w:color w:val="000000"/>
              </w:rPr>
            </w:pPr>
            <w:r>
              <w:rPr>
                <w:rFonts w:cs="Calibri"/>
                <w:color w:val="000000"/>
              </w:rPr>
              <w:t xml:space="preserve">National Accounts of Judea, Samaria and the Gaza area, 1968-1993, Pubilication No. 1012, Israeli Central Bureau of Statistics </w:t>
            </w:r>
          </w:p>
        </w:tc>
      </w:tr>
      <w:tr w:rsidR="00711296" w:rsidRPr="003C3F18" w14:paraId="461CDF8B" w14:textId="77777777" w:rsidTr="004831C9">
        <w:trPr>
          <w:trHeight w:val="411"/>
        </w:trPr>
        <w:tc>
          <w:tcPr>
            <w:tcW w:w="1580" w:type="dxa"/>
            <w:shd w:val="clear" w:color="auto" w:fill="auto"/>
            <w:noWrap/>
            <w:vAlign w:val="center"/>
          </w:tcPr>
          <w:p w14:paraId="06D01889" w14:textId="77777777" w:rsidR="00711296" w:rsidRDefault="00711296" w:rsidP="004831C9">
            <w:pPr>
              <w:bidi w:val="0"/>
              <w:rPr>
                <w:rFonts w:cs="Calibri"/>
                <w:color w:val="000000"/>
              </w:rPr>
            </w:pPr>
            <w:r>
              <w:rPr>
                <w:rFonts w:cs="Calibri"/>
                <w:color w:val="000000"/>
              </w:rPr>
              <w:t>1995 - 2019</w:t>
            </w:r>
          </w:p>
        </w:tc>
        <w:tc>
          <w:tcPr>
            <w:tcW w:w="6829" w:type="dxa"/>
            <w:shd w:val="clear" w:color="auto" w:fill="auto"/>
            <w:noWrap/>
            <w:vAlign w:val="center"/>
          </w:tcPr>
          <w:p w14:paraId="7849E681" w14:textId="77777777" w:rsidR="00711296" w:rsidRDefault="00711296" w:rsidP="004831C9">
            <w:pPr>
              <w:bidi w:val="0"/>
              <w:rPr>
                <w:rFonts w:cs="Calibri"/>
                <w:color w:val="000000"/>
              </w:rPr>
            </w:pPr>
            <w:r>
              <w:rPr>
                <w:rFonts w:cs="Calibri"/>
                <w:color w:val="000000"/>
              </w:rPr>
              <w:t>Palestinian Central Bureau of Statistics, </w:t>
            </w:r>
            <w:r>
              <w:rPr>
                <w:i/>
                <w:iCs/>
                <w:color w:val="000000"/>
                <w:sz w:val="20"/>
                <w:szCs w:val="20"/>
              </w:rPr>
              <w:t>Labour Force Survey</w:t>
            </w:r>
          </w:p>
        </w:tc>
      </w:tr>
    </w:tbl>
    <w:p w14:paraId="5CB8BAED" w14:textId="77777777" w:rsidR="00711296" w:rsidRDefault="00711296" w:rsidP="00711296">
      <w:pPr>
        <w:pStyle w:val="ListParagraph"/>
        <w:autoSpaceDE w:val="0"/>
        <w:autoSpaceDN w:val="0"/>
        <w:bidi w:val="0"/>
        <w:adjustRightInd w:val="0"/>
        <w:spacing w:after="240" w:line="480" w:lineRule="auto"/>
        <w:ind w:left="851"/>
        <w:rPr>
          <w:b/>
          <w:bCs/>
        </w:rPr>
      </w:pPr>
    </w:p>
    <w:p w14:paraId="35E7F15C" w14:textId="77777777" w:rsidR="00711296" w:rsidRPr="001664CF" w:rsidRDefault="00711296" w:rsidP="00711296">
      <w:pPr>
        <w:pStyle w:val="ListParagraph"/>
        <w:autoSpaceDE w:val="0"/>
        <w:autoSpaceDN w:val="0"/>
        <w:bidi w:val="0"/>
        <w:adjustRightInd w:val="0"/>
        <w:spacing w:line="360" w:lineRule="auto"/>
        <w:ind w:left="360"/>
        <w:jc w:val="center"/>
        <w:rPr>
          <w:rFonts w:asciiTheme="majorBidi" w:hAnsiTheme="majorBidi" w:cstheme="majorBidi"/>
          <w:b/>
          <w:bCs/>
          <w:sz w:val="24"/>
          <w:szCs w:val="24"/>
        </w:rPr>
      </w:pPr>
      <w:r>
        <w:rPr>
          <w:rFonts w:asciiTheme="majorBidi" w:hAnsiTheme="majorBidi" w:cstheme="majorBidi"/>
          <w:b/>
          <w:bCs/>
          <w:sz w:val="24"/>
          <w:szCs w:val="24"/>
        </w:rPr>
        <w:t xml:space="preserve">Figure </w:t>
      </w:r>
      <w:r w:rsidRPr="00986C40">
        <w:rPr>
          <w:rFonts w:asciiTheme="majorBidi" w:hAnsiTheme="majorBidi" w:cstheme="majorBidi"/>
          <w:b/>
          <w:bCs/>
          <w:sz w:val="24"/>
          <w:szCs w:val="24"/>
          <w:shd w:val="clear" w:color="auto" w:fill="FFFF00"/>
        </w:rPr>
        <w:t>XX</w:t>
      </w:r>
      <w:r>
        <w:rPr>
          <w:rFonts w:asciiTheme="majorBidi" w:hAnsiTheme="majorBidi" w:cstheme="majorBidi"/>
          <w:b/>
          <w:bCs/>
          <w:sz w:val="24"/>
          <w:szCs w:val="24"/>
        </w:rPr>
        <w:t xml:space="preserve"> - </w:t>
      </w:r>
      <w:r w:rsidRPr="001664CF">
        <w:rPr>
          <w:rFonts w:asciiTheme="majorBidi" w:hAnsiTheme="majorBidi" w:cstheme="majorBidi"/>
          <w:b/>
          <w:bCs/>
          <w:sz w:val="24"/>
          <w:szCs w:val="24"/>
        </w:rPr>
        <w:t>Wealth and Standard of living</w:t>
      </w:r>
    </w:p>
    <w:p w14:paraId="1E233968" w14:textId="77777777" w:rsidR="00711296" w:rsidRDefault="00711296" w:rsidP="00711296">
      <w:pPr>
        <w:pStyle w:val="ListParagraph"/>
        <w:autoSpaceDE w:val="0"/>
        <w:autoSpaceDN w:val="0"/>
        <w:bidi w:val="0"/>
        <w:adjustRightInd w:val="0"/>
        <w:spacing w:after="240" w:line="480" w:lineRule="auto"/>
        <w:ind w:left="0"/>
        <w:rPr>
          <w:rFonts w:asciiTheme="majorBidi" w:hAnsiTheme="majorBidi" w:cstheme="majorBidi"/>
          <w:b/>
          <w:bCs/>
          <w:sz w:val="24"/>
          <w:szCs w:val="24"/>
        </w:rPr>
      </w:pPr>
      <w:r>
        <w:rPr>
          <w:noProof/>
        </w:rPr>
        <w:drawing>
          <wp:inline distT="0" distB="0" distL="0" distR="0" wp14:anchorId="2754FEDD" wp14:editId="02C238CF">
            <wp:extent cx="5292000" cy="3060000"/>
            <wp:effectExtent l="0" t="0" r="4445" b="7620"/>
            <wp:docPr id="56" name="תרשים 56">
              <a:extLst xmlns:a="http://schemas.openxmlformats.org/drawingml/2006/main">
                <a:ext uri="{FF2B5EF4-FFF2-40B4-BE49-F238E27FC236}">
                  <a16:creationId xmlns:a16="http://schemas.microsoft.com/office/drawing/2014/main" id="{64DD37A7-2B07-4392-913C-8588F7931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85DFC3C" w14:textId="77777777" w:rsidR="00711296" w:rsidRPr="001664CF" w:rsidRDefault="00711296" w:rsidP="00711296">
      <w:pPr>
        <w:pStyle w:val="ListParagraph"/>
        <w:autoSpaceDE w:val="0"/>
        <w:autoSpaceDN w:val="0"/>
        <w:bidi w:val="0"/>
        <w:adjustRightInd w:val="0"/>
        <w:spacing w:line="360" w:lineRule="auto"/>
        <w:ind w:left="360"/>
        <w:jc w:val="center"/>
        <w:rPr>
          <w:rFonts w:asciiTheme="majorBidi" w:hAnsiTheme="majorBidi" w:cstheme="majorBidi"/>
          <w:b/>
          <w:bCs/>
          <w:sz w:val="24"/>
          <w:szCs w:val="24"/>
        </w:rPr>
      </w:pPr>
      <w:r>
        <w:rPr>
          <w:rFonts w:asciiTheme="majorBidi" w:hAnsiTheme="majorBidi" w:cstheme="majorBidi"/>
          <w:b/>
          <w:bCs/>
          <w:sz w:val="24"/>
          <w:szCs w:val="24"/>
        </w:rPr>
        <w:t xml:space="preserve">Table </w:t>
      </w:r>
      <w:r w:rsidRPr="00986C40">
        <w:rPr>
          <w:rFonts w:asciiTheme="majorBidi" w:hAnsiTheme="majorBidi" w:cstheme="majorBidi"/>
          <w:b/>
          <w:bCs/>
          <w:sz w:val="24"/>
          <w:szCs w:val="24"/>
          <w:shd w:val="clear" w:color="auto" w:fill="FFFF00"/>
        </w:rPr>
        <w:t>XX</w:t>
      </w:r>
      <w:r>
        <w:rPr>
          <w:rFonts w:asciiTheme="majorBidi" w:hAnsiTheme="majorBidi" w:cstheme="majorBidi"/>
          <w:b/>
          <w:bCs/>
          <w:sz w:val="24"/>
          <w:szCs w:val="24"/>
        </w:rPr>
        <w:t xml:space="preserve"> - </w:t>
      </w:r>
      <w:r w:rsidRPr="00ED6472">
        <w:rPr>
          <w:rFonts w:asciiTheme="majorBidi" w:hAnsiTheme="majorBidi" w:cstheme="majorBidi"/>
          <w:b/>
          <w:bCs/>
          <w:sz w:val="24"/>
          <w:szCs w:val="24"/>
        </w:rPr>
        <w:t>Raw data</w:t>
      </w:r>
      <w:r>
        <w:rPr>
          <w:rFonts w:asciiTheme="majorBidi" w:hAnsiTheme="majorBidi" w:cstheme="majorBidi"/>
          <w:b/>
          <w:bCs/>
          <w:sz w:val="24"/>
          <w:szCs w:val="24"/>
        </w:rPr>
        <w:t xml:space="preserve"> - </w:t>
      </w:r>
      <w:r w:rsidRPr="001664CF">
        <w:rPr>
          <w:rFonts w:asciiTheme="majorBidi" w:hAnsiTheme="majorBidi" w:cstheme="majorBidi"/>
          <w:b/>
          <w:bCs/>
          <w:sz w:val="24"/>
          <w:szCs w:val="24"/>
        </w:rPr>
        <w:t>Wealth and Standard of living</w:t>
      </w:r>
    </w:p>
    <w:tbl>
      <w:tblPr>
        <w:tblW w:w="752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784"/>
        <w:gridCol w:w="1379"/>
        <w:gridCol w:w="2246"/>
        <w:gridCol w:w="1495"/>
      </w:tblGrid>
      <w:tr w:rsidR="00711296" w:rsidRPr="00436045" w14:paraId="50B03898" w14:textId="77777777" w:rsidTr="004831C9">
        <w:trPr>
          <w:trHeight w:val="1550"/>
        </w:trPr>
        <w:tc>
          <w:tcPr>
            <w:tcW w:w="0" w:type="auto"/>
          </w:tcPr>
          <w:p w14:paraId="58A25F24" w14:textId="77777777" w:rsidR="00711296" w:rsidRPr="00436045" w:rsidRDefault="00711296" w:rsidP="004831C9">
            <w:pPr>
              <w:bidi w:val="0"/>
              <w:rPr>
                <w:rFonts w:cs="Calibri"/>
                <w:b/>
                <w:bCs/>
                <w:color w:val="000000"/>
                <w:sz w:val="18"/>
                <w:szCs w:val="18"/>
              </w:rPr>
            </w:pPr>
            <w:r w:rsidRPr="00436045">
              <w:rPr>
                <w:rFonts w:cs="Calibri"/>
                <w:b/>
                <w:bCs/>
                <w:color w:val="000000"/>
                <w:sz w:val="18"/>
                <w:szCs w:val="18"/>
              </w:rPr>
              <w:t>Year</w:t>
            </w:r>
          </w:p>
        </w:tc>
        <w:tc>
          <w:tcPr>
            <w:tcW w:w="0" w:type="auto"/>
            <w:shd w:val="clear" w:color="auto" w:fill="auto"/>
            <w:hideMark/>
          </w:tcPr>
          <w:p w14:paraId="6828BDA5" w14:textId="77777777" w:rsidR="00711296" w:rsidRPr="00090F2A" w:rsidRDefault="00711296" w:rsidP="004831C9">
            <w:pPr>
              <w:bidi w:val="0"/>
              <w:rPr>
                <w:rFonts w:cs="Calibri"/>
                <w:b/>
                <w:bCs/>
                <w:color w:val="000000"/>
                <w:sz w:val="18"/>
                <w:szCs w:val="18"/>
              </w:rPr>
            </w:pPr>
            <w:r w:rsidRPr="00436045">
              <w:rPr>
                <w:rFonts w:cs="Calibri"/>
                <w:b/>
                <w:bCs/>
                <w:color w:val="000000"/>
                <w:sz w:val="18"/>
                <w:szCs w:val="18"/>
              </w:rPr>
              <w:t xml:space="preserve">GDP per Capita Ratio </w:t>
            </w:r>
          </w:p>
        </w:tc>
        <w:tc>
          <w:tcPr>
            <w:tcW w:w="0" w:type="auto"/>
            <w:shd w:val="clear" w:color="auto" w:fill="auto"/>
            <w:hideMark/>
          </w:tcPr>
          <w:p w14:paraId="7E004D69" w14:textId="77777777" w:rsidR="00711296" w:rsidRPr="00090F2A" w:rsidRDefault="00711296" w:rsidP="004831C9">
            <w:pPr>
              <w:bidi w:val="0"/>
              <w:rPr>
                <w:rFonts w:cs="Calibri"/>
                <w:b/>
                <w:bCs/>
                <w:color w:val="000000"/>
                <w:sz w:val="18"/>
                <w:szCs w:val="18"/>
              </w:rPr>
            </w:pPr>
            <w:r w:rsidRPr="00436045">
              <w:rPr>
                <w:rFonts w:cs="Calibri"/>
                <w:b/>
                <w:bCs/>
                <w:color w:val="000000"/>
                <w:sz w:val="18"/>
                <w:szCs w:val="18"/>
              </w:rPr>
              <w:t xml:space="preserve">Price level ratio </w:t>
            </w:r>
          </w:p>
        </w:tc>
        <w:tc>
          <w:tcPr>
            <w:tcW w:w="0" w:type="auto"/>
            <w:shd w:val="clear" w:color="auto" w:fill="auto"/>
            <w:hideMark/>
          </w:tcPr>
          <w:p w14:paraId="6CA6B99E" w14:textId="77777777" w:rsidR="00711296" w:rsidRPr="00090F2A" w:rsidRDefault="00711296" w:rsidP="004831C9">
            <w:pPr>
              <w:bidi w:val="0"/>
              <w:rPr>
                <w:rFonts w:cs="Calibri"/>
                <w:b/>
                <w:bCs/>
                <w:color w:val="000000"/>
                <w:sz w:val="18"/>
                <w:szCs w:val="18"/>
              </w:rPr>
            </w:pPr>
            <w:r w:rsidRPr="00436045">
              <w:rPr>
                <w:rFonts w:cs="Calibri"/>
                <w:b/>
                <w:bCs/>
                <w:color w:val="000000"/>
                <w:sz w:val="18"/>
                <w:szCs w:val="18"/>
              </w:rPr>
              <w:t xml:space="preserve">Market capitilazation Ratio </w:t>
            </w:r>
          </w:p>
        </w:tc>
        <w:tc>
          <w:tcPr>
            <w:tcW w:w="0" w:type="auto"/>
            <w:shd w:val="clear" w:color="auto" w:fill="auto"/>
            <w:hideMark/>
          </w:tcPr>
          <w:p w14:paraId="532BC1A2" w14:textId="77777777" w:rsidR="00711296" w:rsidRPr="00090F2A" w:rsidRDefault="00711296" w:rsidP="004831C9">
            <w:pPr>
              <w:bidi w:val="0"/>
              <w:rPr>
                <w:rFonts w:cs="Calibri"/>
                <w:b/>
                <w:bCs/>
                <w:color w:val="000000"/>
                <w:sz w:val="18"/>
                <w:szCs w:val="18"/>
              </w:rPr>
            </w:pPr>
            <w:r w:rsidRPr="00436045">
              <w:rPr>
                <w:rFonts w:cs="Calibri"/>
                <w:b/>
                <w:bCs/>
                <w:color w:val="000000"/>
                <w:sz w:val="18"/>
                <w:szCs w:val="18"/>
              </w:rPr>
              <w:t>Daily Wage Ratio</w:t>
            </w:r>
          </w:p>
        </w:tc>
      </w:tr>
      <w:tr w:rsidR="00711296" w:rsidRPr="00436045" w14:paraId="269AD408" w14:textId="77777777" w:rsidTr="004831C9">
        <w:trPr>
          <w:trHeight w:val="285"/>
        </w:trPr>
        <w:tc>
          <w:tcPr>
            <w:tcW w:w="0" w:type="auto"/>
            <w:vAlign w:val="bottom"/>
          </w:tcPr>
          <w:p w14:paraId="137809C5"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1968</w:t>
            </w:r>
          </w:p>
        </w:tc>
        <w:tc>
          <w:tcPr>
            <w:tcW w:w="0" w:type="auto"/>
            <w:shd w:val="clear" w:color="auto" w:fill="auto"/>
            <w:noWrap/>
            <w:vAlign w:val="bottom"/>
            <w:hideMark/>
          </w:tcPr>
          <w:p w14:paraId="7F1B894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5.06%</w:t>
            </w:r>
          </w:p>
        </w:tc>
        <w:tc>
          <w:tcPr>
            <w:tcW w:w="0" w:type="auto"/>
            <w:shd w:val="clear" w:color="auto" w:fill="auto"/>
            <w:noWrap/>
            <w:vAlign w:val="bottom"/>
            <w:hideMark/>
          </w:tcPr>
          <w:p w14:paraId="5E6E6A44" w14:textId="77777777" w:rsidR="00711296" w:rsidRPr="00090F2A" w:rsidRDefault="00711296" w:rsidP="004831C9">
            <w:pPr>
              <w:bidi w:val="0"/>
              <w:rPr>
                <w:rFonts w:ascii="Arial" w:hAnsi="Arial"/>
                <w:color w:val="000000"/>
                <w:sz w:val="18"/>
                <w:szCs w:val="18"/>
              </w:rPr>
            </w:pPr>
            <w:r w:rsidRPr="00090F2A">
              <w:rPr>
                <w:rFonts w:ascii="Arial" w:hAnsi="Arial"/>
                <w:color w:val="000000"/>
                <w:sz w:val="18"/>
                <w:szCs w:val="18"/>
              </w:rPr>
              <w:t> </w:t>
            </w:r>
          </w:p>
        </w:tc>
        <w:tc>
          <w:tcPr>
            <w:tcW w:w="0" w:type="auto"/>
            <w:shd w:val="clear" w:color="auto" w:fill="auto"/>
            <w:noWrap/>
            <w:vAlign w:val="bottom"/>
            <w:hideMark/>
          </w:tcPr>
          <w:p w14:paraId="4CEFAE1C" w14:textId="77777777" w:rsidR="00711296" w:rsidRPr="00090F2A" w:rsidRDefault="00711296" w:rsidP="004831C9">
            <w:pPr>
              <w:bidi w:val="0"/>
              <w:rPr>
                <w:rFonts w:ascii="Arial" w:hAnsi="Arial"/>
                <w:color w:val="000000"/>
                <w:sz w:val="18"/>
                <w:szCs w:val="18"/>
              </w:rPr>
            </w:pPr>
            <w:r w:rsidRPr="00090F2A">
              <w:rPr>
                <w:rFonts w:ascii="Arial" w:hAnsi="Arial"/>
                <w:color w:val="000000"/>
                <w:sz w:val="18"/>
                <w:szCs w:val="18"/>
              </w:rPr>
              <w:t> </w:t>
            </w:r>
          </w:p>
        </w:tc>
        <w:tc>
          <w:tcPr>
            <w:tcW w:w="0" w:type="auto"/>
            <w:shd w:val="clear" w:color="auto" w:fill="DEEAF6" w:themeFill="accent5" w:themeFillTint="33"/>
            <w:noWrap/>
            <w:vAlign w:val="bottom"/>
            <w:hideMark/>
          </w:tcPr>
          <w:p w14:paraId="21F7483B"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55%</w:t>
            </w:r>
          </w:p>
        </w:tc>
      </w:tr>
      <w:tr w:rsidR="00711296" w:rsidRPr="00436045" w14:paraId="432C9545" w14:textId="77777777" w:rsidTr="004831C9">
        <w:trPr>
          <w:trHeight w:val="285"/>
        </w:trPr>
        <w:tc>
          <w:tcPr>
            <w:tcW w:w="0" w:type="auto"/>
            <w:vAlign w:val="bottom"/>
          </w:tcPr>
          <w:p w14:paraId="1CC4ED28"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1969</w:t>
            </w:r>
          </w:p>
        </w:tc>
        <w:tc>
          <w:tcPr>
            <w:tcW w:w="0" w:type="auto"/>
            <w:shd w:val="clear" w:color="auto" w:fill="auto"/>
            <w:noWrap/>
            <w:vAlign w:val="bottom"/>
            <w:hideMark/>
          </w:tcPr>
          <w:p w14:paraId="49CADE7D"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5.10%</w:t>
            </w:r>
          </w:p>
        </w:tc>
        <w:tc>
          <w:tcPr>
            <w:tcW w:w="0" w:type="auto"/>
            <w:shd w:val="clear" w:color="auto" w:fill="auto"/>
            <w:noWrap/>
            <w:vAlign w:val="bottom"/>
            <w:hideMark/>
          </w:tcPr>
          <w:p w14:paraId="06C63BC7"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7DEFF703"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DEEAF6" w:themeFill="accent5" w:themeFillTint="33"/>
            <w:noWrap/>
            <w:vAlign w:val="bottom"/>
            <w:hideMark/>
          </w:tcPr>
          <w:p w14:paraId="79E4375B"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55%</w:t>
            </w:r>
          </w:p>
        </w:tc>
      </w:tr>
      <w:tr w:rsidR="00711296" w:rsidRPr="00436045" w14:paraId="2F401D29" w14:textId="77777777" w:rsidTr="004831C9">
        <w:trPr>
          <w:trHeight w:val="285"/>
        </w:trPr>
        <w:tc>
          <w:tcPr>
            <w:tcW w:w="0" w:type="auto"/>
            <w:vAlign w:val="bottom"/>
          </w:tcPr>
          <w:p w14:paraId="2067519C"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1970</w:t>
            </w:r>
          </w:p>
        </w:tc>
        <w:tc>
          <w:tcPr>
            <w:tcW w:w="0" w:type="auto"/>
            <w:shd w:val="clear" w:color="auto" w:fill="auto"/>
            <w:noWrap/>
            <w:vAlign w:val="bottom"/>
            <w:hideMark/>
          </w:tcPr>
          <w:p w14:paraId="36B28379"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5.73%</w:t>
            </w:r>
          </w:p>
        </w:tc>
        <w:tc>
          <w:tcPr>
            <w:tcW w:w="0" w:type="auto"/>
            <w:shd w:val="clear" w:color="auto" w:fill="auto"/>
            <w:noWrap/>
            <w:vAlign w:val="bottom"/>
            <w:hideMark/>
          </w:tcPr>
          <w:p w14:paraId="796A7C77"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0535D453"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7D1F27A0"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55%</w:t>
            </w:r>
          </w:p>
        </w:tc>
      </w:tr>
      <w:tr w:rsidR="00711296" w:rsidRPr="00436045" w14:paraId="6505A280" w14:textId="77777777" w:rsidTr="004831C9">
        <w:trPr>
          <w:trHeight w:val="285"/>
        </w:trPr>
        <w:tc>
          <w:tcPr>
            <w:tcW w:w="0" w:type="auto"/>
            <w:vAlign w:val="bottom"/>
          </w:tcPr>
          <w:p w14:paraId="49AB876F"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1971</w:t>
            </w:r>
          </w:p>
        </w:tc>
        <w:tc>
          <w:tcPr>
            <w:tcW w:w="0" w:type="auto"/>
            <w:shd w:val="clear" w:color="auto" w:fill="auto"/>
            <w:noWrap/>
            <w:vAlign w:val="bottom"/>
            <w:hideMark/>
          </w:tcPr>
          <w:p w14:paraId="5477897C"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5.92%</w:t>
            </w:r>
          </w:p>
        </w:tc>
        <w:tc>
          <w:tcPr>
            <w:tcW w:w="0" w:type="auto"/>
            <w:shd w:val="clear" w:color="auto" w:fill="auto"/>
            <w:noWrap/>
            <w:vAlign w:val="bottom"/>
            <w:hideMark/>
          </w:tcPr>
          <w:p w14:paraId="08E243ED"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6B548175"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23F765B5"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61%</w:t>
            </w:r>
          </w:p>
        </w:tc>
      </w:tr>
      <w:tr w:rsidR="00711296" w:rsidRPr="00436045" w14:paraId="7833208E" w14:textId="77777777" w:rsidTr="004831C9">
        <w:trPr>
          <w:trHeight w:val="285"/>
        </w:trPr>
        <w:tc>
          <w:tcPr>
            <w:tcW w:w="0" w:type="auto"/>
            <w:vAlign w:val="bottom"/>
          </w:tcPr>
          <w:p w14:paraId="2437E8DC"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1972</w:t>
            </w:r>
          </w:p>
        </w:tc>
        <w:tc>
          <w:tcPr>
            <w:tcW w:w="0" w:type="auto"/>
            <w:shd w:val="clear" w:color="auto" w:fill="auto"/>
            <w:noWrap/>
            <w:vAlign w:val="bottom"/>
            <w:hideMark/>
          </w:tcPr>
          <w:p w14:paraId="0FED0A0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6.20%</w:t>
            </w:r>
          </w:p>
        </w:tc>
        <w:tc>
          <w:tcPr>
            <w:tcW w:w="0" w:type="auto"/>
            <w:shd w:val="clear" w:color="auto" w:fill="auto"/>
            <w:noWrap/>
            <w:vAlign w:val="bottom"/>
            <w:hideMark/>
          </w:tcPr>
          <w:p w14:paraId="13A67AAC"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74BCE0F0"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0D0E49D5"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64%</w:t>
            </w:r>
          </w:p>
        </w:tc>
      </w:tr>
      <w:tr w:rsidR="00711296" w:rsidRPr="00436045" w14:paraId="006B2094" w14:textId="77777777" w:rsidTr="004831C9">
        <w:trPr>
          <w:trHeight w:val="285"/>
        </w:trPr>
        <w:tc>
          <w:tcPr>
            <w:tcW w:w="0" w:type="auto"/>
            <w:vAlign w:val="bottom"/>
          </w:tcPr>
          <w:p w14:paraId="5C74DFEB"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1973</w:t>
            </w:r>
          </w:p>
        </w:tc>
        <w:tc>
          <w:tcPr>
            <w:tcW w:w="0" w:type="auto"/>
            <w:shd w:val="clear" w:color="auto" w:fill="auto"/>
            <w:noWrap/>
            <w:vAlign w:val="bottom"/>
            <w:hideMark/>
          </w:tcPr>
          <w:p w14:paraId="0ABF2FCA"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5.61%</w:t>
            </w:r>
          </w:p>
        </w:tc>
        <w:tc>
          <w:tcPr>
            <w:tcW w:w="0" w:type="auto"/>
            <w:shd w:val="clear" w:color="auto" w:fill="auto"/>
            <w:noWrap/>
            <w:vAlign w:val="bottom"/>
            <w:hideMark/>
          </w:tcPr>
          <w:p w14:paraId="6398FDB2"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7F498108"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41E81B46"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67%</w:t>
            </w:r>
          </w:p>
        </w:tc>
      </w:tr>
      <w:tr w:rsidR="00711296" w:rsidRPr="00436045" w14:paraId="0A771552" w14:textId="77777777" w:rsidTr="004831C9">
        <w:trPr>
          <w:trHeight w:val="285"/>
        </w:trPr>
        <w:tc>
          <w:tcPr>
            <w:tcW w:w="0" w:type="auto"/>
            <w:vAlign w:val="bottom"/>
          </w:tcPr>
          <w:p w14:paraId="28CD8092"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1974</w:t>
            </w:r>
          </w:p>
        </w:tc>
        <w:tc>
          <w:tcPr>
            <w:tcW w:w="0" w:type="auto"/>
            <w:shd w:val="clear" w:color="auto" w:fill="auto"/>
            <w:noWrap/>
            <w:vAlign w:val="bottom"/>
            <w:hideMark/>
          </w:tcPr>
          <w:p w14:paraId="6ECA1A5C"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6.53%</w:t>
            </w:r>
          </w:p>
        </w:tc>
        <w:tc>
          <w:tcPr>
            <w:tcW w:w="0" w:type="auto"/>
            <w:shd w:val="clear" w:color="auto" w:fill="auto"/>
            <w:noWrap/>
            <w:vAlign w:val="bottom"/>
            <w:hideMark/>
          </w:tcPr>
          <w:p w14:paraId="5A621F0A"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014D9C2D"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196D2026"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72%</w:t>
            </w:r>
          </w:p>
        </w:tc>
      </w:tr>
      <w:tr w:rsidR="00711296" w:rsidRPr="00436045" w14:paraId="07F2006B" w14:textId="77777777" w:rsidTr="004831C9">
        <w:trPr>
          <w:trHeight w:val="285"/>
        </w:trPr>
        <w:tc>
          <w:tcPr>
            <w:tcW w:w="0" w:type="auto"/>
            <w:vAlign w:val="bottom"/>
          </w:tcPr>
          <w:p w14:paraId="15799CA8"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1975</w:t>
            </w:r>
          </w:p>
        </w:tc>
        <w:tc>
          <w:tcPr>
            <w:tcW w:w="0" w:type="auto"/>
            <w:shd w:val="clear" w:color="auto" w:fill="auto"/>
            <w:noWrap/>
            <w:vAlign w:val="bottom"/>
            <w:hideMark/>
          </w:tcPr>
          <w:p w14:paraId="757B9B2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6.33%</w:t>
            </w:r>
          </w:p>
        </w:tc>
        <w:tc>
          <w:tcPr>
            <w:tcW w:w="0" w:type="auto"/>
            <w:shd w:val="clear" w:color="auto" w:fill="auto"/>
            <w:noWrap/>
            <w:vAlign w:val="bottom"/>
            <w:hideMark/>
          </w:tcPr>
          <w:p w14:paraId="21FC1F9E"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6055B69B"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534B39B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81%</w:t>
            </w:r>
          </w:p>
        </w:tc>
      </w:tr>
      <w:tr w:rsidR="00711296" w:rsidRPr="00436045" w14:paraId="29C43DE8" w14:textId="77777777" w:rsidTr="004831C9">
        <w:trPr>
          <w:trHeight w:val="285"/>
        </w:trPr>
        <w:tc>
          <w:tcPr>
            <w:tcW w:w="0" w:type="auto"/>
            <w:vAlign w:val="bottom"/>
          </w:tcPr>
          <w:p w14:paraId="6A06C1AA"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1976</w:t>
            </w:r>
          </w:p>
        </w:tc>
        <w:tc>
          <w:tcPr>
            <w:tcW w:w="0" w:type="auto"/>
            <w:shd w:val="clear" w:color="auto" w:fill="auto"/>
            <w:noWrap/>
            <w:vAlign w:val="bottom"/>
            <w:hideMark/>
          </w:tcPr>
          <w:p w14:paraId="20408AD3"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7.37%</w:t>
            </w:r>
          </w:p>
        </w:tc>
        <w:tc>
          <w:tcPr>
            <w:tcW w:w="0" w:type="auto"/>
            <w:shd w:val="clear" w:color="auto" w:fill="auto"/>
            <w:noWrap/>
            <w:vAlign w:val="bottom"/>
            <w:hideMark/>
          </w:tcPr>
          <w:p w14:paraId="671A81FD"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7EF9AFBB"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4BD79D8E"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87%</w:t>
            </w:r>
          </w:p>
        </w:tc>
      </w:tr>
      <w:tr w:rsidR="00711296" w:rsidRPr="00436045" w14:paraId="0A27E50D" w14:textId="77777777" w:rsidTr="004831C9">
        <w:trPr>
          <w:trHeight w:val="285"/>
        </w:trPr>
        <w:tc>
          <w:tcPr>
            <w:tcW w:w="0" w:type="auto"/>
            <w:vAlign w:val="bottom"/>
          </w:tcPr>
          <w:p w14:paraId="6887C7A5"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1977</w:t>
            </w:r>
          </w:p>
        </w:tc>
        <w:tc>
          <w:tcPr>
            <w:tcW w:w="0" w:type="auto"/>
            <w:shd w:val="clear" w:color="auto" w:fill="auto"/>
            <w:noWrap/>
            <w:vAlign w:val="bottom"/>
            <w:hideMark/>
          </w:tcPr>
          <w:p w14:paraId="3C02E10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7.24%</w:t>
            </w:r>
          </w:p>
        </w:tc>
        <w:tc>
          <w:tcPr>
            <w:tcW w:w="0" w:type="auto"/>
            <w:shd w:val="clear" w:color="auto" w:fill="auto"/>
            <w:noWrap/>
            <w:vAlign w:val="bottom"/>
            <w:hideMark/>
          </w:tcPr>
          <w:p w14:paraId="557FAC73"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1E0788A1"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22113B9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90%</w:t>
            </w:r>
          </w:p>
        </w:tc>
      </w:tr>
      <w:tr w:rsidR="00711296" w:rsidRPr="00436045" w14:paraId="0A0CF10E" w14:textId="77777777" w:rsidTr="004831C9">
        <w:trPr>
          <w:trHeight w:val="285"/>
        </w:trPr>
        <w:tc>
          <w:tcPr>
            <w:tcW w:w="0" w:type="auto"/>
            <w:vAlign w:val="bottom"/>
          </w:tcPr>
          <w:p w14:paraId="378AEB5B"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1978</w:t>
            </w:r>
          </w:p>
        </w:tc>
        <w:tc>
          <w:tcPr>
            <w:tcW w:w="0" w:type="auto"/>
            <w:shd w:val="clear" w:color="auto" w:fill="auto"/>
            <w:noWrap/>
            <w:vAlign w:val="bottom"/>
            <w:hideMark/>
          </w:tcPr>
          <w:p w14:paraId="6773CE69"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7.76%</w:t>
            </w:r>
          </w:p>
        </w:tc>
        <w:tc>
          <w:tcPr>
            <w:tcW w:w="0" w:type="auto"/>
            <w:shd w:val="clear" w:color="auto" w:fill="auto"/>
            <w:noWrap/>
            <w:vAlign w:val="bottom"/>
            <w:hideMark/>
          </w:tcPr>
          <w:p w14:paraId="60C26F81"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1E3C8E25"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1425D299"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88%</w:t>
            </w:r>
          </w:p>
        </w:tc>
      </w:tr>
      <w:tr w:rsidR="00711296" w:rsidRPr="00436045" w14:paraId="2F593938" w14:textId="77777777" w:rsidTr="004831C9">
        <w:trPr>
          <w:trHeight w:val="285"/>
        </w:trPr>
        <w:tc>
          <w:tcPr>
            <w:tcW w:w="0" w:type="auto"/>
            <w:vAlign w:val="bottom"/>
          </w:tcPr>
          <w:p w14:paraId="2D8865C7"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1979</w:t>
            </w:r>
          </w:p>
        </w:tc>
        <w:tc>
          <w:tcPr>
            <w:tcW w:w="0" w:type="auto"/>
            <w:shd w:val="clear" w:color="auto" w:fill="auto"/>
            <w:noWrap/>
            <w:vAlign w:val="bottom"/>
            <w:hideMark/>
          </w:tcPr>
          <w:p w14:paraId="64B545E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7.45%</w:t>
            </w:r>
          </w:p>
        </w:tc>
        <w:tc>
          <w:tcPr>
            <w:tcW w:w="0" w:type="auto"/>
            <w:shd w:val="clear" w:color="auto" w:fill="auto"/>
            <w:noWrap/>
            <w:vAlign w:val="bottom"/>
            <w:hideMark/>
          </w:tcPr>
          <w:p w14:paraId="19479B1E"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6B168C76"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5B177E68"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79%</w:t>
            </w:r>
          </w:p>
        </w:tc>
      </w:tr>
      <w:tr w:rsidR="00711296" w:rsidRPr="00436045" w14:paraId="6A997C2F" w14:textId="77777777" w:rsidTr="004831C9">
        <w:trPr>
          <w:trHeight w:val="285"/>
        </w:trPr>
        <w:tc>
          <w:tcPr>
            <w:tcW w:w="0" w:type="auto"/>
            <w:vAlign w:val="bottom"/>
          </w:tcPr>
          <w:p w14:paraId="0CF4E03B"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1980</w:t>
            </w:r>
          </w:p>
        </w:tc>
        <w:tc>
          <w:tcPr>
            <w:tcW w:w="0" w:type="auto"/>
            <w:shd w:val="clear" w:color="auto" w:fill="auto"/>
            <w:noWrap/>
            <w:vAlign w:val="bottom"/>
            <w:hideMark/>
          </w:tcPr>
          <w:p w14:paraId="294AE478"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8.55%</w:t>
            </w:r>
          </w:p>
        </w:tc>
        <w:tc>
          <w:tcPr>
            <w:tcW w:w="0" w:type="auto"/>
            <w:shd w:val="clear" w:color="auto" w:fill="auto"/>
            <w:noWrap/>
            <w:vAlign w:val="bottom"/>
            <w:hideMark/>
          </w:tcPr>
          <w:p w14:paraId="392B8970"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56447038"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1A91E8B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90%</w:t>
            </w:r>
          </w:p>
        </w:tc>
      </w:tr>
      <w:tr w:rsidR="00711296" w:rsidRPr="00436045" w14:paraId="23FDBCA8" w14:textId="77777777" w:rsidTr="004831C9">
        <w:trPr>
          <w:trHeight w:val="285"/>
        </w:trPr>
        <w:tc>
          <w:tcPr>
            <w:tcW w:w="0" w:type="auto"/>
            <w:vAlign w:val="bottom"/>
          </w:tcPr>
          <w:p w14:paraId="1D3E10C3"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1981</w:t>
            </w:r>
          </w:p>
        </w:tc>
        <w:tc>
          <w:tcPr>
            <w:tcW w:w="0" w:type="auto"/>
            <w:shd w:val="clear" w:color="auto" w:fill="auto"/>
            <w:noWrap/>
            <w:vAlign w:val="bottom"/>
            <w:hideMark/>
          </w:tcPr>
          <w:p w14:paraId="7115BBB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7.62%</w:t>
            </w:r>
          </w:p>
        </w:tc>
        <w:tc>
          <w:tcPr>
            <w:tcW w:w="0" w:type="auto"/>
            <w:shd w:val="clear" w:color="auto" w:fill="auto"/>
            <w:noWrap/>
            <w:vAlign w:val="bottom"/>
            <w:hideMark/>
          </w:tcPr>
          <w:p w14:paraId="69CF4221"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4F28E67F"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6F1F6F4D"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91%</w:t>
            </w:r>
          </w:p>
        </w:tc>
      </w:tr>
      <w:tr w:rsidR="00711296" w:rsidRPr="00436045" w14:paraId="45321B67" w14:textId="77777777" w:rsidTr="004831C9">
        <w:trPr>
          <w:trHeight w:val="285"/>
        </w:trPr>
        <w:tc>
          <w:tcPr>
            <w:tcW w:w="0" w:type="auto"/>
            <w:vAlign w:val="bottom"/>
          </w:tcPr>
          <w:p w14:paraId="583B5138"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1982</w:t>
            </w:r>
          </w:p>
        </w:tc>
        <w:tc>
          <w:tcPr>
            <w:tcW w:w="0" w:type="auto"/>
            <w:shd w:val="clear" w:color="auto" w:fill="auto"/>
            <w:noWrap/>
            <w:vAlign w:val="bottom"/>
            <w:hideMark/>
          </w:tcPr>
          <w:p w14:paraId="76A7C98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7.99%</w:t>
            </w:r>
          </w:p>
        </w:tc>
        <w:tc>
          <w:tcPr>
            <w:tcW w:w="0" w:type="auto"/>
            <w:shd w:val="clear" w:color="auto" w:fill="auto"/>
            <w:noWrap/>
            <w:vAlign w:val="bottom"/>
            <w:hideMark/>
          </w:tcPr>
          <w:p w14:paraId="1DEB275F"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61522D91"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28AB0D83"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91%</w:t>
            </w:r>
          </w:p>
        </w:tc>
      </w:tr>
      <w:tr w:rsidR="00711296" w:rsidRPr="00436045" w14:paraId="0869B346" w14:textId="77777777" w:rsidTr="004831C9">
        <w:trPr>
          <w:trHeight w:val="285"/>
        </w:trPr>
        <w:tc>
          <w:tcPr>
            <w:tcW w:w="0" w:type="auto"/>
            <w:vAlign w:val="bottom"/>
          </w:tcPr>
          <w:p w14:paraId="2E521CD4"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1983</w:t>
            </w:r>
          </w:p>
        </w:tc>
        <w:tc>
          <w:tcPr>
            <w:tcW w:w="0" w:type="auto"/>
            <w:shd w:val="clear" w:color="auto" w:fill="auto"/>
            <w:noWrap/>
            <w:vAlign w:val="bottom"/>
            <w:hideMark/>
          </w:tcPr>
          <w:p w14:paraId="1F28C5C3"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7.34%</w:t>
            </w:r>
          </w:p>
        </w:tc>
        <w:tc>
          <w:tcPr>
            <w:tcW w:w="0" w:type="auto"/>
            <w:shd w:val="clear" w:color="auto" w:fill="auto"/>
            <w:noWrap/>
            <w:vAlign w:val="bottom"/>
            <w:hideMark/>
          </w:tcPr>
          <w:p w14:paraId="7A378E05"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40506142"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66AFFC2A"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91%</w:t>
            </w:r>
          </w:p>
        </w:tc>
      </w:tr>
      <w:tr w:rsidR="00711296" w:rsidRPr="00436045" w14:paraId="3D60682B" w14:textId="77777777" w:rsidTr="004831C9">
        <w:trPr>
          <w:trHeight w:val="285"/>
        </w:trPr>
        <w:tc>
          <w:tcPr>
            <w:tcW w:w="0" w:type="auto"/>
            <w:vAlign w:val="bottom"/>
          </w:tcPr>
          <w:p w14:paraId="5A0F3A01"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1984</w:t>
            </w:r>
          </w:p>
        </w:tc>
        <w:tc>
          <w:tcPr>
            <w:tcW w:w="0" w:type="auto"/>
            <w:shd w:val="clear" w:color="auto" w:fill="auto"/>
            <w:noWrap/>
            <w:vAlign w:val="bottom"/>
            <w:hideMark/>
          </w:tcPr>
          <w:p w14:paraId="15310D56"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7.52%</w:t>
            </w:r>
          </w:p>
        </w:tc>
        <w:tc>
          <w:tcPr>
            <w:tcW w:w="0" w:type="auto"/>
            <w:shd w:val="clear" w:color="auto" w:fill="auto"/>
            <w:noWrap/>
            <w:vAlign w:val="bottom"/>
            <w:hideMark/>
          </w:tcPr>
          <w:p w14:paraId="15D94EF9"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4CB758CF"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30D6D970"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111%</w:t>
            </w:r>
          </w:p>
        </w:tc>
      </w:tr>
      <w:tr w:rsidR="00711296" w:rsidRPr="00436045" w14:paraId="28E184C4" w14:textId="77777777" w:rsidTr="004831C9">
        <w:trPr>
          <w:trHeight w:val="285"/>
        </w:trPr>
        <w:tc>
          <w:tcPr>
            <w:tcW w:w="0" w:type="auto"/>
            <w:vAlign w:val="bottom"/>
          </w:tcPr>
          <w:p w14:paraId="3689023A"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1985</w:t>
            </w:r>
          </w:p>
        </w:tc>
        <w:tc>
          <w:tcPr>
            <w:tcW w:w="0" w:type="auto"/>
            <w:shd w:val="clear" w:color="auto" w:fill="auto"/>
            <w:noWrap/>
            <w:vAlign w:val="bottom"/>
            <w:hideMark/>
          </w:tcPr>
          <w:p w14:paraId="41274549"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7.07%</w:t>
            </w:r>
          </w:p>
        </w:tc>
        <w:tc>
          <w:tcPr>
            <w:tcW w:w="0" w:type="auto"/>
            <w:shd w:val="clear" w:color="auto" w:fill="auto"/>
            <w:noWrap/>
            <w:vAlign w:val="bottom"/>
            <w:hideMark/>
          </w:tcPr>
          <w:p w14:paraId="1A99CFAC"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19C0BE45"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12502D2B"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109%</w:t>
            </w:r>
          </w:p>
        </w:tc>
      </w:tr>
      <w:tr w:rsidR="00711296" w:rsidRPr="00436045" w14:paraId="201916D7" w14:textId="77777777" w:rsidTr="004831C9">
        <w:trPr>
          <w:trHeight w:val="285"/>
        </w:trPr>
        <w:tc>
          <w:tcPr>
            <w:tcW w:w="0" w:type="auto"/>
            <w:vAlign w:val="bottom"/>
          </w:tcPr>
          <w:p w14:paraId="6EAF2B3E"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1986</w:t>
            </w:r>
          </w:p>
        </w:tc>
        <w:tc>
          <w:tcPr>
            <w:tcW w:w="0" w:type="auto"/>
            <w:shd w:val="clear" w:color="auto" w:fill="auto"/>
            <w:noWrap/>
            <w:vAlign w:val="bottom"/>
            <w:hideMark/>
          </w:tcPr>
          <w:p w14:paraId="511AD3C5"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7.97%</w:t>
            </w:r>
          </w:p>
        </w:tc>
        <w:tc>
          <w:tcPr>
            <w:tcW w:w="0" w:type="auto"/>
            <w:shd w:val="clear" w:color="auto" w:fill="auto"/>
            <w:noWrap/>
            <w:vAlign w:val="bottom"/>
            <w:hideMark/>
          </w:tcPr>
          <w:p w14:paraId="0D3B1C4A"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2FB8EFB1"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64D0249A"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92%</w:t>
            </w:r>
          </w:p>
        </w:tc>
      </w:tr>
      <w:tr w:rsidR="00711296" w:rsidRPr="00436045" w14:paraId="598410AE" w14:textId="77777777" w:rsidTr="004831C9">
        <w:trPr>
          <w:trHeight w:val="285"/>
        </w:trPr>
        <w:tc>
          <w:tcPr>
            <w:tcW w:w="0" w:type="auto"/>
            <w:vAlign w:val="bottom"/>
          </w:tcPr>
          <w:p w14:paraId="7D8E0959"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1987</w:t>
            </w:r>
          </w:p>
        </w:tc>
        <w:tc>
          <w:tcPr>
            <w:tcW w:w="0" w:type="auto"/>
            <w:shd w:val="clear" w:color="auto" w:fill="auto"/>
            <w:noWrap/>
            <w:vAlign w:val="bottom"/>
            <w:hideMark/>
          </w:tcPr>
          <w:p w14:paraId="4D0993F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7.13%</w:t>
            </w:r>
          </w:p>
        </w:tc>
        <w:tc>
          <w:tcPr>
            <w:tcW w:w="0" w:type="auto"/>
            <w:shd w:val="clear" w:color="auto" w:fill="auto"/>
            <w:noWrap/>
            <w:vAlign w:val="bottom"/>
            <w:hideMark/>
          </w:tcPr>
          <w:p w14:paraId="037E55A8"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20A8C93A"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063C7C95"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84%</w:t>
            </w:r>
          </w:p>
        </w:tc>
      </w:tr>
      <w:tr w:rsidR="00711296" w:rsidRPr="00436045" w14:paraId="1B4B0640" w14:textId="77777777" w:rsidTr="004831C9">
        <w:trPr>
          <w:trHeight w:val="285"/>
        </w:trPr>
        <w:tc>
          <w:tcPr>
            <w:tcW w:w="0" w:type="auto"/>
            <w:vAlign w:val="bottom"/>
          </w:tcPr>
          <w:p w14:paraId="3A80D806"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1988</w:t>
            </w:r>
          </w:p>
        </w:tc>
        <w:tc>
          <w:tcPr>
            <w:tcW w:w="0" w:type="auto"/>
            <w:shd w:val="clear" w:color="auto" w:fill="auto"/>
            <w:noWrap/>
            <w:vAlign w:val="bottom"/>
            <w:hideMark/>
          </w:tcPr>
          <w:p w14:paraId="7BEC3ED5"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6.82%</w:t>
            </w:r>
          </w:p>
        </w:tc>
        <w:tc>
          <w:tcPr>
            <w:tcW w:w="0" w:type="auto"/>
            <w:shd w:val="clear" w:color="auto" w:fill="auto"/>
            <w:noWrap/>
            <w:vAlign w:val="bottom"/>
            <w:hideMark/>
          </w:tcPr>
          <w:p w14:paraId="31337DB9"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1F6ADDED"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61D09E05"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77%</w:t>
            </w:r>
          </w:p>
        </w:tc>
      </w:tr>
      <w:tr w:rsidR="00711296" w:rsidRPr="00436045" w14:paraId="47488D3E" w14:textId="77777777" w:rsidTr="004831C9">
        <w:trPr>
          <w:trHeight w:val="285"/>
        </w:trPr>
        <w:tc>
          <w:tcPr>
            <w:tcW w:w="0" w:type="auto"/>
            <w:vAlign w:val="bottom"/>
          </w:tcPr>
          <w:p w14:paraId="283B9653"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1989</w:t>
            </w:r>
          </w:p>
        </w:tc>
        <w:tc>
          <w:tcPr>
            <w:tcW w:w="0" w:type="auto"/>
            <w:shd w:val="clear" w:color="auto" w:fill="auto"/>
            <w:noWrap/>
            <w:vAlign w:val="bottom"/>
            <w:hideMark/>
          </w:tcPr>
          <w:p w14:paraId="1102B629"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6.75%</w:t>
            </w:r>
          </w:p>
        </w:tc>
        <w:tc>
          <w:tcPr>
            <w:tcW w:w="0" w:type="auto"/>
            <w:shd w:val="clear" w:color="auto" w:fill="auto"/>
            <w:noWrap/>
            <w:vAlign w:val="bottom"/>
            <w:hideMark/>
          </w:tcPr>
          <w:p w14:paraId="30130BBA"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65B5A753"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04E1034E"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68%</w:t>
            </w:r>
          </w:p>
        </w:tc>
      </w:tr>
      <w:tr w:rsidR="00711296" w:rsidRPr="00436045" w14:paraId="36406035" w14:textId="77777777" w:rsidTr="004831C9">
        <w:trPr>
          <w:trHeight w:val="285"/>
        </w:trPr>
        <w:tc>
          <w:tcPr>
            <w:tcW w:w="0" w:type="auto"/>
            <w:vAlign w:val="bottom"/>
          </w:tcPr>
          <w:p w14:paraId="455F6F6C"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1990</w:t>
            </w:r>
          </w:p>
        </w:tc>
        <w:tc>
          <w:tcPr>
            <w:tcW w:w="0" w:type="auto"/>
            <w:shd w:val="clear" w:color="auto" w:fill="auto"/>
            <w:noWrap/>
            <w:vAlign w:val="bottom"/>
            <w:hideMark/>
          </w:tcPr>
          <w:p w14:paraId="79424B49"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7.49%</w:t>
            </w:r>
          </w:p>
        </w:tc>
        <w:tc>
          <w:tcPr>
            <w:tcW w:w="0" w:type="auto"/>
            <w:shd w:val="clear" w:color="auto" w:fill="auto"/>
            <w:noWrap/>
            <w:vAlign w:val="bottom"/>
            <w:hideMark/>
          </w:tcPr>
          <w:p w14:paraId="7F4F338A"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1C793770"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auto"/>
            <w:noWrap/>
            <w:vAlign w:val="bottom"/>
            <w:hideMark/>
          </w:tcPr>
          <w:p w14:paraId="7150725D"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71%</w:t>
            </w:r>
          </w:p>
        </w:tc>
      </w:tr>
      <w:tr w:rsidR="00711296" w:rsidRPr="00436045" w14:paraId="163134AA" w14:textId="77777777" w:rsidTr="004831C9">
        <w:trPr>
          <w:trHeight w:val="285"/>
        </w:trPr>
        <w:tc>
          <w:tcPr>
            <w:tcW w:w="0" w:type="auto"/>
            <w:vAlign w:val="bottom"/>
          </w:tcPr>
          <w:p w14:paraId="5EB7A5FF"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1991</w:t>
            </w:r>
          </w:p>
        </w:tc>
        <w:tc>
          <w:tcPr>
            <w:tcW w:w="0" w:type="auto"/>
            <w:shd w:val="clear" w:color="auto" w:fill="auto"/>
            <w:noWrap/>
            <w:vAlign w:val="bottom"/>
            <w:hideMark/>
          </w:tcPr>
          <w:p w14:paraId="4668122F"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6.61%</w:t>
            </w:r>
          </w:p>
        </w:tc>
        <w:tc>
          <w:tcPr>
            <w:tcW w:w="0" w:type="auto"/>
            <w:shd w:val="clear" w:color="auto" w:fill="auto"/>
            <w:noWrap/>
            <w:vAlign w:val="bottom"/>
            <w:hideMark/>
          </w:tcPr>
          <w:p w14:paraId="218E7A28"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71F10547"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DEEAF6" w:themeFill="accent5" w:themeFillTint="33"/>
            <w:noWrap/>
            <w:vAlign w:val="bottom"/>
            <w:hideMark/>
          </w:tcPr>
          <w:p w14:paraId="46647033"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75%</w:t>
            </w:r>
          </w:p>
        </w:tc>
      </w:tr>
      <w:tr w:rsidR="00711296" w:rsidRPr="00436045" w14:paraId="313E4CAE" w14:textId="77777777" w:rsidTr="004831C9">
        <w:trPr>
          <w:trHeight w:val="285"/>
        </w:trPr>
        <w:tc>
          <w:tcPr>
            <w:tcW w:w="0" w:type="auto"/>
            <w:vAlign w:val="bottom"/>
          </w:tcPr>
          <w:p w14:paraId="78BE12F4"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1992</w:t>
            </w:r>
          </w:p>
        </w:tc>
        <w:tc>
          <w:tcPr>
            <w:tcW w:w="0" w:type="auto"/>
            <w:shd w:val="clear" w:color="auto" w:fill="auto"/>
            <w:noWrap/>
            <w:vAlign w:val="bottom"/>
            <w:hideMark/>
          </w:tcPr>
          <w:p w14:paraId="2EEA197F"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7.47%</w:t>
            </w:r>
          </w:p>
        </w:tc>
        <w:tc>
          <w:tcPr>
            <w:tcW w:w="0" w:type="auto"/>
            <w:shd w:val="clear" w:color="auto" w:fill="auto"/>
            <w:noWrap/>
            <w:vAlign w:val="bottom"/>
            <w:hideMark/>
          </w:tcPr>
          <w:p w14:paraId="65E0E48B"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7FAC864E"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DEEAF6" w:themeFill="accent5" w:themeFillTint="33"/>
            <w:noWrap/>
            <w:vAlign w:val="bottom"/>
            <w:hideMark/>
          </w:tcPr>
          <w:p w14:paraId="18A94810"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73%</w:t>
            </w:r>
          </w:p>
        </w:tc>
      </w:tr>
      <w:tr w:rsidR="00711296" w:rsidRPr="00436045" w14:paraId="07B79FF4" w14:textId="77777777" w:rsidTr="004831C9">
        <w:trPr>
          <w:trHeight w:val="285"/>
        </w:trPr>
        <w:tc>
          <w:tcPr>
            <w:tcW w:w="0" w:type="auto"/>
            <w:vAlign w:val="bottom"/>
          </w:tcPr>
          <w:p w14:paraId="3E1071E6"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1993</w:t>
            </w:r>
          </w:p>
        </w:tc>
        <w:tc>
          <w:tcPr>
            <w:tcW w:w="0" w:type="auto"/>
            <w:shd w:val="clear" w:color="auto" w:fill="auto"/>
            <w:noWrap/>
            <w:vAlign w:val="bottom"/>
            <w:hideMark/>
          </w:tcPr>
          <w:p w14:paraId="17EE515C"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7.79%</w:t>
            </w:r>
          </w:p>
        </w:tc>
        <w:tc>
          <w:tcPr>
            <w:tcW w:w="0" w:type="auto"/>
            <w:shd w:val="clear" w:color="auto" w:fill="auto"/>
            <w:noWrap/>
            <w:vAlign w:val="bottom"/>
            <w:hideMark/>
          </w:tcPr>
          <w:p w14:paraId="2CB3F0DE"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0E2C4234" w14:textId="77777777" w:rsidR="00711296" w:rsidRPr="00090F2A" w:rsidRDefault="00711296" w:rsidP="004831C9">
            <w:pPr>
              <w:bidi w:val="0"/>
              <w:rPr>
                <w:rFonts w:ascii="Times New Roman" w:hAnsi="Times New Roman" w:cs="Times New Roman"/>
                <w:sz w:val="18"/>
                <w:szCs w:val="18"/>
              </w:rPr>
            </w:pPr>
          </w:p>
        </w:tc>
        <w:tc>
          <w:tcPr>
            <w:tcW w:w="0" w:type="auto"/>
            <w:shd w:val="clear" w:color="auto" w:fill="DEEAF6" w:themeFill="accent5" w:themeFillTint="33"/>
            <w:noWrap/>
            <w:vAlign w:val="bottom"/>
            <w:hideMark/>
          </w:tcPr>
          <w:p w14:paraId="52F4784A"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75%</w:t>
            </w:r>
          </w:p>
        </w:tc>
      </w:tr>
      <w:tr w:rsidR="00711296" w:rsidRPr="00436045" w14:paraId="0B136232" w14:textId="77777777" w:rsidTr="004831C9">
        <w:trPr>
          <w:trHeight w:val="285"/>
        </w:trPr>
        <w:tc>
          <w:tcPr>
            <w:tcW w:w="0" w:type="auto"/>
            <w:vAlign w:val="bottom"/>
          </w:tcPr>
          <w:p w14:paraId="2A800ACA"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1994</w:t>
            </w:r>
          </w:p>
        </w:tc>
        <w:tc>
          <w:tcPr>
            <w:tcW w:w="0" w:type="auto"/>
            <w:shd w:val="clear" w:color="auto" w:fill="auto"/>
            <w:noWrap/>
            <w:vAlign w:val="bottom"/>
            <w:hideMark/>
          </w:tcPr>
          <w:p w14:paraId="0D2AB53D"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8.04%</w:t>
            </w:r>
          </w:p>
        </w:tc>
        <w:tc>
          <w:tcPr>
            <w:tcW w:w="0" w:type="auto"/>
            <w:shd w:val="clear" w:color="auto" w:fill="auto"/>
            <w:noWrap/>
            <w:vAlign w:val="bottom"/>
            <w:hideMark/>
          </w:tcPr>
          <w:p w14:paraId="3A778E12"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67.14%</w:t>
            </w:r>
          </w:p>
        </w:tc>
        <w:tc>
          <w:tcPr>
            <w:tcW w:w="0" w:type="auto"/>
            <w:shd w:val="clear" w:color="auto" w:fill="auto"/>
            <w:noWrap/>
            <w:vAlign w:val="bottom"/>
            <w:hideMark/>
          </w:tcPr>
          <w:p w14:paraId="17922920" w14:textId="77777777" w:rsidR="00711296" w:rsidRPr="00090F2A" w:rsidRDefault="00711296" w:rsidP="004831C9">
            <w:pPr>
              <w:bidi w:val="0"/>
              <w:jc w:val="right"/>
              <w:rPr>
                <w:rFonts w:ascii="Arial" w:hAnsi="Arial"/>
                <w:color w:val="000000"/>
                <w:sz w:val="18"/>
                <w:szCs w:val="18"/>
              </w:rPr>
            </w:pPr>
          </w:p>
        </w:tc>
        <w:tc>
          <w:tcPr>
            <w:tcW w:w="0" w:type="auto"/>
            <w:shd w:val="clear" w:color="auto" w:fill="DEEAF6" w:themeFill="accent5" w:themeFillTint="33"/>
            <w:noWrap/>
            <w:vAlign w:val="bottom"/>
            <w:hideMark/>
          </w:tcPr>
          <w:p w14:paraId="5D406945"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69%</w:t>
            </w:r>
          </w:p>
        </w:tc>
      </w:tr>
      <w:tr w:rsidR="00711296" w:rsidRPr="00436045" w14:paraId="0FCCC169" w14:textId="77777777" w:rsidTr="004831C9">
        <w:trPr>
          <w:trHeight w:val="285"/>
        </w:trPr>
        <w:tc>
          <w:tcPr>
            <w:tcW w:w="0" w:type="auto"/>
            <w:vAlign w:val="bottom"/>
          </w:tcPr>
          <w:p w14:paraId="01AAE1BF"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1995</w:t>
            </w:r>
          </w:p>
        </w:tc>
        <w:tc>
          <w:tcPr>
            <w:tcW w:w="0" w:type="auto"/>
            <w:shd w:val="clear" w:color="auto" w:fill="auto"/>
            <w:noWrap/>
            <w:vAlign w:val="bottom"/>
            <w:hideMark/>
          </w:tcPr>
          <w:p w14:paraId="13A31E1A"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7.64%</w:t>
            </w:r>
          </w:p>
        </w:tc>
        <w:tc>
          <w:tcPr>
            <w:tcW w:w="0" w:type="auto"/>
            <w:shd w:val="clear" w:color="auto" w:fill="auto"/>
            <w:noWrap/>
            <w:vAlign w:val="bottom"/>
            <w:hideMark/>
          </w:tcPr>
          <w:p w14:paraId="73C68A62"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66.35%</w:t>
            </w:r>
          </w:p>
        </w:tc>
        <w:tc>
          <w:tcPr>
            <w:tcW w:w="0" w:type="auto"/>
            <w:shd w:val="clear" w:color="auto" w:fill="auto"/>
            <w:noWrap/>
            <w:vAlign w:val="bottom"/>
            <w:hideMark/>
          </w:tcPr>
          <w:p w14:paraId="22B7D8A0"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01FE31E5"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62.09%</w:t>
            </w:r>
          </w:p>
        </w:tc>
      </w:tr>
      <w:tr w:rsidR="00711296" w:rsidRPr="00436045" w14:paraId="7150D6B5" w14:textId="77777777" w:rsidTr="004831C9">
        <w:trPr>
          <w:trHeight w:val="285"/>
        </w:trPr>
        <w:tc>
          <w:tcPr>
            <w:tcW w:w="0" w:type="auto"/>
            <w:vAlign w:val="bottom"/>
          </w:tcPr>
          <w:p w14:paraId="3D249ADC"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1996</w:t>
            </w:r>
          </w:p>
        </w:tc>
        <w:tc>
          <w:tcPr>
            <w:tcW w:w="0" w:type="auto"/>
            <w:shd w:val="clear" w:color="auto" w:fill="auto"/>
            <w:noWrap/>
            <w:vAlign w:val="bottom"/>
            <w:hideMark/>
          </w:tcPr>
          <w:p w14:paraId="4055BFDD"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7.23%</w:t>
            </w:r>
          </w:p>
        </w:tc>
        <w:tc>
          <w:tcPr>
            <w:tcW w:w="0" w:type="auto"/>
            <w:shd w:val="clear" w:color="auto" w:fill="auto"/>
            <w:noWrap/>
            <w:vAlign w:val="bottom"/>
            <w:hideMark/>
          </w:tcPr>
          <w:p w14:paraId="34AE683D"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65.27%</w:t>
            </w:r>
          </w:p>
        </w:tc>
        <w:tc>
          <w:tcPr>
            <w:tcW w:w="0" w:type="auto"/>
            <w:shd w:val="clear" w:color="auto" w:fill="auto"/>
            <w:noWrap/>
            <w:vAlign w:val="bottom"/>
            <w:hideMark/>
          </w:tcPr>
          <w:p w14:paraId="21E1B5AB"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6B031BDD"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54.42%</w:t>
            </w:r>
          </w:p>
        </w:tc>
      </w:tr>
      <w:tr w:rsidR="00711296" w:rsidRPr="00436045" w14:paraId="2203B4C6" w14:textId="77777777" w:rsidTr="004831C9">
        <w:trPr>
          <w:trHeight w:val="285"/>
        </w:trPr>
        <w:tc>
          <w:tcPr>
            <w:tcW w:w="0" w:type="auto"/>
            <w:vAlign w:val="bottom"/>
          </w:tcPr>
          <w:p w14:paraId="4549CD79"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1997</w:t>
            </w:r>
          </w:p>
        </w:tc>
        <w:tc>
          <w:tcPr>
            <w:tcW w:w="0" w:type="auto"/>
            <w:shd w:val="clear" w:color="auto" w:fill="auto"/>
            <w:noWrap/>
            <w:vAlign w:val="bottom"/>
            <w:hideMark/>
          </w:tcPr>
          <w:p w14:paraId="3B5C6E34"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7.82%</w:t>
            </w:r>
          </w:p>
        </w:tc>
        <w:tc>
          <w:tcPr>
            <w:tcW w:w="0" w:type="auto"/>
            <w:shd w:val="clear" w:color="auto" w:fill="auto"/>
            <w:noWrap/>
            <w:vAlign w:val="bottom"/>
            <w:hideMark/>
          </w:tcPr>
          <w:p w14:paraId="63FC9329"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62.64%</w:t>
            </w:r>
          </w:p>
        </w:tc>
        <w:tc>
          <w:tcPr>
            <w:tcW w:w="0" w:type="auto"/>
            <w:shd w:val="clear" w:color="auto" w:fill="auto"/>
            <w:noWrap/>
            <w:vAlign w:val="bottom"/>
            <w:hideMark/>
          </w:tcPr>
          <w:p w14:paraId="6BA676AA"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6C2351BD"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53.88%</w:t>
            </w:r>
          </w:p>
        </w:tc>
      </w:tr>
      <w:tr w:rsidR="00711296" w:rsidRPr="00436045" w14:paraId="24F67BFE" w14:textId="77777777" w:rsidTr="004831C9">
        <w:trPr>
          <w:trHeight w:val="285"/>
        </w:trPr>
        <w:tc>
          <w:tcPr>
            <w:tcW w:w="0" w:type="auto"/>
            <w:vAlign w:val="bottom"/>
          </w:tcPr>
          <w:p w14:paraId="033AE62D"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1998</w:t>
            </w:r>
          </w:p>
        </w:tc>
        <w:tc>
          <w:tcPr>
            <w:tcW w:w="0" w:type="auto"/>
            <w:shd w:val="clear" w:color="auto" w:fill="auto"/>
            <w:noWrap/>
            <w:vAlign w:val="bottom"/>
            <w:hideMark/>
          </w:tcPr>
          <w:p w14:paraId="059D0273"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8.58%</w:t>
            </w:r>
          </w:p>
        </w:tc>
        <w:tc>
          <w:tcPr>
            <w:tcW w:w="0" w:type="auto"/>
            <w:shd w:val="clear" w:color="auto" w:fill="auto"/>
            <w:noWrap/>
            <w:vAlign w:val="bottom"/>
            <w:hideMark/>
          </w:tcPr>
          <w:p w14:paraId="7373AECC"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61.10%</w:t>
            </w:r>
          </w:p>
        </w:tc>
        <w:tc>
          <w:tcPr>
            <w:tcW w:w="0" w:type="auto"/>
            <w:shd w:val="clear" w:color="auto" w:fill="auto"/>
            <w:noWrap/>
            <w:vAlign w:val="bottom"/>
            <w:hideMark/>
          </w:tcPr>
          <w:p w14:paraId="3805C1B6" w14:textId="77777777" w:rsidR="00711296" w:rsidRPr="00090F2A" w:rsidRDefault="00711296" w:rsidP="004831C9">
            <w:pPr>
              <w:bidi w:val="0"/>
              <w:jc w:val="right"/>
              <w:rPr>
                <w:rFonts w:ascii="Arial" w:hAnsi="Arial"/>
                <w:color w:val="000000"/>
                <w:sz w:val="18"/>
                <w:szCs w:val="18"/>
              </w:rPr>
            </w:pPr>
          </w:p>
        </w:tc>
        <w:tc>
          <w:tcPr>
            <w:tcW w:w="0" w:type="auto"/>
            <w:shd w:val="clear" w:color="auto" w:fill="auto"/>
            <w:noWrap/>
            <w:vAlign w:val="bottom"/>
            <w:hideMark/>
          </w:tcPr>
          <w:p w14:paraId="4FE5262D"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53.40%</w:t>
            </w:r>
          </w:p>
        </w:tc>
      </w:tr>
      <w:tr w:rsidR="00711296" w:rsidRPr="00436045" w14:paraId="3A706FE1" w14:textId="77777777" w:rsidTr="004831C9">
        <w:trPr>
          <w:trHeight w:val="285"/>
        </w:trPr>
        <w:tc>
          <w:tcPr>
            <w:tcW w:w="0" w:type="auto"/>
            <w:vAlign w:val="bottom"/>
          </w:tcPr>
          <w:p w14:paraId="1EFF8B7A"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1999</w:t>
            </w:r>
          </w:p>
        </w:tc>
        <w:tc>
          <w:tcPr>
            <w:tcW w:w="0" w:type="auto"/>
            <w:shd w:val="clear" w:color="auto" w:fill="auto"/>
            <w:noWrap/>
            <w:vAlign w:val="bottom"/>
            <w:hideMark/>
          </w:tcPr>
          <w:p w14:paraId="4C9696BE"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9.01%</w:t>
            </w:r>
          </w:p>
        </w:tc>
        <w:tc>
          <w:tcPr>
            <w:tcW w:w="0" w:type="auto"/>
            <w:shd w:val="clear" w:color="auto" w:fill="auto"/>
            <w:noWrap/>
            <w:vAlign w:val="bottom"/>
            <w:hideMark/>
          </w:tcPr>
          <w:p w14:paraId="4821E58B"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60.76%</w:t>
            </w:r>
          </w:p>
        </w:tc>
        <w:tc>
          <w:tcPr>
            <w:tcW w:w="0" w:type="auto"/>
            <w:shd w:val="clear" w:color="auto" w:fill="auto"/>
            <w:noWrap/>
            <w:vAlign w:val="bottom"/>
            <w:hideMark/>
          </w:tcPr>
          <w:p w14:paraId="576FDC43"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0.92%</w:t>
            </w:r>
          </w:p>
        </w:tc>
        <w:tc>
          <w:tcPr>
            <w:tcW w:w="0" w:type="auto"/>
            <w:shd w:val="clear" w:color="auto" w:fill="auto"/>
            <w:noWrap/>
            <w:vAlign w:val="bottom"/>
            <w:hideMark/>
          </w:tcPr>
          <w:p w14:paraId="7961DD3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57.28%</w:t>
            </w:r>
          </w:p>
        </w:tc>
      </w:tr>
      <w:tr w:rsidR="00711296" w:rsidRPr="00436045" w14:paraId="77DC12CD" w14:textId="77777777" w:rsidTr="004831C9">
        <w:trPr>
          <w:trHeight w:val="285"/>
        </w:trPr>
        <w:tc>
          <w:tcPr>
            <w:tcW w:w="0" w:type="auto"/>
            <w:vAlign w:val="bottom"/>
          </w:tcPr>
          <w:p w14:paraId="0680EFF8"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2000</w:t>
            </w:r>
          </w:p>
        </w:tc>
        <w:tc>
          <w:tcPr>
            <w:tcW w:w="0" w:type="auto"/>
            <w:shd w:val="clear" w:color="auto" w:fill="auto"/>
            <w:noWrap/>
            <w:vAlign w:val="bottom"/>
            <w:hideMark/>
          </w:tcPr>
          <w:p w14:paraId="1B82BFC8"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7.67%</w:t>
            </w:r>
          </w:p>
        </w:tc>
        <w:tc>
          <w:tcPr>
            <w:tcW w:w="0" w:type="auto"/>
            <w:shd w:val="clear" w:color="auto" w:fill="auto"/>
            <w:noWrap/>
            <w:vAlign w:val="bottom"/>
            <w:hideMark/>
          </w:tcPr>
          <w:p w14:paraId="02042876"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65.83%</w:t>
            </w:r>
          </w:p>
        </w:tc>
        <w:tc>
          <w:tcPr>
            <w:tcW w:w="0" w:type="auto"/>
            <w:shd w:val="clear" w:color="auto" w:fill="auto"/>
            <w:noWrap/>
            <w:vAlign w:val="bottom"/>
            <w:hideMark/>
          </w:tcPr>
          <w:p w14:paraId="7490F14F"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0.68%</w:t>
            </w:r>
          </w:p>
        </w:tc>
        <w:tc>
          <w:tcPr>
            <w:tcW w:w="0" w:type="auto"/>
            <w:shd w:val="clear" w:color="auto" w:fill="auto"/>
            <w:noWrap/>
            <w:vAlign w:val="bottom"/>
            <w:hideMark/>
          </w:tcPr>
          <w:p w14:paraId="7786579D"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57.56%</w:t>
            </w:r>
          </w:p>
        </w:tc>
      </w:tr>
      <w:tr w:rsidR="00711296" w:rsidRPr="00436045" w14:paraId="66296AA8" w14:textId="77777777" w:rsidTr="004831C9">
        <w:trPr>
          <w:trHeight w:val="285"/>
        </w:trPr>
        <w:tc>
          <w:tcPr>
            <w:tcW w:w="0" w:type="auto"/>
            <w:vAlign w:val="bottom"/>
          </w:tcPr>
          <w:p w14:paraId="50CA2A8C"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2001</w:t>
            </w:r>
          </w:p>
        </w:tc>
        <w:tc>
          <w:tcPr>
            <w:tcW w:w="0" w:type="auto"/>
            <w:shd w:val="clear" w:color="auto" w:fill="auto"/>
            <w:noWrap/>
            <w:vAlign w:val="bottom"/>
            <w:hideMark/>
          </w:tcPr>
          <w:p w14:paraId="76CF223C"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6.93%</w:t>
            </w:r>
          </w:p>
        </w:tc>
        <w:tc>
          <w:tcPr>
            <w:tcW w:w="0" w:type="auto"/>
            <w:shd w:val="clear" w:color="auto" w:fill="auto"/>
            <w:noWrap/>
            <w:vAlign w:val="bottom"/>
            <w:hideMark/>
          </w:tcPr>
          <w:p w14:paraId="03614EC9"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68.29%</w:t>
            </w:r>
          </w:p>
        </w:tc>
        <w:tc>
          <w:tcPr>
            <w:tcW w:w="0" w:type="auto"/>
            <w:shd w:val="clear" w:color="auto" w:fill="auto"/>
            <w:noWrap/>
            <w:vAlign w:val="bottom"/>
            <w:hideMark/>
          </w:tcPr>
          <w:p w14:paraId="47183994"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0.89%</w:t>
            </w:r>
          </w:p>
        </w:tc>
        <w:tc>
          <w:tcPr>
            <w:tcW w:w="0" w:type="auto"/>
            <w:shd w:val="clear" w:color="auto" w:fill="auto"/>
            <w:noWrap/>
            <w:vAlign w:val="bottom"/>
            <w:hideMark/>
          </w:tcPr>
          <w:p w14:paraId="0765C453"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60.09%</w:t>
            </w:r>
          </w:p>
        </w:tc>
      </w:tr>
      <w:tr w:rsidR="00711296" w:rsidRPr="00436045" w14:paraId="31BD8680" w14:textId="77777777" w:rsidTr="004831C9">
        <w:trPr>
          <w:trHeight w:val="285"/>
        </w:trPr>
        <w:tc>
          <w:tcPr>
            <w:tcW w:w="0" w:type="auto"/>
            <w:vAlign w:val="bottom"/>
          </w:tcPr>
          <w:p w14:paraId="5DEDAC4F"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2002</w:t>
            </w:r>
          </w:p>
        </w:tc>
        <w:tc>
          <w:tcPr>
            <w:tcW w:w="0" w:type="auto"/>
            <w:shd w:val="clear" w:color="auto" w:fill="auto"/>
            <w:noWrap/>
            <w:vAlign w:val="bottom"/>
            <w:hideMark/>
          </w:tcPr>
          <w:p w14:paraId="01F84784"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6.04%</w:t>
            </w:r>
          </w:p>
        </w:tc>
        <w:tc>
          <w:tcPr>
            <w:tcW w:w="0" w:type="auto"/>
            <w:shd w:val="clear" w:color="auto" w:fill="auto"/>
            <w:noWrap/>
            <w:vAlign w:val="bottom"/>
            <w:hideMark/>
          </w:tcPr>
          <w:p w14:paraId="2CDC4D40"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76.07%</w:t>
            </w:r>
          </w:p>
        </w:tc>
        <w:tc>
          <w:tcPr>
            <w:tcW w:w="0" w:type="auto"/>
            <w:shd w:val="clear" w:color="auto" w:fill="auto"/>
            <w:noWrap/>
            <w:vAlign w:val="bottom"/>
            <w:hideMark/>
          </w:tcPr>
          <w:p w14:paraId="1A8C4FDE"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0.99%</w:t>
            </w:r>
          </w:p>
        </w:tc>
        <w:tc>
          <w:tcPr>
            <w:tcW w:w="0" w:type="auto"/>
            <w:shd w:val="clear" w:color="auto" w:fill="auto"/>
            <w:noWrap/>
            <w:vAlign w:val="bottom"/>
            <w:hideMark/>
          </w:tcPr>
          <w:p w14:paraId="13E0CA4C"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55.95%</w:t>
            </w:r>
          </w:p>
        </w:tc>
      </w:tr>
      <w:tr w:rsidR="00711296" w:rsidRPr="00436045" w14:paraId="79ABD6C8" w14:textId="77777777" w:rsidTr="004831C9">
        <w:trPr>
          <w:trHeight w:val="285"/>
        </w:trPr>
        <w:tc>
          <w:tcPr>
            <w:tcW w:w="0" w:type="auto"/>
            <w:vAlign w:val="bottom"/>
          </w:tcPr>
          <w:p w14:paraId="4EDD9B84"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2003</w:t>
            </w:r>
          </w:p>
        </w:tc>
        <w:tc>
          <w:tcPr>
            <w:tcW w:w="0" w:type="auto"/>
            <w:shd w:val="clear" w:color="auto" w:fill="auto"/>
            <w:noWrap/>
            <w:vAlign w:val="bottom"/>
            <w:hideMark/>
          </w:tcPr>
          <w:p w14:paraId="26A3E794"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6.77%</w:t>
            </w:r>
          </w:p>
        </w:tc>
        <w:tc>
          <w:tcPr>
            <w:tcW w:w="0" w:type="auto"/>
            <w:shd w:val="clear" w:color="auto" w:fill="auto"/>
            <w:noWrap/>
            <w:vAlign w:val="bottom"/>
            <w:hideMark/>
          </w:tcPr>
          <w:p w14:paraId="78F7DD52"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67.05%</w:t>
            </w:r>
          </w:p>
        </w:tc>
        <w:tc>
          <w:tcPr>
            <w:tcW w:w="0" w:type="auto"/>
            <w:shd w:val="clear" w:color="auto" w:fill="auto"/>
            <w:noWrap/>
            <w:vAlign w:val="bottom"/>
            <w:hideMark/>
          </w:tcPr>
          <w:p w14:paraId="57F29AB5"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0.66%</w:t>
            </w:r>
          </w:p>
        </w:tc>
        <w:tc>
          <w:tcPr>
            <w:tcW w:w="0" w:type="auto"/>
            <w:shd w:val="clear" w:color="auto" w:fill="auto"/>
            <w:noWrap/>
            <w:vAlign w:val="bottom"/>
            <w:hideMark/>
          </w:tcPr>
          <w:p w14:paraId="1125FEC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52.52%</w:t>
            </w:r>
          </w:p>
        </w:tc>
      </w:tr>
      <w:tr w:rsidR="00711296" w:rsidRPr="00436045" w14:paraId="300E4390" w14:textId="77777777" w:rsidTr="004831C9">
        <w:trPr>
          <w:trHeight w:val="285"/>
        </w:trPr>
        <w:tc>
          <w:tcPr>
            <w:tcW w:w="0" w:type="auto"/>
            <w:vAlign w:val="bottom"/>
          </w:tcPr>
          <w:p w14:paraId="505BA33A"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2004</w:t>
            </w:r>
          </w:p>
        </w:tc>
        <w:tc>
          <w:tcPr>
            <w:tcW w:w="0" w:type="auto"/>
            <w:shd w:val="clear" w:color="auto" w:fill="auto"/>
            <w:noWrap/>
            <w:vAlign w:val="bottom"/>
            <w:hideMark/>
          </w:tcPr>
          <w:p w14:paraId="6691C98D"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7.86%</w:t>
            </w:r>
          </w:p>
        </w:tc>
        <w:tc>
          <w:tcPr>
            <w:tcW w:w="0" w:type="auto"/>
            <w:shd w:val="clear" w:color="auto" w:fill="auto"/>
            <w:noWrap/>
            <w:vAlign w:val="bottom"/>
            <w:hideMark/>
          </w:tcPr>
          <w:p w14:paraId="01EE0C21"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62.71%</w:t>
            </w:r>
          </w:p>
        </w:tc>
        <w:tc>
          <w:tcPr>
            <w:tcW w:w="0" w:type="auto"/>
            <w:shd w:val="clear" w:color="auto" w:fill="auto"/>
            <w:noWrap/>
            <w:vAlign w:val="bottom"/>
            <w:hideMark/>
          </w:tcPr>
          <w:p w14:paraId="245402AA"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0.85%</w:t>
            </w:r>
          </w:p>
        </w:tc>
        <w:tc>
          <w:tcPr>
            <w:tcW w:w="0" w:type="auto"/>
            <w:shd w:val="clear" w:color="auto" w:fill="auto"/>
            <w:noWrap/>
            <w:vAlign w:val="bottom"/>
            <w:hideMark/>
          </w:tcPr>
          <w:p w14:paraId="45F701D6"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53.31%</w:t>
            </w:r>
          </w:p>
        </w:tc>
      </w:tr>
      <w:tr w:rsidR="00711296" w:rsidRPr="00436045" w14:paraId="332BE473" w14:textId="77777777" w:rsidTr="004831C9">
        <w:trPr>
          <w:trHeight w:val="285"/>
        </w:trPr>
        <w:tc>
          <w:tcPr>
            <w:tcW w:w="0" w:type="auto"/>
            <w:vAlign w:val="bottom"/>
          </w:tcPr>
          <w:p w14:paraId="2E42B678"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2005</w:t>
            </w:r>
          </w:p>
        </w:tc>
        <w:tc>
          <w:tcPr>
            <w:tcW w:w="0" w:type="auto"/>
            <w:shd w:val="clear" w:color="auto" w:fill="auto"/>
            <w:noWrap/>
            <w:vAlign w:val="bottom"/>
            <w:hideMark/>
          </w:tcPr>
          <w:p w14:paraId="505ED430"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8.35%</w:t>
            </w:r>
          </w:p>
        </w:tc>
        <w:tc>
          <w:tcPr>
            <w:tcW w:w="0" w:type="auto"/>
            <w:shd w:val="clear" w:color="auto" w:fill="auto"/>
            <w:noWrap/>
            <w:vAlign w:val="bottom"/>
            <w:hideMark/>
          </w:tcPr>
          <w:p w14:paraId="60FF10EC"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57.99%</w:t>
            </w:r>
          </w:p>
        </w:tc>
        <w:tc>
          <w:tcPr>
            <w:tcW w:w="0" w:type="auto"/>
            <w:shd w:val="clear" w:color="auto" w:fill="auto"/>
            <w:noWrap/>
            <w:vAlign w:val="bottom"/>
            <w:hideMark/>
          </w:tcPr>
          <w:p w14:paraId="3439259F"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2.58%</w:t>
            </w:r>
          </w:p>
        </w:tc>
        <w:tc>
          <w:tcPr>
            <w:tcW w:w="0" w:type="auto"/>
            <w:shd w:val="clear" w:color="auto" w:fill="auto"/>
            <w:noWrap/>
            <w:vAlign w:val="bottom"/>
            <w:hideMark/>
          </w:tcPr>
          <w:p w14:paraId="0F651038"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54.78%</w:t>
            </w:r>
          </w:p>
        </w:tc>
      </w:tr>
      <w:tr w:rsidR="00711296" w:rsidRPr="00436045" w14:paraId="7CF1449E" w14:textId="77777777" w:rsidTr="004831C9">
        <w:trPr>
          <w:trHeight w:val="285"/>
        </w:trPr>
        <w:tc>
          <w:tcPr>
            <w:tcW w:w="0" w:type="auto"/>
            <w:vAlign w:val="bottom"/>
          </w:tcPr>
          <w:p w14:paraId="35E7DAC8"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2006</w:t>
            </w:r>
          </w:p>
        </w:tc>
        <w:tc>
          <w:tcPr>
            <w:tcW w:w="0" w:type="auto"/>
            <w:shd w:val="clear" w:color="auto" w:fill="auto"/>
            <w:noWrap/>
            <w:vAlign w:val="bottom"/>
            <w:hideMark/>
          </w:tcPr>
          <w:p w14:paraId="1AC0FDAE"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7.77%</w:t>
            </w:r>
          </w:p>
        </w:tc>
        <w:tc>
          <w:tcPr>
            <w:tcW w:w="0" w:type="auto"/>
            <w:shd w:val="clear" w:color="auto" w:fill="auto"/>
            <w:noWrap/>
            <w:vAlign w:val="bottom"/>
            <w:hideMark/>
          </w:tcPr>
          <w:p w14:paraId="78D0B993"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57.79%</w:t>
            </w:r>
          </w:p>
        </w:tc>
        <w:tc>
          <w:tcPr>
            <w:tcW w:w="0" w:type="auto"/>
            <w:shd w:val="clear" w:color="auto" w:fill="auto"/>
            <w:noWrap/>
            <w:vAlign w:val="bottom"/>
            <w:hideMark/>
          </w:tcPr>
          <w:p w14:paraId="7A6C3389"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1.20%</w:t>
            </w:r>
          </w:p>
        </w:tc>
        <w:tc>
          <w:tcPr>
            <w:tcW w:w="0" w:type="auto"/>
            <w:shd w:val="clear" w:color="auto" w:fill="auto"/>
            <w:noWrap/>
            <w:vAlign w:val="bottom"/>
            <w:hideMark/>
          </w:tcPr>
          <w:p w14:paraId="240207C8"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56.78%</w:t>
            </w:r>
          </w:p>
        </w:tc>
      </w:tr>
      <w:tr w:rsidR="00711296" w:rsidRPr="00436045" w14:paraId="30AFD51B" w14:textId="77777777" w:rsidTr="004831C9">
        <w:trPr>
          <w:trHeight w:val="285"/>
        </w:trPr>
        <w:tc>
          <w:tcPr>
            <w:tcW w:w="0" w:type="auto"/>
            <w:vAlign w:val="bottom"/>
          </w:tcPr>
          <w:p w14:paraId="4EE24DBF"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2007</w:t>
            </w:r>
          </w:p>
        </w:tc>
        <w:tc>
          <w:tcPr>
            <w:tcW w:w="0" w:type="auto"/>
            <w:shd w:val="clear" w:color="auto" w:fill="auto"/>
            <w:noWrap/>
            <w:vAlign w:val="bottom"/>
            <w:hideMark/>
          </w:tcPr>
          <w:p w14:paraId="5ACD6509"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7.56%</w:t>
            </w:r>
          </w:p>
        </w:tc>
        <w:tc>
          <w:tcPr>
            <w:tcW w:w="0" w:type="auto"/>
            <w:shd w:val="clear" w:color="auto" w:fill="auto"/>
            <w:noWrap/>
            <w:vAlign w:val="bottom"/>
            <w:hideMark/>
          </w:tcPr>
          <w:p w14:paraId="14AA0382"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55.28%</w:t>
            </w:r>
          </w:p>
        </w:tc>
        <w:tc>
          <w:tcPr>
            <w:tcW w:w="0" w:type="auto"/>
            <w:shd w:val="clear" w:color="auto" w:fill="auto"/>
            <w:noWrap/>
            <w:vAlign w:val="bottom"/>
            <w:hideMark/>
          </w:tcPr>
          <w:p w14:paraId="595541A8"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0.75%</w:t>
            </w:r>
          </w:p>
        </w:tc>
        <w:tc>
          <w:tcPr>
            <w:tcW w:w="0" w:type="auto"/>
            <w:shd w:val="clear" w:color="auto" w:fill="auto"/>
            <w:noWrap/>
            <w:vAlign w:val="bottom"/>
            <w:hideMark/>
          </w:tcPr>
          <w:p w14:paraId="36C4A30C"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56.31%</w:t>
            </w:r>
          </w:p>
        </w:tc>
      </w:tr>
      <w:tr w:rsidR="00711296" w:rsidRPr="00436045" w14:paraId="7379E16A" w14:textId="77777777" w:rsidTr="004831C9">
        <w:trPr>
          <w:trHeight w:val="285"/>
        </w:trPr>
        <w:tc>
          <w:tcPr>
            <w:tcW w:w="0" w:type="auto"/>
            <w:vAlign w:val="bottom"/>
          </w:tcPr>
          <w:p w14:paraId="648F4D2A"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2008</w:t>
            </w:r>
          </w:p>
        </w:tc>
        <w:tc>
          <w:tcPr>
            <w:tcW w:w="0" w:type="auto"/>
            <w:shd w:val="clear" w:color="auto" w:fill="auto"/>
            <w:noWrap/>
            <w:vAlign w:val="bottom"/>
            <w:hideMark/>
          </w:tcPr>
          <w:p w14:paraId="689034B9"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7.81%</w:t>
            </w:r>
          </w:p>
        </w:tc>
        <w:tc>
          <w:tcPr>
            <w:tcW w:w="0" w:type="auto"/>
            <w:shd w:val="clear" w:color="auto" w:fill="auto"/>
            <w:noWrap/>
            <w:vAlign w:val="bottom"/>
            <w:hideMark/>
          </w:tcPr>
          <w:p w14:paraId="7F438FB2"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53.38%</w:t>
            </w:r>
          </w:p>
        </w:tc>
        <w:tc>
          <w:tcPr>
            <w:tcW w:w="0" w:type="auto"/>
            <w:shd w:val="clear" w:color="auto" w:fill="auto"/>
            <w:noWrap/>
            <w:vAlign w:val="bottom"/>
            <w:hideMark/>
          </w:tcPr>
          <w:p w14:paraId="5DEC8E7B"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1.69%</w:t>
            </w:r>
          </w:p>
        </w:tc>
        <w:tc>
          <w:tcPr>
            <w:tcW w:w="0" w:type="auto"/>
            <w:shd w:val="clear" w:color="auto" w:fill="auto"/>
            <w:noWrap/>
            <w:vAlign w:val="bottom"/>
            <w:hideMark/>
          </w:tcPr>
          <w:p w14:paraId="5722F766"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55.24%</w:t>
            </w:r>
          </w:p>
        </w:tc>
      </w:tr>
      <w:tr w:rsidR="00711296" w:rsidRPr="00436045" w14:paraId="5A6CE23C" w14:textId="77777777" w:rsidTr="004831C9">
        <w:trPr>
          <w:trHeight w:val="285"/>
        </w:trPr>
        <w:tc>
          <w:tcPr>
            <w:tcW w:w="0" w:type="auto"/>
            <w:vAlign w:val="bottom"/>
          </w:tcPr>
          <w:p w14:paraId="25C985C9"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2009</w:t>
            </w:r>
          </w:p>
        </w:tc>
        <w:tc>
          <w:tcPr>
            <w:tcW w:w="0" w:type="auto"/>
            <w:shd w:val="clear" w:color="auto" w:fill="auto"/>
            <w:noWrap/>
            <w:vAlign w:val="bottom"/>
            <w:hideMark/>
          </w:tcPr>
          <w:p w14:paraId="3F1E479C"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8.38%</w:t>
            </w:r>
          </w:p>
        </w:tc>
        <w:tc>
          <w:tcPr>
            <w:tcW w:w="0" w:type="auto"/>
            <w:shd w:val="clear" w:color="auto" w:fill="auto"/>
            <w:noWrap/>
            <w:vAlign w:val="bottom"/>
            <w:hideMark/>
          </w:tcPr>
          <w:p w14:paraId="07AE127A"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57.68%</w:t>
            </w:r>
          </w:p>
        </w:tc>
        <w:tc>
          <w:tcPr>
            <w:tcW w:w="0" w:type="auto"/>
            <w:shd w:val="clear" w:color="auto" w:fill="auto"/>
            <w:noWrap/>
            <w:vAlign w:val="bottom"/>
            <w:hideMark/>
          </w:tcPr>
          <w:p w14:paraId="3C078DE4"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1.26%</w:t>
            </w:r>
          </w:p>
        </w:tc>
        <w:tc>
          <w:tcPr>
            <w:tcW w:w="0" w:type="auto"/>
            <w:shd w:val="clear" w:color="auto" w:fill="auto"/>
            <w:noWrap/>
            <w:vAlign w:val="bottom"/>
            <w:hideMark/>
          </w:tcPr>
          <w:p w14:paraId="08DB26D1"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53.81%</w:t>
            </w:r>
          </w:p>
        </w:tc>
      </w:tr>
      <w:tr w:rsidR="00711296" w:rsidRPr="00436045" w14:paraId="06C6FBE4" w14:textId="77777777" w:rsidTr="004831C9">
        <w:trPr>
          <w:trHeight w:val="300"/>
        </w:trPr>
        <w:tc>
          <w:tcPr>
            <w:tcW w:w="0" w:type="auto"/>
            <w:vAlign w:val="bottom"/>
          </w:tcPr>
          <w:p w14:paraId="1E300E7C"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2010</w:t>
            </w:r>
          </w:p>
        </w:tc>
        <w:tc>
          <w:tcPr>
            <w:tcW w:w="0" w:type="auto"/>
            <w:shd w:val="clear" w:color="auto" w:fill="auto"/>
            <w:noWrap/>
            <w:vAlign w:val="bottom"/>
            <w:hideMark/>
          </w:tcPr>
          <w:p w14:paraId="34A87A19"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8.33%</w:t>
            </w:r>
          </w:p>
        </w:tc>
        <w:tc>
          <w:tcPr>
            <w:tcW w:w="0" w:type="auto"/>
            <w:shd w:val="clear" w:color="auto" w:fill="auto"/>
            <w:noWrap/>
            <w:vAlign w:val="bottom"/>
            <w:hideMark/>
          </w:tcPr>
          <w:p w14:paraId="3E60DCC3"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61.12%</w:t>
            </w:r>
          </w:p>
        </w:tc>
        <w:tc>
          <w:tcPr>
            <w:tcW w:w="0" w:type="auto"/>
            <w:shd w:val="clear" w:color="auto" w:fill="auto"/>
            <w:noWrap/>
            <w:vAlign w:val="bottom"/>
            <w:hideMark/>
          </w:tcPr>
          <w:p w14:paraId="2501E9DA"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1.08%</w:t>
            </w:r>
          </w:p>
        </w:tc>
        <w:tc>
          <w:tcPr>
            <w:tcW w:w="0" w:type="auto"/>
            <w:shd w:val="clear" w:color="auto" w:fill="auto"/>
            <w:noWrap/>
            <w:vAlign w:val="bottom"/>
            <w:hideMark/>
          </w:tcPr>
          <w:p w14:paraId="55750ED6"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49.30%</w:t>
            </w:r>
          </w:p>
        </w:tc>
      </w:tr>
      <w:tr w:rsidR="00711296" w:rsidRPr="00436045" w14:paraId="0ACB3410" w14:textId="77777777" w:rsidTr="004831C9">
        <w:trPr>
          <w:trHeight w:val="285"/>
        </w:trPr>
        <w:tc>
          <w:tcPr>
            <w:tcW w:w="0" w:type="auto"/>
            <w:vAlign w:val="bottom"/>
          </w:tcPr>
          <w:p w14:paraId="1ABA0CA2"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2011</w:t>
            </w:r>
          </w:p>
        </w:tc>
        <w:tc>
          <w:tcPr>
            <w:tcW w:w="0" w:type="auto"/>
            <w:shd w:val="clear" w:color="auto" w:fill="auto"/>
            <w:noWrap/>
            <w:vAlign w:val="bottom"/>
            <w:hideMark/>
          </w:tcPr>
          <w:p w14:paraId="6E835C2B"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8.66%</w:t>
            </w:r>
          </w:p>
        </w:tc>
        <w:tc>
          <w:tcPr>
            <w:tcW w:w="0" w:type="auto"/>
            <w:shd w:val="clear" w:color="auto" w:fill="auto"/>
            <w:noWrap/>
            <w:vAlign w:val="bottom"/>
            <w:hideMark/>
          </w:tcPr>
          <w:p w14:paraId="4073DC1A"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60.96%</w:t>
            </w:r>
          </w:p>
        </w:tc>
        <w:tc>
          <w:tcPr>
            <w:tcW w:w="0" w:type="auto"/>
            <w:shd w:val="clear" w:color="auto" w:fill="auto"/>
            <w:noWrap/>
            <w:vAlign w:val="bottom"/>
            <w:hideMark/>
          </w:tcPr>
          <w:p w14:paraId="37CF9C4D"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1.77%</w:t>
            </w:r>
          </w:p>
        </w:tc>
        <w:tc>
          <w:tcPr>
            <w:tcW w:w="0" w:type="auto"/>
            <w:shd w:val="clear" w:color="auto" w:fill="auto"/>
            <w:noWrap/>
            <w:vAlign w:val="bottom"/>
            <w:hideMark/>
          </w:tcPr>
          <w:p w14:paraId="32ABFB0F"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47.97%</w:t>
            </w:r>
          </w:p>
        </w:tc>
      </w:tr>
      <w:tr w:rsidR="00711296" w:rsidRPr="00436045" w14:paraId="7788416B" w14:textId="77777777" w:rsidTr="004831C9">
        <w:trPr>
          <w:trHeight w:val="285"/>
        </w:trPr>
        <w:tc>
          <w:tcPr>
            <w:tcW w:w="0" w:type="auto"/>
            <w:vAlign w:val="bottom"/>
          </w:tcPr>
          <w:p w14:paraId="3098F379"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2012</w:t>
            </w:r>
          </w:p>
        </w:tc>
        <w:tc>
          <w:tcPr>
            <w:tcW w:w="0" w:type="auto"/>
            <w:shd w:val="clear" w:color="auto" w:fill="auto"/>
            <w:noWrap/>
            <w:vAlign w:val="bottom"/>
            <w:hideMark/>
          </w:tcPr>
          <w:p w14:paraId="76C1427E"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8.92%</w:t>
            </w:r>
          </w:p>
        </w:tc>
        <w:tc>
          <w:tcPr>
            <w:tcW w:w="0" w:type="auto"/>
            <w:shd w:val="clear" w:color="auto" w:fill="auto"/>
            <w:noWrap/>
            <w:vAlign w:val="bottom"/>
            <w:hideMark/>
          </w:tcPr>
          <w:p w14:paraId="6F20DE4C"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59.66%</w:t>
            </w:r>
          </w:p>
        </w:tc>
        <w:tc>
          <w:tcPr>
            <w:tcW w:w="0" w:type="auto"/>
            <w:shd w:val="clear" w:color="auto" w:fill="auto"/>
            <w:noWrap/>
            <w:vAlign w:val="bottom"/>
            <w:hideMark/>
          </w:tcPr>
          <w:p w14:paraId="5AFCF3A2"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1.77%</w:t>
            </w:r>
          </w:p>
        </w:tc>
        <w:tc>
          <w:tcPr>
            <w:tcW w:w="0" w:type="auto"/>
            <w:shd w:val="clear" w:color="auto" w:fill="auto"/>
            <w:noWrap/>
            <w:vAlign w:val="bottom"/>
            <w:hideMark/>
          </w:tcPr>
          <w:p w14:paraId="351B689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48.63%</w:t>
            </w:r>
          </w:p>
        </w:tc>
      </w:tr>
      <w:tr w:rsidR="00711296" w:rsidRPr="00436045" w14:paraId="670C405F" w14:textId="77777777" w:rsidTr="004831C9">
        <w:trPr>
          <w:trHeight w:val="285"/>
        </w:trPr>
        <w:tc>
          <w:tcPr>
            <w:tcW w:w="0" w:type="auto"/>
            <w:vAlign w:val="bottom"/>
          </w:tcPr>
          <w:p w14:paraId="41429A89"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2013</w:t>
            </w:r>
          </w:p>
        </w:tc>
        <w:tc>
          <w:tcPr>
            <w:tcW w:w="0" w:type="auto"/>
            <w:shd w:val="clear" w:color="auto" w:fill="auto"/>
            <w:noWrap/>
            <w:vAlign w:val="bottom"/>
            <w:hideMark/>
          </w:tcPr>
          <w:p w14:paraId="332F4C91"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8.92%</w:t>
            </w:r>
          </w:p>
        </w:tc>
        <w:tc>
          <w:tcPr>
            <w:tcW w:w="0" w:type="auto"/>
            <w:shd w:val="clear" w:color="auto" w:fill="auto"/>
            <w:noWrap/>
            <w:vAlign w:val="bottom"/>
            <w:hideMark/>
          </w:tcPr>
          <w:p w14:paraId="38992580"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60.86%</w:t>
            </w:r>
          </w:p>
        </w:tc>
        <w:tc>
          <w:tcPr>
            <w:tcW w:w="0" w:type="auto"/>
            <w:shd w:val="clear" w:color="auto" w:fill="auto"/>
            <w:noWrap/>
            <w:vAlign w:val="bottom"/>
            <w:hideMark/>
          </w:tcPr>
          <w:p w14:paraId="66407CA2"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1.60%</w:t>
            </w:r>
          </w:p>
        </w:tc>
        <w:tc>
          <w:tcPr>
            <w:tcW w:w="0" w:type="auto"/>
            <w:shd w:val="clear" w:color="auto" w:fill="auto"/>
            <w:noWrap/>
            <w:vAlign w:val="bottom"/>
            <w:hideMark/>
          </w:tcPr>
          <w:p w14:paraId="52FA4A96"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45.92%</w:t>
            </w:r>
          </w:p>
        </w:tc>
      </w:tr>
      <w:tr w:rsidR="00711296" w:rsidRPr="00436045" w14:paraId="0B2EFB3F" w14:textId="77777777" w:rsidTr="004831C9">
        <w:trPr>
          <w:trHeight w:val="285"/>
        </w:trPr>
        <w:tc>
          <w:tcPr>
            <w:tcW w:w="0" w:type="auto"/>
            <w:vAlign w:val="bottom"/>
          </w:tcPr>
          <w:p w14:paraId="5C0E5B38"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2014</w:t>
            </w:r>
          </w:p>
        </w:tc>
        <w:tc>
          <w:tcPr>
            <w:tcW w:w="0" w:type="auto"/>
            <w:shd w:val="clear" w:color="auto" w:fill="auto"/>
            <w:noWrap/>
            <w:vAlign w:val="bottom"/>
            <w:hideMark/>
          </w:tcPr>
          <w:p w14:paraId="2DCE63F6"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8.55%</w:t>
            </w:r>
          </w:p>
        </w:tc>
        <w:tc>
          <w:tcPr>
            <w:tcW w:w="0" w:type="auto"/>
            <w:shd w:val="clear" w:color="auto" w:fill="auto"/>
            <w:noWrap/>
            <w:vAlign w:val="bottom"/>
            <w:hideMark/>
          </w:tcPr>
          <w:p w14:paraId="61DDAE6E"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55.24%</w:t>
            </w:r>
          </w:p>
        </w:tc>
        <w:tc>
          <w:tcPr>
            <w:tcW w:w="0" w:type="auto"/>
            <w:shd w:val="clear" w:color="auto" w:fill="auto"/>
            <w:noWrap/>
            <w:vAlign w:val="bottom"/>
            <w:hideMark/>
          </w:tcPr>
          <w:p w14:paraId="1079988A"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1.59%</w:t>
            </w:r>
          </w:p>
        </w:tc>
        <w:tc>
          <w:tcPr>
            <w:tcW w:w="0" w:type="auto"/>
            <w:shd w:val="clear" w:color="auto" w:fill="auto"/>
            <w:noWrap/>
            <w:vAlign w:val="bottom"/>
            <w:hideMark/>
          </w:tcPr>
          <w:p w14:paraId="23DDB329"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44.52%</w:t>
            </w:r>
          </w:p>
        </w:tc>
      </w:tr>
      <w:tr w:rsidR="00711296" w:rsidRPr="00436045" w14:paraId="736641FA" w14:textId="77777777" w:rsidTr="004831C9">
        <w:trPr>
          <w:trHeight w:val="285"/>
        </w:trPr>
        <w:tc>
          <w:tcPr>
            <w:tcW w:w="0" w:type="auto"/>
            <w:vAlign w:val="bottom"/>
          </w:tcPr>
          <w:p w14:paraId="24696114"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2015</w:t>
            </w:r>
          </w:p>
        </w:tc>
        <w:tc>
          <w:tcPr>
            <w:tcW w:w="0" w:type="auto"/>
            <w:shd w:val="clear" w:color="auto" w:fill="auto"/>
            <w:noWrap/>
            <w:vAlign w:val="bottom"/>
            <w:hideMark/>
          </w:tcPr>
          <w:p w14:paraId="79BDF0CA"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8.64%</w:t>
            </w:r>
          </w:p>
        </w:tc>
        <w:tc>
          <w:tcPr>
            <w:tcW w:w="0" w:type="auto"/>
            <w:shd w:val="clear" w:color="auto" w:fill="auto"/>
            <w:noWrap/>
            <w:vAlign w:val="bottom"/>
            <w:hideMark/>
          </w:tcPr>
          <w:p w14:paraId="06CB5BE3"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54.43%</w:t>
            </w:r>
          </w:p>
        </w:tc>
        <w:tc>
          <w:tcPr>
            <w:tcW w:w="0" w:type="auto"/>
            <w:shd w:val="clear" w:color="auto" w:fill="auto"/>
            <w:noWrap/>
            <w:vAlign w:val="bottom"/>
            <w:hideMark/>
          </w:tcPr>
          <w:p w14:paraId="4290D986"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1.37%</w:t>
            </w:r>
          </w:p>
        </w:tc>
        <w:tc>
          <w:tcPr>
            <w:tcW w:w="0" w:type="auto"/>
            <w:shd w:val="clear" w:color="auto" w:fill="auto"/>
            <w:noWrap/>
            <w:vAlign w:val="bottom"/>
            <w:hideMark/>
          </w:tcPr>
          <w:p w14:paraId="49F5BD26"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41.82%</w:t>
            </w:r>
          </w:p>
        </w:tc>
      </w:tr>
      <w:tr w:rsidR="00711296" w:rsidRPr="00436045" w14:paraId="65BAD7DA" w14:textId="77777777" w:rsidTr="004831C9">
        <w:trPr>
          <w:trHeight w:val="285"/>
        </w:trPr>
        <w:tc>
          <w:tcPr>
            <w:tcW w:w="0" w:type="auto"/>
            <w:vAlign w:val="bottom"/>
          </w:tcPr>
          <w:p w14:paraId="34FE1898"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2016</w:t>
            </w:r>
          </w:p>
        </w:tc>
        <w:tc>
          <w:tcPr>
            <w:tcW w:w="0" w:type="auto"/>
            <w:shd w:val="clear" w:color="auto" w:fill="auto"/>
            <w:noWrap/>
            <w:vAlign w:val="bottom"/>
            <w:hideMark/>
          </w:tcPr>
          <w:p w14:paraId="130253F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9.02%</w:t>
            </w:r>
          </w:p>
        </w:tc>
        <w:tc>
          <w:tcPr>
            <w:tcW w:w="0" w:type="auto"/>
            <w:shd w:val="clear" w:color="auto" w:fill="auto"/>
            <w:noWrap/>
            <w:vAlign w:val="bottom"/>
            <w:hideMark/>
          </w:tcPr>
          <w:p w14:paraId="5B5BEEEA"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56.71%</w:t>
            </w:r>
          </w:p>
        </w:tc>
        <w:tc>
          <w:tcPr>
            <w:tcW w:w="0" w:type="auto"/>
            <w:shd w:val="clear" w:color="auto" w:fill="auto"/>
            <w:noWrap/>
            <w:vAlign w:val="bottom"/>
            <w:hideMark/>
          </w:tcPr>
          <w:p w14:paraId="70E96C15"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1.58%</w:t>
            </w:r>
          </w:p>
        </w:tc>
        <w:tc>
          <w:tcPr>
            <w:tcW w:w="0" w:type="auto"/>
            <w:shd w:val="clear" w:color="auto" w:fill="auto"/>
            <w:noWrap/>
            <w:vAlign w:val="bottom"/>
            <w:hideMark/>
          </w:tcPr>
          <w:p w14:paraId="45E4631B"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39.21%</w:t>
            </w:r>
          </w:p>
        </w:tc>
      </w:tr>
      <w:tr w:rsidR="00711296" w:rsidRPr="00436045" w14:paraId="13676A93" w14:textId="77777777" w:rsidTr="004831C9">
        <w:trPr>
          <w:trHeight w:val="285"/>
        </w:trPr>
        <w:tc>
          <w:tcPr>
            <w:tcW w:w="0" w:type="auto"/>
            <w:vAlign w:val="bottom"/>
          </w:tcPr>
          <w:p w14:paraId="4BF7A641"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2017</w:t>
            </w:r>
          </w:p>
        </w:tc>
        <w:tc>
          <w:tcPr>
            <w:tcW w:w="0" w:type="auto"/>
            <w:shd w:val="clear" w:color="auto" w:fill="auto"/>
            <w:noWrap/>
            <w:vAlign w:val="bottom"/>
            <w:hideMark/>
          </w:tcPr>
          <w:p w14:paraId="76B1E034"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8.83%</w:t>
            </w:r>
          </w:p>
        </w:tc>
        <w:tc>
          <w:tcPr>
            <w:tcW w:w="0" w:type="auto"/>
            <w:shd w:val="clear" w:color="auto" w:fill="auto"/>
            <w:noWrap/>
            <w:vAlign w:val="bottom"/>
            <w:hideMark/>
          </w:tcPr>
          <w:p w14:paraId="20F32DDE"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54.26%</w:t>
            </w:r>
          </w:p>
        </w:tc>
        <w:tc>
          <w:tcPr>
            <w:tcW w:w="0" w:type="auto"/>
            <w:shd w:val="clear" w:color="auto" w:fill="auto"/>
            <w:noWrap/>
            <w:vAlign w:val="bottom"/>
            <w:hideMark/>
          </w:tcPr>
          <w:p w14:paraId="2C33649B"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1.68%</w:t>
            </w:r>
          </w:p>
        </w:tc>
        <w:tc>
          <w:tcPr>
            <w:tcW w:w="0" w:type="auto"/>
            <w:shd w:val="clear" w:color="auto" w:fill="auto"/>
            <w:noWrap/>
            <w:vAlign w:val="bottom"/>
            <w:hideMark/>
          </w:tcPr>
          <w:p w14:paraId="4AA768AC"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38.44%</w:t>
            </w:r>
          </w:p>
        </w:tc>
      </w:tr>
      <w:tr w:rsidR="00711296" w:rsidRPr="00436045" w14:paraId="41527642" w14:textId="77777777" w:rsidTr="004831C9">
        <w:trPr>
          <w:trHeight w:val="285"/>
        </w:trPr>
        <w:tc>
          <w:tcPr>
            <w:tcW w:w="0" w:type="auto"/>
            <w:vAlign w:val="bottom"/>
          </w:tcPr>
          <w:p w14:paraId="017045F3"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2018</w:t>
            </w:r>
          </w:p>
        </w:tc>
        <w:tc>
          <w:tcPr>
            <w:tcW w:w="0" w:type="auto"/>
            <w:shd w:val="clear" w:color="auto" w:fill="auto"/>
            <w:noWrap/>
            <w:vAlign w:val="bottom"/>
            <w:hideMark/>
          </w:tcPr>
          <w:p w14:paraId="4B3825C3"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8.59%</w:t>
            </w:r>
          </w:p>
        </w:tc>
        <w:tc>
          <w:tcPr>
            <w:tcW w:w="0" w:type="auto"/>
            <w:shd w:val="clear" w:color="auto" w:fill="auto"/>
            <w:noWrap/>
            <w:vAlign w:val="bottom"/>
            <w:hideMark/>
          </w:tcPr>
          <w:p w14:paraId="440D834E"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53.26%</w:t>
            </w:r>
          </w:p>
        </w:tc>
        <w:tc>
          <w:tcPr>
            <w:tcW w:w="0" w:type="auto"/>
            <w:shd w:val="clear" w:color="auto" w:fill="auto"/>
            <w:noWrap/>
            <w:vAlign w:val="bottom"/>
            <w:hideMark/>
          </w:tcPr>
          <w:p w14:paraId="557327FE"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1.99%</w:t>
            </w:r>
          </w:p>
        </w:tc>
        <w:tc>
          <w:tcPr>
            <w:tcW w:w="0" w:type="auto"/>
            <w:shd w:val="clear" w:color="auto" w:fill="auto"/>
            <w:noWrap/>
            <w:vAlign w:val="bottom"/>
            <w:hideMark/>
          </w:tcPr>
          <w:p w14:paraId="3DD22140"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38.99%</w:t>
            </w:r>
          </w:p>
        </w:tc>
      </w:tr>
      <w:tr w:rsidR="00711296" w:rsidRPr="00436045" w14:paraId="741B4953" w14:textId="77777777" w:rsidTr="004831C9">
        <w:trPr>
          <w:trHeight w:val="300"/>
        </w:trPr>
        <w:tc>
          <w:tcPr>
            <w:tcW w:w="0" w:type="auto"/>
            <w:vAlign w:val="bottom"/>
          </w:tcPr>
          <w:p w14:paraId="138F8BEF" w14:textId="77777777" w:rsidR="00711296" w:rsidRPr="00090F2A" w:rsidRDefault="00711296" w:rsidP="004831C9">
            <w:pPr>
              <w:bidi w:val="0"/>
              <w:jc w:val="right"/>
              <w:rPr>
                <w:rFonts w:ascii="Arial" w:hAnsi="Arial"/>
                <w:color w:val="000000"/>
                <w:sz w:val="18"/>
                <w:szCs w:val="18"/>
              </w:rPr>
            </w:pPr>
            <w:r w:rsidRPr="00436045">
              <w:rPr>
                <w:rFonts w:ascii="Arial" w:hAnsi="Arial"/>
                <w:color w:val="000000"/>
                <w:sz w:val="18"/>
                <w:szCs w:val="18"/>
              </w:rPr>
              <w:t>2019</w:t>
            </w:r>
          </w:p>
        </w:tc>
        <w:tc>
          <w:tcPr>
            <w:tcW w:w="0" w:type="auto"/>
            <w:shd w:val="clear" w:color="auto" w:fill="auto"/>
            <w:noWrap/>
            <w:vAlign w:val="bottom"/>
            <w:hideMark/>
          </w:tcPr>
          <w:p w14:paraId="04F80E05"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8.33%</w:t>
            </w:r>
          </w:p>
        </w:tc>
        <w:tc>
          <w:tcPr>
            <w:tcW w:w="0" w:type="auto"/>
            <w:shd w:val="clear" w:color="auto" w:fill="auto"/>
            <w:noWrap/>
            <w:vAlign w:val="bottom"/>
            <w:hideMark/>
          </w:tcPr>
          <w:p w14:paraId="3B3E8027"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54.06%</w:t>
            </w:r>
          </w:p>
        </w:tc>
        <w:tc>
          <w:tcPr>
            <w:tcW w:w="0" w:type="auto"/>
            <w:shd w:val="clear" w:color="auto" w:fill="auto"/>
            <w:noWrap/>
            <w:vAlign w:val="bottom"/>
            <w:hideMark/>
          </w:tcPr>
          <w:p w14:paraId="67C723B2"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1.58%</w:t>
            </w:r>
          </w:p>
        </w:tc>
        <w:tc>
          <w:tcPr>
            <w:tcW w:w="0" w:type="auto"/>
            <w:shd w:val="clear" w:color="auto" w:fill="auto"/>
            <w:noWrap/>
            <w:vAlign w:val="bottom"/>
            <w:hideMark/>
          </w:tcPr>
          <w:p w14:paraId="5DB14119" w14:textId="77777777" w:rsidR="00711296" w:rsidRPr="00090F2A" w:rsidRDefault="00711296" w:rsidP="004831C9">
            <w:pPr>
              <w:bidi w:val="0"/>
              <w:jc w:val="right"/>
              <w:rPr>
                <w:rFonts w:ascii="Arial" w:hAnsi="Arial"/>
                <w:color w:val="000000"/>
                <w:sz w:val="18"/>
                <w:szCs w:val="18"/>
              </w:rPr>
            </w:pPr>
            <w:r w:rsidRPr="00090F2A">
              <w:rPr>
                <w:rFonts w:ascii="Arial" w:hAnsi="Arial"/>
                <w:color w:val="000000"/>
                <w:sz w:val="18"/>
                <w:szCs w:val="18"/>
              </w:rPr>
              <w:t>39.70%</w:t>
            </w:r>
          </w:p>
        </w:tc>
      </w:tr>
    </w:tbl>
    <w:p w14:paraId="55D8EEE9" w14:textId="77777777" w:rsidR="00711296" w:rsidRDefault="00711296" w:rsidP="00711296">
      <w:pPr>
        <w:pStyle w:val="ListParagraph"/>
        <w:autoSpaceDE w:val="0"/>
        <w:autoSpaceDN w:val="0"/>
        <w:bidi w:val="0"/>
        <w:adjustRightInd w:val="0"/>
        <w:spacing w:after="240" w:line="480" w:lineRule="auto"/>
        <w:ind w:left="851"/>
        <w:rPr>
          <w:rFonts w:asciiTheme="majorBidi" w:hAnsiTheme="majorBidi" w:cstheme="majorBidi"/>
          <w:b/>
          <w:bCs/>
          <w:sz w:val="24"/>
          <w:szCs w:val="24"/>
        </w:rPr>
      </w:pPr>
    </w:p>
    <w:p w14:paraId="7E5240ED" w14:textId="77777777" w:rsidR="00711296" w:rsidRDefault="00711296" w:rsidP="00711296">
      <w:pPr>
        <w:pStyle w:val="ListParagraph"/>
        <w:autoSpaceDE w:val="0"/>
        <w:autoSpaceDN w:val="0"/>
        <w:bidi w:val="0"/>
        <w:adjustRightInd w:val="0"/>
        <w:spacing w:after="240" w:line="480" w:lineRule="auto"/>
        <w:ind w:left="851"/>
        <w:rPr>
          <w:rFonts w:asciiTheme="majorBidi" w:hAnsiTheme="majorBidi" w:cstheme="majorBidi"/>
          <w:b/>
          <w:bCs/>
          <w:sz w:val="24"/>
          <w:szCs w:val="24"/>
        </w:rPr>
      </w:pPr>
    </w:p>
    <w:p w14:paraId="3491AD99" w14:textId="77777777" w:rsidR="00711296" w:rsidRDefault="00711296" w:rsidP="00711296">
      <w:pPr>
        <w:pStyle w:val="ListParagraph"/>
        <w:autoSpaceDE w:val="0"/>
        <w:autoSpaceDN w:val="0"/>
        <w:bidi w:val="0"/>
        <w:adjustRightInd w:val="0"/>
        <w:spacing w:after="240" w:line="480" w:lineRule="auto"/>
        <w:ind w:left="851"/>
        <w:rPr>
          <w:rFonts w:asciiTheme="majorBidi" w:hAnsiTheme="majorBidi" w:cstheme="majorBidi"/>
          <w:b/>
          <w:bCs/>
          <w:sz w:val="24"/>
          <w:szCs w:val="24"/>
        </w:rPr>
        <w:sectPr w:rsidR="00711296" w:rsidSect="00A345F3">
          <w:pgSz w:w="11906" w:h="16838"/>
          <w:pgMar w:top="1440" w:right="1800" w:bottom="1440" w:left="1800" w:header="708" w:footer="708" w:gutter="0"/>
          <w:cols w:space="708"/>
          <w:bidi/>
          <w:rtlGutter/>
          <w:docGrid w:linePitch="360"/>
        </w:sectPr>
      </w:pPr>
    </w:p>
    <w:p w14:paraId="53BD96D4" w14:textId="77777777" w:rsidR="00711296" w:rsidRDefault="00711296" w:rsidP="00711296">
      <w:pPr>
        <w:pStyle w:val="ListParagraph"/>
        <w:bidi w:val="0"/>
        <w:spacing w:line="480" w:lineRule="auto"/>
        <w:jc w:val="center"/>
        <w:rPr>
          <w:b/>
          <w:bCs/>
        </w:rPr>
      </w:pPr>
      <w:r>
        <w:rPr>
          <w:b/>
          <w:bCs/>
        </w:rPr>
        <w:t xml:space="preserve">Appendix II - </w:t>
      </w:r>
      <w:r w:rsidRPr="00D34779">
        <w:rPr>
          <w:b/>
          <w:bCs/>
        </w:rPr>
        <w:t>Empirical results: PCA and weightings</w:t>
      </w:r>
      <w:r>
        <w:rPr>
          <w:b/>
          <w:bCs/>
        </w:rPr>
        <w:t xml:space="preserve"> </w:t>
      </w:r>
      <w:r w:rsidRPr="002A5748">
        <w:rPr>
          <w:b/>
          <w:bCs/>
        </w:rPr>
        <w:t>IS</w:t>
      </w:r>
      <w:r>
        <w:rPr>
          <w:b/>
          <w:bCs/>
        </w:rPr>
        <w:t>R-</w:t>
      </w:r>
      <w:r w:rsidRPr="002A5748">
        <w:rPr>
          <w:b/>
          <w:bCs/>
        </w:rPr>
        <w:t>WBG</w:t>
      </w:r>
      <w:r>
        <w:rPr>
          <w:b/>
          <w:bCs/>
        </w:rPr>
        <w:t>-</w:t>
      </w:r>
      <w:r w:rsidRPr="002A5748">
        <w:rPr>
          <w:b/>
          <w:bCs/>
        </w:rPr>
        <w:t>II</w:t>
      </w:r>
      <w:r>
        <w:rPr>
          <w:b/>
          <w:bCs/>
        </w:rPr>
        <w:t xml:space="preserve"> 2010-2019 </w:t>
      </w:r>
    </w:p>
    <w:tbl>
      <w:tblPr>
        <w:tblW w:w="13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68"/>
        <w:gridCol w:w="932"/>
        <w:gridCol w:w="971"/>
        <w:gridCol w:w="3069"/>
        <w:gridCol w:w="994"/>
        <w:gridCol w:w="994"/>
        <w:gridCol w:w="994"/>
        <w:gridCol w:w="994"/>
        <w:gridCol w:w="823"/>
        <w:gridCol w:w="753"/>
        <w:gridCol w:w="761"/>
        <w:gridCol w:w="570"/>
      </w:tblGrid>
      <w:tr w:rsidR="00711296" w:rsidRPr="006E6D96" w14:paraId="67FF54F6" w14:textId="77777777" w:rsidTr="004831C9">
        <w:trPr>
          <w:trHeight w:val="300"/>
        </w:trPr>
        <w:tc>
          <w:tcPr>
            <w:tcW w:w="8622" w:type="dxa"/>
            <w:gridSpan w:val="7"/>
            <w:shd w:val="clear" w:color="auto" w:fill="auto"/>
            <w:noWrap/>
            <w:vAlign w:val="bottom"/>
            <w:hideMark/>
          </w:tcPr>
          <w:p w14:paraId="2B503176"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Eigenvalues and eigenvectors</w:t>
            </w:r>
          </w:p>
        </w:tc>
        <w:tc>
          <w:tcPr>
            <w:tcW w:w="3564" w:type="dxa"/>
            <w:gridSpan w:val="4"/>
            <w:shd w:val="clear" w:color="auto" w:fill="auto"/>
            <w:noWrap/>
            <w:vAlign w:val="bottom"/>
            <w:hideMark/>
          </w:tcPr>
          <w:p w14:paraId="3E864BAB"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Loadings</w:t>
            </w:r>
          </w:p>
        </w:tc>
        <w:tc>
          <w:tcPr>
            <w:tcW w:w="761" w:type="dxa"/>
            <w:vMerge w:val="restart"/>
            <w:shd w:val="clear" w:color="auto" w:fill="auto"/>
            <w:noWrap/>
            <w:vAlign w:val="center"/>
            <w:hideMark/>
          </w:tcPr>
          <w:p w14:paraId="4111A3C1"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Weights</w:t>
            </w:r>
          </w:p>
        </w:tc>
        <w:tc>
          <w:tcPr>
            <w:tcW w:w="570" w:type="dxa"/>
            <w:vMerge w:val="restart"/>
            <w:shd w:val="clear" w:color="auto" w:fill="auto"/>
            <w:noWrap/>
            <w:vAlign w:val="center"/>
            <w:hideMark/>
          </w:tcPr>
          <w:p w14:paraId="5CC40BA3"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KMO</w:t>
            </w:r>
          </w:p>
        </w:tc>
      </w:tr>
      <w:tr w:rsidR="00711296" w:rsidRPr="006E6D96" w14:paraId="55600034" w14:textId="77777777" w:rsidTr="004831C9">
        <w:trPr>
          <w:trHeight w:val="300"/>
        </w:trPr>
        <w:tc>
          <w:tcPr>
            <w:tcW w:w="994" w:type="dxa"/>
            <w:shd w:val="clear" w:color="auto" w:fill="auto"/>
            <w:noWrap/>
            <w:vAlign w:val="bottom"/>
            <w:hideMark/>
          </w:tcPr>
          <w:p w14:paraId="496B5F06"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w:t>
            </w:r>
          </w:p>
        </w:tc>
        <w:tc>
          <w:tcPr>
            <w:tcW w:w="668" w:type="dxa"/>
            <w:shd w:val="clear" w:color="auto" w:fill="auto"/>
            <w:noWrap/>
            <w:vAlign w:val="bottom"/>
            <w:hideMark/>
          </w:tcPr>
          <w:p w14:paraId="3729341C"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eValue</w:t>
            </w:r>
          </w:p>
        </w:tc>
        <w:tc>
          <w:tcPr>
            <w:tcW w:w="932" w:type="dxa"/>
            <w:shd w:val="clear" w:color="auto" w:fill="auto"/>
            <w:noWrap/>
            <w:vAlign w:val="bottom"/>
            <w:hideMark/>
          </w:tcPr>
          <w:p w14:paraId="42C0E239"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Proportion</w:t>
            </w:r>
          </w:p>
        </w:tc>
        <w:tc>
          <w:tcPr>
            <w:tcW w:w="971" w:type="dxa"/>
            <w:shd w:val="clear" w:color="auto" w:fill="auto"/>
            <w:noWrap/>
            <w:vAlign w:val="bottom"/>
            <w:hideMark/>
          </w:tcPr>
          <w:p w14:paraId="7CB38C8E"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Cumulative</w:t>
            </w:r>
          </w:p>
        </w:tc>
        <w:tc>
          <w:tcPr>
            <w:tcW w:w="3069" w:type="dxa"/>
            <w:shd w:val="clear" w:color="auto" w:fill="auto"/>
            <w:noWrap/>
            <w:vAlign w:val="bottom"/>
            <w:hideMark/>
          </w:tcPr>
          <w:p w14:paraId="0F241A5A"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Indicator</w:t>
            </w:r>
          </w:p>
        </w:tc>
        <w:tc>
          <w:tcPr>
            <w:tcW w:w="994" w:type="dxa"/>
            <w:shd w:val="clear" w:color="auto" w:fill="auto"/>
            <w:noWrap/>
            <w:vAlign w:val="bottom"/>
            <w:hideMark/>
          </w:tcPr>
          <w:p w14:paraId="77139E6C"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1</w:t>
            </w:r>
          </w:p>
        </w:tc>
        <w:tc>
          <w:tcPr>
            <w:tcW w:w="994" w:type="dxa"/>
            <w:shd w:val="clear" w:color="auto" w:fill="auto"/>
            <w:noWrap/>
            <w:vAlign w:val="bottom"/>
            <w:hideMark/>
          </w:tcPr>
          <w:p w14:paraId="46B18A1F"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2</w:t>
            </w:r>
          </w:p>
        </w:tc>
        <w:tc>
          <w:tcPr>
            <w:tcW w:w="994" w:type="dxa"/>
            <w:shd w:val="clear" w:color="auto" w:fill="auto"/>
            <w:noWrap/>
            <w:vAlign w:val="bottom"/>
            <w:hideMark/>
          </w:tcPr>
          <w:p w14:paraId="240CAEE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1</w:t>
            </w:r>
          </w:p>
        </w:tc>
        <w:tc>
          <w:tcPr>
            <w:tcW w:w="994" w:type="dxa"/>
            <w:shd w:val="clear" w:color="auto" w:fill="auto"/>
            <w:noWrap/>
            <w:vAlign w:val="bottom"/>
            <w:hideMark/>
          </w:tcPr>
          <w:p w14:paraId="159E1C5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2</w:t>
            </w:r>
          </w:p>
        </w:tc>
        <w:tc>
          <w:tcPr>
            <w:tcW w:w="823" w:type="dxa"/>
            <w:shd w:val="clear" w:color="auto" w:fill="auto"/>
            <w:noWrap/>
            <w:vAlign w:val="bottom"/>
            <w:hideMark/>
          </w:tcPr>
          <w:p w14:paraId="6DB1582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Commun</w:t>
            </w:r>
          </w:p>
        </w:tc>
        <w:tc>
          <w:tcPr>
            <w:tcW w:w="753" w:type="dxa"/>
            <w:shd w:val="clear" w:color="auto" w:fill="auto"/>
            <w:noWrap/>
            <w:vAlign w:val="bottom"/>
            <w:hideMark/>
          </w:tcPr>
          <w:p w14:paraId="4790566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Specific</w:t>
            </w:r>
          </w:p>
        </w:tc>
        <w:tc>
          <w:tcPr>
            <w:tcW w:w="761" w:type="dxa"/>
            <w:vMerge/>
            <w:vAlign w:val="center"/>
            <w:hideMark/>
          </w:tcPr>
          <w:p w14:paraId="075016D3" w14:textId="77777777" w:rsidR="00711296" w:rsidRPr="006E6D96" w:rsidRDefault="00711296" w:rsidP="004831C9">
            <w:pPr>
              <w:bidi w:val="0"/>
              <w:rPr>
                <w:rFonts w:ascii="Arial" w:hAnsi="Arial"/>
                <w:b/>
                <w:bCs/>
                <w:color w:val="000000"/>
                <w:sz w:val="14"/>
                <w:szCs w:val="14"/>
              </w:rPr>
            </w:pPr>
          </w:p>
        </w:tc>
        <w:tc>
          <w:tcPr>
            <w:tcW w:w="570" w:type="dxa"/>
            <w:vMerge/>
            <w:vAlign w:val="center"/>
            <w:hideMark/>
          </w:tcPr>
          <w:p w14:paraId="268848DD" w14:textId="77777777" w:rsidR="00711296" w:rsidRPr="006E6D96" w:rsidRDefault="00711296" w:rsidP="004831C9">
            <w:pPr>
              <w:bidi w:val="0"/>
              <w:rPr>
                <w:rFonts w:ascii="Arial" w:hAnsi="Arial"/>
                <w:b/>
                <w:bCs/>
                <w:color w:val="000000"/>
                <w:sz w:val="14"/>
                <w:szCs w:val="14"/>
              </w:rPr>
            </w:pPr>
          </w:p>
        </w:tc>
      </w:tr>
      <w:tr w:rsidR="00711296" w:rsidRPr="006E6D96" w14:paraId="0EDCC493" w14:textId="77777777" w:rsidTr="004831C9">
        <w:trPr>
          <w:trHeight w:val="285"/>
        </w:trPr>
        <w:tc>
          <w:tcPr>
            <w:tcW w:w="994" w:type="dxa"/>
            <w:shd w:val="clear" w:color="auto" w:fill="auto"/>
            <w:noWrap/>
            <w:vAlign w:val="bottom"/>
            <w:hideMark/>
          </w:tcPr>
          <w:p w14:paraId="5EF4B46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1</w:t>
            </w:r>
          </w:p>
        </w:tc>
        <w:tc>
          <w:tcPr>
            <w:tcW w:w="668" w:type="dxa"/>
            <w:shd w:val="clear" w:color="auto" w:fill="auto"/>
            <w:noWrap/>
            <w:vAlign w:val="bottom"/>
            <w:hideMark/>
          </w:tcPr>
          <w:p w14:paraId="6CB9309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3.66 </w:t>
            </w:r>
          </w:p>
        </w:tc>
        <w:tc>
          <w:tcPr>
            <w:tcW w:w="932" w:type="dxa"/>
            <w:shd w:val="clear" w:color="auto" w:fill="auto"/>
            <w:noWrap/>
            <w:vAlign w:val="bottom"/>
            <w:hideMark/>
          </w:tcPr>
          <w:p w14:paraId="178965D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73%</w:t>
            </w:r>
          </w:p>
        </w:tc>
        <w:tc>
          <w:tcPr>
            <w:tcW w:w="971" w:type="dxa"/>
            <w:shd w:val="clear" w:color="auto" w:fill="auto"/>
            <w:noWrap/>
            <w:vAlign w:val="bottom"/>
            <w:hideMark/>
          </w:tcPr>
          <w:p w14:paraId="0D1505C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73%</w:t>
            </w:r>
          </w:p>
        </w:tc>
        <w:tc>
          <w:tcPr>
            <w:tcW w:w="3069" w:type="dxa"/>
            <w:shd w:val="clear" w:color="auto" w:fill="auto"/>
            <w:noWrap/>
            <w:vAlign w:val="bottom"/>
            <w:hideMark/>
          </w:tcPr>
          <w:p w14:paraId="7A8B9C3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PT Exports of goods and services to Israel out of total Exports</w:t>
            </w:r>
          </w:p>
        </w:tc>
        <w:tc>
          <w:tcPr>
            <w:tcW w:w="994" w:type="dxa"/>
            <w:shd w:val="clear" w:color="auto" w:fill="auto"/>
            <w:noWrap/>
            <w:vAlign w:val="bottom"/>
            <w:hideMark/>
          </w:tcPr>
          <w:p w14:paraId="58F53D5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0.04 </w:t>
            </w:r>
          </w:p>
        </w:tc>
        <w:tc>
          <w:tcPr>
            <w:tcW w:w="994" w:type="dxa"/>
            <w:shd w:val="clear" w:color="auto" w:fill="auto"/>
            <w:noWrap/>
            <w:vAlign w:val="bottom"/>
            <w:hideMark/>
          </w:tcPr>
          <w:p w14:paraId="533F8F4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-0.98 </w:t>
            </w:r>
          </w:p>
        </w:tc>
        <w:tc>
          <w:tcPr>
            <w:tcW w:w="994" w:type="dxa"/>
            <w:shd w:val="clear" w:color="auto" w:fill="auto"/>
            <w:noWrap/>
            <w:vAlign w:val="bottom"/>
            <w:hideMark/>
          </w:tcPr>
          <w:p w14:paraId="4868214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0.08 </w:t>
            </w:r>
          </w:p>
        </w:tc>
        <w:tc>
          <w:tcPr>
            <w:tcW w:w="994" w:type="dxa"/>
            <w:shd w:val="clear" w:color="auto" w:fill="auto"/>
            <w:noWrap/>
            <w:vAlign w:val="bottom"/>
            <w:hideMark/>
          </w:tcPr>
          <w:p w14:paraId="5DD1B17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-0.99 </w:t>
            </w:r>
          </w:p>
        </w:tc>
        <w:tc>
          <w:tcPr>
            <w:tcW w:w="823" w:type="dxa"/>
            <w:shd w:val="clear" w:color="auto" w:fill="auto"/>
            <w:noWrap/>
            <w:vAlign w:val="bottom"/>
            <w:hideMark/>
          </w:tcPr>
          <w:p w14:paraId="50928BD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99%</w:t>
            </w:r>
          </w:p>
        </w:tc>
        <w:tc>
          <w:tcPr>
            <w:tcW w:w="753" w:type="dxa"/>
            <w:shd w:val="clear" w:color="auto" w:fill="auto"/>
            <w:noWrap/>
            <w:vAlign w:val="bottom"/>
            <w:hideMark/>
          </w:tcPr>
          <w:p w14:paraId="210C380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w:t>
            </w:r>
          </w:p>
        </w:tc>
        <w:tc>
          <w:tcPr>
            <w:tcW w:w="761" w:type="dxa"/>
            <w:shd w:val="clear" w:color="auto" w:fill="auto"/>
            <w:noWrap/>
            <w:vAlign w:val="bottom"/>
            <w:hideMark/>
          </w:tcPr>
          <w:p w14:paraId="6CCE8530"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21%</w:t>
            </w:r>
          </w:p>
        </w:tc>
        <w:tc>
          <w:tcPr>
            <w:tcW w:w="570" w:type="dxa"/>
            <w:shd w:val="clear" w:color="auto" w:fill="auto"/>
            <w:noWrap/>
            <w:vAlign w:val="bottom"/>
            <w:hideMark/>
          </w:tcPr>
          <w:p w14:paraId="49D86D0F" w14:textId="77777777" w:rsidR="00711296" w:rsidRPr="007E1B70" w:rsidRDefault="00711296" w:rsidP="004831C9">
            <w:pPr>
              <w:bidi w:val="0"/>
              <w:rPr>
                <w:rFonts w:ascii="Arial" w:hAnsi="Arial"/>
                <w:color w:val="000000"/>
                <w:sz w:val="14"/>
                <w:szCs w:val="14"/>
                <w:u w:val="single"/>
              </w:rPr>
            </w:pPr>
            <w:r w:rsidRPr="007E1B70">
              <w:rPr>
                <w:rFonts w:ascii="Arial" w:hAnsi="Arial"/>
                <w:color w:val="000000"/>
                <w:sz w:val="14"/>
                <w:szCs w:val="14"/>
                <w:u w:val="single"/>
              </w:rPr>
              <w:t>15%</w:t>
            </w:r>
          </w:p>
        </w:tc>
      </w:tr>
      <w:tr w:rsidR="00711296" w:rsidRPr="006E6D96" w14:paraId="6F6C4826" w14:textId="77777777" w:rsidTr="004831C9">
        <w:trPr>
          <w:trHeight w:val="285"/>
        </w:trPr>
        <w:tc>
          <w:tcPr>
            <w:tcW w:w="994" w:type="dxa"/>
            <w:shd w:val="clear" w:color="auto" w:fill="auto"/>
            <w:noWrap/>
            <w:vAlign w:val="bottom"/>
            <w:hideMark/>
          </w:tcPr>
          <w:p w14:paraId="466DF300"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2</w:t>
            </w:r>
          </w:p>
        </w:tc>
        <w:tc>
          <w:tcPr>
            <w:tcW w:w="668" w:type="dxa"/>
            <w:shd w:val="clear" w:color="auto" w:fill="auto"/>
            <w:noWrap/>
            <w:vAlign w:val="bottom"/>
            <w:hideMark/>
          </w:tcPr>
          <w:p w14:paraId="0310184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1.02 </w:t>
            </w:r>
          </w:p>
        </w:tc>
        <w:tc>
          <w:tcPr>
            <w:tcW w:w="932" w:type="dxa"/>
            <w:shd w:val="clear" w:color="auto" w:fill="auto"/>
            <w:noWrap/>
            <w:vAlign w:val="bottom"/>
            <w:hideMark/>
          </w:tcPr>
          <w:p w14:paraId="1B80F88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20%</w:t>
            </w:r>
          </w:p>
        </w:tc>
        <w:tc>
          <w:tcPr>
            <w:tcW w:w="971" w:type="dxa"/>
            <w:shd w:val="clear" w:color="auto" w:fill="auto"/>
            <w:noWrap/>
            <w:vAlign w:val="bottom"/>
            <w:hideMark/>
          </w:tcPr>
          <w:p w14:paraId="3DCAE92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94%</w:t>
            </w:r>
          </w:p>
        </w:tc>
        <w:tc>
          <w:tcPr>
            <w:tcW w:w="3069" w:type="dxa"/>
            <w:shd w:val="clear" w:color="auto" w:fill="auto"/>
            <w:noWrap/>
            <w:vAlign w:val="bottom"/>
            <w:hideMark/>
          </w:tcPr>
          <w:p w14:paraId="2C5F37B0"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PT Imports of goods and services from Israel out of total imports</w:t>
            </w:r>
          </w:p>
        </w:tc>
        <w:tc>
          <w:tcPr>
            <w:tcW w:w="994" w:type="dxa"/>
            <w:shd w:val="clear" w:color="auto" w:fill="auto"/>
            <w:noWrap/>
            <w:vAlign w:val="bottom"/>
            <w:hideMark/>
          </w:tcPr>
          <w:p w14:paraId="5BE82F7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0.51 </w:t>
            </w:r>
          </w:p>
        </w:tc>
        <w:tc>
          <w:tcPr>
            <w:tcW w:w="994" w:type="dxa"/>
            <w:shd w:val="clear" w:color="auto" w:fill="auto"/>
            <w:noWrap/>
            <w:vAlign w:val="bottom"/>
            <w:hideMark/>
          </w:tcPr>
          <w:p w14:paraId="7571712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0.03 </w:t>
            </w:r>
          </w:p>
        </w:tc>
        <w:tc>
          <w:tcPr>
            <w:tcW w:w="994" w:type="dxa"/>
            <w:shd w:val="clear" w:color="auto" w:fill="auto"/>
            <w:noWrap/>
            <w:vAlign w:val="bottom"/>
            <w:hideMark/>
          </w:tcPr>
          <w:p w14:paraId="1C0E89E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0.97 </w:t>
            </w:r>
          </w:p>
        </w:tc>
        <w:tc>
          <w:tcPr>
            <w:tcW w:w="994" w:type="dxa"/>
            <w:shd w:val="clear" w:color="auto" w:fill="auto"/>
            <w:noWrap/>
            <w:vAlign w:val="bottom"/>
            <w:hideMark/>
          </w:tcPr>
          <w:p w14:paraId="74CC7D3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0.03 </w:t>
            </w:r>
          </w:p>
        </w:tc>
        <w:tc>
          <w:tcPr>
            <w:tcW w:w="823" w:type="dxa"/>
            <w:shd w:val="clear" w:color="auto" w:fill="auto"/>
            <w:noWrap/>
            <w:vAlign w:val="bottom"/>
            <w:hideMark/>
          </w:tcPr>
          <w:p w14:paraId="63ED7AB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95%</w:t>
            </w:r>
          </w:p>
        </w:tc>
        <w:tc>
          <w:tcPr>
            <w:tcW w:w="753" w:type="dxa"/>
            <w:shd w:val="clear" w:color="auto" w:fill="auto"/>
            <w:noWrap/>
            <w:vAlign w:val="bottom"/>
            <w:hideMark/>
          </w:tcPr>
          <w:p w14:paraId="28893AD0"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5%</w:t>
            </w:r>
          </w:p>
        </w:tc>
        <w:tc>
          <w:tcPr>
            <w:tcW w:w="761" w:type="dxa"/>
            <w:shd w:val="clear" w:color="auto" w:fill="auto"/>
            <w:noWrap/>
            <w:vAlign w:val="bottom"/>
            <w:hideMark/>
          </w:tcPr>
          <w:p w14:paraId="33A1F4D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20%</w:t>
            </w:r>
          </w:p>
        </w:tc>
        <w:tc>
          <w:tcPr>
            <w:tcW w:w="570" w:type="dxa"/>
            <w:shd w:val="clear" w:color="auto" w:fill="auto"/>
            <w:noWrap/>
            <w:vAlign w:val="bottom"/>
            <w:hideMark/>
          </w:tcPr>
          <w:p w14:paraId="673B77B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91%</w:t>
            </w:r>
          </w:p>
        </w:tc>
      </w:tr>
      <w:tr w:rsidR="00711296" w:rsidRPr="006E6D96" w14:paraId="3D2F5168" w14:textId="77777777" w:rsidTr="004831C9">
        <w:trPr>
          <w:trHeight w:val="285"/>
        </w:trPr>
        <w:tc>
          <w:tcPr>
            <w:tcW w:w="994" w:type="dxa"/>
            <w:shd w:val="clear" w:color="auto" w:fill="auto"/>
            <w:noWrap/>
            <w:vAlign w:val="bottom"/>
            <w:hideMark/>
          </w:tcPr>
          <w:p w14:paraId="2818BB2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3</w:t>
            </w:r>
          </w:p>
        </w:tc>
        <w:tc>
          <w:tcPr>
            <w:tcW w:w="668" w:type="dxa"/>
            <w:shd w:val="clear" w:color="auto" w:fill="auto"/>
            <w:noWrap/>
            <w:vAlign w:val="bottom"/>
            <w:hideMark/>
          </w:tcPr>
          <w:p w14:paraId="57D005C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0.23 </w:t>
            </w:r>
          </w:p>
        </w:tc>
        <w:tc>
          <w:tcPr>
            <w:tcW w:w="932" w:type="dxa"/>
            <w:shd w:val="clear" w:color="auto" w:fill="auto"/>
            <w:noWrap/>
            <w:vAlign w:val="bottom"/>
            <w:hideMark/>
          </w:tcPr>
          <w:p w14:paraId="6279A75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5%</w:t>
            </w:r>
          </w:p>
        </w:tc>
        <w:tc>
          <w:tcPr>
            <w:tcW w:w="971" w:type="dxa"/>
            <w:shd w:val="clear" w:color="auto" w:fill="auto"/>
            <w:noWrap/>
            <w:vAlign w:val="bottom"/>
            <w:hideMark/>
          </w:tcPr>
          <w:p w14:paraId="701663F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98%</w:t>
            </w:r>
          </w:p>
        </w:tc>
        <w:tc>
          <w:tcPr>
            <w:tcW w:w="3069" w:type="dxa"/>
            <w:shd w:val="clear" w:color="auto" w:fill="auto"/>
            <w:noWrap/>
            <w:vAlign w:val="bottom"/>
            <w:hideMark/>
          </w:tcPr>
          <w:p w14:paraId="2606CC8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Share of Gross clearance revenues of Total PA net revenues and grants </w:t>
            </w:r>
          </w:p>
        </w:tc>
        <w:tc>
          <w:tcPr>
            <w:tcW w:w="994" w:type="dxa"/>
            <w:shd w:val="clear" w:color="auto" w:fill="auto"/>
            <w:noWrap/>
            <w:vAlign w:val="bottom"/>
            <w:hideMark/>
          </w:tcPr>
          <w:p w14:paraId="6DE06AC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-0.48 </w:t>
            </w:r>
          </w:p>
        </w:tc>
        <w:tc>
          <w:tcPr>
            <w:tcW w:w="994" w:type="dxa"/>
            <w:shd w:val="clear" w:color="auto" w:fill="auto"/>
            <w:noWrap/>
            <w:vAlign w:val="bottom"/>
            <w:hideMark/>
          </w:tcPr>
          <w:p w14:paraId="556CF5B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0.10 </w:t>
            </w:r>
          </w:p>
        </w:tc>
        <w:tc>
          <w:tcPr>
            <w:tcW w:w="994" w:type="dxa"/>
            <w:shd w:val="clear" w:color="auto" w:fill="auto"/>
            <w:noWrap/>
            <w:vAlign w:val="bottom"/>
            <w:hideMark/>
          </w:tcPr>
          <w:p w14:paraId="501B218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-0.92 </w:t>
            </w:r>
          </w:p>
        </w:tc>
        <w:tc>
          <w:tcPr>
            <w:tcW w:w="994" w:type="dxa"/>
            <w:shd w:val="clear" w:color="auto" w:fill="auto"/>
            <w:noWrap/>
            <w:vAlign w:val="bottom"/>
            <w:hideMark/>
          </w:tcPr>
          <w:p w14:paraId="3BE327A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0.11 </w:t>
            </w:r>
          </w:p>
        </w:tc>
        <w:tc>
          <w:tcPr>
            <w:tcW w:w="823" w:type="dxa"/>
            <w:shd w:val="clear" w:color="auto" w:fill="auto"/>
            <w:noWrap/>
            <w:vAlign w:val="bottom"/>
            <w:hideMark/>
          </w:tcPr>
          <w:p w14:paraId="14749D5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86%</w:t>
            </w:r>
          </w:p>
        </w:tc>
        <w:tc>
          <w:tcPr>
            <w:tcW w:w="753" w:type="dxa"/>
            <w:shd w:val="clear" w:color="auto" w:fill="auto"/>
            <w:noWrap/>
            <w:vAlign w:val="bottom"/>
            <w:hideMark/>
          </w:tcPr>
          <w:p w14:paraId="58C5CA0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14%</w:t>
            </w:r>
          </w:p>
        </w:tc>
        <w:tc>
          <w:tcPr>
            <w:tcW w:w="761" w:type="dxa"/>
            <w:shd w:val="clear" w:color="auto" w:fill="auto"/>
            <w:noWrap/>
            <w:vAlign w:val="bottom"/>
            <w:hideMark/>
          </w:tcPr>
          <w:p w14:paraId="36E384A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18%</w:t>
            </w:r>
          </w:p>
        </w:tc>
        <w:tc>
          <w:tcPr>
            <w:tcW w:w="570" w:type="dxa"/>
            <w:shd w:val="clear" w:color="auto" w:fill="auto"/>
            <w:noWrap/>
            <w:vAlign w:val="bottom"/>
            <w:hideMark/>
          </w:tcPr>
          <w:p w14:paraId="51657B1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76%</w:t>
            </w:r>
          </w:p>
        </w:tc>
      </w:tr>
      <w:tr w:rsidR="00711296" w:rsidRPr="006E6D96" w14:paraId="096741E6" w14:textId="77777777" w:rsidTr="004831C9">
        <w:trPr>
          <w:trHeight w:val="285"/>
        </w:trPr>
        <w:tc>
          <w:tcPr>
            <w:tcW w:w="994" w:type="dxa"/>
            <w:shd w:val="clear" w:color="auto" w:fill="auto"/>
            <w:noWrap/>
            <w:vAlign w:val="bottom"/>
            <w:hideMark/>
          </w:tcPr>
          <w:p w14:paraId="5B52E3E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4</w:t>
            </w:r>
          </w:p>
        </w:tc>
        <w:tc>
          <w:tcPr>
            <w:tcW w:w="668" w:type="dxa"/>
            <w:shd w:val="clear" w:color="auto" w:fill="auto"/>
            <w:noWrap/>
            <w:vAlign w:val="bottom"/>
            <w:hideMark/>
          </w:tcPr>
          <w:p w14:paraId="15FD64E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0.07 </w:t>
            </w:r>
          </w:p>
        </w:tc>
        <w:tc>
          <w:tcPr>
            <w:tcW w:w="932" w:type="dxa"/>
            <w:shd w:val="clear" w:color="auto" w:fill="auto"/>
            <w:noWrap/>
            <w:vAlign w:val="bottom"/>
            <w:hideMark/>
          </w:tcPr>
          <w:p w14:paraId="3514481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w:t>
            </w:r>
          </w:p>
        </w:tc>
        <w:tc>
          <w:tcPr>
            <w:tcW w:w="971" w:type="dxa"/>
            <w:shd w:val="clear" w:color="auto" w:fill="auto"/>
            <w:noWrap/>
            <w:vAlign w:val="bottom"/>
            <w:hideMark/>
          </w:tcPr>
          <w:p w14:paraId="661F265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100%</w:t>
            </w:r>
          </w:p>
        </w:tc>
        <w:tc>
          <w:tcPr>
            <w:tcW w:w="3069" w:type="dxa"/>
            <w:shd w:val="clear" w:color="auto" w:fill="auto"/>
            <w:noWrap/>
            <w:vAlign w:val="bottom"/>
            <w:hideMark/>
          </w:tcPr>
          <w:p w14:paraId="5410004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Palestinians employed in Israel out of total PT of employed Individuals</w:t>
            </w:r>
          </w:p>
        </w:tc>
        <w:tc>
          <w:tcPr>
            <w:tcW w:w="994" w:type="dxa"/>
            <w:shd w:val="clear" w:color="auto" w:fill="auto"/>
            <w:noWrap/>
            <w:vAlign w:val="bottom"/>
            <w:hideMark/>
          </w:tcPr>
          <w:p w14:paraId="04E8522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-0.49 </w:t>
            </w:r>
          </w:p>
        </w:tc>
        <w:tc>
          <w:tcPr>
            <w:tcW w:w="994" w:type="dxa"/>
            <w:shd w:val="clear" w:color="auto" w:fill="auto"/>
            <w:noWrap/>
            <w:vAlign w:val="bottom"/>
            <w:hideMark/>
          </w:tcPr>
          <w:p w14:paraId="5FA392C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-0.14 </w:t>
            </w:r>
          </w:p>
        </w:tc>
        <w:tc>
          <w:tcPr>
            <w:tcW w:w="994" w:type="dxa"/>
            <w:shd w:val="clear" w:color="auto" w:fill="auto"/>
            <w:noWrap/>
            <w:vAlign w:val="bottom"/>
            <w:hideMark/>
          </w:tcPr>
          <w:p w14:paraId="2141DCF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-0.94 </w:t>
            </w:r>
          </w:p>
        </w:tc>
        <w:tc>
          <w:tcPr>
            <w:tcW w:w="994" w:type="dxa"/>
            <w:shd w:val="clear" w:color="auto" w:fill="auto"/>
            <w:noWrap/>
            <w:vAlign w:val="bottom"/>
            <w:hideMark/>
          </w:tcPr>
          <w:p w14:paraId="76C7BEC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-0.14 </w:t>
            </w:r>
          </w:p>
        </w:tc>
        <w:tc>
          <w:tcPr>
            <w:tcW w:w="823" w:type="dxa"/>
            <w:shd w:val="clear" w:color="auto" w:fill="auto"/>
            <w:noWrap/>
            <w:vAlign w:val="bottom"/>
            <w:hideMark/>
          </w:tcPr>
          <w:p w14:paraId="67EFF06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90%</w:t>
            </w:r>
          </w:p>
        </w:tc>
        <w:tc>
          <w:tcPr>
            <w:tcW w:w="753" w:type="dxa"/>
            <w:shd w:val="clear" w:color="auto" w:fill="auto"/>
            <w:noWrap/>
            <w:vAlign w:val="bottom"/>
            <w:hideMark/>
          </w:tcPr>
          <w:p w14:paraId="7AE76EB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10%</w:t>
            </w:r>
          </w:p>
        </w:tc>
        <w:tc>
          <w:tcPr>
            <w:tcW w:w="761" w:type="dxa"/>
            <w:shd w:val="clear" w:color="auto" w:fill="auto"/>
            <w:noWrap/>
            <w:vAlign w:val="bottom"/>
            <w:hideMark/>
          </w:tcPr>
          <w:p w14:paraId="1B8F82F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19%</w:t>
            </w:r>
          </w:p>
        </w:tc>
        <w:tc>
          <w:tcPr>
            <w:tcW w:w="570" w:type="dxa"/>
            <w:shd w:val="clear" w:color="auto" w:fill="auto"/>
            <w:noWrap/>
            <w:vAlign w:val="bottom"/>
            <w:hideMark/>
          </w:tcPr>
          <w:p w14:paraId="6BA08DA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69%</w:t>
            </w:r>
          </w:p>
        </w:tc>
      </w:tr>
      <w:tr w:rsidR="00711296" w:rsidRPr="006E6D96" w14:paraId="3E310A22" w14:textId="77777777" w:rsidTr="004831C9">
        <w:trPr>
          <w:trHeight w:val="285"/>
        </w:trPr>
        <w:tc>
          <w:tcPr>
            <w:tcW w:w="994" w:type="dxa"/>
            <w:shd w:val="clear" w:color="auto" w:fill="auto"/>
            <w:noWrap/>
            <w:vAlign w:val="bottom"/>
            <w:hideMark/>
          </w:tcPr>
          <w:p w14:paraId="5957BC5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5</w:t>
            </w:r>
          </w:p>
        </w:tc>
        <w:tc>
          <w:tcPr>
            <w:tcW w:w="668" w:type="dxa"/>
            <w:shd w:val="clear" w:color="auto" w:fill="auto"/>
            <w:noWrap/>
            <w:vAlign w:val="bottom"/>
            <w:hideMark/>
          </w:tcPr>
          <w:p w14:paraId="15E140C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0.02 </w:t>
            </w:r>
          </w:p>
        </w:tc>
        <w:tc>
          <w:tcPr>
            <w:tcW w:w="932" w:type="dxa"/>
            <w:shd w:val="clear" w:color="auto" w:fill="auto"/>
            <w:noWrap/>
            <w:vAlign w:val="bottom"/>
            <w:hideMark/>
          </w:tcPr>
          <w:p w14:paraId="7D7DFC3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0%</w:t>
            </w:r>
          </w:p>
        </w:tc>
        <w:tc>
          <w:tcPr>
            <w:tcW w:w="971" w:type="dxa"/>
            <w:shd w:val="clear" w:color="auto" w:fill="auto"/>
            <w:noWrap/>
            <w:vAlign w:val="bottom"/>
            <w:hideMark/>
          </w:tcPr>
          <w:p w14:paraId="6541841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100%</w:t>
            </w:r>
          </w:p>
        </w:tc>
        <w:tc>
          <w:tcPr>
            <w:tcW w:w="3069" w:type="dxa"/>
            <w:shd w:val="clear" w:color="auto" w:fill="auto"/>
            <w:noWrap/>
            <w:vAlign w:val="bottom"/>
            <w:hideMark/>
          </w:tcPr>
          <w:p w14:paraId="1D7697A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Remittances of Palestinians workers in Israel out of GNI</w:t>
            </w:r>
          </w:p>
        </w:tc>
        <w:tc>
          <w:tcPr>
            <w:tcW w:w="994" w:type="dxa"/>
            <w:shd w:val="clear" w:color="auto" w:fill="auto"/>
            <w:noWrap/>
            <w:vAlign w:val="bottom"/>
            <w:hideMark/>
          </w:tcPr>
          <w:p w14:paraId="69A53F0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-0.52 </w:t>
            </w:r>
          </w:p>
        </w:tc>
        <w:tc>
          <w:tcPr>
            <w:tcW w:w="994" w:type="dxa"/>
            <w:shd w:val="clear" w:color="auto" w:fill="auto"/>
            <w:noWrap/>
            <w:vAlign w:val="bottom"/>
            <w:hideMark/>
          </w:tcPr>
          <w:p w14:paraId="036EF8E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-0.01 </w:t>
            </w:r>
          </w:p>
        </w:tc>
        <w:tc>
          <w:tcPr>
            <w:tcW w:w="994" w:type="dxa"/>
            <w:shd w:val="clear" w:color="auto" w:fill="auto"/>
            <w:noWrap/>
            <w:vAlign w:val="bottom"/>
            <w:hideMark/>
          </w:tcPr>
          <w:p w14:paraId="5350AE0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-0.99 </w:t>
            </w:r>
          </w:p>
        </w:tc>
        <w:tc>
          <w:tcPr>
            <w:tcW w:w="994" w:type="dxa"/>
            <w:shd w:val="clear" w:color="auto" w:fill="auto"/>
            <w:noWrap/>
            <w:vAlign w:val="bottom"/>
            <w:hideMark/>
          </w:tcPr>
          <w:p w14:paraId="593248F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-0.01 </w:t>
            </w:r>
          </w:p>
        </w:tc>
        <w:tc>
          <w:tcPr>
            <w:tcW w:w="823" w:type="dxa"/>
            <w:shd w:val="clear" w:color="auto" w:fill="auto"/>
            <w:noWrap/>
            <w:vAlign w:val="bottom"/>
            <w:hideMark/>
          </w:tcPr>
          <w:p w14:paraId="7927266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98%</w:t>
            </w:r>
          </w:p>
        </w:tc>
        <w:tc>
          <w:tcPr>
            <w:tcW w:w="753" w:type="dxa"/>
            <w:shd w:val="clear" w:color="auto" w:fill="auto"/>
            <w:noWrap/>
            <w:vAlign w:val="bottom"/>
            <w:hideMark/>
          </w:tcPr>
          <w:p w14:paraId="6DF9B12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w:t>
            </w:r>
          </w:p>
        </w:tc>
        <w:tc>
          <w:tcPr>
            <w:tcW w:w="761" w:type="dxa"/>
            <w:shd w:val="clear" w:color="auto" w:fill="auto"/>
            <w:noWrap/>
            <w:vAlign w:val="bottom"/>
            <w:hideMark/>
          </w:tcPr>
          <w:p w14:paraId="1F0E471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21%</w:t>
            </w:r>
          </w:p>
        </w:tc>
        <w:tc>
          <w:tcPr>
            <w:tcW w:w="570" w:type="dxa"/>
            <w:shd w:val="clear" w:color="auto" w:fill="auto"/>
            <w:noWrap/>
            <w:vAlign w:val="bottom"/>
            <w:hideMark/>
          </w:tcPr>
          <w:p w14:paraId="01CA051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69%</w:t>
            </w:r>
          </w:p>
        </w:tc>
      </w:tr>
      <w:tr w:rsidR="00711296" w:rsidRPr="006E6D96" w14:paraId="07F529AD" w14:textId="77777777" w:rsidTr="004831C9">
        <w:trPr>
          <w:trHeight w:val="285"/>
        </w:trPr>
        <w:tc>
          <w:tcPr>
            <w:tcW w:w="994" w:type="dxa"/>
            <w:shd w:val="clear" w:color="auto" w:fill="auto"/>
            <w:noWrap/>
            <w:vAlign w:val="bottom"/>
            <w:hideMark/>
          </w:tcPr>
          <w:p w14:paraId="7A5E9397" w14:textId="77777777" w:rsidR="00711296" w:rsidRPr="006E6D96" w:rsidRDefault="00711296" w:rsidP="004831C9">
            <w:pPr>
              <w:bidi w:val="0"/>
              <w:rPr>
                <w:rFonts w:ascii="Arial" w:hAnsi="Arial"/>
                <w:color w:val="000000"/>
                <w:sz w:val="14"/>
                <w:szCs w:val="14"/>
              </w:rPr>
            </w:pPr>
          </w:p>
        </w:tc>
        <w:tc>
          <w:tcPr>
            <w:tcW w:w="668" w:type="dxa"/>
            <w:shd w:val="clear" w:color="auto" w:fill="auto"/>
            <w:noWrap/>
            <w:vAlign w:val="bottom"/>
            <w:hideMark/>
          </w:tcPr>
          <w:p w14:paraId="19510583" w14:textId="77777777" w:rsidR="00711296" w:rsidRPr="006E6D96" w:rsidRDefault="00711296" w:rsidP="004831C9">
            <w:pPr>
              <w:bidi w:val="0"/>
              <w:rPr>
                <w:rFonts w:ascii="Times New Roman" w:hAnsi="Times New Roman" w:cs="Times New Roman"/>
                <w:sz w:val="14"/>
                <w:szCs w:val="14"/>
              </w:rPr>
            </w:pPr>
          </w:p>
        </w:tc>
        <w:tc>
          <w:tcPr>
            <w:tcW w:w="932" w:type="dxa"/>
            <w:shd w:val="clear" w:color="auto" w:fill="auto"/>
            <w:noWrap/>
            <w:vAlign w:val="bottom"/>
            <w:hideMark/>
          </w:tcPr>
          <w:p w14:paraId="544D3D98" w14:textId="77777777" w:rsidR="00711296" w:rsidRPr="006E6D96" w:rsidRDefault="00711296" w:rsidP="004831C9">
            <w:pPr>
              <w:bidi w:val="0"/>
              <w:rPr>
                <w:rFonts w:ascii="Times New Roman" w:hAnsi="Times New Roman" w:cs="Times New Roman"/>
                <w:sz w:val="14"/>
                <w:szCs w:val="14"/>
              </w:rPr>
            </w:pPr>
          </w:p>
        </w:tc>
        <w:tc>
          <w:tcPr>
            <w:tcW w:w="971" w:type="dxa"/>
            <w:shd w:val="clear" w:color="auto" w:fill="auto"/>
            <w:noWrap/>
            <w:vAlign w:val="bottom"/>
            <w:hideMark/>
          </w:tcPr>
          <w:p w14:paraId="3240C33E" w14:textId="77777777" w:rsidR="00711296" w:rsidRPr="006E6D96" w:rsidRDefault="00711296" w:rsidP="004831C9">
            <w:pPr>
              <w:bidi w:val="0"/>
              <w:rPr>
                <w:rFonts w:ascii="Times New Roman" w:hAnsi="Times New Roman" w:cs="Times New Roman"/>
                <w:sz w:val="14"/>
                <w:szCs w:val="14"/>
              </w:rPr>
            </w:pPr>
          </w:p>
        </w:tc>
        <w:tc>
          <w:tcPr>
            <w:tcW w:w="3069" w:type="dxa"/>
            <w:shd w:val="clear" w:color="auto" w:fill="auto"/>
            <w:noWrap/>
            <w:vAlign w:val="bottom"/>
            <w:hideMark/>
          </w:tcPr>
          <w:p w14:paraId="798EDEE3"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7909A199"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01896398"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0EBE7F2F"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3D21F40F" w14:textId="77777777" w:rsidR="00711296" w:rsidRPr="006E6D96" w:rsidRDefault="00711296" w:rsidP="004831C9">
            <w:pPr>
              <w:bidi w:val="0"/>
              <w:rPr>
                <w:rFonts w:ascii="Times New Roman" w:hAnsi="Times New Roman" w:cs="Times New Roman"/>
                <w:sz w:val="14"/>
                <w:szCs w:val="14"/>
              </w:rPr>
            </w:pPr>
          </w:p>
        </w:tc>
        <w:tc>
          <w:tcPr>
            <w:tcW w:w="823" w:type="dxa"/>
            <w:shd w:val="clear" w:color="auto" w:fill="auto"/>
            <w:noWrap/>
            <w:vAlign w:val="bottom"/>
            <w:hideMark/>
          </w:tcPr>
          <w:p w14:paraId="5A9CBB74" w14:textId="77777777" w:rsidR="00711296" w:rsidRPr="006E6D96" w:rsidRDefault="00711296" w:rsidP="004831C9">
            <w:pPr>
              <w:bidi w:val="0"/>
              <w:rPr>
                <w:rFonts w:ascii="Times New Roman" w:hAnsi="Times New Roman" w:cs="Times New Roman"/>
                <w:sz w:val="14"/>
                <w:szCs w:val="14"/>
              </w:rPr>
            </w:pPr>
          </w:p>
        </w:tc>
        <w:tc>
          <w:tcPr>
            <w:tcW w:w="753" w:type="dxa"/>
            <w:shd w:val="clear" w:color="auto" w:fill="auto"/>
            <w:noWrap/>
            <w:vAlign w:val="bottom"/>
            <w:hideMark/>
          </w:tcPr>
          <w:p w14:paraId="49D024C3" w14:textId="77777777" w:rsidR="00711296" w:rsidRPr="006E6D96" w:rsidRDefault="00711296" w:rsidP="004831C9">
            <w:pPr>
              <w:bidi w:val="0"/>
              <w:rPr>
                <w:rFonts w:ascii="Times New Roman" w:hAnsi="Times New Roman" w:cs="Times New Roman"/>
                <w:sz w:val="14"/>
                <w:szCs w:val="14"/>
              </w:rPr>
            </w:pPr>
          </w:p>
        </w:tc>
        <w:tc>
          <w:tcPr>
            <w:tcW w:w="761" w:type="dxa"/>
            <w:shd w:val="clear" w:color="auto" w:fill="auto"/>
            <w:noWrap/>
            <w:vAlign w:val="bottom"/>
            <w:hideMark/>
          </w:tcPr>
          <w:p w14:paraId="511F1B97" w14:textId="77777777" w:rsidR="00711296" w:rsidRPr="006E6D96" w:rsidRDefault="00711296" w:rsidP="004831C9">
            <w:pPr>
              <w:bidi w:val="0"/>
              <w:rPr>
                <w:rFonts w:ascii="Times New Roman" w:hAnsi="Times New Roman" w:cs="Times New Roman"/>
                <w:sz w:val="14"/>
                <w:szCs w:val="14"/>
              </w:rPr>
            </w:pPr>
          </w:p>
        </w:tc>
        <w:tc>
          <w:tcPr>
            <w:tcW w:w="570" w:type="dxa"/>
            <w:shd w:val="clear" w:color="auto" w:fill="auto"/>
            <w:noWrap/>
            <w:vAlign w:val="bottom"/>
            <w:hideMark/>
          </w:tcPr>
          <w:p w14:paraId="31724606" w14:textId="77777777" w:rsidR="00711296" w:rsidRPr="006E6D96" w:rsidRDefault="00711296" w:rsidP="004831C9">
            <w:pPr>
              <w:bidi w:val="0"/>
              <w:rPr>
                <w:rFonts w:ascii="Times New Roman" w:hAnsi="Times New Roman" w:cs="Times New Roman"/>
                <w:sz w:val="14"/>
                <w:szCs w:val="14"/>
              </w:rPr>
            </w:pPr>
          </w:p>
        </w:tc>
      </w:tr>
      <w:tr w:rsidR="00711296" w:rsidRPr="006E6D96" w14:paraId="696B55C4" w14:textId="77777777" w:rsidTr="004831C9">
        <w:trPr>
          <w:trHeight w:val="300"/>
        </w:trPr>
        <w:tc>
          <w:tcPr>
            <w:tcW w:w="994" w:type="dxa"/>
            <w:shd w:val="clear" w:color="auto" w:fill="auto"/>
            <w:noWrap/>
            <w:vAlign w:val="bottom"/>
            <w:hideMark/>
          </w:tcPr>
          <w:p w14:paraId="634C8EFD"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w:t>
            </w:r>
          </w:p>
        </w:tc>
        <w:tc>
          <w:tcPr>
            <w:tcW w:w="668" w:type="dxa"/>
            <w:shd w:val="clear" w:color="auto" w:fill="auto"/>
            <w:noWrap/>
            <w:vAlign w:val="bottom"/>
            <w:hideMark/>
          </w:tcPr>
          <w:p w14:paraId="0B166225"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 xml:space="preserve"> eValue </w:t>
            </w:r>
          </w:p>
        </w:tc>
        <w:tc>
          <w:tcPr>
            <w:tcW w:w="932" w:type="dxa"/>
            <w:shd w:val="clear" w:color="auto" w:fill="auto"/>
            <w:noWrap/>
            <w:vAlign w:val="bottom"/>
            <w:hideMark/>
          </w:tcPr>
          <w:p w14:paraId="74BFDDEF"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Proportion</w:t>
            </w:r>
          </w:p>
        </w:tc>
        <w:tc>
          <w:tcPr>
            <w:tcW w:w="971" w:type="dxa"/>
            <w:shd w:val="clear" w:color="auto" w:fill="auto"/>
            <w:noWrap/>
            <w:vAlign w:val="bottom"/>
            <w:hideMark/>
          </w:tcPr>
          <w:p w14:paraId="7FB21860"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Cumulative</w:t>
            </w:r>
          </w:p>
        </w:tc>
        <w:tc>
          <w:tcPr>
            <w:tcW w:w="3069" w:type="dxa"/>
            <w:shd w:val="clear" w:color="auto" w:fill="auto"/>
            <w:noWrap/>
            <w:vAlign w:val="bottom"/>
            <w:hideMark/>
          </w:tcPr>
          <w:p w14:paraId="6E5E1322"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Indicator</w:t>
            </w:r>
          </w:p>
        </w:tc>
        <w:tc>
          <w:tcPr>
            <w:tcW w:w="994" w:type="dxa"/>
            <w:shd w:val="clear" w:color="auto" w:fill="auto"/>
            <w:noWrap/>
            <w:vAlign w:val="bottom"/>
            <w:hideMark/>
          </w:tcPr>
          <w:p w14:paraId="2A10EDB9"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1</w:t>
            </w:r>
          </w:p>
        </w:tc>
        <w:tc>
          <w:tcPr>
            <w:tcW w:w="994" w:type="dxa"/>
            <w:shd w:val="clear" w:color="auto" w:fill="auto"/>
            <w:noWrap/>
            <w:vAlign w:val="bottom"/>
            <w:hideMark/>
          </w:tcPr>
          <w:p w14:paraId="667C9B1C"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2</w:t>
            </w:r>
          </w:p>
        </w:tc>
        <w:tc>
          <w:tcPr>
            <w:tcW w:w="994" w:type="dxa"/>
            <w:shd w:val="clear" w:color="auto" w:fill="auto"/>
            <w:noWrap/>
            <w:vAlign w:val="bottom"/>
            <w:hideMark/>
          </w:tcPr>
          <w:p w14:paraId="55577742"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1</w:t>
            </w:r>
          </w:p>
        </w:tc>
        <w:tc>
          <w:tcPr>
            <w:tcW w:w="994" w:type="dxa"/>
            <w:shd w:val="clear" w:color="auto" w:fill="auto"/>
            <w:noWrap/>
            <w:vAlign w:val="bottom"/>
            <w:hideMark/>
          </w:tcPr>
          <w:p w14:paraId="17870302"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2</w:t>
            </w:r>
          </w:p>
        </w:tc>
        <w:tc>
          <w:tcPr>
            <w:tcW w:w="823" w:type="dxa"/>
            <w:shd w:val="clear" w:color="auto" w:fill="auto"/>
            <w:noWrap/>
            <w:vAlign w:val="bottom"/>
            <w:hideMark/>
          </w:tcPr>
          <w:p w14:paraId="318B2A03"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Commun</w:t>
            </w:r>
          </w:p>
        </w:tc>
        <w:tc>
          <w:tcPr>
            <w:tcW w:w="753" w:type="dxa"/>
            <w:shd w:val="clear" w:color="auto" w:fill="auto"/>
            <w:noWrap/>
            <w:vAlign w:val="bottom"/>
            <w:hideMark/>
          </w:tcPr>
          <w:p w14:paraId="42D7771A"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Specific</w:t>
            </w:r>
          </w:p>
        </w:tc>
        <w:tc>
          <w:tcPr>
            <w:tcW w:w="761" w:type="dxa"/>
            <w:shd w:val="clear" w:color="auto" w:fill="auto"/>
            <w:noWrap/>
            <w:vAlign w:val="bottom"/>
            <w:hideMark/>
          </w:tcPr>
          <w:p w14:paraId="5F00FB42"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Weights</w:t>
            </w:r>
          </w:p>
        </w:tc>
        <w:tc>
          <w:tcPr>
            <w:tcW w:w="570" w:type="dxa"/>
            <w:shd w:val="clear" w:color="auto" w:fill="auto"/>
            <w:noWrap/>
            <w:vAlign w:val="bottom"/>
            <w:hideMark/>
          </w:tcPr>
          <w:p w14:paraId="43B3F283"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KMO</w:t>
            </w:r>
          </w:p>
        </w:tc>
      </w:tr>
      <w:tr w:rsidR="00711296" w:rsidRPr="006E6D96" w14:paraId="353C6A2E" w14:textId="77777777" w:rsidTr="004831C9">
        <w:trPr>
          <w:trHeight w:val="285"/>
        </w:trPr>
        <w:tc>
          <w:tcPr>
            <w:tcW w:w="994" w:type="dxa"/>
            <w:shd w:val="clear" w:color="auto" w:fill="auto"/>
            <w:noWrap/>
            <w:vAlign w:val="bottom"/>
            <w:hideMark/>
          </w:tcPr>
          <w:p w14:paraId="55C639A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1</w:t>
            </w:r>
          </w:p>
        </w:tc>
        <w:tc>
          <w:tcPr>
            <w:tcW w:w="668" w:type="dxa"/>
            <w:shd w:val="clear" w:color="auto" w:fill="auto"/>
            <w:noWrap/>
            <w:vAlign w:val="bottom"/>
            <w:hideMark/>
          </w:tcPr>
          <w:p w14:paraId="309EF31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2.81 </w:t>
            </w:r>
          </w:p>
        </w:tc>
        <w:tc>
          <w:tcPr>
            <w:tcW w:w="932" w:type="dxa"/>
            <w:shd w:val="clear" w:color="auto" w:fill="auto"/>
            <w:noWrap/>
            <w:vAlign w:val="bottom"/>
            <w:hideMark/>
          </w:tcPr>
          <w:p w14:paraId="5CE0AC5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56%</w:t>
            </w:r>
          </w:p>
        </w:tc>
        <w:tc>
          <w:tcPr>
            <w:tcW w:w="971" w:type="dxa"/>
            <w:shd w:val="clear" w:color="auto" w:fill="auto"/>
            <w:noWrap/>
            <w:vAlign w:val="bottom"/>
            <w:hideMark/>
          </w:tcPr>
          <w:p w14:paraId="32418B6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56%</w:t>
            </w:r>
          </w:p>
        </w:tc>
        <w:tc>
          <w:tcPr>
            <w:tcW w:w="3069" w:type="dxa"/>
            <w:shd w:val="clear" w:color="auto" w:fill="auto"/>
            <w:noWrap/>
            <w:vAlign w:val="bottom"/>
            <w:hideMark/>
          </w:tcPr>
          <w:p w14:paraId="178D046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Number of Israeli cars entered the WB out of Israeli arab population </w:t>
            </w:r>
          </w:p>
        </w:tc>
        <w:tc>
          <w:tcPr>
            <w:tcW w:w="994" w:type="dxa"/>
            <w:shd w:val="clear" w:color="auto" w:fill="auto"/>
            <w:noWrap/>
            <w:vAlign w:val="bottom"/>
            <w:hideMark/>
          </w:tcPr>
          <w:p w14:paraId="17EE6FB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0.56 </w:t>
            </w:r>
          </w:p>
        </w:tc>
        <w:tc>
          <w:tcPr>
            <w:tcW w:w="994" w:type="dxa"/>
            <w:shd w:val="clear" w:color="auto" w:fill="auto"/>
            <w:noWrap/>
            <w:vAlign w:val="bottom"/>
            <w:hideMark/>
          </w:tcPr>
          <w:p w14:paraId="31404480"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-0.21 </w:t>
            </w:r>
          </w:p>
        </w:tc>
        <w:tc>
          <w:tcPr>
            <w:tcW w:w="994" w:type="dxa"/>
            <w:shd w:val="clear" w:color="auto" w:fill="auto"/>
            <w:noWrap/>
            <w:vAlign w:val="bottom"/>
            <w:hideMark/>
          </w:tcPr>
          <w:p w14:paraId="0990C2D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0.94 </w:t>
            </w:r>
          </w:p>
        </w:tc>
        <w:tc>
          <w:tcPr>
            <w:tcW w:w="994" w:type="dxa"/>
            <w:shd w:val="clear" w:color="auto" w:fill="auto"/>
            <w:noWrap/>
            <w:vAlign w:val="bottom"/>
            <w:hideMark/>
          </w:tcPr>
          <w:p w14:paraId="11903C0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-0.24 </w:t>
            </w:r>
          </w:p>
        </w:tc>
        <w:tc>
          <w:tcPr>
            <w:tcW w:w="823" w:type="dxa"/>
            <w:shd w:val="clear" w:color="auto" w:fill="auto"/>
            <w:noWrap/>
            <w:vAlign w:val="bottom"/>
            <w:hideMark/>
          </w:tcPr>
          <w:p w14:paraId="655BA4A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94%</w:t>
            </w:r>
          </w:p>
        </w:tc>
        <w:tc>
          <w:tcPr>
            <w:tcW w:w="753" w:type="dxa"/>
            <w:shd w:val="clear" w:color="auto" w:fill="auto"/>
            <w:noWrap/>
            <w:vAlign w:val="bottom"/>
            <w:hideMark/>
          </w:tcPr>
          <w:p w14:paraId="07C922F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6%</w:t>
            </w:r>
          </w:p>
        </w:tc>
        <w:tc>
          <w:tcPr>
            <w:tcW w:w="761" w:type="dxa"/>
            <w:shd w:val="clear" w:color="auto" w:fill="auto"/>
            <w:noWrap/>
            <w:vAlign w:val="bottom"/>
            <w:hideMark/>
          </w:tcPr>
          <w:p w14:paraId="4A4E43D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23%</w:t>
            </w:r>
          </w:p>
        </w:tc>
        <w:tc>
          <w:tcPr>
            <w:tcW w:w="570" w:type="dxa"/>
            <w:shd w:val="clear" w:color="auto" w:fill="auto"/>
            <w:noWrap/>
            <w:vAlign w:val="bottom"/>
            <w:hideMark/>
          </w:tcPr>
          <w:p w14:paraId="378CF26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61%</w:t>
            </w:r>
          </w:p>
        </w:tc>
      </w:tr>
      <w:tr w:rsidR="00711296" w:rsidRPr="006E6D96" w14:paraId="2AEF7194" w14:textId="77777777" w:rsidTr="004831C9">
        <w:trPr>
          <w:trHeight w:val="285"/>
        </w:trPr>
        <w:tc>
          <w:tcPr>
            <w:tcW w:w="994" w:type="dxa"/>
            <w:shd w:val="clear" w:color="auto" w:fill="auto"/>
            <w:noWrap/>
            <w:vAlign w:val="bottom"/>
            <w:hideMark/>
          </w:tcPr>
          <w:p w14:paraId="69C23DD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2</w:t>
            </w:r>
          </w:p>
        </w:tc>
        <w:tc>
          <w:tcPr>
            <w:tcW w:w="668" w:type="dxa"/>
            <w:shd w:val="clear" w:color="auto" w:fill="auto"/>
            <w:noWrap/>
            <w:vAlign w:val="bottom"/>
            <w:hideMark/>
          </w:tcPr>
          <w:p w14:paraId="5BCBB78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1.31 </w:t>
            </w:r>
          </w:p>
        </w:tc>
        <w:tc>
          <w:tcPr>
            <w:tcW w:w="932" w:type="dxa"/>
            <w:shd w:val="clear" w:color="auto" w:fill="auto"/>
            <w:noWrap/>
            <w:vAlign w:val="bottom"/>
            <w:hideMark/>
          </w:tcPr>
          <w:p w14:paraId="314D708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26%</w:t>
            </w:r>
          </w:p>
        </w:tc>
        <w:tc>
          <w:tcPr>
            <w:tcW w:w="971" w:type="dxa"/>
            <w:shd w:val="clear" w:color="auto" w:fill="auto"/>
            <w:noWrap/>
            <w:vAlign w:val="bottom"/>
            <w:hideMark/>
          </w:tcPr>
          <w:p w14:paraId="02E25F0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82%</w:t>
            </w:r>
          </w:p>
        </w:tc>
        <w:tc>
          <w:tcPr>
            <w:tcW w:w="3069" w:type="dxa"/>
            <w:shd w:val="clear" w:color="auto" w:fill="auto"/>
            <w:noWrap/>
            <w:vAlign w:val="bottom"/>
            <w:hideMark/>
          </w:tcPr>
          <w:p w14:paraId="4165738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Movement of people of WBG population to Israel out of total PT population</w:t>
            </w:r>
          </w:p>
        </w:tc>
        <w:tc>
          <w:tcPr>
            <w:tcW w:w="994" w:type="dxa"/>
            <w:shd w:val="clear" w:color="auto" w:fill="auto"/>
            <w:noWrap/>
            <w:vAlign w:val="bottom"/>
            <w:hideMark/>
          </w:tcPr>
          <w:p w14:paraId="6C0DDAE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0.56 </w:t>
            </w:r>
          </w:p>
        </w:tc>
        <w:tc>
          <w:tcPr>
            <w:tcW w:w="994" w:type="dxa"/>
            <w:shd w:val="clear" w:color="auto" w:fill="auto"/>
            <w:noWrap/>
            <w:vAlign w:val="bottom"/>
            <w:hideMark/>
          </w:tcPr>
          <w:p w14:paraId="6A93F77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-0.07 </w:t>
            </w:r>
          </w:p>
        </w:tc>
        <w:tc>
          <w:tcPr>
            <w:tcW w:w="994" w:type="dxa"/>
            <w:shd w:val="clear" w:color="auto" w:fill="auto"/>
            <w:noWrap/>
            <w:vAlign w:val="bottom"/>
            <w:hideMark/>
          </w:tcPr>
          <w:p w14:paraId="4989230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0.93 </w:t>
            </w:r>
          </w:p>
        </w:tc>
        <w:tc>
          <w:tcPr>
            <w:tcW w:w="994" w:type="dxa"/>
            <w:shd w:val="clear" w:color="auto" w:fill="auto"/>
            <w:noWrap/>
            <w:vAlign w:val="bottom"/>
            <w:hideMark/>
          </w:tcPr>
          <w:p w14:paraId="2D1200D0"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-0.08 </w:t>
            </w:r>
          </w:p>
        </w:tc>
        <w:tc>
          <w:tcPr>
            <w:tcW w:w="823" w:type="dxa"/>
            <w:shd w:val="clear" w:color="auto" w:fill="auto"/>
            <w:noWrap/>
            <w:vAlign w:val="bottom"/>
            <w:hideMark/>
          </w:tcPr>
          <w:p w14:paraId="26B5FEA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88%</w:t>
            </w:r>
          </w:p>
        </w:tc>
        <w:tc>
          <w:tcPr>
            <w:tcW w:w="753" w:type="dxa"/>
            <w:shd w:val="clear" w:color="auto" w:fill="auto"/>
            <w:noWrap/>
            <w:vAlign w:val="bottom"/>
            <w:hideMark/>
          </w:tcPr>
          <w:p w14:paraId="2EF75DB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12%</w:t>
            </w:r>
          </w:p>
        </w:tc>
        <w:tc>
          <w:tcPr>
            <w:tcW w:w="761" w:type="dxa"/>
            <w:shd w:val="clear" w:color="auto" w:fill="auto"/>
            <w:noWrap/>
            <w:vAlign w:val="bottom"/>
            <w:hideMark/>
          </w:tcPr>
          <w:p w14:paraId="62D39B9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21%</w:t>
            </w:r>
          </w:p>
        </w:tc>
        <w:tc>
          <w:tcPr>
            <w:tcW w:w="570" w:type="dxa"/>
            <w:shd w:val="clear" w:color="auto" w:fill="auto"/>
            <w:noWrap/>
            <w:vAlign w:val="bottom"/>
            <w:hideMark/>
          </w:tcPr>
          <w:p w14:paraId="6B049C5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66%</w:t>
            </w:r>
          </w:p>
        </w:tc>
      </w:tr>
      <w:tr w:rsidR="00711296" w:rsidRPr="006E6D96" w14:paraId="72856753" w14:textId="77777777" w:rsidTr="004831C9">
        <w:trPr>
          <w:trHeight w:val="285"/>
        </w:trPr>
        <w:tc>
          <w:tcPr>
            <w:tcW w:w="994" w:type="dxa"/>
            <w:shd w:val="clear" w:color="auto" w:fill="auto"/>
            <w:noWrap/>
            <w:vAlign w:val="bottom"/>
            <w:hideMark/>
          </w:tcPr>
          <w:p w14:paraId="3EE513D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3</w:t>
            </w:r>
          </w:p>
        </w:tc>
        <w:tc>
          <w:tcPr>
            <w:tcW w:w="668" w:type="dxa"/>
            <w:shd w:val="clear" w:color="auto" w:fill="auto"/>
            <w:noWrap/>
            <w:vAlign w:val="bottom"/>
            <w:hideMark/>
          </w:tcPr>
          <w:p w14:paraId="7537914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0.74 </w:t>
            </w:r>
          </w:p>
        </w:tc>
        <w:tc>
          <w:tcPr>
            <w:tcW w:w="932" w:type="dxa"/>
            <w:shd w:val="clear" w:color="auto" w:fill="auto"/>
            <w:noWrap/>
            <w:vAlign w:val="bottom"/>
            <w:hideMark/>
          </w:tcPr>
          <w:p w14:paraId="6FCD06A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15%</w:t>
            </w:r>
          </w:p>
        </w:tc>
        <w:tc>
          <w:tcPr>
            <w:tcW w:w="971" w:type="dxa"/>
            <w:shd w:val="clear" w:color="auto" w:fill="auto"/>
            <w:noWrap/>
            <w:vAlign w:val="bottom"/>
            <w:hideMark/>
          </w:tcPr>
          <w:p w14:paraId="278598A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97%</w:t>
            </w:r>
          </w:p>
        </w:tc>
        <w:tc>
          <w:tcPr>
            <w:tcW w:w="3069" w:type="dxa"/>
            <w:shd w:val="clear" w:color="auto" w:fill="auto"/>
            <w:noWrap/>
            <w:vAlign w:val="bottom"/>
            <w:hideMark/>
          </w:tcPr>
          <w:p w14:paraId="4B3EF47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Number of permits  to palestinian for medical treatment out of total PT population</w:t>
            </w:r>
          </w:p>
        </w:tc>
        <w:tc>
          <w:tcPr>
            <w:tcW w:w="994" w:type="dxa"/>
            <w:shd w:val="clear" w:color="auto" w:fill="auto"/>
            <w:noWrap/>
            <w:vAlign w:val="bottom"/>
            <w:hideMark/>
          </w:tcPr>
          <w:p w14:paraId="4936893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-0.20 </w:t>
            </w:r>
          </w:p>
        </w:tc>
        <w:tc>
          <w:tcPr>
            <w:tcW w:w="994" w:type="dxa"/>
            <w:shd w:val="clear" w:color="auto" w:fill="auto"/>
            <w:noWrap/>
            <w:vAlign w:val="bottom"/>
            <w:hideMark/>
          </w:tcPr>
          <w:p w14:paraId="4C3A33E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-0.70 </w:t>
            </w:r>
          </w:p>
        </w:tc>
        <w:tc>
          <w:tcPr>
            <w:tcW w:w="994" w:type="dxa"/>
            <w:shd w:val="clear" w:color="auto" w:fill="auto"/>
            <w:noWrap/>
            <w:vAlign w:val="bottom"/>
            <w:hideMark/>
          </w:tcPr>
          <w:p w14:paraId="6FE7197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-0.34 </w:t>
            </w:r>
          </w:p>
        </w:tc>
        <w:tc>
          <w:tcPr>
            <w:tcW w:w="994" w:type="dxa"/>
            <w:shd w:val="clear" w:color="auto" w:fill="auto"/>
            <w:noWrap/>
            <w:vAlign w:val="bottom"/>
            <w:hideMark/>
          </w:tcPr>
          <w:p w14:paraId="0FC8A23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-0.80 </w:t>
            </w:r>
          </w:p>
        </w:tc>
        <w:tc>
          <w:tcPr>
            <w:tcW w:w="823" w:type="dxa"/>
            <w:shd w:val="clear" w:color="auto" w:fill="auto"/>
            <w:noWrap/>
            <w:vAlign w:val="bottom"/>
            <w:hideMark/>
          </w:tcPr>
          <w:p w14:paraId="1F0372B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76%</w:t>
            </w:r>
          </w:p>
        </w:tc>
        <w:tc>
          <w:tcPr>
            <w:tcW w:w="753" w:type="dxa"/>
            <w:shd w:val="clear" w:color="auto" w:fill="auto"/>
            <w:noWrap/>
            <w:vAlign w:val="bottom"/>
            <w:hideMark/>
          </w:tcPr>
          <w:p w14:paraId="6255B24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24%</w:t>
            </w:r>
          </w:p>
        </w:tc>
        <w:tc>
          <w:tcPr>
            <w:tcW w:w="761" w:type="dxa"/>
            <w:shd w:val="clear" w:color="auto" w:fill="auto"/>
            <w:noWrap/>
            <w:vAlign w:val="bottom"/>
            <w:hideMark/>
          </w:tcPr>
          <w:p w14:paraId="0CA5EE3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18%</w:t>
            </w:r>
          </w:p>
        </w:tc>
        <w:tc>
          <w:tcPr>
            <w:tcW w:w="570" w:type="dxa"/>
            <w:shd w:val="clear" w:color="auto" w:fill="auto"/>
            <w:noWrap/>
            <w:vAlign w:val="bottom"/>
            <w:hideMark/>
          </w:tcPr>
          <w:p w14:paraId="54AFACCF" w14:textId="77777777" w:rsidR="00711296" w:rsidRPr="007E1B70" w:rsidRDefault="00711296" w:rsidP="004831C9">
            <w:pPr>
              <w:bidi w:val="0"/>
              <w:rPr>
                <w:rFonts w:ascii="Arial" w:hAnsi="Arial"/>
                <w:color w:val="000000"/>
                <w:sz w:val="14"/>
                <w:szCs w:val="14"/>
                <w:u w:val="single"/>
              </w:rPr>
            </w:pPr>
            <w:r w:rsidRPr="007E1B70">
              <w:rPr>
                <w:rFonts w:ascii="Arial" w:hAnsi="Arial"/>
                <w:color w:val="000000"/>
                <w:sz w:val="14"/>
                <w:szCs w:val="14"/>
                <w:u w:val="single"/>
              </w:rPr>
              <w:t>30%</w:t>
            </w:r>
          </w:p>
        </w:tc>
      </w:tr>
      <w:tr w:rsidR="00711296" w:rsidRPr="006E6D96" w14:paraId="64A3A034" w14:textId="77777777" w:rsidTr="004831C9">
        <w:trPr>
          <w:trHeight w:val="285"/>
        </w:trPr>
        <w:tc>
          <w:tcPr>
            <w:tcW w:w="994" w:type="dxa"/>
            <w:shd w:val="clear" w:color="auto" w:fill="auto"/>
            <w:noWrap/>
            <w:vAlign w:val="bottom"/>
            <w:hideMark/>
          </w:tcPr>
          <w:p w14:paraId="02D9CB1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4</w:t>
            </w:r>
          </w:p>
        </w:tc>
        <w:tc>
          <w:tcPr>
            <w:tcW w:w="668" w:type="dxa"/>
            <w:shd w:val="clear" w:color="auto" w:fill="auto"/>
            <w:noWrap/>
            <w:vAlign w:val="bottom"/>
            <w:hideMark/>
          </w:tcPr>
          <w:p w14:paraId="78513FF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0.09 </w:t>
            </w:r>
          </w:p>
        </w:tc>
        <w:tc>
          <w:tcPr>
            <w:tcW w:w="932" w:type="dxa"/>
            <w:shd w:val="clear" w:color="auto" w:fill="auto"/>
            <w:noWrap/>
            <w:vAlign w:val="bottom"/>
            <w:hideMark/>
          </w:tcPr>
          <w:p w14:paraId="600EF3C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w:t>
            </w:r>
          </w:p>
        </w:tc>
        <w:tc>
          <w:tcPr>
            <w:tcW w:w="971" w:type="dxa"/>
            <w:shd w:val="clear" w:color="auto" w:fill="auto"/>
            <w:noWrap/>
            <w:vAlign w:val="bottom"/>
            <w:hideMark/>
          </w:tcPr>
          <w:p w14:paraId="38AB8B3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99%</w:t>
            </w:r>
          </w:p>
        </w:tc>
        <w:tc>
          <w:tcPr>
            <w:tcW w:w="3069" w:type="dxa"/>
            <w:shd w:val="clear" w:color="auto" w:fill="auto"/>
            <w:noWrap/>
            <w:vAlign w:val="bottom"/>
            <w:hideMark/>
          </w:tcPr>
          <w:p w14:paraId="28096A7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Percentage of palestinians Households traveled on Outbound Trips to Israel </w:t>
            </w:r>
          </w:p>
        </w:tc>
        <w:tc>
          <w:tcPr>
            <w:tcW w:w="994" w:type="dxa"/>
            <w:shd w:val="clear" w:color="auto" w:fill="auto"/>
            <w:noWrap/>
            <w:vAlign w:val="bottom"/>
            <w:hideMark/>
          </w:tcPr>
          <w:p w14:paraId="0C473A9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0.56 </w:t>
            </w:r>
          </w:p>
        </w:tc>
        <w:tc>
          <w:tcPr>
            <w:tcW w:w="994" w:type="dxa"/>
            <w:shd w:val="clear" w:color="auto" w:fill="auto"/>
            <w:noWrap/>
            <w:vAlign w:val="bottom"/>
            <w:hideMark/>
          </w:tcPr>
          <w:p w14:paraId="23A086E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0.17 </w:t>
            </w:r>
          </w:p>
        </w:tc>
        <w:tc>
          <w:tcPr>
            <w:tcW w:w="994" w:type="dxa"/>
            <w:shd w:val="clear" w:color="auto" w:fill="auto"/>
            <w:noWrap/>
            <w:vAlign w:val="bottom"/>
            <w:hideMark/>
          </w:tcPr>
          <w:p w14:paraId="60634A8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0.94 </w:t>
            </w:r>
          </w:p>
        </w:tc>
        <w:tc>
          <w:tcPr>
            <w:tcW w:w="994" w:type="dxa"/>
            <w:shd w:val="clear" w:color="auto" w:fill="auto"/>
            <w:noWrap/>
            <w:vAlign w:val="bottom"/>
            <w:hideMark/>
          </w:tcPr>
          <w:p w14:paraId="5C2E8F8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0.20 </w:t>
            </w:r>
          </w:p>
        </w:tc>
        <w:tc>
          <w:tcPr>
            <w:tcW w:w="823" w:type="dxa"/>
            <w:shd w:val="clear" w:color="auto" w:fill="auto"/>
            <w:noWrap/>
            <w:vAlign w:val="bottom"/>
            <w:hideMark/>
          </w:tcPr>
          <w:p w14:paraId="0146201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93%</w:t>
            </w:r>
          </w:p>
        </w:tc>
        <w:tc>
          <w:tcPr>
            <w:tcW w:w="753" w:type="dxa"/>
            <w:shd w:val="clear" w:color="auto" w:fill="auto"/>
            <w:noWrap/>
            <w:vAlign w:val="bottom"/>
            <w:hideMark/>
          </w:tcPr>
          <w:p w14:paraId="7A4AD71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w:t>
            </w:r>
          </w:p>
        </w:tc>
        <w:tc>
          <w:tcPr>
            <w:tcW w:w="761" w:type="dxa"/>
            <w:shd w:val="clear" w:color="auto" w:fill="auto"/>
            <w:noWrap/>
            <w:vAlign w:val="bottom"/>
            <w:hideMark/>
          </w:tcPr>
          <w:p w14:paraId="242A966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23%</w:t>
            </w:r>
          </w:p>
        </w:tc>
        <w:tc>
          <w:tcPr>
            <w:tcW w:w="570" w:type="dxa"/>
            <w:shd w:val="clear" w:color="auto" w:fill="auto"/>
            <w:noWrap/>
            <w:vAlign w:val="bottom"/>
            <w:hideMark/>
          </w:tcPr>
          <w:p w14:paraId="10D8B4F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64%</w:t>
            </w:r>
          </w:p>
        </w:tc>
      </w:tr>
      <w:tr w:rsidR="00711296" w:rsidRPr="006E6D96" w14:paraId="39B32457" w14:textId="77777777" w:rsidTr="004831C9">
        <w:trPr>
          <w:trHeight w:val="285"/>
        </w:trPr>
        <w:tc>
          <w:tcPr>
            <w:tcW w:w="994" w:type="dxa"/>
            <w:shd w:val="clear" w:color="auto" w:fill="auto"/>
            <w:noWrap/>
            <w:vAlign w:val="bottom"/>
            <w:hideMark/>
          </w:tcPr>
          <w:p w14:paraId="7445CC5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5</w:t>
            </w:r>
          </w:p>
        </w:tc>
        <w:tc>
          <w:tcPr>
            <w:tcW w:w="668" w:type="dxa"/>
            <w:shd w:val="clear" w:color="auto" w:fill="auto"/>
            <w:noWrap/>
            <w:vAlign w:val="bottom"/>
            <w:hideMark/>
          </w:tcPr>
          <w:p w14:paraId="34BE3E6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0.05 </w:t>
            </w:r>
          </w:p>
        </w:tc>
        <w:tc>
          <w:tcPr>
            <w:tcW w:w="932" w:type="dxa"/>
            <w:shd w:val="clear" w:color="auto" w:fill="auto"/>
            <w:noWrap/>
            <w:vAlign w:val="bottom"/>
            <w:hideMark/>
          </w:tcPr>
          <w:p w14:paraId="016D438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w:t>
            </w:r>
          </w:p>
        </w:tc>
        <w:tc>
          <w:tcPr>
            <w:tcW w:w="971" w:type="dxa"/>
            <w:shd w:val="clear" w:color="auto" w:fill="auto"/>
            <w:noWrap/>
            <w:vAlign w:val="bottom"/>
            <w:hideMark/>
          </w:tcPr>
          <w:p w14:paraId="57C51FE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100%</w:t>
            </w:r>
          </w:p>
        </w:tc>
        <w:tc>
          <w:tcPr>
            <w:tcW w:w="3069" w:type="dxa"/>
            <w:shd w:val="clear" w:color="auto" w:fill="auto"/>
            <w:noWrap/>
            <w:vAlign w:val="bottom"/>
            <w:hideMark/>
          </w:tcPr>
          <w:p w14:paraId="4066F80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Percentage of israeli Guests  in PT Hotels (left) </w:t>
            </w:r>
          </w:p>
        </w:tc>
        <w:tc>
          <w:tcPr>
            <w:tcW w:w="994" w:type="dxa"/>
            <w:shd w:val="clear" w:color="auto" w:fill="auto"/>
            <w:noWrap/>
            <w:vAlign w:val="bottom"/>
            <w:hideMark/>
          </w:tcPr>
          <w:p w14:paraId="49451E0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0.12 </w:t>
            </w:r>
          </w:p>
        </w:tc>
        <w:tc>
          <w:tcPr>
            <w:tcW w:w="994" w:type="dxa"/>
            <w:shd w:val="clear" w:color="auto" w:fill="auto"/>
            <w:noWrap/>
            <w:vAlign w:val="bottom"/>
            <w:hideMark/>
          </w:tcPr>
          <w:p w14:paraId="7B9E8A7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-0.66 </w:t>
            </w:r>
          </w:p>
        </w:tc>
        <w:tc>
          <w:tcPr>
            <w:tcW w:w="994" w:type="dxa"/>
            <w:shd w:val="clear" w:color="auto" w:fill="auto"/>
            <w:noWrap/>
            <w:vAlign w:val="bottom"/>
            <w:hideMark/>
          </w:tcPr>
          <w:p w14:paraId="0C33352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0.21 </w:t>
            </w:r>
          </w:p>
        </w:tc>
        <w:tc>
          <w:tcPr>
            <w:tcW w:w="994" w:type="dxa"/>
            <w:shd w:val="clear" w:color="auto" w:fill="auto"/>
            <w:noWrap/>
            <w:vAlign w:val="bottom"/>
            <w:hideMark/>
          </w:tcPr>
          <w:p w14:paraId="238BC48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-0.75 </w:t>
            </w:r>
          </w:p>
        </w:tc>
        <w:tc>
          <w:tcPr>
            <w:tcW w:w="823" w:type="dxa"/>
            <w:shd w:val="clear" w:color="auto" w:fill="auto"/>
            <w:noWrap/>
            <w:vAlign w:val="bottom"/>
            <w:hideMark/>
          </w:tcPr>
          <w:p w14:paraId="43FE7BC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61%</w:t>
            </w:r>
          </w:p>
        </w:tc>
        <w:tc>
          <w:tcPr>
            <w:tcW w:w="753" w:type="dxa"/>
            <w:shd w:val="clear" w:color="auto" w:fill="auto"/>
            <w:noWrap/>
            <w:vAlign w:val="bottom"/>
            <w:hideMark/>
          </w:tcPr>
          <w:p w14:paraId="14E059B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39%</w:t>
            </w:r>
          </w:p>
        </w:tc>
        <w:tc>
          <w:tcPr>
            <w:tcW w:w="761" w:type="dxa"/>
            <w:shd w:val="clear" w:color="auto" w:fill="auto"/>
            <w:noWrap/>
            <w:vAlign w:val="bottom"/>
            <w:hideMark/>
          </w:tcPr>
          <w:p w14:paraId="7DDF819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15%</w:t>
            </w:r>
          </w:p>
        </w:tc>
        <w:tc>
          <w:tcPr>
            <w:tcW w:w="570" w:type="dxa"/>
            <w:shd w:val="clear" w:color="auto" w:fill="auto"/>
            <w:noWrap/>
            <w:vAlign w:val="bottom"/>
            <w:hideMark/>
          </w:tcPr>
          <w:p w14:paraId="027ABD0C" w14:textId="77777777" w:rsidR="00711296" w:rsidRPr="007E1B70" w:rsidRDefault="00711296" w:rsidP="004831C9">
            <w:pPr>
              <w:bidi w:val="0"/>
              <w:rPr>
                <w:rFonts w:ascii="Arial" w:hAnsi="Arial"/>
                <w:color w:val="000000"/>
                <w:sz w:val="14"/>
                <w:szCs w:val="14"/>
                <w:u w:val="single"/>
              </w:rPr>
            </w:pPr>
            <w:r w:rsidRPr="007E1B70">
              <w:rPr>
                <w:rFonts w:ascii="Arial" w:hAnsi="Arial"/>
                <w:color w:val="000000"/>
                <w:sz w:val="14"/>
                <w:szCs w:val="14"/>
                <w:u w:val="single"/>
              </w:rPr>
              <w:t>27%</w:t>
            </w:r>
          </w:p>
        </w:tc>
      </w:tr>
      <w:tr w:rsidR="00711296" w:rsidRPr="006E6D96" w14:paraId="25054035" w14:textId="77777777" w:rsidTr="004831C9">
        <w:trPr>
          <w:trHeight w:val="285"/>
        </w:trPr>
        <w:tc>
          <w:tcPr>
            <w:tcW w:w="994" w:type="dxa"/>
            <w:shd w:val="clear" w:color="auto" w:fill="auto"/>
            <w:noWrap/>
            <w:vAlign w:val="bottom"/>
            <w:hideMark/>
          </w:tcPr>
          <w:p w14:paraId="2885F32D" w14:textId="77777777" w:rsidR="00711296" w:rsidRPr="006E6D96" w:rsidRDefault="00711296" w:rsidP="004831C9">
            <w:pPr>
              <w:bidi w:val="0"/>
              <w:rPr>
                <w:rFonts w:ascii="Arial" w:hAnsi="Arial"/>
                <w:color w:val="000000"/>
                <w:sz w:val="14"/>
                <w:szCs w:val="14"/>
              </w:rPr>
            </w:pPr>
          </w:p>
        </w:tc>
        <w:tc>
          <w:tcPr>
            <w:tcW w:w="668" w:type="dxa"/>
            <w:shd w:val="clear" w:color="auto" w:fill="auto"/>
            <w:noWrap/>
            <w:vAlign w:val="bottom"/>
            <w:hideMark/>
          </w:tcPr>
          <w:p w14:paraId="35CEE076" w14:textId="77777777" w:rsidR="00711296" w:rsidRPr="006E6D96" w:rsidRDefault="00711296" w:rsidP="004831C9">
            <w:pPr>
              <w:bidi w:val="0"/>
              <w:rPr>
                <w:rFonts w:ascii="Times New Roman" w:hAnsi="Times New Roman" w:cs="Times New Roman"/>
                <w:sz w:val="14"/>
                <w:szCs w:val="14"/>
              </w:rPr>
            </w:pPr>
          </w:p>
        </w:tc>
        <w:tc>
          <w:tcPr>
            <w:tcW w:w="932" w:type="dxa"/>
            <w:shd w:val="clear" w:color="auto" w:fill="auto"/>
            <w:noWrap/>
            <w:vAlign w:val="bottom"/>
            <w:hideMark/>
          </w:tcPr>
          <w:p w14:paraId="5C85E3E9" w14:textId="77777777" w:rsidR="00711296" w:rsidRPr="006E6D96" w:rsidRDefault="00711296" w:rsidP="004831C9">
            <w:pPr>
              <w:bidi w:val="0"/>
              <w:rPr>
                <w:rFonts w:ascii="Times New Roman" w:hAnsi="Times New Roman" w:cs="Times New Roman"/>
                <w:sz w:val="14"/>
                <w:szCs w:val="14"/>
              </w:rPr>
            </w:pPr>
          </w:p>
        </w:tc>
        <w:tc>
          <w:tcPr>
            <w:tcW w:w="971" w:type="dxa"/>
            <w:shd w:val="clear" w:color="auto" w:fill="auto"/>
            <w:noWrap/>
            <w:vAlign w:val="bottom"/>
            <w:hideMark/>
          </w:tcPr>
          <w:p w14:paraId="178541B5" w14:textId="77777777" w:rsidR="00711296" w:rsidRPr="006E6D96" w:rsidRDefault="00711296" w:rsidP="004831C9">
            <w:pPr>
              <w:bidi w:val="0"/>
              <w:rPr>
                <w:rFonts w:ascii="Times New Roman" w:hAnsi="Times New Roman" w:cs="Times New Roman"/>
                <w:sz w:val="14"/>
                <w:szCs w:val="14"/>
              </w:rPr>
            </w:pPr>
          </w:p>
        </w:tc>
        <w:tc>
          <w:tcPr>
            <w:tcW w:w="3069" w:type="dxa"/>
            <w:shd w:val="clear" w:color="auto" w:fill="auto"/>
            <w:noWrap/>
            <w:vAlign w:val="bottom"/>
            <w:hideMark/>
          </w:tcPr>
          <w:p w14:paraId="6E366AFB"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38B32229"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4B3245DA"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62AE968F"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5ED2C809" w14:textId="77777777" w:rsidR="00711296" w:rsidRPr="006E6D96" w:rsidRDefault="00711296" w:rsidP="004831C9">
            <w:pPr>
              <w:bidi w:val="0"/>
              <w:rPr>
                <w:rFonts w:ascii="Times New Roman" w:hAnsi="Times New Roman" w:cs="Times New Roman"/>
                <w:sz w:val="14"/>
                <w:szCs w:val="14"/>
              </w:rPr>
            </w:pPr>
          </w:p>
        </w:tc>
        <w:tc>
          <w:tcPr>
            <w:tcW w:w="823" w:type="dxa"/>
            <w:shd w:val="clear" w:color="auto" w:fill="auto"/>
            <w:noWrap/>
            <w:vAlign w:val="bottom"/>
            <w:hideMark/>
          </w:tcPr>
          <w:p w14:paraId="5750E42C" w14:textId="77777777" w:rsidR="00711296" w:rsidRPr="006E6D96" w:rsidRDefault="00711296" w:rsidP="004831C9">
            <w:pPr>
              <w:bidi w:val="0"/>
              <w:rPr>
                <w:rFonts w:ascii="Times New Roman" w:hAnsi="Times New Roman" w:cs="Times New Roman"/>
                <w:sz w:val="14"/>
                <w:szCs w:val="14"/>
              </w:rPr>
            </w:pPr>
          </w:p>
        </w:tc>
        <w:tc>
          <w:tcPr>
            <w:tcW w:w="753" w:type="dxa"/>
            <w:shd w:val="clear" w:color="auto" w:fill="auto"/>
            <w:noWrap/>
            <w:vAlign w:val="bottom"/>
            <w:hideMark/>
          </w:tcPr>
          <w:p w14:paraId="554E6332" w14:textId="77777777" w:rsidR="00711296" w:rsidRPr="006E6D96" w:rsidRDefault="00711296" w:rsidP="004831C9">
            <w:pPr>
              <w:bidi w:val="0"/>
              <w:rPr>
                <w:rFonts w:ascii="Times New Roman" w:hAnsi="Times New Roman" w:cs="Times New Roman"/>
                <w:sz w:val="14"/>
                <w:szCs w:val="14"/>
              </w:rPr>
            </w:pPr>
          </w:p>
        </w:tc>
        <w:tc>
          <w:tcPr>
            <w:tcW w:w="761" w:type="dxa"/>
            <w:shd w:val="clear" w:color="auto" w:fill="auto"/>
            <w:noWrap/>
            <w:vAlign w:val="bottom"/>
            <w:hideMark/>
          </w:tcPr>
          <w:p w14:paraId="3B404EA1" w14:textId="77777777" w:rsidR="00711296" w:rsidRPr="006E6D96" w:rsidRDefault="00711296" w:rsidP="004831C9">
            <w:pPr>
              <w:bidi w:val="0"/>
              <w:rPr>
                <w:rFonts w:ascii="Times New Roman" w:hAnsi="Times New Roman" w:cs="Times New Roman"/>
                <w:sz w:val="14"/>
                <w:szCs w:val="14"/>
              </w:rPr>
            </w:pPr>
          </w:p>
        </w:tc>
        <w:tc>
          <w:tcPr>
            <w:tcW w:w="570" w:type="dxa"/>
            <w:shd w:val="clear" w:color="auto" w:fill="auto"/>
            <w:noWrap/>
            <w:vAlign w:val="bottom"/>
            <w:hideMark/>
          </w:tcPr>
          <w:p w14:paraId="2D154BAF" w14:textId="77777777" w:rsidR="00711296" w:rsidRPr="006E6D96" w:rsidRDefault="00711296" w:rsidP="004831C9">
            <w:pPr>
              <w:bidi w:val="0"/>
              <w:rPr>
                <w:rFonts w:ascii="Times New Roman" w:hAnsi="Times New Roman" w:cs="Times New Roman"/>
                <w:sz w:val="14"/>
                <w:szCs w:val="14"/>
              </w:rPr>
            </w:pPr>
          </w:p>
        </w:tc>
      </w:tr>
      <w:tr w:rsidR="00711296" w:rsidRPr="006E6D96" w14:paraId="2EAA9093" w14:textId="77777777" w:rsidTr="004831C9">
        <w:trPr>
          <w:trHeight w:val="300"/>
        </w:trPr>
        <w:tc>
          <w:tcPr>
            <w:tcW w:w="994" w:type="dxa"/>
            <w:shd w:val="clear" w:color="auto" w:fill="auto"/>
            <w:noWrap/>
            <w:vAlign w:val="bottom"/>
            <w:hideMark/>
          </w:tcPr>
          <w:p w14:paraId="557CFD9B"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w:t>
            </w:r>
          </w:p>
        </w:tc>
        <w:tc>
          <w:tcPr>
            <w:tcW w:w="668" w:type="dxa"/>
            <w:shd w:val="clear" w:color="auto" w:fill="auto"/>
            <w:noWrap/>
            <w:vAlign w:val="bottom"/>
            <w:hideMark/>
          </w:tcPr>
          <w:p w14:paraId="371A00AC"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 xml:space="preserve"> eValue </w:t>
            </w:r>
          </w:p>
        </w:tc>
        <w:tc>
          <w:tcPr>
            <w:tcW w:w="932" w:type="dxa"/>
            <w:shd w:val="clear" w:color="auto" w:fill="auto"/>
            <w:noWrap/>
            <w:vAlign w:val="bottom"/>
            <w:hideMark/>
          </w:tcPr>
          <w:p w14:paraId="7B988665"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Proportion</w:t>
            </w:r>
          </w:p>
        </w:tc>
        <w:tc>
          <w:tcPr>
            <w:tcW w:w="971" w:type="dxa"/>
            <w:shd w:val="clear" w:color="auto" w:fill="auto"/>
            <w:noWrap/>
            <w:vAlign w:val="bottom"/>
            <w:hideMark/>
          </w:tcPr>
          <w:p w14:paraId="2568CE93"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Cumulative</w:t>
            </w:r>
          </w:p>
        </w:tc>
        <w:tc>
          <w:tcPr>
            <w:tcW w:w="3069" w:type="dxa"/>
            <w:shd w:val="clear" w:color="auto" w:fill="auto"/>
            <w:noWrap/>
            <w:vAlign w:val="bottom"/>
            <w:hideMark/>
          </w:tcPr>
          <w:p w14:paraId="40C996DF"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Indicator</w:t>
            </w:r>
          </w:p>
        </w:tc>
        <w:tc>
          <w:tcPr>
            <w:tcW w:w="994" w:type="dxa"/>
            <w:shd w:val="clear" w:color="auto" w:fill="auto"/>
            <w:noWrap/>
            <w:vAlign w:val="bottom"/>
            <w:hideMark/>
          </w:tcPr>
          <w:p w14:paraId="10ADCF11"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1</w:t>
            </w:r>
          </w:p>
        </w:tc>
        <w:tc>
          <w:tcPr>
            <w:tcW w:w="994" w:type="dxa"/>
            <w:shd w:val="clear" w:color="auto" w:fill="auto"/>
            <w:noWrap/>
            <w:vAlign w:val="bottom"/>
            <w:hideMark/>
          </w:tcPr>
          <w:p w14:paraId="76ED81C9" w14:textId="77777777" w:rsidR="00711296" w:rsidRPr="006E6D96" w:rsidRDefault="00711296" w:rsidP="004831C9">
            <w:pPr>
              <w:bidi w:val="0"/>
              <w:rPr>
                <w:rFonts w:ascii="Arial" w:hAnsi="Arial"/>
                <w:b/>
                <w:bCs/>
                <w:color w:val="000000"/>
                <w:sz w:val="14"/>
                <w:szCs w:val="14"/>
              </w:rPr>
            </w:pPr>
          </w:p>
        </w:tc>
        <w:tc>
          <w:tcPr>
            <w:tcW w:w="994" w:type="dxa"/>
            <w:shd w:val="clear" w:color="auto" w:fill="auto"/>
            <w:noWrap/>
            <w:vAlign w:val="bottom"/>
            <w:hideMark/>
          </w:tcPr>
          <w:p w14:paraId="1098E838"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1</w:t>
            </w:r>
          </w:p>
        </w:tc>
        <w:tc>
          <w:tcPr>
            <w:tcW w:w="994" w:type="dxa"/>
            <w:shd w:val="clear" w:color="auto" w:fill="auto"/>
            <w:noWrap/>
            <w:vAlign w:val="bottom"/>
            <w:hideMark/>
          </w:tcPr>
          <w:p w14:paraId="55116AE8" w14:textId="77777777" w:rsidR="00711296" w:rsidRPr="006E6D96" w:rsidRDefault="00711296" w:rsidP="004831C9">
            <w:pPr>
              <w:bidi w:val="0"/>
              <w:rPr>
                <w:rFonts w:ascii="Arial" w:hAnsi="Arial"/>
                <w:b/>
                <w:bCs/>
                <w:color w:val="000000"/>
                <w:sz w:val="14"/>
                <w:szCs w:val="14"/>
              </w:rPr>
            </w:pPr>
          </w:p>
        </w:tc>
        <w:tc>
          <w:tcPr>
            <w:tcW w:w="823" w:type="dxa"/>
            <w:shd w:val="clear" w:color="auto" w:fill="auto"/>
            <w:noWrap/>
            <w:vAlign w:val="bottom"/>
            <w:hideMark/>
          </w:tcPr>
          <w:p w14:paraId="183F39D3"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Commun</w:t>
            </w:r>
          </w:p>
        </w:tc>
        <w:tc>
          <w:tcPr>
            <w:tcW w:w="753" w:type="dxa"/>
            <w:shd w:val="clear" w:color="auto" w:fill="auto"/>
            <w:noWrap/>
            <w:vAlign w:val="bottom"/>
            <w:hideMark/>
          </w:tcPr>
          <w:p w14:paraId="4C9A0A93"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Specific</w:t>
            </w:r>
          </w:p>
        </w:tc>
        <w:tc>
          <w:tcPr>
            <w:tcW w:w="761" w:type="dxa"/>
            <w:shd w:val="clear" w:color="auto" w:fill="auto"/>
            <w:noWrap/>
            <w:vAlign w:val="bottom"/>
            <w:hideMark/>
          </w:tcPr>
          <w:p w14:paraId="4C9488B6"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Weights</w:t>
            </w:r>
          </w:p>
        </w:tc>
        <w:tc>
          <w:tcPr>
            <w:tcW w:w="570" w:type="dxa"/>
            <w:shd w:val="clear" w:color="auto" w:fill="auto"/>
            <w:noWrap/>
            <w:vAlign w:val="bottom"/>
            <w:hideMark/>
          </w:tcPr>
          <w:p w14:paraId="794D89C0"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KMO</w:t>
            </w:r>
          </w:p>
        </w:tc>
      </w:tr>
      <w:tr w:rsidR="00711296" w:rsidRPr="006E6D96" w14:paraId="4D93EA4A" w14:textId="77777777" w:rsidTr="004831C9">
        <w:trPr>
          <w:trHeight w:val="285"/>
        </w:trPr>
        <w:tc>
          <w:tcPr>
            <w:tcW w:w="994" w:type="dxa"/>
            <w:shd w:val="clear" w:color="auto" w:fill="auto"/>
            <w:noWrap/>
            <w:vAlign w:val="bottom"/>
            <w:hideMark/>
          </w:tcPr>
          <w:p w14:paraId="60791AC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1</w:t>
            </w:r>
          </w:p>
        </w:tc>
        <w:tc>
          <w:tcPr>
            <w:tcW w:w="668" w:type="dxa"/>
            <w:shd w:val="clear" w:color="auto" w:fill="auto"/>
            <w:noWrap/>
            <w:vAlign w:val="bottom"/>
            <w:hideMark/>
          </w:tcPr>
          <w:p w14:paraId="21048FF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4.12 </w:t>
            </w:r>
          </w:p>
        </w:tc>
        <w:tc>
          <w:tcPr>
            <w:tcW w:w="932" w:type="dxa"/>
            <w:shd w:val="clear" w:color="auto" w:fill="auto"/>
            <w:noWrap/>
            <w:vAlign w:val="bottom"/>
            <w:hideMark/>
          </w:tcPr>
          <w:p w14:paraId="4714E55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82%</w:t>
            </w:r>
          </w:p>
        </w:tc>
        <w:tc>
          <w:tcPr>
            <w:tcW w:w="971" w:type="dxa"/>
            <w:shd w:val="clear" w:color="auto" w:fill="auto"/>
            <w:noWrap/>
            <w:vAlign w:val="bottom"/>
            <w:hideMark/>
          </w:tcPr>
          <w:p w14:paraId="07AFA4F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82%</w:t>
            </w:r>
          </w:p>
        </w:tc>
        <w:tc>
          <w:tcPr>
            <w:tcW w:w="3069" w:type="dxa"/>
            <w:shd w:val="clear" w:color="auto" w:fill="auto"/>
            <w:noWrap/>
            <w:vAlign w:val="bottom"/>
            <w:hideMark/>
          </w:tcPr>
          <w:p w14:paraId="7859119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Mobile cellular subscriptions (per 100 people) ratio</w:t>
            </w:r>
          </w:p>
        </w:tc>
        <w:tc>
          <w:tcPr>
            <w:tcW w:w="994" w:type="dxa"/>
            <w:shd w:val="clear" w:color="auto" w:fill="auto"/>
            <w:noWrap/>
            <w:vAlign w:val="bottom"/>
            <w:hideMark/>
          </w:tcPr>
          <w:p w14:paraId="0C05AB7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0.44 </w:t>
            </w:r>
          </w:p>
        </w:tc>
        <w:tc>
          <w:tcPr>
            <w:tcW w:w="994" w:type="dxa"/>
            <w:shd w:val="clear" w:color="auto" w:fill="auto"/>
            <w:noWrap/>
            <w:vAlign w:val="bottom"/>
            <w:hideMark/>
          </w:tcPr>
          <w:p w14:paraId="5090091D" w14:textId="77777777" w:rsidR="00711296" w:rsidRPr="006E6D96" w:rsidRDefault="00711296" w:rsidP="004831C9">
            <w:pPr>
              <w:bidi w:val="0"/>
              <w:rPr>
                <w:rFonts w:ascii="Arial" w:hAnsi="Arial"/>
                <w:color w:val="000000"/>
                <w:sz w:val="14"/>
                <w:szCs w:val="14"/>
              </w:rPr>
            </w:pPr>
          </w:p>
        </w:tc>
        <w:tc>
          <w:tcPr>
            <w:tcW w:w="994" w:type="dxa"/>
            <w:shd w:val="clear" w:color="auto" w:fill="auto"/>
            <w:noWrap/>
            <w:vAlign w:val="bottom"/>
            <w:hideMark/>
          </w:tcPr>
          <w:p w14:paraId="40BA744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89%</w:t>
            </w:r>
          </w:p>
        </w:tc>
        <w:tc>
          <w:tcPr>
            <w:tcW w:w="994" w:type="dxa"/>
            <w:shd w:val="clear" w:color="auto" w:fill="auto"/>
            <w:noWrap/>
            <w:vAlign w:val="bottom"/>
            <w:hideMark/>
          </w:tcPr>
          <w:p w14:paraId="4C0C94D9" w14:textId="77777777" w:rsidR="00711296" w:rsidRPr="006E6D96" w:rsidRDefault="00711296" w:rsidP="004831C9">
            <w:pPr>
              <w:bidi w:val="0"/>
              <w:rPr>
                <w:rFonts w:ascii="Arial" w:hAnsi="Arial"/>
                <w:color w:val="000000"/>
                <w:sz w:val="14"/>
                <w:szCs w:val="14"/>
              </w:rPr>
            </w:pPr>
          </w:p>
        </w:tc>
        <w:tc>
          <w:tcPr>
            <w:tcW w:w="823" w:type="dxa"/>
            <w:shd w:val="clear" w:color="auto" w:fill="auto"/>
            <w:noWrap/>
            <w:vAlign w:val="bottom"/>
            <w:hideMark/>
          </w:tcPr>
          <w:p w14:paraId="19B731B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79%</w:t>
            </w:r>
          </w:p>
        </w:tc>
        <w:tc>
          <w:tcPr>
            <w:tcW w:w="753" w:type="dxa"/>
            <w:shd w:val="clear" w:color="auto" w:fill="auto"/>
            <w:noWrap/>
            <w:vAlign w:val="bottom"/>
            <w:hideMark/>
          </w:tcPr>
          <w:p w14:paraId="23FBB82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21%</w:t>
            </w:r>
          </w:p>
        </w:tc>
        <w:tc>
          <w:tcPr>
            <w:tcW w:w="761" w:type="dxa"/>
            <w:shd w:val="clear" w:color="auto" w:fill="auto"/>
            <w:noWrap/>
            <w:vAlign w:val="bottom"/>
            <w:hideMark/>
          </w:tcPr>
          <w:p w14:paraId="0AD4E5F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19%</w:t>
            </w:r>
          </w:p>
        </w:tc>
        <w:tc>
          <w:tcPr>
            <w:tcW w:w="570" w:type="dxa"/>
            <w:shd w:val="clear" w:color="auto" w:fill="auto"/>
            <w:noWrap/>
            <w:vAlign w:val="bottom"/>
            <w:hideMark/>
          </w:tcPr>
          <w:p w14:paraId="248641B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67%</w:t>
            </w:r>
          </w:p>
        </w:tc>
      </w:tr>
      <w:tr w:rsidR="00711296" w:rsidRPr="006E6D96" w14:paraId="172F4614" w14:textId="77777777" w:rsidTr="004831C9">
        <w:trPr>
          <w:trHeight w:val="285"/>
        </w:trPr>
        <w:tc>
          <w:tcPr>
            <w:tcW w:w="994" w:type="dxa"/>
            <w:shd w:val="clear" w:color="auto" w:fill="auto"/>
            <w:noWrap/>
            <w:vAlign w:val="bottom"/>
            <w:hideMark/>
          </w:tcPr>
          <w:p w14:paraId="3E8FE66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2</w:t>
            </w:r>
          </w:p>
        </w:tc>
        <w:tc>
          <w:tcPr>
            <w:tcW w:w="668" w:type="dxa"/>
            <w:shd w:val="clear" w:color="auto" w:fill="auto"/>
            <w:noWrap/>
            <w:vAlign w:val="bottom"/>
            <w:hideMark/>
          </w:tcPr>
          <w:p w14:paraId="31880A1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0.47 </w:t>
            </w:r>
          </w:p>
        </w:tc>
        <w:tc>
          <w:tcPr>
            <w:tcW w:w="932" w:type="dxa"/>
            <w:shd w:val="clear" w:color="auto" w:fill="auto"/>
            <w:noWrap/>
            <w:vAlign w:val="bottom"/>
            <w:hideMark/>
          </w:tcPr>
          <w:p w14:paraId="4AF7DF0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w:t>
            </w:r>
          </w:p>
        </w:tc>
        <w:tc>
          <w:tcPr>
            <w:tcW w:w="971" w:type="dxa"/>
            <w:shd w:val="clear" w:color="auto" w:fill="auto"/>
            <w:noWrap/>
            <w:vAlign w:val="bottom"/>
            <w:hideMark/>
          </w:tcPr>
          <w:p w14:paraId="22351FF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92%</w:t>
            </w:r>
          </w:p>
        </w:tc>
        <w:tc>
          <w:tcPr>
            <w:tcW w:w="3069" w:type="dxa"/>
            <w:shd w:val="clear" w:color="auto" w:fill="auto"/>
            <w:noWrap/>
            <w:vAlign w:val="bottom"/>
            <w:hideMark/>
          </w:tcPr>
          <w:p w14:paraId="6B17EE3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Individuals using the Internet (% of population) ratio</w:t>
            </w:r>
          </w:p>
        </w:tc>
        <w:tc>
          <w:tcPr>
            <w:tcW w:w="994" w:type="dxa"/>
            <w:shd w:val="clear" w:color="auto" w:fill="auto"/>
            <w:noWrap/>
            <w:vAlign w:val="bottom"/>
            <w:hideMark/>
          </w:tcPr>
          <w:p w14:paraId="101AA99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0.46 </w:t>
            </w:r>
          </w:p>
        </w:tc>
        <w:tc>
          <w:tcPr>
            <w:tcW w:w="994" w:type="dxa"/>
            <w:shd w:val="clear" w:color="auto" w:fill="auto"/>
            <w:noWrap/>
            <w:vAlign w:val="bottom"/>
            <w:hideMark/>
          </w:tcPr>
          <w:p w14:paraId="69E9F321" w14:textId="77777777" w:rsidR="00711296" w:rsidRPr="006E6D96" w:rsidRDefault="00711296" w:rsidP="004831C9">
            <w:pPr>
              <w:bidi w:val="0"/>
              <w:rPr>
                <w:rFonts w:ascii="Arial" w:hAnsi="Arial"/>
                <w:color w:val="000000"/>
                <w:sz w:val="14"/>
                <w:szCs w:val="14"/>
              </w:rPr>
            </w:pPr>
          </w:p>
        </w:tc>
        <w:tc>
          <w:tcPr>
            <w:tcW w:w="994" w:type="dxa"/>
            <w:shd w:val="clear" w:color="auto" w:fill="auto"/>
            <w:noWrap/>
            <w:vAlign w:val="bottom"/>
            <w:hideMark/>
          </w:tcPr>
          <w:p w14:paraId="4F2125E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92%</w:t>
            </w:r>
          </w:p>
        </w:tc>
        <w:tc>
          <w:tcPr>
            <w:tcW w:w="994" w:type="dxa"/>
            <w:shd w:val="clear" w:color="auto" w:fill="auto"/>
            <w:noWrap/>
            <w:vAlign w:val="bottom"/>
            <w:hideMark/>
          </w:tcPr>
          <w:p w14:paraId="45B91FB6" w14:textId="77777777" w:rsidR="00711296" w:rsidRPr="006E6D96" w:rsidRDefault="00711296" w:rsidP="004831C9">
            <w:pPr>
              <w:bidi w:val="0"/>
              <w:rPr>
                <w:rFonts w:ascii="Arial" w:hAnsi="Arial"/>
                <w:color w:val="000000"/>
                <w:sz w:val="14"/>
                <w:szCs w:val="14"/>
              </w:rPr>
            </w:pPr>
          </w:p>
        </w:tc>
        <w:tc>
          <w:tcPr>
            <w:tcW w:w="823" w:type="dxa"/>
            <w:shd w:val="clear" w:color="auto" w:fill="auto"/>
            <w:noWrap/>
            <w:vAlign w:val="bottom"/>
            <w:hideMark/>
          </w:tcPr>
          <w:p w14:paraId="6A02537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85%</w:t>
            </w:r>
          </w:p>
        </w:tc>
        <w:tc>
          <w:tcPr>
            <w:tcW w:w="753" w:type="dxa"/>
            <w:shd w:val="clear" w:color="auto" w:fill="auto"/>
            <w:noWrap/>
            <w:vAlign w:val="bottom"/>
            <w:hideMark/>
          </w:tcPr>
          <w:p w14:paraId="76481D7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15%</w:t>
            </w:r>
          </w:p>
        </w:tc>
        <w:tc>
          <w:tcPr>
            <w:tcW w:w="761" w:type="dxa"/>
            <w:shd w:val="clear" w:color="auto" w:fill="auto"/>
            <w:noWrap/>
            <w:vAlign w:val="bottom"/>
            <w:hideMark/>
          </w:tcPr>
          <w:p w14:paraId="479E80D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21%</w:t>
            </w:r>
          </w:p>
        </w:tc>
        <w:tc>
          <w:tcPr>
            <w:tcW w:w="570" w:type="dxa"/>
            <w:shd w:val="clear" w:color="auto" w:fill="auto"/>
            <w:noWrap/>
            <w:vAlign w:val="bottom"/>
            <w:hideMark/>
          </w:tcPr>
          <w:p w14:paraId="26C2B890"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69%</w:t>
            </w:r>
          </w:p>
        </w:tc>
      </w:tr>
      <w:tr w:rsidR="00711296" w:rsidRPr="006E6D96" w14:paraId="74B43E27" w14:textId="77777777" w:rsidTr="004831C9">
        <w:trPr>
          <w:trHeight w:val="285"/>
        </w:trPr>
        <w:tc>
          <w:tcPr>
            <w:tcW w:w="994" w:type="dxa"/>
            <w:shd w:val="clear" w:color="auto" w:fill="auto"/>
            <w:noWrap/>
            <w:vAlign w:val="bottom"/>
            <w:hideMark/>
          </w:tcPr>
          <w:p w14:paraId="0BA037F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3</w:t>
            </w:r>
          </w:p>
        </w:tc>
        <w:tc>
          <w:tcPr>
            <w:tcW w:w="668" w:type="dxa"/>
            <w:shd w:val="clear" w:color="auto" w:fill="auto"/>
            <w:noWrap/>
            <w:vAlign w:val="bottom"/>
            <w:hideMark/>
          </w:tcPr>
          <w:p w14:paraId="1C90029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0.28 </w:t>
            </w:r>
          </w:p>
        </w:tc>
        <w:tc>
          <w:tcPr>
            <w:tcW w:w="932" w:type="dxa"/>
            <w:shd w:val="clear" w:color="auto" w:fill="auto"/>
            <w:noWrap/>
            <w:vAlign w:val="bottom"/>
            <w:hideMark/>
          </w:tcPr>
          <w:p w14:paraId="5BC0C22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6%</w:t>
            </w:r>
          </w:p>
        </w:tc>
        <w:tc>
          <w:tcPr>
            <w:tcW w:w="971" w:type="dxa"/>
            <w:shd w:val="clear" w:color="auto" w:fill="auto"/>
            <w:noWrap/>
            <w:vAlign w:val="bottom"/>
            <w:hideMark/>
          </w:tcPr>
          <w:p w14:paraId="0CE56E2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97%</w:t>
            </w:r>
          </w:p>
        </w:tc>
        <w:tc>
          <w:tcPr>
            <w:tcW w:w="3069" w:type="dxa"/>
            <w:shd w:val="clear" w:color="auto" w:fill="auto"/>
            <w:noWrap/>
            <w:vAlign w:val="bottom"/>
            <w:hideMark/>
          </w:tcPr>
          <w:p w14:paraId="58C0483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Fixed broadband subscriptions (per 100 people) ratio</w:t>
            </w:r>
          </w:p>
        </w:tc>
        <w:tc>
          <w:tcPr>
            <w:tcW w:w="994" w:type="dxa"/>
            <w:shd w:val="clear" w:color="auto" w:fill="auto"/>
            <w:noWrap/>
            <w:vAlign w:val="bottom"/>
            <w:hideMark/>
          </w:tcPr>
          <w:p w14:paraId="639ED1E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0.48 </w:t>
            </w:r>
          </w:p>
        </w:tc>
        <w:tc>
          <w:tcPr>
            <w:tcW w:w="994" w:type="dxa"/>
            <w:shd w:val="clear" w:color="auto" w:fill="auto"/>
            <w:noWrap/>
            <w:vAlign w:val="bottom"/>
            <w:hideMark/>
          </w:tcPr>
          <w:p w14:paraId="5EE74AAE" w14:textId="77777777" w:rsidR="00711296" w:rsidRPr="006E6D96" w:rsidRDefault="00711296" w:rsidP="004831C9">
            <w:pPr>
              <w:bidi w:val="0"/>
              <w:rPr>
                <w:rFonts w:ascii="Arial" w:hAnsi="Arial"/>
                <w:color w:val="000000"/>
                <w:sz w:val="14"/>
                <w:szCs w:val="14"/>
              </w:rPr>
            </w:pPr>
          </w:p>
        </w:tc>
        <w:tc>
          <w:tcPr>
            <w:tcW w:w="994" w:type="dxa"/>
            <w:shd w:val="clear" w:color="auto" w:fill="auto"/>
            <w:noWrap/>
            <w:vAlign w:val="bottom"/>
            <w:hideMark/>
          </w:tcPr>
          <w:p w14:paraId="6A28E52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97%</w:t>
            </w:r>
          </w:p>
        </w:tc>
        <w:tc>
          <w:tcPr>
            <w:tcW w:w="994" w:type="dxa"/>
            <w:shd w:val="clear" w:color="auto" w:fill="auto"/>
            <w:noWrap/>
            <w:vAlign w:val="bottom"/>
            <w:hideMark/>
          </w:tcPr>
          <w:p w14:paraId="3DEBF13E" w14:textId="77777777" w:rsidR="00711296" w:rsidRPr="006E6D96" w:rsidRDefault="00711296" w:rsidP="004831C9">
            <w:pPr>
              <w:bidi w:val="0"/>
              <w:rPr>
                <w:rFonts w:ascii="Arial" w:hAnsi="Arial"/>
                <w:color w:val="000000"/>
                <w:sz w:val="14"/>
                <w:szCs w:val="14"/>
              </w:rPr>
            </w:pPr>
          </w:p>
        </w:tc>
        <w:tc>
          <w:tcPr>
            <w:tcW w:w="823" w:type="dxa"/>
            <w:shd w:val="clear" w:color="auto" w:fill="auto"/>
            <w:noWrap/>
            <w:vAlign w:val="bottom"/>
            <w:hideMark/>
          </w:tcPr>
          <w:p w14:paraId="1F92BCD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94%</w:t>
            </w:r>
          </w:p>
        </w:tc>
        <w:tc>
          <w:tcPr>
            <w:tcW w:w="753" w:type="dxa"/>
            <w:shd w:val="clear" w:color="auto" w:fill="auto"/>
            <w:noWrap/>
            <w:vAlign w:val="bottom"/>
            <w:hideMark/>
          </w:tcPr>
          <w:p w14:paraId="5B62DAA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6%</w:t>
            </w:r>
          </w:p>
        </w:tc>
        <w:tc>
          <w:tcPr>
            <w:tcW w:w="761" w:type="dxa"/>
            <w:shd w:val="clear" w:color="auto" w:fill="auto"/>
            <w:noWrap/>
            <w:vAlign w:val="bottom"/>
            <w:hideMark/>
          </w:tcPr>
          <w:p w14:paraId="7A6BC12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23%</w:t>
            </w:r>
          </w:p>
        </w:tc>
        <w:tc>
          <w:tcPr>
            <w:tcW w:w="570" w:type="dxa"/>
            <w:shd w:val="clear" w:color="auto" w:fill="auto"/>
            <w:noWrap/>
            <w:vAlign w:val="bottom"/>
            <w:hideMark/>
          </w:tcPr>
          <w:p w14:paraId="12DE497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63%</w:t>
            </w:r>
          </w:p>
        </w:tc>
      </w:tr>
      <w:tr w:rsidR="00711296" w:rsidRPr="006E6D96" w14:paraId="376E1206" w14:textId="77777777" w:rsidTr="004831C9">
        <w:trPr>
          <w:trHeight w:val="285"/>
        </w:trPr>
        <w:tc>
          <w:tcPr>
            <w:tcW w:w="994" w:type="dxa"/>
            <w:shd w:val="clear" w:color="auto" w:fill="auto"/>
            <w:noWrap/>
            <w:vAlign w:val="bottom"/>
            <w:hideMark/>
          </w:tcPr>
          <w:p w14:paraId="41C150A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4</w:t>
            </w:r>
          </w:p>
        </w:tc>
        <w:tc>
          <w:tcPr>
            <w:tcW w:w="668" w:type="dxa"/>
            <w:shd w:val="clear" w:color="auto" w:fill="auto"/>
            <w:noWrap/>
            <w:vAlign w:val="bottom"/>
            <w:hideMark/>
          </w:tcPr>
          <w:p w14:paraId="30402BD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0.11 </w:t>
            </w:r>
          </w:p>
        </w:tc>
        <w:tc>
          <w:tcPr>
            <w:tcW w:w="932" w:type="dxa"/>
            <w:shd w:val="clear" w:color="auto" w:fill="auto"/>
            <w:noWrap/>
            <w:vAlign w:val="bottom"/>
            <w:hideMark/>
          </w:tcPr>
          <w:p w14:paraId="28DF167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w:t>
            </w:r>
          </w:p>
        </w:tc>
        <w:tc>
          <w:tcPr>
            <w:tcW w:w="971" w:type="dxa"/>
            <w:shd w:val="clear" w:color="auto" w:fill="auto"/>
            <w:noWrap/>
            <w:vAlign w:val="bottom"/>
            <w:hideMark/>
          </w:tcPr>
          <w:p w14:paraId="116DF65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100%</w:t>
            </w:r>
          </w:p>
        </w:tc>
        <w:tc>
          <w:tcPr>
            <w:tcW w:w="3069" w:type="dxa"/>
            <w:shd w:val="clear" w:color="auto" w:fill="auto"/>
            <w:noWrap/>
            <w:vAlign w:val="bottom"/>
            <w:hideMark/>
          </w:tcPr>
          <w:p w14:paraId="42909EB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Electricity Imported from israel out of total Available Electricity in the PT</w:t>
            </w:r>
          </w:p>
        </w:tc>
        <w:tc>
          <w:tcPr>
            <w:tcW w:w="994" w:type="dxa"/>
            <w:shd w:val="clear" w:color="auto" w:fill="auto"/>
            <w:noWrap/>
            <w:vAlign w:val="bottom"/>
            <w:hideMark/>
          </w:tcPr>
          <w:p w14:paraId="4126431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0.42 </w:t>
            </w:r>
          </w:p>
        </w:tc>
        <w:tc>
          <w:tcPr>
            <w:tcW w:w="994" w:type="dxa"/>
            <w:shd w:val="clear" w:color="auto" w:fill="auto"/>
            <w:noWrap/>
            <w:vAlign w:val="bottom"/>
            <w:hideMark/>
          </w:tcPr>
          <w:p w14:paraId="73E81341" w14:textId="77777777" w:rsidR="00711296" w:rsidRPr="006E6D96" w:rsidRDefault="00711296" w:rsidP="004831C9">
            <w:pPr>
              <w:bidi w:val="0"/>
              <w:rPr>
                <w:rFonts w:ascii="Arial" w:hAnsi="Arial"/>
                <w:color w:val="000000"/>
                <w:sz w:val="14"/>
                <w:szCs w:val="14"/>
              </w:rPr>
            </w:pPr>
          </w:p>
        </w:tc>
        <w:tc>
          <w:tcPr>
            <w:tcW w:w="994" w:type="dxa"/>
            <w:shd w:val="clear" w:color="auto" w:fill="auto"/>
            <w:noWrap/>
            <w:vAlign w:val="bottom"/>
            <w:hideMark/>
          </w:tcPr>
          <w:p w14:paraId="29379F4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86%</w:t>
            </w:r>
          </w:p>
        </w:tc>
        <w:tc>
          <w:tcPr>
            <w:tcW w:w="994" w:type="dxa"/>
            <w:shd w:val="clear" w:color="auto" w:fill="auto"/>
            <w:noWrap/>
            <w:vAlign w:val="bottom"/>
            <w:hideMark/>
          </w:tcPr>
          <w:p w14:paraId="55E6013E" w14:textId="77777777" w:rsidR="00711296" w:rsidRPr="006E6D96" w:rsidRDefault="00711296" w:rsidP="004831C9">
            <w:pPr>
              <w:bidi w:val="0"/>
              <w:rPr>
                <w:rFonts w:ascii="Arial" w:hAnsi="Arial"/>
                <w:color w:val="000000"/>
                <w:sz w:val="14"/>
                <w:szCs w:val="14"/>
              </w:rPr>
            </w:pPr>
          </w:p>
        </w:tc>
        <w:tc>
          <w:tcPr>
            <w:tcW w:w="823" w:type="dxa"/>
            <w:shd w:val="clear" w:color="auto" w:fill="auto"/>
            <w:noWrap/>
            <w:vAlign w:val="bottom"/>
            <w:hideMark/>
          </w:tcPr>
          <w:p w14:paraId="73CA85E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74%</w:t>
            </w:r>
          </w:p>
        </w:tc>
        <w:tc>
          <w:tcPr>
            <w:tcW w:w="753" w:type="dxa"/>
            <w:shd w:val="clear" w:color="auto" w:fill="auto"/>
            <w:noWrap/>
            <w:vAlign w:val="bottom"/>
            <w:hideMark/>
          </w:tcPr>
          <w:p w14:paraId="3B80F69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26%</w:t>
            </w:r>
          </w:p>
        </w:tc>
        <w:tc>
          <w:tcPr>
            <w:tcW w:w="761" w:type="dxa"/>
            <w:shd w:val="clear" w:color="auto" w:fill="auto"/>
            <w:noWrap/>
            <w:vAlign w:val="bottom"/>
            <w:hideMark/>
          </w:tcPr>
          <w:p w14:paraId="5D80034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18%</w:t>
            </w:r>
          </w:p>
        </w:tc>
        <w:tc>
          <w:tcPr>
            <w:tcW w:w="570" w:type="dxa"/>
            <w:shd w:val="clear" w:color="auto" w:fill="auto"/>
            <w:noWrap/>
            <w:vAlign w:val="bottom"/>
            <w:hideMark/>
          </w:tcPr>
          <w:p w14:paraId="130B66A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76%</w:t>
            </w:r>
          </w:p>
        </w:tc>
      </w:tr>
      <w:tr w:rsidR="00711296" w:rsidRPr="006E6D96" w14:paraId="0955A4DB" w14:textId="77777777" w:rsidTr="004831C9">
        <w:trPr>
          <w:trHeight w:val="285"/>
        </w:trPr>
        <w:tc>
          <w:tcPr>
            <w:tcW w:w="994" w:type="dxa"/>
            <w:shd w:val="clear" w:color="auto" w:fill="auto"/>
            <w:noWrap/>
            <w:vAlign w:val="bottom"/>
            <w:hideMark/>
          </w:tcPr>
          <w:p w14:paraId="14B6459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5</w:t>
            </w:r>
          </w:p>
        </w:tc>
        <w:tc>
          <w:tcPr>
            <w:tcW w:w="668" w:type="dxa"/>
            <w:shd w:val="clear" w:color="auto" w:fill="auto"/>
            <w:noWrap/>
            <w:vAlign w:val="bottom"/>
            <w:hideMark/>
          </w:tcPr>
          <w:p w14:paraId="2F98DB1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0.02 </w:t>
            </w:r>
          </w:p>
        </w:tc>
        <w:tc>
          <w:tcPr>
            <w:tcW w:w="932" w:type="dxa"/>
            <w:shd w:val="clear" w:color="auto" w:fill="auto"/>
            <w:noWrap/>
            <w:vAlign w:val="bottom"/>
            <w:hideMark/>
          </w:tcPr>
          <w:p w14:paraId="161AF44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0%</w:t>
            </w:r>
          </w:p>
        </w:tc>
        <w:tc>
          <w:tcPr>
            <w:tcW w:w="971" w:type="dxa"/>
            <w:shd w:val="clear" w:color="auto" w:fill="auto"/>
            <w:noWrap/>
            <w:vAlign w:val="bottom"/>
            <w:hideMark/>
          </w:tcPr>
          <w:p w14:paraId="231919B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100%</w:t>
            </w:r>
          </w:p>
        </w:tc>
        <w:tc>
          <w:tcPr>
            <w:tcW w:w="3069" w:type="dxa"/>
            <w:shd w:val="clear" w:color="auto" w:fill="auto"/>
            <w:noWrap/>
            <w:vAlign w:val="bottom"/>
            <w:hideMark/>
          </w:tcPr>
          <w:p w14:paraId="14FD1D0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Quantity of Water Purchased from Israeli Water Company (Mekorot) out of Available Water Quantity in the PT</w:t>
            </w:r>
          </w:p>
        </w:tc>
        <w:tc>
          <w:tcPr>
            <w:tcW w:w="994" w:type="dxa"/>
            <w:shd w:val="clear" w:color="auto" w:fill="auto"/>
            <w:noWrap/>
            <w:vAlign w:val="bottom"/>
            <w:hideMark/>
          </w:tcPr>
          <w:p w14:paraId="4D4EBC2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0.44 </w:t>
            </w:r>
          </w:p>
        </w:tc>
        <w:tc>
          <w:tcPr>
            <w:tcW w:w="994" w:type="dxa"/>
            <w:shd w:val="clear" w:color="auto" w:fill="auto"/>
            <w:noWrap/>
            <w:vAlign w:val="bottom"/>
            <w:hideMark/>
          </w:tcPr>
          <w:p w14:paraId="6095099F" w14:textId="77777777" w:rsidR="00711296" w:rsidRPr="006E6D96" w:rsidRDefault="00711296" w:rsidP="004831C9">
            <w:pPr>
              <w:bidi w:val="0"/>
              <w:rPr>
                <w:rFonts w:ascii="Arial" w:hAnsi="Arial"/>
                <w:color w:val="000000"/>
                <w:sz w:val="14"/>
                <w:szCs w:val="14"/>
              </w:rPr>
            </w:pPr>
          </w:p>
        </w:tc>
        <w:tc>
          <w:tcPr>
            <w:tcW w:w="994" w:type="dxa"/>
            <w:shd w:val="clear" w:color="auto" w:fill="auto"/>
            <w:noWrap/>
            <w:vAlign w:val="bottom"/>
            <w:hideMark/>
          </w:tcPr>
          <w:p w14:paraId="509EF05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89%</w:t>
            </w:r>
          </w:p>
        </w:tc>
        <w:tc>
          <w:tcPr>
            <w:tcW w:w="994" w:type="dxa"/>
            <w:shd w:val="clear" w:color="auto" w:fill="auto"/>
            <w:noWrap/>
            <w:vAlign w:val="bottom"/>
            <w:hideMark/>
          </w:tcPr>
          <w:p w14:paraId="7C77937E" w14:textId="77777777" w:rsidR="00711296" w:rsidRPr="006E6D96" w:rsidRDefault="00711296" w:rsidP="004831C9">
            <w:pPr>
              <w:bidi w:val="0"/>
              <w:rPr>
                <w:rFonts w:ascii="Arial" w:hAnsi="Arial"/>
                <w:color w:val="000000"/>
                <w:sz w:val="14"/>
                <w:szCs w:val="14"/>
              </w:rPr>
            </w:pPr>
          </w:p>
        </w:tc>
        <w:tc>
          <w:tcPr>
            <w:tcW w:w="823" w:type="dxa"/>
            <w:shd w:val="clear" w:color="auto" w:fill="auto"/>
            <w:noWrap/>
            <w:vAlign w:val="bottom"/>
            <w:hideMark/>
          </w:tcPr>
          <w:p w14:paraId="1262511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80%</w:t>
            </w:r>
          </w:p>
        </w:tc>
        <w:tc>
          <w:tcPr>
            <w:tcW w:w="753" w:type="dxa"/>
            <w:shd w:val="clear" w:color="auto" w:fill="auto"/>
            <w:noWrap/>
            <w:vAlign w:val="bottom"/>
            <w:hideMark/>
          </w:tcPr>
          <w:p w14:paraId="60CCE29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20%</w:t>
            </w:r>
          </w:p>
        </w:tc>
        <w:tc>
          <w:tcPr>
            <w:tcW w:w="761" w:type="dxa"/>
            <w:shd w:val="clear" w:color="auto" w:fill="auto"/>
            <w:noWrap/>
            <w:vAlign w:val="bottom"/>
            <w:hideMark/>
          </w:tcPr>
          <w:p w14:paraId="2F1DF73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19%</w:t>
            </w:r>
          </w:p>
        </w:tc>
        <w:tc>
          <w:tcPr>
            <w:tcW w:w="570" w:type="dxa"/>
            <w:shd w:val="clear" w:color="auto" w:fill="auto"/>
            <w:noWrap/>
            <w:vAlign w:val="bottom"/>
            <w:hideMark/>
          </w:tcPr>
          <w:p w14:paraId="2BA2384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66%</w:t>
            </w:r>
          </w:p>
        </w:tc>
      </w:tr>
      <w:tr w:rsidR="00711296" w:rsidRPr="006E6D96" w14:paraId="15EF47F7" w14:textId="77777777" w:rsidTr="004831C9">
        <w:trPr>
          <w:trHeight w:val="285"/>
        </w:trPr>
        <w:tc>
          <w:tcPr>
            <w:tcW w:w="994" w:type="dxa"/>
            <w:shd w:val="clear" w:color="auto" w:fill="auto"/>
            <w:noWrap/>
            <w:vAlign w:val="bottom"/>
            <w:hideMark/>
          </w:tcPr>
          <w:p w14:paraId="35A22DB7" w14:textId="77777777" w:rsidR="00711296" w:rsidRDefault="00711296" w:rsidP="004831C9">
            <w:pPr>
              <w:bidi w:val="0"/>
              <w:rPr>
                <w:rFonts w:ascii="Arial" w:hAnsi="Arial"/>
                <w:color w:val="000000"/>
                <w:sz w:val="14"/>
                <w:szCs w:val="14"/>
              </w:rPr>
            </w:pPr>
          </w:p>
          <w:p w14:paraId="29C09C40" w14:textId="0A0D2BD9" w:rsidR="00711296" w:rsidRDefault="00711296" w:rsidP="004831C9">
            <w:pPr>
              <w:bidi w:val="0"/>
              <w:rPr>
                <w:rFonts w:ascii="Arial" w:hAnsi="Arial"/>
                <w:color w:val="000000"/>
                <w:sz w:val="14"/>
                <w:szCs w:val="14"/>
              </w:rPr>
            </w:pPr>
          </w:p>
          <w:p w14:paraId="3657CE64" w14:textId="77777777" w:rsidR="00711296" w:rsidRDefault="00711296" w:rsidP="00711296">
            <w:pPr>
              <w:bidi w:val="0"/>
              <w:rPr>
                <w:rFonts w:ascii="Arial" w:hAnsi="Arial"/>
                <w:color w:val="000000"/>
                <w:sz w:val="14"/>
                <w:szCs w:val="14"/>
              </w:rPr>
            </w:pPr>
          </w:p>
          <w:p w14:paraId="5D3703C3" w14:textId="77777777" w:rsidR="00711296" w:rsidRPr="006E6D96" w:rsidRDefault="00711296" w:rsidP="004831C9">
            <w:pPr>
              <w:bidi w:val="0"/>
              <w:rPr>
                <w:rFonts w:ascii="Arial" w:hAnsi="Arial"/>
                <w:color w:val="000000"/>
                <w:sz w:val="14"/>
                <w:szCs w:val="14"/>
              </w:rPr>
            </w:pPr>
          </w:p>
        </w:tc>
        <w:tc>
          <w:tcPr>
            <w:tcW w:w="668" w:type="dxa"/>
            <w:shd w:val="clear" w:color="auto" w:fill="auto"/>
            <w:noWrap/>
            <w:vAlign w:val="bottom"/>
            <w:hideMark/>
          </w:tcPr>
          <w:p w14:paraId="229838BE" w14:textId="77777777" w:rsidR="00711296" w:rsidRPr="006E6D96" w:rsidRDefault="00711296" w:rsidP="004831C9">
            <w:pPr>
              <w:bidi w:val="0"/>
              <w:rPr>
                <w:rFonts w:ascii="Times New Roman" w:hAnsi="Times New Roman" w:cs="Times New Roman"/>
                <w:sz w:val="14"/>
                <w:szCs w:val="14"/>
              </w:rPr>
            </w:pPr>
          </w:p>
        </w:tc>
        <w:tc>
          <w:tcPr>
            <w:tcW w:w="932" w:type="dxa"/>
            <w:shd w:val="clear" w:color="auto" w:fill="auto"/>
            <w:noWrap/>
            <w:vAlign w:val="bottom"/>
            <w:hideMark/>
          </w:tcPr>
          <w:p w14:paraId="44C58FE3" w14:textId="77777777" w:rsidR="00711296" w:rsidRPr="006E6D96" w:rsidRDefault="00711296" w:rsidP="004831C9">
            <w:pPr>
              <w:bidi w:val="0"/>
              <w:rPr>
                <w:rFonts w:ascii="Times New Roman" w:hAnsi="Times New Roman" w:cs="Times New Roman"/>
                <w:sz w:val="14"/>
                <w:szCs w:val="14"/>
              </w:rPr>
            </w:pPr>
          </w:p>
        </w:tc>
        <w:tc>
          <w:tcPr>
            <w:tcW w:w="971" w:type="dxa"/>
            <w:shd w:val="clear" w:color="auto" w:fill="auto"/>
            <w:noWrap/>
            <w:vAlign w:val="bottom"/>
            <w:hideMark/>
          </w:tcPr>
          <w:p w14:paraId="0856EEA0" w14:textId="77777777" w:rsidR="00711296" w:rsidRDefault="00711296" w:rsidP="004831C9">
            <w:pPr>
              <w:bidi w:val="0"/>
              <w:rPr>
                <w:rFonts w:ascii="Times New Roman" w:hAnsi="Times New Roman" w:cs="Times New Roman"/>
                <w:sz w:val="14"/>
                <w:szCs w:val="14"/>
              </w:rPr>
            </w:pPr>
          </w:p>
          <w:p w14:paraId="6A2DE083" w14:textId="3C7FA7D8" w:rsidR="00711296" w:rsidRPr="006E6D96" w:rsidRDefault="00711296" w:rsidP="00711296">
            <w:pPr>
              <w:bidi w:val="0"/>
              <w:rPr>
                <w:rFonts w:ascii="Times New Roman" w:hAnsi="Times New Roman" w:cs="Times New Roman"/>
                <w:sz w:val="14"/>
                <w:szCs w:val="14"/>
              </w:rPr>
            </w:pPr>
          </w:p>
        </w:tc>
        <w:tc>
          <w:tcPr>
            <w:tcW w:w="3069" w:type="dxa"/>
            <w:shd w:val="clear" w:color="auto" w:fill="auto"/>
            <w:noWrap/>
            <w:vAlign w:val="bottom"/>
            <w:hideMark/>
          </w:tcPr>
          <w:p w14:paraId="7D0AF4C0"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285C70EC"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7D64DB48"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213D5949"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4997105F" w14:textId="77777777" w:rsidR="00711296" w:rsidRPr="006E6D96" w:rsidRDefault="00711296" w:rsidP="004831C9">
            <w:pPr>
              <w:bidi w:val="0"/>
              <w:rPr>
                <w:rFonts w:ascii="Times New Roman" w:hAnsi="Times New Roman" w:cs="Times New Roman"/>
                <w:sz w:val="14"/>
                <w:szCs w:val="14"/>
              </w:rPr>
            </w:pPr>
          </w:p>
        </w:tc>
        <w:tc>
          <w:tcPr>
            <w:tcW w:w="823" w:type="dxa"/>
            <w:shd w:val="clear" w:color="auto" w:fill="auto"/>
            <w:noWrap/>
            <w:vAlign w:val="bottom"/>
            <w:hideMark/>
          </w:tcPr>
          <w:p w14:paraId="435BF7F6" w14:textId="77777777" w:rsidR="00711296" w:rsidRPr="006E6D96" w:rsidRDefault="00711296" w:rsidP="004831C9">
            <w:pPr>
              <w:bidi w:val="0"/>
              <w:rPr>
                <w:rFonts w:ascii="Times New Roman" w:hAnsi="Times New Roman" w:cs="Times New Roman"/>
                <w:sz w:val="14"/>
                <w:szCs w:val="14"/>
              </w:rPr>
            </w:pPr>
          </w:p>
        </w:tc>
        <w:tc>
          <w:tcPr>
            <w:tcW w:w="753" w:type="dxa"/>
            <w:shd w:val="clear" w:color="auto" w:fill="auto"/>
            <w:noWrap/>
            <w:vAlign w:val="bottom"/>
            <w:hideMark/>
          </w:tcPr>
          <w:p w14:paraId="3A445DFA" w14:textId="77777777" w:rsidR="00711296" w:rsidRPr="006E6D96" w:rsidRDefault="00711296" w:rsidP="004831C9">
            <w:pPr>
              <w:bidi w:val="0"/>
              <w:rPr>
                <w:rFonts w:ascii="Times New Roman" w:hAnsi="Times New Roman" w:cs="Times New Roman"/>
                <w:sz w:val="14"/>
                <w:szCs w:val="14"/>
              </w:rPr>
            </w:pPr>
          </w:p>
        </w:tc>
        <w:tc>
          <w:tcPr>
            <w:tcW w:w="761" w:type="dxa"/>
            <w:shd w:val="clear" w:color="auto" w:fill="auto"/>
            <w:noWrap/>
            <w:vAlign w:val="bottom"/>
            <w:hideMark/>
          </w:tcPr>
          <w:p w14:paraId="6BD60FD7" w14:textId="77777777" w:rsidR="00711296" w:rsidRPr="006E6D96" w:rsidRDefault="00711296" w:rsidP="004831C9">
            <w:pPr>
              <w:bidi w:val="0"/>
              <w:rPr>
                <w:rFonts w:ascii="Times New Roman" w:hAnsi="Times New Roman" w:cs="Times New Roman"/>
                <w:sz w:val="14"/>
                <w:szCs w:val="14"/>
              </w:rPr>
            </w:pPr>
          </w:p>
        </w:tc>
        <w:tc>
          <w:tcPr>
            <w:tcW w:w="570" w:type="dxa"/>
            <w:shd w:val="clear" w:color="auto" w:fill="auto"/>
            <w:noWrap/>
            <w:vAlign w:val="bottom"/>
            <w:hideMark/>
          </w:tcPr>
          <w:p w14:paraId="0E2AAB03" w14:textId="77777777" w:rsidR="00711296" w:rsidRPr="006E6D96" w:rsidRDefault="00711296" w:rsidP="004831C9">
            <w:pPr>
              <w:bidi w:val="0"/>
              <w:rPr>
                <w:rFonts w:ascii="Times New Roman" w:hAnsi="Times New Roman" w:cs="Times New Roman"/>
                <w:sz w:val="14"/>
                <w:szCs w:val="14"/>
              </w:rPr>
            </w:pPr>
          </w:p>
        </w:tc>
      </w:tr>
      <w:tr w:rsidR="00711296" w:rsidRPr="006E6D96" w14:paraId="72137B2B" w14:textId="77777777" w:rsidTr="004831C9">
        <w:trPr>
          <w:trHeight w:val="300"/>
        </w:trPr>
        <w:tc>
          <w:tcPr>
            <w:tcW w:w="994" w:type="dxa"/>
            <w:shd w:val="clear" w:color="auto" w:fill="auto"/>
            <w:noWrap/>
            <w:vAlign w:val="bottom"/>
            <w:hideMark/>
          </w:tcPr>
          <w:p w14:paraId="17A89936"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w:t>
            </w:r>
          </w:p>
        </w:tc>
        <w:tc>
          <w:tcPr>
            <w:tcW w:w="668" w:type="dxa"/>
            <w:shd w:val="clear" w:color="auto" w:fill="auto"/>
            <w:noWrap/>
            <w:vAlign w:val="bottom"/>
            <w:hideMark/>
          </w:tcPr>
          <w:p w14:paraId="3A0A7539"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 xml:space="preserve"> eValue </w:t>
            </w:r>
          </w:p>
        </w:tc>
        <w:tc>
          <w:tcPr>
            <w:tcW w:w="932" w:type="dxa"/>
            <w:shd w:val="clear" w:color="auto" w:fill="auto"/>
            <w:noWrap/>
            <w:vAlign w:val="bottom"/>
            <w:hideMark/>
          </w:tcPr>
          <w:p w14:paraId="3E3FE5EC"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Proportion</w:t>
            </w:r>
          </w:p>
        </w:tc>
        <w:tc>
          <w:tcPr>
            <w:tcW w:w="971" w:type="dxa"/>
            <w:shd w:val="clear" w:color="auto" w:fill="auto"/>
            <w:noWrap/>
            <w:vAlign w:val="bottom"/>
            <w:hideMark/>
          </w:tcPr>
          <w:p w14:paraId="34645CE3"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Cumulative</w:t>
            </w:r>
          </w:p>
        </w:tc>
        <w:tc>
          <w:tcPr>
            <w:tcW w:w="3069" w:type="dxa"/>
            <w:shd w:val="clear" w:color="auto" w:fill="auto"/>
            <w:noWrap/>
            <w:vAlign w:val="bottom"/>
            <w:hideMark/>
          </w:tcPr>
          <w:p w14:paraId="094C3541"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Indicator</w:t>
            </w:r>
          </w:p>
        </w:tc>
        <w:tc>
          <w:tcPr>
            <w:tcW w:w="994" w:type="dxa"/>
            <w:shd w:val="clear" w:color="auto" w:fill="auto"/>
            <w:noWrap/>
            <w:vAlign w:val="bottom"/>
            <w:hideMark/>
          </w:tcPr>
          <w:p w14:paraId="4BA3A859"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1</w:t>
            </w:r>
          </w:p>
        </w:tc>
        <w:tc>
          <w:tcPr>
            <w:tcW w:w="994" w:type="dxa"/>
            <w:shd w:val="clear" w:color="auto" w:fill="auto"/>
            <w:noWrap/>
            <w:vAlign w:val="bottom"/>
            <w:hideMark/>
          </w:tcPr>
          <w:p w14:paraId="607E3ED7"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2</w:t>
            </w:r>
          </w:p>
        </w:tc>
        <w:tc>
          <w:tcPr>
            <w:tcW w:w="994" w:type="dxa"/>
            <w:shd w:val="clear" w:color="auto" w:fill="auto"/>
            <w:noWrap/>
            <w:vAlign w:val="bottom"/>
            <w:hideMark/>
          </w:tcPr>
          <w:p w14:paraId="663D9625"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1</w:t>
            </w:r>
          </w:p>
        </w:tc>
        <w:tc>
          <w:tcPr>
            <w:tcW w:w="994" w:type="dxa"/>
            <w:shd w:val="clear" w:color="auto" w:fill="auto"/>
            <w:noWrap/>
            <w:vAlign w:val="bottom"/>
            <w:hideMark/>
          </w:tcPr>
          <w:p w14:paraId="63B5F3B0"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2</w:t>
            </w:r>
          </w:p>
        </w:tc>
        <w:tc>
          <w:tcPr>
            <w:tcW w:w="823" w:type="dxa"/>
            <w:shd w:val="clear" w:color="auto" w:fill="auto"/>
            <w:noWrap/>
            <w:vAlign w:val="bottom"/>
            <w:hideMark/>
          </w:tcPr>
          <w:p w14:paraId="56529681"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Commun</w:t>
            </w:r>
          </w:p>
        </w:tc>
        <w:tc>
          <w:tcPr>
            <w:tcW w:w="753" w:type="dxa"/>
            <w:shd w:val="clear" w:color="auto" w:fill="auto"/>
            <w:noWrap/>
            <w:vAlign w:val="bottom"/>
            <w:hideMark/>
          </w:tcPr>
          <w:p w14:paraId="3964BE76"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Specific</w:t>
            </w:r>
          </w:p>
        </w:tc>
        <w:tc>
          <w:tcPr>
            <w:tcW w:w="761" w:type="dxa"/>
            <w:shd w:val="clear" w:color="auto" w:fill="auto"/>
            <w:noWrap/>
            <w:vAlign w:val="bottom"/>
            <w:hideMark/>
          </w:tcPr>
          <w:p w14:paraId="68EB8869"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Weights</w:t>
            </w:r>
          </w:p>
        </w:tc>
        <w:tc>
          <w:tcPr>
            <w:tcW w:w="570" w:type="dxa"/>
            <w:shd w:val="clear" w:color="auto" w:fill="auto"/>
            <w:noWrap/>
            <w:vAlign w:val="bottom"/>
            <w:hideMark/>
          </w:tcPr>
          <w:p w14:paraId="2EDD124A"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KMO</w:t>
            </w:r>
          </w:p>
        </w:tc>
      </w:tr>
      <w:tr w:rsidR="00711296" w:rsidRPr="006E6D96" w14:paraId="6B55A032" w14:textId="77777777" w:rsidTr="004831C9">
        <w:trPr>
          <w:trHeight w:val="285"/>
        </w:trPr>
        <w:tc>
          <w:tcPr>
            <w:tcW w:w="994" w:type="dxa"/>
            <w:shd w:val="clear" w:color="auto" w:fill="auto"/>
            <w:noWrap/>
            <w:vAlign w:val="bottom"/>
            <w:hideMark/>
          </w:tcPr>
          <w:p w14:paraId="70691C1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1</w:t>
            </w:r>
          </w:p>
        </w:tc>
        <w:tc>
          <w:tcPr>
            <w:tcW w:w="668" w:type="dxa"/>
            <w:shd w:val="clear" w:color="auto" w:fill="auto"/>
            <w:noWrap/>
            <w:vAlign w:val="bottom"/>
            <w:hideMark/>
          </w:tcPr>
          <w:p w14:paraId="0B67F87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3.64 </w:t>
            </w:r>
          </w:p>
        </w:tc>
        <w:tc>
          <w:tcPr>
            <w:tcW w:w="932" w:type="dxa"/>
            <w:shd w:val="clear" w:color="auto" w:fill="auto"/>
            <w:noWrap/>
            <w:vAlign w:val="bottom"/>
            <w:hideMark/>
          </w:tcPr>
          <w:p w14:paraId="2EB40A8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73%</w:t>
            </w:r>
          </w:p>
        </w:tc>
        <w:tc>
          <w:tcPr>
            <w:tcW w:w="971" w:type="dxa"/>
            <w:shd w:val="clear" w:color="auto" w:fill="auto"/>
            <w:noWrap/>
            <w:vAlign w:val="bottom"/>
            <w:hideMark/>
          </w:tcPr>
          <w:p w14:paraId="4C03DAD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73%</w:t>
            </w:r>
          </w:p>
        </w:tc>
        <w:tc>
          <w:tcPr>
            <w:tcW w:w="3069" w:type="dxa"/>
            <w:shd w:val="clear" w:color="auto" w:fill="auto"/>
            <w:noWrap/>
            <w:vAlign w:val="bottom"/>
            <w:hideMark/>
          </w:tcPr>
          <w:p w14:paraId="4AEE699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Share of NIS deposits in the Palestinian banking system</w:t>
            </w:r>
          </w:p>
        </w:tc>
        <w:tc>
          <w:tcPr>
            <w:tcW w:w="994" w:type="dxa"/>
            <w:shd w:val="clear" w:color="auto" w:fill="auto"/>
            <w:noWrap/>
            <w:vAlign w:val="bottom"/>
            <w:hideMark/>
          </w:tcPr>
          <w:p w14:paraId="3756257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0.48 </w:t>
            </w:r>
          </w:p>
        </w:tc>
        <w:tc>
          <w:tcPr>
            <w:tcW w:w="994" w:type="dxa"/>
            <w:shd w:val="clear" w:color="auto" w:fill="auto"/>
            <w:noWrap/>
            <w:vAlign w:val="bottom"/>
            <w:hideMark/>
          </w:tcPr>
          <w:p w14:paraId="7EE73A7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-0.32 </w:t>
            </w:r>
          </w:p>
        </w:tc>
        <w:tc>
          <w:tcPr>
            <w:tcW w:w="994" w:type="dxa"/>
            <w:shd w:val="clear" w:color="auto" w:fill="auto"/>
            <w:noWrap/>
            <w:vAlign w:val="bottom"/>
            <w:hideMark/>
          </w:tcPr>
          <w:p w14:paraId="07BBB07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0.91 </w:t>
            </w:r>
          </w:p>
        </w:tc>
        <w:tc>
          <w:tcPr>
            <w:tcW w:w="994" w:type="dxa"/>
            <w:shd w:val="clear" w:color="auto" w:fill="auto"/>
            <w:noWrap/>
            <w:vAlign w:val="bottom"/>
            <w:hideMark/>
          </w:tcPr>
          <w:p w14:paraId="466DA42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-0.31 </w:t>
            </w:r>
          </w:p>
        </w:tc>
        <w:tc>
          <w:tcPr>
            <w:tcW w:w="823" w:type="dxa"/>
            <w:shd w:val="clear" w:color="auto" w:fill="auto"/>
            <w:noWrap/>
            <w:vAlign w:val="bottom"/>
            <w:hideMark/>
          </w:tcPr>
          <w:p w14:paraId="773FBE6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93%</w:t>
            </w:r>
          </w:p>
        </w:tc>
        <w:tc>
          <w:tcPr>
            <w:tcW w:w="753" w:type="dxa"/>
            <w:shd w:val="clear" w:color="auto" w:fill="auto"/>
            <w:noWrap/>
            <w:vAlign w:val="bottom"/>
            <w:hideMark/>
          </w:tcPr>
          <w:p w14:paraId="6378DC9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w:t>
            </w:r>
          </w:p>
        </w:tc>
        <w:tc>
          <w:tcPr>
            <w:tcW w:w="761" w:type="dxa"/>
            <w:shd w:val="clear" w:color="auto" w:fill="auto"/>
            <w:noWrap/>
            <w:vAlign w:val="bottom"/>
            <w:hideMark/>
          </w:tcPr>
          <w:p w14:paraId="2EB2B4D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20%</w:t>
            </w:r>
          </w:p>
        </w:tc>
        <w:tc>
          <w:tcPr>
            <w:tcW w:w="570" w:type="dxa"/>
            <w:shd w:val="clear" w:color="auto" w:fill="auto"/>
            <w:noWrap/>
            <w:vAlign w:val="bottom"/>
            <w:hideMark/>
          </w:tcPr>
          <w:p w14:paraId="18CF7F5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63%</w:t>
            </w:r>
          </w:p>
        </w:tc>
      </w:tr>
      <w:tr w:rsidR="00711296" w:rsidRPr="006E6D96" w14:paraId="0A700506" w14:textId="77777777" w:rsidTr="004831C9">
        <w:trPr>
          <w:trHeight w:val="285"/>
        </w:trPr>
        <w:tc>
          <w:tcPr>
            <w:tcW w:w="994" w:type="dxa"/>
            <w:shd w:val="clear" w:color="auto" w:fill="auto"/>
            <w:noWrap/>
            <w:vAlign w:val="bottom"/>
            <w:hideMark/>
          </w:tcPr>
          <w:p w14:paraId="4EEF8BB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2</w:t>
            </w:r>
          </w:p>
        </w:tc>
        <w:tc>
          <w:tcPr>
            <w:tcW w:w="668" w:type="dxa"/>
            <w:shd w:val="clear" w:color="auto" w:fill="auto"/>
            <w:noWrap/>
            <w:vAlign w:val="bottom"/>
            <w:hideMark/>
          </w:tcPr>
          <w:p w14:paraId="56CF8E2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0.92 </w:t>
            </w:r>
          </w:p>
        </w:tc>
        <w:tc>
          <w:tcPr>
            <w:tcW w:w="932" w:type="dxa"/>
            <w:shd w:val="clear" w:color="auto" w:fill="auto"/>
            <w:noWrap/>
            <w:vAlign w:val="bottom"/>
            <w:hideMark/>
          </w:tcPr>
          <w:p w14:paraId="738E0BA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18%</w:t>
            </w:r>
          </w:p>
        </w:tc>
        <w:tc>
          <w:tcPr>
            <w:tcW w:w="971" w:type="dxa"/>
            <w:shd w:val="clear" w:color="auto" w:fill="auto"/>
            <w:noWrap/>
            <w:vAlign w:val="bottom"/>
            <w:hideMark/>
          </w:tcPr>
          <w:p w14:paraId="2B6194B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91%</w:t>
            </w:r>
          </w:p>
        </w:tc>
        <w:tc>
          <w:tcPr>
            <w:tcW w:w="3069" w:type="dxa"/>
            <w:shd w:val="clear" w:color="auto" w:fill="auto"/>
            <w:noWrap/>
            <w:vAlign w:val="bottom"/>
            <w:hideMark/>
          </w:tcPr>
          <w:p w14:paraId="5993910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Share of NIS gross credit in the Palestinian banking system</w:t>
            </w:r>
          </w:p>
        </w:tc>
        <w:tc>
          <w:tcPr>
            <w:tcW w:w="994" w:type="dxa"/>
            <w:shd w:val="clear" w:color="auto" w:fill="auto"/>
            <w:noWrap/>
            <w:vAlign w:val="bottom"/>
            <w:hideMark/>
          </w:tcPr>
          <w:p w14:paraId="0D3014F0"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0.45 </w:t>
            </w:r>
          </w:p>
        </w:tc>
        <w:tc>
          <w:tcPr>
            <w:tcW w:w="994" w:type="dxa"/>
            <w:shd w:val="clear" w:color="auto" w:fill="auto"/>
            <w:noWrap/>
            <w:vAlign w:val="bottom"/>
            <w:hideMark/>
          </w:tcPr>
          <w:p w14:paraId="089FE8A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0.48 </w:t>
            </w:r>
          </w:p>
        </w:tc>
        <w:tc>
          <w:tcPr>
            <w:tcW w:w="994" w:type="dxa"/>
            <w:shd w:val="clear" w:color="auto" w:fill="auto"/>
            <w:noWrap/>
            <w:vAlign w:val="bottom"/>
            <w:hideMark/>
          </w:tcPr>
          <w:p w14:paraId="79ADCBC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0.85 </w:t>
            </w:r>
          </w:p>
        </w:tc>
        <w:tc>
          <w:tcPr>
            <w:tcW w:w="994" w:type="dxa"/>
            <w:shd w:val="clear" w:color="auto" w:fill="auto"/>
            <w:noWrap/>
            <w:vAlign w:val="bottom"/>
            <w:hideMark/>
          </w:tcPr>
          <w:p w14:paraId="1B6F5B1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0.46 </w:t>
            </w:r>
          </w:p>
        </w:tc>
        <w:tc>
          <w:tcPr>
            <w:tcW w:w="823" w:type="dxa"/>
            <w:shd w:val="clear" w:color="auto" w:fill="auto"/>
            <w:noWrap/>
            <w:vAlign w:val="bottom"/>
            <w:hideMark/>
          </w:tcPr>
          <w:p w14:paraId="1A06A4C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93%</w:t>
            </w:r>
          </w:p>
        </w:tc>
        <w:tc>
          <w:tcPr>
            <w:tcW w:w="753" w:type="dxa"/>
            <w:shd w:val="clear" w:color="auto" w:fill="auto"/>
            <w:noWrap/>
            <w:vAlign w:val="bottom"/>
            <w:hideMark/>
          </w:tcPr>
          <w:p w14:paraId="0BEC1FD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w:t>
            </w:r>
          </w:p>
        </w:tc>
        <w:tc>
          <w:tcPr>
            <w:tcW w:w="761" w:type="dxa"/>
            <w:shd w:val="clear" w:color="auto" w:fill="auto"/>
            <w:noWrap/>
            <w:vAlign w:val="bottom"/>
            <w:hideMark/>
          </w:tcPr>
          <w:p w14:paraId="7C8E41C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20%</w:t>
            </w:r>
          </w:p>
        </w:tc>
        <w:tc>
          <w:tcPr>
            <w:tcW w:w="570" w:type="dxa"/>
            <w:shd w:val="clear" w:color="auto" w:fill="auto"/>
            <w:noWrap/>
            <w:vAlign w:val="bottom"/>
            <w:hideMark/>
          </w:tcPr>
          <w:p w14:paraId="787DBAB1" w14:textId="77777777" w:rsidR="00711296" w:rsidRPr="006E6D96" w:rsidRDefault="00711296" w:rsidP="004831C9">
            <w:pPr>
              <w:bidi w:val="0"/>
              <w:rPr>
                <w:rFonts w:ascii="Arial" w:hAnsi="Arial"/>
                <w:color w:val="000000"/>
                <w:sz w:val="14"/>
                <w:szCs w:val="14"/>
              </w:rPr>
            </w:pPr>
            <w:r>
              <w:rPr>
                <w:rFonts w:ascii="Arial" w:hAnsi="Arial"/>
                <w:color w:val="000000"/>
                <w:sz w:val="14"/>
                <w:szCs w:val="14"/>
              </w:rPr>
              <w:t>56</w:t>
            </w:r>
            <w:r w:rsidRPr="006E6D96">
              <w:rPr>
                <w:rFonts w:ascii="Arial" w:hAnsi="Arial"/>
                <w:color w:val="000000"/>
                <w:sz w:val="14"/>
                <w:szCs w:val="14"/>
              </w:rPr>
              <w:t>%</w:t>
            </w:r>
          </w:p>
        </w:tc>
      </w:tr>
      <w:tr w:rsidR="00711296" w:rsidRPr="006E6D96" w14:paraId="43952819" w14:textId="77777777" w:rsidTr="004831C9">
        <w:trPr>
          <w:trHeight w:val="285"/>
        </w:trPr>
        <w:tc>
          <w:tcPr>
            <w:tcW w:w="994" w:type="dxa"/>
            <w:shd w:val="clear" w:color="auto" w:fill="auto"/>
            <w:noWrap/>
            <w:vAlign w:val="bottom"/>
            <w:hideMark/>
          </w:tcPr>
          <w:p w14:paraId="067D803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3</w:t>
            </w:r>
          </w:p>
        </w:tc>
        <w:tc>
          <w:tcPr>
            <w:tcW w:w="668" w:type="dxa"/>
            <w:shd w:val="clear" w:color="auto" w:fill="auto"/>
            <w:noWrap/>
            <w:vAlign w:val="bottom"/>
            <w:hideMark/>
          </w:tcPr>
          <w:p w14:paraId="17AD5B7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0.30 </w:t>
            </w:r>
          </w:p>
        </w:tc>
        <w:tc>
          <w:tcPr>
            <w:tcW w:w="932" w:type="dxa"/>
            <w:shd w:val="clear" w:color="auto" w:fill="auto"/>
            <w:noWrap/>
            <w:vAlign w:val="bottom"/>
            <w:hideMark/>
          </w:tcPr>
          <w:p w14:paraId="709A734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6%</w:t>
            </w:r>
          </w:p>
        </w:tc>
        <w:tc>
          <w:tcPr>
            <w:tcW w:w="971" w:type="dxa"/>
            <w:shd w:val="clear" w:color="auto" w:fill="auto"/>
            <w:noWrap/>
            <w:vAlign w:val="bottom"/>
            <w:hideMark/>
          </w:tcPr>
          <w:p w14:paraId="7045CB4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97%</w:t>
            </w:r>
          </w:p>
        </w:tc>
        <w:tc>
          <w:tcPr>
            <w:tcW w:w="3069" w:type="dxa"/>
            <w:shd w:val="clear" w:color="auto" w:fill="auto"/>
            <w:noWrap/>
            <w:vAlign w:val="bottom"/>
            <w:hideMark/>
          </w:tcPr>
          <w:p w14:paraId="40944420"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WBG excess NIS cash deposited in Israel banking system ou of total NIS circulation </w:t>
            </w:r>
          </w:p>
        </w:tc>
        <w:tc>
          <w:tcPr>
            <w:tcW w:w="994" w:type="dxa"/>
            <w:shd w:val="clear" w:color="auto" w:fill="auto"/>
            <w:noWrap/>
            <w:vAlign w:val="bottom"/>
            <w:hideMark/>
          </w:tcPr>
          <w:p w14:paraId="130657A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0.45 </w:t>
            </w:r>
          </w:p>
        </w:tc>
        <w:tc>
          <w:tcPr>
            <w:tcW w:w="994" w:type="dxa"/>
            <w:shd w:val="clear" w:color="auto" w:fill="auto"/>
            <w:noWrap/>
            <w:vAlign w:val="bottom"/>
            <w:hideMark/>
          </w:tcPr>
          <w:p w14:paraId="755DFF0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0.24 </w:t>
            </w:r>
          </w:p>
        </w:tc>
        <w:tc>
          <w:tcPr>
            <w:tcW w:w="994" w:type="dxa"/>
            <w:shd w:val="clear" w:color="auto" w:fill="auto"/>
            <w:noWrap/>
            <w:vAlign w:val="bottom"/>
            <w:hideMark/>
          </w:tcPr>
          <w:p w14:paraId="320CB8E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0.86 </w:t>
            </w:r>
          </w:p>
        </w:tc>
        <w:tc>
          <w:tcPr>
            <w:tcW w:w="994" w:type="dxa"/>
            <w:shd w:val="clear" w:color="auto" w:fill="auto"/>
            <w:noWrap/>
            <w:vAlign w:val="bottom"/>
            <w:hideMark/>
          </w:tcPr>
          <w:p w14:paraId="2D1F6E2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0.23 </w:t>
            </w:r>
          </w:p>
        </w:tc>
        <w:tc>
          <w:tcPr>
            <w:tcW w:w="823" w:type="dxa"/>
            <w:shd w:val="clear" w:color="auto" w:fill="auto"/>
            <w:noWrap/>
            <w:vAlign w:val="bottom"/>
            <w:hideMark/>
          </w:tcPr>
          <w:p w14:paraId="29D0E8D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79%</w:t>
            </w:r>
          </w:p>
        </w:tc>
        <w:tc>
          <w:tcPr>
            <w:tcW w:w="753" w:type="dxa"/>
            <w:shd w:val="clear" w:color="auto" w:fill="auto"/>
            <w:noWrap/>
            <w:vAlign w:val="bottom"/>
            <w:hideMark/>
          </w:tcPr>
          <w:p w14:paraId="4E82504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21%</w:t>
            </w:r>
          </w:p>
        </w:tc>
        <w:tc>
          <w:tcPr>
            <w:tcW w:w="761" w:type="dxa"/>
            <w:shd w:val="clear" w:color="auto" w:fill="auto"/>
            <w:noWrap/>
            <w:vAlign w:val="bottom"/>
            <w:hideMark/>
          </w:tcPr>
          <w:p w14:paraId="784FC15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17%</w:t>
            </w:r>
          </w:p>
        </w:tc>
        <w:tc>
          <w:tcPr>
            <w:tcW w:w="570" w:type="dxa"/>
            <w:shd w:val="clear" w:color="auto" w:fill="auto"/>
            <w:noWrap/>
            <w:vAlign w:val="bottom"/>
            <w:hideMark/>
          </w:tcPr>
          <w:p w14:paraId="26B9DE6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85%</w:t>
            </w:r>
          </w:p>
        </w:tc>
      </w:tr>
      <w:tr w:rsidR="00711296" w:rsidRPr="006E6D96" w14:paraId="5B937A8D" w14:textId="77777777" w:rsidTr="004831C9">
        <w:trPr>
          <w:trHeight w:val="285"/>
        </w:trPr>
        <w:tc>
          <w:tcPr>
            <w:tcW w:w="994" w:type="dxa"/>
            <w:shd w:val="clear" w:color="auto" w:fill="auto"/>
            <w:noWrap/>
            <w:vAlign w:val="bottom"/>
            <w:hideMark/>
          </w:tcPr>
          <w:p w14:paraId="4C30206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4</w:t>
            </w:r>
          </w:p>
        </w:tc>
        <w:tc>
          <w:tcPr>
            <w:tcW w:w="668" w:type="dxa"/>
            <w:shd w:val="clear" w:color="auto" w:fill="auto"/>
            <w:noWrap/>
            <w:vAlign w:val="bottom"/>
            <w:hideMark/>
          </w:tcPr>
          <w:p w14:paraId="6D57B04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0.10 </w:t>
            </w:r>
          </w:p>
        </w:tc>
        <w:tc>
          <w:tcPr>
            <w:tcW w:w="932" w:type="dxa"/>
            <w:shd w:val="clear" w:color="auto" w:fill="auto"/>
            <w:noWrap/>
            <w:vAlign w:val="bottom"/>
            <w:hideMark/>
          </w:tcPr>
          <w:p w14:paraId="5813BCE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w:t>
            </w:r>
          </w:p>
        </w:tc>
        <w:tc>
          <w:tcPr>
            <w:tcW w:w="971" w:type="dxa"/>
            <w:shd w:val="clear" w:color="auto" w:fill="auto"/>
            <w:noWrap/>
            <w:vAlign w:val="bottom"/>
            <w:hideMark/>
          </w:tcPr>
          <w:p w14:paraId="08440EF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99%</w:t>
            </w:r>
          </w:p>
        </w:tc>
        <w:tc>
          <w:tcPr>
            <w:tcW w:w="3069" w:type="dxa"/>
            <w:shd w:val="clear" w:color="auto" w:fill="auto"/>
            <w:noWrap/>
            <w:vAlign w:val="bottom"/>
            <w:hideMark/>
          </w:tcPr>
          <w:p w14:paraId="35FDFF8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Checks &amp; Money transfer Volume between WBG &amp; Israel  out of WBG GNI</w:t>
            </w:r>
          </w:p>
        </w:tc>
        <w:tc>
          <w:tcPr>
            <w:tcW w:w="994" w:type="dxa"/>
            <w:shd w:val="clear" w:color="auto" w:fill="auto"/>
            <w:noWrap/>
            <w:vAlign w:val="bottom"/>
            <w:hideMark/>
          </w:tcPr>
          <w:p w14:paraId="6C40BEE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-0.36 </w:t>
            </w:r>
          </w:p>
        </w:tc>
        <w:tc>
          <w:tcPr>
            <w:tcW w:w="994" w:type="dxa"/>
            <w:shd w:val="clear" w:color="auto" w:fill="auto"/>
            <w:noWrap/>
            <w:vAlign w:val="bottom"/>
            <w:hideMark/>
          </w:tcPr>
          <w:p w14:paraId="0AE95E9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0.75 </w:t>
            </w:r>
          </w:p>
        </w:tc>
        <w:tc>
          <w:tcPr>
            <w:tcW w:w="994" w:type="dxa"/>
            <w:shd w:val="clear" w:color="auto" w:fill="auto"/>
            <w:noWrap/>
            <w:vAlign w:val="bottom"/>
            <w:hideMark/>
          </w:tcPr>
          <w:p w14:paraId="35DFA90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-0.68 </w:t>
            </w:r>
          </w:p>
        </w:tc>
        <w:tc>
          <w:tcPr>
            <w:tcW w:w="994" w:type="dxa"/>
            <w:shd w:val="clear" w:color="auto" w:fill="auto"/>
            <w:noWrap/>
            <w:vAlign w:val="bottom"/>
            <w:hideMark/>
          </w:tcPr>
          <w:p w14:paraId="6064D61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0.72 </w:t>
            </w:r>
          </w:p>
        </w:tc>
        <w:tc>
          <w:tcPr>
            <w:tcW w:w="823" w:type="dxa"/>
            <w:shd w:val="clear" w:color="auto" w:fill="auto"/>
            <w:noWrap/>
            <w:vAlign w:val="bottom"/>
            <w:hideMark/>
          </w:tcPr>
          <w:p w14:paraId="177570E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98%</w:t>
            </w:r>
          </w:p>
        </w:tc>
        <w:tc>
          <w:tcPr>
            <w:tcW w:w="753" w:type="dxa"/>
            <w:shd w:val="clear" w:color="auto" w:fill="auto"/>
            <w:noWrap/>
            <w:vAlign w:val="bottom"/>
            <w:hideMark/>
          </w:tcPr>
          <w:p w14:paraId="0F78BA7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w:t>
            </w:r>
          </w:p>
        </w:tc>
        <w:tc>
          <w:tcPr>
            <w:tcW w:w="761" w:type="dxa"/>
            <w:shd w:val="clear" w:color="auto" w:fill="auto"/>
            <w:noWrap/>
            <w:vAlign w:val="bottom"/>
            <w:hideMark/>
          </w:tcPr>
          <w:p w14:paraId="25952BD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22%</w:t>
            </w:r>
          </w:p>
        </w:tc>
        <w:tc>
          <w:tcPr>
            <w:tcW w:w="570" w:type="dxa"/>
            <w:shd w:val="clear" w:color="auto" w:fill="auto"/>
            <w:noWrap/>
            <w:vAlign w:val="bottom"/>
            <w:hideMark/>
          </w:tcPr>
          <w:p w14:paraId="66BF7FB7" w14:textId="77777777" w:rsidR="00711296" w:rsidRPr="00AA0218" w:rsidRDefault="00711296" w:rsidP="004831C9">
            <w:pPr>
              <w:bidi w:val="0"/>
              <w:rPr>
                <w:rFonts w:ascii="Arial" w:hAnsi="Arial"/>
                <w:color w:val="000000"/>
                <w:sz w:val="14"/>
                <w:szCs w:val="14"/>
                <w:u w:val="single"/>
              </w:rPr>
            </w:pPr>
            <w:r w:rsidRPr="00AA0218">
              <w:rPr>
                <w:rFonts w:ascii="Arial" w:hAnsi="Arial"/>
                <w:color w:val="000000"/>
                <w:sz w:val="14"/>
                <w:szCs w:val="14"/>
                <w:u w:val="single"/>
              </w:rPr>
              <w:t>44%</w:t>
            </w:r>
          </w:p>
        </w:tc>
      </w:tr>
      <w:tr w:rsidR="00711296" w:rsidRPr="006E6D96" w14:paraId="7EB3DD94" w14:textId="77777777" w:rsidTr="004831C9">
        <w:trPr>
          <w:trHeight w:val="285"/>
        </w:trPr>
        <w:tc>
          <w:tcPr>
            <w:tcW w:w="994" w:type="dxa"/>
            <w:shd w:val="clear" w:color="auto" w:fill="auto"/>
            <w:noWrap/>
            <w:vAlign w:val="bottom"/>
            <w:hideMark/>
          </w:tcPr>
          <w:p w14:paraId="43D162B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5</w:t>
            </w:r>
          </w:p>
        </w:tc>
        <w:tc>
          <w:tcPr>
            <w:tcW w:w="668" w:type="dxa"/>
            <w:shd w:val="clear" w:color="auto" w:fill="auto"/>
            <w:noWrap/>
            <w:vAlign w:val="bottom"/>
            <w:hideMark/>
          </w:tcPr>
          <w:p w14:paraId="52C4EB1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0.04 </w:t>
            </w:r>
          </w:p>
        </w:tc>
        <w:tc>
          <w:tcPr>
            <w:tcW w:w="932" w:type="dxa"/>
            <w:shd w:val="clear" w:color="auto" w:fill="auto"/>
            <w:noWrap/>
            <w:vAlign w:val="bottom"/>
            <w:hideMark/>
          </w:tcPr>
          <w:p w14:paraId="677C68D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w:t>
            </w:r>
          </w:p>
        </w:tc>
        <w:tc>
          <w:tcPr>
            <w:tcW w:w="971" w:type="dxa"/>
            <w:shd w:val="clear" w:color="auto" w:fill="auto"/>
            <w:noWrap/>
            <w:vAlign w:val="bottom"/>
            <w:hideMark/>
          </w:tcPr>
          <w:p w14:paraId="2ACEC78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100%</w:t>
            </w:r>
          </w:p>
        </w:tc>
        <w:tc>
          <w:tcPr>
            <w:tcW w:w="3069" w:type="dxa"/>
            <w:shd w:val="clear" w:color="auto" w:fill="auto"/>
            <w:noWrap/>
            <w:vAlign w:val="bottom"/>
            <w:hideMark/>
          </w:tcPr>
          <w:p w14:paraId="59C8CA6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Share of NIS checks (Value) presented for clearing in the Palestinian banking system</w:t>
            </w:r>
          </w:p>
        </w:tc>
        <w:tc>
          <w:tcPr>
            <w:tcW w:w="994" w:type="dxa"/>
            <w:shd w:val="clear" w:color="auto" w:fill="auto"/>
            <w:noWrap/>
            <w:vAlign w:val="bottom"/>
            <w:hideMark/>
          </w:tcPr>
          <w:p w14:paraId="070994C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0.49 </w:t>
            </w:r>
          </w:p>
        </w:tc>
        <w:tc>
          <w:tcPr>
            <w:tcW w:w="994" w:type="dxa"/>
            <w:shd w:val="clear" w:color="auto" w:fill="auto"/>
            <w:noWrap/>
            <w:vAlign w:val="bottom"/>
            <w:hideMark/>
          </w:tcPr>
          <w:p w14:paraId="159D7B7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0.21 </w:t>
            </w:r>
          </w:p>
        </w:tc>
        <w:tc>
          <w:tcPr>
            <w:tcW w:w="994" w:type="dxa"/>
            <w:shd w:val="clear" w:color="auto" w:fill="auto"/>
            <w:noWrap/>
            <w:vAlign w:val="bottom"/>
            <w:hideMark/>
          </w:tcPr>
          <w:p w14:paraId="5595A67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0.94 </w:t>
            </w:r>
          </w:p>
        </w:tc>
        <w:tc>
          <w:tcPr>
            <w:tcW w:w="994" w:type="dxa"/>
            <w:shd w:val="clear" w:color="auto" w:fill="auto"/>
            <w:noWrap/>
            <w:vAlign w:val="bottom"/>
            <w:hideMark/>
          </w:tcPr>
          <w:p w14:paraId="6921270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0.20 </w:t>
            </w:r>
          </w:p>
        </w:tc>
        <w:tc>
          <w:tcPr>
            <w:tcW w:w="823" w:type="dxa"/>
            <w:shd w:val="clear" w:color="auto" w:fill="auto"/>
            <w:noWrap/>
            <w:vAlign w:val="bottom"/>
            <w:hideMark/>
          </w:tcPr>
          <w:p w14:paraId="37E44AE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93%</w:t>
            </w:r>
          </w:p>
        </w:tc>
        <w:tc>
          <w:tcPr>
            <w:tcW w:w="753" w:type="dxa"/>
            <w:shd w:val="clear" w:color="auto" w:fill="auto"/>
            <w:noWrap/>
            <w:vAlign w:val="bottom"/>
            <w:hideMark/>
          </w:tcPr>
          <w:p w14:paraId="4C19912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w:t>
            </w:r>
          </w:p>
        </w:tc>
        <w:tc>
          <w:tcPr>
            <w:tcW w:w="761" w:type="dxa"/>
            <w:shd w:val="clear" w:color="auto" w:fill="auto"/>
            <w:noWrap/>
            <w:vAlign w:val="bottom"/>
            <w:hideMark/>
          </w:tcPr>
          <w:p w14:paraId="0BE3335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20%</w:t>
            </w:r>
          </w:p>
        </w:tc>
        <w:tc>
          <w:tcPr>
            <w:tcW w:w="570" w:type="dxa"/>
            <w:shd w:val="clear" w:color="auto" w:fill="auto"/>
            <w:noWrap/>
            <w:vAlign w:val="bottom"/>
            <w:hideMark/>
          </w:tcPr>
          <w:p w14:paraId="2635F2E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82%</w:t>
            </w:r>
          </w:p>
        </w:tc>
      </w:tr>
      <w:tr w:rsidR="00711296" w:rsidRPr="006E6D96" w14:paraId="0E0838D1" w14:textId="77777777" w:rsidTr="004831C9">
        <w:trPr>
          <w:trHeight w:val="285"/>
        </w:trPr>
        <w:tc>
          <w:tcPr>
            <w:tcW w:w="994" w:type="dxa"/>
            <w:shd w:val="clear" w:color="auto" w:fill="auto"/>
            <w:noWrap/>
            <w:vAlign w:val="bottom"/>
            <w:hideMark/>
          </w:tcPr>
          <w:p w14:paraId="55488547" w14:textId="77777777" w:rsidR="00711296" w:rsidRPr="006E6D96" w:rsidRDefault="00711296" w:rsidP="004831C9">
            <w:pPr>
              <w:bidi w:val="0"/>
              <w:rPr>
                <w:rFonts w:ascii="Arial" w:hAnsi="Arial"/>
                <w:color w:val="000000"/>
                <w:sz w:val="14"/>
                <w:szCs w:val="14"/>
              </w:rPr>
            </w:pPr>
          </w:p>
        </w:tc>
        <w:tc>
          <w:tcPr>
            <w:tcW w:w="668" w:type="dxa"/>
            <w:shd w:val="clear" w:color="auto" w:fill="auto"/>
            <w:noWrap/>
            <w:vAlign w:val="bottom"/>
            <w:hideMark/>
          </w:tcPr>
          <w:p w14:paraId="5A2DE137" w14:textId="77777777" w:rsidR="00711296" w:rsidRPr="006E6D96" w:rsidRDefault="00711296" w:rsidP="004831C9">
            <w:pPr>
              <w:bidi w:val="0"/>
              <w:rPr>
                <w:rFonts w:ascii="Times New Roman" w:hAnsi="Times New Roman" w:cs="Times New Roman"/>
                <w:sz w:val="14"/>
                <w:szCs w:val="14"/>
              </w:rPr>
            </w:pPr>
          </w:p>
        </w:tc>
        <w:tc>
          <w:tcPr>
            <w:tcW w:w="932" w:type="dxa"/>
            <w:shd w:val="clear" w:color="auto" w:fill="auto"/>
            <w:noWrap/>
            <w:vAlign w:val="bottom"/>
            <w:hideMark/>
          </w:tcPr>
          <w:p w14:paraId="2D25CE74" w14:textId="77777777" w:rsidR="00711296" w:rsidRPr="006E6D96" w:rsidRDefault="00711296" w:rsidP="004831C9">
            <w:pPr>
              <w:bidi w:val="0"/>
              <w:rPr>
                <w:rFonts w:ascii="Times New Roman" w:hAnsi="Times New Roman" w:cs="Times New Roman"/>
                <w:sz w:val="14"/>
                <w:szCs w:val="14"/>
              </w:rPr>
            </w:pPr>
          </w:p>
        </w:tc>
        <w:tc>
          <w:tcPr>
            <w:tcW w:w="971" w:type="dxa"/>
            <w:shd w:val="clear" w:color="auto" w:fill="auto"/>
            <w:noWrap/>
            <w:vAlign w:val="bottom"/>
            <w:hideMark/>
          </w:tcPr>
          <w:p w14:paraId="1E6DF8F5" w14:textId="77777777" w:rsidR="00711296" w:rsidRPr="006E6D96" w:rsidRDefault="00711296" w:rsidP="004831C9">
            <w:pPr>
              <w:bidi w:val="0"/>
              <w:rPr>
                <w:rFonts w:ascii="Times New Roman" w:hAnsi="Times New Roman" w:cs="Times New Roman"/>
                <w:sz w:val="14"/>
                <w:szCs w:val="14"/>
              </w:rPr>
            </w:pPr>
          </w:p>
        </w:tc>
        <w:tc>
          <w:tcPr>
            <w:tcW w:w="3069" w:type="dxa"/>
            <w:shd w:val="clear" w:color="auto" w:fill="auto"/>
            <w:noWrap/>
            <w:vAlign w:val="bottom"/>
            <w:hideMark/>
          </w:tcPr>
          <w:p w14:paraId="7BF4870C"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6EEDD277"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34B009DB"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6076DC51"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4AEEED63" w14:textId="77777777" w:rsidR="00711296" w:rsidRPr="006E6D96" w:rsidRDefault="00711296" w:rsidP="004831C9">
            <w:pPr>
              <w:bidi w:val="0"/>
              <w:rPr>
                <w:rFonts w:ascii="Times New Roman" w:hAnsi="Times New Roman" w:cs="Times New Roman"/>
                <w:sz w:val="14"/>
                <w:szCs w:val="14"/>
              </w:rPr>
            </w:pPr>
          </w:p>
        </w:tc>
        <w:tc>
          <w:tcPr>
            <w:tcW w:w="823" w:type="dxa"/>
            <w:shd w:val="clear" w:color="auto" w:fill="auto"/>
            <w:noWrap/>
            <w:vAlign w:val="bottom"/>
            <w:hideMark/>
          </w:tcPr>
          <w:p w14:paraId="4B15C043" w14:textId="77777777" w:rsidR="00711296" w:rsidRPr="006E6D96" w:rsidRDefault="00711296" w:rsidP="004831C9">
            <w:pPr>
              <w:bidi w:val="0"/>
              <w:rPr>
                <w:rFonts w:ascii="Times New Roman" w:hAnsi="Times New Roman" w:cs="Times New Roman"/>
                <w:sz w:val="14"/>
                <w:szCs w:val="14"/>
              </w:rPr>
            </w:pPr>
          </w:p>
        </w:tc>
        <w:tc>
          <w:tcPr>
            <w:tcW w:w="753" w:type="dxa"/>
            <w:shd w:val="clear" w:color="auto" w:fill="auto"/>
            <w:noWrap/>
            <w:vAlign w:val="bottom"/>
            <w:hideMark/>
          </w:tcPr>
          <w:p w14:paraId="1C7DA741" w14:textId="77777777" w:rsidR="00711296" w:rsidRPr="006E6D96" w:rsidRDefault="00711296" w:rsidP="004831C9">
            <w:pPr>
              <w:bidi w:val="0"/>
              <w:rPr>
                <w:rFonts w:ascii="Times New Roman" w:hAnsi="Times New Roman" w:cs="Times New Roman"/>
                <w:sz w:val="14"/>
                <w:szCs w:val="14"/>
              </w:rPr>
            </w:pPr>
          </w:p>
        </w:tc>
        <w:tc>
          <w:tcPr>
            <w:tcW w:w="761" w:type="dxa"/>
            <w:shd w:val="clear" w:color="auto" w:fill="auto"/>
            <w:noWrap/>
            <w:vAlign w:val="bottom"/>
            <w:hideMark/>
          </w:tcPr>
          <w:p w14:paraId="1B862515" w14:textId="77777777" w:rsidR="00711296" w:rsidRPr="006E6D96" w:rsidRDefault="00711296" w:rsidP="004831C9">
            <w:pPr>
              <w:bidi w:val="0"/>
              <w:rPr>
                <w:rFonts w:ascii="Times New Roman" w:hAnsi="Times New Roman" w:cs="Times New Roman"/>
                <w:sz w:val="14"/>
                <w:szCs w:val="14"/>
              </w:rPr>
            </w:pPr>
          </w:p>
        </w:tc>
        <w:tc>
          <w:tcPr>
            <w:tcW w:w="570" w:type="dxa"/>
            <w:shd w:val="clear" w:color="auto" w:fill="auto"/>
            <w:noWrap/>
            <w:vAlign w:val="bottom"/>
            <w:hideMark/>
          </w:tcPr>
          <w:p w14:paraId="04496083" w14:textId="77777777" w:rsidR="00711296" w:rsidRPr="006E6D96" w:rsidRDefault="00711296" w:rsidP="004831C9">
            <w:pPr>
              <w:bidi w:val="0"/>
              <w:rPr>
                <w:rFonts w:ascii="Times New Roman" w:hAnsi="Times New Roman" w:cs="Times New Roman"/>
                <w:sz w:val="14"/>
                <w:szCs w:val="14"/>
              </w:rPr>
            </w:pPr>
          </w:p>
        </w:tc>
      </w:tr>
      <w:tr w:rsidR="00711296" w:rsidRPr="006E6D96" w14:paraId="5EE144C7" w14:textId="77777777" w:rsidTr="004831C9">
        <w:trPr>
          <w:trHeight w:val="300"/>
        </w:trPr>
        <w:tc>
          <w:tcPr>
            <w:tcW w:w="994" w:type="dxa"/>
            <w:shd w:val="clear" w:color="auto" w:fill="auto"/>
            <w:noWrap/>
            <w:vAlign w:val="bottom"/>
            <w:hideMark/>
          </w:tcPr>
          <w:p w14:paraId="6C785861"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w:t>
            </w:r>
          </w:p>
        </w:tc>
        <w:tc>
          <w:tcPr>
            <w:tcW w:w="668" w:type="dxa"/>
            <w:shd w:val="clear" w:color="auto" w:fill="auto"/>
            <w:noWrap/>
            <w:vAlign w:val="bottom"/>
            <w:hideMark/>
          </w:tcPr>
          <w:p w14:paraId="5FE372C1"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 xml:space="preserve"> eValue </w:t>
            </w:r>
          </w:p>
        </w:tc>
        <w:tc>
          <w:tcPr>
            <w:tcW w:w="932" w:type="dxa"/>
            <w:shd w:val="clear" w:color="auto" w:fill="auto"/>
            <w:noWrap/>
            <w:vAlign w:val="bottom"/>
            <w:hideMark/>
          </w:tcPr>
          <w:p w14:paraId="33B63726"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Proportion</w:t>
            </w:r>
          </w:p>
        </w:tc>
        <w:tc>
          <w:tcPr>
            <w:tcW w:w="971" w:type="dxa"/>
            <w:shd w:val="clear" w:color="auto" w:fill="auto"/>
            <w:noWrap/>
            <w:vAlign w:val="bottom"/>
            <w:hideMark/>
          </w:tcPr>
          <w:p w14:paraId="706E68E5"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Cumulative</w:t>
            </w:r>
          </w:p>
        </w:tc>
        <w:tc>
          <w:tcPr>
            <w:tcW w:w="3069" w:type="dxa"/>
            <w:shd w:val="clear" w:color="auto" w:fill="auto"/>
            <w:noWrap/>
            <w:vAlign w:val="bottom"/>
            <w:hideMark/>
          </w:tcPr>
          <w:p w14:paraId="56BB0CF4"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Indicator</w:t>
            </w:r>
          </w:p>
        </w:tc>
        <w:tc>
          <w:tcPr>
            <w:tcW w:w="994" w:type="dxa"/>
            <w:shd w:val="clear" w:color="auto" w:fill="auto"/>
            <w:noWrap/>
            <w:vAlign w:val="bottom"/>
            <w:hideMark/>
          </w:tcPr>
          <w:p w14:paraId="60ECDEE8"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1</w:t>
            </w:r>
          </w:p>
        </w:tc>
        <w:tc>
          <w:tcPr>
            <w:tcW w:w="994" w:type="dxa"/>
            <w:shd w:val="clear" w:color="auto" w:fill="auto"/>
            <w:noWrap/>
            <w:vAlign w:val="bottom"/>
            <w:hideMark/>
          </w:tcPr>
          <w:p w14:paraId="7A304431"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2</w:t>
            </w:r>
          </w:p>
        </w:tc>
        <w:tc>
          <w:tcPr>
            <w:tcW w:w="994" w:type="dxa"/>
            <w:shd w:val="clear" w:color="auto" w:fill="auto"/>
            <w:noWrap/>
            <w:vAlign w:val="bottom"/>
            <w:hideMark/>
          </w:tcPr>
          <w:p w14:paraId="28B50ACE"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1</w:t>
            </w:r>
          </w:p>
        </w:tc>
        <w:tc>
          <w:tcPr>
            <w:tcW w:w="994" w:type="dxa"/>
            <w:shd w:val="clear" w:color="auto" w:fill="auto"/>
            <w:noWrap/>
            <w:vAlign w:val="bottom"/>
            <w:hideMark/>
          </w:tcPr>
          <w:p w14:paraId="446C562E"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2</w:t>
            </w:r>
          </w:p>
        </w:tc>
        <w:tc>
          <w:tcPr>
            <w:tcW w:w="823" w:type="dxa"/>
            <w:shd w:val="clear" w:color="auto" w:fill="auto"/>
            <w:noWrap/>
            <w:vAlign w:val="bottom"/>
            <w:hideMark/>
          </w:tcPr>
          <w:p w14:paraId="0B32F848"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Commun</w:t>
            </w:r>
          </w:p>
        </w:tc>
        <w:tc>
          <w:tcPr>
            <w:tcW w:w="753" w:type="dxa"/>
            <w:shd w:val="clear" w:color="auto" w:fill="auto"/>
            <w:noWrap/>
            <w:vAlign w:val="bottom"/>
            <w:hideMark/>
          </w:tcPr>
          <w:p w14:paraId="3D6BA644"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Specific</w:t>
            </w:r>
          </w:p>
        </w:tc>
        <w:tc>
          <w:tcPr>
            <w:tcW w:w="761" w:type="dxa"/>
            <w:shd w:val="clear" w:color="auto" w:fill="auto"/>
            <w:noWrap/>
            <w:vAlign w:val="bottom"/>
            <w:hideMark/>
          </w:tcPr>
          <w:p w14:paraId="65D65CD0"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Weights</w:t>
            </w:r>
          </w:p>
        </w:tc>
        <w:tc>
          <w:tcPr>
            <w:tcW w:w="570" w:type="dxa"/>
            <w:shd w:val="clear" w:color="auto" w:fill="auto"/>
            <w:noWrap/>
            <w:vAlign w:val="bottom"/>
            <w:hideMark/>
          </w:tcPr>
          <w:p w14:paraId="6BB376CB"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KMO</w:t>
            </w:r>
          </w:p>
        </w:tc>
      </w:tr>
      <w:tr w:rsidR="00711296" w:rsidRPr="006E6D96" w14:paraId="47E08443" w14:textId="77777777" w:rsidTr="004831C9">
        <w:trPr>
          <w:trHeight w:val="285"/>
        </w:trPr>
        <w:tc>
          <w:tcPr>
            <w:tcW w:w="994" w:type="dxa"/>
            <w:shd w:val="clear" w:color="auto" w:fill="auto"/>
            <w:noWrap/>
            <w:vAlign w:val="bottom"/>
            <w:hideMark/>
          </w:tcPr>
          <w:p w14:paraId="03186A0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1</w:t>
            </w:r>
          </w:p>
        </w:tc>
        <w:tc>
          <w:tcPr>
            <w:tcW w:w="668" w:type="dxa"/>
            <w:shd w:val="clear" w:color="auto" w:fill="auto"/>
            <w:noWrap/>
            <w:vAlign w:val="bottom"/>
            <w:hideMark/>
          </w:tcPr>
          <w:p w14:paraId="5AA838F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2.06 </w:t>
            </w:r>
          </w:p>
        </w:tc>
        <w:tc>
          <w:tcPr>
            <w:tcW w:w="932" w:type="dxa"/>
            <w:shd w:val="clear" w:color="auto" w:fill="auto"/>
            <w:noWrap/>
            <w:vAlign w:val="bottom"/>
            <w:hideMark/>
          </w:tcPr>
          <w:p w14:paraId="029DBB2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52%</w:t>
            </w:r>
          </w:p>
        </w:tc>
        <w:tc>
          <w:tcPr>
            <w:tcW w:w="971" w:type="dxa"/>
            <w:shd w:val="clear" w:color="auto" w:fill="auto"/>
            <w:noWrap/>
            <w:vAlign w:val="bottom"/>
            <w:hideMark/>
          </w:tcPr>
          <w:p w14:paraId="78211E0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52%</w:t>
            </w:r>
          </w:p>
        </w:tc>
        <w:tc>
          <w:tcPr>
            <w:tcW w:w="3069" w:type="dxa"/>
            <w:shd w:val="clear" w:color="auto" w:fill="auto"/>
            <w:noWrap/>
            <w:vAlign w:val="bottom"/>
            <w:hideMark/>
          </w:tcPr>
          <w:p w14:paraId="2989FD7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GDP per Capita Ratio (2015 prices)</w:t>
            </w:r>
          </w:p>
        </w:tc>
        <w:tc>
          <w:tcPr>
            <w:tcW w:w="994" w:type="dxa"/>
            <w:shd w:val="clear" w:color="auto" w:fill="auto"/>
            <w:noWrap/>
            <w:vAlign w:val="bottom"/>
            <w:hideMark/>
          </w:tcPr>
          <w:p w14:paraId="2DCD7FA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0.11 </w:t>
            </w:r>
          </w:p>
        </w:tc>
        <w:tc>
          <w:tcPr>
            <w:tcW w:w="994" w:type="dxa"/>
            <w:shd w:val="clear" w:color="auto" w:fill="auto"/>
            <w:noWrap/>
            <w:vAlign w:val="bottom"/>
            <w:hideMark/>
          </w:tcPr>
          <w:p w14:paraId="3FA6A65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0.78 </w:t>
            </w:r>
          </w:p>
        </w:tc>
        <w:tc>
          <w:tcPr>
            <w:tcW w:w="994" w:type="dxa"/>
            <w:shd w:val="clear" w:color="auto" w:fill="auto"/>
            <w:noWrap/>
            <w:vAlign w:val="bottom"/>
            <w:hideMark/>
          </w:tcPr>
          <w:p w14:paraId="774964A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0.15 </w:t>
            </w:r>
          </w:p>
        </w:tc>
        <w:tc>
          <w:tcPr>
            <w:tcW w:w="994" w:type="dxa"/>
            <w:shd w:val="clear" w:color="auto" w:fill="auto"/>
            <w:noWrap/>
            <w:vAlign w:val="bottom"/>
            <w:hideMark/>
          </w:tcPr>
          <w:p w14:paraId="55A721D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0.89 </w:t>
            </w:r>
          </w:p>
        </w:tc>
        <w:tc>
          <w:tcPr>
            <w:tcW w:w="823" w:type="dxa"/>
            <w:shd w:val="clear" w:color="auto" w:fill="auto"/>
            <w:noWrap/>
            <w:vAlign w:val="bottom"/>
            <w:hideMark/>
          </w:tcPr>
          <w:p w14:paraId="07CA714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82%</w:t>
            </w:r>
          </w:p>
        </w:tc>
        <w:tc>
          <w:tcPr>
            <w:tcW w:w="753" w:type="dxa"/>
            <w:shd w:val="clear" w:color="auto" w:fill="auto"/>
            <w:noWrap/>
            <w:vAlign w:val="bottom"/>
            <w:hideMark/>
          </w:tcPr>
          <w:p w14:paraId="7C6781E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18%</w:t>
            </w:r>
          </w:p>
        </w:tc>
        <w:tc>
          <w:tcPr>
            <w:tcW w:w="761" w:type="dxa"/>
            <w:shd w:val="clear" w:color="auto" w:fill="auto"/>
            <w:noWrap/>
            <w:vAlign w:val="bottom"/>
            <w:hideMark/>
          </w:tcPr>
          <w:p w14:paraId="29EFA36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24%</w:t>
            </w:r>
          </w:p>
        </w:tc>
        <w:tc>
          <w:tcPr>
            <w:tcW w:w="570" w:type="dxa"/>
            <w:shd w:val="clear" w:color="auto" w:fill="auto"/>
            <w:noWrap/>
            <w:vAlign w:val="bottom"/>
            <w:hideMark/>
          </w:tcPr>
          <w:p w14:paraId="695DA06E" w14:textId="77777777" w:rsidR="00711296" w:rsidRPr="00E31A58" w:rsidRDefault="00711296" w:rsidP="004831C9">
            <w:pPr>
              <w:bidi w:val="0"/>
              <w:rPr>
                <w:rFonts w:ascii="Arial" w:hAnsi="Arial"/>
                <w:color w:val="000000"/>
                <w:sz w:val="14"/>
                <w:szCs w:val="14"/>
                <w:u w:val="single"/>
              </w:rPr>
            </w:pPr>
            <w:r w:rsidRPr="00E31A58">
              <w:rPr>
                <w:rFonts w:ascii="Arial" w:hAnsi="Arial"/>
                <w:color w:val="000000"/>
                <w:sz w:val="14"/>
                <w:szCs w:val="14"/>
                <w:u w:val="single"/>
              </w:rPr>
              <w:t>19%</w:t>
            </w:r>
          </w:p>
        </w:tc>
      </w:tr>
      <w:tr w:rsidR="00711296" w:rsidRPr="006E6D96" w14:paraId="56A7978E" w14:textId="77777777" w:rsidTr="004831C9">
        <w:trPr>
          <w:trHeight w:val="285"/>
        </w:trPr>
        <w:tc>
          <w:tcPr>
            <w:tcW w:w="994" w:type="dxa"/>
            <w:shd w:val="clear" w:color="auto" w:fill="auto"/>
            <w:noWrap/>
            <w:vAlign w:val="bottom"/>
            <w:hideMark/>
          </w:tcPr>
          <w:p w14:paraId="0B3ED230"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2</w:t>
            </w:r>
          </w:p>
        </w:tc>
        <w:tc>
          <w:tcPr>
            <w:tcW w:w="668" w:type="dxa"/>
            <w:shd w:val="clear" w:color="auto" w:fill="auto"/>
            <w:noWrap/>
            <w:vAlign w:val="bottom"/>
            <w:hideMark/>
          </w:tcPr>
          <w:p w14:paraId="041238B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1.31 </w:t>
            </w:r>
          </w:p>
        </w:tc>
        <w:tc>
          <w:tcPr>
            <w:tcW w:w="932" w:type="dxa"/>
            <w:shd w:val="clear" w:color="auto" w:fill="auto"/>
            <w:noWrap/>
            <w:vAlign w:val="bottom"/>
            <w:hideMark/>
          </w:tcPr>
          <w:p w14:paraId="4A1727B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33%</w:t>
            </w:r>
          </w:p>
        </w:tc>
        <w:tc>
          <w:tcPr>
            <w:tcW w:w="971" w:type="dxa"/>
            <w:shd w:val="clear" w:color="auto" w:fill="auto"/>
            <w:noWrap/>
            <w:vAlign w:val="bottom"/>
            <w:hideMark/>
          </w:tcPr>
          <w:p w14:paraId="755C544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84%</w:t>
            </w:r>
          </w:p>
        </w:tc>
        <w:tc>
          <w:tcPr>
            <w:tcW w:w="3069" w:type="dxa"/>
            <w:shd w:val="clear" w:color="auto" w:fill="auto"/>
            <w:noWrap/>
            <w:vAlign w:val="bottom"/>
            <w:hideMark/>
          </w:tcPr>
          <w:p w14:paraId="721A00B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Price level ratio of PPP conversion factor (GDP) to market exchange rate ratio </w:t>
            </w:r>
          </w:p>
        </w:tc>
        <w:tc>
          <w:tcPr>
            <w:tcW w:w="994" w:type="dxa"/>
            <w:shd w:val="clear" w:color="auto" w:fill="auto"/>
            <w:noWrap/>
            <w:vAlign w:val="bottom"/>
            <w:hideMark/>
          </w:tcPr>
          <w:p w14:paraId="6A9AF726"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-0.63 </w:t>
            </w:r>
          </w:p>
        </w:tc>
        <w:tc>
          <w:tcPr>
            <w:tcW w:w="994" w:type="dxa"/>
            <w:shd w:val="clear" w:color="auto" w:fill="auto"/>
            <w:noWrap/>
            <w:vAlign w:val="bottom"/>
            <w:hideMark/>
          </w:tcPr>
          <w:p w14:paraId="5608585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0.33 </w:t>
            </w:r>
          </w:p>
        </w:tc>
        <w:tc>
          <w:tcPr>
            <w:tcW w:w="994" w:type="dxa"/>
            <w:shd w:val="clear" w:color="auto" w:fill="auto"/>
            <w:noWrap/>
            <w:vAlign w:val="bottom"/>
            <w:hideMark/>
          </w:tcPr>
          <w:p w14:paraId="19315B1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-0.91 </w:t>
            </w:r>
          </w:p>
        </w:tc>
        <w:tc>
          <w:tcPr>
            <w:tcW w:w="994" w:type="dxa"/>
            <w:shd w:val="clear" w:color="auto" w:fill="auto"/>
            <w:noWrap/>
            <w:vAlign w:val="bottom"/>
            <w:hideMark/>
          </w:tcPr>
          <w:p w14:paraId="158073A0"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0.37 </w:t>
            </w:r>
          </w:p>
        </w:tc>
        <w:tc>
          <w:tcPr>
            <w:tcW w:w="823" w:type="dxa"/>
            <w:shd w:val="clear" w:color="auto" w:fill="auto"/>
            <w:noWrap/>
            <w:vAlign w:val="bottom"/>
            <w:hideMark/>
          </w:tcPr>
          <w:p w14:paraId="7BE074A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96%</w:t>
            </w:r>
          </w:p>
        </w:tc>
        <w:tc>
          <w:tcPr>
            <w:tcW w:w="753" w:type="dxa"/>
            <w:shd w:val="clear" w:color="auto" w:fill="auto"/>
            <w:noWrap/>
            <w:vAlign w:val="bottom"/>
            <w:hideMark/>
          </w:tcPr>
          <w:p w14:paraId="6CE8E97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4%</w:t>
            </w:r>
          </w:p>
        </w:tc>
        <w:tc>
          <w:tcPr>
            <w:tcW w:w="761" w:type="dxa"/>
            <w:shd w:val="clear" w:color="auto" w:fill="auto"/>
            <w:noWrap/>
            <w:vAlign w:val="bottom"/>
            <w:hideMark/>
          </w:tcPr>
          <w:p w14:paraId="3E5235C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28%</w:t>
            </w:r>
          </w:p>
        </w:tc>
        <w:tc>
          <w:tcPr>
            <w:tcW w:w="570" w:type="dxa"/>
            <w:shd w:val="clear" w:color="auto" w:fill="auto"/>
            <w:noWrap/>
            <w:vAlign w:val="bottom"/>
            <w:hideMark/>
          </w:tcPr>
          <w:p w14:paraId="72E502C1" w14:textId="77777777" w:rsidR="00711296" w:rsidRPr="00E31A58" w:rsidRDefault="00711296" w:rsidP="004831C9">
            <w:pPr>
              <w:bidi w:val="0"/>
              <w:rPr>
                <w:rFonts w:ascii="Arial" w:hAnsi="Arial"/>
                <w:color w:val="000000"/>
                <w:sz w:val="14"/>
                <w:szCs w:val="14"/>
                <w:u w:val="single"/>
              </w:rPr>
            </w:pPr>
            <w:r w:rsidRPr="00E31A58">
              <w:rPr>
                <w:rFonts w:ascii="Arial" w:hAnsi="Arial"/>
                <w:color w:val="000000"/>
                <w:sz w:val="14"/>
                <w:szCs w:val="14"/>
                <w:u w:val="single"/>
              </w:rPr>
              <w:t>42%</w:t>
            </w:r>
          </w:p>
        </w:tc>
      </w:tr>
      <w:tr w:rsidR="00711296" w:rsidRPr="006E6D96" w14:paraId="14833E4C" w14:textId="77777777" w:rsidTr="004831C9">
        <w:trPr>
          <w:trHeight w:val="285"/>
        </w:trPr>
        <w:tc>
          <w:tcPr>
            <w:tcW w:w="994" w:type="dxa"/>
            <w:shd w:val="clear" w:color="auto" w:fill="auto"/>
            <w:noWrap/>
            <w:vAlign w:val="bottom"/>
            <w:hideMark/>
          </w:tcPr>
          <w:p w14:paraId="766DFCB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3</w:t>
            </w:r>
          </w:p>
        </w:tc>
        <w:tc>
          <w:tcPr>
            <w:tcW w:w="668" w:type="dxa"/>
            <w:shd w:val="clear" w:color="auto" w:fill="auto"/>
            <w:noWrap/>
            <w:vAlign w:val="bottom"/>
            <w:hideMark/>
          </w:tcPr>
          <w:p w14:paraId="748532C0"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0.54 </w:t>
            </w:r>
          </w:p>
        </w:tc>
        <w:tc>
          <w:tcPr>
            <w:tcW w:w="932" w:type="dxa"/>
            <w:shd w:val="clear" w:color="auto" w:fill="auto"/>
            <w:noWrap/>
            <w:vAlign w:val="bottom"/>
            <w:hideMark/>
          </w:tcPr>
          <w:p w14:paraId="34F8DF2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14%</w:t>
            </w:r>
          </w:p>
        </w:tc>
        <w:tc>
          <w:tcPr>
            <w:tcW w:w="971" w:type="dxa"/>
            <w:shd w:val="clear" w:color="auto" w:fill="auto"/>
            <w:noWrap/>
            <w:vAlign w:val="bottom"/>
            <w:hideMark/>
          </w:tcPr>
          <w:p w14:paraId="4A96525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98%</w:t>
            </w:r>
          </w:p>
        </w:tc>
        <w:tc>
          <w:tcPr>
            <w:tcW w:w="3069" w:type="dxa"/>
            <w:shd w:val="clear" w:color="auto" w:fill="auto"/>
            <w:noWrap/>
            <w:vAlign w:val="bottom"/>
            <w:hideMark/>
          </w:tcPr>
          <w:p w14:paraId="03E24FD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Market capitilazation Ratio (right)</w:t>
            </w:r>
          </w:p>
        </w:tc>
        <w:tc>
          <w:tcPr>
            <w:tcW w:w="994" w:type="dxa"/>
            <w:shd w:val="clear" w:color="auto" w:fill="auto"/>
            <w:noWrap/>
            <w:vAlign w:val="bottom"/>
            <w:hideMark/>
          </w:tcPr>
          <w:p w14:paraId="1C1CC7D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0.41 </w:t>
            </w:r>
          </w:p>
        </w:tc>
        <w:tc>
          <w:tcPr>
            <w:tcW w:w="994" w:type="dxa"/>
            <w:shd w:val="clear" w:color="auto" w:fill="auto"/>
            <w:noWrap/>
            <w:vAlign w:val="bottom"/>
            <w:hideMark/>
          </w:tcPr>
          <w:p w14:paraId="172B3E7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0.52 </w:t>
            </w:r>
          </w:p>
        </w:tc>
        <w:tc>
          <w:tcPr>
            <w:tcW w:w="994" w:type="dxa"/>
            <w:shd w:val="clear" w:color="auto" w:fill="auto"/>
            <w:noWrap/>
            <w:vAlign w:val="bottom"/>
            <w:hideMark/>
          </w:tcPr>
          <w:p w14:paraId="7107963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0.59 </w:t>
            </w:r>
          </w:p>
        </w:tc>
        <w:tc>
          <w:tcPr>
            <w:tcW w:w="994" w:type="dxa"/>
            <w:shd w:val="clear" w:color="auto" w:fill="auto"/>
            <w:noWrap/>
            <w:vAlign w:val="bottom"/>
            <w:hideMark/>
          </w:tcPr>
          <w:p w14:paraId="4B1AD76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0.60 </w:t>
            </w:r>
          </w:p>
        </w:tc>
        <w:tc>
          <w:tcPr>
            <w:tcW w:w="823" w:type="dxa"/>
            <w:shd w:val="clear" w:color="auto" w:fill="auto"/>
            <w:noWrap/>
            <w:vAlign w:val="bottom"/>
            <w:hideMark/>
          </w:tcPr>
          <w:p w14:paraId="5FC599F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70%</w:t>
            </w:r>
          </w:p>
        </w:tc>
        <w:tc>
          <w:tcPr>
            <w:tcW w:w="753" w:type="dxa"/>
            <w:shd w:val="clear" w:color="auto" w:fill="auto"/>
            <w:noWrap/>
            <w:vAlign w:val="bottom"/>
            <w:hideMark/>
          </w:tcPr>
          <w:p w14:paraId="3AAFE6D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30%</w:t>
            </w:r>
          </w:p>
        </w:tc>
        <w:tc>
          <w:tcPr>
            <w:tcW w:w="761" w:type="dxa"/>
            <w:shd w:val="clear" w:color="auto" w:fill="auto"/>
            <w:noWrap/>
            <w:vAlign w:val="bottom"/>
            <w:hideMark/>
          </w:tcPr>
          <w:p w14:paraId="09372DE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21%</w:t>
            </w:r>
          </w:p>
        </w:tc>
        <w:tc>
          <w:tcPr>
            <w:tcW w:w="570" w:type="dxa"/>
            <w:shd w:val="clear" w:color="auto" w:fill="auto"/>
            <w:noWrap/>
            <w:vAlign w:val="bottom"/>
            <w:hideMark/>
          </w:tcPr>
          <w:p w14:paraId="24E8DD6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54%</w:t>
            </w:r>
          </w:p>
        </w:tc>
      </w:tr>
      <w:tr w:rsidR="00711296" w:rsidRPr="006E6D96" w14:paraId="11E60236" w14:textId="77777777" w:rsidTr="004831C9">
        <w:trPr>
          <w:trHeight w:val="285"/>
        </w:trPr>
        <w:tc>
          <w:tcPr>
            <w:tcW w:w="994" w:type="dxa"/>
            <w:shd w:val="clear" w:color="auto" w:fill="auto"/>
            <w:noWrap/>
            <w:vAlign w:val="bottom"/>
            <w:hideMark/>
          </w:tcPr>
          <w:p w14:paraId="09F996B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4</w:t>
            </w:r>
          </w:p>
        </w:tc>
        <w:tc>
          <w:tcPr>
            <w:tcW w:w="668" w:type="dxa"/>
            <w:shd w:val="clear" w:color="auto" w:fill="auto"/>
            <w:noWrap/>
            <w:vAlign w:val="bottom"/>
            <w:hideMark/>
          </w:tcPr>
          <w:p w14:paraId="4717D1A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0.08 </w:t>
            </w:r>
          </w:p>
        </w:tc>
        <w:tc>
          <w:tcPr>
            <w:tcW w:w="932" w:type="dxa"/>
            <w:shd w:val="clear" w:color="auto" w:fill="auto"/>
            <w:noWrap/>
            <w:vAlign w:val="bottom"/>
            <w:hideMark/>
          </w:tcPr>
          <w:p w14:paraId="77D2F870"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w:t>
            </w:r>
          </w:p>
        </w:tc>
        <w:tc>
          <w:tcPr>
            <w:tcW w:w="971" w:type="dxa"/>
            <w:shd w:val="clear" w:color="auto" w:fill="auto"/>
            <w:noWrap/>
            <w:vAlign w:val="bottom"/>
            <w:hideMark/>
          </w:tcPr>
          <w:p w14:paraId="7391DBC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100%</w:t>
            </w:r>
          </w:p>
        </w:tc>
        <w:tc>
          <w:tcPr>
            <w:tcW w:w="3069" w:type="dxa"/>
            <w:shd w:val="clear" w:color="auto" w:fill="auto"/>
            <w:noWrap/>
            <w:vAlign w:val="bottom"/>
            <w:hideMark/>
          </w:tcPr>
          <w:p w14:paraId="3DA9E55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Daily Wage Ratio- average wage of Palestinian employees workingin in Palestine to average wage of Palestinian employees working in Israel</w:t>
            </w:r>
          </w:p>
        </w:tc>
        <w:tc>
          <w:tcPr>
            <w:tcW w:w="994" w:type="dxa"/>
            <w:shd w:val="clear" w:color="auto" w:fill="auto"/>
            <w:noWrap/>
            <w:vAlign w:val="bottom"/>
            <w:hideMark/>
          </w:tcPr>
          <w:p w14:paraId="39D1334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-0.65 </w:t>
            </w:r>
          </w:p>
        </w:tc>
        <w:tc>
          <w:tcPr>
            <w:tcW w:w="994" w:type="dxa"/>
            <w:shd w:val="clear" w:color="auto" w:fill="auto"/>
            <w:noWrap/>
            <w:vAlign w:val="bottom"/>
            <w:hideMark/>
          </w:tcPr>
          <w:p w14:paraId="29A8BC0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0.14 </w:t>
            </w:r>
          </w:p>
        </w:tc>
        <w:tc>
          <w:tcPr>
            <w:tcW w:w="994" w:type="dxa"/>
            <w:shd w:val="clear" w:color="auto" w:fill="auto"/>
            <w:noWrap/>
            <w:vAlign w:val="bottom"/>
            <w:hideMark/>
          </w:tcPr>
          <w:p w14:paraId="494229D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-0.94 </w:t>
            </w:r>
          </w:p>
        </w:tc>
        <w:tc>
          <w:tcPr>
            <w:tcW w:w="994" w:type="dxa"/>
            <w:shd w:val="clear" w:color="auto" w:fill="auto"/>
            <w:noWrap/>
            <w:vAlign w:val="bottom"/>
            <w:hideMark/>
          </w:tcPr>
          <w:p w14:paraId="0A4BFA0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0.16 </w:t>
            </w:r>
          </w:p>
        </w:tc>
        <w:tc>
          <w:tcPr>
            <w:tcW w:w="823" w:type="dxa"/>
            <w:shd w:val="clear" w:color="auto" w:fill="auto"/>
            <w:noWrap/>
            <w:vAlign w:val="bottom"/>
            <w:hideMark/>
          </w:tcPr>
          <w:p w14:paraId="1FC34E4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90%</w:t>
            </w:r>
          </w:p>
        </w:tc>
        <w:tc>
          <w:tcPr>
            <w:tcW w:w="753" w:type="dxa"/>
            <w:shd w:val="clear" w:color="auto" w:fill="auto"/>
            <w:noWrap/>
            <w:vAlign w:val="bottom"/>
            <w:hideMark/>
          </w:tcPr>
          <w:p w14:paraId="229F106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10%</w:t>
            </w:r>
          </w:p>
        </w:tc>
        <w:tc>
          <w:tcPr>
            <w:tcW w:w="761" w:type="dxa"/>
            <w:shd w:val="clear" w:color="auto" w:fill="auto"/>
            <w:noWrap/>
            <w:vAlign w:val="bottom"/>
            <w:hideMark/>
          </w:tcPr>
          <w:p w14:paraId="4B44F6A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27%</w:t>
            </w:r>
          </w:p>
        </w:tc>
        <w:tc>
          <w:tcPr>
            <w:tcW w:w="570" w:type="dxa"/>
            <w:shd w:val="clear" w:color="auto" w:fill="auto"/>
            <w:noWrap/>
            <w:vAlign w:val="bottom"/>
            <w:hideMark/>
          </w:tcPr>
          <w:p w14:paraId="2FB6C666" w14:textId="77777777" w:rsidR="00711296" w:rsidRPr="00E31A58" w:rsidRDefault="00711296" w:rsidP="004831C9">
            <w:pPr>
              <w:bidi w:val="0"/>
              <w:rPr>
                <w:rFonts w:ascii="Arial" w:hAnsi="Arial"/>
                <w:color w:val="000000"/>
                <w:sz w:val="14"/>
                <w:szCs w:val="14"/>
                <w:u w:val="single"/>
              </w:rPr>
            </w:pPr>
            <w:r w:rsidRPr="00E31A58">
              <w:rPr>
                <w:rFonts w:ascii="Arial" w:hAnsi="Arial"/>
                <w:color w:val="000000"/>
                <w:sz w:val="14"/>
                <w:szCs w:val="14"/>
                <w:u w:val="single"/>
              </w:rPr>
              <w:t>45%</w:t>
            </w:r>
          </w:p>
        </w:tc>
      </w:tr>
      <w:tr w:rsidR="00711296" w:rsidRPr="006E6D96" w14:paraId="14113671" w14:textId="77777777" w:rsidTr="004831C9">
        <w:trPr>
          <w:trHeight w:val="285"/>
        </w:trPr>
        <w:tc>
          <w:tcPr>
            <w:tcW w:w="994" w:type="dxa"/>
            <w:shd w:val="clear" w:color="auto" w:fill="auto"/>
            <w:noWrap/>
            <w:vAlign w:val="bottom"/>
            <w:hideMark/>
          </w:tcPr>
          <w:p w14:paraId="3FEF8C36" w14:textId="77777777" w:rsidR="00711296" w:rsidRPr="006E6D96" w:rsidRDefault="00711296" w:rsidP="004831C9">
            <w:pPr>
              <w:bidi w:val="0"/>
              <w:rPr>
                <w:rFonts w:ascii="Arial" w:hAnsi="Arial"/>
                <w:color w:val="000000"/>
                <w:sz w:val="14"/>
                <w:szCs w:val="14"/>
              </w:rPr>
            </w:pPr>
          </w:p>
        </w:tc>
        <w:tc>
          <w:tcPr>
            <w:tcW w:w="668" w:type="dxa"/>
            <w:shd w:val="clear" w:color="auto" w:fill="auto"/>
            <w:noWrap/>
            <w:vAlign w:val="bottom"/>
            <w:hideMark/>
          </w:tcPr>
          <w:p w14:paraId="63E2CF1A" w14:textId="77777777" w:rsidR="00711296" w:rsidRPr="006E6D96" w:rsidRDefault="00711296" w:rsidP="004831C9">
            <w:pPr>
              <w:bidi w:val="0"/>
              <w:rPr>
                <w:rFonts w:ascii="Times New Roman" w:hAnsi="Times New Roman" w:cs="Times New Roman"/>
                <w:sz w:val="14"/>
                <w:szCs w:val="14"/>
              </w:rPr>
            </w:pPr>
          </w:p>
        </w:tc>
        <w:tc>
          <w:tcPr>
            <w:tcW w:w="932" w:type="dxa"/>
            <w:shd w:val="clear" w:color="auto" w:fill="auto"/>
            <w:noWrap/>
            <w:vAlign w:val="bottom"/>
            <w:hideMark/>
          </w:tcPr>
          <w:p w14:paraId="0F301055" w14:textId="77777777" w:rsidR="00711296" w:rsidRPr="006E6D96" w:rsidRDefault="00711296" w:rsidP="004831C9">
            <w:pPr>
              <w:bidi w:val="0"/>
              <w:rPr>
                <w:rFonts w:ascii="Times New Roman" w:hAnsi="Times New Roman" w:cs="Times New Roman"/>
                <w:sz w:val="14"/>
                <w:szCs w:val="14"/>
              </w:rPr>
            </w:pPr>
          </w:p>
        </w:tc>
        <w:tc>
          <w:tcPr>
            <w:tcW w:w="971" w:type="dxa"/>
            <w:shd w:val="clear" w:color="auto" w:fill="auto"/>
            <w:noWrap/>
            <w:vAlign w:val="bottom"/>
            <w:hideMark/>
          </w:tcPr>
          <w:p w14:paraId="41EF5855" w14:textId="77777777" w:rsidR="00711296" w:rsidRPr="006E6D96" w:rsidRDefault="00711296" w:rsidP="004831C9">
            <w:pPr>
              <w:bidi w:val="0"/>
              <w:rPr>
                <w:rFonts w:ascii="Times New Roman" w:hAnsi="Times New Roman" w:cs="Times New Roman"/>
                <w:sz w:val="14"/>
                <w:szCs w:val="14"/>
              </w:rPr>
            </w:pPr>
          </w:p>
        </w:tc>
        <w:tc>
          <w:tcPr>
            <w:tcW w:w="3069" w:type="dxa"/>
            <w:shd w:val="clear" w:color="auto" w:fill="auto"/>
            <w:noWrap/>
            <w:vAlign w:val="bottom"/>
            <w:hideMark/>
          </w:tcPr>
          <w:p w14:paraId="161C8B59"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601AA055"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7885D642"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4179AC12" w14:textId="77777777" w:rsidR="00711296" w:rsidRPr="006E6D96" w:rsidRDefault="00711296" w:rsidP="004831C9">
            <w:pPr>
              <w:bidi w:val="0"/>
              <w:rPr>
                <w:rFonts w:ascii="Times New Roman" w:hAnsi="Times New Roman" w:cs="Times New Roman"/>
                <w:sz w:val="14"/>
                <w:szCs w:val="14"/>
              </w:rPr>
            </w:pPr>
          </w:p>
        </w:tc>
        <w:tc>
          <w:tcPr>
            <w:tcW w:w="994" w:type="dxa"/>
            <w:shd w:val="clear" w:color="auto" w:fill="auto"/>
            <w:noWrap/>
            <w:vAlign w:val="bottom"/>
            <w:hideMark/>
          </w:tcPr>
          <w:p w14:paraId="73CAFF62" w14:textId="77777777" w:rsidR="00711296" w:rsidRPr="006E6D96" w:rsidRDefault="00711296" w:rsidP="004831C9">
            <w:pPr>
              <w:bidi w:val="0"/>
              <w:rPr>
                <w:rFonts w:ascii="Times New Roman" w:hAnsi="Times New Roman" w:cs="Times New Roman"/>
                <w:sz w:val="14"/>
                <w:szCs w:val="14"/>
              </w:rPr>
            </w:pPr>
          </w:p>
        </w:tc>
        <w:tc>
          <w:tcPr>
            <w:tcW w:w="823" w:type="dxa"/>
            <w:shd w:val="clear" w:color="auto" w:fill="auto"/>
            <w:noWrap/>
            <w:vAlign w:val="bottom"/>
            <w:hideMark/>
          </w:tcPr>
          <w:p w14:paraId="4DB4526E" w14:textId="77777777" w:rsidR="00711296" w:rsidRPr="006E6D96" w:rsidRDefault="00711296" w:rsidP="004831C9">
            <w:pPr>
              <w:bidi w:val="0"/>
              <w:rPr>
                <w:rFonts w:ascii="Times New Roman" w:hAnsi="Times New Roman" w:cs="Times New Roman"/>
                <w:sz w:val="14"/>
                <w:szCs w:val="14"/>
              </w:rPr>
            </w:pPr>
          </w:p>
        </w:tc>
        <w:tc>
          <w:tcPr>
            <w:tcW w:w="753" w:type="dxa"/>
            <w:shd w:val="clear" w:color="auto" w:fill="auto"/>
            <w:noWrap/>
            <w:vAlign w:val="bottom"/>
            <w:hideMark/>
          </w:tcPr>
          <w:p w14:paraId="19CB1B4F" w14:textId="77777777" w:rsidR="00711296" w:rsidRPr="006E6D96" w:rsidRDefault="00711296" w:rsidP="004831C9">
            <w:pPr>
              <w:bidi w:val="0"/>
              <w:rPr>
                <w:rFonts w:ascii="Times New Roman" w:hAnsi="Times New Roman" w:cs="Times New Roman"/>
                <w:sz w:val="14"/>
                <w:szCs w:val="14"/>
              </w:rPr>
            </w:pPr>
          </w:p>
        </w:tc>
        <w:tc>
          <w:tcPr>
            <w:tcW w:w="761" w:type="dxa"/>
            <w:shd w:val="clear" w:color="auto" w:fill="auto"/>
            <w:noWrap/>
            <w:vAlign w:val="bottom"/>
            <w:hideMark/>
          </w:tcPr>
          <w:p w14:paraId="1FE354E8" w14:textId="77777777" w:rsidR="00711296" w:rsidRPr="006E6D96" w:rsidRDefault="00711296" w:rsidP="004831C9">
            <w:pPr>
              <w:bidi w:val="0"/>
              <w:rPr>
                <w:rFonts w:ascii="Times New Roman" w:hAnsi="Times New Roman" w:cs="Times New Roman"/>
                <w:sz w:val="14"/>
                <w:szCs w:val="14"/>
              </w:rPr>
            </w:pPr>
          </w:p>
        </w:tc>
        <w:tc>
          <w:tcPr>
            <w:tcW w:w="570" w:type="dxa"/>
            <w:shd w:val="clear" w:color="auto" w:fill="auto"/>
            <w:noWrap/>
            <w:vAlign w:val="bottom"/>
            <w:hideMark/>
          </w:tcPr>
          <w:p w14:paraId="6F3D0C63" w14:textId="77777777" w:rsidR="00711296" w:rsidRPr="006E6D96" w:rsidRDefault="00711296" w:rsidP="004831C9">
            <w:pPr>
              <w:bidi w:val="0"/>
              <w:rPr>
                <w:rFonts w:ascii="Times New Roman" w:hAnsi="Times New Roman" w:cs="Times New Roman"/>
                <w:sz w:val="14"/>
                <w:szCs w:val="14"/>
              </w:rPr>
            </w:pPr>
          </w:p>
        </w:tc>
      </w:tr>
      <w:tr w:rsidR="00711296" w:rsidRPr="006E6D96" w14:paraId="3AAA7083" w14:textId="77777777" w:rsidTr="004831C9">
        <w:trPr>
          <w:trHeight w:val="300"/>
        </w:trPr>
        <w:tc>
          <w:tcPr>
            <w:tcW w:w="994" w:type="dxa"/>
            <w:shd w:val="clear" w:color="auto" w:fill="auto"/>
            <w:noWrap/>
            <w:vAlign w:val="bottom"/>
            <w:hideMark/>
          </w:tcPr>
          <w:p w14:paraId="736245EB"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w:t>
            </w:r>
          </w:p>
        </w:tc>
        <w:tc>
          <w:tcPr>
            <w:tcW w:w="668" w:type="dxa"/>
            <w:shd w:val="clear" w:color="auto" w:fill="auto"/>
            <w:noWrap/>
            <w:vAlign w:val="bottom"/>
            <w:hideMark/>
          </w:tcPr>
          <w:p w14:paraId="1C214368"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 xml:space="preserve"> eValue </w:t>
            </w:r>
          </w:p>
        </w:tc>
        <w:tc>
          <w:tcPr>
            <w:tcW w:w="932" w:type="dxa"/>
            <w:shd w:val="clear" w:color="auto" w:fill="auto"/>
            <w:noWrap/>
            <w:vAlign w:val="bottom"/>
            <w:hideMark/>
          </w:tcPr>
          <w:p w14:paraId="4323AA26"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Proportion</w:t>
            </w:r>
          </w:p>
        </w:tc>
        <w:tc>
          <w:tcPr>
            <w:tcW w:w="971" w:type="dxa"/>
            <w:shd w:val="clear" w:color="auto" w:fill="auto"/>
            <w:noWrap/>
            <w:vAlign w:val="bottom"/>
            <w:hideMark/>
          </w:tcPr>
          <w:p w14:paraId="4A434494"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Cumulative</w:t>
            </w:r>
          </w:p>
        </w:tc>
        <w:tc>
          <w:tcPr>
            <w:tcW w:w="3069" w:type="dxa"/>
            <w:shd w:val="clear" w:color="auto" w:fill="auto"/>
            <w:noWrap/>
            <w:vAlign w:val="bottom"/>
            <w:hideMark/>
          </w:tcPr>
          <w:p w14:paraId="11AAB444"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Indicator</w:t>
            </w:r>
          </w:p>
        </w:tc>
        <w:tc>
          <w:tcPr>
            <w:tcW w:w="994" w:type="dxa"/>
            <w:shd w:val="clear" w:color="auto" w:fill="auto"/>
            <w:noWrap/>
            <w:vAlign w:val="bottom"/>
            <w:hideMark/>
          </w:tcPr>
          <w:p w14:paraId="5CD247A7"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1</w:t>
            </w:r>
          </w:p>
        </w:tc>
        <w:tc>
          <w:tcPr>
            <w:tcW w:w="994" w:type="dxa"/>
            <w:shd w:val="clear" w:color="auto" w:fill="auto"/>
            <w:noWrap/>
            <w:vAlign w:val="bottom"/>
            <w:hideMark/>
          </w:tcPr>
          <w:p w14:paraId="0A13BF4B" w14:textId="77777777" w:rsidR="00711296" w:rsidRPr="006E6D96" w:rsidRDefault="00711296" w:rsidP="004831C9">
            <w:pPr>
              <w:bidi w:val="0"/>
              <w:rPr>
                <w:rFonts w:ascii="Arial" w:hAnsi="Arial"/>
                <w:b/>
                <w:bCs/>
                <w:color w:val="000000"/>
                <w:sz w:val="14"/>
                <w:szCs w:val="14"/>
              </w:rPr>
            </w:pPr>
          </w:p>
        </w:tc>
        <w:tc>
          <w:tcPr>
            <w:tcW w:w="994" w:type="dxa"/>
            <w:shd w:val="clear" w:color="auto" w:fill="auto"/>
            <w:noWrap/>
            <w:vAlign w:val="bottom"/>
            <w:hideMark/>
          </w:tcPr>
          <w:p w14:paraId="329E49C2"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Component 1</w:t>
            </w:r>
          </w:p>
        </w:tc>
        <w:tc>
          <w:tcPr>
            <w:tcW w:w="994" w:type="dxa"/>
            <w:shd w:val="clear" w:color="auto" w:fill="auto"/>
            <w:noWrap/>
            <w:vAlign w:val="bottom"/>
            <w:hideMark/>
          </w:tcPr>
          <w:p w14:paraId="7D806313" w14:textId="77777777" w:rsidR="00711296" w:rsidRPr="006E6D96" w:rsidRDefault="00711296" w:rsidP="004831C9">
            <w:pPr>
              <w:bidi w:val="0"/>
              <w:rPr>
                <w:rFonts w:ascii="Arial" w:hAnsi="Arial"/>
                <w:b/>
                <w:bCs/>
                <w:color w:val="000000"/>
                <w:sz w:val="14"/>
                <w:szCs w:val="14"/>
              </w:rPr>
            </w:pPr>
          </w:p>
        </w:tc>
        <w:tc>
          <w:tcPr>
            <w:tcW w:w="823" w:type="dxa"/>
            <w:shd w:val="clear" w:color="auto" w:fill="auto"/>
            <w:noWrap/>
            <w:vAlign w:val="bottom"/>
            <w:hideMark/>
          </w:tcPr>
          <w:p w14:paraId="4165DAAB"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Commun</w:t>
            </w:r>
          </w:p>
        </w:tc>
        <w:tc>
          <w:tcPr>
            <w:tcW w:w="753" w:type="dxa"/>
            <w:shd w:val="clear" w:color="auto" w:fill="auto"/>
            <w:noWrap/>
            <w:vAlign w:val="bottom"/>
            <w:hideMark/>
          </w:tcPr>
          <w:p w14:paraId="7B82BB3E"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Specific</w:t>
            </w:r>
          </w:p>
        </w:tc>
        <w:tc>
          <w:tcPr>
            <w:tcW w:w="761" w:type="dxa"/>
            <w:shd w:val="clear" w:color="auto" w:fill="auto"/>
            <w:noWrap/>
            <w:vAlign w:val="bottom"/>
            <w:hideMark/>
          </w:tcPr>
          <w:p w14:paraId="615633A8"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Weights</w:t>
            </w:r>
          </w:p>
        </w:tc>
        <w:tc>
          <w:tcPr>
            <w:tcW w:w="570" w:type="dxa"/>
            <w:shd w:val="clear" w:color="auto" w:fill="auto"/>
            <w:noWrap/>
            <w:vAlign w:val="bottom"/>
            <w:hideMark/>
          </w:tcPr>
          <w:p w14:paraId="430890DE" w14:textId="77777777" w:rsidR="00711296" w:rsidRPr="006E6D96" w:rsidRDefault="00711296" w:rsidP="004831C9">
            <w:pPr>
              <w:bidi w:val="0"/>
              <w:rPr>
                <w:rFonts w:ascii="Arial" w:hAnsi="Arial"/>
                <w:b/>
                <w:bCs/>
                <w:color w:val="000000"/>
                <w:sz w:val="14"/>
                <w:szCs w:val="14"/>
              </w:rPr>
            </w:pPr>
            <w:r w:rsidRPr="006E6D96">
              <w:rPr>
                <w:rFonts w:ascii="Arial" w:hAnsi="Arial"/>
                <w:b/>
                <w:bCs/>
                <w:color w:val="000000"/>
                <w:sz w:val="14"/>
                <w:szCs w:val="14"/>
              </w:rPr>
              <w:t>KMO</w:t>
            </w:r>
          </w:p>
        </w:tc>
      </w:tr>
      <w:tr w:rsidR="00711296" w:rsidRPr="006E6D96" w14:paraId="3799FA66" w14:textId="77777777" w:rsidTr="004831C9">
        <w:trPr>
          <w:trHeight w:val="285"/>
        </w:trPr>
        <w:tc>
          <w:tcPr>
            <w:tcW w:w="994" w:type="dxa"/>
            <w:shd w:val="clear" w:color="auto" w:fill="auto"/>
            <w:noWrap/>
            <w:vAlign w:val="bottom"/>
            <w:hideMark/>
          </w:tcPr>
          <w:p w14:paraId="37AB1F9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1</w:t>
            </w:r>
          </w:p>
        </w:tc>
        <w:tc>
          <w:tcPr>
            <w:tcW w:w="668" w:type="dxa"/>
            <w:shd w:val="clear" w:color="auto" w:fill="auto"/>
            <w:noWrap/>
            <w:vAlign w:val="bottom"/>
            <w:hideMark/>
          </w:tcPr>
          <w:p w14:paraId="3AE7C11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4.14 </w:t>
            </w:r>
          </w:p>
        </w:tc>
        <w:tc>
          <w:tcPr>
            <w:tcW w:w="932" w:type="dxa"/>
            <w:shd w:val="clear" w:color="auto" w:fill="auto"/>
            <w:noWrap/>
            <w:vAlign w:val="bottom"/>
            <w:hideMark/>
          </w:tcPr>
          <w:p w14:paraId="67E6818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83%</w:t>
            </w:r>
          </w:p>
        </w:tc>
        <w:tc>
          <w:tcPr>
            <w:tcW w:w="971" w:type="dxa"/>
            <w:shd w:val="clear" w:color="auto" w:fill="auto"/>
            <w:noWrap/>
            <w:vAlign w:val="bottom"/>
            <w:hideMark/>
          </w:tcPr>
          <w:p w14:paraId="110384B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83%</w:t>
            </w:r>
          </w:p>
        </w:tc>
        <w:tc>
          <w:tcPr>
            <w:tcW w:w="3069" w:type="dxa"/>
            <w:shd w:val="clear" w:color="auto" w:fill="auto"/>
            <w:noWrap/>
            <w:vAlign w:val="bottom"/>
            <w:hideMark/>
          </w:tcPr>
          <w:p w14:paraId="4F07193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Trade, Employment and taxes</w:t>
            </w:r>
          </w:p>
        </w:tc>
        <w:tc>
          <w:tcPr>
            <w:tcW w:w="994" w:type="dxa"/>
            <w:shd w:val="clear" w:color="auto" w:fill="auto"/>
            <w:noWrap/>
            <w:vAlign w:val="bottom"/>
            <w:hideMark/>
          </w:tcPr>
          <w:p w14:paraId="5E5EA69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0.43 </w:t>
            </w:r>
          </w:p>
        </w:tc>
        <w:tc>
          <w:tcPr>
            <w:tcW w:w="994" w:type="dxa"/>
            <w:shd w:val="clear" w:color="auto" w:fill="auto"/>
            <w:noWrap/>
            <w:vAlign w:val="bottom"/>
            <w:hideMark/>
          </w:tcPr>
          <w:p w14:paraId="702B0D95" w14:textId="77777777" w:rsidR="00711296" w:rsidRPr="006E6D96" w:rsidRDefault="00711296" w:rsidP="004831C9">
            <w:pPr>
              <w:bidi w:val="0"/>
              <w:rPr>
                <w:rFonts w:ascii="Arial" w:hAnsi="Arial"/>
                <w:color w:val="000000"/>
                <w:sz w:val="14"/>
                <w:szCs w:val="14"/>
              </w:rPr>
            </w:pPr>
          </w:p>
        </w:tc>
        <w:tc>
          <w:tcPr>
            <w:tcW w:w="994" w:type="dxa"/>
            <w:shd w:val="clear" w:color="auto" w:fill="auto"/>
            <w:noWrap/>
            <w:vAlign w:val="bottom"/>
            <w:hideMark/>
          </w:tcPr>
          <w:p w14:paraId="3EB4F59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0.87 </w:t>
            </w:r>
          </w:p>
        </w:tc>
        <w:tc>
          <w:tcPr>
            <w:tcW w:w="994" w:type="dxa"/>
            <w:shd w:val="clear" w:color="auto" w:fill="auto"/>
            <w:noWrap/>
            <w:vAlign w:val="bottom"/>
            <w:hideMark/>
          </w:tcPr>
          <w:p w14:paraId="3F3E10B3" w14:textId="77777777" w:rsidR="00711296" w:rsidRPr="006E6D96" w:rsidRDefault="00711296" w:rsidP="004831C9">
            <w:pPr>
              <w:bidi w:val="0"/>
              <w:rPr>
                <w:rFonts w:ascii="Arial" w:hAnsi="Arial"/>
                <w:color w:val="000000"/>
                <w:sz w:val="14"/>
                <w:szCs w:val="14"/>
              </w:rPr>
            </w:pPr>
          </w:p>
        </w:tc>
        <w:tc>
          <w:tcPr>
            <w:tcW w:w="823" w:type="dxa"/>
            <w:shd w:val="clear" w:color="auto" w:fill="auto"/>
            <w:noWrap/>
            <w:vAlign w:val="bottom"/>
            <w:hideMark/>
          </w:tcPr>
          <w:p w14:paraId="4B13660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75%</w:t>
            </w:r>
          </w:p>
        </w:tc>
        <w:tc>
          <w:tcPr>
            <w:tcW w:w="753" w:type="dxa"/>
            <w:shd w:val="clear" w:color="auto" w:fill="auto"/>
            <w:noWrap/>
            <w:vAlign w:val="bottom"/>
            <w:hideMark/>
          </w:tcPr>
          <w:p w14:paraId="423D69C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25%</w:t>
            </w:r>
          </w:p>
        </w:tc>
        <w:tc>
          <w:tcPr>
            <w:tcW w:w="761" w:type="dxa"/>
            <w:shd w:val="clear" w:color="auto" w:fill="auto"/>
            <w:noWrap/>
            <w:vAlign w:val="bottom"/>
            <w:hideMark/>
          </w:tcPr>
          <w:p w14:paraId="490F548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18%</w:t>
            </w:r>
          </w:p>
        </w:tc>
        <w:tc>
          <w:tcPr>
            <w:tcW w:w="570" w:type="dxa"/>
            <w:shd w:val="clear" w:color="auto" w:fill="auto"/>
            <w:noWrap/>
            <w:vAlign w:val="bottom"/>
            <w:hideMark/>
          </w:tcPr>
          <w:p w14:paraId="6C2A8E1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89%</w:t>
            </w:r>
          </w:p>
        </w:tc>
      </w:tr>
      <w:tr w:rsidR="00711296" w:rsidRPr="006E6D96" w14:paraId="6951EC03" w14:textId="77777777" w:rsidTr="004831C9">
        <w:trPr>
          <w:trHeight w:val="285"/>
        </w:trPr>
        <w:tc>
          <w:tcPr>
            <w:tcW w:w="994" w:type="dxa"/>
            <w:shd w:val="clear" w:color="auto" w:fill="auto"/>
            <w:noWrap/>
            <w:vAlign w:val="bottom"/>
            <w:hideMark/>
          </w:tcPr>
          <w:p w14:paraId="2927E03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2</w:t>
            </w:r>
          </w:p>
        </w:tc>
        <w:tc>
          <w:tcPr>
            <w:tcW w:w="668" w:type="dxa"/>
            <w:shd w:val="clear" w:color="auto" w:fill="auto"/>
            <w:noWrap/>
            <w:vAlign w:val="bottom"/>
            <w:hideMark/>
          </w:tcPr>
          <w:p w14:paraId="79D16A8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0.35 </w:t>
            </w:r>
          </w:p>
        </w:tc>
        <w:tc>
          <w:tcPr>
            <w:tcW w:w="932" w:type="dxa"/>
            <w:shd w:val="clear" w:color="auto" w:fill="auto"/>
            <w:noWrap/>
            <w:vAlign w:val="bottom"/>
            <w:hideMark/>
          </w:tcPr>
          <w:p w14:paraId="71F1BBD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w:t>
            </w:r>
          </w:p>
        </w:tc>
        <w:tc>
          <w:tcPr>
            <w:tcW w:w="971" w:type="dxa"/>
            <w:shd w:val="clear" w:color="auto" w:fill="auto"/>
            <w:noWrap/>
            <w:vAlign w:val="bottom"/>
            <w:hideMark/>
          </w:tcPr>
          <w:p w14:paraId="61C0742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90%</w:t>
            </w:r>
          </w:p>
        </w:tc>
        <w:tc>
          <w:tcPr>
            <w:tcW w:w="3069" w:type="dxa"/>
            <w:shd w:val="clear" w:color="auto" w:fill="auto"/>
            <w:noWrap/>
            <w:vAlign w:val="bottom"/>
            <w:hideMark/>
          </w:tcPr>
          <w:p w14:paraId="2F360EC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Movement of people and Services</w:t>
            </w:r>
          </w:p>
        </w:tc>
        <w:tc>
          <w:tcPr>
            <w:tcW w:w="994" w:type="dxa"/>
            <w:shd w:val="clear" w:color="auto" w:fill="auto"/>
            <w:noWrap/>
            <w:vAlign w:val="bottom"/>
            <w:hideMark/>
          </w:tcPr>
          <w:p w14:paraId="47E1009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0.47 </w:t>
            </w:r>
          </w:p>
        </w:tc>
        <w:tc>
          <w:tcPr>
            <w:tcW w:w="994" w:type="dxa"/>
            <w:shd w:val="clear" w:color="auto" w:fill="auto"/>
            <w:noWrap/>
            <w:vAlign w:val="bottom"/>
            <w:hideMark/>
          </w:tcPr>
          <w:p w14:paraId="1DE09213" w14:textId="77777777" w:rsidR="00711296" w:rsidRPr="006E6D96" w:rsidRDefault="00711296" w:rsidP="004831C9">
            <w:pPr>
              <w:bidi w:val="0"/>
              <w:rPr>
                <w:rFonts w:ascii="Arial" w:hAnsi="Arial"/>
                <w:color w:val="000000"/>
                <w:sz w:val="14"/>
                <w:szCs w:val="14"/>
              </w:rPr>
            </w:pPr>
          </w:p>
        </w:tc>
        <w:tc>
          <w:tcPr>
            <w:tcW w:w="994" w:type="dxa"/>
            <w:shd w:val="clear" w:color="auto" w:fill="auto"/>
            <w:noWrap/>
            <w:vAlign w:val="bottom"/>
            <w:hideMark/>
          </w:tcPr>
          <w:p w14:paraId="4B50A7F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0.96 </w:t>
            </w:r>
          </w:p>
        </w:tc>
        <w:tc>
          <w:tcPr>
            <w:tcW w:w="994" w:type="dxa"/>
            <w:shd w:val="clear" w:color="auto" w:fill="auto"/>
            <w:noWrap/>
            <w:vAlign w:val="bottom"/>
            <w:hideMark/>
          </w:tcPr>
          <w:p w14:paraId="70495A84" w14:textId="77777777" w:rsidR="00711296" w:rsidRPr="006E6D96" w:rsidRDefault="00711296" w:rsidP="004831C9">
            <w:pPr>
              <w:bidi w:val="0"/>
              <w:rPr>
                <w:rFonts w:ascii="Arial" w:hAnsi="Arial"/>
                <w:color w:val="000000"/>
                <w:sz w:val="14"/>
                <w:szCs w:val="14"/>
              </w:rPr>
            </w:pPr>
          </w:p>
        </w:tc>
        <w:tc>
          <w:tcPr>
            <w:tcW w:w="823" w:type="dxa"/>
            <w:shd w:val="clear" w:color="auto" w:fill="auto"/>
            <w:noWrap/>
            <w:vAlign w:val="bottom"/>
            <w:hideMark/>
          </w:tcPr>
          <w:p w14:paraId="4922705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93%</w:t>
            </w:r>
          </w:p>
        </w:tc>
        <w:tc>
          <w:tcPr>
            <w:tcW w:w="753" w:type="dxa"/>
            <w:shd w:val="clear" w:color="auto" w:fill="auto"/>
            <w:noWrap/>
            <w:vAlign w:val="bottom"/>
            <w:hideMark/>
          </w:tcPr>
          <w:p w14:paraId="493C932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w:t>
            </w:r>
          </w:p>
        </w:tc>
        <w:tc>
          <w:tcPr>
            <w:tcW w:w="761" w:type="dxa"/>
            <w:shd w:val="clear" w:color="auto" w:fill="auto"/>
            <w:noWrap/>
            <w:vAlign w:val="bottom"/>
            <w:hideMark/>
          </w:tcPr>
          <w:p w14:paraId="33E5CE9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22%</w:t>
            </w:r>
          </w:p>
        </w:tc>
        <w:tc>
          <w:tcPr>
            <w:tcW w:w="570" w:type="dxa"/>
            <w:shd w:val="clear" w:color="auto" w:fill="auto"/>
            <w:noWrap/>
            <w:vAlign w:val="bottom"/>
            <w:hideMark/>
          </w:tcPr>
          <w:p w14:paraId="1233D3D2"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76%</w:t>
            </w:r>
          </w:p>
        </w:tc>
      </w:tr>
      <w:tr w:rsidR="00711296" w:rsidRPr="006E6D96" w14:paraId="6B571B40" w14:textId="77777777" w:rsidTr="004831C9">
        <w:trPr>
          <w:trHeight w:val="285"/>
        </w:trPr>
        <w:tc>
          <w:tcPr>
            <w:tcW w:w="994" w:type="dxa"/>
            <w:shd w:val="clear" w:color="auto" w:fill="auto"/>
            <w:noWrap/>
            <w:vAlign w:val="bottom"/>
            <w:hideMark/>
          </w:tcPr>
          <w:p w14:paraId="06D82F4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3</w:t>
            </w:r>
          </w:p>
        </w:tc>
        <w:tc>
          <w:tcPr>
            <w:tcW w:w="668" w:type="dxa"/>
            <w:shd w:val="clear" w:color="auto" w:fill="auto"/>
            <w:noWrap/>
            <w:vAlign w:val="bottom"/>
            <w:hideMark/>
          </w:tcPr>
          <w:p w14:paraId="2E9B21E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0.35 </w:t>
            </w:r>
          </w:p>
        </w:tc>
        <w:tc>
          <w:tcPr>
            <w:tcW w:w="932" w:type="dxa"/>
            <w:shd w:val="clear" w:color="auto" w:fill="auto"/>
            <w:noWrap/>
            <w:vAlign w:val="bottom"/>
            <w:hideMark/>
          </w:tcPr>
          <w:p w14:paraId="10710DC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w:t>
            </w:r>
          </w:p>
        </w:tc>
        <w:tc>
          <w:tcPr>
            <w:tcW w:w="971" w:type="dxa"/>
            <w:shd w:val="clear" w:color="auto" w:fill="auto"/>
            <w:noWrap/>
            <w:vAlign w:val="bottom"/>
            <w:hideMark/>
          </w:tcPr>
          <w:p w14:paraId="5C29C010"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97%</w:t>
            </w:r>
          </w:p>
        </w:tc>
        <w:tc>
          <w:tcPr>
            <w:tcW w:w="3069" w:type="dxa"/>
            <w:shd w:val="clear" w:color="auto" w:fill="auto"/>
            <w:noWrap/>
            <w:vAlign w:val="bottom"/>
            <w:hideMark/>
          </w:tcPr>
          <w:p w14:paraId="48BA17EE"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Resources and </w:t>
            </w:r>
            <w:r w:rsidRPr="00007AE5">
              <w:rPr>
                <w:rFonts w:ascii="Arial" w:hAnsi="Arial"/>
                <w:color w:val="000000"/>
                <w:sz w:val="14"/>
                <w:szCs w:val="14"/>
              </w:rPr>
              <w:t>infrastructure</w:t>
            </w:r>
          </w:p>
        </w:tc>
        <w:tc>
          <w:tcPr>
            <w:tcW w:w="994" w:type="dxa"/>
            <w:shd w:val="clear" w:color="auto" w:fill="auto"/>
            <w:noWrap/>
            <w:vAlign w:val="bottom"/>
            <w:hideMark/>
          </w:tcPr>
          <w:p w14:paraId="2634D17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0.47 </w:t>
            </w:r>
          </w:p>
        </w:tc>
        <w:tc>
          <w:tcPr>
            <w:tcW w:w="994" w:type="dxa"/>
            <w:shd w:val="clear" w:color="auto" w:fill="auto"/>
            <w:noWrap/>
            <w:vAlign w:val="bottom"/>
            <w:hideMark/>
          </w:tcPr>
          <w:p w14:paraId="53539692" w14:textId="77777777" w:rsidR="00711296" w:rsidRPr="006E6D96" w:rsidRDefault="00711296" w:rsidP="004831C9">
            <w:pPr>
              <w:bidi w:val="0"/>
              <w:rPr>
                <w:rFonts w:ascii="Arial" w:hAnsi="Arial"/>
                <w:color w:val="000000"/>
                <w:sz w:val="14"/>
                <w:szCs w:val="14"/>
              </w:rPr>
            </w:pPr>
          </w:p>
        </w:tc>
        <w:tc>
          <w:tcPr>
            <w:tcW w:w="994" w:type="dxa"/>
            <w:shd w:val="clear" w:color="auto" w:fill="auto"/>
            <w:noWrap/>
            <w:vAlign w:val="bottom"/>
            <w:hideMark/>
          </w:tcPr>
          <w:p w14:paraId="48C4338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0.96 </w:t>
            </w:r>
          </w:p>
        </w:tc>
        <w:tc>
          <w:tcPr>
            <w:tcW w:w="994" w:type="dxa"/>
            <w:shd w:val="clear" w:color="auto" w:fill="auto"/>
            <w:noWrap/>
            <w:vAlign w:val="bottom"/>
            <w:hideMark/>
          </w:tcPr>
          <w:p w14:paraId="29FACA98" w14:textId="77777777" w:rsidR="00711296" w:rsidRPr="006E6D96" w:rsidRDefault="00711296" w:rsidP="004831C9">
            <w:pPr>
              <w:bidi w:val="0"/>
              <w:rPr>
                <w:rFonts w:ascii="Arial" w:hAnsi="Arial"/>
                <w:color w:val="000000"/>
                <w:sz w:val="14"/>
                <w:szCs w:val="14"/>
              </w:rPr>
            </w:pPr>
          </w:p>
        </w:tc>
        <w:tc>
          <w:tcPr>
            <w:tcW w:w="823" w:type="dxa"/>
            <w:shd w:val="clear" w:color="auto" w:fill="auto"/>
            <w:noWrap/>
            <w:vAlign w:val="bottom"/>
            <w:hideMark/>
          </w:tcPr>
          <w:p w14:paraId="153AF44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92%</w:t>
            </w:r>
          </w:p>
        </w:tc>
        <w:tc>
          <w:tcPr>
            <w:tcW w:w="753" w:type="dxa"/>
            <w:shd w:val="clear" w:color="auto" w:fill="auto"/>
            <w:noWrap/>
            <w:vAlign w:val="bottom"/>
            <w:hideMark/>
          </w:tcPr>
          <w:p w14:paraId="11BAE19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w:t>
            </w:r>
          </w:p>
        </w:tc>
        <w:tc>
          <w:tcPr>
            <w:tcW w:w="761" w:type="dxa"/>
            <w:shd w:val="clear" w:color="auto" w:fill="auto"/>
            <w:noWrap/>
            <w:vAlign w:val="bottom"/>
            <w:hideMark/>
          </w:tcPr>
          <w:p w14:paraId="496D8A3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22%</w:t>
            </w:r>
          </w:p>
        </w:tc>
        <w:tc>
          <w:tcPr>
            <w:tcW w:w="570" w:type="dxa"/>
            <w:shd w:val="clear" w:color="auto" w:fill="auto"/>
            <w:noWrap/>
            <w:vAlign w:val="bottom"/>
            <w:hideMark/>
          </w:tcPr>
          <w:p w14:paraId="0A5B4AF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82%</w:t>
            </w:r>
          </w:p>
        </w:tc>
      </w:tr>
      <w:tr w:rsidR="00711296" w:rsidRPr="006E6D96" w14:paraId="562BED6A" w14:textId="77777777" w:rsidTr="004831C9">
        <w:trPr>
          <w:trHeight w:val="285"/>
        </w:trPr>
        <w:tc>
          <w:tcPr>
            <w:tcW w:w="994" w:type="dxa"/>
            <w:shd w:val="clear" w:color="auto" w:fill="auto"/>
            <w:noWrap/>
            <w:vAlign w:val="bottom"/>
            <w:hideMark/>
          </w:tcPr>
          <w:p w14:paraId="07BD515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4</w:t>
            </w:r>
          </w:p>
        </w:tc>
        <w:tc>
          <w:tcPr>
            <w:tcW w:w="668" w:type="dxa"/>
            <w:shd w:val="clear" w:color="auto" w:fill="auto"/>
            <w:noWrap/>
            <w:vAlign w:val="bottom"/>
            <w:hideMark/>
          </w:tcPr>
          <w:p w14:paraId="04E5A65C"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0.12 </w:t>
            </w:r>
          </w:p>
        </w:tc>
        <w:tc>
          <w:tcPr>
            <w:tcW w:w="932" w:type="dxa"/>
            <w:shd w:val="clear" w:color="auto" w:fill="auto"/>
            <w:noWrap/>
            <w:vAlign w:val="bottom"/>
            <w:hideMark/>
          </w:tcPr>
          <w:p w14:paraId="792BDCA7"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w:t>
            </w:r>
          </w:p>
        </w:tc>
        <w:tc>
          <w:tcPr>
            <w:tcW w:w="971" w:type="dxa"/>
            <w:shd w:val="clear" w:color="auto" w:fill="auto"/>
            <w:noWrap/>
            <w:vAlign w:val="bottom"/>
            <w:hideMark/>
          </w:tcPr>
          <w:p w14:paraId="22BCEC9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99%</w:t>
            </w:r>
          </w:p>
        </w:tc>
        <w:tc>
          <w:tcPr>
            <w:tcW w:w="3069" w:type="dxa"/>
            <w:shd w:val="clear" w:color="auto" w:fill="auto"/>
            <w:noWrap/>
            <w:vAlign w:val="bottom"/>
            <w:hideMark/>
          </w:tcPr>
          <w:p w14:paraId="44CCB19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Banking and money</w:t>
            </w:r>
          </w:p>
        </w:tc>
        <w:tc>
          <w:tcPr>
            <w:tcW w:w="994" w:type="dxa"/>
            <w:shd w:val="clear" w:color="auto" w:fill="auto"/>
            <w:noWrap/>
            <w:vAlign w:val="bottom"/>
            <w:hideMark/>
          </w:tcPr>
          <w:p w14:paraId="7BC7020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0.45 </w:t>
            </w:r>
          </w:p>
        </w:tc>
        <w:tc>
          <w:tcPr>
            <w:tcW w:w="994" w:type="dxa"/>
            <w:shd w:val="clear" w:color="auto" w:fill="auto"/>
            <w:noWrap/>
            <w:vAlign w:val="bottom"/>
            <w:hideMark/>
          </w:tcPr>
          <w:p w14:paraId="1CA54AD1" w14:textId="77777777" w:rsidR="00711296" w:rsidRPr="006E6D96" w:rsidRDefault="00711296" w:rsidP="004831C9">
            <w:pPr>
              <w:bidi w:val="0"/>
              <w:rPr>
                <w:rFonts w:ascii="Arial" w:hAnsi="Arial"/>
                <w:color w:val="000000"/>
                <w:sz w:val="14"/>
                <w:szCs w:val="14"/>
              </w:rPr>
            </w:pPr>
          </w:p>
        </w:tc>
        <w:tc>
          <w:tcPr>
            <w:tcW w:w="994" w:type="dxa"/>
            <w:shd w:val="clear" w:color="auto" w:fill="auto"/>
            <w:noWrap/>
            <w:vAlign w:val="bottom"/>
            <w:hideMark/>
          </w:tcPr>
          <w:p w14:paraId="0C33F50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0.91 </w:t>
            </w:r>
          </w:p>
        </w:tc>
        <w:tc>
          <w:tcPr>
            <w:tcW w:w="994" w:type="dxa"/>
            <w:shd w:val="clear" w:color="auto" w:fill="auto"/>
            <w:noWrap/>
            <w:vAlign w:val="bottom"/>
            <w:hideMark/>
          </w:tcPr>
          <w:p w14:paraId="404C548E" w14:textId="77777777" w:rsidR="00711296" w:rsidRPr="006E6D96" w:rsidRDefault="00711296" w:rsidP="004831C9">
            <w:pPr>
              <w:bidi w:val="0"/>
              <w:rPr>
                <w:rFonts w:ascii="Arial" w:hAnsi="Arial"/>
                <w:color w:val="000000"/>
                <w:sz w:val="14"/>
                <w:szCs w:val="14"/>
              </w:rPr>
            </w:pPr>
          </w:p>
        </w:tc>
        <w:tc>
          <w:tcPr>
            <w:tcW w:w="823" w:type="dxa"/>
            <w:shd w:val="clear" w:color="auto" w:fill="auto"/>
            <w:noWrap/>
            <w:vAlign w:val="bottom"/>
            <w:hideMark/>
          </w:tcPr>
          <w:p w14:paraId="4B548FD8"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82%</w:t>
            </w:r>
          </w:p>
        </w:tc>
        <w:tc>
          <w:tcPr>
            <w:tcW w:w="753" w:type="dxa"/>
            <w:shd w:val="clear" w:color="auto" w:fill="auto"/>
            <w:noWrap/>
            <w:vAlign w:val="bottom"/>
            <w:hideMark/>
          </w:tcPr>
          <w:p w14:paraId="061F3D8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18%</w:t>
            </w:r>
          </w:p>
        </w:tc>
        <w:tc>
          <w:tcPr>
            <w:tcW w:w="761" w:type="dxa"/>
            <w:shd w:val="clear" w:color="auto" w:fill="auto"/>
            <w:noWrap/>
            <w:vAlign w:val="bottom"/>
            <w:hideMark/>
          </w:tcPr>
          <w:p w14:paraId="7787C7F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20%</w:t>
            </w:r>
          </w:p>
        </w:tc>
        <w:tc>
          <w:tcPr>
            <w:tcW w:w="570" w:type="dxa"/>
            <w:shd w:val="clear" w:color="auto" w:fill="auto"/>
            <w:noWrap/>
            <w:vAlign w:val="bottom"/>
            <w:hideMark/>
          </w:tcPr>
          <w:p w14:paraId="2F0E645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84%</w:t>
            </w:r>
          </w:p>
        </w:tc>
      </w:tr>
      <w:tr w:rsidR="00711296" w:rsidRPr="006E6D96" w14:paraId="6A1C17FC" w14:textId="77777777" w:rsidTr="004831C9">
        <w:trPr>
          <w:trHeight w:val="285"/>
        </w:trPr>
        <w:tc>
          <w:tcPr>
            <w:tcW w:w="994" w:type="dxa"/>
            <w:shd w:val="clear" w:color="auto" w:fill="auto"/>
            <w:noWrap/>
            <w:vAlign w:val="bottom"/>
            <w:hideMark/>
          </w:tcPr>
          <w:p w14:paraId="6E3FE1D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Component 5</w:t>
            </w:r>
          </w:p>
        </w:tc>
        <w:tc>
          <w:tcPr>
            <w:tcW w:w="668" w:type="dxa"/>
            <w:shd w:val="clear" w:color="auto" w:fill="auto"/>
            <w:noWrap/>
            <w:vAlign w:val="bottom"/>
            <w:hideMark/>
          </w:tcPr>
          <w:p w14:paraId="23C89369"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0.04 </w:t>
            </w:r>
          </w:p>
        </w:tc>
        <w:tc>
          <w:tcPr>
            <w:tcW w:w="932" w:type="dxa"/>
            <w:shd w:val="clear" w:color="auto" w:fill="auto"/>
            <w:noWrap/>
            <w:vAlign w:val="bottom"/>
            <w:hideMark/>
          </w:tcPr>
          <w:p w14:paraId="60CBD89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w:t>
            </w:r>
          </w:p>
        </w:tc>
        <w:tc>
          <w:tcPr>
            <w:tcW w:w="971" w:type="dxa"/>
            <w:shd w:val="clear" w:color="auto" w:fill="auto"/>
            <w:noWrap/>
            <w:vAlign w:val="bottom"/>
            <w:hideMark/>
          </w:tcPr>
          <w:p w14:paraId="07402013"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100%</w:t>
            </w:r>
          </w:p>
        </w:tc>
        <w:tc>
          <w:tcPr>
            <w:tcW w:w="3069" w:type="dxa"/>
            <w:shd w:val="clear" w:color="auto" w:fill="auto"/>
            <w:noWrap/>
            <w:vAlign w:val="bottom"/>
            <w:hideMark/>
          </w:tcPr>
          <w:p w14:paraId="421B33DF"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Wealth and Standard of living</w:t>
            </w:r>
          </w:p>
        </w:tc>
        <w:tc>
          <w:tcPr>
            <w:tcW w:w="994" w:type="dxa"/>
            <w:shd w:val="clear" w:color="auto" w:fill="auto"/>
            <w:noWrap/>
            <w:vAlign w:val="bottom"/>
            <w:hideMark/>
          </w:tcPr>
          <w:p w14:paraId="28A1C9FB"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-0.42 </w:t>
            </w:r>
          </w:p>
        </w:tc>
        <w:tc>
          <w:tcPr>
            <w:tcW w:w="994" w:type="dxa"/>
            <w:shd w:val="clear" w:color="auto" w:fill="auto"/>
            <w:noWrap/>
            <w:vAlign w:val="bottom"/>
            <w:hideMark/>
          </w:tcPr>
          <w:p w14:paraId="61CE5F19" w14:textId="77777777" w:rsidR="00711296" w:rsidRPr="006E6D96" w:rsidRDefault="00711296" w:rsidP="004831C9">
            <w:pPr>
              <w:bidi w:val="0"/>
              <w:rPr>
                <w:rFonts w:ascii="Arial" w:hAnsi="Arial"/>
                <w:color w:val="000000"/>
                <w:sz w:val="14"/>
                <w:szCs w:val="14"/>
              </w:rPr>
            </w:pPr>
          </w:p>
        </w:tc>
        <w:tc>
          <w:tcPr>
            <w:tcW w:w="994" w:type="dxa"/>
            <w:shd w:val="clear" w:color="auto" w:fill="auto"/>
            <w:noWrap/>
            <w:vAlign w:val="bottom"/>
            <w:hideMark/>
          </w:tcPr>
          <w:p w14:paraId="452335C5"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 xml:space="preserve">                                  -0.84 </w:t>
            </w:r>
          </w:p>
        </w:tc>
        <w:tc>
          <w:tcPr>
            <w:tcW w:w="994" w:type="dxa"/>
            <w:shd w:val="clear" w:color="auto" w:fill="auto"/>
            <w:noWrap/>
            <w:vAlign w:val="bottom"/>
            <w:hideMark/>
          </w:tcPr>
          <w:p w14:paraId="72D2B1C9" w14:textId="77777777" w:rsidR="00711296" w:rsidRPr="006E6D96" w:rsidRDefault="00711296" w:rsidP="004831C9">
            <w:pPr>
              <w:bidi w:val="0"/>
              <w:rPr>
                <w:rFonts w:ascii="Arial" w:hAnsi="Arial"/>
                <w:color w:val="000000"/>
                <w:sz w:val="14"/>
                <w:szCs w:val="14"/>
              </w:rPr>
            </w:pPr>
          </w:p>
        </w:tc>
        <w:tc>
          <w:tcPr>
            <w:tcW w:w="823" w:type="dxa"/>
            <w:shd w:val="clear" w:color="auto" w:fill="auto"/>
            <w:noWrap/>
            <w:vAlign w:val="bottom"/>
            <w:hideMark/>
          </w:tcPr>
          <w:p w14:paraId="17FB6974"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71%</w:t>
            </w:r>
          </w:p>
        </w:tc>
        <w:tc>
          <w:tcPr>
            <w:tcW w:w="753" w:type="dxa"/>
            <w:shd w:val="clear" w:color="auto" w:fill="auto"/>
            <w:noWrap/>
            <w:vAlign w:val="bottom"/>
            <w:hideMark/>
          </w:tcPr>
          <w:p w14:paraId="23093D51"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29%</w:t>
            </w:r>
          </w:p>
        </w:tc>
        <w:tc>
          <w:tcPr>
            <w:tcW w:w="761" w:type="dxa"/>
            <w:shd w:val="clear" w:color="auto" w:fill="auto"/>
            <w:noWrap/>
            <w:vAlign w:val="bottom"/>
            <w:hideMark/>
          </w:tcPr>
          <w:p w14:paraId="34820C6A"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17%</w:t>
            </w:r>
          </w:p>
        </w:tc>
        <w:tc>
          <w:tcPr>
            <w:tcW w:w="570" w:type="dxa"/>
            <w:shd w:val="clear" w:color="auto" w:fill="auto"/>
            <w:noWrap/>
            <w:vAlign w:val="bottom"/>
            <w:hideMark/>
          </w:tcPr>
          <w:p w14:paraId="7C231CFD" w14:textId="77777777" w:rsidR="00711296" w:rsidRPr="006E6D96" w:rsidRDefault="00711296" w:rsidP="004831C9">
            <w:pPr>
              <w:bidi w:val="0"/>
              <w:rPr>
                <w:rFonts w:ascii="Arial" w:hAnsi="Arial"/>
                <w:color w:val="000000"/>
                <w:sz w:val="14"/>
                <w:szCs w:val="14"/>
              </w:rPr>
            </w:pPr>
            <w:r w:rsidRPr="006E6D96">
              <w:rPr>
                <w:rFonts w:ascii="Arial" w:hAnsi="Arial"/>
                <w:color w:val="000000"/>
                <w:sz w:val="14"/>
                <w:szCs w:val="14"/>
              </w:rPr>
              <w:t>89%</w:t>
            </w:r>
          </w:p>
        </w:tc>
      </w:tr>
    </w:tbl>
    <w:p w14:paraId="52D104F9" w14:textId="77777777" w:rsidR="00711296" w:rsidRDefault="00711296" w:rsidP="00711296">
      <w:pPr>
        <w:pStyle w:val="ListParagraph"/>
        <w:bidi w:val="0"/>
        <w:spacing w:line="480" w:lineRule="auto"/>
        <w:jc w:val="center"/>
        <w:rPr>
          <w:rFonts w:ascii="Times New Roman" w:hAnsi="Times New Roman" w:cs="David"/>
          <w:sz w:val="24"/>
          <w:szCs w:val="24"/>
        </w:rPr>
      </w:pPr>
    </w:p>
    <w:p w14:paraId="37B8A9E9" w14:textId="77777777" w:rsidR="00711296" w:rsidRDefault="00711296" w:rsidP="00711296">
      <w:pPr>
        <w:rPr>
          <w:rFonts w:ascii="Times New Roman" w:hAnsi="Times New Roman" w:cs="David"/>
          <w:sz w:val="24"/>
          <w:szCs w:val="24"/>
        </w:rPr>
      </w:pPr>
    </w:p>
    <w:p w14:paraId="425B273C" w14:textId="77777777" w:rsidR="00711296" w:rsidRPr="00D15AD9" w:rsidRDefault="00711296" w:rsidP="00711296">
      <w:pPr>
        <w:tabs>
          <w:tab w:val="left" w:pos="6167"/>
        </w:tabs>
        <w:sectPr w:rsidR="00711296" w:rsidRPr="00D15AD9" w:rsidSect="00A345F3">
          <w:pgSz w:w="16838" w:h="11906" w:orient="landscape"/>
          <w:pgMar w:top="1800" w:right="1440" w:bottom="1800" w:left="1440" w:header="708" w:footer="708" w:gutter="0"/>
          <w:cols w:space="708"/>
          <w:bidi/>
          <w:rtlGutter/>
          <w:docGrid w:linePitch="360"/>
        </w:sectPr>
      </w:pPr>
    </w:p>
    <w:p w14:paraId="3DFD0F99" w14:textId="77777777" w:rsidR="00711296" w:rsidRDefault="00711296" w:rsidP="00711296">
      <w:pPr>
        <w:pStyle w:val="ListParagraph"/>
        <w:bidi w:val="0"/>
        <w:spacing w:line="480" w:lineRule="auto"/>
        <w:jc w:val="center"/>
        <w:rPr>
          <w:rFonts w:ascii="Times New Roman" w:hAnsi="Times New Roman" w:cs="David"/>
          <w:b/>
          <w:bCs/>
          <w:sz w:val="24"/>
          <w:szCs w:val="24"/>
        </w:rPr>
      </w:pPr>
      <w:r>
        <w:rPr>
          <w:rFonts w:ascii="Times New Roman" w:hAnsi="Times New Roman" w:cs="David"/>
          <w:b/>
          <w:bCs/>
          <w:sz w:val="24"/>
          <w:szCs w:val="24"/>
        </w:rPr>
        <w:t>Appendix</w:t>
      </w:r>
      <w:r w:rsidRPr="00D57CAD">
        <w:rPr>
          <w:rFonts w:ascii="Times New Roman" w:hAnsi="Times New Roman" w:cs="David"/>
          <w:b/>
          <w:bCs/>
          <w:sz w:val="24"/>
          <w:szCs w:val="24"/>
        </w:rPr>
        <w:t xml:space="preserve"> </w:t>
      </w:r>
      <w:r>
        <w:rPr>
          <w:rFonts w:ascii="Times New Roman" w:hAnsi="Times New Roman" w:cs="David"/>
          <w:b/>
          <w:bCs/>
          <w:sz w:val="24"/>
          <w:szCs w:val="24"/>
        </w:rPr>
        <w:t>III</w:t>
      </w:r>
      <w:r w:rsidRPr="00D57CAD">
        <w:rPr>
          <w:rFonts w:ascii="Times New Roman" w:hAnsi="Times New Roman" w:cs="David"/>
          <w:b/>
          <w:bCs/>
          <w:sz w:val="24"/>
          <w:szCs w:val="24"/>
        </w:rPr>
        <w:t xml:space="preserve"> – Contribution of </w:t>
      </w:r>
      <w:r>
        <w:rPr>
          <w:rFonts w:ascii="Times New Roman" w:hAnsi="Times New Roman" w:cs="David"/>
          <w:b/>
          <w:bCs/>
          <w:sz w:val="24"/>
          <w:szCs w:val="24"/>
        </w:rPr>
        <w:t>indicators</w:t>
      </w:r>
    </w:p>
    <w:p w14:paraId="304C4284" w14:textId="77777777" w:rsidR="00711296" w:rsidRPr="00696A7D" w:rsidRDefault="00711296" w:rsidP="00711296">
      <w:pPr>
        <w:pStyle w:val="ListParagraph"/>
        <w:bidi w:val="0"/>
        <w:spacing w:line="480" w:lineRule="auto"/>
        <w:jc w:val="center"/>
        <w:rPr>
          <w:rFonts w:ascii="Times New Roman" w:hAnsi="Times New Roman" w:cs="David"/>
          <w:b/>
          <w:bCs/>
          <w:sz w:val="24"/>
          <w:szCs w:val="24"/>
        </w:rPr>
      </w:pPr>
      <w:r w:rsidRPr="00696A7D">
        <w:rPr>
          <w:rFonts w:ascii="Times New Roman" w:hAnsi="Times New Roman" w:cs="David"/>
          <w:b/>
          <w:bCs/>
          <w:sz w:val="24"/>
          <w:szCs w:val="24"/>
        </w:rPr>
        <w:t xml:space="preserve">Contribution of each indicator to its dimension </w:t>
      </w:r>
      <w:r w:rsidRPr="00696A7D">
        <w:rPr>
          <w:b/>
          <w:bCs/>
        </w:rPr>
        <w:t>ISR-WBG-II 2010-2019</w:t>
      </w:r>
    </w:p>
    <w:p w14:paraId="78A084F0" w14:textId="77777777" w:rsidR="00711296" w:rsidRDefault="00711296" w:rsidP="00711296">
      <w:pPr>
        <w:pStyle w:val="ListParagraph"/>
        <w:bidi w:val="0"/>
        <w:spacing w:line="480" w:lineRule="auto"/>
        <w:jc w:val="center"/>
      </w:pPr>
      <w:r w:rsidRPr="00BC37F2">
        <w:rPr>
          <w:noProof/>
        </w:rPr>
        <w:t xml:space="preserve"> </w:t>
      </w:r>
      <w:r w:rsidRPr="00C5595B">
        <w:rPr>
          <w:noProof/>
        </w:rPr>
        <w:t xml:space="preserve"> </w:t>
      </w:r>
      <w:r w:rsidRPr="00F208B1">
        <w:rPr>
          <w:noProof/>
        </w:rPr>
        <w:t xml:space="preserve"> </w:t>
      </w:r>
      <w:r>
        <w:rPr>
          <w:noProof/>
        </w:rPr>
        <w:drawing>
          <wp:inline distT="0" distB="0" distL="0" distR="0" wp14:anchorId="700A0C7A" wp14:editId="4C8D95C3">
            <wp:extent cx="4560794" cy="2750405"/>
            <wp:effectExtent l="0" t="0" r="11430" b="12065"/>
            <wp:docPr id="63" name="תרשים 63">
              <a:extLst xmlns:a="http://schemas.openxmlformats.org/drawingml/2006/main">
                <a:ext uri="{FF2B5EF4-FFF2-40B4-BE49-F238E27FC236}">
                  <a16:creationId xmlns:a16="http://schemas.microsoft.com/office/drawing/2014/main" id="{8295AB8D-3CE3-4937-9ED5-CEA24515E5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118D3DD" w14:textId="77777777" w:rsidR="00711296" w:rsidRDefault="00711296" w:rsidP="00711296">
      <w:pPr>
        <w:pStyle w:val="ListParagraph"/>
        <w:bidi w:val="0"/>
        <w:spacing w:line="480" w:lineRule="auto"/>
        <w:jc w:val="center"/>
        <w:rPr>
          <w:noProof/>
        </w:rPr>
      </w:pPr>
      <w:r>
        <w:rPr>
          <w:noProof/>
        </w:rPr>
        <w:drawing>
          <wp:inline distT="0" distB="0" distL="0" distR="0" wp14:anchorId="6EB74AE7" wp14:editId="08C183CC">
            <wp:extent cx="4554391" cy="2750405"/>
            <wp:effectExtent l="0" t="0" r="17780" b="12065"/>
            <wp:docPr id="64" name="תרשים 64">
              <a:extLst xmlns:a="http://schemas.openxmlformats.org/drawingml/2006/main">
                <a:ext uri="{FF2B5EF4-FFF2-40B4-BE49-F238E27FC236}">
                  <a16:creationId xmlns:a16="http://schemas.microsoft.com/office/drawing/2014/main" id="{13B338CB-162F-4651-8326-D7AA2C2F8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08495AE" w14:textId="77777777" w:rsidR="00711296" w:rsidRDefault="00711296" w:rsidP="00711296">
      <w:pPr>
        <w:pStyle w:val="ListParagraph"/>
        <w:bidi w:val="0"/>
        <w:spacing w:line="480" w:lineRule="auto"/>
        <w:jc w:val="center"/>
        <w:rPr>
          <w:noProof/>
        </w:rPr>
      </w:pPr>
      <w:r>
        <w:rPr>
          <w:noProof/>
        </w:rPr>
        <w:drawing>
          <wp:inline distT="0" distB="0" distL="0" distR="0" wp14:anchorId="02E9D09A" wp14:editId="5EF44CDB">
            <wp:extent cx="4547987" cy="2750405"/>
            <wp:effectExtent l="0" t="0" r="5080" b="12065"/>
            <wp:docPr id="65" name="תרשים 65">
              <a:extLst xmlns:a="http://schemas.openxmlformats.org/drawingml/2006/main">
                <a:ext uri="{FF2B5EF4-FFF2-40B4-BE49-F238E27FC236}">
                  <a16:creationId xmlns:a16="http://schemas.microsoft.com/office/drawing/2014/main" id="{32CB7BEC-1981-4D15-A030-53B1955500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96F3098" w14:textId="77777777" w:rsidR="00711296" w:rsidRDefault="00711296" w:rsidP="00711296">
      <w:pPr>
        <w:pStyle w:val="ListParagraph"/>
        <w:bidi w:val="0"/>
        <w:spacing w:line="480" w:lineRule="auto"/>
        <w:jc w:val="center"/>
        <w:rPr>
          <w:noProof/>
        </w:rPr>
      </w:pPr>
      <w:r>
        <w:rPr>
          <w:noProof/>
        </w:rPr>
        <w:drawing>
          <wp:inline distT="0" distB="0" distL="0" distR="0" wp14:anchorId="5D354E24" wp14:editId="6103B117">
            <wp:extent cx="4580005" cy="2750405"/>
            <wp:effectExtent l="0" t="0" r="11430" b="12065"/>
            <wp:docPr id="66" name="תרשים 66">
              <a:extLst xmlns:a="http://schemas.openxmlformats.org/drawingml/2006/main">
                <a:ext uri="{FF2B5EF4-FFF2-40B4-BE49-F238E27FC236}">
                  <a16:creationId xmlns:a16="http://schemas.microsoft.com/office/drawing/2014/main" id="{C77900D8-D93F-4EE1-9E56-E5B8AEE04A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9A7FEC7" w14:textId="77777777" w:rsidR="00711296" w:rsidRDefault="00711296" w:rsidP="00711296">
      <w:pPr>
        <w:pStyle w:val="ListParagraph"/>
        <w:bidi w:val="0"/>
        <w:spacing w:line="480" w:lineRule="auto"/>
        <w:jc w:val="center"/>
        <w:rPr>
          <w:noProof/>
        </w:rPr>
        <w:sectPr w:rsidR="00711296" w:rsidSect="00A345F3">
          <w:headerReference w:type="default" r:id="rId36"/>
          <w:pgSz w:w="11906" w:h="16838"/>
          <w:pgMar w:top="1440" w:right="1800" w:bottom="1440" w:left="1800" w:header="708" w:footer="708" w:gutter="0"/>
          <w:cols w:space="708"/>
          <w:bidi/>
          <w:rtlGutter/>
          <w:docGrid w:linePitch="360"/>
        </w:sectPr>
      </w:pPr>
      <w:r>
        <w:rPr>
          <w:noProof/>
        </w:rPr>
        <w:drawing>
          <wp:inline distT="0" distB="0" distL="0" distR="0" wp14:anchorId="65AD9C6A" wp14:editId="50567F46">
            <wp:extent cx="4552790" cy="2752806"/>
            <wp:effectExtent l="0" t="0" r="635" b="9525"/>
            <wp:docPr id="67" name="תרשים 67">
              <a:extLst xmlns:a="http://schemas.openxmlformats.org/drawingml/2006/main">
                <a:ext uri="{FF2B5EF4-FFF2-40B4-BE49-F238E27FC236}">
                  <a16:creationId xmlns:a16="http://schemas.microsoft.com/office/drawing/2014/main" id="{68F306F5-6998-47EB-AF09-CC05A5D6C3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499"/>
        <w:gridCol w:w="498"/>
        <w:gridCol w:w="498"/>
        <w:gridCol w:w="498"/>
        <w:gridCol w:w="498"/>
        <w:gridCol w:w="498"/>
        <w:gridCol w:w="498"/>
        <w:gridCol w:w="498"/>
        <w:gridCol w:w="498"/>
        <w:gridCol w:w="498"/>
      </w:tblGrid>
      <w:tr w:rsidR="00711296" w:rsidRPr="008B56ED" w14:paraId="5B1AF5B9" w14:textId="77777777" w:rsidTr="00711296">
        <w:trPr>
          <w:trHeight w:val="405"/>
        </w:trPr>
        <w:tc>
          <w:tcPr>
            <w:tcW w:w="2299" w:type="pct"/>
            <w:shd w:val="clear" w:color="auto" w:fill="auto"/>
            <w:noWrap/>
            <w:vAlign w:val="center"/>
            <w:hideMark/>
          </w:tcPr>
          <w:p w14:paraId="2CE5DDAE" w14:textId="77777777" w:rsidR="00711296" w:rsidRPr="008B56ED" w:rsidRDefault="00711296" w:rsidP="00711296">
            <w:pPr>
              <w:bidi w:val="0"/>
              <w:rPr>
                <w:rFonts w:asciiTheme="majorBidi" w:hAnsiTheme="majorBidi" w:cstheme="majorBidi"/>
                <w:b/>
                <w:bCs/>
                <w:sz w:val="14"/>
                <w:szCs w:val="14"/>
              </w:rPr>
            </w:pPr>
          </w:p>
          <w:p w14:paraId="09761755" w14:textId="77777777" w:rsidR="00711296" w:rsidRPr="008B56ED" w:rsidRDefault="00711296" w:rsidP="00711296">
            <w:pPr>
              <w:bidi w:val="0"/>
              <w:rPr>
                <w:rFonts w:asciiTheme="majorBidi" w:hAnsiTheme="majorBidi" w:cstheme="majorBidi"/>
                <w:b/>
                <w:bCs/>
                <w:sz w:val="14"/>
                <w:szCs w:val="14"/>
              </w:rPr>
            </w:pPr>
            <w:r w:rsidRPr="008B56ED">
              <w:rPr>
                <w:rFonts w:asciiTheme="majorBidi" w:hAnsiTheme="majorBidi" w:cstheme="majorBidi"/>
                <w:b/>
                <w:bCs/>
                <w:sz w:val="14"/>
                <w:szCs w:val="14"/>
              </w:rPr>
              <w:t>Indicator</w:t>
            </w:r>
          </w:p>
        </w:tc>
        <w:tc>
          <w:tcPr>
            <w:tcW w:w="270" w:type="pct"/>
            <w:shd w:val="clear" w:color="auto" w:fill="auto"/>
            <w:noWrap/>
            <w:vAlign w:val="center"/>
            <w:hideMark/>
          </w:tcPr>
          <w:p w14:paraId="1269D76C"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2010</w:t>
            </w:r>
          </w:p>
        </w:tc>
        <w:tc>
          <w:tcPr>
            <w:tcW w:w="270" w:type="pct"/>
            <w:shd w:val="clear" w:color="auto" w:fill="auto"/>
            <w:noWrap/>
            <w:vAlign w:val="center"/>
            <w:hideMark/>
          </w:tcPr>
          <w:p w14:paraId="0179FEEA"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2011</w:t>
            </w:r>
          </w:p>
        </w:tc>
        <w:tc>
          <w:tcPr>
            <w:tcW w:w="270" w:type="pct"/>
            <w:shd w:val="clear" w:color="auto" w:fill="auto"/>
            <w:noWrap/>
            <w:vAlign w:val="center"/>
            <w:hideMark/>
          </w:tcPr>
          <w:p w14:paraId="4034FEB8"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2012</w:t>
            </w:r>
          </w:p>
        </w:tc>
        <w:tc>
          <w:tcPr>
            <w:tcW w:w="270" w:type="pct"/>
            <w:shd w:val="clear" w:color="auto" w:fill="auto"/>
            <w:noWrap/>
            <w:vAlign w:val="center"/>
            <w:hideMark/>
          </w:tcPr>
          <w:p w14:paraId="4C1CBD06"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2013</w:t>
            </w:r>
          </w:p>
        </w:tc>
        <w:tc>
          <w:tcPr>
            <w:tcW w:w="270" w:type="pct"/>
            <w:shd w:val="clear" w:color="auto" w:fill="auto"/>
            <w:noWrap/>
            <w:vAlign w:val="center"/>
            <w:hideMark/>
          </w:tcPr>
          <w:p w14:paraId="058C6EDE"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2014</w:t>
            </w:r>
          </w:p>
        </w:tc>
        <w:tc>
          <w:tcPr>
            <w:tcW w:w="270" w:type="pct"/>
            <w:shd w:val="clear" w:color="auto" w:fill="auto"/>
            <w:noWrap/>
            <w:vAlign w:val="center"/>
            <w:hideMark/>
          </w:tcPr>
          <w:p w14:paraId="7785EC66"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2015</w:t>
            </w:r>
          </w:p>
        </w:tc>
        <w:tc>
          <w:tcPr>
            <w:tcW w:w="270" w:type="pct"/>
            <w:shd w:val="clear" w:color="auto" w:fill="auto"/>
            <w:noWrap/>
            <w:vAlign w:val="center"/>
            <w:hideMark/>
          </w:tcPr>
          <w:p w14:paraId="67CAF645"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2016</w:t>
            </w:r>
          </w:p>
        </w:tc>
        <w:tc>
          <w:tcPr>
            <w:tcW w:w="270" w:type="pct"/>
            <w:shd w:val="clear" w:color="auto" w:fill="auto"/>
            <w:noWrap/>
            <w:vAlign w:val="center"/>
            <w:hideMark/>
          </w:tcPr>
          <w:p w14:paraId="7056A096"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2017</w:t>
            </w:r>
          </w:p>
        </w:tc>
        <w:tc>
          <w:tcPr>
            <w:tcW w:w="270" w:type="pct"/>
            <w:shd w:val="clear" w:color="auto" w:fill="auto"/>
            <w:noWrap/>
            <w:vAlign w:val="center"/>
            <w:hideMark/>
          </w:tcPr>
          <w:p w14:paraId="465B8D6F"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2018</w:t>
            </w:r>
          </w:p>
        </w:tc>
        <w:tc>
          <w:tcPr>
            <w:tcW w:w="270" w:type="pct"/>
            <w:shd w:val="clear" w:color="auto" w:fill="auto"/>
            <w:noWrap/>
            <w:vAlign w:val="center"/>
            <w:hideMark/>
          </w:tcPr>
          <w:p w14:paraId="414DA760"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2019</w:t>
            </w:r>
          </w:p>
        </w:tc>
      </w:tr>
      <w:tr w:rsidR="00711296" w:rsidRPr="008B56ED" w14:paraId="30B4E371" w14:textId="77777777" w:rsidTr="00711296">
        <w:trPr>
          <w:trHeight w:val="285"/>
        </w:trPr>
        <w:tc>
          <w:tcPr>
            <w:tcW w:w="2299" w:type="pct"/>
            <w:shd w:val="clear" w:color="auto" w:fill="auto"/>
            <w:noWrap/>
            <w:vAlign w:val="center"/>
            <w:hideMark/>
          </w:tcPr>
          <w:p w14:paraId="3451B0F8" w14:textId="77777777"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Palestinian exports of goods and services to Israel out of total Palestinian exports</w:t>
            </w:r>
          </w:p>
        </w:tc>
        <w:tc>
          <w:tcPr>
            <w:tcW w:w="270" w:type="pct"/>
            <w:shd w:val="clear" w:color="auto" w:fill="auto"/>
            <w:noWrap/>
            <w:vAlign w:val="center"/>
            <w:hideMark/>
          </w:tcPr>
          <w:p w14:paraId="3CFEF01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8%</w:t>
            </w:r>
          </w:p>
        </w:tc>
        <w:tc>
          <w:tcPr>
            <w:tcW w:w="270" w:type="pct"/>
            <w:shd w:val="clear" w:color="auto" w:fill="auto"/>
            <w:noWrap/>
            <w:vAlign w:val="center"/>
            <w:hideMark/>
          </w:tcPr>
          <w:p w14:paraId="1B4E5018"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11%</w:t>
            </w:r>
          </w:p>
        </w:tc>
        <w:tc>
          <w:tcPr>
            <w:tcW w:w="270" w:type="pct"/>
            <w:shd w:val="clear" w:color="auto" w:fill="auto"/>
            <w:noWrap/>
            <w:vAlign w:val="center"/>
            <w:hideMark/>
          </w:tcPr>
          <w:p w14:paraId="26636E1B"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4F83BCE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8%</w:t>
            </w:r>
          </w:p>
        </w:tc>
        <w:tc>
          <w:tcPr>
            <w:tcW w:w="270" w:type="pct"/>
            <w:shd w:val="clear" w:color="auto" w:fill="auto"/>
            <w:noWrap/>
            <w:vAlign w:val="center"/>
            <w:hideMark/>
          </w:tcPr>
          <w:p w14:paraId="0BF3B601"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1F99F90A"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8%</w:t>
            </w:r>
          </w:p>
        </w:tc>
        <w:tc>
          <w:tcPr>
            <w:tcW w:w="270" w:type="pct"/>
            <w:shd w:val="clear" w:color="auto" w:fill="auto"/>
            <w:noWrap/>
            <w:vAlign w:val="center"/>
            <w:hideMark/>
          </w:tcPr>
          <w:p w14:paraId="70F3C2B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52817DE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4CC90E1E"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582F7C0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r>
      <w:tr w:rsidR="00711296" w:rsidRPr="008B56ED" w14:paraId="30E95A2E" w14:textId="77777777" w:rsidTr="00711296">
        <w:trPr>
          <w:trHeight w:val="285"/>
        </w:trPr>
        <w:tc>
          <w:tcPr>
            <w:tcW w:w="2299" w:type="pct"/>
            <w:shd w:val="clear" w:color="auto" w:fill="auto"/>
            <w:noWrap/>
            <w:vAlign w:val="center"/>
            <w:hideMark/>
          </w:tcPr>
          <w:p w14:paraId="26863EEB" w14:textId="77777777"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Palestinian imports of goods and services from Israel out of total Palestinian imports</w:t>
            </w:r>
          </w:p>
        </w:tc>
        <w:tc>
          <w:tcPr>
            <w:tcW w:w="270" w:type="pct"/>
            <w:shd w:val="clear" w:color="auto" w:fill="auto"/>
            <w:noWrap/>
            <w:vAlign w:val="center"/>
            <w:hideMark/>
          </w:tcPr>
          <w:p w14:paraId="0728812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12%</w:t>
            </w:r>
          </w:p>
        </w:tc>
        <w:tc>
          <w:tcPr>
            <w:tcW w:w="270" w:type="pct"/>
            <w:shd w:val="clear" w:color="auto" w:fill="auto"/>
            <w:noWrap/>
            <w:vAlign w:val="center"/>
            <w:hideMark/>
          </w:tcPr>
          <w:p w14:paraId="37F0AA5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10%</w:t>
            </w:r>
          </w:p>
        </w:tc>
        <w:tc>
          <w:tcPr>
            <w:tcW w:w="270" w:type="pct"/>
            <w:shd w:val="clear" w:color="auto" w:fill="auto"/>
            <w:noWrap/>
            <w:vAlign w:val="center"/>
            <w:hideMark/>
          </w:tcPr>
          <w:p w14:paraId="26C2886B"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8%</w:t>
            </w:r>
          </w:p>
        </w:tc>
        <w:tc>
          <w:tcPr>
            <w:tcW w:w="270" w:type="pct"/>
            <w:shd w:val="clear" w:color="auto" w:fill="auto"/>
            <w:noWrap/>
            <w:vAlign w:val="center"/>
            <w:hideMark/>
          </w:tcPr>
          <w:p w14:paraId="0FF8440B"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8%</w:t>
            </w:r>
          </w:p>
        </w:tc>
        <w:tc>
          <w:tcPr>
            <w:tcW w:w="270" w:type="pct"/>
            <w:shd w:val="clear" w:color="auto" w:fill="auto"/>
            <w:noWrap/>
            <w:vAlign w:val="center"/>
            <w:hideMark/>
          </w:tcPr>
          <w:p w14:paraId="4257254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243EC381"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16DEFF1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2%</w:t>
            </w:r>
          </w:p>
        </w:tc>
        <w:tc>
          <w:tcPr>
            <w:tcW w:w="270" w:type="pct"/>
            <w:shd w:val="clear" w:color="auto" w:fill="auto"/>
            <w:noWrap/>
            <w:vAlign w:val="center"/>
            <w:hideMark/>
          </w:tcPr>
          <w:p w14:paraId="03EDA772"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c>
          <w:tcPr>
            <w:tcW w:w="270" w:type="pct"/>
            <w:shd w:val="clear" w:color="auto" w:fill="auto"/>
            <w:noWrap/>
            <w:vAlign w:val="center"/>
            <w:hideMark/>
          </w:tcPr>
          <w:p w14:paraId="4F3D84D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061D664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r>
      <w:tr w:rsidR="00711296" w:rsidRPr="008B56ED" w14:paraId="0DB39BC8" w14:textId="77777777" w:rsidTr="00711296">
        <w:trPr>
          <w:trHeight w:val="285"/>
        </w:trPr>
        <w:tc>
          <w:tcPr>
            <w:tcW w:w="2299" w:type="pct"/>
            <w:shd w:val="clear" w:color="auto" w:fill="auto"/>
            <w:noWrap/>
            <w:vAlign w:val="center"/>
            <w:hideMark/>
          </w:tcPr>
          <w:p w14:paraId="03356CE2" w14:textId="77777777"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Share of Gross clearance revenues out of Total PA net revenues and grants</w:t>
            </w:r>
          </w:p>
        </w:tc>
        <w:tc>
          <w:tcPr>
            <w:tcW w:w="270" w:type="pct"/>
            <w:shd w:val="clear" w:color="auto" w:fill="auto"/>
            <w:noWrap/>
            <w:vAlign w:val="center"/>
            <w:hideMark/>
          </w:tcPr>
          <w:p w14:paraId="339EC93C"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6D9ABFF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64C2536B"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0E072C2E"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2%</w:t>
            </w:r>
          </w:p>
        </w:tc>
        <w:tc>
          <w:tcPr>
            <w:tcW w:w="270" w:type="pct"/>
            <w:shd w:val="clear" w:color="auto" w:fill="auto"/>
            <w:noWrap/>
            <w:vAlign w:val="center"/>
            <w:hideMark/>
          </w:tcPr>
          <w:p w14:paraId="4436A14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7ED6D079"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1208B96E"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73BE740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6C75D37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7F3E223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r>
      <w:tr w:rsidR="00711296" w:rsidRPr="008B56ED" w14:paraId="43B8DB7F" w14:textId="77777777" w:rsidTr="00711296">
        <w:trPr>
          <w:trHeight w:val="285"/>
        </w:trPr>
        <w:tc>
          <w:tcPr>
            <w:tcW w:w="2299" w:type="pct"/>
            <w:shd w:val="clear" w:color="auto" w:fill="auto"/>
            <w:noWrap/>
            <w:vAlign w:val="center"/>
            <w:hideMark/>
          </w:tcPr>
          <w:p w14:paraId="3E6C0E9D" w14:textId="77777777"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Palestinians employed in Israel out of total Palestinian employed Individuals</w:t>
            </w:r>
          </w:p>
        </w:tc>
        <w:tc>
          <w:tcPr>
            <w:tcW w:w="270" w:type="pct"/>
            <w:shd w:val="clear" w:color="auto" w:fill="auto"/>
            <w:noWrap/>
            <w:vAlign w:val="center"/>
            <w:hideMark/>
          </w:tcPr>
          <w:p w14:paraId="52797766"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18E6602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c>
          <w:tcPr>
            <w:tcW w:w="270" w:type="pct"/>
            <w:shd w:val="clear" w:color="auto" w:fill="auto"/>
            <w:noWrap/>
            <w:vAlign w:val="center"/>
            <w:hideMark/>
          </w:tcPr>
          <w:p w14:paraId="590327FB"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6921BF6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4EB85F28"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122756BA"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0A36E53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7703C83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6725CFE2"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30A4F788"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r>
      <w:tr w:rsidR="00711296" w:rsidRPr="008B56ED" w14:paraId="2FE767D0" w14:textId="77777777" w:rsidTr="00711296">
        <w:trPr>
          <w:trHeight w:val="285"/>
        </w:trPr>
        <w:tc>
          <w:tcPr>
            <w:tcW w:w="2299" w:type="pct"/>
            <w:shd w:val="clear" w:color="auto" w:fill="auto"/>
            <w:noWrap/>
            <w:vAlign w:val="center"/>
            <w:hideMark/>
          </w:tcPr>
          <w:p w14:paraId="25C96EBB" w14:textId="77777777"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Remittances of Palestinians workers in Israel out of WBG GNI</w:t>
            </w:r>
          </w:p>
        </w:tc>
        <w:tc>
          <w:tcPr>
            <w:tcW w:w="270" w:type="pct"/>
            <w:shd w:val="clear" w:color="auto" w:fill="auto"/>
            <w:noWrap/>
            <w:vAlign w:val="center"/>
            <w:hideMark/>
          </w:tcPr>
          <w:p w14:paraId="3BA9BC5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79AC6A71"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c>
          <w:tcPr>
            <w:tcW w:w="270" w:type="pct"/>
            <w:shd w:val="clear" w:color="auto" w:fill="auto"/>
            <w:noWrap/>
            <w:vAlign w:val="center"/>
            <w:hideMark/>
          </w:tcPr>
          <w:p w14:paraId="667C5A66"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c>
          <w:tcPr>
            <w:tcW w:w="270" w:type="pct"/>
            <w:shd w:val="clear" w:color="auto" w:fill="auto"/>
            <w:noWrap/>
            <w:vAlign w:val="center"/>
            <w:hideMark/>
          </w:tcPr>
          <w:p w14:paraId="4BA4E3E1"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2%</w:t>
            </w:r>
          </w:p>
        </w:tc>
        <w:tc>
          <w:tcPr>
            <w:tcW w:w="270" w:type="pct"/>
            <w:shd w:val="clear" w:color="auto" w:fill="auto"/>
            <w:noWrap/>
            <w:vAlign w:val="center"/>
            <w:hideMark/>
          </w:tcPr>
          <w:p w14:paraId="0FC70D0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624A7FCE"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5F15F4A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6856827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59D77E4C"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3B15018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r>
      <w:tr w:rsidR="00711296" w:rsidRPr="008B56ED" w14:paraId="754DD9EB" w14:textId="77777777" w:rsidTr="00711296">
        <w:trPr>
          <w:trHeight w:val="285"/>
        </w:trPr>
        <w:tc>
          <w:tcPr>
            <w:tcW w:w="2299" w:type="pct"/>
            <w:shd w:val="clear" w:color="auto" w:fill="auto"/>
            <w:noWrap/>
            <w:vAlign w:val="center"/>
            <w:hideMark/>
          </w:tcPr>
          <w:p w14:paraId="5B866802" w14:textId="6195B2C2"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Number of Israeli cars entering the WB</w:t>
            </w:r>
          </w:p>
        </w:tc>
        <w:tc>
          <w:tcPr>
            <w:tcW w:w="270" w:type="pct"/>
            <w:shd w:val="clear" w:color="auto" w:fill="auto"/>
            <w:noWrap/>
            <w:vAlign w:val="center"/>
            <w:hideMark/>
          </w:tcPr>
          <w:p w14:paraId="4E50FF9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146984FE"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2F1FCEE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72514A7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33A262D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77B6A12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c>
          <w:tcPr>
            <w:tcW w:w="270" w:type="pct"/>
            <w:shd w:val="clear" w:color="auto" w:fill="auto"/>
            <w:noWrap/>
            <w:vAlign w:val="center"/>
            <w:hideMark/>
          </w:tcPr>
          <w:p w14:paraId="34514736"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2D25A7C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18A249D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24F8BBEB"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r>
      <w:tr w:rsidR="00711296" w:rsidRPr="008B56ED" w14:paraId="54272432" w14:textId="77777777" w:rsidTr="00711296">
        <w:trPr>
          <w:trHeight w:val="300"/>
        </w:trPr>
        <w:tc>
          <w:tcPr>
            <w:tcW w:w="2299" w:type="pct"/>
            <w:shd w:val="clear" w:color="auto" w:fill="auto"/>
            <w:noWrap/>
            <w:vAlign w:val="center"/>
            <w:hideMark/>
          </w:tcPr>
          <w:p w14:paraId="46AE0B60" w14:textId="46F7B3EA"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Movement of people between Israel and the WB</w:t>
            </w:r>
          </w:p>
        </w:tc>
        <w:tc>
          <w:tcPr>
            <w:tcW w:w="270" w:type="pct"/>
            <w:shd w:val="clear" w:color="auto" w:fill="auto"/>
            <w:noWrap/>
            <w:vAlign w:val="center"/>
            <w:hideMark/>
          </w:tcPr>
          <w:p w14:paraId="1DF73739"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300E34EA"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2C10B91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c>
          <w:tcPr>
            <w:tcW w:w="270" w:type="pct"/>
            <w:shd w:val="clear" w:color="auto" w:fill="auto"/>
            <w:noWrap/>
            <w:vAlign w:val="center"/>
            <w:hideMark/>
          </w:tcPr>
          <w:p w14:paraId="189A920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2%</w:t>
            </w:r>
          </w:p>
        </w:tc>
        <w:tc>
          <w:tcPr>
            <w:tcW w:w="270" w:type="pct"/>
            <w:shd w:val="clear" w:color="auto" w:fill="auto"/>
            <w:noWrap/>
            <w:vAlign w:val="center"/>
            <w:hideMark/>
          </w:tcPr>
          <w:p w14:paraId="7CE035F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4082F309"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7AB283F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2D7EC4C6"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734FB29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538298A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r>
      <w:tr w:rsidR="00711296" w:rsidRPr="008B56ED" w14:paraId="7437D953" w14:textId="77777777" w:rsidTr="00711296">
        <w:trPr>
          <w:trHeight w:val="300"/>
        </w:trPr>
        <w:tc>
          <w:tcPr>
            <w:tcW w:w="2299" w:type="pct"/>
            <w:shd w:val="clear" w:color="auto" w:fill="auto"/>
            <w:noWrap/>
            <w:vAlign w:val="center"/>
            <w:hideMark/>
          </w:tcPr>
          <w:p w14:paraId="7CA470B8" w14:textId="77777777"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Percentage of Palestinians entering Israel for medical treatment</w:t>
            </w:r>
          </w:p>
        </w:tc>
        <w:tc>
          <w:tcPr>
            <w:tcW w:w="270" w:type="pct"/>
            <w:shd w:val="clear" w:color="auto" w:fill="auto"/>
            <w:noWrap/>
            <w:vAlign w:val="center"/>
            <w:hideMark/>
          </w:tcPr>
          <w:p w14:paraId="4B854BE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8%</w:t>
            </w:r>
          </w:p>
        </w:tc>
        <w:tc>
          <w:tcPr>
            <w:tcW w:w="270" w:type="pct"/>
            <w:shd w:val="clear" w:color="auto" w:fill="auto"/>
            <w:noWrap/>
            <w:vAlign w:val="center"/>
            <w:hideMark/>
          </w:tcPr>
          <w:p w14:paraId="53BD25D8"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c>
          <w:tcPr>
            <w:tcW w:w="270" w:type="pct"/>
            <w:shd w:val="clear" w:color="auto" w:fill="auto"/>
            <w:noWrap/>
            <w:vAlign w:val="center"/>
            <w:hideMark/>
          </w:tcPr>
          <w:p w14:paraId="1A61BC4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9%</w:t>
            </w:r>
          </w:p>
        </w:tc>
        <w:tc>
          <w:tcPr>
            <w:tcW w:w="270" w:type="pct"/>
            <w:shd w:val="clear" w:color="auto" w:fill="auto"/>
            <w:noWrap/>
            <w:vAlign w:val="center"/>
            <w:hideMark/>
          </w:tcPr>
          <w:p w14:paraId="32804CA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7F09753C"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8%</w:t>
            </w:r>
          </w:p>
        </w:tc>
        <w:tc>
          <w:tcPr>
            <w:tcW w:w="270" w:type="pct"/>
            <w:shd w:val="clear" w:color="auto" w:fill="auto"/>
            <w:noWrap/>
            <w:vAlign w:val="center"/>
            <w:hideMark/>
          </w:tcPr>
          <w:p w14:paraId="28E38572"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c>
          <w:tcPr>
            <w:tcW w:w="270" w:type="pct"/>
            <w:shd w:val="clear" w:color="auto" w:fill="auto"/>
            <w:noWrap/>
            <w:vAlign w:val="center"/>
            <w:hideMark/>
          </w:tcPr>
          <w:p w14:paraId="3B8329A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31E0B658"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14C011E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2%</w:t>
            </w:r>
          </w:p>
        </w:tc>
        <w:tc>
          <w:tcPr>
            <w:tcW w:w="270" w:type="pct"/>
            <w:shd w:val="clear" w:color="auto" w:fill="auto"/>
            <w:noWrap/>
            <w:vAlign w:val="center"/>
            <w:hideMark/>
          </w:tcPr>
          <w:p w14:paraId="277CA7A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r>
      <w:tr w:rsidR="00711296" w:rsidRPr="008B56ED" w14:paraId="655AF24F" w14:textId="77777777" w:rsidTr="00711296">
        <w:trPr>
          <w:trHeight w:val="300"/>
        </w:trPr>
        <w:tc>
          <w:tcPr>
            <w:tcW w:w="2299" w:type="pct"/>
            <w:shd w:val="clear" w:color="auto" w:fill="auto"/>
            <w:noWrap/>
            <w:vAlign w:val="center"/>
            <w:hideMark/>
          </w:tcPr>
          <w:p w14:paraId="1D993F70" w14:textId="77777777"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Percentage of Palestinian households that conducted Outbound Trips to Israel</w:t>
            </w:r>
          </w:p>
        </w:tc>
        <w:tc>
          <w:tcPr>
            <w:tcW w:w="270" w:type="pct"/>
            <w:shd w:val="clear" w:color="auto" w:fill="auto"/>
            <w:noWrap/>
            <w:vAlign w:val="center"/>
            <w:hideMark/>
          </w:tcPr>
          <w:p w14:paraId="1B236FF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398A82F6"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2%</w:t>
            </w:r>
          </w:p>
        </w:tc>
        <w:tc>
          <w:tcPr>
            <w:tcW w:w="270" w:type="pct"/>
            <w:shd w:val="clear" w:color="auto" w:fill="auto"/>
            <w:noWrap/>
            <w:vAlign w:val="center"/>
            <w:hideMark/>
          </w:tcPr>
          <w:p w14:paraId="11CEEE5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4A9B14D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c>
          <w:tcPr>
            <w:tcW w:w="270" w:type="pct"/>
            <w:shd w:val="clear" w:color="auto" w:fill="auto"/>
            <w:noWrap/>
            <w:vAlign w:val="center"/>
            <w:hideMark/>
          </w:tcPr>
          <w:p w14:paraId="3A7B58A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c>
          <w:tcPr>
            <w:tcW w:w="270" w:type="pct"/>
            <w:shd w:val="clear" w:color="auto" w:fill="auto"/>
            <w:noWrap/>
            <w:vAlign w:val="center"/>
            <w:hideMark/>
          </w:tcPr>
          <w:p w14:paraId="290471E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2A9395F2"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7AEC409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5478208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1F85A6C1"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r>
      <w:tr w:rsidR="00711296" w:rsidRPr="008B56ED" w14:paraId="25B7F521" w14:textId="77777777" w:rsidTr="00711296">
        <w:trPr>
          <w:trHeight w:val="300"/>
        </w:trPr>
        <w:tc>
          <w:tcPr>
            <w:tcW w:w="2299" w:type="pct"/>
            <w:shd w:val="clear" w:color="auto" w:fill="auto"/>
            <w:noWrap/>
            <w:vAlign w:val="center"/>
            <w:hideMark/>
          </w:tcPr>
          <w:p w14:paraId="6D0EA361" w14:textId="27BDE004"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Percentage of Israeli guests’ nights in WB Hotels</w:t>
            </w:r>
          </w:p>
        </w:tc>
        <w:tc>
          <w:tcPr>
            <w:tcW w:w="270" w:type="pct"/>
            <w:shd w:val="clear" w:color="auto" w:fill="auto"/>
            <w:noWrap/>
            <w:vAlign w:val="center"/>
            <w:hideMark/>
          </w:tcPr>
          <w:p w14:paraId="659EA28B"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11CE945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3D1D0839"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c>
          <w:tcPr>
            <w:tcW w:w="270" w:type="pct"/>
            <w:shd w:val="clear" w:color="auto" w:fill="auto"/>
            <w:noWrap/>
            <w:vAlign w:val="center"/>
            <w:hideMark/>
          </w:tcPr>
          <w:p w14:paraId="1DD144E8"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c>
          <w:tcPr>
            <w:tcW w:w="270" w:type="pct"/>
            <w:shd w:val="clear" w:color="auto" w:fill="auto"/>
            <w:noWrap/>
            <w:vAlign w:val="center"/>
            <w:hideMark/>
          </w:tcPr>
          <w:p w14:paraId="004D35BA"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c>
          <w:tcPr>
            <w:tcW w:w="270" w:type="pct"/>
            <w:shd w:val="clear" w:color="auto" w:fill="auto"/>
            <w:noWrap/>
            <w:vAlign w:val="center"/>
            <w:hideMark/>
          </w:tcPr>
          <w:p w14:paraId="2D12D1F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460D25A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c>
          <w:tcPr>
            <w:tcW w:w="270" w:type="pct"/>
            <w:shd w:val="clear" w:color="auto" w:fill="auto"/>
            <w:noWrap/>
            <w:vAlign w:val="center"/>
            <w:hideMark/>
          </w:tcPr>
          <w:p w14:paraId="016A5FB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68E7E15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22BC1D2C"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r>
      <w:tr w:rsidR="00711296" w:rsidRPr="008B56ED" w14:paraId="012800E0" w14:textId="77777777" w:rsidTr="00711296">
        <w:trPr>
          <w:trHeight w:val="300"/>
        </w:trPr>
        <w:tc>
          <w:tcPr>
            <w:tcW w:w="2299" w:type="pct"/>
            <w:shd w:val="clear" w:color="auto" w:fill="auto"/>
            <w:noWrap/>
            <w:vAlign w:val="center"/>
            <w:hideMark/>
          </w:tcPr>
          <w:p w14:paraId="1D43CC28" w14:textId="3A47C249"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Mobile cellular subscriptions (ratio)</w:t>
            </w:r>
          </w:p>
        </w:tc>
        <w:tc>
          <w:tcPr>
            <w:tcW w:w="270" w:type="pct"/>
            <w:shd w:val="clear" w:color="auto" w:fill="auto"/>
            <w:noWrap/>
            <w:vAlign w:val="center"/>
            <w:hideMark/>
          </w:tcPr>
          <w:p w14:paraId="4CFBD3DA"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73FB2A4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059309EB"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74F0418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400ECAFC"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128DF19A"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6A7A626E"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741F0CB8"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6637EB39"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c>
          <w:tcPr>
            <w:tcW w:w="270" w:type="pct"/>
            <w:shd w:val="clear" w:color="auto" w:fill="auto"/>
            <w:noWrap/>
            <w:vAlign w:val="center"/>
            <w:hideMark/>
          </w:tcPr>
          <w:p w14:paraId="0A47D7A1"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r>
      <w:tr w:rsidR="00711296" w:rsidRPr="008B56ED" w14:paraId="18BBFC41" w14:textId="77777777" w:rsidTr="00711296">
        <w:trPr>
          <w:trHeight w:val="300"/>
        </w:trPr>
        <w:tc>
          <w:tcPr>
            <w:tcW w:w="2299" w:type="pct"/>
            <w:shd w:val="clear" w:color="auto" w:fill="auto"/>
            <w:noWrap/>
            <w:vAlign w:val="center"/>
            <w:hideMark/>
          </w:tcPr>
          <w:p w14:paraId="76B64C7E" w14:textId="6DF53346"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Individuals using the Internet (ratio)</w:t>
            </w:r>
          </w:p>
        </w:tc>
        <w:tc>
          <w:tcPr>
            <w:tcW w:w="270" w:type="pct"/>
            <w:shd w:val="clear" w:color="auto" w:fill="auto"/>
            <w:noWrap/>
            <w:vAlign w:val="center"/>
            <w:hideMark/>
          </w:tcPr>
          <w:p w14:paraId="4AA163A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2C79CA6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2%</w:t>
            </w:r>
          </w:p>
        </w:tc>
        <w:tc>
          <w:tcPr>
            <w:tcW w:w="270" w:type="pct"/>
            <w:shd w:val="clear" w:color="auto" w:fill="auto"/>
            <w:noWrap/>
            <w:vAlign w:val="center"/>
            <w:hideMark/>
          </w:tcPr>
          <w:p w14:paraId="5757849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5387BD79"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197CB28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5FD9001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8%</w:t>
            </w:r>
          </w:p>
        </w:tc>
        <w:tc>
          <w:tcPr>
            <w:tcW w:w="270" w:type="pct"/>
            <w:shd w:val="clear" w:color="auto" w:fill="auto"/>
            <w:noWrap/>
            <w:vAlign w:val="center"/>
            <w:hideMark/>
          </w:tcPr>
          <w:p w14:paraId="22E63F0A"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760D28B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c>
          <w:tcPr>
            <w:tcW w:w="270" w:type="pct"/>
            <w:shd w:val="clear" w:color="auto" w:fill="auto"/>
            <w:noWrap/>
            <w:vAlign w:val="center"/>
            <w:hideMark/>
          </w:tcPr>
          <w:p w14:paraId="71DEE1C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0E8829E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8%</w:t>
            </w:r>
          </w:p>
        </w:tc>
      </w:tr>
      <w:tr w:rsidR="00711296" w:rsidRPr="008B56ED" w14:paraId="7E488C0E" w14:textId="77777777" w:rsidTr="00711296">
        <w:trPr>
          <w:trHeight w:val="300"/>
        </w:trPr>
        <w:tc>
          <w:tcPr>
            <w:tcW w:w="2299" w:type="pct"/>
            <w:shd w:val="clear" w:color="auto" w:fill="auto"/>
            <w:noWrap/>
            <w:vAlign w:val="center"/>
            <w:hideMark/>
          </w:tcPr>
          <w:p w14:paraId="7EC8F6B7" w14:textId="77777777"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Fixed broadband subscriptions (ratio)</w:t>
            </w:r>
          </w:p>
        </w:tc>
        <w:tc>
          <w:tcPr>
            <w:tcW w:w="270" w:type="pct"/>
            <w:shd w:val="clear" w:color="auto" w:fill="auto"/>
            <w:noWrap/>
            <w:vAlign w:val="center"/>
            <w:hideMark/>
          </w:tcPr>
          <w:p w14:paraId="7EADD80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6E45164C"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6B7563C2"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2%</w:t>
            </w:r>
          </w:p>
        </w:tc>
        <w:tc>
          <w:tcPr>
            <w:tcW w:w="270" w:type="pct"/>
            <w:shd w:val="clear" w:color="auto" w:fill="auto"/>
            <w:noWrap/>
            <w:vAlign w:val="center"/>
            <w:hideMark/>
          </w:tcPr>
          <w:p w14:paraId="1180F6F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1B8E8A4B"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465C13B2"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c>
          <w:tcPr>
            <w:tcW w:w="270" w:type="pct"/>
            <w:shd w:val="clear" w:color="auto" w:fill="auto"/>
            <w:noWrap/>
            <w:vAlign w:val="center"/>
            <w:hideMark/>
          </w:tcPr>
          <w:p w14:paraId="556C7332"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c>
          <w:tcPr>
            <w:tcW w:w="270" w:type="pct"/>
            <w:shd w:val="clear" w:color="auto" w:fill="auto"/>
            <w:noWrap/>
            <w:vAlign w:val="center"/>
            <w:hideMark/>
          </w:tcPr>
          <w:p w14:paraId="3C8C35B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8%</w:t>
            </w:r>
          </w:p>
        </w:tc>
        <w:tc>
          <w:tcPr>
            <w:tcW w:w="270" w:type="pct"/>
            <w:shd w:val="clear" w:color="auto" w:fill="auto"/>
            <w:noWrap/>
            <w:vAlign w:val="center"/>
            <w:hideMark/>
          </w:tcPr>
          <w:p w14:paraId="69F533D9"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c>
          <w:tcPr>
            <w:tcW w:w="270" w:type="pct"/>
            <w:shd w:val="clear" w:color="auto" w:fill="auto"/>
            <w:noWrap/>
            <w:vAlign w:val="center"/>
            <w:hideMark/>
          </w:tcPr>
          <w:p w14:paraId="7ED2F68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8%</w:t>
            </w:r>
          </w:p>
        </w:tc>
      </w:tr>
      <w:tr w:rsidR="00711296" w:rsidRPr="008B56ED" w14:paraId="72693553" w14:textId="77777777" w:rsidTr="00711296">
        <w:trPr>
          <w:trHeight w:val="300"/>
        </w:trPr>
        <w:tc>
          <w:tcPr>
            <w:tcW w:w="2299" w:type="pct"/>
            <w:shd w:val="clear" w:color="auto" w:fill="auto"/>
            <w:noWrap/>
            <w:vAlign w:val="center"/>
            <w:hideMark/>
          </w:tcPr>
          <w:p w14:paraId="4031EE65" w14:textId="77777777"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Electricity imported from Israel out of total available electricity in the WBG</w:t>
            </w:r>
          </w:p>
        </w:tc>
        <w:tc>
          <w:tcPr>
            <w:tcW w:w="270" w:type="pct"/>
            <w:shd w:val="clear" w:color="auto" w:fill="auto"/>
            <w:noWrap/>
            <w:vAlign w:val="center"/>
            <w:hideMark/>
          </w:tcPr>
          <w:p w14:paraId="5693758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c>
          <w:tcPr>
            <w:tcW w:w="270" w:type="pct"/>
            <w:shd w:val="clear" w:color="auto" w:fill="auto"/>
            <w:noWrap/>
            <w:vAlign w:val="center"/>
            <w:hideMark/>
          </w:tcPr>
          <w:p w14:paraId="721097E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01A06D49"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028D4072"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7FEE0E5B"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6AA9C68E"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0E333318"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5D3BDCB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5C8F0669"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75F5D13E"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2%</w:t>
            </w:r>
          </w:p>
        </w:tc>
      </w:tr>
      <w:tr w:rsidR="00711296" w:rsidRPr="008B56ED" w14:paraId="543A93FE" w14:textId="77777777" w:rsidTr="00711296">
        <w:trPr>
          <w:trHeight w:val="300"/>
        </w:trPr>
        <w:tc>
          <w:tcPr>
            <w:tcW w:w="2299" w:type="pct"/>
            <w:shd w:val="clear" w:color="auto" w:fill="auto"/>
            <w:noWrap/>
            <w:vAlign w:val="center"/>
            <w:hideMark/>
          </w:tcPr>
          <w:p w14:paraId="492FB075" w14:textId="77777777"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Water Purchased from Israel out of available water quantity in the WBG</w:t>
            </w:r>
          </w:p>
        </w:tc>
        <w:tc>
          <w:tcPr>
            <w:tcW w:w="270" w:type="pct"/>
            <w:shd w:val="clear" w:color="auto" w:fill="auto"/>
            <w:noWrap/>
            <w:vAlign w:val="center"/>
            <w:hideMark/>
          </w:tcPr>
          <w:p w14:paraId="4591435B"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70D1E581"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3F5E71D6"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2541EED8"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2%</w:t>
            </w:r>
          </w:p>
        </w:tc>
        <w:tc>
          <w:tcPr>
            <w:tcW w:w="270" w:type="pct"/>
            <w:shd w:val="clear" w:color="auto" w:fill="auto"/>
            <w:noWrap/>
            <w:vAlign w:val="center"/>
            <w:hideMark/>
          </w:tcPr>
          <w:p w14:paraId="6D748E9C"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2B8FF51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4CB9C43A"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0DA9B53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c>
          <w:tcPr>
            <w:tcW w:w="270" w:type="pct"/>
            <w:shd w:val="clear" w:color="auto" w:fill="auto"/>
            <w:noWrap/>
            <w:vAlign w:val="center"/>
            <w:hideMark/>
          </w:tcPr>
          <w:p w14:paraId="429AF30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4D691AEB"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r>
      <w:tr w:rsidR="00711296" w:rsidRPr="008B56ED" w14:paraId="47F3B382" w14:textId="77777777" w:rsidTr="00711296">
        <w:trPr>
          <w:trHeight w:val="300"/>
        </w:trPr>
        <w:tc>
          <w:tcPr>
            <w:tcW w:w="2299" w:type="pct"/>
            <w:shd w:val="clear" w:color="auto" w:fill="auto"/>
            <w:noWrap/>
            <w:vAlign w:val="center"/>
            <w:hideMark/>
          </w:tcPr>
          <w:p w14:paraId="664C6351" w14:textId="77777777"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Share of NIS deposits in the Palestinian banking system</w:t>
            </w:r>
          </w:p>
        </w:tc>
        <w:tc>
          <w:tcPr>
            <w:tcW w:w="270" w:type="pct"/>
            <w:shd w:val="clear" w:color="auto" w:fill="auto"/>
            <w:noWrap/>
            <w:vAlign w:val="center"/>
            <w:hideMark/>
          </w:tcPr>
          <w:p w14:paraId="1B8B17C9"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421C291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4D609A7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0E11A10B"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555BDB1E"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3FF1E99C"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c>
          <w:tcPr>
            <w:tcW w:w="270" w:type="pct"/>
            <w:shd w:val="clear" w:color="auto" w:fill="auto"/>
            <w:noWrap/>
            <w:vAlign w:val="center"/>
            <w:hideMark/>
          </w:tcPr>
          <w:p w14:paraId="3E9BEC19"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7EBD6088"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422D3F5C"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5CE4934C"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r>
      <w:tr w:rsidR="00711296" w:rsidRPr="008B56ED" w14:paraId="631635FB" w14:textId="77777777" w:rsidTr="00711296">
        <w:trPr>
          <w:trHeight w:val="300"/>
        </w:trPr>
        <w:tc>
          <w:tcPr>
            <w:tcW w:w="2299" w:type="pct"/>
            <w:shd w:val="clear" w:color="auto" w:fill="auto"/>
            <w:noWrap/>
            <w:vAlign w:val="center"/>
            <w:hideMark/>
          </w:tcPr>
          <w:p w14:paraId="6B3A6774" w14:textId="77777777"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Share of NIS credit in the Palestinian banking system</w:t>
            </w:r>
          </w:p>
        </w:tc>
        <w:tc>
          <w:tcPr>
            <w:tcW w:w="270" w:type="pct"/>
            <w:shd w:val="clear" w:color="auto" w:fill="auto"/>
            <w:noWrap/>
            <w:vAlign w:val="center"/>
            <w:hideMark/>
          </w:tcPr>
          <w:p w14:paraId="3A9FB631"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1C1D42C1"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2996AE7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14B1037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65DE06E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11BC9C2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0BBE2BEE"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19A7F4B2"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5B63231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0545D558"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r>
      <w:tr w:rsidR="00711296" w:rsidRPr="008B56ED" w14:paraId="3C97C4C0" w14:textId="77777777" w:rsidTr="00711296">
        <w:trPr>
          <w:trHeight w:val="300"/>
        </w:trPr>
        <w:tc>
          <w:tcPr>
            <w:tcW w:w="2299" w:type="pct"/>
            <w:shd w:val="clear" w:color="auto" w:fill="auto"/>
            <w:noWrap/>
            <w:vAlign w:val="center"/>
            <w:hideMark/>
          </w:tcPr>
          <w:p w14:paraId="6621D40B" w14:textId="77777777"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Excess NIS cash deposited in Israel out of total NIS circulation</w:t>
            </w:r>
          </w:p>
        </w:tc>
        <w:tc>
          <w:tcPr>
            <w:tcW w:w="270" w:type="pct"/>
            <w:shd w:val="clear" w:color="auto" w:fill="auto"/>
            <w:noWrap/>
            <w:vAlign w:val="center"/>
            <w:hideMark/>
          </w:tcPr>
          <w:p w14:paraId="3AD09F7C"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70832AB1"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c>
          <w:tcPr>
            <w:tcW w:w="270" w:type="pct"/>
            <w:shd w:val="clear" w:color="auto" w:fill="auto"/>
            <w:noWrap/>
            <w:vAlign w:val="center"/>
            <w:hideMark/>
          </w:tcPr>
          <w:p w14:paraId="7309AF8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55A099C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0D37396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1AA14E41"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c>
          <w:tcPr>
            <w:tcW w:w="270" w:type="pct"/>
            <w:shd w:val="clear" w:color="auto" w:fill="auto"/>
            <w:noWrap/>
            <w:vAlign w:val="center"/>
            <w:hideMark/>
          </w:tcPr>
          <w:p w14:paraId="3943CB7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78E04786"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4F24D69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534942E2"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r>
      <w:tr w:rsidR="00711296" w:rsidRPr="008B56ED" w14:paraId="5DB70A89" w14:textId="77777777" w:rsidTr="00711296">
        <w:trPr>
          <w:trHeight w:val="300"/>
        </w:trPr>
        <w:tc>
          <w:tcPr>
            <w:tcW w:w="2299" w:type="pct"/>
            <w:shd w:val="clear" w:color="auto" w:fill="auto"/>
            <w:noWrap/>
            <w:vAlign w:val="center"/>
            <w:hideMark/>
          </w:tcPr>
          <w:p w14:paraId="2563BBC4" w14:textId="72BCEC94"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Checks and Money transfers volume out of WBG GNI</w:t>
            </w:r>
          </w:p>
        </w:tc>
        <w:tc>
          <w:tcPr>
            <w:tcW w:w="270" w:type="pct"/>
            <w:shd w:val="clear" w:color="auto" w:fill="auto"/>
            <w:noWrap/>
            <w:vAlign w:val="center"/>
            <w:hideMark/>
          </w:tcPr>
          <w:p w14:paraId="7E2702A6"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14%</w:t>
            </w:r>
          </w:p>
        </w:tc>
        <w:tc>
          <w:tcPr>
            <w:tcW w:w="270" w:type="pct"/>
            <w:shd w:val="clear" w:color="auto" w:fill="auto"/>
            <w:noWrap/>
            <w:vAlign w:val="center"/>
            <w:hideMark/>
          </w:tcPr>
          <w:p w14:paraId="399DA03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6F17B52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7B8D268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710B0996"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4F7BC0E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2%</w:t>
            </w:r>
          </w:p>
        </w:tc>
        <w:tc>
          <w:tcPr>
            <w:tcW w:w="270" w:type="pct"/>
            <w:shd w:val="clear" w:color="auto" w:fill="auto"/>
            <w:noWrap/>
            <w:vAlign w:val="center"/>
            <w:hideMark/>
          </w:tcPr>
          <w:p w14:paraId="59A3DF5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7EBBF7C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0C1C773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3B16333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r>
      <w:tr w:rsidR="00711296" w:rsidRPr="008B56ED" w14:paraId="5A0104BF" w14:textId="77777777" w:rsidTr="00711296">
        <w:trPr>
          <w:trHeight w:val="300"/>
        </w:trPr>
        <w:tc>
          <w:tcPr>
            <w:tcW w:w="2299" w:type="pct"/>
            <w:shd w:val="clear" w:color="auto" w:fill="auto"/>
            <w:noWrap/>
            <w:vAlign w:val="center"/>
            <w:hideMark/>
          </w:tcPr>
          <w:p w14:paraId="521C0FE5" w14:textId="54CCD630"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Share of NIS checks presented for clearing in the Palestinian banking system</w:t>
            </w:r>
          </w:p>
        </w:tc>
        <w:tc>
          <w:tcPr>
            <w:tcW w:w="270" w:type="pct"/>
            <w:shd w:val="clear" w:color="auto" w:fill="auto"/>
            <w:noWrap/>
            <w:vAlign w:val="center"/>
            <w:hideMark/>
          </w:tcPr>
          <w:p w14:paraId="199AB42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5EFD646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3A028EE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0F30FD9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657CB91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7CD53BC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1B646498"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7573E06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7973B5D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6712DEFA"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r>
      <w:tr w:rsidR="00711296" w:rsidRPr="008B56ED" w14:paraId="6820B341" w14:textId="77777777" w:rsidTr="00711296">
        <w:trPr>
          <w:trHeight w:val="300"/>
        </w:trPr>
        <w:tc>
          <w:tcPr>
            <w:tcW w:w="2299" w:type="pct"/>
            <w:shd w:val="clear" w:color="auto" w:fill="auto"/>
            <w:noWrap/>
            <w:vAlign w:val="center"/>
            <w:hideMark/>
          </w:tcPr>
          <w:p w14:paraId="741FEAC0" w14:textId="5141C2FB"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GDP per Capita (ratio)</w:t>
            </w:r>
          </w:p>
        </w:tc>
        <w:tc>
          <w:tcPr>
            <w:tcW w:w="270" w:type="pct"/>
            <w:shd w:val="clear" w:color="auto" w:fill="auto"/>
            <w:noWrap/>
            <w:vAlign w:val="center"/>
            <w:hideMark/>
          </w:tcPr>
          <w:p w14:paraId="077DC00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7E3BFB18"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5E1CB6E9"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8%</w:t>
            </w:r>
          </w:p>
        </w:tc>
        <w:tc>
          <w:tcPr>
            <w:tcW w:w="270" w:type="pct"/>
            <w:shd w:val="clear" w:color="auto" w:fill="auto"/>
            <w:noWrap/>
            <w:vAlign w:val="center"/>
            <w:hideMark/>
          </w:tcPr>
          <w:p w14:paraId="0EA1F7C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7%</w:t>
            </w:r>
          </w:p>
        </w:tc>
        <w:tc>
          <w:tcPr>
            <w:tcW w:w="270" w:type="pct"/>
            <w:shd w:val="clear" w:color="auto" w:fill="auto"/>
            <w:noWrap/>
            <w:vAlign w:val="center"/>
            <w:hideMark/>
          </w:tcPr>
          <w:p w14:paraId="76AADBF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13C6652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3D2481A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3C8FE699"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778E551E"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2%</w:t>
            </w:r>
          </w:p>
        </w:tc>
        <w:tc>
          <w:tcPr>
            <w:tcW w:w="270" w:type="pct"/>
            <w:shd w:val="clear" w:color="auto" w:fill="auto"/>
            <w:noWrap/>
            <w:vAlign w:val="center"/>
            <w:hideMark/>
          </w:tcPr>
          <w:p w14:paraId="2A64626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r>
      <w:tr w:rsidR="00711296" w:rsidRPr="008B56ED" w14:paraId="366629C9" w14:textId="77777777" w:rsidTr="00711296">
        <w:trPr>
          <w:trHeight w:val="300"/>
        </w:trPr>
        <w:tc>
          <w:tcPr>
            <w:tcW w:w="2299" w:type="pct"/>
            <w:shd w:val="clear" w:color="auto" w:fill="auto"/>
            <w:noWrap/>
            <w:vAlign w:val="center"/>
            <w:hideMark/>
          </w:tcPr>
          <w:p w14:paraId="4989C5A4" w14:textId="62E20554"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Price level (ratio)</w:t>
            </w:r>
          </w:p>
        </w:tc>
        <w:tc>
          <w:tcPr>
            <w:tcW w:w="270" w:type="pct"/>
            <w:shd w:val="clear" w:color="auto" w:fill="auto"/>
            <w:noWrap/>
            <w:vAlign w:val="center"/>
            <w:hideMark/>
          </w:tcPr>
          <w:p w14:paraId="456FF62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16%</w:t>
            </w:r>
          </w:p>
        </w:tc>
        <w:tc>
          <w:tcPr>
            <w:tcW w:w="270" w:type="pct"/>
            <w:shd w:val="clear" w:color="auto" w:fill="auto"/>
            <w:noWrap/>
            <w:vAlign w:val="center"/>
            <w:hideMark/>
          </w:tcPr>
          <w:p w14:paraId="7343EEC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14%</w:t>
            </w:r>
          </w:p>
        </w:tc>
        <w:tc>
          <w:tcPr>
            <w:tcW w:w="270" w:type="pct"/>
            <w:shd w:val="clear" w:color="auto" w:fill="auto"/>
            <w:noWrap/>
            <w:vAlign w:val="center"/>
            <w:hideMark/>
          </w:tcPr>
          <w:p w14:paraId="102BCDEA"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9%</w:t>
            </w:r>
          </w:p>
        </w:tc>
        <w:tc>
          <w:tcPr>
            <w:tcW w:w="270" w:type="pct"/>
            <w:shd w:val="clear" w:color="auto" w:fill="auto"/>
            <w:noWrap/>
            <w:vAlign w:val="center"/>
            <w:hideMark/>
          </w:tcPr>
          <w:p w14:paraId="7B87557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10%</w:t>
            </w:r>
          </w:p>
        </w:tc>
        <w:tc>
          <w:tcPr>
            <w:tcW w:w="270" w:type="pct"/>
            <w:shd w:val="clear" w:color="auto" w:fill="auto"/>
            <w:noWrap/>
            <w:vAlign w:val="center"/>
            <w:hideMark/>
          </w:tcPr>
          <w:p w14:paraId="11E66656"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4EF0BC6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2%</w:t>
            </w:r>
          </w:p>
        </w:tc>
        <w:tc>
          <w:tcPr>
            <w:tcW w:w="270" w:type="pct"/>
            <w:shd w:val="clear" w:color="auto" w:fill="auto"/>
            <w:noWrap/>
            <w:vAlign w:val="center"/>
            <w:hideMark/>
          </w:tcPr>
          <w:p w14:paraId="04784FA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16946ECC"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c>
          <w:tcPr>
            <w:tcW w:w="270" w:type="pct"/>
            <w:shd w:val="clear" w:color="auto" w:fill="auto"/>
            <w:noWrap/>
            <w:vAlign w:val="center"/>
            <w:hideMark/>
          </w:tcPr>
          <w:p w14:paraId="576B334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469AA98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r>
      <w:tr w:rsidR="00711296" w:rsidRPr="008B56ED" w14:paraId="6153D37B" w14:textId="77777777" w:rsidTr="00711296">
        <w:trPr>
          <w:trHeight w:val="300"/>
        </w:trPr>
        <w:tc>
          <w:tcPr>
            <w:tcW w:w="2299" w:type="pct"/>
            <w:shd w:val="clear" w:color="auto" w:fill="auto"/>
            <w:noWrap/>
            <w:vAlign w:val="center"/>
            <w:hideMark/>
          </w:tcPr>
          <w:p w14:paraId="085DCF07" w14:textId="13F341CF"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Market capitilazation (ratio)</w:t>
            </w:r>
          </w:p>
        </w:tc>
        <w:tc>
          <w:tcPr>
            <w:tcW w:w="270" w:type="pct"/>
            <w:shd w:val="clear" w:color="auto" w:fill="auto"/>
            <w:noWrap/>
            <w:vAlign w:val="center"/>
            <w:hideMark/>
          </w:tcPr>
          <w:p w14:paraId="11DBEC3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3D014442"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8%</w:t>
            </w:r>
          </w:p>
        </w:tc>
        <w:tc>
          <w:tcPr>
            <w:tcW w:w="270" w:type="pct"/>
            <w:shd w:val="clear" w:color="auto" w:fill="auto"/>
            <w:noWrap/>
            <w:vAlign w:val="center"/>
            <w:hideMark/>
          </w:tcPr>
          <w:p w14:paraId="74A468B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6253603F"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33A02A4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2282B40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2%</w:t>
            </w:r>
          </w:p>
        </w:tc>
        <w:tc>
          <w:tcPr>
            <w:tcW w:w="270" w:type="pct"/>
            <w:shd w:val="clear" w:color="auto" w:fill="auto"/>
            <w:noWrap/>
            <w:vAlign w:val="center"/>
            <w:hideMark/>
          </w:tcPr>
          <w:p w14:paraId="0B40EF9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5533800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4%</w:t>
            </w:r>
          </w:p>
        </w:tc>
        <w:tc>
          <w:tcPr>
            <w:tcW w:w="270" w:type="pct"/>
            <w:shd w:val="clear" w:color="auto" w:fill="auto"/>
            <w:noWrap/>
            <w:vAlign w:val="center"/>
            <w:hideMark/>
          </w:tcPr>
          <w:p w14:paraId="33C2FA56"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5A0A89C3"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r>
      <w:tr w:rsidR="00711296" w:rsidRPr="008B56ED" w14:paraId="7B51230B" w14:textId="77777777" w:rsidTr="00711296">
        <w:trPr>
          <w:trHeight w:val="300"/>
        </w:trPr>
        <w:tc>
          <w:tcPr>
            <w:tcW w:w="2299" w:type="pct"/>
            <w:shd w:val="clear" w:color="auto" w:fill="auto"/>
            <w:noWrap/>
            <w:vAlign w:val="center"/>
            <w:hideMark/>
          </w:tcPr>
          <w:p w14:paraId="67E5071F" w14:textId="77777777" w:rsidR="00711296" w:rsidRPr="008B56ED" w:rsidRDefault="00711296" w:rsidP="00711296">
            <w:pPr>
              <w:bidi w:val="0"/>
              <w:rPr>
                <w:rFonts w:asciiTheme="majorBidi" w:hAnsiTheme="majorBidi" w:cstheme="majorBidi"/>
                <w:color w:val="000000"/>
                <w:sz w:val="14"/>
                <w:szCs w:val="14"/>
              </w:rPr>
            </w:pPr>
            <w:r w:rsidRPr="008B56ED">
              <w:rPr>
                <w:rFonts w:asciiTheme="majorBidi" w:hAnsiTheme="majorBidi" w:cstheme="majorBidi"/>
                <w:color w:val="000000"/>
                <w:sz w:val="14"/>
                <w:szCs w:val="14"/>
              </w:rPr>
              <w:t>Daily Wage (ratio)</w:t>
            </w:r>
          </w:p>
        </w:tc>
        <w:tc>
          <w:tcPr>
            <w:tcW w:w="270" w:type="pct"/>
            <w:shd w:val="clear" w:color="auto" w:fill="auto"/>
            <w:noWrap/>
            <w:vAlign w:val="center"/>
            <w:hideMark/>
          </w:tcPr>
          <w:p w14:paraId="584F309D"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15%</w:t>
            </w:r>
          </w:p>
        </w:tc>
        <w:tc>
          <w:tcPr>
            <w:tcW w:w="270" w:type="pct"/>
            <w:shd w:val="clear" w:color="auto" w:fill="auto"/>
            <w:noWrap/>
            <w:vAlign w:val="center"/>
            <w:hideMark/>
          </w:tcPr>
          <w:p w14:paraId="7108D6A4"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12%</w:t>
            </w:r>
          </w:p>
        </w:tc>
        <w:tc>
          <w:tcPr>
            <w:tcW w:w="270" w:type="pct"/>
            <w:shd w:val="clear" w:color="auto" w:fill="auto"/>
            <w:noWrap/>
            <w:vAlign w:val="center"/>
            <w:hideMark/>
          </w:tcPr>
          <w:p w14:paraId="7B1F4916"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10%</w:t>
            </w:r>
          </w:p>
        </w:tc>
        <w:tc>
          <w:tcPr>
            <w:tcW w:w="270" w:type="pct"/>
            <w:shd w:val="clear" w:color="auto" w:fill="auto"/>
            <w:noWrap/>
            <w:vAlign w:val="center"/>
            <w:hideMark/>
          </w:tcPr>
          <w:p w14:paraId="7A43C667"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6%</w:t>
            </w:r>
          </w:p>
        </w:tc>
        <w:tc>
          <w:tcPr>
            <w:tcW w:w="270" w:type="pct"/>
            <w:shd w:val="clear" w:color="auto" w:fill="auto"/>
            <w:noWrap/>
            <w:vAlign w:val="center"/>
            <w:hideMark/>
          </w:tcPr>
          <w:p w14:paraId="151F4F89"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5%</w:t>
            </w:r>
          </w:p>
        </w:tc>
        <w:tc>
          <w:tcPr>
            <w:tcW w:w="270" w:type="pct"/>
            <w:shd w:val="clear" w:color="auto" w:fill="auto"/>
            <w:noWrap/>
            <w:vAlign w:val="center"/>
            <w:hideMark/>
          </w:tcPr>
          <w:p w14:paraId="6D3B06D2"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3%</w:t>
            </w:r>
          </w:p>
        </w:tc>
        <w:tc>
          <w:tcPr>
            <w:tcW w:w="270" w:type="pct"/>
            <w:shd w:val="clear" w:color="auto" w:fill="auto"/>
            <w:noWrap/>
            <w:vAlign w:val="center"/>
            <w:hideMark/>
          </w:tcPr>
          <w:p w14:paraId="0C818E2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c>
          <w:tcPr>
            <w:tcW w:w="270" w:type="pct"/>
            <w:shd w:val="clear" w:color="auto" w:fill="auto"/>
            <w:noWrap/>
            <w:vAlign w:val="center"/>
            <w:hideMark/>
          </w:tcPr>
          <w:p w14:paraId="6136CBA0"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0E2E9D15"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0%</w:t>
            </w:r>
          </w:p>
        </w:tc>
        <w:tc>
          <w:tcPr>
            <w:tcW w:w="270" w:type="pct"/>
            <w:shd w:val="clear" w:color="auto" w:fill="auto"/>
            <w:noWrap/>
            <w:vAlign w:val="center"/>
            <w:hideMark/>
          </w:tcPr>
          <w:p w14:paraId="2D4CEDF2" w14:textId="77777777" w:rsidR="00711296" w:rsidRPr="008B56ED" w:rsidRDefault="00711296" w:rsidP="00711296">
            <w:pPr>
              <w:bidi w:val="0"/>
              <w:jc w:val="center"/>
              <w:rPr>
                <w:rFonts w:asciiTheme="majorBidi" w:hAnsiTheme="majorBidi" w:cstheme="majorBidi"/>
                <w:color w:val="000000"/>
                <w:sz w:val="14"/>
                <w:szCs w:val="14"/>
              </w:rPr>
            </w:pPr>
            <w:r w:rsidRPr="008B56ED">
              <w:rPr>
                <w:rFonts w:asciiTheme="majorBidi" w:hAnsiTheme="majorBidi" w:cstheme="majorBidi"/>
                <w:color w:val="000000"/>
                <w:sz w:val="14"/>
                <w:szCs w:val="14"/>
              </w:rPr>
              <w:t>1%</w:t>
            </w:r>
          </w:p>
        </w:tc>
      </w:tr>
      <w:tr w:rsidR="00711296" w:rsidRPr="008B56ED" w14:paraId="61075CAD" w14:textId="77777777" w:rsidTr="00711296">
        <w:trPr>
          <w:trHeight w:val="146"/>
        </w:trPr>
        <w:tc>
          <w:tcPr>
            <w:tcW w:w="2299" w:type="pct"/>
            <w:shd w:val="clear" w:color="auto" w:fill="auto"/>
            <w:noWrap/>
            <w:vAlign w:val="center"/>
            <w:hideMark/>
          </w:tcPr>
          <w:p w14:paraId="72BA5DCC" w14:textId="77777777" w:rsidR="00711296" w:rsidRPr="008B56ED" w:rsidRDefault="00711296" w:rsidP="00711296">
            <w:pPr>
              <w:bidi w:val="0"/>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Total</w:t>
            </w:r>
          </w:p>
          <w:p w14:paraId="72AD3E3D" w14:textId="77777777" w:rsidR="00711296" w:rsidRPr="008B56ED" w:rsidRDefault="00711296" w:rsidP="00711296">
            <w:pPr>
              <w:bidi w:val="0"/>
              <w:rPr>
                <w:rFonts w:asciiTheme="majorBidi" w:hAnsiTheme="majorBidi" w:cstheme="majorBidi"/>
                <w:b/>
                <w:bCs/>
                <w:color w:val="000000"/>
                <w:sz w:val="14"/>
                <w:szCs w:val="14"/>
              </w:rPr>
            </w:pPr>
          </w:p>
        </w:tc>
        <w:tc>
          <w:tcPr>
            <w:tcW w:w="270" w:type="pct"/>
            <w:shd w:val="clear" w:color="auto" w:fill="auto"/>
            <w:noWrap/>
            <w:vAlign w:val="center"/>
            <w:hideMark/>
          </w:tcPr>
          <w:p w14:paraId="7B398FFC"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100%</w:t>
            </w:r>
          </w:p>
        </w:tc>
        <w:tc>
          <w:tcPr>
            <w:tcW w:w="270" w:type="pct"/>
            <w:shd w:val="clear" w:color="auto" w:fill="auto"/>
            <w:noWrap/>
            <w:vAlign w:val="center"/>
            <w:hideMark/>
          </w:tcPr>
          <w:p w14:paraId="6A55B10D"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100%</w:t>
            </w:r>
          </w:p>
        </w:tc>
        <w:tc>
          <w:tcPr>
            <w:tcW w:w="270" w:type="pct"/>
            <w:shd w:val="clear" w:color="auto" w:fill="auto"/>
            <w:noWrap/>
            <w:vAlign w:val="center"/>
            <w:hideMark/>
          </w:tcPr>
          <w:p w14:paraId="74763F53"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100%</w:t>
            </w:r>
          </w:p>
        </w:tc>
        <w:tc>
          <w:tcPr>
            <w:tcW w:w="270" w:type="pct"/>
            <w:shd w:val="clear" w:color="auto" w:fill="auto"/>
            <w:noWrap/>
            <w:vAlign w:val="center"/>
            <w:hideMark/>
          </w:tcPr>
          <w:p w14:paraId="776839CD"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100%</w:t>
            </w:r>
          </w:p>
        </w:tc>
        <w:tc>
          <w:tcPr>
            <w:tcW w:w="270" w:type="pct"/>
            <w:shd w:val="clear" w:color="auto" w:fill="auto"/>
            <w:noWrap/>
            <w:vAlign w:val="center"/>
            <w:hideMark/>
          </w:tcPr>
          <w:p w14:paraId="747E67FA"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100%</w:t>
            </w:r>
          </w:p>
        </w:tc>
        <w:tc>
          <w:tcPr>
            <w:tcW w:w="270" w:type="pct"/>
            <w:shd w:val="clear" w:color="auto" w:fill="auto"/>
            <w:noWrap/>
            <w:vAlign w:val="center"/>
            <w:hideMark/>
          </w:tcPr>
          <w:p w14:paraId="3067E16D"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100%</w:t>
            </w:r>
          </w:p>
        </w:tc>
        <w:tc>
          <w:tcPr>
            <w:tcW w:w="270" w:type="pct"/>
            <w:shd w:val="clear" w:color="auto" w:fill="auto"/>
            <w:noWrap/>
            <w:vAlign w:val="center"/>
            <w:hideMark/>
          </w:tcPr>
          <w:p w14:paraId="1C3FD2F7"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100%</w:t>
            </w:r>
          </w:p>
        </w:tc>
        <w:tc>
          <w:tcPr>
            <w:tcW w:w="270" w:type="pct"/>
            <w:shd w:val="clear" w:color="auto" w:fill="auto"/>
            <w:noWrap/>
            <w:vAlign w:val="center"/>
            <w:hideMark/>
          </w:tcPr>
          <w:p w14:paraId="578D0254"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100%</w:t>
            </w:r>
          </w:p>
        </w:tc>
        <w:tc>
          <w:tcPr>
            <w:tcW w:w="270" w:type="pct"/>
            <w:shd w:val="clear" w:color="auto" w:fill="auto"/>
            <w:noWrap/>
            <w:vAlign w:val="center"/>
            <w:hideMark/>
          </w:tcPr>
          <w:p w14:paraId="579F3DFC"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100%</w:t>
            </w:r>
          </w:p>
        </w:tc>
        <w:tc>
          <w:tcPr>
            <w:tcW w:w="270" w:type="pct"/>
            <w:shd w:val="clear" w:color="auto" w:fill="auto"/>
            <w:noWrap/>
            <w:vAlign w:val="center"/>
            <w:hideMark/>
          </w:tcPr>
          <w:p w14:paraId="1319D4DA" w14:textId="77777777" w:rsidR="00711296" w:rsidRPr="008B56ED" w:rsidRDefault="00711296" w:rsidP="00711296">
            <w:pPr>
              <w:bidi w:val="0"/>
              <w:jc w:val="center"/>
              <w:rPr>
                <w:rFonts w:asciiTheme="majorBidi" w:hAnsiTheme="majorBidi" w:cstheme="majorBidi"/>
                <w:b/>
                <w:bCs/>
                <w:color w:val="000000"/>
                <w:sz w:val="14"/>
                <w:szCs w:val="14"/>
              </w:rPr>
            </w:pPr>
            <w:r w:rsidRPr="008B56ED">
              <w:rPr>
                <w:rFonts w:asciiTheme="majorBidi" w:hAnsiTheme="majorBidi" w:cstheme="majorBidi"/>
                <w:b/>
                <w:bCs/>
                <w:color w:val="000000"/>
                <w:sz w:val="14"/>
                <w:szCs w:val="14"/>
              </w:rPr>
              <w:t>100%</w:t>
            </w:r>
          </w:p>
        </w:tc>
      </w:tr>
    </w:tbl>
    <w:p w14:paraId="727B3C80" w14:textId="77777777" w:rsidR="00711296" w:rsidRDefault="00711296" w:rsidP="00711296">
      <w:pPr>
        <w:bidi w:val="0"/>
        <w:spacing w:line="480" w:lineRule="auto"/>
        <w:rPr>
          <w:rFonts w:ascii="Times New Roman" w:hAnsi="Times New Roman" w:cs="David"/>
          <w:sz w:val="24"/>
          <w:szCs w:val="24"/>
        </w:rPr>
      </w:pPr>
    </w:p>
    <w:p w14:paraId="7CCCEAAA" w14:textId="77777777" w:rsidR="00711296" w:rsidRDefault="00711296" w:rsidP="00711296">
      <w:pPr>
        <w:bidi w:val="0"/>
      </w:pPr>
    </w:p>
    <w:p w14:paraId="5C5378D0" w14:textId="77777777" w:rsidR="00711296" w:rsidRPr="000B3923" w:rsidRDefault="00711296" w:rsidP="00711296">
      <w:pPr>
        <w:bidi w:val="0"/>
      </w:pPr>
    </w:p>
    <w:p w14:paraId="094EA38D" w14:textId="77777777" w:rsidR="00711296" w:rsidRPr="000B3923" w:rsidRDefault="00711296" w:rsidP="00711296">
      <w:pPr>
        <w:bidi w:val="0"/>
      </w:pPr>
    </w:p>
    <w:p w14:paraId="28E4FF7D" w14:textId="77777777" w:rsidR="00711296" w:rsidRPr="000B3923" w:rsidRDefault="00711296" w:rsidP="00711296">
      <w:pPr>
        <w:bidi w:val="0"/>
      </w:pPr>
    </w:p>
    <w:p w14:paraId="742A18C7" w14:textId="77777777" w:rsidR="00711296" w:rsidRPr="000B3923" w:rsidRDefault="00711296" w:rsidP="00711296">
      <w:pPr>
        <w:bidi w:val="0"/>
      </w:pPr>
    </w:p>
    <w:p w14:paraId="0E05773E" w14:textId="77777777" w:rsidR="00711296" w:rsidRPr="000B3923" w:rsidRDefault="00711296" w:rsidP="00711296">
      <w:pPr>
        <w:bidi w:val="0"/>
      </w:pPr>
    </w:p>
    <w:p w14:paraId="02BC3D33" w14:textId="77777777" w:rsidR="00711296" w:rsidRPr="000B3923" w:rsidRDefault="00711296" w:rsidP="00711296">
      <w:pPr>
        <w:bidi w:val="0"/>
      </w:pPr>
    </w:p>
    <w:p w14:paraId="0A847F6F" w14:textId="77777777" w:rsidR="00711296" w:rsidRPr="000B3923" w:rsidRDefault="00711296" w:rsidP="00711296">
      <w:pPr>
        <w:bidi w:val="0"/>
      </w:pPr>
    </w:p>
    <w:p w14:paraId="181977C2" w14:textId="77777777" w:rsidR="00711296" w:rsidRPr="000B3923" w:rsidRDefault="00711296" w:rsidP="00711296">
      <w:pPr>
        <w:bidi w:val="0"/>
      </w:pPr>
    </w:p>
    <w:p w14:paraId="2413FAF3" w14:textId="77777777" w:rsidR="00711296" w:rsidRDefault="00711296" w:rsidP="00711296">
      <w:pPr>
        <w:bidi w:val="0"/>
      </w:pPr>
    </w:p>
    <w:p w14:paraId="2D8F10AF" w14:textId="344D1067" w:rsidR="00711296" w:rsidRDefault="00711296" w:rsidP="00711296">
      <w:pPr>
        <w:tabs>
          <w:tab w:val="left" w:pos="2889"/>
        </w:tabs>
        <w:bidi w:val="0"/>
      </w:pPr>
      <w:r>
        <w:tab/>
      </w:r>
    </w:p>
    <w:p w14:paraId="0B7B0135" w14:textId="08EA142A" w:rsidR="008B56ED" w:rsidRDefault="008B56ED" w:rsidP="008B56ED">
      <w:pPr>
        <w:tabs>
          <w:tab w:val="left" w:pos="2889"/>
        </w:tabs>
        <w:bidi w:val="0"/>
      </w:pPr>
    </w:p>
    <w:p w14:paraId="171454CB" w14:textId="0205B8CE" w:rsidR="008B56ED" w:rsidRDefault="008B56ED" w:rsidP="008B56ED">
      <w:pPr>
        <w:tabs>
          <w:tab w:val="left" w:pos="2889"/>
        </w:tabs>
        <w:bidi w:val="0"/>
      </w:pPr>
    </w:p>
    <w:p w14:paraId="308F6E22" w14:textId="0980EA25" w:rsidR="008B56ED" w:rsidRDefault="008B56ED" w:rsidP="008B56ED">
      <w:pPr>
        <w:tabs>
          <w:tab w:val="left" w:pos="2889"/>
        </w:tabs>
        <w:bidi w:val="0"/>
      </w:pPr>
    </w:p>
    <w:p w14:paraId="31A3451D" w14:textId="5F9F41CD" w:rsidR="008B56ED" w:rsidRDefault="008B56ED" w:rsidP="008B56ED">
      <w:pPr>
        <w:tabs>
          <w:tab w:val="left" w:pos="2889"/>
        </w:tabs>
        <w:bidi w:val="0"/>
      </w:pPr>
    </w:p>
    <w:p w14:paraId="7BAC2E42" w14:textId="1777A38C" w:rsidR="008B56ED" w:rsidRDefault="008B56ED" w:rsidP="008B56ED">
      <w:pPr>
        <w:tabs>
          <w:tab w:val="left" w:pos="2889"/>
        </w:tabs>
        <w:bidi w:val="0"/>
      </w:pPr>
    </w:p>
    <w:p w14:paraId="63C9F837" w14:textId="77777777" w:rsidR="008B56ED" w:rsidRDefault="008B56ED" w:rsidP="008B56ED">
      <w:pPr>
        <w:tabs>
          <w:tab w:val="left" w:pos="2889"/>
        </w:tabs>
        <w:bidi w:val="0"/>
      </w:pPr>
    </w:p>
    <w:p w14:paraId="647FE7F2" w14:textId="77777777" w:rsidR="00711296" w:rsidRDefault="00711296" w:rsidP="00711296">
      <w:pPr>
        <w:tabs>
          <w:tab w:val="left" w:pos="2889"/>
        </w:tabs>
        <w:bidi w:val="0"/>
      </w:pPr>
    </w:p>
    <w:p w14:paraId="19F2135C" w14:textId="77777777" w:rsidR="00711296" w:rsidRDefault="00711296" w:rsidP="00711296">
      <w:pPr>
        <w:tabs>
          <w:tab w:val="left" w:pos="2889"/>
        </w:tabs>
        <w:bidi w:val="0"/>
        <w:jc w:val="center"/>
        <w:rPr>
          <w:b/>
          <w:bCs/>
        </w:rPr>
      </w:pPr>
      <w:r w:rsidRPr="00C3614A">
        <w:rPr>
          <w:b/>
          <w:bCs/>
        </w:rPr>
        <w:t xml:space="preserve">Appendix </w:t>
      </w:r>
      <w:r>
        <w:rPr>
          <w:b/>
          <w:bCs/>
        </w:rPr>
        <w:t>I</w:t>
      </w:r>
      <w:r w:rsidRPr="00C3614A">
        <w:rPr>
          <w:b/>
          <w:bCs/>
        </w:rPr>
        <w:t>V – Indices results</w:t>
      </w:r>
    </w:p>
    <w:p w14:paraId="76DD6385" w14:textId="77777777" w:rsidR="00711296" w:rsidRDefault="00711296" w:rsidP="00711296">
      <w:pPr>
        <w:tabs>
          <w:tab w:val="left" w:pos="2889"/>
        </w:tabs>
        <w:bidi w:val="0"/>
        <w:jc w:val="center"/>
        <w:rPr>
          <w:b/>
          <w:bCs/>
        </w:rPr>
      </w:pPr>
    </w:p>
    <w:p w14:paraId="263FE0E0" w14:textId="77777777" w:rsidR="00711296" w:rsidRPr="00C3614A" w:rsidRDefault="00711296" w:rsidP="00711296">
      <w:pPr>
        <w:tabs>
          <w:tab w:val="left" w:pos="2889"/>
        </w:tabs>
        <w:bidi w:val="0"/>
        <w:jc w:val="center"/>
        <w:rPr>
          <w:b/>
          <w:bCs/>
        </w:rPr>
      </w:pPr>
      <w:r>
        <w:rPr>
          <w:b/>
          <w:bCs/>
        </w:rPr>
        <w:t xml:space="preserve">Table </w:t>
      </w:r>
      <w:r w:rsidRPr="007644C9">
        <w:rPr>
          <w:b/>
          <w:bCs/>
          <w:highlight w:val="yellow"/>
        </w:rPr>
        <w:t>XX</w:t>
      </w:r>
      <w:r>
        <w:rPr>
          <w:b/>
          <w:bCs/>
        </w:rPr>
        <w:t xml:space="preserve"> - </w:t>
      </w:r>
      <w:r w:rsidRPr="00C3614A">
        <w:rPr>
          <w:b/>
          <w:bCs/>
        </w:rPr>
        <w:t>Indices results</w:t>
      </w:r>
    </w:p>
    <w:p w14:paraId="7BA2B914" w14:textId="77777777" w:rsidR="00711296" w:rsidRDefault="00711296" w:rsidP="00711296">
      <w:pPr>
        <w:tabs>
          <w:tab w:val="left" w:pos="2889"/>
        </w:tabs>
        <w:bidi w:val="0"/>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38"/>
        <w:gridCol w:w="1778"/>
        <w:gridCol w:w="1778"/>
        <w:gridCol w:w="1778"/>
        <w:gridCol w:w="1778"/>
      </w:tblGrid>
      <w:tr w:rsidR="00711296" w:rsidRPr="009C111A" w14:paraId="11CAEB3E" w14:textId="77777777" w:rsidTr="004831C9">
        <w:trPr>
          <w:trHeight w:val="285"/>
          <w:jc w:val="center"/>
        </w:trPr>
        <w:tc>
          <w:tcPr>
            <w:tcW w:w="0" w:type="auto"/>
            <w:noWrap/>
            <w:vAlign w:val="bottom"/>
            <w:hideMark/>
          </w:tcPr>
          <w:p w14:paraId="2CA32DF3" w14:textId="77777777" w:rsidR="00711296" w:rsidRPr="009C111A" w:rsidRDefault="00711296" w:rsidP="004831C9">
            <w:pPr>
              <w:bidi w:val="0"/>
              <w:jc w:val="center"/>
              <w:rPr>
                <w:rFonts w:asciiTheme="majorBidi" w:hAnsiTheme="majorBidi" w:cstheme="majorBidi"/>
                <w:b/>
                <w:bCs/>
                <w:color w:val="000000"/>
                <w:sz w:val="20"/>
                <w:szCs w:val="20"/>
              </w:rPr>
            </w:pPr>
            <w:r w:rsidRPr="00486F9F">
              <w:rPr>
                <w:rFonts w:asciiTheme="majorBidi" w:hAnsiTheme="majorBidi" w:cstheme="majorBidi"/>
                <w:b/>
                <w:bCs/>
                <w:color w:val="000000"/>
                <w:sz w:val="20"/>
                <w:szCs w:val="20"/>
              </w:rPr>
              <w:t>Year</w:t>
            </w:r>
          </w:p>
        </w:tc>
        <w:tc>
          <w:tcPr>
            <w:tcW w:w="0" w:type="auto"/>
            <w:noWrap/>
            <w:vAlign w:val="bottom"/>
            <w:hideMark/>
          </w:tcPr>
          <w:p w14:paraId="0B269C85" w14:textId="77777777" w:rsidR="00711296" w:rsidRPr="009C111A" w:rsidRDefault="00711296" w:rsidP="004831C9">
            <w:pPr>
              <w:bidi w:val="0"/>
              <w:jc w:val="center"/>
              <w:rPr>
                <w:rFonts w:asciiTheme="majorBidi" w:hAnsiTheme="majorBidi" w:cstheme="majorBidi"/>
                <w:b/>
                <w:bCs/>
                <w:color w:val="000000"/>
                <w:sz w:val="20"/>
                <w:szCs w:val="20"/>
              </w:rPr>
            </w:pPr>
            <w:r w:rsidRPr="009C111A">
              <w:rPr>
                <w:rFonts w:asciiTheme="majorBidi" w:hAnsiTheme="majorBidi" w:cstheme="majorBidi"/>
                <w:b/>
                <w:bCs/>
                <w:color w:val="000000"/>
                <w:sz w:val="20"/>
                <w:szCs w:val="20"/>
              </w:rPr>
              <w:t>ISR-WBG-II 1968</w:t>
            </w:r>
          </w:p>
        </w:tc>
        <w:tc>
          <w:tcPr>
            <w:tcW w:w="0" w:type="auto"/>
            <w:noWrap/>
            <w:vAlign w:val="bottom"/>
            <w:hideMark/>
          </w:tcPr>
          <w:p w14:paraId="634F5A9A" w14:textId="77777777" w:rsidR="00711296" w:rsidRPr="009C111A" w:rsidRDefault="00711296" w:rsidP="004831C9">
            <w:pPr>
              <w:bidi w:val="0"/>
              <w:jc w:val="center"/>
              <w:rPr>
                <w:rFonts w:asciiTheme="majorBidi" w:hAnsiTheme="majorBidi" w:cstheme="majorBidi"/>
                <w:b/>
                <w:bCs/>
                <w:color w:val="000000"/>
                <w:sz w:val="20"/>
                <w:szCs w:val="20"/>
              </w:rPr>
            </w:pPr>
            <w:r w:rsidRPr="009C111A">
              <w:rPr>
                <w:rFonts w:asciiTheme="majorBidi" w:hAnsiTheme="majorBidi" w:cstheme="majorBidi"/>
                <w:b/>
                <w:bCs/>
                <w:color w:val="000000"/>
                <w:sz w:val="20"/>
                <w:szCs w:val="20"/>
              </w:rPr>
              <w:t>ISR-WBG-II 1996</w:t>
            </w:r>
          </w:p>
        </w:tc>
        <w:tc>
          <w:tcPr>
            <w:tcW w:w="0" w:type="auto"/>
            <w:noWrap/>
            <w:vAlign w:val="bottom"/>
            <w:hideMark/>
          </w:tcPr>
          <w:p w14:paraId="7653C04D" w14:textId="77777777" w:rsidR="00711296" w:rsidRPr="009C111A" w:rsidRDefault="00711296" w:rsidP="004831C9">
            <w:pPr>
              <w:bidi w:val="0"/>
              <w:jc w:val="center"/>
              <w:rPr>
                <w:rFonts w:asciiTheme="majorBidi" w:hAnsiTheme="majorBidi" w:cstheme="majorBidi"/>
                <w:b/>
                <w:bCs/>
                <w:color w:val="000000"/>
                <w:sz w:val="20"/>
                <w:szCs w:val="20"/>
              </w:rPr>
            </w:pPr>
            <w:r w:rsidRPr="009C111A">
              <w:rPr>
                <w:rFonts w:asciiTheme="majorBidi" w:hAnsiTheme="majorBidi" w:cstheme="majorBidi"/>
                <w:b/>
                <w:bCs/>
                <w:color w:val="000000"/>
                <w:sz w:val="20"/>
                <w:szCs w:val="20"/>
              </w:rPr>
              <w:t>ISR-WBG-II 2000</w:t>
            </w:r>
          </w:p>
        </w:tc>
        <w:tc>
          <w:tcPr>
            <w:tcW w:w="0" w:type="auto"/>
            <w:noWrap/>
            <w:vAlign w:val="bottom"/>
            <w:hideMark/>
          </w:tcPr>
          <w:p w14:paraId="06053B91" w14:textId="77777777" w:rsidR="00711296" w:rsidRPr="009C111A" w:rsidRDefault="00711296" w:rsidP="004831C9">
            <w:pPr>
              <w:bidi w:val="0"/>
              <w:jc w:val="center"/>
              <w:rPr>
                <w:rFonts w:asciiTheme="majorBidi" w:hAnsiTheme="majorBidi" w:cstheme="majorBidi"/>
                <w:b/>
                <w:bCs/>
                <w:color w:val="000000"/>
                <w:sz w:val="20"/>
                <w:szCs w:val="20"/>
              </w:rPr>
            </w:pPr>
            <w:r w:rsidRPr="009C111A">
              <w:rPr>
                <w:rFonts w:asciiTheme="majorBidi" w:hAnsiTheme="majorBidi" w:cstheme="majorBidi"/>
                <w:b/>
                <w:bCs/>
                <w:color w:val="000000"/>
                <w:sz w:val="20"/>
                <w:szCs w:val="20"/>
              </w:rPr>
              <w:t>ISR-WBG-II 2010</w:t>
            </w:r>
          </w:p>
        </w:tc>
      </w:tr>
      <w:tr w:rsidR="00711296" w:rsidRPr="009C111A" w14:paraId="18D26E18" w14:textId="77777777" w:rsidTr="004831C9">
        <w:trPr>
          <w:trHeight w:val="285"/>
          <w:jc w:val="center"/>
        </w:trPr>
        <w:tc>
          <w:tcPr>
            <w:tcW w:w="0" w:type="auto"/>
            <w:noWrap/>
            <w:vAlign w:val="bottom"/>
            <w:hideMark/>
          </w:tcPr>
          <w:p w14:paraId="30AF5A87"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1968</w:t>
            </w:r>
          </w:p>
        </w:tc>
        <w:tc>
          <w:tcPr>
            <w:tcW w:w="0" w:type="auto"/>
            <w:noWrap/>
            <w:vAlign w:val="bottom"/>
            <w:hideMark/>
          </w:tcPr>
          <w:p w14:paraId="5230BEF0"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17.60%</w:t>
            </w:r>
          </w:p>
        </w:tc>
        <w:tc>
          <w:tcPr>
            <w:tcW w:w="0" w:type="auto"/>
            <w:noWrap/>
            <w:vAlign w:val="bottom"/>
            <w:hideMark/>
          </w:tcPr>
          <w:p w14:paraId="3319EB7C"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046BB5EA"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332E7886" w14:textId="77777777" w:rsidR="00711296" w:rsidRPr="009C111A" w:rsidRDefault="00711296" w:rsidP="004831C9">
            <w:pPr>
              <w:bidi w:val="0"/>
              <w:rPr>
                <w:rFonts w:asciiTheme="majorBidi" w:hAnsiTheme="majorBidi" w:cstheme="majorBidi"/>
                <w:sz w:val="20"/>
                <w:szCs w:val="20"/>
              </w:rPr>
            </w:pPr>
          </w:p>
        </w:tc>
      </w:tr>
      <w:tr w:rsidR="00711296" w:rsidRPr="009C111A" w14:paraId="485A88E1" w14:textId="77777777" w:rsidTr="004831C9">
        <w:trPr>
          <w:trHeight w:val="285"/>
          <w:jc w:val="center"/>
        </w:trPr>
        <w:tc>
          <w:tcPr>
            <w:tcW w:w="0" w:type="auto"/>
            <w:noWrap/>
            <w:vAlign w:val="bottom"/>
            <w:hideMark/>
          </w:tcPr>
          <w:p w14:paraId="5BD65826"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1969</w:t>
            </w:r>
          </w:p>
        </w:tc>
        <w:tc>
          <w:tcPr>
            <w:tcW w:w="0" w:type="auto"/>
            <w:noWrap/>
            <w:vAlign w:val="bottom"/>
            <w:hideMark/>
          </w:tcPr>
          <w:p w14:paraId="490083F1"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20.50%</w:t>
            </w:r>
          </w:p>
        </w:tc>
        <w:tc>
          <w:tcPr>
            <w:tcW w:w="0" w:type="auto"/>
            <w:noWrap/>
            <w:vAlign w:val="bottom"/>
            <w:hideMark/>
          </w:tcPr>
          <w:p w14:paraId="33D2A219"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32A161FD"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7438F6A2" w14:textId="77777777" w:rsidR="00711296" w:rsidRPr="009C111A" w:rsidRDefault="00711296" w:rsidP="004831C9">
            <w:pPr>
              <w:bidi w:val="0"/>
              <w:rPr>
                <w:rFonts w:asciiTheme="majorBidi" w:hAnsiTheme="majorBidi" w:cstheme="majorBidi"/>
                <w:sz w:val="20"/>
                <w:szCs w:val="20"/>
              </w:rPr>
            </w:pPr>
          </w:p>
        </w:tc>
      </w:tr>
      <w:tr w:rsidR="00711296" w:rsidRPr="009C111A" w14:paraId="4CFA8F71" w14:textId="77777777" w:rsidTr="004831C9">
        <w:trPr>
          <w:trHeight w:val="285"/>
          <w:jc w:val="center"/>
        </w:trPr>
        <w:tc>
          <w:tcPr>
            <w:tcW w:w="0" w:type="auto"/>
            <w:noWrap/>
            <w:vAlign w:val="bottom"/>
            <w:hideMark/>
          </w:tcPr>
          <w:p w14:paraId="54420C75"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1970</w:t>
            </w:r>
          </w:p>
        </w:tc>
        <w:tc>
          <w:tcPr>
            <w:tcW w:w="0" w:type="auto"/>
            <w:noWrap/>
            <w:vAlign w:val="bottom"/>
            <w:hideMark/>
          </w:tcPr>
          <w:p w14:paraId="04E4D3DA"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30.24%</w:t>
            </w:r>
          </w:p>
        </w:tc>
        <w:tc>
          <w:tcPr>
            <w:tcW w:w="0" w:type="auto"/>
            <w:noWrap/>
            <w:vAlign w:val="bottom"/>
            <w:hideMark/>
          </w:tcPr>
          <w:p w14:paraId="59A00286"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6A8DAE96"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586F9D83" w14:textId="77777777" w:rsidR="00711296" w:rsidRPr="009C111A" w:rsidRDefault="00711296" w:rsidP="004831C9">
            <w:pPr>
              <w:bidi w:val="0"/>
              <w:rPr>
                <w:rFonts w:asciiTheme="majorBidi" w:hAnsiTheme="majorBidi" w:cstheme="majorBidi"/>
                <w:sz w:val="20"/>
                <w:szCs w:val="20"/>
              </w:rPr>
            </w:pPr>
          </w:p>
        </w:tc>
      </w:tr>
      <w:tr w:rsidR="00711296" w:rsidRPr="009C111A" w14:paraId="5FAB79E8" w14:textId="77777777" w:rsidTr="004831C9">
        <w:trPr>
          <w:trHeight w:val="285"/>
          <w:jc w:val="center"/>
        </w:trPr>
        <w:tc>
          <w:tcPr>
            <w:tcW w:w="0" w:type="auto"/>
            <w:noWrap/>
            <w:vAlign w:val="bottom"/>
            <w:hideMark/>
          </w:tcPr>
          <w:p w14:paraId="435DCE9F"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1971</w:t>
            </w:r>
          </w:p>
        </w:tc>
        <w:tc>
          <w:tcPr>
            <w:tcW w:w="0" w:type="auto"/>
            <w:noWrap/>
            <w:vAlign w:val="bottom"/>
            <w:hideMark/>
          </w:tcPr>
          <w:p w14:paraId="00CC8B2C"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38.08%</w:t>
            </w:r>
          </w:p>
        </w:tc>
        <w:tc>
          <w:tcPr>
            <w:tcW w:w="0" w:type="auto"/>
            <w:noWrap/>
            <w:vAlign w:val="bottom"/>
            <w:hideMark/>
          </w:tcPr>
          <w:p w14:paraId="4203CF8E"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273E59BF"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1E05CD8E" w14:textId="77777777" w:rsidR="00711296" w:rsidRPr="009C111A" w:rsidRDefault="00711296" w:rsidP="004831C9">
            <w:pPr>
              <w:bidi w:val="0"/>
              <w:rPr>
                <w:rFonts w:asciiTheme="majorBidi" w:hAnsiTheme="majorBidi" w:cstheme="majorBidi"/>
                <w:sz w:val="20"/>
                <w:szCs w:val="20"/>
              </w:rPr>
            </w:pPr>
          </w:p>
        </w:tc>
      </w:tr>
      <w:tr w:rsidR="00711296" w:rsidRPr="009C111A" w14:paraId="5E80E9DB" w14:textId="77777777" w:rsidTr="004831C9">
        <w:trPr>
          <w:trHeight w:val="285"/>
          <w:jc w:val="center"/>
        </w:trPr>
        <w:tc>
          <w:tcPr>
            <w:tcW w:w="0" w:type="auto"/>
            <w:noWrap/>
            <w:vAlign w:val="bottom"/>
            <w:hideMark/>
          </w:tcPr>
          <w:p w14:paraId="50709165"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1972</w:t>
            </w:r>
          </w:p>
        </w:tc>
        <w:tc>
          <w:tcPr>
            <w:tcW w:w="0" w:type="auto"/>
            <w:noWrap/>
            <w:vAlign w:val="bottom"/>
            <w:hideMark/>
          </w:tcPr>
          <w:p w14:paraId="0986C0E9"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50.82%</w:t>
            </w:r>
          </w:p>
        </w:tc>
        <w:tc>
          <w:tcPr>
            <w:tcW w:w="0" w:type="auto"/>
            <w:noWrap/>
            <w:vAlign w:val="bottom"/>
            <w:hideMark/>
          </w:tcPr>
          <w:p w14:paraId="11A36FBB"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46021E8B"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5A5A8A85" w14:textId="77777777" w:rsidR="00711296" w:rsidRPr="009C111A" w:rsidRDefault="00711296" w:rsidP="004831C9">
            <w:pPr>
              <w:bidi w:val="0"/>
              <w:rPr>
                <w:rFonts w:asciiTheme="majorBidi" w:hAnsiTheme="majorBidi" w:cstheme="majorBidi"/>
                <w:sz w:val="20"/>
                <w:szCs w:val="20"/>
              </w:rPr>
            </w:pPr>
          </w:p>
        </w:tc>
      </w:tr>
      <w:tr w:rsidR="00711296" w:rsidRPr="009C111A" w14:paraId="3F1F6589" w14:textId="77777777" w:rsidTr="004831C9">
        <w:trPr>
          <w:trHeight w:val="285"/>
          <w:jc w:val="center"/>
        </w:trPr>
        <w:tc>
          <w:tcPr>
            <w:tcW w:w="0" w:type="auto"/>
            <w:noWrap/>
            <w:vAlign w:val="bottom"/>
            <w:hideMark/>
          </w:tcPr>
          <w:p w14:paraId="129852B9"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1973</w:t>
            </w:r>
          </w:p>
        </w:tc>
        <w:tc>
          <w:tcPr>
            <w:tcW w:w="0" w:type="auto"/>
            <w:noWrap/>
            <w:vAlign w:val="bottom"/>
            <w:hideMark/>
          </w:tcPr>
          <w:p w14:paraId="78AA46B7"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59.15%</w:t>
            </w:r>
          </w:p>
        </w:tc>
        <w:tc>
          <w:tcPr>
            <w:tcW w:w="0" w:type="auto"/>
            <w:noWrap/>
            <w:vAlign w:val="bottom"/>
            <w:hideMark/>
          </w:tcPr>
          <w:p w14:paraId="3767CD92"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244633E1"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34411069" w14:textId="77777777" w:rsidR="00711296" w:rsidRPr="009C111A" w:rsidRDefault="00711296" w:rsidP="004831C9">
            <w:pPr>
              <w:bidi w:val="0"/>
              <w:rPr>
                <w:rFonts w:asciiTheme="majorBidi" w:hAnsiTheme="majorBidi" w:cstheme="majorBidi"/>
                <w:sz w:val="20"/>
                <w:szCs w:val="20"/>
              </w:rPr>
            </w:pPr>
          </w:p>
        </w:tc>
      </w:tr>
      <w:tr w:rsidR="00711296" w:rsidRPr="009C111A" w14:paraId="43E80925" w14:textId="77777777" w:rsidTr="004831C9">
        <w:trPr>
          <w:trHeight w:val="285"/>
          <w:jc w:val="center"/>
        </w:trPr>
        <w:tc>
          <w:tcPr>
            <w:tcW w:w="0" w:type="auto"/>
            <w:noWrap/>
            <w:vAlign w:val="bottom"/>
            <w:hideMark/>
          </w:tcPr>
          <w:p w14:paraId="328706FF"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1974</w:t>
            </w:r>
          </w:p>
        </w:tc>
        <w:tc>
          <w:tcPr>
            <w:tcW w:w="0" w:type="auto"/>
            <w:noWrap/>
            <w:vAlign w:val="bottom"/>
            <w:hideMark/>
          </w:tcPr>
          <w:p w14:paraId="01243065"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62.84%</w:t>
            </w:r>
          </w:p>
        </w:tc>
        <w:tc>
          <w:tcPr>
            <w:tcW w:w="0" w:type="auto"/>
            <w:noWrap/>
            <w:vAlign w:val="bottom"/>
            <w:hideMark/>
          </w:tcPr>
          <w:p w14:paraId="6461384E"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00B9E939"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7734E953" w14:textId="77777777" w:rsidR="00711296" w:rsidRPr="009C111A" w:rsidRDefault="00711296" w:rsidP="004831C9">
            <w:pPr>
              <w:bidi w:val="0"/>
              <w:rPr>
                <w:rFonts w:asciiTheme="majorBidi" w:hAnsiTheme="majorBidi" w:cstheme="majorBidi"/>
                <w:sz w:val="20"/>
                <w:szCs w:val="20"/>
              </w:rPr>
            </w:pPr>
          </w:p>
        </w:tc>
      </w:tr>
      <w:tr w:rsidR="00711296" w:rsidRPr="009C111A" w14:paraId="18B25E71" w14:textId="77777777" w:rsidTr="004831C9">
        <w:trPr>
          <w:trHeight w:val="285"/>
          <w:jc w:val="center"/>
        </w:trPr>
        <w:tc>
          <w:tcPr>
            <w:tcW w:w="0" w:type="auto"/>
            <w:noWrap/>
            <w:vAlign w:val="bottom"/>
            <w:hideMark/>
          </w:tcPr>
          <w:p w14:paraId="37B3965A"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1975</w:t>
            </w:r>
          </w:p>
        </w:tc>
        <w:tc>
          <w:tcPr>
            <w:tcW w:w="0" w:type="auto"/>
            <w:noWrap/>
            <w:vAlign w:val="bottom"/>
            <w:hideMark/>
          </w:tcPr>
          <w:p w14:paraId="7F9BC03A"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65.59%</w:t>
            </w:r>
          </w:p>
        </w:tc>
        <w:tc>
          <w:tcPr>
            <w:tcW w:w="0" w:type="auto"/>
            <w:noWrap/>
            <w:vAlign w:val="bottom"/>
            <w:hideMark/>
          </w:tcPr>
          <w:p w14:paraId="152A607E"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15C47926"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2D686333" w14:textId="77777777" w:rsidR="00711296" w:rsidRPr="009C111A" w:rsidRDefault="00711296" w:rsidP="004831C9">
            <w:pPr>
              <w:bidi w:val="0"/>
              <w:rPr>
                <w:rFonts w:asciiTheme="majorBidi" w:hAnsiTheme="majorBidi" w:cstheme="majorBidi"/>
                <w:sz w:val="20"/>
                <w:szCs w:val="20"/>
              </w:rPr>
            </w:pPr>
          </w:p>
        </w:tc>
      </w:tr>
      <w:tr w:rsidR="00711296" w:rsidRPr="009C111A" w14:paraId="57A80F08" w14:textId="77777777" w:rsidTr="004831C9">
        <w:trPr>
          <w:trHeight w:val="285"/>
          <w:jc w:val="center"/>
        </w:trPr>
        <w:tc>
          <w:tcPr>
            <w:tcW w:w="0" w:type="auto"/>
            <w:noWrap/>
            <w:vAlign w:val="bottom"/>
            <w:hideMark/>
          </w:tcPr>
          <w:p w14:paraId="0DDDD066"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1976</w:t>
            </w:r>
          </w:p>
        </w:tc>
        <w:tc>
          <w:tcPr>
            <w:tcW w:w="0" w:type="auto"/>
            <w:noWrap/>
            <w:vAlign w:val="bottom"/>
            <w:hideMark/>
          </w:tcPr>
          <w:p w14:paraId="11908724"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68.76%</w:t>
            </w:r>
          </w:p>
        </w:tc>
        <w:tc>
          <w:tcPr>
            <w:tcW w:w="0" w:type="auto"/>
            <w:noWrap/>
            <w:vAlign w:val="bottom"/>
            <w:hideMark/>
          </w:tcPr>
          <w:p w14:paraId="709D1863"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55BD8387"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626BABBB" w14:textId="77777777" w:rsidR="00711296" w:rsidRPr="009C111A" w:rsidRDefault="00711296" w:rsidP="004831C9">
            <w:pPr>
              <w:bidi w:val="0"/>
              <w:rPr>
                <w:rFonts w:asciiTheme="majorBidi" w:hAnsiTheme="majorBidi" w:cstheme="majorBidi"/>
                <w:sz w:val="20"/>
                <w:szCs w:val="20"/>
              </w:rPr>
            </w:pPr>
          </w:p>
        </w:tc>
      </w:tr>
      <w:tr w:rsidR="00711296" w:rsidRPr="009C111A" w14:paraId="33B0AB1A" w14:textId="77777777" w:rsidTr="004831C9">
        <w:trPr>
          <w:trHeight w:val="285"/>
          <w:jc w:val="center"/>
        </w:trPr>
        <w:tc>
          <w:tcPr>
            <w:tcW w:w="0" w:type="auto"/>
            <w:noWrap/>
            <w:vAlign w:val="bottom"/>
            <w:hideMark/>
          </w:tcPr>
          <w:p w14:paraId="65558789"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1977</w:t>
            </w:r>
          </w:p>
        </w:tc>
        <w:tc>
          <w:tcPr>
            <w:tcW w:w="0" w:type="auto"/>
            <w:noWrap/>
            <w:vAlign w:val="bottom"/>
            <w:hideMark/>
          </w:tcPr>
          <w:p w14:paraId="1D3D869C"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68.39%</w:t>
            </w:r>
          </w:p>
        </w:tc>
        <w:tc>
          <w:tcPr>
            <w:tcW w:w="0" w:type="auto"/>
            <w:noWrap/>
            <w:vAlign w:val="bottom"/>
            <w:hideMark/>
          </w:tcPr>
          <w:p w14:paraId="5C61E177"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3213876B"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323EF102" w14:textId="77777777" w:rsidR="00711296" w:rsidRPr="009C111A" w:rsidRDefault="00711296" w:rsidP="004831C9">
            <w:pPr>
              <w:bidi w:val="0"/>
              <w:rPr>
                <w:rFonts w:asciiTheme="majorBidi" w:hAnsiTheme="majorBidi" w:cstheme="majorBidi"/>
                <w:sz w:val="20"/>
                <w:szCs w:val="20"/>
              </w:rPr>
            </w:pPr>
          </w:p>
        </w:tc>
      </w:tr>
      <w:tr w:rsidR="00711296" w:rsidRPr="009C111A" w14:paraId="4DDE5C2A" w14:textId="77777777" w:rsidTr="004831C9">
        <w:trPr>
          <w:trHeight w:val="285"/>
          <w:jc w:val="center"/>
        </w:trPr>
        <w:tc>
          <w:tcPr>
            <w:tcW w:w="0" w:type="auto"/>
            <w:noWrap/>
            <w:vAlign w:val="bottom"/>
            <w:hideMark/>
          </w:tcPr>
          <w:p w14:paraId="1BA0C1F7"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1978</w:t>
            </w:r>
          </w:p>
        </w:tc>
        <w:tc>
          <w:tcPr>
            <w:tcW w:w="0" w:type="auto"/>
            <w:noWrap/>
            <w:vAlign w:val="bottom"/>
            <w:hideMark/>
          </w:tcPr>
          <w:p w14:paraId="013DD915"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69.64%</w:t>
            </w:r>
          </w:p>
        </w:tc>
        <w:tc>
          <w:tcPr>
            <w:tcW w:w="0" w:type="auto"/>
            <w:noWrap/>
            <w:vAlign w:val="bottom"/>
            <w:hideMark/>
          </w:tcPr>
          <w:p w14:paraId="3CBD9E85"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51772E61"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643B3147" w14:textId="77777777" w:rsidR="00711296" w:rsidRPr="009C111A" w:rsidRDefault="00711296" w:rsidP="004831C9">
            <w:pPr>
              <w:bidi w:val="0"/>
              <w:rPr>
                <w:rFonts w:asciiTheme="majorBidi" w:hAnsiTheme="majorBidi" w:cstheme="majorBidi"/>
                <w:sz w:val="20"/>
                <w:szCs w:val="20"/>
              </w:rPr>
            </w:pPr>
          </w:p>
        </w:tc>
      </w:tr>
      <w:tr w:rsidR="00711296" w:rsidRPr="009C111A" w14:paraId="424D9636" w14:textId="77777777" w:rsidTr="004831C9">
        <w:trPr>
          <w:trHeight w:val="285"/>
          <w:jc w:val="center"/>
        </w:trPr>
        <w:tc>
          <w:tcPr>
            <w:tcW w:w="0" w:type="auto"/>
            <w:noWrap/>
            <w:vAlign w:val="bottom"/>
            <w:hideMark/>
          </w:tcPr>
          <w:p w14:paraId="66829C42"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1979</w:t>
            </w:r>
          </w:p>
        </w:tc>
        <w:tc>
          <w:tcPr>
            <w:tcW w:w="0" w:type="auto"/>
            <w:noWrap/>
            <w:vAlign w:val="bottom"/>
            <w:hideMark/>
          </w:tcPr>
          <w:p w14:paraId="3BB18A7C"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69.17%</w:t>
            </w:r>
          </w:p>
        </w:tc>
        <w:tc>
          <w:tcPr>
            <w:tcW w:w="0" w:type="auto"/>
            <w:noWrap/>
            <w:vAlign w:val="bottom"/>
            <w:hideMark/>
          </w:tcPr>
          <w:p w14:paraId="251A9037"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071B474E"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3C8B2D17" w14:textId="77777777" w:rsidR="00711296" w:rsidRPr="009C111A" w:rsidRDefault="00711296" w:rsidP="004831C9">
            <w:pPr>
              <w:bidi w:val="0"/>
              <w:rPr>
                <w:rFonts w:asciiTheme="majorBidi" w:hAnsiTheme="majorBidi" w:cstheme="majorBidi"/>
                <w:sz w:val="20"/>
                <w:szCs w:val="20"/>
              </w:rPr>
            </w:pPr>
          </w:p>
        </w:tc>
      </w:tr>
      <w:tr w:rsidR="00711296" w:rsidRPr="009C111A" w14:paraId="3E64AB3D" w14:textId="77777777" w:rsidTr="004831C9">
        <w:trPr>
          <w:trHeight w:val="285"/>
          <w:jc w:val="center"/>
        </w:trPr>
        <w:tc>
          <w:tcPr>
            <w:tcW w:w="0" w:type="auto"/>
            <w:noWrap/>
            <w:vAlign w:val="bottom"/>
            <w:hideMark/>
          </w:tcPr>
          <w:p w14:paraId="35885AB4"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1980</w:t>
            </w:r>
          </w:p>
        </w:tc>
        <w:tc>
          <w:tcPr>
            <w:tcW w:w="0" w:type="auto"/>
            <w:noWrap/>
            <w:vAlign w:val="bottom"/>
            <w:hideMark/>
          </w:tcPr>
          <w:p w14:paraId="4B0C7100"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75.35%</w:t>
            </w:r>
          </w:p>
        </w:tc>
        <w:tc>
          <w:tcPr>
            <w:tcW w:w="0" w:type="auto"/>
            <w:noWrap/>
            <w:vAlign w:val="bottom"/>
            <w:hideMark/>
          </w:tcPr>
          <w:p w14:paraId="3757DD06"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40C708B8"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2EA65702" w14:textId="77777777" w:rsidR="00711296" w:rsidRPr="009C111A" w:rsidRDefault="00711296" w:rsidP="004831C9">
            <w:pPr>
              <w:bidi w:val="0"/>
              <w:rPr>
                <w:rFonts w:asciiTheme="majorBidi" w:hAnsiTheme="majorBidi" w:cstheme="majorBidi"/>
                <w:sz w:val="20"/>
                <w:szCs w:val="20"/>
              </w:rPr>
            </w:pPr>
          </w:p>
        </w:tc>
      </w:tr>
      <w:tr w:rsidR="00711296" w:rsidRPr="009C111A" w14:paraId="771D1160" w14:textId="77777777" w:rsidTr="004831C9">
        <w:trPr>
          <w:trHeight w:val="285"/>
          <w:jc w:val="center"/>
        </w:trPr>
        <w:tc>
          <w:tcPr>
            <w:tcW w:w="0" w:type="auto"/>
            <w:noWrap/>
            <w:vAlign w:val="bottom"/>
            <w:hideMark/>
          </w:tcPr>
          <w:p w14:paraId="370A0FE3"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1981</w:t>
            </w:r>
          </w:p>
        </w:tc>
        <w:tc>
          <w:tcPr>
            <w:tcW w:w="0" w:type="auto"/>
            <w:noWrap/>
            <w:vAlign w:val="bottom"/>
            <w:hideMark/>
          </w:tcPr>
          <w:p w14:paraId="1810514E"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76.28%</w:t>
            </w:r>
          </w:p>
        </w:tc>
        <w:tc>
          <w:tcPr>
            <w:tcW w:w="0" w:type="auto"/>
            <w:noWrap/>
            <w:vAlign w:val="bottom"/>
            <w:hideMark/>
          </w:tcPr>
          <w:p w14:paraId="450BEF02"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75DCF91D"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394DC220" w14:textId="77777777" w:rsidR="00711296" w:rsidRPr="009C111A" w:rsidRDefault="00711296" w:rsidP="004831C9">
            <w:pPr>
              <w:bidi w:val="0"/>
              <w:rPr>
                <w:rFonts w:asciiTheme="majorBidi" w:hAnsiTheme="majorBidi" w:cstheme="majorBidi"/>
                <w:sz w:val="20"/>
                <w:szCs w:val="20"/>
              </w:rPr>
            </w:pPr>
          </w:p>
        </w:tc>
      </w:tr>
      <w:tr w:rsidR="00711296" w:rsidRPr="009C111A" w14:paraId="4E136808" w14:textId="77777777" w:rsidTr="004831C9">
        <w:trPr>
          <w:trHeight w:val="285"/>
          <w:jc w:val="center"/>
        </w:trPr>
        <w:tc>
          <w:tcPr>
            <w:tcW w:w="0" w:type="auto"/>
            <w:noWrap/>
            <w:vAlign w:val="bottom"/>
            <w:hideMark/>
          </w:tcPr>
          <w:p w14:paraId="31308238"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1982</w:t>
            </w:r>
          </w:p>
        </w:tc>
        <w:tc>
          <w:tcPr>
            <w:tcW w:w="0" w:type="auto"/>
            <w:noWrap/>
            <w:vAlign w:val="bottom"/>
            <w:hideMark/>
          </w:tcPr>
          <w:p w14:paraId="2D005904"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77.56%</w:t>
            </w:r>
          </w:p>
        </w:tc>
        <w:tc>
          <w:tcPr>
            <w:tcW w:w="0" w:type="auto"/>
            <w:noWrap/>
            <w:vAlign w:val="bottom"/>
            <w:hideMark/>
          </w:tcPr>
          <w:p w14:paraId="0163AA8D"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67928A42"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7BCEF82A" w14:textId="77777777" w:rsidR="00711296" w:rsidRPr="009C111A" w:rsidRDefault="00711296" w:rsidP="004831C9">
            <w:pPr>
              <w:bidi w:val="0"/>
              <w:rPr>
                <w:rFonts w:asciiTheme="majorBidi" w:hAnsiTheme="majorBidi" w:cstheme="majorBidi"/>
                <w:sz w:val="20"/>
                <w:szCs w:val="20"/>
              </w:rPr>
            </w:pPr>
          </w:p>
        </w:tc>
      </w:tr>
      <w:tr w:rsidR="00711296" w:rsidRPr="009C111A" w14:paraId="14C76845" w14:textId="77777777" w:rsidTr="004831C9">
        <w:trPr>
          <w:trHeight w:val="285"/>
          <w:jc w:val="center"/>
        </w:trPr>
        <w:tc>
          <w:tcPr>
            <w:tcW w:w="0" w:type="auto"/>
            <w:noWrap/>
            <w:vAlign w:val="bottom"/>
            <w:hideMark/>
          </w:tcPr>
          <w:p w14:paraId="598ACFA6"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1983</w:t>
            </w:r>
          </w:p>
        </w:tc>
        <w:tc>
          <w:tcPr>
            <w:tcW w:w="0" w:type="auto"/>
            <w:noWrap/>
            <w:vAlign w:val="bottom"/>
            <w:hideMark/>
          </w:tcPr>
          <w:p w14:paraId="3D4CFDDA"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80.23%</w:t>
            </w:r>
          </w:p>
        </w:tc>
        <w:tc>
          <w:tcPr>
            <w:tcW w:w="0" w:type="auto"/>
            <w:noWrap/>
            <w:vAlign w:val="bottom"/>
            <w:hideMark/>
          </w:tcPr>
          <w:p w14:paraId="4DB37946"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79404D8A"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32EBA28A" w14:textId="77777777" w:rsidR="00711296" w:rsidRPr="009C111A" w:rsidRDefault="00711296" w:rsidP="004831C9">
            <w:pPr>
              <w:bidi w:val="0"/>
              <w:rPr>
                <w:rFonts w:asciiTheme="majorBidi" w:hAnsiTheme="majorBidi" w:cstheme="majorBidi"/>
                <w:sz w:val="20"/>
                <w:szCs w:val="20"/>
              </w:rPr>
            </w:pPr>
          </w:p>
        </w:tc>
      </w:tr>
      <w:tr w:rsidR="00711296" w:rsidRPr="009C111A" w14:paraId="6811F689" w14:textId="77777777" w:rsidTr="004831C9">
        <w:trPr>
          <w:trHeight w:val="285"/>
          <w:jc w:val="center"/>
        </w:trPr>
        <w:tc>
          <w:tcPr>
            <w:tcW w:w="0" w:type="auto"/>
            <w:noWrap/>
            <w:vAlign w:val="bottom"/>
            <w:hideMark/>
          </w:tcPr>
          <w:p w14:paraId="40F7D444"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1984</w:t>
            </w:r>
          </w:p>
        </w:tc>
        <w:tc>
          <w:tcPr>
            <w:tcW w:w="0" w:type="auto"/>
            <w:noWrap/>
            <w:vAlign w:val="bottom"/>
            <w:hideMark/>
          </w:tcPr>
          <w:p w14:paraId="7E970D31"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80.59%</w:t>
            </w:r>
          </w:p>
        </w:tc>
        <w:tc>
          <w:tcPr>
            <w:tcW w:w="0" w:type="auto"/>
            <w:noWrap/>
            <w:vAlign w:val="bottom"/>
            <w:hideMark/>
          </w:tcPr>
          <w:p w14:paraId="03E1FE80"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0FED24FB"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17B078AB" w14:textId="77777777" w:rsidR="00711296" w:rsidRPr="009C111A" w:rsidRDefault="00711296" w:rsidP="004831C9">
            <w:pPr>
              <w:bidi w:val="0"/>
              <w:rPr>
                <w:rFonts w:asciiTheme="majorBidi" w:hAnsiTheme="majorBidi" w:cstheme="majorBidi"/>
                <w:sz w:val="20"/>
                <w:szCs w:val="20"/>
              </w:rPr>
            </w:pPr>
          </w:p>
        </w:tc>
      </w:tr>
      <w:tr w:rsidR="00711296" w:rsidRPr="009C111A" w14:paraId="45DEC485" w14:textId="77777777" w:rsidTr="004831C9">
        <w:trPr>
          <w:trHeight w:val="285"/>
          <w:jc w:val="center"/>
        </w:trPr>
        <w:tc>
          <w:tcPr>
            <w:tcW w:w="0" w:type="auto"/>
            <w:noWrap/>
            <w:vAlign w:val="bottom"/>
            <w:hideMark/>
          </w:tcPr>
          <w:p w14:paraId="142BCB60"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1985</w:t>
            </w:r>
          </w:p>
        </w:tc>
        <w:tc>
          <w:tcPr>
            <w:tcW w:w="0" w:type="auto"/>
            <w:noWrap/>
            <w:vAlign w:val="bottom"/>
            <w:hideMark/>
          </w:tcPr>
          <w:p w14:paraId="6F25E109"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77.17%</w:t>
            </w:r>
          </w:p>
        </w:tc>
        <w:tc>
          <w:tcPr>
            <w:tcW w:w="0" w:type="auto"/>
            <w:noWrap/>
            <w:vAlign w:val="bottom"/>
            <w:hideMark/>
          </w:tcPr>
          <w:p w14:paraId="1B371B32"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2C1B09A2"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244D55BC" w14:textId="77777777" w:rsidR="00711296" w:rsidRPr="009C111A" w:rsidRDefault="00711296" w:rsidP="004831C9">
            <w:pPr>
              <w:bidi w:val="0"/>
              <w:rPr>
                <w:rFonts w:asciiTheme="majorBidi" w:hAnsiTheme="majorBidi" w:cstheme="majorBidi"/>
                <w:sz w:val="20"/>
                <w:szCs w:val="20"/>
              </w:rPr>
            </w:pPr>
          </w:p>
        </w:tc>
      </w:tr>
      <w:tr w:rsidR="00711296" w:rsidRPr="009C111A" w14:paraId="7420434D" w14:textId="77777777" w:rsidTr="004831C9">
        <w:trPr>
          <w:trHeight w:val="285"/>
          <w:jc w:val="center"/>
        </w:trPr>
        <w:tc>
          <w:tcPr>
            <w:tcW w:w="0" w:type="auto"/>
            <w:noWrap/>
            <w:vAlign w:val="bottom"/>
            <w:hideMark/>
          </w:tcPr>
          <w:p w14:paraId="0E25F723"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1986</w:t>
            </w:r>
          </w:p>
        </w:tc>
        <w:tc>
          <w:tcPr>
            <w:tcW w:w="0" w:type="auto"/>
            <w:noWrap/>
            <w:vAlign w:val="bottom"/>
            <w:hideMark/>
          </w:tcPr>
          <w:p w14:paraId="6186C4DE"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79.02%</w:t>
            </w:r>
          </w:p>
        </w:tc>
        <w:tc>
          <w:tcPr>
            <w:tcW w:w="0" w:type="auto"/>
            <w:noWrap/>
            <w:vAlign w:val="bottom"/>
            <w:hideMark/>
          </w:tcPr>
          <w:p w14:paraId="0A3B599C"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21E96ACC"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12B2E5A2" w14:textId="77777777" w:rsidR="00711296" w:rsidRPr="009C111A" w:rsidRDefault="00711296" w:rsidP="004831C9">
            <w:pPr>
              <w:bidi w:val="0"/>
              <w:rPr>
                <w:rFonts w:asciiTheme="majorBidi" w:hAnsiTheme="majorBidi" w:cstheme="majorBidi"/>
                <w:sz w:val="20"/>
                <w:szCs w:val="20"/>
              </w:rPr>
            </w:pPr>
          </w:p>
        </w:tc>
      </w:tr>
      <w:tr w:rsidR="00711296" w:rsidRPr="009C111A" w14:paraId="00017AB2" w14:textId="77777777" w:rsidTr="004831C9">
        <w:trPr>
          <w:trHeight w:val="285"/>
          <w:jc w:val="center"/>
        </w:trPr>
        <w:tc>
          <w:tcPr>
            <w:tcW w:w="0" w:type="auto"/>
            <w:noWrap/>
            <w:vAlign w:val="bottom"/>
            <w:hideMark/>
          </w:tcPr>
          <w:p w14:paraId="14C2DDCE"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1987</w:t>
            </w:r>
          </w:p>
        </w:tc>
        <w:tc>
          <w:tcPr>
            <w:tcW w:w="0" w:type="auto"/>
            <w:noWrap/>
            <w:vAlign w:val="bottom"/>
            <w:hideMark/>
          </w:tcPr>
          <w:p w14:paraId="12C3F2FE"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80.93%</w:t>
            </w:r>
          </w:p>
        </w:tc>
        <w:tc>
          <w:tcPr>
            <w:tcW w:w="0" w:type="auto"/>
            <w:noWrap/>
            <w:vAlign w:val="bottom"/>
            <w:hideMark/>
          </w:tcPr>
          <w:p w14:paraId="024DB4DF"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7A208422"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4C7A043D" w14:textId="77777777" w:rsidR="00711296" w:rsidRPr="009C111A" w:rsidRDefault="00711296" w:rsidP="004831C9">
            <w:pPr>
              <w:bidi w:val="0"/>
              <w:rPr>
                <w:rFonts w:asciiTheme="majorBidi" w:hAnsiTheme="majorBidi" w:cstheme="majorBidi"/>
                <w:sz w:val="20"/>
                <w:szCs w:val="20"/>
              </w:rPr>
            </w:pPr>
          </w:p>
        </w:tc>
      </w:tr>
      <w:tr w:rsidR="00711296" w:rsidRPr="009C111A" w14:paraId="286D7B83" w14:textId="77777777" w:rsidTr="004831C9">
        <w:trPr>
          <w:trHeight w:val="285"/>
          <w:jc w:val="center"/>
        </w:trPr>
        <w:tc>
          <w:tcPr>
            <w:tcW w:w="0" w:type="auto"/>
            <w:noWrap/>
            <w:vAlign w:val="bottom"/>
            <w:hideMark/>
          </w:tcPr>
          <w:p w14:paraId="53CCACAB"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1988</w:t>
            </w:r>
          </w:p>
        </w:tc>
        <w:tc>
          <w:tcPr>
            <w:tcW w:w="0" w:type="auto"/>
            <w:noWrap/>
            <w:vAlign w:val="bottom"/>
            <w:hideMark/>
          </w:tcPr>
          <w:p w14:paraId="6E090A31"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72.32%</w:t>
            </w:r>
          </w:p>
        </w:tc>
        <w:tc>
          <w:tcPr>
            <w:tcW w:w="0" w:type="auto"/>
            <w:noWrap/>
            <w:vAlign w:val="bottom"/>
            <w:hideMark/>
          </w:tcPr>
          <w:p w14:paraId="6BD8DAFB"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7955BFA6"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69A635DE" w14:textId="77777777" w:rsidR="00711296" w:rsidRPr="009C111A" w:rsidRDefault="00711296" w:rsidP="004831C9">
            <w:pPr>
              <w:bidi w:val="0"/>
              <w:rPr>
                <w:rFonts w:asciiTheme="majorBidi" w:hAnsiTheme="majorBidi" w:cstheme="majorBidi"/>
                <w:sz w:val="20"/>
                <w:szCs w:val="20"/>
              </w:rPr>
            </w:pPr>
          </w:p>
        </w:tc>
      </w:tr>
      <w:tr w:rsidR="00711296" w:rsidRPr="009C111A" w14:paraId="045B8518" w14:textId="77777777" w:rsidTr="004831C9">
        <w:trPr>
          <w:trHeight w:val="285"/>
          <w:jc w:val="center"/>
        </w:trPr>
        <w:tc>
          <w:tcPr>
            <w:tcW w:w="0" w:type="auto"/>
            <w:noWrap/>
            <w:vAlign w:val="bottom"/>
            <w:hideMark/>
          </w:tcPr>
          <w:p w14:paraId="0B281FB8"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1989</w:t>
            </w:r>
          </w:p>
        </w:tc>
        <w:tc>
          <w:tcPr>
            <w:tcW w:w="0" w:type="auto"/>
            <w:noWrap/>
            <w:vAlign w:val="bottom"/>
            <w:hideMark/>
          </w:tcPr>
          <w:p w14:paraId="1D558221"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65.86%</w:t>
            </w:r>
          </w:p>
        </w:tc>
        <w:tc>
          <w:tcPr>
            <w:tcW w:w="0" w:type="auto"/>
            <w:noWrap/>
            <w:vAlign w:val="bottom"/>
            <w:hideMark/>
          </w:tcPr>
          <w:p w14:paraId="746DECE0"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382532C1"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0618E6D1" w14:textId="77777777" w:rsidR="00711296" w:rsidRPr="009C111A" w:rsidRDefault="00711296" w:rsidP="004831C9">
            <w:pPr>
              <w:bidi w:val="0"/>
              <w:rPr>
                <w:rFonts w:asciiTheme="majorBidi" w:hAnsiTheme="majorBidi" w:cstheme="majorBidi"/>
                <w:sz w:val="20"/>
                <w:szCs w:val="20"/>
              </w:rPr>
            </w:pPr>
          </w:p>
        </w:tc>
      </w:tr>
      <w:tr w:rsidR="00711296" w:rsidRPr="009C111A" w14:paraId="548FBFCD" w14:textId="77777777" w:rsidTr="004831C9">
        <w:trPr>
          <w:trHeight w:val="285"/>
          <w:jc w:val="center"/>
        </w:trPr>
        <w:tc>
          <w:tcPr>
            <w:tcW w:w="0" w:type="auto"/>
            <w:noWrap/>
            <w:vAlign w:val="bottom"/>
            <w:hideMark/>
          </w:tcPr>
          <w:p w14:paraId="460DA0CA"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1990</w:t>
            </w:r>
          </w:p>
        </w:tc>
        <w:tc>
          <w:tcPr>
            <w:tcW w:w="0" w:type="auto"/>
            <w:noWrap/>
            <w:vAlign w:val="bottom"/>
            <w:hideMark/>
          </w:tcPr>
          <w:p w14:paraId="13DE52A2"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72.66%</w:t>
            </w:r>
          </w:p>
        </w:tc>
        <w:tc>
          <w:tcPr>
            <w:tcW w:w="0" w:type="auto"/>
            <w:noWrap/>
            <w:vAlign w:val="bottom"/>
            <w:hideMark/>
          </w:tcPr>
          <w:p w14:paraId="5314BDE2"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5DC5674F"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7919243A" w14:textId="77777777" w:rsidR="00711296" w:rsidRPr="009C111A" w:rsidRDefault="00711296" w:rsidP="004831C9">
            <w:pPr>
              <w:bidi w:val="0"/>
              <w:rPr>
                <w:rFonts w:asciiTheme="majorBidi" w:hAnsiTheme="majorBidi" w:cstheme="majorBidi"/>
                <w:sz w:val="20"/>
                <w:szCs w:val="20"/>
              </w:rPr>
            </w:pPr>
          </w:p>
        </w:tc>
      </w:tr>
      <w:tr w:rsidR="00711296" w:rsidRPr="009C111A" w14:paraId="69AC5082" w14:textId="77777777" w:rsidTr="004831C9">
        <w:trPr>
          <w:trHeight w:val="285"/>
          <w:jc w:val="center"/>
        </w:trPr>
        <w:tc>
          <w:tcPr>
            <w:tcW w:w="0" w:type="auto"/>
            <w:noWrap/>
            <w:vAlign w:val="bottom"/>
            <w:hideMark/>
          </w:tcPr>
          <w:p w14:paraId="29BE09B2"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1991</w:t>
            </w:r>
          </w:p>
        </w:tc>
        <w:tc>
          <w:tcPr>
            <w:tcW w:w="0" w:type="auto"/>
            <w:noWrap/>
            <w:vAlign w:val="bottom"/>
            <w:hideMark/>
          </w:tcPr>
          <w:p w14:paraId="7A86AC8E"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67.60%</w:t>
            </w:r>
          </w:p>
        </w:tc>
        <w:tc>
          <w:tcPr>
            <w:tcW w:w="0" w:type="auto"/>
            <w:noWrap/>
            <w:vAlign w:val="bottom"/>
            <w:hideMark/>
          </w:tcPr>
          <w:p w14:paraId="1B96BAF3"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008EBD65"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7F04793F" w14:textId="77777777" w:rsidR="00711296" w:rsidRPr="009C111A" w:rsidRDefault="00711296" w:rsidP="004831C9">
            <w:pPr>
              <w:bidi w:val="0"/>
              <w:rPr>
                <w:rFonts w:asciiTheme="majorBidi" w:hAnsiTheme="majorBidi" w:cstheme="majorBidi"/>
                <w:sz w:val="20"/>
                <w:szCs w:val="20"/>
              </w:rPr>
            </w:pPr>
          </w:p>
        </w:tc>
      </w:tr>
      <w:tr w:rsidR="00711296" w:rsidRPr="009C111A" w14:paraId="4D210681" w14:textId="77777777" w:rsidTr="004831C9">
        <w:trPr>
          <w:trHeight w:val="285"/>
          <w:jc w:val="center"/>
        </w:trPr>
        <w:tc>
          <w:tcPr>
            <w:tcW w:w="0" w:type="auto"/>
            <w:noWrap/>
            <w:vAlign w:val="bottom"/>
            <w:hideMark/>
          </w:tcPr>
          <w:p w14:paraId="129982E4"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1992</w:t>
            </w:r>
          </w:p>
        </w:tc>
        <w:tc>
          <w:tcPr>
            <w:tcW w:w="0" w:type="auto"/>
            <w:noWrap/>
            <w:vAlign w:val="bottom"/>
            <w:hideMark/>
          </w:tcPr>
          <w:p w14:paraId="263F1B61"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74.36%</w:t>
            </w:r>
          </w:p>
        </w:tc>
        <w:tc>
          <w:tcPr>
            <w:tcW w:w="0" w:type="auto"/>
            <w:noWrap/>
            <w:vAlign w:val="bottom"/>
            <w:hideMark/>
          </w:tcPr>
          <w:p w14:paraId="5E0A14B4"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43C92DA2"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17E87D71" w14:textId="77777777" w:rsidR="00711296" w:rsidRPr="009C111A" w:rsidRDefault="00711296" w:rsidP="004831C9">
            <w:pPr>
              <w:bidi w:val="0"/>
              <w:rPr>
                <w:rFonts w:asciiTheme="majorBidi" w:hAnsiTheme="majorBidi" w:cstheme="majorBidi"/>
                <w:sz w:val="20"/>
                <w:szCs w:val="20"/>
              </w:rPr>
            </w:pPr>
          </w:p>
        </w:tc>
      </w:tr>
      <w:tr w:rsidR="00711296" w:rsidRPr="009C111A" w14:paraId="681F8E14" w14:textId="77777777" w:rsidTr="004831C9">
        <w:trPr>
          <w:trHeight w:val="285"/>
          <w:jc w:val="center"/>
        </w:trPr>
        <w:tc>
          <w:tcPr>
            <w:tcW w:w="0" w:type="auto"/>
            <w:noWrap/>
            <w:vAlign w:val="bottom"/>
            <w:hideMark/>
          </w:tcPr>
          <w:p w14:paraId="07037462"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1993</w:t>
            </w:r>
          </w:p>
        </w:tc>
        <w:tc>
          <w:tcPr>
            <w:tcW w:w="0" w:type="auto"/>
            <w:noWrap/>
            <w:vAlign w:val="bottom"/>
            <w:hideMark/>
          </w:tcPr>
          <w:p w14:paraId="2A948E32"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66.15%</w:t>
            </w:r>
          </w:p>
        </w:tc>
        <w:tc>
          <w:tcPr>
            <w:tcW w:w="0" w:type="auto"/>
            <w:noWrap/>
            <w:vAlign w:val="bottom"/>
            <w:hideMark/>
          </w:tcPr>
          <w:p w14:paraId="201FEFA7"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0439AB32"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33694241" w14:textId="77777777" w:rsidR="00711296" w:rsidRPr="009C111A" w:rsidRDefault="00711296" w:rsidP="004831C9">
            <w:pPr>
              <w:bidi w:val="0"/>
              <w:rPr>
                <w:rFonts w:asciiTheme="majorBidi" w:hAnsiTheme="majorBidi" w:cstheme="majorBidi"/>
                <w:sz w:val="20"/>
                <w:szCs w:val="20"/>
              </w:rPr>
            </w:pPr>
          </w:p>
        </w:tc>
      </w:tr>
      <w:tr w:rsidR="00711296" w:rsidRPr="009C111A" w14:paraId="5BB4B5B2" w14:textId="77777777" w:rsidTr="004831C9">
        <w:trPr>
          <w:trHeight w:val="285"/>
          <w:jc w:val="center"/>
        </w:trPr>
        <w:tc>
          <w:tcPr>
            <w:tcW w:w="0" w:type="auto"/>
            <w:noWrap/>
            <w:vAlign w:val="bottom"/>
            <w:hideMark/>
          </w:tcPr>
          <w:p w14:paraId="1D9A86A2"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1994</w:t>
            </w:r>
          </w:p>
        </w:tc>
        <w:tc>
          <w:tcPr>
            <w:tcW w:w="0" w:type="auto"/>
            <w:noWrap/>
            <w:vAlign w:val="bottom"/>
            <w:hideMark/>
          </w:tcPr>
          <w:p w14:paraId="4C2BC7DF"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60.10%</w:t>
            </w:r>
          </w:p>
        </w:tc>
        <w:tc>
          <w:tcPr>
            <w:tcW w:w="0" w:type="auto"/>
            <w:noWrap/>
            <w:vAlign w:val="bottom"/>
            <w:hideMark/>
          </w:tcPr>
          <w:p w14:paraId="469F99BE"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73D9DECB"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08450A9C" w14:textId="77777777" w:rsidR="00711296" w:rsidRPr="009C111A" w:rsidRDefault="00711296" w:rsidP="004831C9">
            <w:pPr>
              <w:bidi w:val="0"/>
              <w:rPr>
                <w:rFonts w:asciiTheme="majorBidi" w:hAnsiTheme="majorBidi" w:cstheme="majorBidi"/>
                <w:sz w:val="20"/>
                <w:szCs w:val="20"/>
              </w:rPr>
            </w:pPr>
          </w:p>
        </w:tc>
      </w:tr>
      <w:tr w:rsidR="00711296" w:rsidRPr="009C111A" w14:paraId="7BB93107" w14:textId="77777777" w:rsidTr="004831C9">
        <w:trPr>
          <w:trHeight w:val="285"/>
          <w:jc w:val="center"/>
        </w:trPr>
        <w:tc>
          <w:tcPr>
            <w:tcW w:w="0" w:type="auto"/>
            <w:noWrap/>
            <w:vAlign w:val="bottom"/>
            <w:hideMark/>
          </w:tcPr>
          <w:p w14:paraId="3EAB6241"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1995</w:t>
            </w:r>
          </w:p>
        </w:tc>
        <w:tc>
          <w:tcPr>
            <w:tcW w:w="0" w:type="auto"/>
            <w:noWrap/>
            <w:vAlign w:val="bottom"/>
            <w:hideMark/>
          </w:tcPr>
          <w:p w14:paraId="4FE5235D"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58.24%</w:t>
            </w:r>
          </w:p>
        </w:tc>
        <w:tc>
          <w:tcPr>
            <w:tcW w:w="0" w:type="auto"/>
            <w:noWrap/>
            <w:vAlign w:val="bottom"/>
            <w:hideMark/>
          </w:tcPr>
          <w:p w14:paraId="248A9921"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74214181" w14:textId="77777777" w:rsidR="00711296" w:rsidRPr="009C111A" w:rsidRDefault="00711296" w:rsidP="004831C9">
            <w:pPr>
              <w:bidi w:val="0"/>
              <w:rPr>
                <w:rFonts w:asciiTheme="majorBidi" w:hAnsiTheme="majorBidi" w:cstheme="majorBidi"/>
                <w:sz w:val="20"/>
                <w:szCs w:val="20"/>
              </w:rPr>
            </w:pPr>
          </w:p>
        </w:tc>
        <w:tc>
          <w:tcPr>
            <w:tcW w:w="0" w:type="auto"/>
            <w:noWrap/>
            <w:vAlign w:val="bottom"/>
            <w:hideMark/>
          </w:tcPr>
          <w:p w14:paraId="3ADAECBF" w14:textId="77777777" w:rsidR="00711296" w:rsidRPr="009C111A" w:rsidRDefault="00711296" w:rsidP="004831C9">
            <w:pPr>
              <w:bidi w:val="0"/>
              <w:rPr>
                <w:rFonts w:asciiTheme="majorBidi" w:hAnsiTheme="majorBidi" w:cstheme="majorBidi"/>
                <w:sz w:val="20"/>
                <w:szCs w:val="20"/>
              </w:rPr>
            </w:pPr>
          </w:p>
        </w:tc>
      </w:tr>
      <w:tr w:rsidR="00711296" w:rsidRPr="009C111A" w14:paraId="188ED4C8" w14:textId="77777777" w:rsidTr="004831C9">
        <w:trPr>
          <w:trHeight w:val="285"/>
          <w:jc w:val="center"/>
        </w:trPr>
        <w:tc>
          <w:tcPr>
            <w:tcW w:w="0" w:type="auto"/>
            <w:noWrap/>
            <w:vAlign w:val="bottom"/>
            <w:hideMark/>
          </w:tcPr>
          <w:p w14:paraId="0A9ACAFD"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1996</w:t>
            </w:r>
          </w:p>
        </w:tc>
        <w:tc>
          <w:tcPr>
            <w:tcW w:w="0" w:type="auto"/>
            <w:noWrap/>
            <w:vAlign w:val="bottom"/>
            <w:hideMark/>
          </w:tcPr>
          <w:p w14:paraId="6F69FFAF"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52.56%</w:t>
            </w:r>
          </w:p>
        </w:tc>
        <w:tc>
          <w:tcPr>
            <w:tcW w:w="0" w:type="auto"/>
            <w:noWrap/>
            <w:vAlign w:val="bottom"/>
            <w:hideMark/>
          </w:tcPr>
          <w:p w14:paraId="5082CA1E"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57%</w:t>
            </w:r>
          </w:p>
        </w:tc>
        <w:tc>
          <w:tcPr>
            <w:tcW w:w="0" w:type="auto"/>
            <w:noWrap/>
            <w:vAlign w:val="bottom"/>
            <w:hideMark/>
          </w:tcPr>
          <w:p w14:paraId="4490D051"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02949117" w14:textId="77777777" w:rsidR="00711296" w:rsidRPr="009C111A" w:rsidRDefault="00711296" w:rsidP="004831C9">
            <w:pPr>
              <w:bidi w:val="0"/>
              <w:rPr>
                <w:rFonts w:asciiTheme="majorBidi" w:hAnsiTheme="majorBidi" w:cstheme="majorBidi"/>
                <w:sz w:val="20"/>
                <w:szCs w:val="20"/>
              </w:rPr>
            </w:pPr>
          </w:p>
        </w:tc>
      </w:tr>
      <w:tr w:rsidR="00711296" w:rsidRPr="009C111A" w14:paraId="54B984CF" w14:textId="77777777" w:rsidTr="004831C9">
        <w:trPr>
          <w:trHeight w:val="285"/>
          <w:jc w:val="center"/>
        </w:trPr>
        <w:tc>
          <w:tcPr>
            <w:tcW w:w="0" w:type="auto"/>
            <w:noWrap/>
            <w:vAlign w:val="bottom"/>
            <w:hideMark/>
          </w:tcPr>
          <w:p w14:paraId="3A85C3B1"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1997</w:t>
            </w:r>
          </w:p>
        </w:tc>
        <w:tc>
          <w:tcPr>
            <w:tcW w:w="0" w:type="auto"/>
            <w:noWrap/>
            <w:vAlign w:val="bottom"/>
            <w:hideMark/>
          </w:tcPr>
          <w:p w14:paraId="38B12F46"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55.06%</w:t>
            </w:r>
          </w:p>
        </w:tc>
        <w:tc>
          <w:tcPr>
            <w:tcW w:w="0" w:type="auto"/>
            <w:noWrap/>
            <w:vAlign w:val="bottom"/>
            <w:hideMark/>
          </w:tcPr>
          <w:p w14:paraId="006F5F55"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61%</w:t>
            </w:r>
          </w:p>
        </w:tc>
        <w:tc>
          <w:tcPr>
            <w:tcW w:w="0" w:type="auto"/>
            <w:noWrap/>
            <w:vAlign w:val="bottom"/>
            <w:hideMark/>
          </w:tcPr>
          <w:p w14:paraId="4BA8FD9F"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2D168A04" w14:textId="77777777" w:rsidR="00711296" w:rsidRPr="009C111A" w:rsidRDefault="00711296" w:rsidP="004831C9">
            <w:pPr>
              <w:bidi w:val="0"/>
              <w:rPr>
                <w:rFonts w:asciiTheme="majorBidi" w:hAnsiTheme="majorBidi" w:cstheme="majorBidi"/>
                <w:sz w:val="20"/>
                <w:szCs w:val="20"/>
              </w:rPr>
            </w:pPr>
          </w:p>
        </w:tc>
      </w:tr>
      <w:tr w:rsidR="00711296" w:rsidRPr="009C111A" w14:paraId="3AF424AF" w14:textId="77777777" w:rsidTr="004831C9">
        <w:trPr>
          <w:trHeight w:val="285"/>
          <w:jc w:val="center"/>
        </w:trPr>
        <w:tc>
          <w:tcPr>
            <w:tcW w:w="0" w:type="auto"/>
            <w:noWrap/>
            <w:vAlign w:val="bottom"/>
            <w:hideMark/>
          </w:tcPr>
          <w:p w14:paraId="6C28CC5E"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1998</w:t>
            </w:r>
          </w:p>
        </w:tc>
        <w:tc>
          <w:tcPr>
            <w:tcW w:w="0" w:type="auto"/>
            <w:noWrap/>
            <w:vAlign w:val="bottom"/>
            <w:hideMark/>
          </w:tcPr>
          <w:p w14:paraId="743523D0"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61.65%</w:t>
            </w:r>
          </w:p>
        </w:tc>
        <w:tc>
          <w:tcPr>
            <w:tcW w:w="0" w:type="auto"/>
            <w:noWrap/>
            <w:vAlign w:val="bottom"/>
            <w:hideMark/>
          </w:tcPr>
          <w:p w14:paraId="35ABD188"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69%</w:t>
            </w:r>
          </w:p>
        </w:tc>
        <w:tc>
          <w:tcPr>
            <w:tcW w:w="0" w:type="auto"/>
            <w:noWrap/>
            <w:vAlign w:val="bottom"/>
            <w:hideMark/>
          </w:tcPr>
          <w:p w14:paraId="1B9228B3"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513009C8" w14:textId="77777777" w:rsidR="00711296" w:rsidRPr="009C111A" w:rsidRDefault="00711296" w:rsidP="004831C9">
            <w:pPr>
              <w:bidi w:val="0"/>
              <w:rPr>
                <w:rFonts w:asciiTheme="majorBidi" w:hAnsiTheme="majorBidi" w:cstheme="majorBidi"/>
                <w:sz w:val="20"/>
                <w:szCs w:val="20"/>
              </w:rPr>
            </w:pPr>
          </w:p>
        </w:tc>
      </w:tr>
      <w:tr w:rsidR="00711296" w:rsidRPr="009C111A" w14:paraId="47FF9ED5" w14:textId="77777777" w:rsidTr="004831C9">
        <w:trPr>
          <w:trHeight w:val="285"/>
          <w:jc w:val="center"/>
        </w:trPr>
        <w:tc>
          <w:tcPr>
            <w:tcW w:w="0" w:type="auto"/>
            <w:noWrap/>
            <w:vAlign w:val="bottom"/>
            <w:hideMark/>
          </w:tcPr>
          <w:p w14:paraId="43301E0C"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1999</w:t>
            </w:r>
          </w:p>
        </w:tc>
        <w:tc>
          <w:tcPr>
            <w:tcW w:w="0" w:type="auto"/>
            <w:noWrap/>
            <w:vAlign w:val="bottom"/>
            <w:hideMark/>
          </w:tcPr>
          <w:p w14:paraId="27FD8F59"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57.80%</w:t>
            </w:r>
          </w:p>
        </w:tc>
        <w:tc>
          <w:tcPr>
            <w:tcW w:w="0" w:type="auto"/>
            <w:noWrap/>
            <w:vAlign w:val="bottom"/>
            <w:hideMark/>
          </w:tcPr>
          <w:p w14:paraId="45710CC4"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72%</w:t>
            </w:r>
          </w:p>
        </w:tc>
        <w:tc>
          <w:tcPr>
            <w:tcW w:w="0" w:type="auto"/>
            <w:noWrap/>
            <w:vAlign w:val="bottom"/>
            <w:hideMark/>
          </w:tcPr>
          <w:p w14:paraId="1D03A754" w14:textId="77777777" w:rsidR="00711296" w:rsidRPr="009C111A" w:rsidRDefault="00711296" w:rsidP="004831C9">
            <w:pPr>
              <w:bidi w:val="0"/>
              <w:jc w:val="right"/>
              <w:rPr>
                <w:rFonts w:asciiTheme="majorBidi" w:hAnsiTheme="majorBidi" w:cstheme="majorBidi"/>
                <w:color w:val="000000"/>
                <w:sz w:val="20"/>
                <w:szCs w:val="20"/>
              </w:rPr>
            </w:pPr>
          </w:p>
        </w:tc>
        <w:tc>
          <w:tcPr>
            <w:tcW w:w="0" w:type="auto"/>
            <w:noWrap/>
            <w:vAlign w:val="bottom"/>
            <w:hideMark/>
          </w:tcPr>
          <w:p w14:paraId="3036F91D" w14:textId="77777777" w:rsidR="00711296" w:rsidRPr="009C111A" w:rsidRDefault="00711296" w:rsidP="004831C9">
            <w:pPr>
              <w:bidi w:val="0"/>
              <w:rPr>
                <w:rFonts w:asciiTheme="majorBidi" w:hAnsiTheme="majorBidi" w:cstheme="majorBidi"/>
                <w:sz w:val="20"/>
                <w:szCs w:val="20"/>
              </w:rPr>
            </w:pPr>
          </w:p>
        </w:tc>
      </w:tr>
      <w:tr w:rsidR="00711296" w:rsidRPr="009C111A" w14:paraId="116DAEF6" w14:textId="77777777" w:rsidTr="004831C9">
        <w:trPr>
          <w:trHeight w:val="285"/>
          <w:jc w:val="center"/>
        </w:trPr>
        <w:tc>
          <w:tcPr>
            <w:tcW w:w="0" w:type="auto"/>
            <w:noWrap/>
            <w:vAlign w:val="bottom"/>
            <w:hideMark/>
          </w:tcPr>
          <w:p w14:paraId="347D2E4B"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2000</w:t>
            </w:r>
          </w:p>
        </w:tc>
        <w:tc>
          <w:tcPr>
            <w:tcW w:w="0" w:type="auto"/>
            <w:noWrap/>
            <w:vAlign w:val="bottom"/>
            <w:hideMark/>
          </w:tcPr>
          <w:p w14:paraId="4165AFB7"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49.42%</w:t>
            </w:r>
          </w:p>
        </w:tc>
        <w:tc>
          <w:tcPr>
            <w:tcW w:w="0" w:type="auto"/>
            <w:noWrap/>
            <w:vAlign w:val="bottom"/>
            <w:hideMark/>
          </w:tcPr>
          <w:p w14:paraId="7512C95B"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61%</w:t>
            </w:r>
          </w:p>
        </w:tc>
        <w:tc>
          <w:tcPr>
            <w:tcW w:w="0" w:type="auto"/>
            <w:noWrap/>
            <w:vAlign w:val="bottom"/>
            <w:hideMark/>
          </w:tcPr>
          <w:p w14:paraId="6CC3AC01"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47.49%</w:t>
            </w:r>
          </w:p>
        </w:tc>
        <w:tc>
          <w:tcPr>
            <w:tcW w:w="0" w:type="auto"/>
            <w:noWrap/>
            <w:vAlign w:val="bottom"/>
            <w:hideMark/>
          </w:tcPr>
          <w:p w14:paraId="29AA9D9F" w14:textId="77777777" w:rsidR="00711296" w:rsidRPr="009C111A" w:rsidRDefault="00711296" w:rsidP="004831C9">
            <w:pPr>
              <w:bidi w:val="0"/>
              <w:jc w:val="right"/>
              <w:rPr>
                <w:rFonts w:asciiTheme="majorBidi" w:hAnsiTheme="majorBidi" w:cstheme="majorBidi"/>
                <w:color w:val="000000"/>
                <w:sz w:val="20"/>
                <w:szCs w:val="20"/>
              </w:rPr>
            </w:pPr>
          </w:p>
        </w:tc>
      </w:tr>
      <w:tr w:rsidR="00711296" w:rsidRPr="009C111A" w14:paraId="0FA46D89" w14:textId="77777777" w:rsidTr="004831C9">
        <w:trPr>
          <w:trHeight w:val="285"/>
          <w:jc w:val="center"/>
        </w:trPr>
        <w:tc>
          <w:tcPr>
            <w:tcW w:w="0" w:type="auto"/>
            <w:noWrap/>
            <w:vAlign w:val="bottom"/>
            <w:hideMark/>
          </w:tcPr>
          <w:p w14:paraId="37DDD0CF"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2001</w:t>
            </w:r>
          </w:p>
        </w:tc>
        <w:tc>
          <w:tcPr>
            <w:tcW w:w="0" w:type="auto"/>
            <w:noWrap/>
            <w:vAlign w:val="bottom"/>
            <w:hideMark/>
          </w:tcPr>
          <w:p w14:paraId="53A06CF0"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38.12%</w:t>
            </w:r>
          </w:p>
        </w:tc>
        <w:tc>
          <w:tcPr>
            <w:tcW w:w="0" w:type="auto"/>
            <w:noWrap/>
            <w:vAlign w:val="bottom"/>
            <w:hideMark/>
          </w:tcPr>
          <w:p w14:paraId="4C8027ED"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39%</w:t>
            </w:r>
          </w:p>
        </w:tc>
        <w:tc>
          <w:tcPr>
            <w:tcW w:w="0" w:type="auto"/>
            <w:noWrap/>
            <w:vAlign w:val="bottom"/>
            <w:hideMark/>
          </w:tcPr>
          <w:p w14:paraId="6B8888C9"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33.73%</w:t>
            </w:r>
          </w:p>
        </w:tc>
        <w:tc>
          <w:tcPr>
            <w:tcW w:w="0" w:type="auto"/>
            <w:noWrap/>
            <w:vAlign w:val="bottom"/>
            <w:hideMark/>
          </w:tcPr>
          <w:p w14:paraId="6FF4711E" w14:textId="77777777" w:rsidR="00711296" w:rsidRPr="009C111A" w:rsidRDefault="00711296" w:rsidP="004831C9">
            <w:pPr>
              <w:bidi w:val="0"/>
              <w:jc w:val="right"/>
              <w:rPr>
                <w:rFonts w:asciiTheme="majorBidi" w:hAnsiTheme="majorBidi" w:cstheme="majorBidi"/>
                <w:color w:val="000000"/>
                <w:sz w:val="20"/>
                <w:szCs w:val="20"/>
              </w:rPr>
            </w:pPr>
          </w:p>
        </w:tc>
      </w:tr>
      <w:tr w:rsidR="00711296" w:rsidRPr="009C111A" w14:paraId="058FDAAD" w14:textId="77777777" w:rsidTr="004831C9">
        <w:trPr>
          <w:trHeight w:val="285"/>
          <w:jc w:val="center"/>
        </w:trPr>
        <w:tc>
          <w:tcPr>
            <w:tcW w:w="0" w:type="auto"/>
            <w:noWrap/>
            <w:vAlign w:val="bottom"/>
            <w:hideMark/>
          </w:tcPr>
          <w:p w14:paraId="320AC7F5"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2002</w:t>
            </w:r>
          </w:p>
        </w:tc>
        <w:tc>
          <w:tcPr>
            <w:tcW w:w="0" w:type="auto"/>
            <w:noWrap/>
            <w:vAlign w:val="bottom"/>
            <w:hideMark/>
          </w:tcPr>
          <w:p w14:paraId="62A5DBC4"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33.09%</w:t>
            </w:r>
          </w:p>
        </w:tc>
        <w:tc>
          <w:tcPr>
            <w:tcW w:w="0" w:type="auto"/>
            <w:noWrap/>
            <w:vAlign w:val="bottom"/>
            <w:hideMark/>
          </w:tcPr>
          <w:p w14:paraId="0FECDF46"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34%</w:t>
            </w:r>
          </w:p>
        </w:tc>
        <w:tc>
          <w:tcPr>
            <w:tcW w:w="0" w:type="auto"/>
            <w:noWrap/>
            <w:vAlign w:val="bottom"/>
            <w:hideMark/>
          </w:tcPr>
          <w:p w14:paraId="0D3E3795"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28.10%</w:t>
            </w:r>
          </w:p>
        </w:tc>
        <w:tc>
          <w:tcPr>
            <w:tcW w:w="0" w:type="auto"/>
            <w:noWrap/>
            <w:vAlign w:val="bottom"/>
            <w:hideMark/>
          </w:tcPr>
          <w:p w14:paraId="26E6F69E" w14:textId="77777777" w:rsidR="00711296" w:rsidRPr="009C111A" w:rsidRDefault="00711296" w:rsidP="004831C9">
            <w:pPr>
              <w:bidi w:val="0"/>
              <w:jc w:val="right"/>
              <w:rPr>
                <w:rFonts w:asciiTheme="majorBidi" w:hAnsiTheme="majorBidi" w:cstheme="majorBidi"/>
                <w:color w:val="000000"/>
                <w:sz w:val="20"/>
                <w:szCs w:val="20"/>
              </w:rPr>
            </w:pPr>
          </w:p>
        </w:tc>
      </w:tr>
      <w:tr w:rsidR="00711296" w:rsidRPr="009C111A" w14:paraId="79AB8F50" w14:textId="77777777" w:rsidTr="004831C9">
        <w:trPr>
          <w:trHeight w:val="285"/>
          <w:jc w:val="center"/>
        </w:trPr>
        <w:tc>
          <w:tcPr>
            <w:tcW w:w="0" w:type="auto"/>
            <w:noWrap/>
            <w:vAlign w:val="bottom"/>
            <w:hideMark/>
          </w:tcPr>
          <w:p w14:paraId="7AC4D910"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2003</w:t>
            </w:r>
          </w:p>
        </w:tc>
        <w:tc>
          <w:tcPr>
            <w:tcW w:w="0" w:type="auto"/>
            <w:noWrap/>
            <w:vAlign w:val="bottom"/>
            <w:hideMark/>
          </w:tcPr>
          <w:p w14:paraId="6CC8402F"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35.72%</w:t>
            </w:r>
          </w:p>
        </w:tc>
        <w:tc>
          <w:tcPr>
            <w:tcW w:w="0" w:type="auto"/>
            <w:noWrap/>
            <w:vAlign w:val="bottom"/>
            <w:hideMark/>
          </w:tcPr>
          <w:p w14:paraId="59533133"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43%</w:t>
            </w:r>
          </w:p>
        </w:tc>
        <w:tc>
          <w:tcPr>
            <w:tcW w:w="0" w:type="auto"/>
            <w:noWrap/>
            <w:vAlign w:val="bottom"/>
            <w:hideMark/>
          </w:tcPr>
          <w:p w14:paraId="6793618B"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33.86%</w:t>
            </w:r>
          </w:p>
        </w:tc>
        <w:tc>
          <w:tcPr>
            <w:tcW w:w="0" w:type="auto"/>
            <w:noWrap/>
            <w:vAlign w:val="bottom"/>
            <w:hideMark/>
          </w:tcPr>
          <w:p w14:paraId="1C12008B" w14:textId="77777777" w:rsidR="00711296" w:rsidRPr="009C111A" w:rsidRDefault="00711296" w:rsidP="004831C9">
            <w:pPr>
              <w:bidi w:val="0"/>
              <w:jc w:val="right"/>
              <w:rPr>
                <w:rFonts w:asciiTheme="majorBidi" w:hAnsiTheme="majorBidi" w:cstheme="majorBidi"/>
                <w:color w:val="000000"/>
                <w:sz w:val="20"/>
                <w:szCs w:val="20"/>
              </w:rPr>
            </w:pPr>
          </w:p>
        </w:tc>
      </w:tr>
      <w:tr w:rsidR="00711296" w:rsidRPr="009C111A" w14:paraId="1A5C2EB4" w14:textId="77777777" w:rsidTr="004831C9">
        <w:trPr>
          <w:trHeight w:val="285"/>
          <w:jc w:val="center"/>
        </w:trPr>
        <w:tc>
          <w:tcPr>
            <w:tcW w:w="0" w:type="auto"/>
            <w:noWrap/>
            <w:vAlign w:val="bottom"/>
            <w:hideMark/>
          </w:tcPr>
          <w:p w14:paraId="45A5E074"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2004</w:t>
            </w:r>
          </w:p>
        </w:tc>
        <w:tc>
          <w:tcPr>
            <w:tcW w:w="0" w:type="auto"/>
            <w:noWrap/>
            <w:vAlign w:val="bottom"/>
            <w:hideMark/>
          </w:tcPr>
          <w:p w14:paraId="07A0ADAB"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39.81%</w:t>
            </w:r>
          </w:p>
        </w:tc>
        <w:tc>
          <w:tcPr>
            <w:tcW w:w="0" w:type="auto"/>
            <w:noWrap/>
            <w:vAlign w:val="bottom"/>
            <w:hideMark/>
          </w:tcPr>
          <w:p w14:paraId="3A331F56"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49%</w:t>
            </w:r>
          </w:p>
        </w:tc>
        <w:tc>
          <w:tcPr>
            <w:tcW w:w="0" w:type="auto"/>
            <w:noWrap/>
            <w:vAlign w:val="bottom"/>
            <w:hideMark/>
          </w:tcPr>
          <w:p w14:paraId="5645F225"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39.66%</w:t>
            </w:r>
          </w:p>
        </w:tc>
        <w:tc>
          <w:tcPr>
            <w:tcW w:w="0" w:type="auto"/>
            <w:noWrap/>
            <w:vAlign w:val="bottom"/>
            <w:hideMark/>
          </w:tcPr>
          <w:p w14:paraId="54674F5B" w14:textId="77777777" w:rsidR="00711296" w:rsidRPr="009C111A" w:rsidRDefault="00711296" w:rsidP="004831C9">
            <w:pPr>
              <w:bidi w:val="0"/>
              <w:jc w:val="right"/>
              <w:rPr>
                <w:rFonts w:asciiTheme="majorBidi" w:hAnsiTheme="majorBidi" w:cstheme="majorBidi"/>
                <w:color w:val="000000"/>
                <w:sz w:val="20"/>
                <w:szCs w:val="20"/>
              </w:rPr>
            </w:pPr>
          </w:p>
        </w:tc>
      </w:tr>
      <w:tr w:rsidR="00711296" w:rsidRPr="009C111A" w14:paraId="1EF3731C" w14:textId="77777777" w:rsidTr="004831C9">
        <w:trPr>
          <w:trHeight w:val="285"/>
          <w:jc w:val="center"/>
        </w:trPr>
        <w:tc>
          <w:tcPr>
            <w:tcW w:w="0" w:type="auto"/>
            <w:noWrap/>
            <w:vAlign w:val="bottom"/>
            <w:hideMark/>
          </w:tcPr>
          <w:p w14:paraId="5D785E4B"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2005</w:t>
            </w:r>
          </w:p>
        </w:tc>
        <w:tc>
          <w:tcPr>
            <w:tcW w:w="0" w:type="auto"/>
            <w:noWrap/>
            <w:vAlign w:val="bottom"/>
            <w:hideMark/>
          </w:tcPr>
          <w:p w14:paraId="6DC65835"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40.77%</w:t>
            </w:r>
          </w:p>
        </w:tc>
        <w:tc>
          <w:tcPr>
            <w:tcW w:w="0" w:type="auto"/>
            <w:noWrap/>
            <w:vAlign w:val="bottom"/>
            <w:hideMark/>
          </w:tcPr>
          <w:p w14:paraId="6D32D7D8"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42%</w:t>
            </w:r>
          </w:p>
        </w:tc>
        <w:tc>
          <w:tcPr>
            <w:tcW w:w="0" w:type="auto"/>
            <w:noWrap/>
            <w:vAlign w:val="bottom"/>
            <w:hideMark/>
          </w:tcPr>
          <w:p w14:paraId="528F7D91"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42.30%</w:t>
            </w:r>
          </w:p>
        </w:tc>
        <w:tc>
          <w:tcPr>
            <w:tcW w:w="0" w:type="auto"/>
            <w:noWrap/>
            <w:vAlign w:val="bottom"/>
            <w:hideMark/>
          </w:tcPr>
          <w:p w14:paraId="65D10681" w14:textId="77777777" w:rsidR="00711296" w:rsidRPr="009C111A" w:rsidRDefault="00711296" w:rsidP="004831C9">
            <w:pPr>
              <w:bidi w:val="0"/>
              <w:jc w:val="right"/>
              <w:rPr>
                <w:rFonts w:asciiTheme="majorBidi" w:hAnsiTheme="majorBidi" w:cstheme="majorBidi"/>
                <w:color w:val="000000"/>
                <w:sz w:val="20"/>
                <w:szCs w:val="20"/>
              </w:rPr>
            </w:pPr>
          </w:p>
        </w:tc>
      </w:tr>
      <w:tr w:rsidR="00711296" w:rsidRPr="009C111A" w14:paraId="47A9C402" w14:textId="77777777" w:rsidTr="004831C9">
        <w:trPr>
          <w:trHeight w:val="285"/>
          <w:jc w:val="center"/>
        </w:trPr>
        <w:tc>
          <w:tcPr>
            <w:tcW w:w="0" w:type="auto"/>
            <w:noWrap/>
            <w:vAlign w:val="bottom"/>
            <w:hideMark/>
          </w:tcPr>
          <w:p w14:paraId="7C93B064"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2006</w:t>
            </w:r>
          </w:p>
        </w:tc>
        <w:tc>
          <w:tcPr>
            <w:tcW w:w="0" w:type="auto"/>
            <w:noWrap/>
            <w:vAlign w:val="bottom"/>
            <w:hideMark/>
          </w:tcPr>
          <w:p w14:paraId="48E2E783"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40.51%</w:t>
            </w:r>
          </w:p>
        </w:tc>
        <w:tc>
          <w:tcPr>
            <w:tcW w:w="0" w:type="auto"/>
            <w:noWrap/>
            <w:vAlign w:val="bottom"/>
            <w:hideMark/>
          </w:tcPr>
          <w:p w14:paraId="43D857BE"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42%</w:t>
            </w:r>
          </w:p>
        </w:tc>
        <w:tc>
          <w:tcPr>
            <w:tcW w:w="0" w:type="auto"/>
            <w:noWrap/>
            <w:vAlign w:val="bottom"/>
            <w:hideMark/>
          </w:tcPr>
          <w:p w14:paraId="5DAAF4FB"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40.64%</w:t>
            </w:r>
          </w:p>
        </w:tc>
        <w:tc>
          <w:tcPr>
            <w:tcW w:w="0" w:type="auto"/>
            <w:noWrap/>
            <w:vAlign w:val="bottom"/>
            <w:hideMark/>
          </w:tcPr>
          <w:p w14:paraId="02851CAD" w14:textId="77777777" w:rsidR="00711296" w:rsidRPr="009C111A" w:rsidRDefault="00711296" w:rsidP="004831C9">
            <w:pPr>
              <w:bidi w:val="0"/>
              <w:jc w:val="right"/>
              <w:rPr>
                <w:rFonts w:asciiTheme="majorBidi" w:hAnsiTheme="majorBidi" w:cstheme="majorBidi"/>
                <w:color w:val="000000"/>
                <w:sz w:val="20"/>
                <w:szCs w:val="20"/>
              </w:rPr>
            </w:pPr>
          </w:p>
        </w:tc>
      </w:tr>
      <w:tr w:rsidR="00711296" w:rsidRPr="009C111A" w14:paraId="016D617E" w14:textId="77777777" w:rsidTr="004831C9">
        <w:trPr>
          <w:trHeight w:val="285"/>
          <w:jc w:val="center"/>
        </w:trPr>
        <w:tc>
          <w:tcPr>
            <w:tcW w:w="0" w:type="auto"/>
            <w:noWrap/>
            <w:vAlign w:val="bottom"/>
            <w:hideMark/>
          </w:tcPr>
          <w:p w14:paraId="56D14C2E"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2007</w:t>
            </w:r>
          </w:p>
        </w:tc>
        <w:tc>
          <w:tcPr>
            <w:tcW w:w="0" w:type="auto"/>
            <w:noWrap/>
            <w:vAlign w:val="bottom"/>
            <w:hideMark/>
          </w:tcPr>
          <w:p w14:paraId="36646E2F"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40.74%</w:t>
            </w:r>
          </w:p>
        </w:tc>
        <w:tc>
          <w:tcPr>
            <w:tcW w:w="0" w:type="auto"/>
            <w:noWrap/>
            <w:vAlign w:val="bottom"/>
            <w:hideMark/>
          </w:tcPr>
          <w:p w14:paraId="45E3C303"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44%</w:t>
            </w:r>
          </w:p>
        </w:tc>
        <w:tc>
          <w:tcPr>
            <w:tcW w:w="0" w:type="auto"/>
            <w:noWrap/>
            <w:vAlign w:val="bottom"/>
            <w:hideMark/>
          </w:tcPr>
          <w:p w14:paraId="4DBD1DEF"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40.34%</w:t>
            </w:r>
          </w:p>
        </w:tc>
        <w:tc>
          <w:tcPr>
            <w:tcW w:w="0" w:type="auto"/>
            <w:noWrap/>
            <w:vAlign w:val="bottom"/>
            <w:hideMark/>
          </w:tcPr>
          <w:p w14:paraId="6B323D7A" w14:textId="77777777" w:rsidR="00711296" w:rsidRPr="009C111A" w:rsidRDefault="00711296" w:rsidP="004831C9">
            <w:pPr>
              <w:bidi w:val="0"/>
              <w:jc w:val="right"/>
              <w:rPr>
                <w:rFonts w:asciiTheme="majorBidi" w:hAnsiTheme="majorBidi" w:cstheme="majorBidi"/>
                <w:color w:val="000000"/>
                <w:sz w:val="20"/>
                <w:szCs w:val="20"/>
              </w:rPr>
            </w:pPr>
          </w:p>
        </w:tc>
      </w:tr>
      <w:tr w:rsidR="00711296" w:rsidRPr="009C111A" w14:paraId="5C078F35" w14:textId="77777777" w:rsidTr="004831C9">
        <w:trPr>
          <w:trHeight w:val="285"/>
          <w:jc w:val="center"/>
        </w:trPr>
        <w:tc>
          <w:tcPr>
            <w:tcW w:w="0" w:type="auto"/>
            <w:noWrap/>
            <w:vAlign w:val="bottom"/>
            <w:hideMark/>
          </w:tcPr>
          <w:p w14:paraId="5C41CF1A"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2008</w:t>
            </w:r>
          </w:p>
        </w:tc>
        <w:tc>
          <w:tcPr>
            <w:tcW w:w="0" w:type="auto"/>
            <w:noWrap/>
            <w:vAlign w:val="bottom"/>
            <w:hideMark/>
          </w:tcPr>
          <w:p w14:paraId="63B2F85A"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45.41%</w:t>
            </w:r>
          </w:p>
        </w:tc>
        <w:tc>
          <w:tcPr>
            <w:tcW w:w="0" w:type="auto"/>
            <w:noWrap/>
            <w:vAlign w:val="bottom"/>
            <w:hideMark/>
          </w:tcPr>
          <w:p w14:paraId="63EE8D2E"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41%</w:t>
            </w:r>
          </w:p>
        </w:tc>
        <w:tc>
          <w:tcPr>
            <w:tcW w:w="0" w:type="auto"/>
            <w:noWrap/>
            <w:vAlign w:val="bottom"/>
            <w:hideMark/>
          </w:tcPr>
          <w:p w14:paraId="51AAFA8C"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44.96%</w:t>
            </w:r>
          </w:p>
        </w:tc>
        <w:tc>
          <w:tcPr>
            <w:tcW w:w="0" w:type="auto"/>
            <w:noWrap/>
            <w:vAlign w:val="bottom"/>
            <w:hideMark/>
          </w:tcPr>
          <w:p w14:paraId="275AA8B9" w14:textId="77777777" w:rsidR="00711296" w:rsidRPr="009C111A" w:rsidRDefault="00711296" w:rsidP="004831C9">
            <w:pPr>
              <w:bidi w:val="0"/>
              <w:jc w:val="right"/>
              <w:rPr>
                <w:rFonts w:asciiTheme="majorBidi" w:hAnsiTheme="majorBidi" w:cstheme="majorBidi"/>
                <w:color w:val="000000"/>
                <w:sz w:val="20"/>
                <w:szCs w:val="20"/>
              </w:rPr>
            </w:pPr>
          </w:p>
        </w:tc>
      </w:tr>
      <w:tr w:rsidR="00711296" w:rsidRPr="009C111A" w14:paraId="7CF85403" w14:textId="77777777" w:rsidTr="004831C9">
        <w:trPr>
          <w:trHeight w:val="285"/>
          <w:jc w:val="center"/>
        </w:trPr>
        <w:tc>
          <w:tcPr>
            <w:tcW w:w="0" w:type="auto"/>
            <w:noWrap/>
            <w:vAlign w:val="bottom"/>
            <w:hideMark/>
          </w:tcPr>
          <w:p w14:paraId="290DC177"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2009</w:t>
            </w:r>
          </w:p>
        </w:tc>
        <w:tc>
          <w:tcPr>
            <w:tcW w:w="0" w:type="auto"/>
            <w:noWrap/>
            <w:vAlign w:val="bottom"/>
            <w:hideMark/>
          </w:tcPr>
          <w:p w14:paraId="0FC3CA93"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43.45%</w:t>
            </w:r>
          </w:p>
        </w:tc>
        <w:tc>
          <w:tcPr>
            <w:tcW w:w="0" w:type="auto"/>
            <w:noWrap/>
            <w:vAlign w:val="bottom"/>
            <w:hideMark/>
          </w:tcPr>
          <w:p w14:paraId="653F22CC"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45%</w:t>
            </w:r>
          </w:p>
        </w:tc>
        <w:tc>
          <w:tcPr>
            <w:tcW w:w="0" w:type="auto"/>
            <w:noWrap/>
            <w:vAlign w:val="bottom"/>
            <w:hideMark/>
          </w:tcPr>
          <w:p w14:paraId="4226CB32"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47.19%</w:t>
            </w:r>
          </w:p>
        </w:tc>
        <w:tc>
          <w:tcPr>
            <w:tcW w:w="0" w:type="auto"/>
            <w:noWrap/>
            <w:vAlign w:val="bottom"/>
            <w:hideMark/>
          </w:tcPr>
          <w:p w14:paraId="654E03E5" w14:textId="77777777" w:rsidR="00711296" w:rsidRPr="009C111A" w:rsidRDefault="00711296" w:rsidP="004831C9">
            <w:pPr>
              <w:bidi w:val="0"/>
              <w:jc w:val="right"/>
              <w:rPr>
                <w:rFonts w:asciiTheme="majorBidi" w:hAnsiTheme="majorBidi" w:cstheme="majorBidi"/>
                <w:color w:val="000000"/>
                <w:sz w:val="20"/>
                <w:szCs w:val="20"/>
              </w:rPr>
            </w:pPr>
          </w:p>
        </w:tc>
      </w:tr>
      <w:tr w:rsidR="00711296" w:rsidRPr="009C111A" w14:paraId="3495CED6" w14:textId="77777777" w:rsidTr="004831C9">
        <w:trPr>
          <w:trHeight w:val="285"/>
          <w:jc w:val="center"/>
        </w:trPr>
        <w:tc>
          <w:tcPr>
            <w:tcW w:w="0" w:type="auto"/>
            <w:noWrap/>
            <w:vAlign w:val="bottom"/>
            <w:hideMark/>
          </w:tcPr>
          <w:p w14:paraId="5DBBDF8A"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2010</w:t>
            </w:r>
          </w:p>
        </w:tc>
        <w:tc>
          <w:tcPr>
            <w:tcW w:w="0" w:type="auto"/>
            <w:noWrap/>
            <w:vAlign w:val="bottom"/>
            <w:hideMark/>
          </w:tcPr>
          <w:p w14:paraId="0B7B9311"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41.32%</w:t>
            </w:r>
          </w:p>
        </w:tc>
        <w:tc>
          <w:tcPr>
            <w:tcW w:w="0" w:type="auto"/>
            <w:noWrap/>
            <w:vAlign w:val="bottom"/>
            <w:hideMark/>
          </w:tcPr>
          <w:p w14:paraId="1EC5B62A"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43%</w:t>
            </w:r>
          </w:p>
        </w:tc>
        <w:tc>
          <w:tcPr>
            <w:tcW w:w="0" w:type="auto"/>
            <w:noWrap/>
            <w:vAlign w:val="bottom"/>
            <w:hideMark/>
          </w:tcPr>
          <w:p w14:paraId="21EA2B92"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48.28%</w:t>
            </w:r>
          </w:p>
        </w:tc>
        <w:tc>
          <w:tcPr>
            <w:tcW w:w="0" w:type="auto"/>
            <w:noWrap/>
            <w:vAlign w:val="bottom"/>
            <w:hideMark/>
          </w:tcPr>
          <w:p w14:paraId="2F96505D"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30%</w:t>
            </w:r>
          </w:p>
        </w:tc>
      </w:tr>
      <w:tr w:rsidR="00711296" w:rsidRPr="009C111A" w14:paraId="670782D4" w14:textId="77777777" w:rsidTr="004831C9">
        <w:trPr>
          <w:trHeight w:val="285"/>
          <w:jc w:val="center"/>
        </w:trPr>
        <w:tc>
          <w:tcPr>
            <w:tcW w:w="0" w:type="auto"/>
            <w:noWrap/>
            <w:vAlign w:val="bottom"/>
            <w:hideMark/>
          </w:tcPr>
          <w:p w14:paraId="722CB36B"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2011</w:t>
            </w:r>
          </w:p>
        </w:tc>
        <w:tc>
          <w:tcPr>
            <w:tcW w:w="0" w:type="auto"/>
            <w:noWrap/>
            <w:vAlign w:val="bottom"/>
            <w:hideMark/>
          </w:tcPr>
          <w:p w14:paraId="37EBFB3F"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41.84%</w:t>
            </w:r>
          </w:p>
        </w:tc>
        <w:tc>
          <w:tcPr>
            <w:tcW w:w="0" w:type="auto"/>
            <w:noWrap/>
            <w:vAlign w:val="bottom"/>
            <w:hideMark/>
          </w:tcPr>
          <w:p w14:paraId="73125E99"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43%</w:t>
            </w:r>
          </w:p>
        </w:tc>
        <w:tc>
          <w:tcPr>
            <w:tcW w:w="0" w:type="auto"/>
            <w:noWrap/>
            <w:vAlign w:val="bottom"/>
            <w:hideMark/>
          </w:tcPr>
          <w:p w14:paraId="22C4150F"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49.67%</w:t>
            </w:r>
          </w:p>
        </w:tc>
        <w:tc>
          <w:tcPr>
            <w:tcW w:w="0" w:type="auto"/>
            <w:noWrap/>
            <w:vAlign w:val="bottom"/>
            <w:hideMark/>
          </w:tcPr>
          <w:p w14:paraId="5768B57E"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32%</w:t>
            </w:r>
          </w:p>
        </w:tc>
      </w:tr>
      <w:tr w:rsidR="00711296" w:rsidRPr="009C111A" w14:paraId="12191067" w14:textId="77777777" w:rsidTr="004831C9">
        <w:trPr>
          <w:trHeight w:val="285"/>
          <w:jc w:val="center"/>
        </w:trPr>
        <w:tc>
          <w:tcPr>
            <w:tcW w:w="0" w:type="auto"/>
            <w:noWrap/>
            <w:vAlign w:val="bottom"/>
            <w:hideMark/>
          </w:tcPr>
          <w:p w14:paraId="2632F9FA"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2012</w:t>
            </w:r>
          </w:p>
        </w:tc>
        <w:tc>
          <w:tcPr>
            <w:tcW w:w="0" w:type="auto"/>
            <w:noWrap/>
            <w:vAlign w:val="bottom"/>
            <w:hideMark/>
          </w:tcPr>
          <w:p w14:paraId="0CACA212"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42.15%</w:t>
            </w:r>
          </w:p>
        </w:tc>
        <w:tc>
          <w:tcPr>
            <w:tcW w:w="0" w:type="auto"/>
            <w:noWrap/>
            <w:vAlign w:val="bottom"/>
            <w:hideMark/>
          </w:tcPr>
          <w:p w14:paraId="55D2537F"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47%</w:t>
            </w:r>
          </w:p>
        </w:tc>
        <w:tc>
          <w:tcPr>
            <w:tcW w:w="0" w:type="auto"/>
            <w:noWrap/>
            <w:vAlign w:val="bottom"/>
            <w:hideMark/>
          </w:tcPr>
          <w:p w14:paraId="00DA0981"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53.82%</w:t>
            </w:r>
          </w:p>
        </w:tc>
        <w:tc>
          <w:tcPr>
            <w:tcW w:w="0" w:type="auto"/>
            <w:noWrap/>
            <w:vAlign w:val="bottom"/>
            <w:hideMark/>
          </w:tcPr>
          <w:p w14:paraId="47AB4F96"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43%</w:t>
            </w:r>
          </w:p>
        </w:tc>
      </w:tr>
      <w:tr w:rsidR="00711296" w:rsidRPr="009C111A" w14:paraId="434F9EEC" w14:textId="77777777" w:rsidTr="004831C9">
        <w:trPr>
          <w:trHeight w:val="285"/>
          <w:jc w:val="center"/>
        </w:trPr>
        <w:tc>
          <w:tcPr>
            <w:tcW w:w="0" w:type="auto"/>
            <w:noWrap/>
            <w:vAlign w:val="bottom"/>
            <w:hideMark/>
          </w:tcPr>
          <w:p w14:paraId="6696F55D"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2013</w:t>
            </w:r>
          </w:p>
        </w:tc>
        <w:tc>
          <w:tcPr>
            <w:tcW w:w="0" w:type="auto"/>
            <w:noWrap/>
            <w:vAlign w:val="bottom"/>
            <w:hideMark/>
          </w:tcPr>
          <w:p w14:paraId="484FE898"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44.85%</w:t>
            </w:r>
          </w:p>
        </w:tc>
        <w:tc>
          <w:tcPr>
            <w:tcW w:w="0" w:type="auto"/>
            <w:noWrap/>
            <w:vAlign w:val="bottom"/>
            <w:hideMark/>
          </w:tcPr>
          <w:p w14:paraId="3C9AFA11"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54%</w:t>
            </w:r>
          </w:p>
        </w:tc>
        <w:tc>
          <w:tcPr>
            <w:tcW w:w="0" w:type="auto"/>
            <w:noWrap/>
            <w:vAlign w:val="bottom"/>
            <w:hideMark/>
          </w:tcPr>
          <w:p w14:paraId="207838C4"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59.53%</w:t>
            </w:r>
          </w:p>
        </w:tc>
        <w:tc>
          <w:tcPr>
            <w:tcW w:w="0" w:type="auto"/>
            <w:noWrap/>
            <w:vAlign w:val="bottom"/>
            <w:hideMark/>
          </w:tcPr>
          <w:p w14:paraId="3F2681D5"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48%</w:t>
            </w:r>
          </w:p>
        </w:tc>
      </w:tr>
      <w:tr w:rsidR="00711296" w:rsidRPr="009C111A" w14:paraId="31EE58EB" w14:textId="77777777" w:rsidTr="004831C9">
        <w:trPr>
          <w:trHeight w:val="285"/>
          <w:jc w:val="center"/>
        </w:trPr>
        <w:tc>
          <w:tcPr>
            <w:tcW w:w="0" w:type="auto"/>
            <w:noWrap/>
            <w:vAlign w:val="bottom"/>
            <w:hideMark/>
          </w:tcPr>
          <w:p w14:paraId="609095B4"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2014</w:t>
            </w:r>
          </w:p>
        </w:tc>
        <w:tc>
          <w:tcPr>
            <w:tcW w:w="0" w:type="auto"/>
            <w:noWrap/>
            <w:vAlign w:val="bottom"/>
            <w:hideMark/>
          </w:tcPr>
          <w:p w14:paraId="25CC0FA8"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42.56%</w:t>
            </w:r>
          </w:p>
        </w:tc>
        <w:tc>
          <w:tcPr>
            <w:tcW w:w="0" w:type="auto"/>
            <w:noWrap/>
            <w:vAlign w:val="bottom"/>
            <w:hideMark/>
          </w:tcPr>
          <w:p w14:paraId="20815DC6"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46%</w:t>
            </w:r>
          </w:p>
        </w:tc>
        <w:tc>
          <w:tcPr>
            <w:tcW w:w="0" w:type="auto"/>
            <w:noWrap/>
            <w:vAlign w:val="bottom"/>
            <w:hideMark/>
          </w:tcPr>
          <w:p w14:paraId="1DF7422F"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56.12%</w:t>
            </w:r>
          </w:p>
        </w:tc>
        <w:tc>
          <w:tcPr>
            <w:tcW w:w="0" w:type="auto"/>
            <w:noWrap/>
            <w:vAlign w:val="bottom"/>
            <w:hideMark/>
          </w:tcPr>
          <w:p w14:paraId="31B2C2F7"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47%</w:t>
            </w:r>
          </w:p>
        </w:tc>
      </w:tr>
      <w:tr w:rsidR="00711296" w:rsidRPr="009C111A" w14:paraId="0E1C8C11" w14:textId="77777777" w:rsidTr="004831C9">
        <w:trPr>
          <w:trHeight w:val="285"/>
          <w:jc w:val="center"/>
        </w:trPr>
        <w:tc>
          <w:tcPr>
            <w:tcW w:w="0" w:type="auto"/>
            <w:noWrap/>
            <w:vAlign w:val="bottom"/>
            <w:hideMark/>
          </w:tcPr>
          <w:p w14:paraId="1FD60B63"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2015</w:t>
            </w:r>
          </w:p>
        </w:tc>
        <w:tc>
          <w:tcPr>
            <w:tcW w:w="0" w:type="auto"/>
            <w:noWrap/>
            <w:vAlign w:val="bottom"/>
            <w:hideMark/>
          </w:tcPr>
          <w:p w14:paraId="717F8A89"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37.80%</w:t>
            </w:r>
          </w:p>
        </w:tc>
        <w:tc>
          <w:tcPr>
            <w:tcW w:w="0" w:type="auto"/>
            <w:noWrap/>
            <w:vAlign w:val="bottom"/>
            <w:hideMark/>
          </w:tcPr>
          <w:p w14:paraId="44F2A51A"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38%</w:t>
            </w:r>
          </w:p>
        </w:tc>
        <w:tc>
          <w:tcPr>
            <w:tcW w:w="0" w:type="auto"/>
            <w:noWrap/>
            <w:vAlign w:val="bottom"/>
            <w:hideMark/>
          </w:tcPr>
          <w:p w14:paraId="2BB4AFB0"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50.22%</w:t>
            </w:r>
          </w:p>
        </w:tc>
        <w:tc>
          <w:tcPr>
            <w:tcW w:w="0" w:type="auto"/>
            <w:noWrap/>
            <w:vAlign w:val="bottom"/>
            <w:hideMark/>
          </w:tcPr>
          <w:p w14:paraId="4DC4B33A"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44%</w:t>
            </w:r>
          </w:p>
        </w:tc>
      </w:tr>
      <w:tr w:rsidR="00711296" w:rsidRPr="009C111A" w14:paraId="40315C28" w14:textId="77777777" w:rsidTr="004831C9">
        <w:trPr>
          <w:trHeight w:val="285"/>
          <w:jc w:val="center"/>
        </w:trPr>
        <w:tc>
          <w:tcPr>
            <w:tcW w:w="0" w:type="auto"/>
            <w:noWrap/>
            <w:vAlign w:val="bottom"/>
            <w:hideMark/>
          </w:tcPr>
          <w:p w14:paraId="78363367"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2016</w:t>
            </w:r>
          </w:p>
        </w:tc>
        <w:tc>
          <w:tcPr>
            <w:tcW w:w="0" w:type="auto"/>
            <w:noWrap/>
            <w:vAlign w:val="bottom"/>
            <w:hideMark/>
          </w:tcPr>
          <w:p w14:paraId="525EDE58"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38.94%</w:t>
            </w:r>
          </w:p>
        </w:tc>
        <w:tc>
          <w:tcPr>
            <w:tcW w:w="0" w:type="auto"/>
            <w:noWrap/>
            <w:vAlign w:val="bottom"/>
            <w:hideMark/>
          </w:tcPr>
          <w:p w14:paraId="1C84AD6A"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49%</w:t>
            </w:r>
          </w:p>
        </w:tc>
        <w:tc>
          <w:tcPr>
            <w:tcW w:w="0" w:type="auto"/>
            <w:noWrap/>
            <w:vAlign w:val="bottom"/>
            <w:hideMark/>
          </w:tcPr>
          <w:p w14:paraId="28FD6E03"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60.80%</w:t>
            </w:r>
          </w:p>
        </w:tc>
        <w:tc>
          <w:tcPr>
            <w:tcW w:w="0" w:type="auto"/>
            <w:noWrap/>
            <w:vAlign w:val="bottom"/>
            <w:hideMark/>
          </w:tcPr>
          <w:p w14:paraId="1D722CE7"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63%</w:t>
            </w:r>
          </w:p>
        </w:tc>
      </w:tr>
      <w:tr w:rsidR="00711296" w:rsidRPr="009C111A" w14:paraId="67F68589" w14:textId="77777777" w:rsidTr="004831C9">
        <w:trPr>
          <w:trHeight w:val="285"/>
          <w:jc w:val="center"/>
        </w:trPr>
        <w:tc>
          <w:tcPr>
            <w:tcW w:w="0" w:type="auto"/>
            <w:noWrap/>
            <w:vAlign w:val="bottom"/>
            <w:hideMark/>
          </w:tcPr>
          <w:p w14:paraId="40A933E3"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2017</w:t>
            </w:r>
          </w:p>
        </w:tc>
        <w:tc>
          <w:tcPr>
            <w:tcW w:w="0" w:type="auto"/>
            <w:noWrap/>
            <w:vAlign w:val="bottom"/>
            <w:hideMark/>
          </w:tcPr>
          <w:p w14:paraId="36385EA3"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37.38%</w:t>
            </w:r>
          </w:p>
        </w:tc>
        <w:tc>
          <w:tcPr>
            <w:tcW w:w="0" w:type="auto"/>
            <w:noWrap/>
            <w:vAlign w:val="bottom"/>
            <w:hideMark/>
          </w:tcPr>
          <w:p w14:paraId="2B935E85"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46%</w:t>
            </w:r>
          </w:p>
        </w:tc>
        <w:tc>
          <w:tcPr>
            <w:tcW w:w="0" w:type="auto"/>
            <w:noWrap/>
            <w:vAlign w:val="bottom"/>
            <w:hideMark/>
          </w:tcPr>
          <w:p w14:paraId="4F9DDCD9"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60.59%</w:t>
            </w:r>
          </w:p>
        </w:tc>
        <w:tc>
          <w:tcPr>
            <w:tcW w:w="0" w:type="auto"/>
            <w:noWrap/>
            <w:vAlign w:val="bottom"/>
            <w:hideMark/>
          </w:tcPr>
          <w:p w14:paraId="762E4413"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64%</w:t>
            </w:r>
          </w:p>
        </w:tc>
      </w:tr>
      <w:tr w:rsidR="00711296" w:rsidRPr="009C111A" w14:paraId="00C91681" w14:textId="77777777" w:rsidTr="004831C9">
        <w:trPr>
          <w:trHeight w:val="285"/>
          <w:jc w:val="center"/>
        </w:trPr>
        <w:tc>
          <w:tcPr>
            <w:tcW w:w="0" w:type="auto"/>
            <w:noWrap/>
            <w:vAlign w:val="bottom"/>
            <w:hideMark/>
          </w:tcPr>
          <w:p w14:paraId="776DC3B0"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2018</w:t>
            </w:r>
          </w:p>
        </w:tc>
        <w:tc>
          <w:tcPr>
            <w:tcW w:w="0" w:type="auto"/>
            <w:noWrap/>
            <w:vAlign w:val="bottom"/>
            <w:hideMark/>
          </w:tcPr>
          <w:p w14:paraId="48F93EDB"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38.26%</w:t>
            </w:r>
          </w:p>
        </w:tc>
        <w:tc>
          <w:tcPr>
            <w:tcW w:w="0" w:type="auto"/>
            <w:noWrap/>
            <w:vAlign w:val="bottom"/>
            <w:hideMark/>
          </w:tcPr>
          <w:p w14:paraId="1CED4495"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45%</w:t>
            </w:r>
          </w:p>
        </w:tc>
        <w:tc>
          <w:tcPr>
            <w:tcW w:w="0" w:type="auto"/>
            <w:noWrap/>
            <w:vAlign w:val="bottom"/>
            <w:hideMark/>
          </w:tcPr>
          <w:p w14:paraId="556CC69E"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62.04%</w:t>
            </w:r>
          </w:p>
        </w:tc>
        <w:tc>
          <w:tcPr>
            <w:tcW w:w="0" w:type="auto"/>
            <w:noWrap/>
            <w:vAlign w:val="bottom"/>
            <w:hideMark/>
          </w:tcPr>
          <w:p w14:paraId="490C87F8"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66%</w:t>
            </w:r>
          </w:p>
        </w:tc>
      </w:tr>
      <w:tr w:rsidR="00711296" w:rsidRPr="009C111A" w14:paraId="598E6C35" w14:textId="77777777" w:rsidTr="004831C9">
        <w:trPr>
          <w:trHeight w:val="285"/>
          <w:jc w:val="center"/>
        </w:trPr>
        <w:tc>
          <w:tcPr>
            <w:tcW w:w="0" w:type="auto"/>
            <w:noWrap/>
            <w:vAlign w:val="bottom"/>
            <w:hideMark/>
          </w:tcPr>
          <w:p w14:paraId="3D710B6F"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2019</w:t>
            </w:r>
          </w:p>
        </w:tc>
        <w:tc>
          <w:tcPr>
            <w:tcW w:w="0" w:type="auto"/>
            <w:noWrap/>
            <w:vAlign w:val="bottom"/>
            <w:hideMark/>
          </w:tcPr>
          <w:p w14:paraId="34D0807C"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37.04%</w:t>
            </w:r>
          </w:p>
        </w:tc>
        <w:tc>
          <w:tcPr>
            <w:tcW w:w="0" w:type="auto"/>
            <w:noWrap/>
            <w:vAlign w:val="bottom"/>
            <w:hideMark/>
          </w:tcPr>
          <w:p w14:paraId="3DDDEE36"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45%</w:t>
            </w:r>
          </w:p>
        </w:tc>
        <w:tc>
          <w:tcPr>
            <w:tcW w:w="0" w:type="auto"/>
            <w:noWrap/>
            <w:vAlign w:val="bottom"/>
            <w:hideMark/>
          </w:tcPr>
          <w:p w14:paraId="06086D4E"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59.33%</w:t>
            </w:r>
          </w:p>
        </w:tc>
        <w:tc>
          <w:tcPr>
            <w:tcW w:w="0" w:type="auto"/>
            <w:noWrap/>
            <w:vAlign w:val="bottom"/>
            <w:hideMark/>
          </w:tcPr>
          <w:p w14:paraId="0C55FB18" w14:textId="77777777" w:rsidR="00711296" w:rsidRPr="009C111A" w:rsidRDefault="00711296" w:rsidP="004831C9">
            <w:pPr>
              <w:bidi w:val="0"/>
              <w:jc w:val="right"/>
              <w:rPr>
                <w:rFonts w:asciiTheme="majorBidi" w:hAnsiTheme="majorBidi" w:cstheme="majorBidi"/>
                <w:color w:val="000000"/>
                <w:sz w:val="20"/>
                <w:szCs w:val="20"/>
              </w:rPr>
            </w:pPr>
            <w:r w:rsidRPr="009C111A">
              <w:rPr>
                <w:rFonts w:asciiTheme="majorBidi" w:hAnsiTheme="majorBidi" w:cstheme="majorBidi"/>
                <w:color w:val="000000"/>
                <w:sz w:val="20"/>
                <w:szCs w:val="20"/>
              </w:rPr>
              <w:t>60%</w:t>
            </w:r>
          </w:p>
        </w:tc>
      </w:tr>
    </w:tbl>
    <w:p w14:paraId="47DA18B3" w14:textId="77777777" w:rsidR="00711296" w:rsidRDefault="00711296" w:rsidP="00711296">
      <w:pPr>
        <w:bidi w:val="0"/>
      </w:pPr>
    </w:p>
    <w:p w14:paraId="14F27701" w14:textId="77777777" w:rsidR="00711296" w:rsidRDefault="00711296" w:rsidP="00711296">
      <w:pPr>
        <w:bidi w:val="0"/>
      </w:pPr>
    </w:p>
    <w:p w14:paraId="34CC0B06" w14:textId="77777777" w:rsidR="00711296" w:rsidRDefault="00711296" w:rsidP="00711296">
      <w:pPr>
        <w:bidi w:val="0"/>
      </w:pPr>
    </w:p>
    <w:p w14:paraId="12CFBEB9" w14:textId="77777777" w:rsidR="00711296" w:rsidRDefault="00711296" w:rsidP="00711296">
      <w:pPr>
        <w:bidi w:val="0"/>
      </w:pPr>
    </w:p>
    <w:p w14:paraId="46D47501" w14:textId="77777777" w:rsidR="00711296" w:rsidRDefault="00711296" w:rsidP="00711296">
      <w:pPr>
        <w:bidi w:val="0"/>
      </w:pPr>
    </w:p>
    <w:p w14:paraId="630EA01A" w14:textId="77777777" w:rsidR="00711296" w:rsidRDefault="00711296" w:rsidP="00711296">
      <w:pPr>
        <w:pStyle w:val="ListParagraph"/>
        <w:autoSpaceDE w:val="0"/>
        <w:autoSpaceDN w:val="0"/>
        <w:bidi w:val="0"/>
        <w:adjustRightInd w:val="0"/>
        <w:spacing w:after="240" w:line="480" w:lineRule="auto"/>
        <w:jc w:val="center"/>
        <w:rPr>
          <w:rFonts w:ascii="Times New Roman" w:hAnsi="Times New Roman" w:cs="David"/>
          <w:b/>
          <w:bCs/>
          <w:sz w:val="24"/>
          <w:szCs w:val="24"/>
        </w:rPr>
      </w:pPr>
    </w:p>
    <w:tbl>
      <w:tblPr>
        <w:tblStyle w:val="TableGrid"/>
        <w:bidiVisual/>
        <w:tblW w:w="9360" w:type="dxa"/>
        <w:tblInd w:w="12409" w:type="dxa"/>
        <w:tblLook w:val="04A0" w:firstRow="1" w:lastRow="0" w:firstColumn="1" w:lastColumn="0" w:noHBand="0" w:noVBand="1"/>
      </w:tblPr>
      <w:tblGrid>
        <w:gridCol w:w="1247"/>
        <w:gridCol w:w="1122"/>
        <w:gridCol w:w="5360"/>
        <w:gridCol w:w="1631"/>
      </w:tblGrid>
      <w:tr w:rsidR="00C10CCD" w:rsidRPr="00C10CCD" w14:paraId="5EC533C0" w14:textId="77777777" w:rsidTr="004831C9">
        <w:tc>
          <w:tcPr>
            <w:tcW w:w="1247" w:type="dxa"/>
          </w:tcPr>
          <w:p w14:paraId="16009BA3" w14:textId="5DA5688B" w:rsidR="00C10CCD" w:rsidRPr="00C10CCD" w:rsidRDefault="00C10CCD" w:rsidP="006E1000">
            <w:pPr>
              <w:bidi w:val="0"/>
              <w:rPr>
                <w:b/>
                <w:bCs/>
              </w:rPr>
            </w:pPr>
          </w:p>
        </w:tc>
        <w:tc>
          <w:tcPr>
            <w:tcW w:w="1122" w:type="dxa"/>
          </w:tcPr>
          <w:p w14:paraId="305F87F8" w14:textId="77777777" w:rsidR="00C10CCD" w:rsidRPr="00C10CCD" w:rsidRDefault="00C10CCD" w:rsidP="00C10CCD">
            <w:pPr>
              <w:jc w:val="center"/>
              <w:rPr>
                <w:b/>
                <w:bCs/>
              </w:rPr>
            </w:pPr>
            <w:bookmarkStart w:id="2" w:name="_Hlk70325866"/>
            <w:r w:rsidRPr="00C10CCD">
              <w:rPr>
                <w:b/>
                <w:bCs/>
              </w:rPr>
              <w:t>Data sources</w:t>
            </w:r>
          </w:p>
        </w:tc>
        <w:tc>
          <w:tcPr>
            <w:tcW w:w="5360" w:type="dxa"/>
          </w:tcPr>
          <w:p w14:paraId="5BF00112" w14:textId="77777777" w:rsidR="00C10CCD" w:rsidRPr="00C10CCD" w:rsidRDefault="00C10CCD" w:rsidP="00C10CCD">
            <w:pPr>
              <w:bidi w:val="0"/>
              <w:rPr>
                <w:b/>
                <w:bCs/>
                <w:rtl/>
              </w:rPr>
            </w:pPr>
            <w:r w:rsidRPr="00C10CCD">
              <w:rPr>
                <w:b/>
                <w:bCs/>
              </w:rPr>
              <w:t>Indicator</w:t>
            </w:r>
          </w:p>
        </w:tc>
        <w:tc>
          <w:tcPr>
            <w:tcW w:w="1631" w:type="dxa"/>
          </w:tcPr>
          <w:p w14:paraId="2165F06C" w14:textId="77777777" w:rsidR="00C10CCD" w:rsidRPr="00C10CCD" w:rsidRDefault="00C10CCD" w:rsidP="00C10CCD">
            <w:pPr>
              <w:rPr>
                <w:b/>
                <w:bCs/>
                <w:rtl/>
              </w:rPr>
            </w:pPr>
            <w:r w:rsidRPr="00C10CCD">
              <w:rPr>
                <w:b/>
                <w:bCs/>
              </w:rPr>
              <w:t>Dimension</w:t>
            </w:r>
          </w:p>
        </w:tc>
      </w:tr>
      <w:tr w:rsidR="00C10CCD" w:rsidRPr="00C10CCD" w14:paraId="7969313C" w14:textId="77777777" w:rsidTr="004831C9">
        <w:trPr>
          <w:trHeight w:val="585"/>
        </w:trPr>
        <w:tc>
          <w:tcPr>
            <w:tcW w:w="1247" w:type="dxa"/>
          </w:tcPr>
          <w:p w14:paraId="4E5F48C1" w14:textId="77777777" w:rsidR="00C10CCD" w:rsidRPr="00C10CCD" w:rsidRDefault="00C10CCD" w:rsidP="00C10CCD">
            <w:pPr>
              <w:bidi w:val="0"/>
            </w:pPr>
            <w:r w:rsidRPr="00C10CCD">
              <w:t>1968-2019</w:t>
            </w:r>
          </w:p>
        </w:tc>
        <w:tc>
          <w:tcPr>
            <w:tcW w:w="1122" w:type="dxa"/>
          </w:tcPr>
          <w:p w14:paraId="3877058E" w14:textId="77777777" w:rsidR="00C10CCD" w:rsidRPr="00C10CCD" w:rsidRDefault="00C10CCD" w:rsidP="00C10CCD">
            <w:pPr>
              <w:bidi w:val="0"/>
            </w:pPr>
            <w:r w:rsidRPr="00C10CCD">
              <w:t>PCBS, ICBS, WB</w:t>
            </w:r>
          </w:p>
        </w:tc>
        <w:tc>
          <w:tcPr>
            <w:tcW w:w="5360" w:type="dxa"/>
          </w:tcPr>
          <w:p w14:paraId="491CF293" w14:textId="77777777" w:rsidR="00C10CCD" w:rsidRPr="00C10CCD" w:rsidRDefault="00C10CCD" w:rsidP="00C10CCD">
            <w:pPr>
              <w:bidi w:val="0"/>
            </w:pPr>
            <w:r w:rsidRPr="00C10CCD">
              <w:t>Palestinian exports of goods and services to Israel out of total Palestinian exports</w:t>
            </w:r>
          </w:p>
        </w:tc>
        <w:tc>
          <w:tcPr>
            <w:tcW w:w="1631" w:type="dxa"/>
            <w:vMerge w:val="restart"/>
            <w:vAlign w:val="center"/>
          </w:tcPr>
          <w:p w14:paraId="7692D102" w14:textId="77777777" w:rsidR="00C10CCD" w:rsidRPr="00C10CCD" w:rsidRDefault="00C10CCD" w:rsidP="00C10CCD">
            <w:pPr>
              <w:bidi w:val="0"/>
              <w:jc w:val="center"/>
              <w:rPr>
                <w:b/>
                <w:bCs/>
              </w:rPr>
            </w:pPr>
            <w:r w:rsidRPr="00C10CCD">
              <w:rPr>
                <w:b/>
                <w:bCs/>
              </w:rPr>
              <w:t>Trade, Employment and Taxes</w:t>
            </w:r>
          </w:p>
        </w:tc>
      </w:tr>
      <w:tr w:rsidR="00C10CCD" w:rsidRPr="00C10CCD" w14:paraId="13AC34C5" w14:textId="77777777" w:rsidTr="004831C9">
        <w:trPr>
          <w:trHeight w:val="126"/>
        </w:trPr>
        <w:tc>
          <w:tcPr>
            <w:tcW w:w="1247" w:type="dxa"/>
          </w:tcPr>
          <w:p w14:paraId="5392C035" w14:textId="77777777" w:rsidR="00C10CCD" w:rsidRPr="00C10CCD" w:rsidRDefault="00C10CCD" w:rsidP="00C10CCD">
            <w:pPr>
              <w:bidi w:val="0"/>
            </w:pPr>
            <w:r w:rsidRPr="00C10CCD">
              <w:t>1968-2019</w:t>
            </w:r>
          </w:p>
        </w:tc>
        <w:tc>
          <w:tcPr>
            <w:tcW w:w="1122" w:type="dxa"/>
          </w:tcPr>
          <w:p w14:paraId="3FE4A35F" w14:textId="77777777" w:rsidR="00C10CCD" w:rsidRPr="00C10CCD" w:rsidRDefault="00C10CCD" w:rsidP="00C10CCD">
            <w:pPr>
              <w:bidi w:val="0"/>
            </w:pPr>
            <w:r w:rsidRPr="00C10CCD">
              <w:t>PCBS, ICBS, WB</w:t>
            </w:r>
          </w:p>
        </w:tc>
        <w:tc>
          <w:tcPr>
            <w:tcW w:w="5360" w:type="dxa"/>
          </w:tcPr>
          <w:p w14:paraId="415C3F7D" w14:textId="77777777" w:rsidR="00C10CCD" w:rsidRPr="00C10CCD" w:rsidRDefault="00C10CCD" w:rsidP="00C10CCD">
            <w:pPr>
              <w:bidi w:val="0"/>
              <w:rPr>
                <w:rtl/>
              </w:rPr>
            </w:pPr>
            <w:r w:rsidRPr="00C10CCD">
              <w:t>Palestinian imports of goods and services from Israel out of total Palestinian imports</w:t>
            </w:r>
          </w:p>
        </w:tc>
        <w:tc>
          <w:tcPr>
            <w:tcW w:w="1631" w:type="dxa"/>
            <w:vMerge/>
            <w:vAlign w:val="center"/>
          </w:tcPr>
          <w:p w14:paraId="0AFC7F4C" w14:textId="77777777" w:rsidR="00C10CCD" w:rsidRPr="00C10CCD" w:rsidRDefault="00C10CCD" w:rsidP="00C10CCD">
            <w:pPr>
              <w:bidi w:val="0"/>
              <w:jc w:val="center"/>
              <w:rPr>
                <w:b/>
                <w:bCs/>
              </w:rPr>
            </w:pPr>
          </w:p>
        </w:tc>
      </w:tr>
      <w:tr w:rsidR="00C10CCD" w:rsidRPr="00C10CCD" w14:paraId="0B0D5505" w14:textId="77777777" w:rsidTr="004831C9">
        <w:trPr>
          <w:trHeight w:val="126"/>
        </w:trPr>
        <w:tc>
          <w:tcPr>
            <w:tcW w:w="1247" w:type="dxa"/>
          </w:tcPr>
          <w:p w14:paraId="507118D8" w14:textId="77777777" w:rsidR="00C10CCD" w:rsidRPr="00C10CCD" w:rsidRDefault="00C10CCD" w:rsidP="00C10CCD">
            <w:pPr>
              <w:bidi w:val="0"/>
            </w:pPr>
            <w:r w:rsidRPr="00C10CCD">
              <w:t>1996-2019</w:t>
            </w:r>
          </w:p>
        </w:tc>
        <w:tc>
          <w:tcPr>
            <w:tcW w:w="1122" w:type="dxa"/>
          </w:tcPr>
          <w:p w14:paraId="1DD307EA" w14:textId="77777777" w:rsidR="00C10CCD" w:rsidRPr="00C10CCD" w:rsidRDefault="00C10CCD" w:rsidP="00C10CCD">
            <w:pPr>
              <w:bidi w:val="0"/>
            </w:pPr>
            <w:r w:rsidRPr="00C10CCD">
              <w:t>PMA</w:t>
            </w:r>
          </w:p>
        </w:tc>
        <w:tc>
          <w:tcPr>
            <w:tcW w:w="5360" w:type="dxa"/>
          </w:tcPr>
          <w:p w14:paraId="43E34FA2" w14:textId="77777777" w:rsidR="00C10CCD" w:rsidRPr="00C10CCD" w:rsidRDefault="00C10CCD" w:rsidP="00C10CCD">
            <w:pPr>
              <w:bidi w:val="0"/>
              <w:rPr>
                <w:rtl/>
              </w:rPr>
            </w:pPr>
            <w:r w:rsidRPr="00C10CCD">
              <w:t>Share of gross clearance revenues out of total PA net revenues and grants</w:t>
            </w:r>
          </w:p>
        </w:tc>
        <w:tc>
          <w:tcPr>
            <w:tcW w:w="1631" w:type="dxa"/>
            <w:vMerge/>
            <w:vAlign w:val="center"/>
          </w:tcPr>
          <w:p w14:paraId="0272D977" w14:textId="77777777" w:rsidR="00C10CCD" w:rsidRPr="00C10CCD" w:rsidRDefault="00C10CCD" w:rsidP="00C10CCD">
            <w:pPr>
              <w:bidi w:val="0"/>
              <w:jc w:val="center"/>
              <w:rPr>
                <w:b/>
                <w:bCs/>
              </w:rPr>
            </w:pPr>
          </w:p>
        </w:tc>
      </w:tr>
      <w:tr w:rsidR="00C10CCD" w:rsidRPr="00C10CCD" w14:paraId="731E51F2" w14:textId="77777777" w:rsidTr="004831C9">
        <w:trPr>
          <w:trHeight w:val="570"/>
        </w:trPr>
        <w:tc>
          <w:tcPr>
            <w:tcW w:w="1247" w:type="dxa"/>
          </w:tcPr>
          <w:p w14:paraId="1983496F" w14:textId="77777777" w:rsidR="00C10CCD" w:rsidRPr="00C10CCD" w:rsidRDefault="00C10CCD" w:rsidP="00C10CCD">
            <w:pPr>
              <w:bidi w:val="0"/>
            </w:pPr>
            <w:r w:rsidRPr="00C10CCD">
              <w:t>1968-2019</w:t>
            </w:r>
          </w:p>
        </w:tc>
        <w:tc>
          <w:tcPr>
            <w:tcW w:w="1122" w:type="dxa"/>
          </w:tcPr>
          <w:p w14:paraId="5CA4DCAA" w14:textId="77777777" w:rsidR="00C10CCD" w:rsidRPr="00C10CCD" w:rsidRDefault="00C10CCD" w:rsidP="00C10CCD">
            <w:pPr>
              <w:bidi w:val="0"/>
            </w:pPr>
            <w:r w:rsidRPr="00C10CCD">
              <w:t>PCBS, ICBS</w:t>
            </w:r>
          </w:p>
        </w:tc>
        <w:tc>
          <w:tcPr>
            <w:tcW w:w="5360" w:type="dxa"/>
          </w:tcPr>
          <w:p w14:paraId="3BB23CF0" w14:textId="77777777" w:rsidR="00C10CCD" w:rsidRPr="00C10CCD" w:rsidRDefault="00C10CCD" w:rsidP="00C10CCD">
            <w:pPr>
              <w:bidi w:val="0"/>
              <w:rPr>
                <w:rtl/>
              </w:rPr>
            </w:pPr>
            <w:r w:rsidRPr="00C10CCD">
              <w:t>Palestinians employed in Israel out of total Palestinian individuals employed</w:t>
            </w:r>
          </w:p>
        </w:tc>
        <w:tc>
          <w:tcPr>
            <w:tcW w:w="1631" w:type="dxa"/>
            <w:vMerge/>
            <w:vAlign w:val="center"/>
          </w:tcPr>
          <w:p w14:paraId="3FD896CF" w14:textId="77777777" w:rsidR="00C10CCD" w:rsidRPr="00C10CCD" w:rsidRDefault="00C10CCD" w:rsidP="00C10CCD">
            <w:pPr>
              <w:bidi w:val="0"/>
              <w:jc w:val="center"/>
              <w:rPr>
                <w:b/>
                <w:bCs/>
              </w:rPr>
            </w:pPr>
          </w:p>
        </w:tc>
      </w:tr>
      <w:tr w:rsidR="00C10CCD" w:rsidRPr="00C10CCD" w14:paraId="1D5AAB47" w14:textId="77777777" w:rsidTr="004831C9">
        <w:trPr>
          <w:trHeight w:val="85"/>
        </w:trPr>
        <w:tc>
          <w:tcPr>
            <w:tcW w:w="1247" w:type="dxa"/>
          </w:tcPr>
          <w:p w14:paraId="6D3AAD71" w14:textId="77777777" w:rsidR="00C10CCD" w:rsidRPr="00C10CCD" w:rsidRDefault="00C10CCD" w:rsidP="00C10CCD">
            <w:pPr>
              <w:bidi w:val="0"/>
            </w:pPr>
            <w:r w:rsidRPr="00C10CCD">
              <w:t>1968-2019</w:t>
            </w:r>
          </w:p>
        </w:tc>
        <w:tc>
          <w:tcPr>
            <w:tcW w:w="1122" w:type="dxa"/>
          </w:tcPr>
          <w:p w14:paraId="7F1CC40E" w14:textId="77777777" w:rsidR="00C10CCD" w:rsidRPr="00C10CCD" w:rsidRDefault="00C10CCD" w:rsidP="00C10CCD">
            <w:pPr>
              <w:bidi w:val="0"/>
              <w:rPr>
                <w:rFonts w:asciiTheme="minorHAnsi" w:eastAsiaTheme="minorHAnsi" w:hAnsiTheme="minorHAnsi" w:cstheme="minorBidi"/>
              </w:rPr>
            </w:pPr>
            <w:r w:rsidRPr="00C10CCD">
              <w:t>PCBS</w:t>
            </w:r>
            <w:r w:rsidRPr="00C10CCD">
              <w:rPr>
                <w:rFonts w:asciiTheme="minorHAnsi" w:eastAsiaTheme="minorHAnsi" w:hAnsiTheme="minorHAnsi" w:cstheme="minorBidi"/>
              </w:rPr>
              <w:t>, ICBS</w:t>
            </w:r>
          </w:p>
        </w:tc>
        <w:tc>
          <w:tcPr>
            <w:tcW w:w="5360" w:type="dxa"/>
          </w:tcPr>
          <w:p w14:paraId="0D9A3E9B" w14:textId="77777777" w:rsidR="00C10CCD" w:rsidRPr="00C10CCD" w:rsidRDefault="00C10CCD" w:rsidP="00C10CCD">
            <w:pPr>
              <w:bidi w:val="0"/>
            </w:pPr>
            <w:r w:rsidRPr="00C10CCD">
              <w:rPr>
                <w:rFonts w:eastAsiaTheme="minorHAnsi"/>
              </w:rPr>
              <w:t>Remittances of Palestinians workers in Israel out of WBG GNI</w:t>
            </w:r>
          </w:p>
        </w:tc>
        <w:tc>
          <w:tcPr>
            <w:tcW w:w="1631" w:type="dxa"/>
            <w:vMerge/>
            <w:vAlign w:val="center"/>
          </w:tcPr>
          <w:p w14:paraId="71607AFA" w14:textId="77777777" w:rsidR="00C10CCD" w:rsidRPr="00C10CCD" w:rsidRDefault="00C10CCD" w:rsidP="00C10CCD">
            <w:pPr>
              <w:bidi w:val="0"/>
              <w:jc w:val="center"/>
              <w:rPr>
                <w:b/>
                <w:bCs/>
              </w:rPr>
            </w:pPr>
          </w:p>
        </w:tc>
      </w:tr>
      <w:tr w:rsidR="00C10CCD" w:rsidRPr="00C10CCD" w14:paraId="24CB4450" w14:textId="77777777" w:rsidTr="004831C9">
        <w:trPr>
          <w:trHeight w:val="85"/>
        </w:trPr>
        <w:tc>
          <w:tcPr>
            <w:tcW w:w="1247" w:type="dxa"/>
          </w:tcPr>
          <w:p w14:paraId="3A699058" w14:textId="77777777" w:rsidR="00C10CCD" w:rsidRPr="00C10CCD" w:rsidRDefault="00C10CCD" w:rsidP="00C10CCD">
            <w:pPr>
              <w:bidi w:val="0"/>
            </w:pPr>
            <w:r w:rsidRPr="00C10CCD">
              <w:t>2010-2019</w:t>
            </w:r>
          </w:p>
        </w:tc>
        <w:tc>
          <w:tcPr>
            <w:tcW w:w="1122" w:type="dxa"/>
          </w:tcPr>
          <w:p w14:paraId="7ED359BB" w14:textId="77777777" w:rsidR="00C10CCD" w:rsidRPr="00C10CCD" w:rsidRDefault="00C10CCD" w:rsidP="00C10CCD">
            <w:pPr>
              <w:bidi w:val="0"/>
            </w:pPr>
            <w:r w:rsidRPr="00C10CCD">
              <w:t>ICA, ICBS</w:t>
            </w:r>
          </w:p>
        </w:tc>
        <w:tc>
          <w:tcPr>
            <w:tcW w:w="5360" w:type="dxa"/>
            <w:vAlign w:val="bottom"/>
          </w:tcPr>
          <w:p w14:paraId="0D264C01" w14:textId="77777777" w:rsidR="00C10CCD" w:rsidRPr="00C10CCD" w:rsidRDefault="00C10CCD" w:rsidP="00C10CCD">
            <w:pPr>
              <w:bidi w:val="0"/>
            </w:pPr>
            <w:r w:rsidRPr="00C10CCD">
              <w:t>Percentage of Israeli cars entering the WB</w:t>
            </w:r>
          </w:p>
        </w:tc>
        <w:tc>
          <w:tcPr>
            <w:tcW w:w="1631" w:type="dxa"/>
            <w:vMerge w:val="restart"/>
            <w:vAlign w:val="center"/>
          </w:tcPr>
          <w:p w14:paraId="113E7997" w14:textId="77777777" w:rsidR="00C10CCD" w:rsidRPr="00C10CCD" w:rsidRDefault="00C10CCD" w:rsidP="00C10CCD">
            <w:pPr>
              <w:bidi w:val="0"/>
              <w:jc w:val="center"/>
              <w:rPr>
                <w:b/>
                <w:bCs/>
                <w:rtl/>
              </w:rPr>
            </w:pPr>
            <w:r w:rsidRPr="00C10CCD">
              <w:rPr>
                <w:b/>
                <w:bCs/>
              </w:rPr>
              <w:t xml:space="preserve">Movement of people </w:t>
            </w:r>
          </w:p>
        </w:tc>
      </w:tr>
      <w:tr w:rsidR="00C10CCD" w:rsidRPr="00C10CCD" w14:paraId="316BC1F7" w14:textId="77777777" w:rsidTr="004831C9">
        <w:trPr>
          <w:trHeight w:val="84"/>
        </w:trPr>
        <w:tc>
          <w:tcPr>
            <w:tcW w:w="1247" w:type="dxa"/>
          </w:tcPr>
          <w:p w14:paraId="25087C38" w14:textId="77777777" w:rsidR="00C10CCD" w:rsidRPr="00C10CCD" w:rsidRDefault="00C10CCD" w:rsidP="00C10CCD">
            <w:pPr>
              <w:bidi w:val="0"/>
            </w:pPr>
            <w:r w:rsidRPr="00C10CCD">
              <w:t>2010-2019</w:t>
            </w:r>
          </w:p>
        </w:tc>
        <w:tc>
          <w:tcPr>
            <w:tcW w:w="1122" w:type="dxa"/>
          </w:tcPr>
          <w:p w14:paraId="51922AF0" w14:textId="77777777" w:rsidR="00C10CCD" w:rsidRPr="00C10CCD" w:rsidRDefault="00C10CCD" w:rsidP="00C10CCD">
            <w:pPr>
              <w:bidi w:val="0"/>
            </w:pPr>
            <w:r w:rsidRPr="00C10CCD">
              <w:t>ICA, PCBS</w:t>
            </w:r>
          </w:p>
        </w:tc>
        <w:tc>
          <w:tcPr>
            <w:tcW w:w="5360" w:type="dxa"/>
            <w:vAlign w:val="bottom"/>
          </w:tcPr>
          <w:p w14:paraId="6F8614AC" w14:textId="77777777" w:rsidR="00C10CCD" w:rsidRPr="00C10CCD" w:rsidRDefault="00C10CCD" w:rsidP="00C10CCD">
            <w:pPr>
              <w:bidi w:val="0"/>
              <w:rPr>
                <w:rtl/>
              </w:rPr>
            </w:pPr>
            <w:r w:rsidRPr="00C10CCD">
              <w:rPr>
                <w:rFonts w:cs="Calibri"/>
                <w:color w:val="000000"/>
              </w:rPr>
              <w:t>Movement of people between Israel and the WB</w:t>
            </w:r>
          </w:p>
        </w:tc>
        <w:tc>
          <w:tcPr>
            <w:tcW w:w="1631" w:type="dxa"/>
            <w:vMerge/>
            <w:vAlign w:val="center"/>
          </w:tcPr>
          <w:p w14:paraId="05D40260" w14:textId="77777777" w:rsidR="00C10CCD" w:rsidRPr="00C10CCD" w:rsidRDefault="00C10CCD" w:rsidP="00C10CCD">
            <w:pPr>
              <w:bidi w:val="0"/>
              <w:jc w:val="center"/>
              <w:rPr>
                <w:b/>
                <w:bCs/>
              </w:rPr>
            </w:pPr>
          </w:p>
        </w:tc>
      </w:tr>
      <w:tr w:rsidR="00C10CCD" w:rsidRPr="00C10CCD" w14:paraId="75A7C249" w14:textId="77777777" w:rsidTr="004831C9">
        <w:trPr>
          <w:trHeight w:val="84"/>
        </w:trPr>
        <w:tc>
          <w:tcPr>
            <w:tcW w:w="1247" w:type="dxa"/>
          </w:tcPr>
          <w:p w14:paraId="0DFCF733" w14:textId="58F01245" w:rsidR="00C10CCD" w:rsidRPr="00C10CCD" w:rsidRDefault="00C10CCD" w:rsidP="00C10CCD">
            <w:pPr>
              <w:bidi w:val="0"/>
            </w:pPr>
          </w:p>
        </w:tc>
        <w:tc>
          <w:tcPr>
            <w:tcW w:w="1122" w:type="dxa"/>
          </w:tcPr>
          <w:p w14:paraId="3CA42A88" w14:textId="7A458AF0" w:rsidR="00C10CCD" w:rsidRPr="00C10CCD" w:rsidRDefault="00C10CCD" w:rsidP="00C10CCD">
            <w:pPr>
              <w:bidi w:val="0"/>
            </w:pPr>
          </w:p>
        </w:tc>
        <w:tc>
          <w:tcPr>
            <w:tcW w:w="5360" w:type="dxa"/>
            <w:vAlign w:val="bottom"/>
          </w:tcPr>
          <w:p w14:paraId="0100766E" w14:textId="144A1CF4" w:rsidR="00C10CCD" w:rsidRPr="00C10CCD" w:rsidRDefault="00C10CCD" w:rsidP="00C10CCD">
            <w:pPr>
              <w:bidi w:val="0"/>
            </w:pPr>
          </w:p>
        </w:tc>
        <w:tc>
          <w:tcPr>
            <w:tcW w:w="1631" w:type="dxa"/>
            <w:vMerge/>
            <w:vAlign w:val="center"/>
          </w:tcPr>
          <w:p w14:paraId="09CC1755" w14:textId="77777777" w:rsidR="00C10CCD" w:rsidRPr="00C10CCD" w:rsidRDefault="00C10CCD" w:rsidP="00C10CCD">
            <w:pPr>
              <w:bidi w:val="0"/>
              <w:jc w:val="center"/>
              <w:rPr>
                <w:b/>
                <w:bCs/>
              </w:rPr>
            </w:pPr>
          </w:p>
        </w:tc>
      </w:tr>
      <w:tr w:rsidR="00C10CCD" w:rsidRPr="00C10CCD" w14:paraId="5BF20804" w14:textId="77777777" w:rsidTr="004831C9">
        <w:trPr>
          <w:trHeight w:val="84"/>
        </w:trPr>
        <w:tc>
          <w:tcPr>
            <w:tcW w:w="1247" w:type="dxa"/>
          </w:tcPr>
          <w:p w14:paraId="3FD56EE1" w14:textId="0ACE174B" w:rsidR="00C10CCD" w:rsidRPr="00C10CCD" w:rsidRDefault="00C10CCD" w:rsidP="00C10CCD">
            <w:pPr>
              <w:bidi w:val="0"/>
            </w:pPr>
          </w:p>
        </w:tc>
        <w:tc>
          <w:tcPr>
            <w:tcW w:w="1122" w:type="dxa"/>
          </w:tcPr>
          <w:p w14:paraId="7A0B95CF" w14:textId="669204C6" w:rsidR="00C10CCD" w:rsidRPr="00C10CCD" w:rsidRDefault="00C10CCD" w:rsidP="00C10CCD">
            <w:pPr>
              <w:bidi w:val="0"/>
            </w:pPr>
          </w:p>
        </w:tc>
        <w:tc>
          <w:tcPr>
            <w:tcW w:w="5360" w:type="dxa"/>
          </w:tcPr>
          <w:p w14:paraId="297F31DE" w14:textId="0CF9CF4A" w:rsidR="00C10CCD" w:rsidRPr="00C10CCD" w:rsidRDefault="00C10CCD" w:rsidP="00C10CCD">
            <w:pPr>
              <w:bidi w:val="0"/>
            </w:pPr>
          </w:p>
        </w:tc>
        <w:tc>
          <w:tcPr>
            <w:tcW w:w="1631" w:type="dxa"/>
            <w:vMerge/>
            <w:vAlign w:val="center"/>
          </w:tcPr>
          <w:p w14:paraId="0FA8DB4E" w14:textId="77777777" w:rsidR="00C10CCD" w:rsidRPr="00C10CCD" w:rsidRDefault="00C10CCD" w:rsidP="00C10CCD">
            <w:pPr>
              <w:bidi w:val="0"/>
              <w:jc w:val="center"/>
              <w:rPr>
                <w:b/>
                <w:bCs/>
              </w:rPr>
            </w:pPr>
          </w:p>
        </w:tc>
      </w:tr>
      <w:tr w:rsidR="00C10CCD" w:rsidRPr="00C10CCD" w14:paraId="0D167618" w14:textId="77777777" w:rsidTr="004831C9">
        <w:trPr>
          <w:trHeight w:val="84"/>
        </w:trPr>
        <w:tc>
          <w:tcPr>
            <w:tcW w:w="1247" w:type="dxa"/>
          </w:tcPr>
          <w:p w14:paraId="6F2A62A2" w14:textId="24277457" w:rsidR="00C10CCD" w:rsidRPr="00C10CCD" w:rsidRDefault="00C10CCD" w:rsidP="00C10CCD">
            <w:pPr>
              <w:bidi w:val="0"/>
            </w:pPr>
          </w:p>
        </w:tc>
        <w:tc>
          <w:tcPr>
            <w:tcW w:w="1122" w:type="dxa"/>
          </w:tcPr>
          <w:p w14:paraId="4816D13E" w14:textId="4E4E1278" w:rsidR="00C10CCD" w:rsidRPr="00C10CCD" w:rsidRDefault="00C10CCD" w:rsidP="00C10CCD">
            <w:pPr>
              <w:bidi w:val="0"/>
            </w:pPr>
          </w:p>
        </w:tc>
        <w:tc>
          <w:tcPr>
            <w:tcW w:w="5360" w:type="dxa"/>
          </w:tcPr>
          <w:p w14:paraId="2E66230C" w14:textId="1F605949" w:rsidR="00C10CCD" w:rsidRPr="00C10CCD" w:rsidRDefault="00C10CCD" w:rsidP="00C10CCD">
            <w:pPr>
              <w:bidi w:val="0"/>
            </w:pPr>
          </w:p>
        </w:tc>
        <w:tc>
          <w:tcPr>
            <w:tcW w:w="1631" w:type="dxa"/>
            <w:vMerge/>
            <w:vAlign w:val="center"/>
          </w:tcPr>
          <w:p w14:paraId="1F5B4FF0" w14:textId="77777777" w:rsidR="00C10CCD" w:rsidRPr="00C10CCD" w:rsidRDefault="00C10CCD" w:rsidP="00C10CCD">
            <w:pPr>
              <w:bidi w:val="0"/>
              <w:jc w:val="center"/>
              <w:rPr>
                <w:b/>
                <w:bCs/>
              </w:rPr>
            </w:pPr>
          </w:p>
        </w:tc>
      </w:tr>
      <w:tr w:rsidR="00C10CCD" w:rsidRPr="00C10CCD" w14:paraId="6D9EB6F6" w14:textId="77777777" w:rsidTr="004831C9">
        <w:trPr>
          <w:trHeight w:val="363"/>
        </w:trPr>
        <w:tc>
          <w:tcPr>
            <w:tcW w:w="1247" w:type="dxa"/>
          </w:tcPr>
          <w:p w14:paraId="31BD2A45" w14:textId="42899945" w:rsidR="00C10CCD" w:rsidRPr="00C10CCD" w:rsidRDefault="00C10CCD" w:rsidP="00C10CCD">
            <w:pPr>
              <w:bidi w:val="0"/>
            </w:pPr>
          </w:p>
        </w:tc>
        <w:tc>
          <w:tcPr>
            <w:tcW w:w="1122" w:type="dxa"/>
          </w:tcPr>
          <w:p w14:paraId="410B71B5" w14:textId="42293957" w:rsidR="00C10CCD" w:rsidRPr="00C10CCD" w:rsidRDefault="00C10CCD" w:rsidP="00C10CCD">
            <w:pPr>
              <w:bidi w:val="0"/>
            </w:pPr>
          </w:p>
        </w:tc>
        <w:tc>
          <w:tcPr>
            <w:tcW w:w="5360" w:type="dxa"/>
          </w:tcPr>
          <w:p w14:paraId="6F160205" w14:textId="57C1D585" w:rsidR="00C10CCD" w:rsidRPr="00C10CCD" w:rsidRDefault="00C10CCD" w:rsidP="00C10CCD">
            <w:pPr>
              <w:bidi w:val="0"/>
            </w:pPr>
          </w:p>
        </w:tc>
        <w:tc>
          <w:tcPr>
            <w:tcW w:w="1631" w:type="dxa"/>
            <w:vMerge w:val="restart"/>
            <w:vAlign w:val="center"/>
          </w:tcPr>
          <w:p w14:paraId="3A586EC8" w14:textId="18A6F2EB" w:rsidR="00C10CCD" w:rsidRPr="00C10CCD" w:rsidRDefault="00C10CCD" w:rsidP="00C10CCD">
            <w:pPr>
              <w:bidi w:val="0"/>
              <w:jc w:val="center"/>
              <w:rPr>
                <w:b/>
                <w:bCs/>
              </w:rPr>
            </w:pPr>
          </w:p>
        </w:tc>
      </w:tr>
      <w:tr w:rsidR="00C10CCD" w:rsidRPr="00C10CCD" w14:paraId="3AB8185D" w14:textId="77777777" w:rsidTr="004831C9">
        <w:trPr>
          <w:trHeight w:val="363"/>
        </w:trPr>
        <w:tc>
          <w:tcPr>
            <w:tcW w:w="1247" w:type="dxa"/>
          </w:tcPr>
          <w:p w14:paraId="7CDDE011" w14:textId="4433B80F" w:rsidR="00C10CCD" w:rsidRPr="00C10CCD" w:rsidRDefault="00C10CCD" w:rsidP="00C10CCD">
            <w:pPr>
              <w:bidi w:val="0"/>
            </w:pPr>
          </w:p>
        </w:tc>
        <w:tc>
          <w:tcPr>
            <w:tcW w:w="1122" w:type="dxa"/>
          </w:tcPr>
          <w:p w14:paraId="66E9F12C" w14:textId="5D7DF52D" w:rsidR="00C10CCD" w:rsidRPr="00C10CCD" w:rsidRDefault="00C10CCD" w:rsidP="00C10CCD">
            <w:pPr>
              <w:bidi w:val="0"/>
            </w:pPr>
          </w:p>
        </w:tc>
        <w:tc>
          <w:tcPr>
            <w:tcW w:w="5360" w:type="dxa"/>
          </w:tcPr>
          <w:p w14:paraId="37D60EB6" w14:textId="33C9BDAA" w:rsidR="00C10CCD" w:rsidRPr="00C10CCD" w:rsidRDefault="00C10CCD" w:rsidP="00C10CCD">
            <w:pPr>
              <w:bidi w:val="0"/>
            </w:pPr>
          </w:p>
        </w:tc>
        <w:tc>
          <w:tcPr>
            <w:tcW w:w="1631" w:type="dxa"/>
            <w:vMerge/>
            <w:vAlign w:val="center"/>
          </w:tcPr>
          <w:p w14:paraId="29FF1AE9" w14:textId="77777777" w:rsidR="00C10CCD" w:rsidRPr="00C10CCD" w:rsidRDefault="00C10CCD" w:rsidP="00C10CCD">
            <w:pPr>
              <w:bidi w:val="0"/>
              <w:jc w:val="center"/>
              <w:rPr>
                <w:b/>
                <w:bCs/>
              </w:rPr>
            </w:pPr>
          </w:p>
        </w:tc>
      </w:tr>
      <w:tr w:rsidR="00C10CCD" w:rsidRPr="00C10CCD" w14:paraId="559C657C" w14:textId="77777777" w:rsidTr="004831C9">
        <w:trPr>
          <w:trHeight w:val="84"/>
        </w:trPr>
        <w:tc>
          <w:tcPr>
            <w:tcW w:w="1247" w:type="dxa"/>
          </w:tcPr>
          <w:p w14:paraId="438B78B5" w14:textId="4C3DCD14" w:rsidR="00C10CCD" w:rsidRPr="00C10CCD" w:rsidRDefault="00C10CCD" w:rsidP="00C10CCD">
            <w:pPr>
              <w:bidi w:val="0"/>
            </w:pPr>
          </w:p>
        </w:tc>
        <w:tc>
          <w:tcPr>
            <w:tcW w:w="1122" w:type="dxa"/>
          </w:tcPr>
          <w:p w14:paraId="58A2982F" w14:textId="2E92AE84" w:rsidR="00C10CCD" w:rsidRPr="00C10CCD" w:rsidRDefault="00C10CCD" w:rsidP="00C10CCD">
            <w:pPr>
              <w:bidi w:val="0"/>
            </w:pPr>
          </w:p>
        </w:tc>
        <w:tc>
          <w:tcPr>
            <w:tcW w:w="5360" w:type="dxa"/>
          </w:tcPr>
          <w:p w14:paraId="70B53A82" w14:textId="0F28E2D5" w:rsidR="00C10CCD" w:rsidRPr="00C10CCD" w:rsidRDefault="00C10CCD" w:rsidP="00C10CCD">
            <w:pPr>
              <w:bidi w:val="0"/>
            </w:pPr>
          </w:p>
        </w:tc>
        <w:tc>
          <w:tcPr>
            <w:tcW w:w="1631" w:type="dxa"/>
            <w:vMerge/>
            <w:vAlign w:val="center"/>
          </w:tcPr>
          <w:p w14:paraId="73927B98" w14:textId="77777777" w:rsidR="00C10CCD" w:rsidRPr="00C10CCD" w:rsidRDefault="00C10CCD" w:rsidP="00C10CCD">
            <w:pPr>
              <w:bidi w:val="0"/>
              <w:jc w:val="center"/>
              <w:rPr>
                <w:b/>
                <w:bCs/>
              </w:rPr>
            </w:pPr>
          </w:p>
        </w:tc>
      </w:tr>
      <w:tr w:rsidR="00C10CCD" w:rsidRPr="00C10CCD" w14:paraId="0BEEADA8" w14:textId="77777777" w:rsidTr="004831C9">
        <w:trPr>
          <w:trHeight w:val="84"/>
        </w:trPr>
        <w:tc>
          <w:tcPr>
            <w:tcW w:w="1247" w:type="dxa"/>
          </w:tcPr>
          <w:p w14:paraId="6BEE3C35" w14:textId="2CA93DB9" w:rsidR="00C10CCD" w:rsidRPr="00C10CCD" w:rsidRDefault="00C10CCD" w:rsidP="00C10CCD">
            <w:pPr>
              <w:bidi w:val="0"/>
            </w:pPr>
          </w:p>
        </w:tc>
        <w:tc>
          <w:tcPr>
            <w:tcW w:w="1122" w:type="dxa"/>
          </w:tcPr>
          <w:p w14:paraId="2D88A841" w14:textId="38D3B3E6" w:rsidR="00C10CCD" w:rsidRPr="00C10CCD" w:rsidRDefault="00C10CCD" w:rsidP="00C10CCD">
            <w:pPr>
              <w:bidi w:val="0"/>
            </w:pPr>
          </w:p>
        </w:tc>
        <w:tc>
          <w:tcPr>
            <w:tcW w:w="5360" w:type="dxa"/>
            <w:vAlign w:val="bottom"/>
          </w:tcPr>
          <w:p w14:paraId="6EAB87C6" w14:textId="79F14AE9" w:rsidR="00C10CCD" w:rsidRPr="00C10CCD" w:rsidRDefault="00C10CCD" w:rsidP="00C10CCD">
            <w:pPr>
              <w:bidi w:val="0"/>
            </w:pPr>
          </w:p>
        </w:tc>
        <w:tc>
          <w:tcPr>
            <w:tcW w:w="1631" w:type="dxa"/>
            <w:vMerge/>
            <w:vAlign w:val="center"/>
          </w:tcPr>
          <w:p w14:paraId="45849FAE" w14:textId="77777777" w:rsidR="00C10CCD" w:rsidRPr="00C10CCD" w:rsidRDefault="00C10CCD" w:rsidP="00C10CCD">
            <w:pPr>
              <w:bidi w:val="0"/>
              <w:jc w:val="center"/>
              <w:rPr>
                <w:b/>
                <w:bCs/>
              </w:rPr>
            </w:pPr>
          </w:p>
        </w:tc>
      </w:tr>
      <w:tr w:rsidR="00C10CCD" w:rsidRPr="00C10CCD" w14:paraId="1BAC2009" w14:textId="77777777" w:rsidTr="004831C9">
        <w:trPr>
          <w:trHeight w:val="84"/>
        </w:trPr>
        <w:tc>
          <w:tcPr>
            <w:tcW w:w="1247" w:type="dxa"/>
          </w:tcPr>
          <w:p w14:paraId="5E88B888" w14:textId="03AA5578" w:rsidR="00C10CCD" w:rsidRPr="00C10CCD" w:rsidRDefault="00C10CCD" w:rsidP="00C10CCD">
            <w:pPr>
              <w:bidi w:val="0"/>
            </w:pPr>
          </w:p>
        </w:tc>
        <w:tc>
          <w:tcPr>
            <w:tcW w:w="1122" w:type="dxa"/>
          </w:tcPr>
          <w:p w14:paraId="3E1C2395" w14:textId="7F7D4418" w:rsidR="00C10CCD" w:rsidRPr="00C10CCD" w:rsidRDefault="00C10CCD" w:rsidP="00C10CCD">
            <w:pPr>
              <w:bidi w:val="0"/>
            </w:pPr>
          </w:p>
        </w:tc>
        <w:tc>
          <w:tcPr>
            <w:tcW w:w="5360" w:type="dxa"/>
            <w:vAlign w:val="bottom"/>
          </w:tcPr>
          <w:p w14:paraId="588DCD5D" w14:textId="73B19A67" w:rsidR="00C10CCD" w:rsidRPr="00C10CCD" w:rsidRDefault="00C10CCD" w:rsidP="00C10CCD">
            <w:pPr>
              <w:bidi w:val="0"/>
              <w:rPr>
                <w:rtl/>
              </w:rPr>
            </w:pPr>
          </w:p>
        </w:tc>
        <w:tc>
          <w:tcPr>
            <w:tcW w:w="1631" w:type="dxa"/>
            <w:vMerge/>
            <w:vAlign w:val="center"/>
          </w:tcPr>
          <w:p w14:paraId="530C5881" w14:textId="77777777" w:rsidR="00C10CCD" w:rsidRPr="00C10CCD" w:rsidRDefault="00C10CCD" w:rsidP="00C10CCD">
            <w:pPr>
              <w:bidi w:val="0"/>
              <w:jc w:val="center"/>
              <w:rPr>
                <w:b/>
                <w:bCs/>
              </w:rPr>
            </w:pPr>
          </w:p>
        </w:tc>
      </w:tr>
      <w:tr w:rsidR="00C10CCD" w:rsidRPr="00C10CCD" w14:paraId="00624215" w14:textId="77777777" w:rsidTr="004831C9">
        <w:tc>
          <w:tcPr>
            <w:tcW w:w="1247" w:type="dxa"/>
          </w:tcPr>
          <w:p w14:paraId="3555C493" w14:textId="515F3D37" w:rsidR="00C10CCD" w:rsidRPr="00C10CCD" w:rsidRDefault="00C10CCD" w:rsidP="00C10CCD">
            <w:pPr>
              <w:bidi w:val="0"/>
            </w:pPr>
          </w:p>
        </w:tc>
        <w:tc>
          <w:tcPr>
            <w:tcW w:w="1122" w:type="dxa"/>
          </w:tcPr>
          <w:p w14:paraId="0F9ABB13" w14:textId="77777777" w:rsidR="00C10CCD" w:rsidRPr="00C10CCD" w:rsidRDefault="00C10CCD" w:rsidP="00C10CCD">
            <w:pPr>
              <w:bidi w:val="0"/>
            </w:pPr>
          </w:p>
        </w:tc>
        <w:tc>
          <w:tcPr>
            <w:tcW w:w="5360" w:type="dxa"/>
          </w:tcPr>
          <w:p w14:paraId="3E0773D0" w14:textId="0CC73595" w:rsidR="00C10CCD" w:rsidRPr="00C10CCD" w:rsidRDefault="00C10CCD" w:rsidP="00C10CCD">
            <w:pPr>
              <w:bidi w:val="0"/>
            </w:pPr>
          </w:p>
        </w:tc>
        <w:tc>
          <w:tcPr>
            <w:tcW w:w="1631" w:type="dxa"/>
            <w:vMerge w:val="restart"/>
            <w:vAlign w:val="center"/>
          </w:tcPr>
          <w:p w14:paraId="3EF2B6F9" w14:textId="389D7CBD" w:rsidR="00C10CCD" w:rsidRPr="00C10CCD" w:rsidRDefault="00C10CCD" w:rsidP="00C10CCD">
            <w:pPr>
              <w:bidi w:val="0"/>
              <w:jc w:val="center"/>
              <w:rPr>
                <w:b/>
                <w:bCs/>
              </w:rPr>
            </w:pPr>
          </w:p>
        </w:tc>
      </w:tr>
      <w:tr w:rsidR="00C10CCD" w:rsidRPr="00C10CCD" w14:paraId="4127B1C7" w14:textId="77777777" w:rsidTr="004831C9">
        <w:tc>
          <w:tcPr>
            <w:tcW w:w="1247" w:type="dxa"/>
          </w:tcPr>
          <w:p w14:paraId="548DC804" w14:textId="77777777" w:rsidR="00C10CCD" w:rsidRPr="00C10CCD" w:rsidRDefault="00C10CCD" w:rsidP="00C10CCD">
            <w:pPr>
              <w:bidi w:val="0"/>
            </w:pPr>
            <w:r w:rsidRPr="00C10CCD">
              <w:t>1996-2019</w:t>
            </w:r>
          </w:p>
        </w:tc>
        <w:tc>
          <w:tcPr>
            <w:tcW w:w="1122" w:type="dxa"/>
          </w:tcPr>
          <w:p w14:paraId="5E3F179F" w14:textId="77777777" w:rsidR="00C10CCD" w:rsidRPr="00C10CCD" w:rsidRDefault="00C10CCD" w:rsidP="00C10CCD">
            <w:pPr>
              <w:bidi w:val="0"/>
            </w:pPr>
            <w:r w:rsidRPr="00C10CCD">
              <w:t>PMA</w:t>
            </w:r>
          </w:p>
          <w:p w14:paraId="357A12A4" w14:textId="77777777" w:rsidR="00C10CCD" w:rsidRPr="00C10CCD" w:rsidRDefault="00C10CCD" w:rsidP="00C10CCD">
            <w:pPr>
              <w:rPr>
                <w:rtl/>
              </w:rPr>
            </w:pPr>
          </w:p>
        </w:tc>
        <w:tc>
          <w:tcPr>
            <w:tcW w:w="5360" w:type="dxa"/>
          </w:tcPr>
          <w:p w14:paraId="2729FC4A" w14:textId="77777777" w:rsidR="00C10CCD" w:rsidRPr="00C10CCD" w:rsidRDefault="00C10CCD" w:rsidP="00C10CCD">
            <w:pPr>
              <w:jc w:val="right"/>
              <w:rPr>
                <w:rtl/>
              </w:rPr>
            </w:pPr>
            <w:r w:rsidRPr="00C10CCD">
              <w:t>Share of NIS credit in the Palestinian banking system</w:t>
            </w:r>
          </w:p>
        </w:tc>
        <w:tc>
          <w:tcPr>
            <w:tcW w:w="1631" w:type="dxa"/>
            <w:vMerge/>
          </w:tcPr>
          <w:p w14:paraId="10C06D24" w14:textId="77777777" w:rsidR="00C10CCD" w:rsidRPr="00C10CCD" w:rsidRDefault="00C10CCD" w:rsidP="00C10CCD">
            <w:pPr>
              <w:bidi w:val="0"/>
              <w:rPr>
                <w:rtl/>
              </w:rPr>
            </w:pPr>
          </w:p>
        </w:tc>
      </w:tr>
      <w:tr w:rsidR="00C10CCD" w:rsidRPr="00C10CCD" w14:paraId="20FAFF94" w14:textId="77777777" w:rsidTr="004831C9">
        <w:tc>
          <w:tcPr>
            <w:tcW w:w="1247" w:type="dxa"/>
          </w:tcPr>
          <w:p w14:paraId="2ADC05DF" w14:textId="6153D785" w:rsidR="00C10CCD" w:rsidRPr="00C10CCD" w:rsidRDefault="00C10CCD" w:rsidP="00C10CCD">
            <w:pPr>
              <w:bidi w:val="0"/>
            </w:pPr>
          </w:p>
        </w:tc>
        <w:tc>
          <w:tcPr>
            <w:tcW w:w="1122" w:type="dxa"/>
          </w:tcPr>
          <w:p w14:paraId="289993FC" w14:textId="77777777" w:rsidR="00C10CCD" w:rsidRPr="00C10CCD" w:rsidRDefault="00C10CCD" w:rsidP="00C10CCD">
            <w:pPr>
              <w:rPr>
                <w:rtl/>
              </w:rPr>
            </w:pPr>
          </w:p>
        </w:tc>
        <w:tc>
          <w:tcPr>
            <w:tcW w:w="5360" w:type="dxa"/>
            <w:vAlign w:val="bottom"/>
          </w:tcPr>
          <w:p w14:paraId="26CEEBBD" w14:textId="49F5448E" w:rsidR="00C10CCD" w:rsidRPr="00C10CCD" w:rsidRDefault="00C10CCD" w:rsidP="00C10CCD">
            <w:pPr>
              <w:jc w:val="right"/>
              <w:rPr>
                <w:rtl/>
              </w:rPr>
            </w:pPr>
          </w:p>
        </w:tc>
        <w:tc>
          <w:tcPr>
            <w:tcW w:w="1631" w:type="dxa"/>
            <w:vMerge/>
          </w:tcPr>
          <w:p w14:paraId="6B36662F" w14:textId="77777777" w:rsidR="00C10CCD" w:rsidRPr="00C10CCD" w:rsidRDefault="00C10CCD" w:rsidP="00C10CCD">
            <w:pPr>
              <w:bidi w:val="0"/>
              <w:rPr>
                <w:rtl/>
              </w:rPr>
            </w:pPr>
          </w:p>
        </w:tc>
      </w:tr>
      <w:tr w:rsidR="00C10CCD" w:rsidRPr="00C10CCD" w14:paraId="00A0DAD5" w14:textId="77777777" w:rsidTr="004831C9">
        <w:trPr>
          <w:trHeight w:val="259"/>
        </w:trPr>
        <w:tc>
          <w:tcPr>
            <w:tcW w:w="1247" w:type="dxa"/>
          </w:tcPr>
          <w:p w14:paraId="582B96D3" w14:textId="1CBD5469" w:rsidR="00C10CCD" w:rsidRPr="00C10CCD" w:rsidRDefault="00C10CCD" w:rsidP="00C10CCD">
            <w:pPr>
              <w:jc w:val="right"/>
            </w:pPr>
          </w:p>
        </w:tc>
        <w:tc>
          <w:tcPr>
            <w:tcW w:w="1122" w:type="dxa"/>
          </w:tcPr>
          <w:p w14:paraId="1B45F020" w14:textId="123F2D66" w:rsidR="00C10CCD" w:rsidRPr="00C10CCD" w:rsidRDefault="00C10CCD" w:rsidP="00C10CCD">
            <w:pPr>
              <w:jc w:val="right"/>
              <w:rPr>
                <w:rtl/>
              </w:rPr>
            </w:pPr>
          </w:p>
        </w:tc>
        <w:tc>
          <w:tcPr>
            <w:tcW w:w="5360" w:type="dxa"/>
            <w:vAlign w:val="bottom"/>
          </w:tcPr>
          <w:p w14:paraId="6519BC70" w14:textId="688004A5" w:rsidR="00C10CCD" w:rsidRPr="00C10CCD" w:rsidRDefault="00C10CCD" w:rsidP="00C10CCD">
            <w:pPr>
              <w:bidi w:val="0"/>
              <w:jc w:val="both"/>
              <w:rPr>
                <w:rFonts w:cs="Calibri"/>
                <w:color w:val="000000"/>
                <w:rtl/>
              </w:rPr>
            </w:pPr>
          </w:p>
        </w:tc>
        <w:tc>
          <w:tcPr>
            <w:tcW w:w="1631" w:type="dxa"/>
            <w:vMerge/>
          </w:tcPr>
          <w:p w14:paraId="275EF319" w14:textId="77777777" w:rsidR="00C10CCD" w:rsidRPr="00C10CCD" w:rsidRDefault="00C10CCD" w:rsidP="00C10CCD">
            <w:pPr>
              <w:bidi w:val="0"/>
              <w:rPr>
                <w:rtl/>
              </w:rPr>
            </w:pPr>
          </w:p>
        </w:tc>
      </w:tr>
      <w:tr w:rsidR="00C10CCD" w:rsidRPr="00C10CCD" w14:paraId="6212F5FE" w14:textId="77777777" w:rsidTr="004831C9">
        <w:trPr>
          <w:trHeight w:val="259"/>
        </w:trPr>
        <w:tc>
          <w:tcPr>
            <w:tcW w:w="1247" w:type="dxa"/>
          </w:tcPr>
          <w:p w14:paraId="35F7BB34" w14:textId="7E517436" w:rsidR="00C10CCD" w:rsidRPr="00C10CCD" w:rsidRDefault="00C10CCD" w:rsidP="00C10CCD">
            <w:pPr>
              <w:jc w:val="right"/>
            </w:pPr>
          </w:p>
        </w:tc>
        <w:tc>
          <w:tcPr>
            <w:tcW w:w="1122" w:type="dxa"/>
          </w:tcPr>
          <w:p w14:paraId="7BD5789A" w14:textId="30F9E84C" w:rsidR="00C10CCD" w:rsidRPr="00C10CCD" w:rsidRDefault="00C10CCD" w:rsidP="00C10CCD">
            <w:pPr>
              <w:jc w:val="right"/>
            </w:pPr>
          </w:p>
        </w:tc>
        <w:tc>
          <w:tcPr>
            <w:tcW w:w="5360" w:type="dxa"/>
            <w:vAlign w:val="bottom"/>
          </w:tcPr>
          <w:p w14:paraId="4780B8E3" w14:textId="265BF605" w:rsidR="00C10CCD" w:rsidRPr="00C10CCD" w:rsidRDefault="00C10CCD" w:rsidP="00C10CCD">
            <w:pPr>
              <w:bidi w:val="0"/>
              <w:jc w:val="both"/>
              <w:rPr>
                <w:rFonts w:cs="Calibri"/>
                <w:color w:val="000000"/>
              </w:rPr>
            </w:pPr>
          </w:p>
        </w:tc>
        <w:tc>
          <w:tcPr>
            <w:tcW w:w="1631" w:type="dxa"/>
            <w:vMerge/>
          </w:tcPr>
          <w:p w14:paraId="3041A991" w14:textId="77777777" w:rsidR="00C10CCD" w:rsidRPr="00C10CCD" w:rsidRDefault="00C10CCD" w:rsidP="00C10CCD">
            <w:pPr>
              <w:bidi w:val="0"/>
              <w:rPr>
                <w:rtl/>
              </w:rPr>
            </w:pPr>
          </w:p>
        </w:tc>
      </w:tr>
      <w:tr w:rsidR="00C10CCD" w:rsidRPr="00C10CCD" w14:paraId="691B9B9A" w14:textId="77777777" w:rsidTr="004831C9">
        <w:tc>
          <w:tcPr>
            <w:tcW w:w="1247" w:type="dxa"/>
          </w:tcPr>
          <w:p w14:paraId="0C73F4B5" w14:textId="48F207DD" w:rsidR="00C10CCD" w:rsidRPr="00C10CCD" w:rsidRDefault="00C10CCD" w:rsidP="00C10CCD">
            <w:pPr>
              <w:jc w:val="right"/>
            </w:pPr>
          </w:p>
        </w:tc>
        <w:tc>
          <w:tcPr>
            <w:tcW w:w="1122" w:type="dxa"/>
          </w:tcPr>
          <w:p w14:paraId="577F78A7" w14:textId="693FA035" w:rsidR="00C10CCD" w:rsidRPr="00C10CCD" w:rsidRDefault="00C10CCD" w:rsidP="00C10CCD">
            <w:pPr>
              <w:jc w:val="right"/>
              <w:rPr>
                <w:rtl/>
              </w:rPr>
            </w:pPr>
          </w:p>
        </w:tc>
        <w:tc>
          <w:tcPr>
            <w:tcW w:w="5360" w:type="dxa"/>
          </w:tcPr>
          <w:p w14:paraId="504481A6" w14:textId="6FE61850" w:rsidR="00C10CCD" w:rsidRPr="00C10CCD" w:rsidRDefault="00C10CCD" w:rsidP="00C10CCD">
            <w:pPr>
              <w:jc w:val="right"/>
            </w:pPr>
          </w:p>
        </w:tc>
        <w:tc>
          <w:tcPr>
            <w:tcW w:w="1631" w:type="dxa"/>
            <w:vMerge w:val="restart"/>
            <w:vAlign w:val="center"/>
          </w:tcPr>
          <w:p w14:paraId="6F2E951E" w14:textId="15E43C32" w:rsidR="00C10CCD" w:rsidRPr="00C10CCD" w:rsidRDefault="00C10CCD" w:rsidP="00C10CCD">
            <w:pPr>
              <w:bidi w:val="0"/>
              <w:jc w:val="center"/>
              <w:rPr>
                <w:b/>
                <w:bCs/>
                <w:rtl/>
              </w:rPr>
            </w:pPr>
          </w:p>
        </w:tc>
      </w:tr>
      <w:tr w:rsidR="00C10CCD" w:rsidRPr="00C10CCD" w14:paraId="6FD76E0E" w14:textId="77777777" w:rsidTr="004831C9">
        <w:tc>
          <w:tcPr>
            <w:tcW w:w="1247" w:type="dxa"/>
          </w:tcPr>
          <w:p w14:paraId="632D5EF3" w14:textId="19D1E0EF" w:rsidR="00C10CCD" w:rsidRPr="00C10CCD" w:rsidRDefault="00C10CCD" w:rsidP="00C10CCD">
            <w:pPr>
              <w:jc w:val="right"/>
            </w:pPr>
          </w:p>
        </w:tc>
        <w:tc>
          <w:tcPr>
            <w:tcW w:w="1122" w:type="dxa"/>
          </w:tcPr>
          <w:p w14:paraId="5EA081B8" w14:textId="7EDDB0BB" w:rsidR="00C10CCD" w:rsidRPr="00C10CCD" w:rsidRDefault="00C10CCD" w:rsidP="00C10CCD">
            <w:pPr>
              <w:jc w:val="right"/>
              <w:rPr>
                <w:rtl/>
              </w:rPr>
            </w:pPr>
          </w:p>
        </w:tc>
        <w:tc>
          <w:tcPr>
            <w:tcW w:w="5360" w:type="dxa"/>
          </w:tcPr>
          <w:p w14:paraId="4E9D49D5" w14:textId="082497BC" w:rsidR="00C10CCD" w:rsidRPr="00C10CCD" w:rsidRDefault="00C10CCD" w:rsidP="00C10CCD">
            <w:pPr>
              <w:jc w:val="right"/>
            </w:pPr>
          </w:p>
        </w:tc>
        <w:tc>
          <w:tcPr>
            <w:tcW w:w="1631" w:type="dxa"/>
            <w:vMerge/>
          </w:tcPr>
          <w:p w14:paraId="03264FFE" w14:textId="77777777" w:rsidR="00C10CCD" w:rsidRPr="00C10CCD" w:rsidRDefault="00C10CCD" w:rsidP="00C10CCD">
            <w:pPr>
              <w:bidi w:val="0"/>
              <w:rPr>
                <w:rtl/>
              </w:rPr>
            </w:pPr>
          </w:p>
        </w:tc>
      </w:tr>
      <w:tr w:rsidR="00C10CCD" w:rsidRPr="00C10CCD" w14:paraId="4304120F" w14:textId="77777777" w:rsidTr="004831C9">
        <w:tc>
          <w:tcPr>
            <w:tcW w:w="1247" w:type="dxa"/>
          </w:tcPr>
          <w:p w14:paraId="36A6046D" w14:textId="3D0EB8E7" w:rsidR="00C10CCD" w:rsidRPr="00C10CCD" w:rsidRDefault="00C10CCD" w:rsidP="00C10CCD">
            <w:pPr>
              <w:jc w:val="right"/>
            </w:pPr>
          </w:p>
        </w:tc>
        <w:tc>
          <w:tcPr>
            <w:tcW w:w="1122" w:type="dxa"/>
          </w:tcPr>
          <w:p w14:paraId="1A04A563" w14:textId="09AC964D" w:rsidR="00C10CCD" w:rsidRPr="00C10CCD" w:rsidRDefault="00C10CCD" w:rsidP="00C10CCD">
            <w:pPr>
              <w:jc w:val="right"/>
              <w:rPr>
                <w:rtl/>
              </w:rPr>
            </w:pPr>
          </w:p>
        </w:tc>
        <w:tc>
          <w:tcPr>
            <w:tcW w:w="5360" w:type="dxa"/>
          </w:tcPr>
          <w:p w14:paraId="3F498DFF" w14:textId="23AEF2FD" w:rsidR="00C10CCD" w:rsidRPr="00C10CCD" w:rsidRDefault="00C10CCD" w:rsidP="00C10CCD">
            <w:pPr>
              <w:jc w:val="right"/>
              <w:rPr>
                <w:rtl/>
              </w:rPr>
            </w:pPr>
          </w:p>
        </w:tc>
        <w:tc>
          <w:tcPr>
            <w:tcW w:w="1631" w:type="dxa"/>
            <w:vMerge/>
          </w:tcPr>
          <w:p w14:paraId="03D950F9" w14:textId="77777777" w:rsidR="00C10CCD" w:rsidRPr="00C10CCD" w:rsidRDefault="00C10CCD" w:rsidP="00C10CCD">
            <w:pPr>
              <w:bidi w:val="0"/>
              <w:rPr>
                <w:rtl/>
              </w:rPr>
            </w:pPr>
          </w:p>
        </w:tc>
      </w:tr>
      <w:tr w:rsidR="00C10CCD" w:rsidRPr="00C10CCD" w14:paraId="103B649C" w14:textId="77777777" w:rsidTr="004831C9">
        <w:tc>
          <w:tcPr>
            <w:tcW w:w="1247" w:type="dxa"/>
          </w:tcPr>
          <w:p w14:paraId="0E35ACBC" w14:textId="7D8F1606" w:rsidR="00C10CCD" w:rsidRPr="00C10CCD" w:rsidRDefault="00C10CCD" w:rsidP="00C10CCD">
            <w:pPr>
              <w:jc w:val="right"/>
            </w:pPr>
          </w:p>
        </w:tc>
        <w:tc>
          <w:tcPr>
            <w:tcW w:w="1122" w:type="dxa"/>
          </w:tcPr>
          <w:p w14:paraId="3C304F43" w14:textId="1B3C90E3" w:rsidR="00C10CCD" w:rsidRPr="00C10CCD" w:rsidRDefault="00C10CCD" w:rsidP="00C10CCD">
            <w:pPr>
              <w:jc w:val="right"/>
              <w:rPr>
                <w:rtl/>
              </w:rPr>
            </w:pPr>
          </w:p>
        </w:tc>
        <w:tc>
          <w:tcPr>
            <w:tcW w:w="5360" w:type="dxa"/>
          </w:tcPr>
          <w:p w14:paraId="245D8233" w14:textId="78D840D8" w:rsidR="00C10CCD" w:rsidRPr="00C10CCD" w:rsidRDefault="00C10CCD" w:rsidP="00C10CCD">
            <w:pPr>
              <w:jc w:val="right"/>
              <w:rPr>
                <w:rtl/>
              </w:rPr>
            </w:pPr>
          </w:p>
        </w:tc>
        <w:tc>
          <w:tcPr>
            <w:tcW w:w="1631" w:type="dxa"/>
            <w:vMerge/>
          </w:tcPr>
          <w:p w14:paraId="3258B598" w14:textId="77777777" w:rsidR="00C10CCD" w:rsidRPr="00C10CCD" w:rsidRDefault="00C10CCD" w:rsidP="00C10CCD">
            <w:pPr>
              <w:bidi w:val="0"/>
              <w:rPr>
                <w:rtl/>
              </w:rPr>
            </w:pPr>
          </w:p>
        </w:tc>
      </w:tr>
      <w:bookmarkEnd w:id="2"/>
    </w:tbl>
    <w:p w14:paraId="725F8BEC" w14:textId="72525BA5" w:rsidR="00C10CCD" w:rsidRDefault="00C10CCD"/>
    <w:sectPr w:rsidR="00C10C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A9EB6" w14:textId="77777777" w:rsidR="00857FD1" w:rsidRDefault="00857FD1" w:rsidP="00C10CCD">
      <w:r>
        <w:separator/>
      </w:r>
    </w:p>
  </w:endnote>
  <w:endnote w:type="continuationSeparator" w:id="0">
    <w:p w14:paraId="59F2FCE8" w14:textId="77777777" w:rsidR="00857FD1" w:rsidRDefault="00857FD1" w:rsidP="00C1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22C10" w14:textId="77777777" w:rsidR="00857FD1" w:rsidRDefault="00857FD1" w:rsidP="00C10CCD">
      <w:r>
        <w:separator/>
      </w:r>
    </w:p>
  </w:footnote>
  <w:footnote w:type="continuationSeparator" w:id="0">
    <w:p w14:paraId="7AFF9B41" w14:textId="77777777" w:rsidR="00857FD1" w:rsidRDefault="00857FD1" w:rsidP="00C10CCD">
      <w:r>
        <w:continuationSeparator/>
      </w:r>
    </w:p>
  </w:footnote>
  <w:footnote w:id="1">
    <w:p w14:paraId="21751BBD" w14:textId="77777777" w:rsidR="00C10CCD" w:rsidRDefault="00C10CCD" w:rsidP="00C10CCD">
      <w:pPr>
        <w:pStyle w:val="FootnoteText"/>
        <w:bidi w:val="0"/>
      </w:pPr>
      <w:r>
        <w:rPr>
          <w:rStyle w:val="FootnoteReference"/>
        </w:rPr>
        <w:footnoteRef/>
      </w:r>
      <w:r>
        <w:t xml:space="preserve"> </w:t>
      </w:r>
      <w:hyperlink r:id="rId1" w:history="1">
        <w:r w:rsidRPr="00391913">
          <w:rPr>
            <w:rStyle w:val="Hyperlink"/>
          </w:rPr>
          <w:t>https://kof.ethz.ch/en/forecasts-and-indicators/indicators/kof-globalisation-index.html</w:t>
        </w:r>
      </w:hyperlink>
    </w:p>
  </w:footnote>
  <w:footnote w:id="2">
    <w:p w14:paraId="24B5DE5B" w14:textId="77777777" w:rsidR="00C10CCD" w:rsidRDefault="00C10CCD" w:rsidP="00C10CCD">
      <w:pPr>
        <w:pStyle w:val="FootnoteText"/>
        <w:bidi w:val="0"/>
      </w:pPr>
      <w:r>
        <w:rPr>
          <w:rStyle w:val="FootnoteReference"/>
        </w:rPr>
        <w:footnoteRef/>
      </w:r>
      <w:r>
        <w:rPr>
          <w:rtl/>
        </w:rPr>
        <w:t xml:space="preserve"> </w:t>
      </w:r>
      <w:hyperlink r:id="rId2" w:history="1">
        <w:r w:rsidRPr="00391913">
          <w:rPr>
            <w:rStyle w:val="Hyperlink"/>
          </w:rPr>
          <w:t>http://www.eu-index.uni-goettingen.de/?lang=en</w:t>
        </w:r>
      </w:hyperlink>
    </w:p>
  </w:footnote>
  <w:footnote w:id="3">
    <w:p w14:paraId="7020017A" w14:textId="77777777" w:rsidR="00C10CCD" w:rsidRDefault="00C10CCD" w:rsidP="00C10CCD">
      <w:pPr>
        <w:pStyle w:val="FootnoteText"/>
        <w:bidi w:val="0"/>
      </w:pPr>
      <w:r>
        <w:rPr>
          <w:rStyle w:val="FootnoteReference"/>
        </w:rPr>
        <w:footnoteRef/>
      </w:r>
      <w:r>
        <w:rPr>
          <w:rtl/>
        </w:rPr>
        <w:t xml:space="preserve"> </w:t>
      </w:r>
      <w:hyperlink r:id="rId3" w:history="1">
        <w:r w:rsidRPr="00391913">
          <w:rPr>
            <w:rStyle w:val="Hyperlink"/>
          </w:rPr>
          <w:t>https://www.integrate-africa.org/</w:t>
        </w:r>
      </w:hyperlink>
    </w:p>
  </w:footnote>
  <w:footnote w:id="4">
    <w:p w14:paraId="16E59CE9" w14:textId="77777777" w:rsidR="00C10CCD" w:rsidRDefault="00C10CCD" w:rsidP="00C10CCD">
      <w:pPr>
        <w:pStyle w:val="FootnoteText"/>
        <w:bidi w:val="0"/>
      </w:pPr>
      <w:r>
        <w:rPr>
          <w:rStyle w:val="FootnoteReference"/>
        </w:rPr>
        <w:footnoteRef/>
      </w:r>
      <w:r>
        <w:rPr>
          <w:rtl/>
        </w:rPr>
        <w:t xml:space="preserve"> </w:t>
      </w:r>
      <w:hyperlink r:id="rId4" w:history="1">
        <w:r w:rsidRPr="00391913">
          <w:rPr>
            <w:rStyle w:val="Hyperlink"/>
          </w:rPr>
          <w:t>https://aric.adb.org/integrationindicators</w:t>
        </w:r>
      </w:hyperlink>
    </w:p>
  </w:footnote>
  <w:footnote w:id="5">
    <w:p w14:paraId="45BC8BB3" w14:textId="77777777" w:rsidR="006E1000" w:rsidRDefault="006E1000" w:rsidP="006E1000">
      <w:pPr>
        <w:pStyle w:val="FootnoteText"/>
        <w:bidi w:val="0"/>
      </w:pPr>
      <w:r>
        <w:rPr>
          <w:rStyle w:val="FootnoteReference"/>
        </w:rPr>
        <w:footnoteRef/>
      </w:r>
      <w:r>
        <w:rPr>
          <w:rtl/>
        </w:rPr>
        <w:t xml:space="preserve"> </w:t>
      </w:r>
      <w:r w:rsidRPr="00F13B0D">
        <w:t xml:space="preserve">Numerous normalization methods are available </w:t>
      </w:r>
      <w:r>
        <w:t>at Organization for Economic Co-operation and Development (OECD), 2008, Handbook on Constructing Composite Indicators: Methodology and User Guide, European Commission.</w:t>
      </w:r>
    </w:p>
  </w:footnote>
  <w:footnote w:id="6">
    <w:p w14:paraId="6D481E01" w14:textId="77777777" w:rsidR="006E1000" w:rsidRDefault="006E1000" w:rsidP="006E1000">
      <w:pPr>
        <w:pStyle w:val="FootnoteText"/>
        <w:bidi w:val="0"/>
      </w:pPr>
      <w:r>
        <w:rPr>
          <w:rStyle w:val="FootnoteReference"/>
        </w:rPr>
        <w:footnoteRef/>
      </w:r>
      <w:r>
        <w:rPr>
          <w:rtl/>
        </w:rPr>
        <w:t xml:space="preserve"> </w:t>
      </w:r>
      <w:r w:rsidRPr="00BA6CC1">
        <w:t>Detailed information about the technique can be found in methodologies note</w:t>
      </w:r>
      <w:r>
        <w:t>s</w:t>
      </w:r>
      <w:r w:rsidRPr="00BA6CC1">
        <w:t xml:space="preserve"> of both Asia-Pacific Regional Cooperation and Integration Index and Africa Regional Integration Index.</w:t>
      </w:r>
    </w:p>
  </w:footnote>
  <w:footnote w:id="7">
    <w:p w14:paraId="215D886F" w14:textId="77777777" w:rsidR="00711296" w:rsidRDefault="00711296" w:rsidP="00711296">
      <w:pPr>
        <w:pStyle w:val="FootnoteText"/>
        <w:bidi w:val="0"/>
      </w:pPr>
      <w:r>
        <w:rPr>
          <w:rStyle w:val="FootnoteReference"/>
        </w:rPr>
        <w:footnoteRef/>
      </w:r>
      <w:r>
        <w:rPr>
          <w:rtl/>
        </w:rPr>
        <w:t xml:space="preserve"> </w:t>
      </w:r>
      <w:r>
        <w:rPr>
          <w:rFonts w:ascii="Arial" w:hAnsi="Arial" w:cs="Arial"/>
          <w:color w:val="272727"/>
          <w:shd w:val="clear" w:color="auto" w:fill="FFFFFF"/>
        </w:rPr>
        <w:t xml:space="preserve">The Communications and Postal Services Office (in </w:t>
      </w:r>
      <w:r w:rsidRPr="00936938">
        <w:rPr>
          <w:rFonts w:ascii="Arial" w:hAnsi="Arial" w:cs="Arial"/>
          <w:color w:val="272727"/>
          <w:shd w:val="clear" w:color="auto" w:fill="FFFFFF"/>
        </w:rPr>
        <w:t>Coordinator of government activities in the territories</w:t>
      </w:r>
      <w:r>
        <w:rPr>
          <w:rFonts w:ascii="Arial" w:hAnsi="Arial" w:cs="Arial"/>
          <w:color w:val="272727"/>
          <w:shd w:val="clear" w:color="auto" w:fill="FFFFFF"/>
        </w:rPr>
        <w:t>) is responsible for regulating the activity of Israeli telecommunications and postal service companies, authorizing use of frequencies in the entire region, granting approvals to place telecommunications infrastructure, and establishing communications facilities in Area C. The office is also responsible for granting approvals for the transfer of telecommunications equipment into Judea and Samaria and maintaining working relationships with its Palestinian counterparts in all areas of telecommunications and postal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7C24C" w14:textId="77777777" w:rsidR="00711296" w:rsidRPr="001B002A" w:rsidRDefault="00711296" w:rsidP="00A34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5C2"/>
    <w:multiLevelType w:val="hybridMultilevel"/>
    <w:tmpl w:val="C04483D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256430B"/>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03F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D66CE"/>
    <w:multiLevelType w:val="hybridMultilevel"/>
    <w:tmpl w:val="667E907C"/>
    <w:lvl w:ilvl="0" w:tplc="04090005">
      <w:start w:val="1"/>
      <w:numFmt w:val="bullet"/>
      <w:lvlText w:val=""/>
      <w:lvlJc w:val="left"/>
      <w:pPr>
        <w:ind w:left="1211" w:hanging="360"/>
      </w:pPr>
      <w:rPr>
        <w:rFonts w:ascii="Wingdings" w:hAnsi="Wingdings" w:cs="Wingding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 w15:restartNumberingAfterBreak="0">
    <w:nsid w:val="0CD60CF8"/>
    <w:multiLevelType w:val="hybridMultilevel"/>
    <w:tmpl w:val="B4526034"/>
    <w:lvl w:ilvl="0" w:tplc="C6BEDE46">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76816"/>
    <w:multiLevelType w:val="hybridMultilevel"/>
    <w:tmpl w:val="11E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C75D6"/>
    <w:multiLevelType w:val="hybridMultilevel"/>
    <w:tmpl w:val="C576C71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A5C03DD"/>
    <w:multiLevelType w:val="hybridMultilevel"/>
    <w:tmpl w:val="6FA0E766"/>
    <w:lvl w:ilvl="0" w:tplc="20000005">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2146202D"/>
    <w:multiLevelType w:val="hybridMultilevel"/>
    <w:tmpl w:val="25242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74909"/>
    <w:multiLevelType w:val="multilevel"/>
    <w:tmpl w:val="B9F0C0FE"/>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FA3E02"/>
    <w:multiLevelType w:val="hybridMultilevel"/>
    <w:tmpl w:val="21A2C5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621B86"/>
    <w:multiLevelType w:val="hybridMultilevel"/>
    <w:tmpl w:val="014ACB44"/>
    <w:lvl w:ilvl="0" w:tplc="20000005">
      <w:start w:val="1"/>
      <w:numFmt w:val="bullet"/>
      <w:lvlText w:val=""/>
      <w:lvlJc w:val="left"/>
      <w:pPr>
        <w:ind w:left="1425" w:hanging="360"/>
      </w:pPr>
      <w:rPr>
        <w:rFonts w:ascii="Wingdings" w:hAnsi="Wingdings"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12" w15:restartNumberingAfterBreak="0">
    <w:nsid w:val="3E562B0B"/>
    <w:multiLevelType w:val="hybridMultilevel"/>
    <w:tmpl w:val="013E05C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400835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2046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0E6866"/>
    <w:multiLevelType w:val="hybridMultilevel"/>
    <w:tmpl w:val="E22AE438"/>
    <w:lvl w:ilvl="0" w:tplc="04090005">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6" w15:restartNumberingAfterBreak="0">
    <w:nsid w:val="4A8218EF"/>
    <w:multiLevelType w:val="hybridMultilevel"/>
    <w:tmpl w:val="8ECA6D12"/>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B413C69"/>
    <w:multiLevelType w:val="hybridMultilevel"/>
    <w:tmpl w:val="90463476"/>
    <w:lvl w:ilvl="0" w:tplc="20000005">
      <w:start w:val="1"/>
      <w:numFmt w:val="bullet"/>
      <w:lvlText w:val=""/>
      <w:lvlJc w:val="left"/>
      <w:pPr>
        <w:ind w:left="1571" w:hanging="360"/>
      </w:pPr>
      <w:rPr>
        <w:rFonts w:ascii="Wingdings" w:hAnsi="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8" w15:restartNumberingAfterBreak="0">
    <w:nsid w:val="4F4A10F1"/>
    <w:multiLevelType w:val="hybridMultilevel"/>
    <w:tmpl w:val="835E2454"/>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44DCC"/>
    <w:multiLevelType w:val="hybridMultilevel"/>
    <w:tmpl w:val="81946BC2"/>
    <w:lvl w:ilvl="0" w:tplc="50D8D23A">
      <w:start w:val="1"/>
      <w:numFmt w:val="bullet"/>
      <w:lvlText w:val=""/>
      <w:lvlJc w:val="left"/>
      <w:pPr>
        <w:tabs>
          <w:tab w:val="num" w:pos="1211"/>
        </w:tabs>
        <w:ind w:left="1211" w:hanging="360"/>
      </w:pPr>
      <w:rPr>
        <w:rFonts w:ascii="Wingdings" w:hAnsi="Wingdings" w:hint="default"/>
      </w:rPr>
    </w:lvl>
    <w:lvl w:ilvl="1" w:tplc="AE1874E6" w:tentative="1">
      <w:start w:val="1"/>
      <w:numFmt w:val="bullet"/>
      <w:lvlText w:val=""/>
      <w:lvlJc w:val="left"/>
      <w:pPr>
        <w:tabs>
          <w:tab w:val="num" w:pos="1931"/>
        </w:tabs>
        <w:ind w:left="1931" w:hanging="360"/>
      </w:pPr>
      <w:rPr>
        <w:rFonts w:ascii="Wingdings" w:hAnsi="Wingdings" w:hint="default"/>
      </w:rPr>
    </w:lvl>
    <w:lvl w:ilvl="2" w:tplc="18BA1B2C" w:tentative="1">
      <w:start w:val="1"/>
      <w:numFmt w:val="bullet"/>
      <w:lvlText w:val=""/>
      <w:lvlJc w:val="left"/>
      <w:pPr>
        <w:tabs>
          <w:tab w:val="num" w:pos="2651"/>
        </w:tabs>
        <w:ind w:left="2651" w:hanging="360"/>
      </w:pPr>
      <w:rPr>
        <w:rFonts w:ascii="Wingdings" w:hAnsi="Wingdings" w:hint="default"/>
      </w:rPr>
    </w:lvl>
    <w:lvl w:ilvl="3" w:tplc="D5DAA8E2" w:tentative="1">
      <w:start w:val="1"/>
      <w:numFmt w:val="bullet"/>
      <w:lvlText w:val=""/>
      <w:lvlJc w:val="left"/>
      <w:pPr>
        <w:tabs>
          <w:tab w:val="num" w:pos="3371"/>
        </w:tabs>
        <w:ind w:left="3371" w:hanging="360"/>
      </w:pPr>
      <w:rPr>
        <w:rFonts w:ascii="Wingdings" w:hAnsi="Wingdings" w:hint="default"/>
      </w:rPr>
    </w:lvl>
    <w:lvl w:ilvl="4" w:tplc="7A080E1A" w:tentative="1">
      <w:start w:val="1"/>
      <w:numFmt w:val="bullet"/>
      <w:lvlText w:val=""/>
      <w:lvlJc w:val="left"/>
      <w:pPr>
        <w:tabs>
          <w:tab w:val="num" w:pos="4091"/>
        </w:tabs>
        <w:ind w:left="4091" w:hanging="360"/>
      </w:pPr>
      <w:rPr>
        <w:rFonts w:ascii="Wingdings" w:hAnsi="Wingdings" w:hint="default"/>
      </w:rPr>
    </w:lvl>
    <w:lvl w:ilvl="5" w:tplc="8150709C" w:tentative="1">
      <w:start w:val="1"/>
      <w:numFmt w:val="bullet"/>
      <w:lvlText w:val=""/>
      <w:lvlJc w:val="left"/>
      <w:pPr>
        <w:tabs>
          <w:tab w:val="num" w:pos="4811"/>
        </w:tabs>
        <w:ind w:left="4811" w:hanging="360"/>
      </w:pPr>
      <w:rPr>
        <w:rFonts w:ascii="Wingdings" w:hAnsi="Wingdings" w:hint="default"/>
      </w:rPr>
    </w:lvl>
    <w:lvl w:ilvl="6" w:tplc="A90CA9D0" w:tentative="1">
      <w:start w:val="1"/>
      <w:numFmt w:val="bullet"/>
      <w:lvlText w:val=""/>
      <w:lvlJc w:val="left"/>
      <w:pPr>
        <w:tabs>
          <w:tab w:val="num" w:pos="5531"/>
        </w:tabs>
        <w:ind w:left="5531" w:hanging="360"/>
      </w:pPr>
      <w:rPr>
        <w:rFonts w:ascii="Wingdings" w:hAnsi="Wingdings" w:hint="default"/>
      </w:rPr>
    </w:lvl>
    <w:lvl w:ilvl="7" w:tplc="05F62C40" w:tentative="1">
      <w:start w:val="1"/>
      <w:numFmt w:val="bullet"/>
      <w:lvlText w:val=""/>
      <w:lvlJc w:val="left"/>
      <w:pPr>
        <w:tabs>
          <w:tab w:val="num" w:pos="6251"/>
        </w:tabs>
        <w:ind w:left="6251" w:hanging="360"/>
      </w:pPr>
      <w:rPr>
        <w:rFonts w:ascii="Wingdings" w:hAnsi="Wingdings" w:hint="default"/>
      </w:rPr>
    </w:lvl>
    <w:lvl w:ilvl="8" w:tplc="01AA220A" w:tentative="1">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5519752E"/>
    <w:multiLevelType w:val="hybridMultilevel"/>
    <w:tmpl w:val="749E661C"/>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589A6369"/>
    <w:multiLevelType w:val="hybridMultilevel"/>
    <w:tmpl w:val="1BB0956A"/>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5AB46EB6"/>
    <w:multiLevelType w:val="hybridMultilevel"/>
    <w:tmpl w:val="03D8B758"/>
    <w:lvl w:ilvl="0" w:tplc="04090005">
      <w:start w:val="1"/>
      <w:numFmt w:val="bullet"/>
      <w:lvlText w:val=""/>
      <w:lvlJc w:val="left"/>
      <w:pPr>
        <w:ind w:left="1211" w:hanging="360"/>
      </w:pPr>
      <w:rPr>
        <w:rFonts w:ascii="Wingdings" w:hAnsi="Wingdings" w:cs="Wingding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3" w15:restartNumberingAfterBreak="0">
    <w:nsid w:val="63864E0E"/>
    <w:multiLevelType w:val="multilevel"/>
    <w:tmpl w:val="C2140942"/>
    <w:lvl w:ilvl="0">
      <w:start w:val="1"/>
      <w:numFmt w:val="bullet"/>
      <w:lvlText w:val=""/>
      <w:lvlJc w:val="left"/>
      <w:pPr>
        <w:tabs>
          <w:tab w:val="num" w:pos="1080"/>
        </w:tabs>
        <w:ind w:left="1080" w:hanging="360"/>
      </w:pPr>
      <w:rPr>
        <w:rFonts w:ascii="Wingdings" w:hAnsi="Wingdings" w:cs="Wingdings"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4" w15:restartNumberingAfterBreak="0">
    <w:nsid w:val="65507F45"/>
    <w:multiLevelType w:val="hybridMultilevel"/>
    <w:tmpl w:val="8ECA6D1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5" w15:restartNumberingAfterBreak="0">
    <w:nsid w:val="67091A5E"/>
    <w:multiLevelType w:val="multilevel"/>
    <w:tmpl w:val="61044648"/>
    <w:lvl w:ilvl="0">
      <w:start w:val="1"/>
      <w:numFmt w:val="decimal"/>
      <w:lvlText w:val="%1."/>
      <w:lvlJc w:val="left"/>
      <w:pPr>
        <w:ind w:left="720" w:hanging="360"/>
      </w:pPr>
    </w:lvl>
    <w:lvl w:ilvl="1">
      <w:start w:val="1"/>
      <w:numFmt w:val="decimal"/>
      <w:isLgl/>
      <w:lvlText w:val="%1.%2."/>
      <w:lvlJc w:val="left"/>
      <w:pPr>
        <w:ind w:left="1065" w:hanging="360"/>
      </w:pPr>
      <w:rPr>
        <w:rFonts w:ascii="Times New Roman" w:hAnsi="Times New Roman" w:cs="Times New Roman" w:hint="default"/>
        <w:b/>
        <w:sz w:val="24"/>
        <w:u w:val="none"/>
      </w:rPr>
    </w:lvl>
    <w:lvl w:ilvl="2">
      <w:start w:val="1"/>
      <w:numFmt w:val="decimal"/>
      <w:isLgl/>
      <w:lvlText w:val="%1.%2.%3."/>
      <w:lvlJc w:val="left"/>
      <w:pPr>
        <w:ind w:left="1770" w:hanging="720"/>
      </w:pPr>
      <w:rPr>
        <w:rFonts w:ascii="Times New Roman" w:hAnsi="Times New Roman" w:cs="Times New Roman" w:hint="default"/>
        <w:b/>
        <w:sz w:val="24"/>
        <w:u w:val="single"/>
      </w:rPr>
    </w:lvl>
    <w:lvl w:ilvl="3">
      <w:start w:val="1"/>
      <w:numFmt w:val="decimal"/>
      <w:isLgl/>
      <w:lvlText w:val="%1.%2.%3.%4."/>
      <w:lvlJc w:val="left"/>
      <w:pPr>
        <w:ind w:left="2115" w:hanging="720"/>
      </w:pPr>
      <w:rPr>
        <w:rFonts w:ascii="Times New Roman" w:hAnsi="Times New Roman" w:cs="Times New Roman" w:hint="default"/>
        <w:b/>
        <w:sz w:val="24"/>
        <w:u w:val="single"/>
      </w:rPr>
    </w:lvl>
    <w:lvl w:ilvl="4">
      <w:start w:val="1"/>
      <w:numFmt w:val="decimal"/>
      <w:isLgl/>
      <w:lvlText w:val="%1.%2.%3.%4.%5."/>
      <w:lvlJc w:val="left"/>
      <w:pPr>
        <w:ind w:left="2820" w:hanging="1080"/>
      </w:pPr>
      <w:rPr>
        <w:rFonts w:ascii="Times New Roman" w:hAnsi="Times New Roman" w:cs="Times New Roman" w:hint="default"/>
        <w:b/>
        <w:sz w:val="24"/>
        <w:u w:val="single"/>
      </w:rPr>
    </w:lvl>
    <w:lvl w:ilvl="5">
      <w:start w:val="1"/>
      <w:numFmt w:val="decimal"/>
      <w:isLgl/>
      <w:lvlText w:val="%1.%2.%3.%4.%5.%6."/>
      <w:lvlJc w:val="left"/>
      <w:pPr>
        <w:ind w:left="3165" w:hanging="1080"/>
      </w:pPr>
      <w:rPr>
        <w:rFonts w:ascii="Times New Roman" w:hAnsi="Times New Roman" w:cs="Times New Roman" w:hint="default"/>
        <w:b/>
        <w:sz w:val="24"/>
        <w:u w:val="single"/>
      </w:rPr>
    </w:lvl>
    <w:lvl w:ilvl="6">
      <w:start w:val="1"/>
      <w:numFmt w:val="decimal"/>
      <w:isLgl/>
      <w:lvlText w:val="%1.%2.%3.%4.%5.%6.%7."/>
      <w:lvlJc w:val="left"/>
      <w:pPr>
        <w:ind w:left="3510" w:hanging="1080"/>
      </w:pPr>
      <w:rPr>
        <w:rFonts w:ascii="Times New Roman" w:hAnsi="Times New Roman" w:cs="Times New Roman" w:hint="default"/>
        <w:b/>
        <w:sz w:val="24"/>
        <w:u w:val="single"/>
      </w:rPr>
    </w:lvl>
    <w:lvl w:ilvl="7">
      <w:start w:val="1"/>
      <w:numFmt w:val="decimal"/>
      <w:isLgl/>
      <w:lvlText w:val="%1.%2.%3.%4.%5.%6.%7.%8."/>
      <w:lvlJc w:val="left"/>
      <w:pPr>
        <w:ind w:left="4215" w:hanging="1440"/>
      </w:pPr>
      <w:rPr>
        <w:rFonts w:ascii="Times New Roman" w:hAnsi="Times New Roman" w:cs="Times New Roman" w:hint="default"/>
        <w:b/>
        <w:sz w:val="24"/>
        <w:u w:val="single"/>
      </w:rPr>
    </w:lvl>
    <w:lvl w:ilvl="8">
      <w:start w:val="1"/>
      <w:numFmt w:val="decimal"/>
      <w:isLgl/>
      <w:lvlText w:val="%1.%2.%3.%4.%5.%6.%7.%8.%9."/>
      <w:lvlJc w:val="left"/>
      <w:pPr>
        <w:ind w:left="4560" w:hanging="1440"/>
      </w:pPr>
      <w:rPr>
        <w:rFonts w:ascii="Times New Roman" w:hAnsi="Times New Roman" w:cs="Times New Roman" w:hint="default"/>
        <w:b/>
        <w:sz w:val="24"/>
        <w:u w:val="single"/>
      </w:rPr>
    </w:lvl>
  </w:abstractNum>
  <w:abstractNum w:abstractNumId="26" w15:restartNumberingAfterBreak="0">
    <w:nsid w:val="6AF17890"/>
    <w:multiLevelType w:val="hybridMultilevel"/>
    <w:tmpl w:val="DF5C5D92"/>
    <w:lvl w:ilvl="0" w:tplc="04090005">
      <w:start w:val="1"/>
      <w:numFmt w:val="bullet"/>
      <w:lvlText w:val=""/>
      <w:lvlJc w:val="left"/>
      <w:pPr>
        <w:ind w:left="1571" w:hanging="360"/>
      </w:pPr>
      <w:rPr>
        <w:rFonts w:ascii="Wingdings" w:hAnsi="Wingdings" w:cs="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7" w15:restartNumberingAfterBreak="0">
    <w:nsid w:val="775C56F3"/>
    <w:multiLevelType w:val="multilevel"/>
    <w:tmpl w:val="D56C3E86"/>
    <w:lvl w:ilvl="0">
      <w:start w:val="4"/>
      <w:numFmt w:val="decimal"/>
      <w:lvlText w:val="%1."/>
      <w:lvlJc w:val="left"/>
      <w:pPr>
        <w:ind w:left="360" w:hanging="360"/>
      </w:pPr>
      <w:rPr>
        <w:rFonts w:hint="default"/>
      </w:rPr>
    </w:lvl>
    <w:lvl w:ilvl="1">
      <w:start w:val="1"/>
      <w:numFmt w:val="decimal"/>
      <w:isLgl/>
      <w:lvlText w:val="%1.%2."/>
      <w:lvlJc w:val="left"/>
      <w:pPr>
        <w:ind w:left="790" w:hanging="450"/>
      </w:pPr>
      <w:rPr>
        <w:rFonts w:asciiTheme="majorBidi" w:hAnsiTheme="majorBidi" w:cstheme="majorBidi" w:hint="default"/>
        <w:b/>
        <w:bCs w:val="0"/>
        <w:sz w:val="24"/>
        <w:szCs w:val="22"/>
      </w:rPr>
    </w:lvl>
    <w:lvl w:ilvl="2">
      <w:start w:val="1"/>
      <w:numFmt w:val="decimal"/>
      <w:isLgl/>
      <w:lvlText w:val="%1.%2.%3."/>
      <w:lvlJc w:val="left"/>
      <w:pPr>
        <w:ind w:left="1400" w:hanging="720"/>
      </w:pPr>
      <w:rPr>
        <w:rFonts w:hint="default"/>
        <w:b/>
        <w:sz w:val="24"/>
        <w:szCs w:val="22"/>
      </w:rPr>
    </w:lvl>
    <w:lvl w:ilvl="3">
      <w:start w:val="1"/>
      <w:numFmt w:val="decimal"/>
      <w:isLgl/>
      <w:lvlText w:val="%1.%2.%3.%4."/>
      <w:lvlJc w:val="left"/>
      <w:pPr>
        <w:ind w:left="1740" w:hanging="720"/>
      </w:pPr>
      <w:rPr>
        <w:rFonts w:hint="default"/>
        <w:b/>
        <w:sz w:val="28"/>
      </w:rPr>
    </w:lvl>
    <w:lvl w:ilvl="4">
      <w:start w:val="1"/>
      <w:numFmt w:val="decimal"/>
      <w:isLgl/>
      <w:lvlText w:val="%1.%2.%3.%4.%5."/>
      <w:lvlJc w:val="left"/>
      <w:pPr>
        <w:ind w:left="2440" w:hanging="1080"/>
      </w:pPr>
      <w:rPr>
        <w:rFonts w:hint="default"/>
        <w:b/>
        <w:sz w:val="28"/>
      </w:rPr>
    </w:lvl>
    <w:lvl w:ilvl="5">
      <w:start w:val="1"/>
      <w:numFmt w:val="decimal"/>
      <w:isLgl/>
      <w:lvlText w:val="%1.%2.%3.%4.%5.%6."/>
      <w:lvlJc w:val="left"/>
      <w:pPr>
        <w:ind w:left="2780" w:hanging="1080"/>
      </w:pPr>
      <w:rPr>
        <w:rFonts w:hint="default"/>
        <w:b/>
        <w:sz w:val="28"/>
      </w:rPr>
    </w:lvl>
    <w:lvl w:ilvl="6">
      <w:start w:val="1"/>
      <w:numFmt w:val="decimal"/>
      <w:isLgl/>
      <w:lvlText w:val="%1.%2.%3.%4.%5.%6.%7."/>
      <w:lvlJc w:val="left"/>
      <w:pPr>
        <w:ind w:left="3480" w:hanging="1440"/>
      </w:pPr>
      <w:rPr>
        <w:rFonts w:hint="default"/>
        <w:b/>
        <w:sz w:val="28"/>
      </w:rPr>
    </w:lvl>
    <w:lvl w:ilvl="7">
      <w:start w:val="1"/>
      <w:numFmt w:val="decimal"/>
      <w:isLgl/>
      <w:lvlText w:val="%1.%2.%3.%4.%5.%6.%7.%8."/>
      <w:lvlJc w:val="left"/>
      <w:pPr>
        <w:ind w:left="3820" w:hanging="1440"/>
      </w:pPr>
      <w:rPr>
        <w:rFonts w:hint="default"/>
        <w:b/>
        <w:sz w:val="28"/>
      </w:rPr>
    </w:lvl>
    <w:lvl w:ilvl="8">
      <w:start w:val="1"/>
      <w:numFmt w:val="decimal"/>
      <w:isLgl/>
      <w:lvlText w:val="%1.%2.%3.%4.%5.%6.%7.%8.%9."/>
      <w:lvlJc w:val="left"/>
      <w:pPr>
        <w:ind w:left="4520" w:hanging="1800"/>
      </w:pPr>
      <w:rPr>
        <w:rFonts w:hint="default"/>
        <w:b/>
        <w:sz w:val="28"/>
      </w:rPr>
    </w:lvl>
  </w:abstractNum>
  <w:abstractNum w:abstractNumId="28" w15:restartNumberingAfterBreak="0">
    <w:nsid w:val="7C035E5A"/>
    <w:multiLevelType w:val="hybridMultilevel"/>
    <w:tmpl w:val="E202FAEE"/>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num w:numId="1">
    <w:abstractNumId w:val="16"/>
  </w:num>
  <w:num w:numId="2">
    <w:abstractNumId w:val="3"/>
  </w:num>
  <w:num w:numId="3">
    <w:abstractNumId w:val="27"/>
  </w:num>
  <w:num w:numId="4">
    <w:abstractNumId w:val="26"/>
  </w:num>
  <w:num w:numId="5">
    <w:abstractNumId w:val="22"/>
  </w:num>
  <w:num w:numId="6">
    <w:abstractNumId w:val="1"/>
  </w:num>
  <w:num w:numId="7">
    <w:abstractNumId w:val="25"/>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20"/>
  </w:num>
  <w:num w:numId="13">
    <w:abstractNumId w:val="18"/>
  </w:num>
  <w:num w:numId="14">
    <w:abstractNumId w:val="19"/>
  </w:num>
  <w:num w:numId="15">
    <w:abstractNumId w:val="2"/>
  </w:num>
  <w:num w:numId="16">
    <w:abstractNumId w:val="13"/>
  </w:num>
  <w:num w:numId="17">
    <w:abstractNumId w:val="14"/>
  </w:num>
  <w:num w:numId="18">
    <w:abstractNumId w:val="10"/>
  </w:num>
  <w:num w:numId="19">
    <w:abstractNumId w:val="21"/>
  </w:num>
  <w:num w:numId="20">
    <w:abstractNumId w:val="0"/>
  </w:num>
  <w:num w:numId="21">
    <w:abstractNumId w:val="24"/>
  </w:num>
  <w:num w:numId="22">
    <w:abstractNumId w:val="7"/>
  </w:num>
  <w:num w:numId="23">
    <w:abstractNumId w:val="28"/>
  </w:num>
  <w:num w:numId="24">
    <w:abstractNumId w:val="17"/>
  </w:num>
  <w:num w:numId="25">
    <w:abstractNumId w:val="12"/>
  </w:num>
  <w:num w:numId="26">
    <w:abstractNumId w:val="6"/>
  </w:num>
  <w:num w:numId="27">
    <w:abstractNumId w:val="5"/>
  </w:num>
  <w:num w:numId="28">
    <w:abstractNumId w:val="11"/>
  </w:num>
  <w:num w:numId="29">
    <w:abstractNumId w:val="2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CD"/>
    <w:rsid w:val="00124121"/>
    <w:rsid w:val="003501B4"/>
    <w:rsid w:val="006E1000"/>
    <w:rsid w:val="00711296"/>
    <w:rsid w:val="00857FD1"/>
    <w:rsid w:val="008B56ED"/>
    <w:rsid w:val="00956E2A"/>
    <w:rsid w:val="00A17DA2"/>
    <w:rsid w:val="00C10CCD"/>
    <w:rsid w:val="00E963C7"/>
    <w:rsid w:val="00EA380D"/>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20A1"/>
  <w15:chartTrackingRefBased/>
  <w15:docId w15:val="{F0E165C8-30DC-49F0-B97C-94D7F566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CCD"/>
    <w:pPr>
      <w:bidi/>
      <w:spacing w:after="0" w:line="240" w:lineRule="auto"/>
    </w:pPr>
    <w:rPr>
      <w:rFonts w:ascii="Calibri" w:eastAsia="Times New Roman" w:hAnsi="Calibri" w:cs="Arial"/>
      <w:lang w:val="en-US"/>
    </w:rPr>
  </w:style>
  <w:style w:type="paragraph" w:styleId="Heading1">
    <w:name w:val="heading 1"/>
    <w:basedOn w:val="Normal"/>
    <w:next w:val="Normal"/>
    <w:link w:val="Heading1Char"/>
    <w:uiPriority w:val="9"/>
    <w:qFormat/>
    <w:rsid w:val="007112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11296"/>
    <w:pPr>
      <w:bidi w:val="0"/>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129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0CCD"/>
    <w:pPr>
      <w:ind w:left="720"/>
      <w:contextualSpacing/>
    </w:pPr>
  </w:style>
  <w:style w:type="character" w:customStyle="1" w:styleId="ListParagraphChar">
    <w:name w:val="List Paragraph Char"/>
    <w:link w:val="ListParagraph"/>
    <w:uiPriority w:val="34"/>
    <w:locked/>
    <w:rsid w:val="00C10CCD"/>
    <w:rPr>
      <w:rFonts w:ascii="Calibri" w:eastAsia="Times New Roman" w:hAnsi="Calibri" w:cs="Arial"/>
      <w:lang w:val="en-US"/>
    </w:rPr>
  </w:style>
  <w:style w:type="character" w:styleId="Hyperlink">
    <w:name w:val="Hyperlink"/>
    <w:basedOn w:val="DefaultParagraphFont"/>
    <w:uiPriority w:val="99"/>
    <w:unhideWhenUsed/>
    <w:rsid w:val="00C10CCD"/>
    <w:rPr>
      <w:color w:val="0000FF"/>
      <w:u w:val="single"/>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
    <w:basedOn w:val="DefaultParagraphFont"/>
    <w:uiPriority w:val="99"/>
    <w:unhideWhenUsed/>
    <w:rsid w:val="00C10CCD"/>
    <w:rPr>
      <w:vertAlign w:val="superscript"/>
    </w:rPr>
  </w:style>
  <w:style w:type="paragraph" w:styleId="FootnoteText">
    <w:name w:val="footnote text"/>
    <w:aliases w:val="טקסט הערות שוליים תו2,טקסט הערות שוליים תו1 תו,טקסט הערות שוליים תו תו תו,תו תו תו תו,טקסט הערות שוליים תו תו1,תו תו תו1,Footnote Text תו, תו תו תו תו, תו תו תו1,fn,fn Char,single space"/>
    <w:basedOn w:val="Normal"/>
    <w:link w:val="FootnoteTextChar"/>
    <w:uiPriority w:val="99"/>
    <w:rsid w:val="00C10CCD"/>
    <w:rPr>
      <w:rFonts w:ascii="Times New Roman" w:hAnsi="Times New Roman" w:cs="Times New Roman"/>
      <w:sz w:val="20"/>
      <w:szCs w:val="20"/>
    </w:rPr>
  </w:style>
  <w:style w:type="character" w:customStyle="1" w:styleId="FootnoteTextChar">
    <w:name w:val="Footnote Text Char"/>
    <w:aliases w:val="טקסט הערות שוליים תו2 Char,טקסט הערות שוליים תו1 תו Char,טקסט הערות שוליים תו תו תו Char,תו תו תו תו Char,טקסט הערות שוליים תו תו1 Char,תו תו תו1 Char,Footnote Text תו Char, תו תו תו תו Char, תו תו תו1 Char,fn Char1,fn Char Char"/>
    <w:basedOn w:val="DefaultParagraphFont"/>
    <w:link w:val="FootnoteText"/>
    <w:uiPriority w:val="99"/>
    <w:rsid w:val="00C10CCD"/>
    <w:rPr>
      <w:rFonts w:ascii="Times New Roman" w:eastAsia="Times New Roman" w:hAnsi="Times New Roman" w:cs="Times New Roman"/>
      <w:sz w:val="20"/>
      <w:szCs w:val="20"/>
      <w:lang w:val="en-US"/>
    </w:rPr>
  </w:style>
  <w:style w:type="table" w:styleId="TableGrid">
    <w:name w:val="Table Grid"/>
    <w:basedOn w:val="TableNormal"/>
    <w:uiPriority w:val="39"/>
    <w:rsid w:val="00C10CC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CCD"/>
    <w:pPr>
      <w:tabs>
        <w:tab w:val="center" w:pos="4513"/>
        <w:tab w:val="right" w:pos="9026"/>
      </w:tabs>
    </w:pPr>
  </w:style>
  <w:style w:type="character" w:customStyle="1" w:styleId="HeaderChar">
    <w:name w:val="Header Char"/>
    <w:basedOn w:val="DefaultParagraphFont"/>
    <w:link w:val="Header"/>
    <w:uiPriority w:val="99"/>
    <w:rsid w:val="00C10CCD"/>
    <w:rPr>
      <w:rFonts w:ascii="Calibri" w:eastAsia="Times New Roman" w:hAnsi="Calibri" w:cs="Arial"/>
      <w:lang w:val="en-US"/>
    </w:rPr>
  </w:style>
  <w:style w:type="paragraph" w:styleId="Footer">
    <w:name w:val="footer"/>
    <w:basedOn w:val="Normal"/>
    <w:link w:val="FooterChar"/>
    <w:uiPriority w:val="99"/>
    <w:unhideWhenUsed/>
    <w:rsid w:val="00C10CCD"/>
    <w:pPr>
      <w:tabs>
        <w:tab w:val="center" w:pos="4513"/>
        <w:tab w:val="right" w:pos="9026"/>
      </w:tabs>
    </w:pPr>
  </w:style>
  <w:style w:type="character" w:customStyle="1" w:styleId="FooterChar">
    <w:name w:val="Footer Char"/>
    <w:basedOn w:val="DefaultParagraphFont"/>
    <w:link w:val="Footer"/>
    <w:uiPriority w:val="99"/>
    <w:rsid w:val="00C10CCD"/>
    <w:rPr>
      <w:rFonts w:ascii="Calibri" w:eastAsia="Times New Roman" w:hAnsi="Calibri" w:cs="Arial"/>
      <w:lang w:val="en-US"/>
    </w:rPr>
  </w:style>
  <w:style w:type="character" w:customStyle="1" w:styleId="normaltextrun">
    <w:name w:val="normaltextrun"/>
    <w:basedOn w:val="DefaultParagraphFont"/>
    <w:rsid w:val="006E1000"/>
  </w:style>
  <w:style w:type="character" w:customStyle="1" w:styleId="Heading1Char">
    <w:name w:val="Heading 1 Char"/>
    <w:basedOn w:val="DefaultParagraphFont"/>
    <w:link w:val="Heading1"/>
    <w:uiPriority w:val="9"/>
    <w:rsid w:val="0071129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711296"/>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711296"/>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7112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ragraph">
    <w:name w:val="paragraph"/>
    <w:basedOn w:val="Normal"/>
    <w:rsid w:val="00711296"/>
    <w:pPr>
      <w:bidi w:val="0"/>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711296"/>
  </w:style>
  <w:style w:type="character" w:customStyle="1" w:styleId="spellingerror">
    <w:name w:val="spellingerror"/>
    <w:basedOn w:val="DefaultParagraphFont"/>
    <w:rsid w:val="00711296"/>
  </w:style>
  <w:style w:type="character" w:customStyle="1" w:styleId="mord">
    <w:name w:val="mord"/>
    <w:basedOn w:val="DefaultParagraphFont"/>
    <w:rsid w:val="00711296"/>
  </w:style>
  <w:style w:type="paragraph" w:styleId="NormalWeb">
    <w:name w:val="Normal (Web)"/>
    <w:basedOn w:val="Normal"/>
    <w:uiPriority w:val="99"/>
    <w:semiHidden/>
    <w:unhideWhenUsed/>
    <w:rsid w:val="00711296"/>
    <w:pPr>
      <w:bidi w:val="0"/>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711296"/>
    <w:rPr>
      <w:b/>
      <w:bCs/>
    </w:rPr>
  </w:style>
  <w:style w:type="character" w:styleId="UnresolvedMention">
    <w:name w:val="Unresolved Mention"/>
    <w:basedOn w:val="DefaultParagraphFont"/>
    <w:uiPriority w:val="99"/>
    <w:semiHidden/>
    <w:unhideWhenUsed/>
    <w:rsid w:val="00711296"/>
    <w:rPr>
      <w:color w:val="605E5C"/>
      <w:shd w:val="clear" w:color="auto" w:fill="E1DFDD"/>
    </w:rPr>
  </w:style>
  <w:style w:type="character" w:styleId="FollowedHyperlink">
    <w:name w:val="FollowedHyperlink"/>
    <w:basedOn w:val="DefaultParagraphFont"/>
    <w:uiPriority w:val="99"/>
    <w:semiHidden/>
    <w:unhideWhenUsed/>
    <w:rsid w:val="00711296"/>
    <w:rPr>
      <w:color w:val="954F72" w:themeColor="followedHyperlink"/>
      <w:u w:val="single"/>
    </w:rPr>
  </w:style>
  <w:style w:type="character" w:styleId="Emphasis">
    <w:name w:val="Emphasis"/>
    <w:basedOn w:val="DefaultParagraphFont"/>
    <w:uiPriority w:val="20"/>
    <w:qFormat/>
    <w:rsid w:val="007112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86051">
      <w:bodyDiv w:val="1"/>
      <w:marLeft w:val="0"/>
      <w:marRight w:val="0"/>
      <w:marTop w:val="0"/>
      <w:marBottom w:val="0"/>
      <w:divBdr>
        <w:top w:val="none" w:sz="0" w:space="0" w:color="auto"/>
        <w:left w:val="none" w:sz="0" w:space="0" w:color="auto"/>
        <w:bottom w:val="none" w:sz="0" w:space="0" w:color="auto"/>
        <w:right w:val="none" w:sz="0" w:space="0" w:color="auto"/>
      </w:divBdr>
    </w:div>
    <w:div w:id="1492601595">
      <w:bodyDiv w:val="1"/>
      <w:marLeft w:val="0"/>
      <w:marRight w:val="0"/>
      <w:marTop w:val="0"/>
      <w:marBottom w:val="0"/>
      <w:divBdr>
        <w:top w:val="none" w:sz="0" w:space="0" w:color="auto"/>
        <w:left w:val="none" w:sz="0" w:space="0" w:color="auto"/>
        <w:bottom w:val="none" w:sz="0" w:space="0" w:color="auto"/>
        <w:right w:val="none" w:sz="0" w:space="0" w:color="auto"/>
      </w:divBdr>
    </w:div>
    <w:div w:id="188058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hyperlink" Target="https://data.worldbank.org/indicator/IT.NET.USER.ZS?locations=IL-PS" TargetMode="External"/><Relationship Id="rId39" Type="http://schemas.openxmlformats.org/officeDocument/2006/relationships/theme" Target="theme/theme1.xml"/><Relationship Id="rId21" Type="http://schemas.openxmlformats.org/officeDocument/2006/relationships/chart" Target="charts/chart15.xml"/><Relationship Id="rId34" Type="http://schemas.openxmlformats.org/officeDocument/2006/relationships/chart" Target="charts/chart2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yperlink" Target="https://data.worldbank.org/indicator/IT.CEL.SETS.P2?locations=IL-PS" TargetMode="External"/><Relationship Id="rId33" Type="http://schemas.openxmlformats.org/officeDocument/2006/relationships/chart" Target="charts/chart2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7.xml"/><Relationship Id="rId32" Type="http://schemas.openxmlformats.org/officeDocument/2006/relationships/chart" Target="charts/chart21.xml"/><Relationship Id="rId37" Type="http://schemas.openxmlformats.org/officeDocument/2006/relationships/chart" Target="charts/chart25.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yperlink" Target="https://fs.knesset.gov.il/globaldocs/MMM/302ae8cf-a7b3-e511-80d0-00155d0acb9e/2_302ae8cf-a7b3-e511-80d0-00155d0acb9e_11_10394.pdf" TargetMode="External"/><Relationship Id="rId28" Type="http://schemas.openxmlformats.org/officeDocument/2006/relationships/chart" Target="charts/chart18.xml"/><Relationship Id="rId36"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0.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hyperlink" Target="https://data.worldbank.org/indicator/IT.NET.BBND.P2?locations=IL-PS" TargetMode="External"/><Relationship Id="rId30" Type="http://schemas.openxmlformats.org/officeDocument/2006/relationships/hyperlink" Target="http://cm.mkt.lcap.cd/" TargetMode="External"/><Relationship Id="rId35" Type="http://schemas.openxmlformats.org/officeDocument/2006/relationships/chart" Target="charts/chart24.xml"/><Relationship Id="rId8" Type="http://schemas.openxmlformats.org/officeDocument/2006/relationships/chart" Target="charts/chart2.xm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ntegrate-africa.org/" TargetMode="External"/><Relationship Id="rId2" Type="http://schemas.openxmlformats.org/officeDocument/2006/relationships/hyperlink" Target="http://www.eu-index.uni-goettingen.de/?lang=en" TargetMode="External"/><Relationship Id="rId1" Type="http://schemas.openxmlformats.org/officeDocument/2006/relationships/hyperlink" Target="https://kof.ethz.ch/en/forecasts-and-indicators/indicators/kof-globalisation-index.html" TargetMode="External"/><Relationship Id="rId4" Type="http://schemas.openxmlformats.org/officeDocument/2006/relationships/hyperlink" Target="https://aric.adb.org/integrationindicato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1968-2019'!$J$59</c:f>
              <c:strCache>
                <c:ptCount val="1"/>
                <c:pt idx="0">
                  <c:v>IWBGII</c:v>
                </c:pt>
              </c:strCache>
            </c:strRef>
          </c:tx>
          <c:spPr>
            <a:ln w="28575" cap="rnd">
              <a:solidFill>
                <a:schemeClr val="accent1"/>
              </a:solidFill>
              <a:round/>
            </a:ln>
            <a:effectLst/>
          </c:spPr>
          <c:marker>
            <c:symbol val="none"/>
          </c:marker>
          <c:cat>
            <c:numRef>
              <c:f>'Index 1968-2019'!$I$60:$I$111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1968-2019'!$J$60:$J$111</c:f>
              <c:numCache>
                <c:formatCode>0.00%</c:formatCode>
                <c:ptCount val="52"/>
                <c:pt idx="0">
                  <c:v>0.16473381560878195</c:v>
                </c:pt>
                <c:pt idx="1">
                  <c:v>0.1964906378150672</c:v>
                </c:pt>
                <c:pt idx="2">
                  <c:v>0.29651778671004414</c:v>
                </c:pt>
                <c:pt idx="3">
                  <c:v>0.37336949944054371</c:v>
                </c:pt>
                <c:pt idx="4">
                  <c:v>0.50333532273375303</c:v>
                </c:pt>
                <c:pt idx="5">
                  <c:v>0.59045585451193916</c:v>
                </c:pt>
                <c:pt idx="6">
                  <c:v>0.62669921499772729</c:v>
                </c:pt>
                <c:pt idx="7">
                  <c:v>0.65572793964103726</c:v>
                </c:pt>
                <c:pt idx="8">
                  <c:v>0.68670292427761892</c:v>
                </c:pt>
                <c:pt idx="9">
                  <c:v>0.6838581481898609</c:v>
                </c:pt>
                <c:pt idx="10">
                  <c:v>0.69421550350577066</c:v>
                </c:pt>
                <c:pt idx="11">
                  <c:v>0.68815538175483337</c:v>
                </c:pt>
                <c:pt idx="12">
                  <c:v>0.7505953011754094</c:v>
                </c:pt>
                <c:pt idx="13">
                  <c:v>0.76182361934912235</c:v>
                </c:pt>
                <c:pt idx="14">
                  <c:v>0.77366364343847915</c:v>
                </c:pt>
                <c:pt idx="15">
                  <c:v>0.80180558686213721</c:v>
                </c:pt>
                <c:pt idx="16">
                  <c:v>0.80505201598509846</c:v>
                </c:pt>
                <c:pt idx="17">
                  <c:v>0.77028901851804332</c:v>
                </c:pt>
                <c:pt idx="18">
                  <c:v>0.78886852826843734</c:v>
                </c:pt>
                <c:pt idx="19">
                  <c:v>0.80924939349255864</c:v>
                </c:pt>
                <c:pt idx="20">
                  <c:v>0.72073787572680204</c:v>
                </c:pt>
                <c:pt idx="21">
                  <c:v>0.65118894655415582</c:v>
                </c:pt>
                <c:pt idx="22">
                  <c:v>0.72106060174554887</c:v>
                </c:pt>
                <c:pt idx="23">
                  <c:v>0.68619644120525236</c:v>
                </c:pt>
                <c:pt idx="24">
                  <c:v>0.75227857619418925</c:v>
                </c:pt>
                <c:pt idx="25">
                  <c:v>0.6730119138859666</c:v>
                </c:pt>
                <c:pt idx="26">
                  <c:v>0.60532633354531573</c:v>
                </c:pt>
                <c:pt idx="27">
                  <c:v>0.57983070951264304</c:v>
                </c:pt>
                <c:pt idx="28">
                  <c:v>0.52186240249160143</c:v>
                </c:pt>
                <c:pt idx="29">
                  <c:v>0.54260488970153442</c:v>
                </c:pt>
                <c:pt idx="30">
                  <c:v>0.60423612374077162</c:v>
                </c:pt>
                <c:pt idx="31">
                  <c:v>0.5555086168910901</c:v>
                </c:pt>
                <c:pt idx="32">
                  <c:v>0.49379654003712792</c:v>
                </c:pt>
                <c:pt idx="33">
                  <c:v>0.38030544360591922</c:v>
                </c:pt>
                <c:pt idx="34">
                  <c:v>0.34301845040531931</c:v>
                </c:pt>
                <c:pt idx="35">
                  <c:v>0.37083113466002993</c:v>
                </c:pt>
                <c:pt idx="36">
                  <c:v>0.41152276290287559</c:v>
                </c:pt>
                <c:pt idx="37">
                  <c:v>0.43664685056521058</c:v>
                </c:pt>
                <c:pt idx="38">
                  <c:v>0.43057434175488157</c:v>
                </c:pt>
                <c:pt idx="39">
                  <c:v>0.42538155341302086</c:v>
                </c:pt>
                <c:pt idx="40">
                  <c:v>0.4721687113271808</c:v>
                </c:pt>
                <c:pt idx="41">
                  <c:v>0.45936054418316263</c:v>
                </c:pt>
                <c:pt idx="42">
                  <c:v>0.42976831270012528</c:v>
                </c:pt>
                <c:pt idx="43">
                  <c:v>0.43565905556128015</c:v>
                </c:pt>
                <c:pt idx="44">
                  <c:v>0.44583315082544717</c:v>
                </c:pt>
                <c:pt idx="45">
                  <c:v>0.46709492333417668</c:v>
                </c:pt>
                <c:pt idx="46">
                  <c:v>0.44638863505217063</c:v>
                </c:pt>
                <c:pt idx="47">
                  <c:v>0.41217907553434652</c:v>
                </c:pt>
                <c:pt idx="48">
                  <c:v>0.42896216852320534</c:v>
                </c:pt>
                <c:pt idx="49">
                  <c:v>0.41143896338935182</c:v>
                </c:pt>
                <c:pt idx="50">
                  <c:v>0.40386468452850299</c:v>
                </c:pt>
                <c:pt idx="51">
                  <c:v>0.39275202571519863</c:v>
                </c:pt>
              </c:numCache>
            </c:numRef>
          </c:val>
          <c:smooth val="0"/>
          <c:extLst>
            <c:ext xmlns:c16="http://schemas.microsoft.com/office/drawing/2014/chart" uri="{C3380CC4-5D6E-409C-BE32-E72D297353CC}">
              <c16:uniqueId val="{00000000-9976-452A-BB4A-6E7118ECB855}"/>
            </c:ext>
          </c:extLst>
        </c:ser>
        <c:dLbls>
          <c:showLegendKey val="0"/>
          <c:showVal val="0"/>
          <c:showCatName val="0"/>
          <c:showSerName val="0"/>
          <c:showPercent val="0"/>
          <c:showBubbleSize val="0"/>
        </c:dLbls>
        <c:smooth val="0"/>
        <c:axId val="523895760"/>
        <c:axId val="523897008"/>
      </c:lineChart>
      <c:catAx>
        <c:axId val="52389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23897008"/>
        <c:crosses val="autoZero"/>
        <c:auto val="1"/>
        <c:lblAlgn val="ctr"/>
        <c:lblOffset val="100"/>
        <c:noMultiLvlLbl val="0"/>
      </c:catAx>
      <c:valAx>
        <c:axId val="5238970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2389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2010-2019'!$H$32</c:f>
              <c:strCache>
                <c:ptCount val="1"/>
                <c:pt idx="0">
                  <c:v>ISWBGII - PCA</c:v>
                </c:pt>
              </c:strCache>
            </c:strRef>
          </c:tx>
          <c:spPr>
            <a:ln w="28575" cap="rnd">
              <a:solidFill>
                <a:schemeClr val="accent1"/>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2010-2019'!$H$33:$H$42</c:f>
              <c:numCache>
                <c:formatCode>0.00%</c:formatCode>
                <c:ptCount val="10"/>
                <c:pt idx="0">
                  <c:v>0.30440993652366682</c:v>
                </c:pt>
                <c:pt idx="1">
                  <c:v>0.32943676676593614</c:v>
                </c:pt>
                <c:pt idx="2">
                  <c:v>0.42024280702719863</c:v>
                </c:pt>
                <c:pt idx="3">
                  <c:v>0.48749995917906941</c:v>
                </c:pt>
                <c:pt idx="4">
                  <c:v>0.48552662247113032</c:v>
                </c:pt>
                <c:pt idx="5">
                  <c:v>0.46512451735519567</c:v>
                </c:pt>
                <c:pt idx="6">
                  <c:v>0.65298272996109741</c:v>
                </c:pt>
                <c:pt idx="7">
                  <c:v>0.66943762349595015</c:v>
                </c:pt>
                <c:pt idx="8">
                  <c:v>0.6727711893280508</c:v>
                </c:pt>
                <c:pt idx="9">
                  <c:v>0.60078569411586269</c:v>
                </c:pt>
              </c:numCache>
            </c:numRef>
          </c:val>
          <c:smooth val="0"/>
          <c:extLst>
            <c:ext xmlns:c16="http://schemas.microsoft.com/office/drawing/2014/chart" uri="{C3380CC4-5D6E-409C-BE32-E72D297353CC}">
              <c16:uniqueId val="{00000000-EF8B-4CB5-964E-9C2397ACEEC1}"/>
            </c:ext>
          </c:extLst>
        </c:ser>
        <c:dLbls>
          <c:showLegendKey val="0"/>
          <c:showVal val="0"/>
          <c:showCatName val="0"/>
          <c:showSerName val="0"/>
          <c:showPercent val="0"/>
          <c:showBubbleSize val="0"/>
        </c:dLbls>
        <c:smooth val="0"/>
        <c:axId val="605835856"/>
        <c:axId val="605851664"/>
      </c:lineChart>
      <c:catAx>
        <c:axId val="60583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05851664"/>
        <c:crosses val="autoZero"/>
        <c:auto val="1"/>
        <c:lblAlgn val="ctr"/>
        <c:lblOffset val="100"/>
        <c:noMultiLvlLbl val="0"/>
      </c:catAx>
      <c:valAx>
        <c:axId val="6058516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05835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09050925925926"/>
          <c:y val="5.5436507936507937E-2"/>
          <c:w val="0.81957152777777775"/>
          <c:h val="0.62550634920634918"/>
        </c:manualLayout>
      </c:layout>
      <c:lineChart>
        <c:grouping val="standard"/>
        <c:varyColors val="0"/>
        <c:ser>
          <c:idx val="0"/>
          <c:order val="0"/>
          <c:tx>
            <c:strRef>
              <c:f>'Index 2010-2019'!$C$32</c:f>
              <c:strCache>
                <c:ptCount val="1"/>
                <c:pt idx="0">
                  <c:v>Trade, Employment and Taxes</c:v>
                </c:pt>
              </c:strCache>
            </c:strRef>
          </c:tx>
          <c:spPr>
            <a:ln w="28575" cap="rnd">
              <a:solidFill>
                <a:schemeClr val="accent1"/>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2010-2019'!$C$33:$C$42</c:f>
              <c:numCache>
                <c:formatCode>0.00%</c:formatCode>
                <c:ptCount val="10"/>
                <c:pt idx="0">
                  <c:v>0.37957090425664836</c:v>
                </c:pt>
                <c:pt idx="1">
                  <c:v>0.4779306387684546</c:v>
                </c:pt>
                <c:pt idx="2">
                  <c:v>0.30364613351094183</c:v>
                </c:pt>
                <c:pt idx="3">
                  <c:v>0.59630085672032562</c:v>
                </c:pt>
                <c:pt idx="4">
                  <c:v>0.60241409483493691</c:v>
                </c:pt>
                <c:pt idx="5">
                  <c:v>0.6343606574380416</c:v>
                </c:pt>
                <c:pt idx="6">
                  <c:v>0.65631279052216529</c:v>
                </c:pt>
                <c:pt idx="7">
                  <c:v>0.68640258081209549</c:v>
                </c:pt>
                <c:pt idx="8">
                  <c:v>0.67648434161857507</c:v>
                </c:pt>
                <c:pt idx="9">
                  <c:v>0.61857676976348375</c:v>
                </c:pt>
              </c:numCache>
            </c:numRef>
          </c:val>
          <c:smooth val="0"/>
          <c:extLst>
            <c:ext xmlns:c16="http://schemas.microsoft.com/office/drawing/2014/chart" uri="{C3380CC4-5D6E-409C-BE32-E72D297353CC}">
              <c16:uniqueId val="{00000000-FA28-4666-9E31-E66D48BF7E76}"/>
            </c:ext>
          </c:extLst>
        </c:ser>
        <c:ser>
          <c:idx val="1"/>
          <c:order val="1"/>
          <c:tx>
            <c:strRef>
              <c:f>'Index 2010-2019'!$D$32</c:f>
              <c:strCache>
                <c:ptCount val="1"/>
                <c:pt idx="0">
                  <c:v>Movement of people and Services</c:v>
                </c:pt>
              </c:strCache>
            </c:strRef>
          </c:tx>
          <c:spPr>
            <a:ln w="28575" cap="rnd">
              <a:solidFill>
                <a:schemeClr val="accent2"/>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2010-2019'!$D$33:$D$42</c:f>
              <c:numCache>
                <c:formatCode>0.00%</c:formatCode>
                <c:ptCount val="10"/>
                <c:pt idx="0">
                  <c:v>0.26344353802249232</c:v>
                </c:pt>
                <c:pt idx="1">
                  <c:v>0.22610130443087367</c:v>
                </c:pt>
                <c:pt idx="2">
                  <c:v>0.39639857046059068</c:v>
                </c:pt>
                <c:pt idx="3">
                  <c:v>0.3826486819359628</c:v>
                </c:pt>
                <c:pt idx="4">
                  <c:v>0.52169519594490876</c:v>
                </c:pt>
                <c:pt idx="5">
                  <c:v>0.39441817736262486</c:v>
                </c:pt>
                <c:pt idx="6">
                  <c:v>0.74491667086576974</c:v>
                </c:pt>
                <c:pt idx="7">
                  <c:v>0.68773737531576384</c:v>
                </c:pt>
                <c:pt idx="8">
                  <c:v>0.68777676115293418</c:v>
                </c:pt>
                <c:pt idx="9">
                  <c:v>0.61827442185944492</c:v>
                </c:pt>
              </c:numCache>
            </c:numRef>
          </c:val>
          <c:smooth val="0"/>
          <c:extLst>
            <c:ext xmlns:c16="http://schemas.microsoft.com/office/drawing/2014/chart" uri="{C3380CC4-5D6E-409C-BE32-E72D297353CC}">
              <c16:uniqueId val="{00000001-FA28-4666-9E31-E66D48BF7E76}"/>
            </c:ext>
          </c:extLst>
        </c:ser>
        <c:ser>
          <c:idx val="2"/>
          <c:order val="2"/>
          <c:tx>
            <c:strRef>
              <c:f>'Index 2010-2019'!$E$32</c:f>
              <c:strCache>
                <c:ptCount val="1"/>
                <c:pt idx="0">
                  <c:v>Resources and infrastructure</c:v>
                </c:pt>
              </c:strCache>
            </c:strRef>
          </c:tx>
          <c:spPr>
            <a:ln w="28575" cap="rnd">
              <a:solidFill>
                <a:schemeClr val="accent3"/>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2010-2019'!$E$33:$E$42</c:f>
              <c:numCache>
                <c:formatCode>0.00%</c:formatCode>
                <c:ptCount val="10"/>
                <c:pt idx="0">
                  <c:v>7.8821364481959338E-2</c:v>
                </c:pt>
                <c:pt idx="1">
                  <c:v>0.13288241536826317</c:v>
                </c:pt>
                <c:pt idx="2">
                  <c:v>0.25611489180747449</c:v>
                </c:pt>
                <c:pt idx="3">
                  <c:v>0.28478037396926231</c:v>
                </c:pt>
                <c:pt idx="4">
                  <c:v>0.48028693379796883</c:v>
                </c:pt>
                <c:pt idx="5">
                  <c:v>0.52757111800818191</c:v>
                </c:pt>
                <c:pt idx="6">
                  <c:v>0.73664769000148078</c:v>
                </c:pt>
                <c:pt idx="7">
                  <c:v>0.87787303082378743</c:v>
                </c:pt>
                <c:pt idx="8">
                  <c:v>0.94099747834240344</c:v>
                </c:pt>
                <c:pt idx="9">
                  <c:v>0.70654322397997182</c:v>
                </c:pt>
              </c:numCache>
            </c:numRef>
          </c:val>
          <c:smooth val="0"/>
          <c:extLst>
            <c:ext xmlns:c16="http://schemas.microsoft.com/office/drawing/2014/chart" uri="{C3380CC4-5D6E-409C-BE32-E72D297353CC}">
              <c16:uniqueId val="{00000002-FA28-4666-9E31-E66D48BF7E76}"/>
            </c:ext>
          </c:extLst>
        </c:ser>
        <c:ser>
          <c:idx val="3"/>
          <c:order val="3"/>
          <c:tx>
            <c:strRef>
              <c:f>'Index 2010-2019'!$F$32</c:f>
              <c:strCache>
                <c:ptCount val="1"/>
                <c:pt idx="0">
                  <c:v>Banking and money</c:v>
                </c:pt>
              </c:strCache>
            </c:strRef>
          </c:tx>
          <c:spPr>
            <a:ln w="28575" cap="rnd">
              <a:solidFill>
                <a:schemeClr val="accent4"/>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2010-2019'!$F$33:$F$42</c:f>
              <c:numCache>
                <c:formatCode>0.00%</c:formatCode>
                <c:ptCount val="10"/>
                <c:pt idx="0">
                  <c:v>0.32964030291945695</c:v>
                </c:pt>
                <c:pt idx="1">
                  <c:v>0.1475778784933377</c:v>
                </c:pt>
                <c:pt idx="2">
                  <c:v>0.37949973236555357</c:v>
                </c:pt>
                <c:pt idx="3">
                  <c:v>0.48152236443446056</c:v>
                </c:pt>
                <c:pt idx="4">
                  <c:v>0.41061277129139645</c:v>
                </c:pt>
                <c:pt idx="5">
                  <c:v>0.45402363772288379</c:v>
                </c:pt>
                <c:pt idx="6">
                  <c:v>0.58774369832516171</c:v>
                </c:pt>
                <c:pt idx="7">
                  <c:v>0.66650945740195711</c:v>
                </c:pt>
                <c:pt idx="8">
                  <c:v>0.65151532067700724</c:v>
                </c:pt>
                <c:pt idx="9">
                  <c:v>0.80355141571047461</c:v>
                </c:pt>
              </c:numCache>
            </c:numRef>
          </c:val>
          <c:smooth val="0"/>
          <c:extLst>
            <c:ext xmlns:c16="http://schemas.microsoft.com/office/drawing/2014/chart" uri="{C3380CC4-5D6E-409C-BE32-E72D297353CC}">
              <c16:uniqueId val="{00000003-FA28-4666-9E31-E66D48BF7E76}"/>
            </c:ext>
          </c:extLst>
        </c:ser>
        <c:ser>
          <c:idx val="4"/>
          <c:order val="4"/>
          <c:tx>
            <c:strRef>
              <c:f>'Index 2010-2019'!$G$32</c:f>
              <c:strCache>
                <c:ptCount val="1"/>
                <c:pt idx="0">
                  <c:v> Wealth and Standard of living</c:v>
                </c:pt>
              </c:strCache>
            </c:strRef>
          </c:tx>
          <c:spPr>
            <a:ln w="28575" cap="rnd">
              <a:solidFill>
                <a:schemeClr val="accent5"/>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2010-2019'!$G$33:$G$42</c:f>
              <c:numCache>
                <c:formatCode>0%</c:formatCode>
                <c:ptCount val="10"/>
                <c:pt idx="0">
                  <c:v>0.55116512247945937</c:v>
                </c:pt>
                <c:pt idx="1">
                  <c:v>0.78311976298566222</c:v>
                </c:pt>
                <c:pt idx="2">
                  <c:v>0.84495594289633091</c:v>
                </c:pt>
                <c:pt idx="3">
                  <c:v>0.78332333047368286</c:v>
                </c:pt>
                <c:pt idx="4">
                  <c:v>0.41361331360151132</c:v>
                </c:pt>
                <c:pt idx="5">
                  <c:v>0.30081744573384511</c:v>
                </c:pt>
                <c:pt idx="6">
                  <c:v>0.50078805246537572</c:v>
                </c:pt>
                <c:pt idx="7">
                  <c:v>0.34936323412027048</c:v>
                </c:pt>
                <c:pt idx="8">
                  <c:v>0.31152759923364021</c:v>
                </c:pt>
                <c:pt idx="9">
                  <c:v>0.17439233748303071</c:v>
                </c:pt>
              </c:numCache>
            </c:numRef>
          </c:val>
          <c:smooth val="0"/>
          <c:extLst>
            <c:ext xmlns:c16="http://schemas.microsoft.com/office/drawing/2014/chart" uri="{C3380CC4-5D6E-409C-BE32-E72D297353CC}">
              <c16:uniqueId val="{00000004-FA28-4666-9E31-E66D48BF7E76}"/>
            </c:ext>
          </c:extLst>
        </c:ser>
        <c:dLbls>
          <c:showLegendKey val="0"/>
          <c:showVal val="0"/>
          <c:showCatName val="0"/>
          <c:showSerName val="0"/>
          <c:showPercent val="0"/>
          <c:showBubbleSize val="0"/>
        </c:dLbls>
        <c:smooth val="0"/>
        <c:axId val="1497369632"/>
        <c:axId val="1497367968"/>
      </c:lineChart>
      <c:catAx>
        <c:axId val="149736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97367968"/>
        <c:crosses val="autoZero"/>
        <c:auto val="1"/>
        <c:lblAlgn val="ctr"/>
        <c:lblOffset val="100"/>
        <c:noMultiLvlLbl val="0"/>
      </c:catAx>
      <c:valAx>
        <c:axId val="1497367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97369632"/>
        <c:crosses val="autoZero"/>
        <c:crossBetween val="between"/>
        <c:majorUnit val="0.2"/>
      </c:valAx>
      <c:spPr>
        <a:noFill/>
        <a:ln>
          <a:noFill/>
        </a:ln>
        <a:effectLst/>
      </c:spPr>
    </c:plotArea>
    <c:legend>
      <c:legendPos val="b"/>
      <c:layout>
        <c:manualLayout>
          <c:xMode val="edge"/>
          <c:yMode val="edge"/>
          <c:x val="1.7546064814814816E-2"/>
          <c:y val="0.76943095238095227"/>
          <c:w val="0.92669027777777779"/>
          <c:h val="0.200330952380952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'Index 2010-2019'!$K$68</c:f>
              <c:strCache>
                <c:ptCount val="1"/>
                <c:pt idx="0">
                  <c:v>Trade, Employment and Taxes</c:v>
                </c:pt>
              </c:strCache>
            </c:strRef>
          </c:tx>
          <c:spPr>
            <a:solidFill>
              <a:schemeClr val="accent1"/>
            </a:solidFill>
            <a:ln>
              <a:noFill/>
            </a:ln>
            <a:effectLst/>
          </c:spPr>
          <c:invertIfNegative val="0"/>
          <c:cat>
            <c:numRef>
              <c:f>'Index 2010-2019'!$J$69:$J$78</c:f>
              <c:numCache>
                <c:formatCode>0_ ;\-0\ </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2010-2019'!$K$69:$K$78</c:f>
              <c:numCache>
                <c:formatCode>0%</c:formatCode>
                <c:ptCount val="10"/>
                <c:pt idx="0">
                  <c:v>6.8958289166917472E-2</c:v>
                </c:pt>
                <c:pt idx="1">
                  <c:v>8.6827727890440395E-2</c:v>
                </c:pt>
                <c:pt idx="2">
                  <c:v>5.5164707421583671E-2</c:v>
                </c:pt>
                <c:pt idx="3">
                  <c:v>0.10833255775684393</c:v>
                </c:pt>
                <c:pt idx="4">
                  <c:v>0.10944317618656568</c:v>
                </c:pt>
                <c:pt idx="5">
                  <c:v>0.11524704649687896</c:v>
                </c:pt>
                <c:pt idx="6">
                  <c:v>0.11923518553511807</c:v>
                </c:pt>
                <c:pt idx="7">
                  <c:v>0.12470172798217015</c:v>
                </c:pt>
                <c:pt idx="8">
                  <c:v>0.12289983853631584</c:v>
                </c:pt>
                <c:pt idx="9">
                  <c:v>0.11237951930173769</c:v>
                </c:pt>
              </c:numCache>
            </c:numRef>
          </c:val>
          <c:extLst>
            <c:ext xmlns:c16="http://schemas.microsoft.com/office/drawing/2014/chart" uri="{C3380CC4-5D6E-409C-BE32-E72D297353CC}">
              <c16:uniqueId val="{00000000-D7FE-4DE7-BA1D-BEF6D3F8557C}"/>
            </c:ext>
          </c:extLst>
        </c:ser>
        <c:ser>
          <c:idx val="1"/>
          <c:order val="1"/>
          <c:tx>
            <c:strRef>
              <c:f>'Index 2010-2019'!$L$68</c:f>
              <c:strCache>
                <c:ptCount val="1"/>
                <c:pt idx="0">
                  <c:v>Movement of people and Services</c:v>
                </c:pt>
              </c:strCache>
            </c:strRef>
          </c:tx>
          <c:spPr>
            <a:solidFill>
              <a:schemeClr val="accent2"/>
            </a:solidFill>
            <a:ln>
              <a:noFill/>
            </a:ln>
            <a:effectLst/>
          </c:spPr>
          <c:invertIfNegative val="0"/>
          <c:cat>
            <c:numRef>
              <c:f>'Index 2010-2019'!$J$69:$J$78</c:f>
              <c:numCache>
                <c:formatCode>0_ ;\-0\ </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2010-2019'!$L$69:$L$78</c:f>
              <c:numCache>
                <c:formatCode>0%</c:formatCode>
                <c:ptCount val="10"/>
                <c:pt idx="0">
                  <c:v>5.5414402308444036E-2</c:v>
                </c:pt>
                <c:pt idx="1">
                  <c:v>4.7559597552651635E-2</c:v>
                </c:pt>
                <c:pt idx="2">
                  <c:v>8.3381015996375818E-2</c:v>
                </c:pt>
                <c:pt idx="3">
                  <c:v>8.0488776315268379E-2</c:v>
                </c:pt>
                <c:pt idx="4">
                  <c:v>0.10973671127968788</c:v>
                </c:pt>
                <c:pt idx="5">
                  <c:v>8.2964447418974713E-2</c:v>
                </c:pt>
                <c:pt idx="6">
                  <c:v>0.156690547035161</c:v>
                </c:pt>
                <c:pt idx="7">
                  <c:v>0.14466308752294124</c:v>
                </c:pt>
                <c:pt idx="8">
                  <c:v>0.14467137219237211</c:v>
                </c:pt>
                <c:pt idx="9">
                  <c:v>0.1300518046755611</c:v>
                </c:pt>
              </c:numCache>
            </c:numRef>
          </c:val>
          <c:extLst>
            <c:ext xmlns:c16="http://schemas.microsoft.com/office/drawing/2014/chart" uri="{C3380CC4-5D6E-409C-BE32-E72D297353CC}">
              <c16:uniqueId val="{00000001-D7FE-4DE7-BA1D-BEF6D3F8557C}"/>
            </c:ext>
          </c:extLst>
        </c:ser>
        <c:ser>
          <c:idx val="2"/>
          <c:order val="2"/>
          <c:tx>
            <c:strRef>
              <c:f>'Index 2010-2019'!$M$68</c:f>
              <c:strCache>
                <c:ptCount val="1"/>
                <c:pt idx="0">
                  <c:v>Resources and infrastructure</c:v>
                </c:pt>
              </c:strCache>
            </c:strRef>
          </c:tx>
          <c:spPr>
            <a:solidFill>
              <a:schemeClr val="accent3"/>
            </a:solidFill>
            <a:ln>
              <a:noFill/>
            </a:ln>
            <a:effectLst/>
          </c:spPr>
          <c:invertIfNegative val="0"/>
          <c:cat>
            <c:numRef>
              <c:f>'Index 2010-2019'!$J$69:$J$78</c:f>
              <c:numCache>
                <c:formatCode>0_ ;\-0\ </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2010-2019'!$M$69:$M$78</c:f>
              <c:numCache>
                <c:formatCode>0%</c:formatCode>
                <c:ptCount val="10"/>
                <c:pt idx="0">
                  <c:v>1.8314718517939806E-2</c:v>
                </c:pt>
                <c:pt idx="1">
                  <c:v>3.0876197709197556E-2</c:v>
                </c:pt>
                <c:pt idx="2">
                  <c:v>5.9510161775746792E-2</c:v>
                </c:pt>
                <c:pt idx="3">
                  <c:v>6.6170795481146946E-2</c:v>
                </c:pt>
                <c:pt idx="4">
                  <c:v>0.11159816958468784</c:v>
                </c:pt>
                <c:pt idx="5">
                  <c:v>0.12258499441133336</c:v>
                </c:pt>
                <c:pt idx="6">
                  <c:v>0.17116545974480865</c:v>
                </c:pt>
                <c:pt idx="7">
                  <c:v>0.20398019698971714</c:v>
                </c:pt>
                <c:pt idx="8">
                  <c:v>0.21864762244602889</c:v>
                </c:pt>
                <c:pt idx="9">
                  <c:v>0.16417046765173196</c:v>
                </c:pt>
              </c:numCache>
            </c:numRef>
          </c:val>
          <c:extLst>
            <c:ext xmlns:c16="http://schemas.microsoft.com/office/drawing/2014/chart" uri="{C3380CC4-5D6E-409C-BE32-E72D297353CC}">
              <c16:uniqueId val="{00000002-D7FE-4DE7-BA1D-BEF6D3F8557C}"/>
            </c:ext>
          </c:extLst>
        </c:ser>
        <c:ser>
          <c:idx val="3"/>
          <c:order val="3"/>
          <c:tx>
            <c:strRef>
              <c:f>'Index 2010-2019'!$N$68</c:f>
              <c:strCache>
                <c:ptCount val="1"/>
                <c:pt idx="0">
                  <c:v>Banking and money</c:v>
                </c:pt>
              </c:strCache>
            </c:strRef>
          </c:tx>
          <c:spPr>
            <a:solidFill>
              <a:schemeClr val="accent4"/>
            </a:solidFill>
            <a:ln>
              <a:noFill/>
            </a:ln>
            <a:effectLst/>
          </c:spPr>
          <c:invertIfNegative val="0"/>
          <c:cat>
            <c:numRef>
              <c:f>'Index 2010-2019'!$J$69:$J$78</c:f>
              <c:numCache>
                <c:formatCode>0_ ;\-0\ </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2010-2019'!$N$69:$N$78</c:f>
              <c:numCache>
                <c:formatCode>0%</c:formatCode>
                <c:ptCount val="10"/>
                <c:pt idx="0">
                  <c:v>6.7419446144365056E-2</c:v>
                </c:pt>
                <c:pt idx="1">
                  <c:v>3.0183259580404777E-2</c:v>
                </c:pt>
                <c:pt idx="2">
                  <c:v>7.7616910133321573E-2</c:v>
                </c:pt>
                <c:pt idx="3">
                  <c:v>9.8483015665194795E-2</c:v>
                </c:pt>
                <c:pt idx="4">
                  <c:v>8.3980282068339254E-2</c:v>
                </c:pt>
                <c:pt idx="5">
                  <c:v>9.2858858339314815E-2</c:v>
                </c:pt>
                <c:pt idx="6">
                  <c:v>0.12020785767086584</c:v>
                </c:pt>
                <c:pt idx="7">
                  <c:v>0.13631736796152819</c:v>
                </c:pt>
                <c:pt idx="8">
                  <c:v>0.13325070291949295</c:v>
                </c:pt>
                <c:pt idx="9">
                  <c:v>0.16434577603503037</c:v>
                </c:pt>
              </c:numCache>
            </c:numRef>
          </c:val>
          <c:extLst>
            <c:ext xmlns:c16="http://schemas.microsoft.com/office/drawing/2014/chart" uri="{C3380CC4-5D6E-409C-BE32-E72D297353CC}">
              <c16:uniqueId val="{00000003-D7FE-4DE7-BA1D-BEF6D3F8557C}"/>
            </c:ext>
          </c:extLst>
        </c:ser>
        <c:ser>
          <c:idx val="4"/>
          <c:order val="4"/>
          <c:tx>
            <c:strRef>
              <c:f>'Index 2010-2019'!$O$68</c:f>
              <c:strCache>
                <c:ptCount val="1"/>
                <c:pt idx="0">
                  <c:v> Wealth and Standard of living</c:v>
                </c:pt>
              </c:strCache>
            </c:strRef>
          </c:tx>
          <c:spPr>
            <a:solidFill>
              <a:schemeClr val="accent5"/>
            </a:solidFill>
            <a:ln>
              <a:noFill/>
            </a:ln>
            <a:effectLst/>
          </c:spPr>
          <c:invertIfNegative val="0"/>
          <c:cat>
            <c:numRef>
              <c:f>'Index 2010-2019'!$J$69:$J$78</c:f>
              <c:numCache>
                <c:formatCode>0_ ;\-0\ </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2010-2019'!$O$69:$O$78</c:f>
              <c:numCache>
                <c:formatCode>0%</c:formatCode>
                <c:ptCount val="10"/>
                <c:pt idx="0">
                  <c:v>9.4303080386000451E-2</c:v>
                </c:pt>
                <c:pt idx="1">
                  <c:v>0.1339899840332418</c:v>
                </c:pt>
                <c:pt idx="2">
                  <c:v>0.14457001170017078</c:v>
                </c:pt>
                <c:pt idx="3">
                  <c:v>0.13402481396061536</c:v>
                </c:pt>
                <c:pt idx="4">
                  <c:v>7.0768283351849717E-2</c:v>
                </c:pt>
                <c:pt idx="5">
                  <c:v>5.1469170688693812E-2</c:v>
                </c:pt>
                <c:pt idx="6">
                  <c:v>8.5683679975143812E-2</c:v>
                </c:pt>
                <c:pt idx="7">
                  <c:v>5.9775243039593431E-2</c:v>
                </c:pt>
                <c:pt idx="8">
                  <c:v>5.3301653233841111E-2</c:v>
                </c:pt>
                <c:pt idx="9">
                  <c:v>2.9838126451801492E-2</c:v>
                </c:pt>
              </c:numCache>
            </c:numRef>
          </c:val>
          <c:extLst>
            <c:ext xmlns:c16="http://schemas.microsoft.com/office/drawing/2014/chart" uri="{C3380CC4-5D6E-409C-BE32-E72D297353CC}">
              <c16:uniqueId val="{00000004-D7FE-4DE7-BA1D-BEF6D3F8557C}"/>
            </c:ext>
          </c:extLst>
        </c:ser>
        <c:dLbls>
          <c:showLegendKey val="0"/>
          <c:showVal val="0"/>
          <c:showCatName val="0"/>
          <c:showSerName val="0"/>
          <c:showPercent val="0"/>
          <c:showBubbleSize val="0"/>
        </c:dLbls>
        <c:gapWidth val="150"/>
        <c:overlap val="100"/>
        <c:axId val="353060543"/>
        <c:axId val="353050975"/>
      </c:barChart>
      <c:catAx>
        <c:axId val="353060543"/>
        <c:scaling>
          <c:orientation val="minMax"/>
        </c:scaling>
        <c:delete val="0"/>
        <c:axPos val="b"/>
        <c:numFmt formatCode="0_ ;\-0\ "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53050975"/>
        <c:crosses val="autoZero"/>
        <c:auto val="1"/>
        <c:lblAlgn val="ctr"/>
        <c:lblOffset val="100"/>
        <c:noMultiLvlLbl val="0"/>
      </c:catAx>
      <c:valAx>
        <c:axId val="35305097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53060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109407681655689"/>
          <c:y val="0.19844975363994993"/>
          <c:w val="0.3378116146077767"/>
          <c:h val="0.57732140876756599"/>
        </c:manualLayout>
      </c:layout>
      <c:radarChart>
        <c:radarStyle val="marker"/>
        <c:varyColors val="0"/>
        <c:ser>
          <c:idx val="0"/>
          <c:order val="0"/>
          <c:tx>
            <c:strRef>
              <c:f>'Index 2010-2019'!$G$69</c:f>
              <c:strCache>
                <c:ptCount val="1"/>
                <c:pt idx="0">
                  <c:v>2019</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'Index 2010-2019'!$F$70:$F$74</c:f>
              <c:strCache>
                <c:ptCount val="5"/>
                <c:pt idx="0">
                  <c:v>Trade, Employment and Taxes</c:v>
                </c:pt>
                <c:pt idx="1">
                  <c:v>Movement of people and Services</c:v>
                </c:pt>
                <c:pt idx="2">
                  <c:v>Resources and infrastructure</c:v>
                </c:pt>
                <c:pt idx="3">
                  <c:v>Banking and money</c:v>
                </c:pt>
                <c:pt idx="4">
                  <c:v> Wealth and Standard of living</c:v>
                </c:pt>
              </c:strCache>
            </c:strRef>
          </c:cat>
          <c:val>
            <c:numRef>
              <c:f>'Index 2010-2019'!$G$70:$G$74</c:f>
              <c:numCache>
                <c:formatCode>0%</c:formatCode>
                <c:ptCount val="5"/>
                <c:pt idx="0">
                  <c:v>0.61857676976348375</c:v>
                </c:pt>
                <c:pt idx="1">
                  <c:v>0.61827442185944492</c:v>
                </c:pt>
                <c:pt idx="2">
                  <c:v>0.70654322397997182</c:v>
                </c:pt>
                <c:pt idx="3">
                  <c:v>0.80355141571047461</c:v>
                </c:pt>
                <c:pt idx="4">
                  <c:v>0.17439233748303071</c:v>
                </c:pt>
              </c:numCache>
            </c:numRef>
          </c:val>
          <c:extLst>
            <c:ext xmlns:c16="http://schemas.microsoft.com/office/drawing/2014/chart" uri="{C3380CC4-5D6E-409C-BE32-E72D297353CC}">
              <c16:uniqueId val="{00000000-FB02-4DF7-A502-236CEF693470}"/>
            </c:ext>
          </c:extLst>
        </c:ser>
        <c:ser>
          <c:idx val="1"/>
          <c:order val="1"/>
          <c:tx>
            <c:strRef>
              <c:f>'Index 2010-2019'!$H$69</c:f>
              <c:strCache>
                <c:ptCount val="1"/>
                <c:pt idx="0">
                  <c:v>2015</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'Index 2010-2019'!$F$70:$F$74</c:f>
              <c:strCache>
                <c:ptCount val="5"/>
                <c:pt idx="0">
                  <c:v>Trade, Employment and Taxes</c:v>
                </c:pt>
                <c:pt idx="1">
                  <c:v>Movement of people and Services</c:v>
                </c:pt>
                <c:pt idx="2">
                  <c:v>Resources and infrastructure</c:v>
                </c:pt>
                <c:pt idx="3">
                  <c:v>Banking and money</c:v>
                </c:pt>
                <c:pt idx="4">
                  <c:v> Wealth and Standard of living</c:v>
                </c:pt>
              </c:strCache>
            </c:strRef>
          </c:cat>
          <c:val>
            <c:numRef>
              <c:f>'Index 2010-2019'!$H$70:$H$74</c:f>
              <c:numCache>
                <c:formatCode>0%</c:formatCode>
                <c:ptCount val="5"/>
                <c:pt idx="0">
                  <c:v>0.6343606574380416</c:v>
                </c:pt>
                <c:pt idx="1">
                  <c:v>0.39441817736262486</c:v>
                </c:pt>
                <c:pt idx="2">
                  <c:v>0.52757111800818191</c:v>
                </c:pt>
                <c:pt idx="3">
                  <c:v>0.45402363772288379</c:v>
                </c:pt>
                <c:pt idx="4">
                  <c:v>0.30081744573384511</c:v>
                </c:pt>
              </c:numCache>
            </c:numRef>
          </c:val>
          <c:extLst>
            <c:ext xmlns:c16="http://schemas.microsoft.com/office/drawing/2014/chart" uri="{C3380CC4-5D6E-409C-BE32-E72D297353CC}">
              <c16:uniqueId val="{00000001-FB02-4DF7-A502-236CEF693470}"/>
            </c:ext>
          </c:extLst>
        </c:ser>
        <c:ser>
          <c:idx val="2"/>
          <c:order val="2"/>
          <c:tx>
            <c:strRef>
              <c:f>'Index 2010-2019'!$I$69</c:f>
              <c:strCache>
                <c:ptCount val="1"/>
                <c:pt idx="0">
                  <c:v>2010</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strRef>
              <c:f>'Index 2010-2019'!$F$70:$F$74</c:f>
              <c:strCache>
                <c:ptCount val="5"/>
                <c:pt idx="0">
                  <c:v>Trade, Employment and Taxes</c:v>
                </c:pt>
                <c:pt idx="1">
                  <c:v>Movement of people and Services</c:v>
                </c:pt>
                <c:pt idx="2">
                  <c:v>Resources and infrastructure</c:v>
                </c:pt>
                <c:pt idx="3">
                  <c:v>Banking and money</c:v>
                </c:pt>
                <c:pt idx="4">
                  <c:v> Wealth and Standard of living</c:v>
                </c:pt>
              </c:strCache>
            </c:strRef>
          </c:cat>
          <c:val>
            <c:numRef>
              <c:f>'Index 2010-2019'!$I$70:$I$74</c:f>
              <c:numCache>
                <c:formatCode>0%</c:formatCode>
                <c:ptCount val="5"/>
                <c:pt idx="0">
                  <c:v>0.37957090425664836</c:v>
                </c:pt>
                <c:pt idx="1">
                  <c:v>0.26344353802249232</c:v>
                </c:pt>
                <c:pt idx="2">
                  <c:v>7.8821364481959338E-2</c:v>
                </c:pt>
                <c:pt idx="3">
                  <c:v>0.32964030291945695</c:v>
                </c:pt>
                <c:pt idx="4">
                  <c:v>0.55116512247945937</c:v>
                </c:pt>
              </c:numCache>
            </c:numRef>
          </c:val>
          <c:extLst>
            <c:ext xmlns:c16="http://schemas.microsoft.com/office/drawing/2014/chart" uri="{C3380CC4-5D6E-409C-BE32-E72D297353CC}">
              <c16:uniqueId val="{00000002-FB02-4DF7-A502-236CEF693470}"/>
            </c:ext>
          </c:extLst>
        </c:ser>
        <c:dLbls>
          <c:showLegendKey val="0"/>
          <c:showVal val="0"/>
          <c:showCatName val="0"/>
          <c:showSerName val="0"/>
          <c:showPercent val="0"/>
          <c:showBubbleSize val="0"/>
        </c:dLbls>
        <c:axId val="1953500815"/>
        <c:axId val="1953487503"/>
      </c:radarChart>
      <c:catAx>
        <c:axId val="1953500815"/>
        <c:scaling>
          <c:orientation val="maxMin"/>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IL"/>
          </a:p>
        </c:txPr>
        <c:crossAx val="1953487503"/>
        <c:crosses val="autoZero"/>
        <c:auto val="1"/>
        <c:lblAlgn val="ctr"/>
        <c:lblOffset val="100"/>
        <c:noMultiLvlLbl val="0"/>
      </c:catAx>
      <c:valAx>
        <c:axId val="19534875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953500815"/>
        <c:crosses val="autoZero"/>
        <c:crossBetween val="between"/>
        <c:majorUnit val="0.2"/>
      </c:valAx>
      <c:spPr>
        <a:noFill/>
        <a:ln>
          <a:noFill/>
        </a:ln>
        <a:effectLst/>
      </c:spPr>
    </c:plotArea>
    <c:legend>
      <c:legendPos val="t"/>
      <c:layout>
        <c:manualLayout>
          <c:xMode val="edge"/>
          <c:yMode val="edge"/>
          <c:x val="0.22997734554703841"/>
          <c:y val="0.85512880432199478"/>
          <c:w val="0.46639678327547968"/>
          <c:h val="8.48834206536428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'I-WBG-II'!$C$4:$C$5</c:f>
              <c:strCache>
                <c:ptCount val="2"/>
                <c:pt idx="1">
                  <c:v>IS-WBG-II 1968</c:v>
                </c:pt>
              </c:strCache>
            </c:strRef>
          </c:tx>
          <c:spPr>
            <a:ln w="28575" cap="rnd">
              <a:solidFill>
                <a:schemeClr val="accent1"/>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'I-WBG-II'!$C$6:$C$57</c:f>
              <c:numCache>
                <c:formatCode>0.00%</c:formatCode>
                <c:ptCount val="52"/>
                <c:pt idx="0">
                  <c:v>0.16473381560878195</c:v>
                </c:pt>
                <c:pt idx="1">
                  <c:v>0.1964906378150672</c:v>
                </c:pt>
                <c:pt idx="2">
                  <c:v>0.29651778671004414</c:v>
                </c:pt>
                <c:pt idx="3">
                  <c:v>0.37336949944054371</c:v>
                </c:pt>
                <c:pt idx="4">
                  <c:v>0.50333532273375303</c:v>
                </c:pt>
                <c:pt idx="5">
                  <c:v>0.59045585451193916</c:v>
                </c:pt>
                <c:pt idx="6">
                  <c:v>0.62669921499772729</c:v>
                </c:pt>
                <c:pt idx="7">
                  <c:v>0.65572793964103726</c:v>
                </c:pt>
                <c:pt idx="8">
                  <c:v>0.68670292427761892</c:v>
                </c:pt>
                <c:pt idx="9">
                  <c:v>0.6838581481898609</c:v>
                </c:pt>
                <c:pt idx="10">
                  <c:v>0.69421550350577066</c:v>
                </c:pt>
                <c:pt idx="11">
                  <c:v>0.68815538175483337</c:v>
                </c:pt>
                <c:pt idx="12">
                  <c:v>0.7505953011754094</c:v>
                </c:pt>
                <c:pt idx="13">
                  <c:v>0.76182361934912235</c:v>
                </c:pt>
                <c:pt idx="14">
                  <c:v>0.77366364343847915</c:v>
                </c:pt>
                <c:pt idx="15">
                  <c:v>0.80180558686213721</c:v>
                </c:pt>
                <c:pt idx="16">
                  <c:v>0.80505201598509846</c:v>
                </c:pt>
                <c:pt idx="17">
                  <c:v>0.77028901851804332</c:v>
                </c:pt>
                <c:pt idx="18">
                  <c:v>0.78886852826843734</c:v>
                </c:pt>
                <c:pt idx="19">
                  <c:v>0.80924939349255864</c:v>
                </c:pt>
                <c:pt idx="20">
                  <c:v>0.72073787572680204</c:v>
                </c:pt>
                <c:pt idx="21">
                  <c:v>0.65118894655415582</c:v>
                </c:pt>
                <c:pt idx="22">
                  <c:v>0.72106060174554887</c:v>
                </c:pt>
                <c:pt idx="23">
                  <c:v>0.68619644120525236</c:v>
                </c:pt>
                <c:pt idx="24">
                  <c:v>0.75227857619418925</c:v>
                </c:pt>
                <c:pt idx="25">
                  <c:v>0.6730119138859666</c:v>
                </c:pt>
                <c:pt idx="26">
                  <c:v>0.60532633354531573</c:v>
                </c:pt>
                <c:pt idx="27">
                  <c:v>0.57983070951264304</c:v>
                </c:pt>
                <c:pt idx="28">
                  <c:v>0.52186240249160143</c:v>
                </c:pt>
                <c:pt idx="29">
                  <c:v>0.54260488970153442</c:v>
                </c:pt>
                <c:pt idx="30">
                  <c:v>0.60423612374077162</c:v>
                </c:pt>
                <c:pt idx="31">
                  <c:v>0.5555086168910901</c:v>
                </c:pt>
                <c:pt idx="32">
                  <c:v>0.49379654003712792</c:v>
                </c:pt>
                <c:pt idx="33">
                  <c:v>0.38030544360591922</c:v>
                </c:pt>
                <c:pt idx="34">
                  <c:v>0.34301845040531931</c:v>
                </c:pt>
                <c:pt idx="35">
                  <c:v>0.37083113466002993</c:v>
                </c:pt>
                <c:pt idx="36">
                  <c:v>0.41152276290287559</c:v>
                </c:pt>
                <c:pt idx="37">
                  <c:v>0.43664685056521058</c:v>
                </c:pt>
                <c:pt idx="38">
                  <c:v>0.43057434175488157</c:v>
                </c:pt>
                <c:pt idx="39">
                  <c:v>0.42538155341302086</c:v>
                </c:pt>
                <c:pt idx="40">
                  <c:v>0.4721687113271808</c:v>
                </c:pt>
                <c:pt idx="41">
                  <c:v>0.45936054418316263</c:v>
                </c:pt>
                <c:pt idx="42">
                  <c:v>0.42976831270012528</c:v>
                </c:pt>
                <c:pt idx="43">
                  <c:v>0.43565905556128015</c:v>
                </c:pt>
                <c:pt idx="44">
                  <c:v>0.44583315082544717</c:v>
                </c:pt>
                <c:pt idx="45">
                  <c:v>0.46709492333417668</c:v>
                </c:pt>
                <c:pt idx="46">
                  <c:v>0.44638863505217063</c:v>
                </c:pt>
                <c:pt idx="47">
                  <c:v>0.41217907553434652</c:v>
                </c:pt>
                <c:pt idx="48">
                  <c:v>0.42896216852320534</c:v>
                </c:pt>
                <c:pt idx="49">
                  <c:v>0.41143896338935182</c:v>
                </c:pt>
                <c:pt idx="50">
                  <c:v>0.40386468452850299</c:v>
                </c:pt>
                <c:pt idx="51">
                  <c:v>0.39275202571519863</c:v>
                </c:pt>
              </c:numCache>
            </c:numRef>
          </c:val>
          <c:smooth val="0"/>
          <c:extLst>
            <c:ext xmlns:c16="http://schemas.microsoft.com/office/drawing/2014/chart" uri="{C3380CC4-5D6E-409C-BE32-E72D297353CC}">
              <c16:uniqueId val="{00000000-5471-46AD-9C61-C437BA702CD4}"/>
            </c:ext>
          </c:extLst>
        </c:ser>
        <c:ser>
          <c:idx val="1"/>
          <c:order val="1"/>
          <c:tx>
            <c:strRef>
              <c:f>'I-WBG-II'!$D$4:$D$5</c:f>
              <c:strCache>
                <c:ptCount val="2"/>
                <c:pt idx="1">
                  <c:v>ISR-WBG-II 1996</c:v>
                </c:pt>
              </c:strCache>
            </c:strRef>
          </c:tx>
          <c:spPr>
            <a:ln w="28575" cap="rnd">
              <a:solidFill>
                <a:schemeClr val="accent2"/>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'I-WBG-II'!$D$6:$D$57</c:f>
              <c:numCache>
                <c:formatCode>General</c:formatCode>
                <c:ptCount val="52"/>
                <c:pt idx="28" formatCode="0%">
                  <c:v>0.55574329731777483</c:v>
                </c:pt>
                <c:pt idx="29" formatCode="0%">
                  <c:v>0.58364640754424224</c:v>
                </c:pt>
                <c:pt idx="30" formatCode="0%">
                  <c:v>0.67895507515585019</c:v>
                </c:pt>
                <c:pt idx="31" formatCode="0%">
                  <c:v>0.70224578386055247</c:v>
                </c:pt>
                <c:pt idx="32" formatCode="0%">
                  <c:v>0.62015382554374965</c:v>
                </c:pt>
                <c:pt idx="33" formatCode="0%">
                  <c:v>0.40410454708347182</c:v>
                </c:pt>
                <c:pt idx="34" formatCode="0%">
                  <c:v>0.34945361702288413</c:v>
                </c:pt>
                <c:pt idx="35" formatCode="0%">
                  <c:v>0.43815329043996698</c:v>
                </c:pt>
                <c:pt idx="36" formatCode="0%">
                  <c:v>0.49436725124837411</c:v>
                </c:pt>
                <c:pt idx="37" formatCode="0%">
                  <c:v>0.44140939819996561</c:v>
                </c:pt>
                <c:pt idx="38" formatCode="0%">
                  <c:v>0.44564409847202779</c:v>
                </c:pt>
                <c:pt idx="39" formatCode="0%">
                  <c:v>0.46300682507914437</c:v>
                </c:pt>
                <c:pt idx="40" formatCode="0%">
                  <c:v>0.42530515042401357</c:v>
                </c:pt>
                <c:pt idx="41" formatCode="0%">
                  <c:v>0.47458103363451498</c:v>
                </c:pt>
                <c:pt idx="42" formatCode="0%">
                  <c:v>0.43628934805103647</c:v>
                </c:pt>
                <c:pt idx="43" formatCode="0%">
                  <c:v>0.43221032644982726</c:v>
                </c:pt>
                <c:pt idx="44" formatCode="0%">
                  <c:v>0.47530042843776216</c:v>
                </c:pt>
                <c:pt idx="45" formatCode="0%">
                  <c:v>0.53825203017494794</c:v>
                </c:pt>
                <c:pt idx="46" formatCode="0%">
                  <c:v>0.471329286396175</c:v>
                </c:pt>
                <c:pt idx="47" formatCode="0%">
                  <c:v>0.40767588285975465</c:v>
                </c:pt>
                <c:pt idx="48" formatCode="0%">
                  <c:v>0.52743319616834983</c:v>
                </c:pt>
                <c:pt idx="49" formatCode="0%">
                  <c:v>0.49249727658585701</c:v>
                </c:pt>
                <c:pt idx="50" formatCode="0%">
                  <c:v>0.45816002475778905</c:v>
                </c:pt>
                <c:pt idx="51" formatCode="0%">
                  <c:v>0.45221107302203323</c:v>
                </c:pt>
              </c:numCache>
            </c:numRef>
          </c:val>
          <c:smooth val="0"/>
          <c:extLst>
            <c:ext xmlns:c16="http://schemas.microsoft.com/office/drawing/2014/chart" uri="{C3380CC4-5D6E-409C-BE32-E72D297353CC}">
              <c16:uniqueId val="{00000001-5471-46AD-9C61-C437BA702CD4}"/>
            </c:ext>
          </c:extLst>
        </c:ser>
        <c:ser>
          <c:idx val="2"/>
          <c:order val="2"/>
          <c:tx>
            <c:strRef>
              <c:f>'I-WBG-II'!$E$4:$E$5</c:f>
              <c:strCache>
                <c:ptCount val="2"/>
                <c:pt idx="1">
                  <c:v>ISR-WBG-II 2000</c:v>
                </c:pt>
              </c:strCache>
            </c:strRef>
          </c:tx>
          <c:spPr>
            <a:ln w="28575" cap="rnd">
              <a:solidFill>
                <a:schemeClr val="accent3"/>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'I-WBG-II'!$E$6:$E$57</c:f>
              <c:numCache>
                <c:formatCode>General</c:formatCode>
                <c:ptCount val="52"/>
                <c:pt idx="32" formatCode="0.00%">
                  <c:v>0.46604795534344212</c:v>
                </c:pt>
                <c:pt idx="33" formatCode="0.00%">
                  <c:v>0.33112975305728226</c:v>
                </c:pt>
                <c:pt idx="34" formatCode="0.00%">
                  <c:v>0.27750348454891205</c:v>
                </c:pt>
                <c:pt idx="35" formatCode="0.00%">
                  <c:v>0.3300001496053187</c:v>
                </c:pt>
                <c:pt idx="36" formatCode="0.00%">
                  <c:v>0.38754934739274621</c:v>
                </c:pt>
                <c:pt idx="37" formatCode="0.00%">
                  <c:v>0.43266741704591505</c:v>
                </c:pt>
                <c:pt idx="38" formatCode="0.00%">
                  <c:v>0.41400043969841871</c:v>
                </c:pt>
                <c:pt idx="39" formatCode="0.00%">
                  <c:v>0.4051850544471427</c:v>
                </c:pt>
                <c:pt idx="40" formatCode="0.00%">
                  <c:v>0.44754610576250331</c:v>
                </c:pt>
                <c:pt idx="41" formatCode="0.00%">
                  <c:v>0.4767411984810962</c:v>
                </c:pt>
                <c:pt idx="42" formatCode="0.00%">
                  <c:v>0.47722417645042464</c:v>
                </c:pt>
                <c:pt idx="43" formatCode="0.00%">
                  <c:v>0.4923290582498967</c:v>
                </c:pt>
                <c:pt idx="44" formatCode="0.00%">
                  <c:v>0.5364547089811611</c:v>
                </c:pt>
                <c:pt idx="45" formatCode="0.00%">
                  <c:v>0.58889008311759494</c:v>
                </c:pt>
                <c:pt idx="46" formatCode="0.00%">
                  <c:v>0.56124321541141475</c:v>
                </c:pt>
                <c:pt idx="47" formatCode="0.00%">
                  <c:v>0.51696492644271275</c:v>
                </c:pt>
                <c:pt idx="48" formatCode="0.00%">
                  <c:v>0.62887813056520181</c:v>
                </c:pt>
                <c:pt idx="49" formatCode="0.00%">
                  <c:v>0.6259023957690758</c:v>
                </c:pt>
                <c:pt idx="50" formatCode="0.00%">
                  <c:v>0.62487697702871081</c:v>
                </c:pt>
                <c:pt idx="51" formatCode="0.00%">
                  <c:v>0.59763365660317069</c:v>
                </c:pt>
              </c:numCache>
            </c:numRef>
          </c:val>
          <c:smooth val="0"/>
          <c:extLst>
            <c:ext xmlns:c16="http://schemas.microsoft.com/office/drawing/2014/chart" uri="{C3380CC4-5D6E-409C-BE32-E72D297353CC}">
              <c16:uniqueId val="{00000002-5471-46AD-9C61-C437BA702CD4}"/>
            </c:ext>
          </c:extLst>
        </c:ser>
        <c:ser>
          <c:idx val="3"/>
          <c:order val="3"/>
          <c:tx>
            <c:strRef>
              <c:f>'I-WBG-II'!$F$4:$F$5</c:f>
              <c:strCache>
                <c:ptCount val="2"/>
                <c:pt idx="1">
                  <c:v>ISR-WBG-II 2010</c:v>
                </c:pt>
              </c:strCache>
            </c:strRef>
          </c:tx>
          <c:spPr>
            <a:ln w="28575" cap="rnd">
              <a:solidFill>
                <a:schemeClr val="accent4"/>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'I-WBG-II'!$F$6:$F$57</c:f>
              <c:numCache>
                <c:formatCode>General</c:formatCode>
                <c:ptCount val="52"/>
                <c:pt idx="42" formatCode="0%">
                  <c:v>0.30440993652366682</c:v>
                </c:pt>
                <c:pt idx="43" formatCode="0%">
                  <c:v>0.32943676676593614</c:v>
                </c:pt>
                <c:pt idx="44" formatCode="0%">
                  <c:v>0.42024280702719863</c:v>
                </c:pt>
                <c:pt idx="45" formatCode="0%">
                  <c:v>0.48749995917906941</c:v>
                </c:pt>
                <c:pt idx="46" formatCode="0%">
                  <c:v>0.48552662247113032</c:v>
                </c:pt>
                <c:pt idx="47" formatCode="0%">
                  <c:v>0.46512451735519567</c:v>
                </c:pt>
                <c:pt idx="48" formatCode="0%">
                  <c:v>0.65298272996109741</c:v>
                </c:pt>
                <c:pt idx="49" formatCode="0%">
                  <c:v>0.66943762349595015</c:v>
                </c:pt>
                <c:pt idx="50" formatCode="0%">
                  <c:v>0.6727711893280508</c:v>
                </c:pt>
                <c:pt idx="51" formatCode="0%">
                  <c:v>0.60078569411586269</c:v>
                </c:pt>
              </c:numCache>
            </c:numRef>
          </c:val>
          <c:smooth val="0"/>
          <c:extLst>
            <c:ext xmlns:c16="http://schemas.microsoft.com/office/drawing/2014/chart" uri="{C3380CC4-5D6E-409C-BE32-E72D297353CC}">
              <c16:uniqueId val="{00000003-5471-46AD-9C61-C437BA702CD4}"/>
            </c:ext>
          </c:extLst>
        </c:ser>
        <c:dLbls>
          <c:showLegendKey val="0"/>
          <c:showVal val="0"/>
          <c:showCatName val="0"/>
          <c:showSerName val="0"/>
          <c:showPercent val="0"/>
          <c:showBubbleSize val="0"/>
        </c:dLbls>
        <c:smooth val="0"/>
        <c:axId val="289612864"/>
        <c:axId val="289615776"/>
      </c:lineChart>
      <c:catAx>
        <c:axId val="28961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89615776"/>
        <c:crosses val="autoZero"/>
        <c:auto val="1"/>
        <c:lblAlgn val="ctr"/>
        <c:lblOffset val="100"/>
        <c:noMultiLvlLbl val="0"/>
      </c:catAx>
      <c:valAx>
        <c:axId val="2896157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8961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'I-WBG-II'!$C$5</c:f>
              <c:strCache>
                <c:ptCount val="1"/>
                <c:pt idx="0">
                  <c:v>IS-WBG-II 1968</c:v>
                </c:pt>
              </c:strCache>
            </c:strRef>
          </c:tx>
          <c:spPr>
            <a:ln w="28575" cap="rnd">
              <a:solidFill>
                <a:schemeClr val="accent1"/>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'I-WBG-II'!$C$6:$C$33</c:f>
              <c:numCache>
                <c:formatCode>0.00%</c:formatCode>
                <c:ptCount val="28"/>
                <c:pt idx="0">
                  <c:v>0.16473381560878195</c:v>
                </c:pt>
                <c:pt idx="1">
                  <c:v>0.1964906378150672</c:v>
                </c:pt>
                <c:pt idx="2">
                  <c:v>0.29651778671004414</c:v>
                </c:pt>
                <c:pt idx="3">
                  <c:v>0.37336949944054371</c:v>
                </c:pt>
                <c:pt idx="4">
                  <c:v>0.50333532273375303</c:v>
                </c:pt>
                <c:pt idx="5">
                  <c:v>0.59045585451193916</c:v>
                </c:pt>
                <c:pt idx="6">
                  <c:v>0.62669921499772729</c:v>
                </c:pt>
                <c:pt idx="7">
                  <c:v>0.65572793964103726</c:v>
                </c:pt>
                <c:pt idx="8">
                  <c:v>0.68670292427761892</c:v>
                </c:pt>
                <c:pt idx="9">
                  <c:v>0.6838581481898609</c:v>
                </c:pt>
                <c:pt idx="10">
                  <c:v>0.69421550350577066</c:v>
                </c:pt>
                <c:pt idx="11">
                  <c:v>0.68815538175483337</c:v>
                </c:pt>
                <c:pt idx="12">
                  <c:v>0.7505953011754094</c:v>
                </c:pt>
                <c:pt idx="13">
                  <c:v>0.76182361934912235</c:v>
                </c:pt>
                <c:pt idx="14">
                  <c:v>0.77366364343847915</c:v>
                </c:pt>
                <c:pt idx="15">
                  <c:v>0.80180558686213721</c:v>
                </c:pt>
                <c:pt idx="16">
                  <c:v>0.80505201598509846</c:v>
                </c:pt>
                <c:pt idx="17">
                  <c:v>0.77028901851804332</c:v>
                </c:pt>
                <c:pt idx="18">
                  <c:v>0.78886852826843734</c:v>
                </c:pt>
                <c:pt idx="19">
                  <c:v>0.80924939349255864</c:v>
                </c:pt>
                <c:pt idx="20">
                  <c:v>0.72073787572680204</c:v>
                </c:pt>
                <c:pt idx="21">
                  <c:v>0.65118894655415582</c:v>
                </c:pt>
                <c:pt idx="22">
                  <c:v>0.72106060174554887</c:v>
                </c:pt>
                <c:pt idx="23">
                  <c:v>0.68619644120525236</c:v>
                </c:pt>
                <c:pt idx="24">
                  <c:v>0.75227857619418925</c:v>
                </c:pt>
                <c:pt idx="25">
                  <c:v>0.6730119138859666</c:v>
                </c:pt>
                <c:pt idx="26">
                  <c:v>0.60532633354531573</c:v>
                </c:pt>
                <c:pt idx="27">
                  <c:v>0.57983070951264304</c:v>
                </c:pt>
              </c:numCache>
            </c:numRef>
          </c:val>
          <c:smooth val="0"/>
          <c:extLst>
            <c:ext xmlns:c16="http://schemas.microsoft.com/office/drawing/2014/chart" uri="{C3380CC4-5D6E-409C-BE32-E72D297353CC}">
              <c16:uniqueId val="{00000000-CAB3-4E6B-8849-F459EA9365B9}"/>
            </c:ext>
          </c:extLst>
        </c:ser>
        <c:ser>
          <c:idx val="1"/>
          <c:order val="1"/>
          <c:tx>
            <c:strRef>
              <c:f>'I-WBG-II'!$D$5</c:f>
              <c:strCache>
                <c:ptCount val="1"/>
                <c:pt idx="0">
                  <c:v>ISR-WBG-II 1996</c:v>
                </c:pt>
              </c:strCache>
            </c:strRef>
          </c:tx>
          <c:spPr>
            <a:ln w="28575" cap="rnd">
              <a:solidFill>
                <a:schemeClr val="accent2"/>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'I-WBG-II'!$D$6:$D$37</c:f>
              <c:numCache>
                <c:formatCode>General</c:formatCode>
                <c:ptCount val="32"/>
                <c:pt idx="28" formatCode="0%">
                  <c:v>0.55574329731777483</c:v>
                </c:pt>
                <c:pt idx="29" formatCode="0%">
                  <c:v>0.58364640754424224</c:v>
                </c:pt>
                <c:pt idx="30" formatCode="0%">
                  <c:v>0.67895507515585019</c:v>
                </c:pt>
                <c:pt idx="31" formatCode="0%">
                  <c:v>0.70224578386055247</c:v>
                </c:pt>
              </c:numCache>
            </c:numRef>
          </c:val>
          <c:smooth val="0"/>
          <c:extLst>
            <c:ext xmlns:c16="http://schemas.microsoft.com/office/drawing/2014/chart" uri="{C3380CC4-5D6E-409C-BE32-E72D297353CC}">
              <c16:uniqueId val="{00000001-CAB3-4E6B-8849-F459EA9365B9}"/>
            </c:ext>
          </c:extLst>
        </c:ser>
        <c:ser>
          <c:idx val="2"/>
          <c:order val="2"/>
          <c:tx>
            <c:strRef>
              <c:f>'I-WBG-II'!$E$5</c:f>
              <c:strCache>
                <c:ptCount val="1"/>
                <c:pt idx="0">
                  <c:v>ISR-WBG-II 2000</c:v>
                </c:pt>
              </c:strCache>
            </c:strRef>
          </c:tx>
          <c:spPr>
            <a:ln w="28575" cap="rnd">
              <a:solidFill>
                <a:schemeClr val="accent3"/>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'I-WBG-II'!$E$6:$E$47</c:f>
              <c:numCache>
                <c:formatCode>General</c:formatCode>
                <c:ptCount val="42"/>
                <c:pt idx="32" formatCode="0.00%">
                  <c:v>0.46604795534344212</c:v>
                </c:pt>
                <c:pt idx="33" formatCode="0.00%">
                  <c:v>0.33112975305728226</c:v>
                </c:pt>
                <c:pt idx="34" formatCode="0.00%">
                  <c:v>0.27750348454891205</c:v>
                </c:pt>
                <c:pt idx="35" formatCode="0.00%">
                  <c:v>0.3300001496053187</c:v>
                </c:pt>
                <c:pt idx="36" formatCode="0.00%">
                  <c:v>0.38754934739274621</c:v>
                </c:pt>
                <c:pt idx="37" formatCode="0.00%">
                  <c:v>0.43266741704591505</c:v>
                </c:pt>
                <c:pt idx="38" formatCode="0.00%">
                  <c:v>0.41400043969841871</c:v>
                </c:pt>
                <c:pt idx="39" formatCode="0.00%">
                  <c:v>0.4051850544471427</c:v>
                </c:pt>
                <c:pt idx="40" formatCode="0.00%">
                  <c:v>0.44754610576250331</c:v>
                </c:pt>
                <c:pt idx="41" formatCode="0.00%">
                  <c:v>0.4767411984810962</c:v>
                </c:pt>
              </c:numCache>
            </c:numRef>
          </c:val>
          <c:smooth val="0"/>
          <c:extLst>
            <c:ext xmlns:c16="http://schemas.microsoft.com/office/drawing/2014/chart" uri="{C3380CC4-5D6E-409C-BE32-E72D297353CC}">
              <c16:uniqueId val="{00000002-CAB3-4E6B-8849-F459EA9365B9}"/>
            </c:ext>
          </c:extLst>
        </c:ser>
        <c:ser>
          <c:idx val="3"/>
          <c:order val="3"/>
          <c:tx>
            <c:strRef>
              <c:f>'I-WBG-II'!$F$5</c:f>
              <c:strCache>
                <c:ptCount val="1"/>
                <c:pt idx="0">
                  <c:v>ISR-WBG-II 2010</c:v>
                </c:pt>
              </c:strCache>
            </c:strRef>
          </c:tx>
          <c:spPr>
            <a:ln w="28575" cap="rnd">
              <a:solidFill>
                <a:schemeClr val="accent4"/>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'I-WBG-II'!$F$6:$F$57</c:f>
              <c:numCache>
                <c:formatCode>General</c:formatCode>
                <c:ptCount val="52"/>
                <c:pt idx="42" formatCode="0%">
                  <c:v>0.30440993652366682</c:v>
                </c:pt>
                <c:pt idx="43" formatCode="0%">
                  <c:v>0.32943676676593614</c:v>
                </c:pt>
                <c:pt idx="44" formatCode="0%">
                  <c:v>0.42024280702719863</c:v>
                </c:pt>
                <c:pt idx="45" formatCode="0%">
                  <c:v>0.48749995917906941</c:v>
                </c:pt>
                <c:pt idx="46" formatCode="0%">
                  <c:v>0.48552662247113032</c:v>
                </c:pt>
                <c:pt idx="47" formatCode="0%">
                  <c:v>0.46512451735519567</c:v>
                </c:pt>
                <c:pt idx="48" formatCode="0%">
                  <c:v>0.65298272996109741</c:v>
                </c:pt>
                <c:pt idx="49" formatCode="0%">
                  <c:v>0.66943762349595015</c:v>
                </c:pt>
                <c:pt idx="50" formatCode="0%">
                  <c:v>0.6727711893280508</c:v>
                </c:pt>
                <c:pt idx="51" formatCode="0%">
                  <c:v>0.60078569411586269</c:v>
                </c:pt>
              </c:numCache>
            </c:numRef>
          </c:val>
          <c:smooth val="0"/>
          <c:extLst>
            <c:ext xmlns:c16="http://schemas.microsoft.com/office/drawing/2014/chart" uri="{C3380CC4-5D6E-409C-BE32-E72D297353CC}">
              <c16:uniqueId val="{00000003-CAB3-4E6B-8849-F459EA9365B9}"/>
            </c:ext>
          </c:extLst>
        </c:ser>
        <c:dLbls>
          <c:showLegendKey val="0"/>
          <c:showVal val="0"/>
          <c:showCatName val="0"/>
          <c:showSerName val="0"/>
          <c:showPercent val="0"/>
          <c:showBubbleSize val="0"/>
        </c:dLbls>
        <c:smooth val="0"/>
        <c:axId val="289608288"/>
        <c:axId val="289611616"/>
      </c:lineChart>
      <c:catAx>
        <c:axId val="28960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89611616"/>
        <c:crosses val="autoZero"/>
        <c:auto val="1"/>
        <c:lblAlgn val="ctr"/>
        <c:lblOffset val="100"/>
        <c:noMultiLvlLbl val="0"/>
      </c:catAx>
      <c:valAx>
        <c:axId val="2896116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8960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49402098668419"/>
          <c:y val="6.1213619935324336E-2"/>
          <c:w val="0.85663496747224321"/>
          <c:h val="0.44105272460116929"/>
        </c:manualLayout>
      </c:layout>
      <c:lineChart>
        <c:grouping val="standard"/>
        <c:varyColors val="0"/>
        <c:ser>
          <c:idx val="0"/>
          <c:order val="0"/>
          <c:tx>
            <c:strRef>
              <c:f>Data!$C$2</c:f>
              <c:strCache>
                <c:ptCount val="1"/>
                <c:pt idx="0">
                  <c:v>Palestinian exports of goods and services to Israel out of total Palestinian exports</c:v>
                </c:pt>
              </c:strCache>
            </c:strRef>
          </c:tx>
          <c:spPr>
            <a:ln w="28575" cap="rnd">
              <a:solidFill>
                <a:schemeClr val="accent1"/>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Data!$C$3:$C$54</c:f>
              <c:numCache>
                <c:formatCode>0.0%</c:formatCode>
                <c:ptCount val="52"/>
                <c:pt idx="0">
                  <c:v>0.43098591549295778</c:v>
                </c:pt>
                <c:pt idx="1">
                  <c:v>0.36585365853658536</c:v>
                </c:pt>
                <c:pt idx="2">
                  <c:v>0.46238938053097339</c:v>
                </c:pt>
                <c:pt idx="3">
                  <c:v>0.4457478005865102</c:v>
                </c:pt>
                <c:pt idx="4">
                  <c:v>0.48862275449101794</c:v>
                </c:pt>
                <c:pt idx="5">
                  <c:v>0.66105054509415262</c:v>
                </c:pt>
                <c:pt idx="6">
                  <c:v>0.66984343090537779</c:v>
                </c:pt>
                <c:pt idx="7">
                  <c:v>0.63919129082426129</c:v>
                </c:pt>
                <c:pt idx="8">
                  <c:v>0.63000439947206333</c:v>
                </c:pt>
                <c:pt idx="9">
                  <c:v>0.60360360360360354</c:v>
                </c:pt>
                <c:pt idx="10">
                  <c:v>0.59977194982896231</c:v>
                </c:pt>
                <c:pt idx="11">
                  <c:v>0.62246777163904232</c:v>
                </c:pt>
                <c:pt idx="12">
                  <c:v>0.65384615384615385</c:v>
                </c:pt>
                <c:pt idx="13">
                  <c:v>0.71637717121588085</c:v>
                </c:pt>
                <c:pt idx="14">
                  <c:v>0.66180235535074239</c:v>
                </c:pt>
                <c:pt idx="15">
                  <c:v>0.7471174004192872</c:v>
                </c:pt>
                <c:pt idx="16">
                  <c:v>0.64117647058823535</c:v>
                </c:pt>
                <c:pt idx="17">
                  <c:v>0.6655653450807637</c:v>
                </c:pt>
                <c:pt idx="18">
                  <c:v>0.72301211163770407</c:v>
                </c:pt>
                <c:pt idx="19">
                  <c:v>0.78821697378665967</c:v>
                </c:pt>
                <c:pt idx="20">
                  <c:v>0.70813397129186606</c:v>
                </c:pt>
                <c:pt idx="21">
                  <c:v>0.69565217391304346</c:v>
                </c:pt>
                <c:pt idx="22">
                  <c:v>0.79525483304042177</c:v>
                </c:pt>
                <c:pt idx="23">
                  <c:v>0.77554370127205585</c:v>
                </c:pt>
                <c:pt idx="24">
                  <c:v>0.85</c:v>
                </c:pt>
                <c:pt idx="25">
                  <c:v>0.85</c:v>
                </c:pt>
                <c:pt idx="26">
                  <c:v>0.85</c:v>
                </c:pt>
                <c:pt idx="27">
                  <c:v>0.9235216666624384</c:v>
                </c:pt>
                <c:pt idx="28">
                  <c:v>0.9404354841634619</c:v>
                </c:pt>
                <c:pt idx="29">
                  <c:v>0.93709584674182966</c:v>
                </c:pt>
                <c:pt idx="30">
                  <c:v>0.96117726704651052</c:v>
                </c:pt>
                <c:pt idx="31">
                  <c:v>0.96859965350969257</c:v>
                </c:pt>
                <c:pt idx="32">
                  <c:v>0.95535356152419371</c:v>
                </c:pt>
                <c:pt idx="33">
                  <c:v>0.96806175514852733</c:v>
                </c:pt>
                <c:pt idx="34">
                  <c:v>0.94046626140456169</c:v>
                </c:pt>
                <c:pt idx="35">
                  <c:v>0.94086036009710006</c:v>
                </c:pt>
                <c:pt idx="36">
                  <c:v>0.93195032666972655</c:v>
                </c:pt>
                <c:pt idx="37">
                  <c:v>0.92827998500718167</c:v>
                </c:pt>
                <c:pt idx="38">
                  <c:v>0.94165337919339043</c:v>
                </c:pt>
                <c:pt idx="39">
                  <c:v>0.93783764876921372</c:v>
                </c:pt>
                <c:pt idx="40">
                  <c:v>0.93704620022189733</c:v>
                </c:pt>
                <c:pt idx="41">
                  <c:v>0.92995187471100049</c:v>
                </c:pt>
                <c:pt idx="42">
                  <c:v>0.9069147200296237</c:v>
                </c:pt>
                <c:pt idx="43">
                  <c:v>0.91586792521190785</c:v>
                </c:pt>
                <c:pt idx="44">
                  <c:v>0.88907554673425504</c:v>
                </c:pt>
                <c:pt idx="45">
                  <c:v>0.91729630685719032</c:v>
                </c:pt>
                <c:pt idx="46">
                  <c:v>0.90584537140522281</c:v>
                </c:pt>
                <c:pt idx="47">
                  <c:v>0.91467086533146136</c:v>
                </c:pt>
                <c:pt idx="48">
                  <c:v>0.91556491230468284</c:v>
                </c:pt>
                <c:pt idx="49">
                  <c:v>0.91145766038454856</c:v>
                </c:pt>
                <c:pt idx="50">
                  <c:v>0.90836414597658521</c:v>
                </c:pt>
                <c:pt idx="51">
                  <c:v>0.89420318436870339</c:v>
                </c:pt>
              </c:numCache>
            </c:numRef>
          </c:val>
          <c:smooth val="0"/>
          <c:extLst>
            <c:ext xmlns:c16="http://schemas.microsoft.com/office/drawing/2014/chart" uri="{C3380CC4-5D6E-409C-BE32-E72D297353CC}">
              <c16:uniqueId val="{00000000-A6B3-46A2-8ABB-C1BA3320B22C}"/>
            </c:ext>
          </c:extLst>
        </c:ser>
        <c:ser>
          <c:idx val="1"/>
          <c:order val="1"/>
          <c:tx>
            <c:strRef>
              <c:f>Data!$D$2</c:f>
              <c:strCache>
                <c:ptCount val="1"/>
                <c:pt idx="0">
                  <c:v>Palestinian imports of goods and services from Israel out of total Palestinian imports</c:v>
                </c:pt>
              </c:strCache>
            </c:strRef>
          </c:tx>
          <c:spPr>
            <a:ln w="28575" cap="rnd">
              <a:solidFill>
                <a:schemeClr val="accent2"/>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Data!$D$3:$D$54</c:f>
              <c:numCache>
                <c:formatCode>0.0%</c:formatCode>
                <c:ptCount val="52"/>
                <c:pt idx="0">
                  <c:v>0.76537911301859796</c:v>
                </c:pt>
                <c:pt idx="1">
                  <c:v>0.80176211453744495</c:v>
                </c:pt>
                <c:pt idx="2">
                  <c:v>0.83618090452261307</c:v>
                </c:pt>
                <c:pt idx="3">
                  <c:v>0.81665332265812651</c:v>
                </c:pt>
                <c:pt idx="4">
                  <c:v>0.84950859950859947</c:v>
                </c:pt>
                <c:pt idx="5">
                  <c:v>0.90083410565338273</c:v>
                </c:pt>
                <c:pt idx="6">
                  <c:v>0.89223602484472053</c:v>
                </c:pt>
                <c:pt idx="7">
                  <c:v>0.91226345539444587</c:v>
                </c:pt>
                <c:pt idx="8">
                  <c:v>0.90320350311131592</c:v>
                </c:pt>
                <c:pt idx="9">
                  <c:v>0.91382370341155583</c:v>
                </c:pt>
                <c:pt idx="10">
                  <c:v>0.88591487494515142</c:v>
                </c:pt>
                <c:pt idx="11">
                  <c:v>0.86808735470235998</c:v>
                </c:pt>
                <c:pt idx="12">
                  <c:v>0.87631658140234725</c:v>
                </c:pt>
                <c:pt idx="13">
                  <c:v>0.90124796527400963</c:v>
                </c:pt>
                <c:pt idx="14">
                  <c:v>0.8895596103717931</c:v>
                </c:pt>
                <c:pt idx="15">
                  <c:v>0.90800203873598373</c:v>
                </c:pt>
                <c:pt idx="16">
                  <c:v>0.90338093850189438</c:v>
                </c:pt>
                <c:pt idx="17">
                  <c:v>0.89534361431352005</c:v>
                </c:pt>
                <c:pt idx="18">
                  <c:v>0.89640449438202241</c:v>
                </c:pt>
                <c:pt idx="19">
                  <c:v>0.91439307458143071</c:v>
                </c:pt>
                <c:pt idx="20">
                  <c:v>0.88165680473372776</c:v>
                </c:pt>
                <c:pt idx="21">
                  <c:v>0.81613924050632902</c:v>
                </c:pt>
                <c:pt idx="22">
                  <c:v>0.84168051269878952</c:v>
                </c:pt>
                <c:pt idx="23">
                  <c:v>0.86223949134581412</c:v>
                </c:pt>
                <c:pt idx="24">
                  <c:v>0.87139999999999995</c:v>
                </c:pt>
                <c:pt idx="25">
                  <c:v>0.87139999999999995</c:v>
                </c:pt>
                <c:pt idx="26">
                  <c:v>0.87139999999999995</c:v>
                </c:pt>
                <c:pt idx="27">
                  <c:v>0.8807061430197124</c:v>
                </c:pt>
                <c:pt idx="28">
                  <c:v>0.86465356173487762</c:v>
                </c:pt>
                <c:pt idx="29">
                  <c:v>0.82748649855107437</c:v>
                </c:pt>
                <c:pt idx="30">
                  <c:v>0.77180811564134466</c:v>
                </c:pt>
                <c:pt idx="31">
                  <c:v>0.61639774067882158</c:v>
                </c:pt>
                <c:pt idx="32">
                  <c:v>0.73819993886914781</c:v>
                </c:pt>
                <c:pt idx="33">
                  <c:v>0.68388226316604339</c:v>
                </c:pt>
                <c:pt idx="34">
                  <c:v>0.76296625077885383</c:v>
                </c:pt>
                <c:pt idx="35">
                  <c:v>0.7664115842653163</c:v>
                </c:pt>
                <c:pt idx="36">
                  <c:v>0.76997505880338235</c:v>
                </c:pt>
                <c:pt idx="37">
                  <c:v>0.75465190088522771</c:v>
                </c:pt>
                <c:pt idx="38">
                  <c:v>0.77390222608393511</c:v>
                </c:pt>
                <c:pt idx="39">
                  <c:v>0.77567601481751813</c:v>
                </c:pt>
                <c:pt idx="40">
                  <c:v>0.8337530300534427</c:v>
                </c:pt>
                <c:pt idx="41">
                  <c:v>0.77954711083246375</c:v>
                </c:pt>
                <c:pt idx="42">
                  <c:v>0.75347374483781981</c:v>
                </c:pt>
                <c:pt idx="43">
                  <c:v>0.74133790373676756</c:v>
                </c:pt>
                <c:pt idx="44">
                  <c:v>0.75017279375701174</c:v>
                </c:pt>
                <c:pt idx="45">
                  <c:v>0.75576182906968303</c:v>
                </c:pt>
                <c:pt idx="46">
                  <c:v>0.73161685036814961</c:v>
                </c:pt>
                <c:pt idx="47">
                  <c:v>0.65468483399470045</c:v>
                </c:pt>
                <c:pt idx="48">
                  <c:v>0.66022030072953553</c:v>
                </c:pt>
                <c:pt idx="49">
                  <c:v>0.62978327342425844</c:v>
                </c:pt>
                <c:pt idx="50">
                  <c:v>0.60585953799456105</c:v>
                </c:pt>
                <c:pt idx="51">
                  <c:v>0.60151368660305526</c:v>
                </c:pt>
              </c:numCache>
            </c:numRef>
          </c:val>
          <c:smooth val="0"/>
          <c:extLst>
            <c:ext xmlns:c16="http://schemas.microsoft.com/office/drawing/2014/chart" uri="{C3380CC4-5D6E-409C-BE32-E72D297353CC}">
              <c16:uniqueId val="{00000001-A6B3-46A2-8ABB-C1BA3320B22C}"/>
            </c:ext>
          </c:extLst>
        </c:ser>
        <c:ser>
          <c:idx val="2"/>
          <c:order val="2"/>
          <c:tx>
            <c:strRef>
              <c:f>Data!$E$2</c:f>
              <c:strCache>
                <c:ptCount val="1"/>
                <c:pt idx="0">
                  <c:v>Share of Gross clearance revenues out of Total PA net revenues and grants</c:v>
                </c:pt>
              </c:strCache>
            </c:strRef>
          </c:tx>
          <c:spPr>
            <a:ln w="28575" cap="rnd">
              <a:solidFill>
                <a:schemeClr val="accent3"/>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Data!$E$3:$E$54</c:f>
              <c:numCache>
                <c:formatCode>General</c:formatCode>
                <c:ptCount val="52"/>
                <c:pt idx="28" formatCode="0%">
                  <c:v>0.37537638006022084</c:v>
                </c:pt>
                <c:pt idx="29" formatCode="0%">
                  <c:v>0.44258760107816708</c:v>
                </c:pt>
                <c:pt idx="30" formatCode="0%">
                  <c:v>0.49237732253454025</c:v>
                </c:pt>
                <c:pt idx="31" formatCode="0%">
                  <c:v>0.48859934853420195</c:v>
                </c:pt>
                <c:pt idx="32" formatCode="0%">
                  <c:v>0.4051069703243616</c:v>
                </c:pt>
                <c:pt idx="33" formatCode="0%">
                  <c:v>0</c:v>
                </c:pt>
                <c:pt idx="34" formatCode="0%">
                  <c:v>7.29483282674772E-2</c:v>
                </c:pt>
                <c:pt idx="35" formatCode="0%">
                  <c:v>0.34528163862472566</c:v>
                </c:pt>
                <c:pt idx="36" formatCode="0%">
                  <c:v>0.50819672131147542</c:v>
                </c:pt>
                <c:pt idx="37" formatCode="0%">
                  <c:v>0.4456630109670987</c:v>
                </c:pt>
                <c:pt idx="38" formatCode="0%">
                  <c:v>0.19758759333716255</c:v>
                </c:pt>
                <c:pt idx="39" formatCode="0%">
                  <c:v>0.44860449285228049</c:v>
                </c:pt>
                <c:pt idx="40" formatCode="0%">
                  <c:v>0.3025706530416733</c:v>
                </c:pt>
                <c:pt idx="41" formatCode="0%">
                  <c:v>0.36944141914854195</c:v>
                </c:pt>
                <c:pt idx="42" formatCode="0%">
                  <c:v>0.40390090650260174</c:v>
                </c:pt>
                <c:pt idx="43" formatCode="0%">
                  <c:v>0.4716704119274347</c:v>
                </c:pt>
                <c:pt idx="44" formatCode="0%">
                  <c:v>0.49631448768794351</c:v>
                </c:pt>
                <c:pt idx="45" formatCode="0%">
                  <c:v>0.45963662408663936</c:v>
                </c:pt>
                <c:pt idx="46" formatCode="0%">
                  <c:v>0.51081392202123199</c:v>
                </c:pt>
                <c:pt idx="47" formatCode="0%">
                  <c:v>0.55497632956650456</c:v>
                </c:pt>
                <c:pt idx="48" formatCode="0%">
                  <c:v>0.54012915614571522</c:v>
                </c:pt>
                <c:pt idx="49" formatCode="0%">
                  <c:v>0.56794641325385264</c:v>
                </c:pt>
                <c:pt idx="50" formatCode="0%">
                  <c:v>0.54637179000552683</c:v>
                </c:pt>
                <c:pt idx="51" formatCode="0%">
                  <c:v>0.5866581612753935</c:v>
                </c:pt>
              </c:numCache>
            </c:numRef>
          </c:val>
          <c:smooth val="0"/>
          <c:extLst>
            <c:ext xmlns:c16="http://schemas.microsoft.com/office/drawing/2014/chart" uri="{C3380CC4-5D6E-409C-BE32-E72D297353CC}">
              <c16:uniqueId val="{00000002-A6B3-46A2-8ABB-C1BA3320B22C}"/>
            </c:ext>
          </c:extLst>
        </c:ser>
        <c:ser>
          <c:idx val="3"/>
          <c:order val="3"/>
          <c:tx>
            <c:strRef>
              <c:f>Data!$F$2</c:f>
              <c:strCache>
                <c:ptCount val="1"/>
                <c:pt idx="0">
                  <c:v>Palestinians employed in Israel out of total Palestinian employed Individuals</c:v>
                </c:pt>
              </c:strCache>
            </c:strRef>
          </c:tx>
          <c:spPr>
            <a:ln w="28575" cap="rnd">
              <a:solidFill>
                <a:schemeClr val="accent4"/>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Data!$F$3:$F$54</c:f>
              <c:numCache>
                <c:formatCode>0%</c:formatCode>
                <c:ptCount val="52"/>
                <c:pt idx="0">
                  <c:v>0.11886901327178304</c:v>
                </c:pt>
                <c:pt idx="1">
                  <c:v>0.11886901327178304</c:v>
                </c:pt>
                <c:pt idx="2">
                  <c:v>0.11886901327178304</c:v>
                </c:pt>
                <c:pt idx="3">
                  <c:v>0.19241652518392757</c:v>
                </c:pt>
                <c:pt idx="4">
                  <c:v>0.27860169491525422</c:v>
                </c:pt>
                <c:pt idx="5">
                  <c:v>0.31570841889117041</c:v>
                </c:pt>
                <c:pt idx="6">
                  <c:v>0.33016175071360615</c:v>
                </c:pt>
                <c:pt idx="7">
                  <c:v>0.325864588407209</c:v>
                </c:pt>
                <c:pt idx="8">
                  <c:v>0.31765276430649858</c:v>
                </c:pt>
                <c:pt idx="9">
                  <c:v>0.31009263773768897</c:v>
                </c:pt>
                <c:pt idx="10">
                  <c:v>0.32455315145813735</c:v>
                </c:pt>
                <c:pt idx="11">
                  <c:v>0.35194744251525106</c:v>
                </c:pt>
                <c:pt idx="12">
                  <c:v>0.3510392609699769</c:v>
                </c:pt>
                <c:pt idx="13">
                  <c:v>0.35454126325495622</c:v>
                </c:pt>
                <c:pt idx="14">
                  <c:v>0.35880250223413757</c:v>
                </c:pt>
                <c:pt idx="15">
                  <c:v>0.38153846153846155</c:v>
                </c:pt>
                <c:pt idx="16">
                  <c:v>0.3787107718405428</c:v>
                </c:pt>
                <c:pt idx="17">
                  <c:v>0.36926889714993805</c:v>
                </c:pt>
                <c:pt idx="18">
                  <c:v>0.36430223592906713</c:v>
                </c:pt>
                <c:pt idx="19">
                  <c:v>0.39214980194454452</c:v>
                </c:pt>
                <c:pt idx="20">
                  <c:v>0.38808087974459032</c:v>
                </c:pt>
                <c:pt idx="21">
                  <c:v>0.37531305903398926</c:v>
                </c:pt>
                <c:pt idx="22">
                  <c:v>0.36323777403035412</c:v>
                </c:pt>
                <c:pt idx="23">
                  <c:v>0.34017391304347827</c:v>
                </c:pt>
                <c:pt idx="24">
                  <c:v>0.36204196680238016</c:v>
                </c:pt>
                <c:pt idx="25">
                  <c:v>0.2653578214059531</c:v>
                </c:pt>
                <c:pt idx="26">
                  <c:v>0.21367891070297657</c:v>
                </c:pt>
                <c:pt idx="27">
                  <c:v>0.16200000000000001</c:v>
                </c:pt>
                <c:pt idx="28">
                  <c:v>0.14099999999999999</c:v>
                </c:pt>
                <c:pt idx="29">
                  <c:v>0.17100000000000001</c:v>
                </c:pt>
                <c:pt idx="30">
                  <c:v>0.217</c:v>
                </c:pt>
                <c:pt idx="31">
                  <c:v>0.22900000000000001</c:v>
                </c:pt>
                <c:pt idx="32">
                  <c:v>0.188</c:v>
                </c:pt>
                <c:pt idx="33">
                  <c:v>0.125</c:v>
                </c:pt>
                <c:pt idx="34">
                  <c:v>9.3000000000000013E-2</c:v>
                </c:pt>
                <c:pt idx="35">
                  <c:v>8.6999999999999994E-2</c:v>
                </c:pt>
                <c:pt idx="36">
                  <c:v>0.08</c:v>
                </c:pt>
                <c:pt idx="37">
                  <c:v>9.3000000000000013E-2</c:v>
                </c:pt>
                <c:pt idx="38">
                  <c:v>8.5999999999999993E-2</c:v>
                </c:pt>
                <c:pt idx="39">
                  <c:v>8.900000000000001E-2</c:v>
                </c:pt>
                <c:pt idx="40">
                  <c:v>9.9000000000000005E-2</c:v>
                </c:pt>
                <c:pt idx="41">
                  <c:v>0.10099999999999999</c:v>
                </c:pt>
                <c:pt idx="42">
                  <c:v>0.10400000000000001</c:v>
                </c:pt>
                <c:pt idx="43">
                  <c:v>9.8000000000000004E-2</c:v>
                </c:pt>
                <c:pt idx="44">
                  <c:v>9.5000000000000001E-2</c:v>
                </c:pt>
                <c:pt idx="45">
                  <c:v>0.11</c:v>
                </c:pt>
                <c:pt idx="46">
                  <c:v>0.11599999999999999</c:v>
                </c:pt>
                <c:pt idx="47">
                  <c:v>0.115</c:v>
                </c:pt>
                <c:pt idx="48">
                  <c:v>0.11800000000000001</c:v>
                </c:pt>
                <c:pt idx="49">
                  <c:v>0.13</c:v>
                </c:pt>
                <c:pt idx="50">
                  <c:v>0.13300000000000001</c:v>
                </c:pt>
                <c:pt idx="51">
                  <c:v>0.13200000000000001</c:v>
                </c:pt>
              </c:numCache>
            </c:numRef>
          </c:val>
          <c:smooth val="0"/>
          <c:extLst>
            <c:ext xmlns:c16="http://schemas.microsoft.com/office/drawing/2014/chart" uri="{C3380CC4-5D6E-409C-BE32-E72D297353CC}">
              <c16:uniqueId val="{00000003-A6B3-46A2-8ABB-C1BA3320B22C}"/>
            </c:ext>
          </c:extLst>
        </c:ser>
        <c:ser>
          <c:idx val="4"/>
          <c:order val="4"/>
          <c:tx>
            <c:strRef>
              <c:f>Data!$G$2</c:f>
              <c:strCache>
                <c:ptCount val="1"/>
                <c:pt idx="0">
                  <c:v>Remittances of Palestinians workers in Israel out of WBG GNI</c:v>
                </c:pt>
              </c:strCache>
            </c:strRef>
          </c:tx>
          <c:spPr>
            <a:ln w="28575" cap="rnd">
              <a:solidFill>
                <a:schemeClr val="accent5"/>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Data!$G$3:$G$54</c:f>
              <c:numCache>
                <c:formatCode>0%</c:formatCode>
                <c:ptCount val="52"/>
                <c:pt idx="0">
                  <c:v>9.5999999999999992E-3</c:v>
                </c:pt>
                <c:pt idx="1">
                  <c:v>5.9799999999999999E-2</c:v>
                </c:pt>
                <c:pt idx="2">
                  <c:v>0.1096</c:v>
                </c:pt>
                <c:pt idx="3">
                  <c:v>0.16309999999999999</c:v>
                </c:pt>
                <c:pt idx="4">
                  <c:v>0.2258</c:v>
                </c:pt>
                <c:pt idx="5">
                  <c:v>0.24229999999999999</c:v>
                </c:pt>
                <c:pt idx="6">
                  <c:v>0.20880000000000001</c:v>
                </c:pt>
                <c:pt idx="7">
                  <c:v>0.2379</c:v>
                </c:pt>
                <c:pt idx="8">
                  <c:v>0.214</c:v>
                </c:pt>
                <c:pt idx="9">
                  <c:v>0.2185</c:v>
                </c:pt>
                <c:pt idx="10">
                  <c:v>0.2175</c:v>
                </c:pt>
                <c:pt idx="11">
                  <c:v>0.24679999999999999</c:v>
                </c:pt>
                <c:pt idx="12">
                  <c:v>0.2089</c:v>
                </c:pt>
                <c:pt idx="13">
                  <c:v>0.23719999999999999</c:v>
                </c:pt>
                <c:pt idx="14">
                  <c:v>0.26169999999999999</c:v>
                </c:pt>
                <c:pt idx="15">
                  <c:v>0.28149999999999997</c:v>
                </c:pt>
                <c:pt idx="16">
                  <c:v>0.251</c:v>
                </c:pt>
                <c:pt idx="17">
                  <c:v>0.23619999999999999</c:v>
                </c:pt>
                <c:pt idx="18">
                  <c:v>0.24740000000000001</c:v>
                </c:pt>
                <c:pt idx="19">
                  <c:v>0.29959999999999998</c:v>
                </c:pt>
                <c:pt idx="20">
                  <c:v>0.27200000000000002</c:v>
                </c:pt>
                <c:pt idx="21">
                  <c:v>0.26790000000000003</c:v>
                </c:pt>
                <c:pt idx="22">
                  <c:v>0.2631</c:v>
                </c:pt>
                <c:pt idx="23">
                  <c:v>0.26490000000000002</c:v>
                </c:pt>
                <c:pt idx="24">
                  <c:v>0.25979999999999998</c:v>
                </c:pt>
                <c:pt idx="25">
                  <c:v>0.17849999999999999</c:v>
                </c:pt>
                <c:pt idx="26">
                  <c:v>0.1158</c:v>
                </c:pt>
                <c:pt idx="27">
                  <c:v>0.13194659248815699</c:v>
                </c:pt>
                <c:pt idx="28">
                  <c:v>0.11826347455880433</c:v>
                </c:pt>
                <c:pt idx="29">
                  <c:v>0.12147436088143267</c:v>
                </c:pt>
                <c:pt idx="30">
                  <c:v>0.17223285446808623</c:v>
                </c:pt>
                <c:pt idx="31">
                  <c:v>0.16986423873898135</c:v>
                </c:pt>
                <c:pt idx="32">
                  <c:v>9.0701583283185658E-2</c:v>
                </c:pt>
                <c:pt idx="33">
                  <c:v>3.9743678719318942E-2</c:v>
                </c:pt>
                <c:pt idx="34">
                  <c:v>2.6889554136752591E-2</c:v>
                </c:pt>
                <c:pt idx="35">
                  <c:v>3.7790490659197186E-2</c:v>
                </c:pt>
                <c:pt idx="36">
                  <c:v>3.3138078777968663E-2</c:v>
                </c:pt>
                <c:pt idx="37">
                  <c:v>3.8906241437887006E-2</c:v>
                </c:pt>
                <c:pt idx="38">
                  <c:v>4.5036302829714603E-2</c:v>
                </c:pt>
                <c:pt idx="39">
                  <c:v>5.0295997361933326E-2</c:v>
                </c:pt>
                <c:pt idx="40">
                  <c:v>5.5000814362855033E-2</c:v>
                </c:pt>
                <c:pt idx="41">
                  <c:v>4.8469446958620523E-2</c:v>
                </c:pt>
                <c:pt idx="42">
                  <c:v>5.1174055988950064E-2</c:v>
                </c:pt>
                <c:pt idx="43">
                  <c:v>5.5531351586849423E-2</c:v>
                </c:pt>
                <c:pt idx="44">
                  <c:v>5.8380976434841837E-2</c:v>
                </c:pt>
                <c:pt idx="45">
                  <c:v>7.3576908924896767E-2</c:v>
                </c:pt>
                <c:pt idx="46">
                  <c:v>9.2765781428746877E-2</c:v>
                </c:pt>
                <c:pt idx="47">
                  <c:v>0.10524201774966846</c:v>
                </c:pt>
                <c:pt idx="48">
                  <c:v>0.10868095092219571</c:v>
                </c:pt>
                <c:pt idx="49">
                  <c:v>0.11417538478391849</c:v>
                </c:pt>
                <c:pt idx="50">
                  <c:v>0.13741154747979165</c:v>
                </c:pt>
                <c:pt idx="51" formatCode="0.00%">
                  <c:v>0.14608697377099586</c:v>
                </c:pt>
              </c:numCache>
            </c:numRef>
          </c:val>
          <c:smooth val="0"/>
          <c:extLst>
            <c:ext xmlns:c16="http://schemas.microsoft.com/office/drawing/2014/chart" uri="{C3380CC4-5D6E-409C-BE32-E72D297353CC}">
              <c16:uniqueId val="{00000004-A6B3-46A2-8ABB-C1BA3320B22C}"/>
            </c:ext>
          </c:extLst>
        </c:ser>
        <c:dLbls>
          <c:showLegendKey val="0"/>
          <c:showVal val="0"/>
          <c:showCatName val="0"/>
          <c:showSerName val="0"/>
          <c:showPercent val="0"/>
          <c:showBubbleSize val="0"/>
        </c:dLbls>
        <c:smooth val="0"/>
        <c:axId val="1670424191"/>
        <c:axId val="1670425023"/>
      </c:lineChart>
      <c:catAx>
        <c:axId val="1670424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670425023"/>
        <c:crosses val="autoZero"/>
        <c:auto val="1"/>
        <c:lblAlgn val="ctr"/>
        <c:lblOffset val="100"/>
        <c:noMultiLvlLbl val="0"/>
      </c:catAx>
      <c:valAx>
        <c:axId val="167042502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670424191"/>
        <c:crosses val="autoZero"/>
        <c:crossBetween val="between"/>
      </c:valAx>
      <c:spPr>
        <a:noFill/>
        <a:ln>
          <a:noFill/>
        </a:ln>
        <a:effectLst/>
      </c:spPr>
    </c:plotArea>
    <c:legend>
      <c:legendPos val="b"/>
      <c:layout>
        <c:manualLayout>
          <c:xMode val="edge"/>
          <c:yMode val="edge"/>
          <c:x val="9.1842297457930214E-3"/>
          <c:y val="0.61812416590402897"/>
          <c:w val="0.97869189253004407"/>
          <c:h val="0.3818758340959710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86338895063881"/>
          <c:y val="5.9081708788417592E-2"/>
          <c:w val="0.77087635193272852"/>
          <c:h val="0.47411707409550147"/>
        </c:manualLayout>
      </c:layout>
      <c:lineChart>
        <c:grouping val="standard"/>
        <c:varyColors val="0"/>
        <c:ser>
          <c:idx val="0"/>
          <c:order val="0"/>
          <c:tx>
            <c:strRef>
              <c:f>Data!$I$2</c:f>
              <c:strCache>
                <c:ptCount val="1"/>
                <c:pt idx="0">
                  <c:v>Movement of people between Israel and the WB </c:v>
                </c:pt>
              </c:strCache>
            </c:strRef>
          </c:tx>
          <c:spPr>
            <a:ln w="28575" cap="rnd">
              <a:solidFill>
                <a:schemeClr val="accent1"/>
              </a:solidFill>
              <a:round/>
            </a:ln>
            <a:effectLst/>
          </c:spPr>
          <c:marker>
            <c:symbol val="none"/>
          </c:marker>
          <c:cat>
            <c:numRef>
              <c:f>Data!$B$31:$B$54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Data!$I$45:$I$54</c:f>
              <c:numCache>
                <c:formatCode>0%</c:formatCode>
                <c:ptCount val="10"/>
                <c:pt idx="0" formatCode="0.00%">
                  <c:v>0.46707106453143743</c:v>
                </c:pt>
                <c:pt idx="1">
                  <c:v>0.46707106453143743</c:v>
                </c:pt>
                <c:pt idx="2">
                  <c:v>0.55811291018517084</c:v>
                </c:pt>
                <c:pt idx="3">
                  <c:v>0.66845202936464654</c:v>
                </c:pt>
                <c:pt idx="4">
                  <c:v>0.80269489162360541</c:v>
                </c:pt>
                <c:pt idx="5">
                  <c:v>1.0439607138138509</c:v>
                </c:pt>
                <c:pt idx="6">
                  <c:v>1.1795800341969431</c:v>
                </c:pt>
                <c:pt idx="7">
                  <c:v>1.3390967833968221</c:v>
                </c:pt>
                <c:pt idx="8">
                  <c:v>1.4939607847645884</c:v>
                </c:pt>
                <c:pt idx="9">
                  <c:v>1.5739240538280663</c:v>
                </c:pt>
              </c:numCache>
            </c:numRef>
          </c:val>
          <c:smooth val="0"/>
          <c:extLst>
            <c:ext xmlns:c16="http://schemas.microsoft.com/office/drawing/2014/chart" uri="{C3380CC4-5D6E-409C-BE32-E72D297353CC}">
              <c16:uniqueId val="{00000000-AACA-4820-95DB-3E9C6A942426}"/>
            </c:ext>
          </c:extLst>
        </c:ser>
        <c:dLbls>
          <c:showLegendKey val="0"/>
          <c:showVal val="0"/>
          <c:showCatName val="0"/>
          <c:showSerName val="0"/>
          <c:showPercent val="0"/>
          <c:showBubbleSize val="0"/>
        </c:dLbls>
        <c:marker val="1"/>
        <c:smooth val="0"/>
        <c:axId val="136111904"/>
        <c:axId val="136112320"/>
      </c:lineChart>
      <c:lineChart>
        <c:grouping val="standard"/>
        <c:varyColors val="0"/>
        <c:ser>
          <c:idx val="1"/>
          <c:order val="2"/>
          <c:tx>
            <c:strRef>
              <c:f>Data!$H$2</c:f>
              <c:strCache>
                <c:ptCount val="1"/>
                <c:pt idx="0">
                  <c:v>Number of Israeli cars entered the WB </c:v>
                </c:pt>
              </c:strCache>
            </c:strRef>
          </c:tx>
          <c:spPr>
            <a:ln w="28575" cap="rnd">
              <a:solidFill>
                <a:schemeClr val="accent2"/>
              </a:solidFill>
              <a:round/>
            </a:ln>
            <a:effectLst/>
          </c:spPr>
          <c:marker>
            <c:symbol val="none"/>
          </c:marker>
          <c:val>
            <c:numRef>
              <c:f>Data!$H$45:$H$54</c:f>
              <c:numCache>
                <c:formatCode>0%</c:formatCode>
                <c:ptCount val="10"/>
                <c:pt idx="0">
                  <c:v>0.54177102304842051</c:v>
                </c:pt>
                <c:pt idx="1">
                  <c:v>0.54177102304842051</c:v>
                </c:pt>
                <c:pt idx="2">
                  <c:v>0.67248265274792751</c:v>
                </c:pt>
                <c:pt idx="3">
                  <c:v>0.7506299543598367</c:v>
                </c:pt>
                <c:pt idx="4">
                  <c:v>0.77158958688370449</c:v>
                </c:pt>
                <c:pt idx="5">
                  <c:v>0.89263312248418636</c:v>
                </c:pt>
                <c:pt idx="6">
                  <c:v>1.0087465541490859</c:v>
                </c:pt>
                <c:pt idx="7">
                  <c:v>1.0181394069428398</c:v>
                </c:pt>
                <c:pt idx="8">
                  <c:v>0.98638540601625146</c:v>
                </c:pt>
                <c:pt idx="9">
                  <c:v>0.94222362669194715</c:v>
                </c:pt>
              </c:numCache>
            </c:numRef>
          </c:val>
          <c:smooth val="0"/>
          <c:extLst>
            <c:ext xmlns:c16="http://schemas.microsoft.com/office/drawing/2014/chart" uri="{C3380CC4-5D6E-409C-BE32-E72D297353CC}">
              <c16:uniqueId val="{00000001-AACA-4820-95DB-3E9C6A942426}"/>
            </c:ext>
          </c:extLst>
        </c:ser>
        <c:dLbls>
          <c:showLegendKey val="0"/>
          <c:showVal val="0"/>
          <c:showCatName val="0"/>
          <c:showSerName val="0"/>
          <c:showPercent val="0"/>
          <c:showBubbleSize val="0"/>
        </c:dLbls>
        <c:marker val="1"/>
        <c:smooth val="0"/>
        <c:axId val="136111904"/>
        <c:axId val="136112320"/>
      </c:lineChart>
      <c:lineChart>
        <c:grouping val="standard"/>
        <c:varyColors val="0"/>
        <c:ser>
          <c:idx val="2"/>
          <c:order val="1"/>
          <c:tx>
            <c:strRef>
              <c:f>Data!$L$2</c:f>
              <c:strCache>
                <c:ptCount val="1"/>
                <c:pt idx="0">
                  <c:v>Percentage of Israeli guests’ nights in WB Hotels </c:v>
                </c:pt>
              </c:strCache>
            </c:strRef>
          </c:tx>
          <c:spPr>
            <a:ln w="28575" cap="rnd">
              <a:solidFill>
                <a:schemeClr val="accent3"/>
              </a:solidFill>
              <a:round/>
            </a:ln>
            <a:effectLst/>
          </c:spPr>
          <c:marker>
            <c:symbol val="none"/>
          </c:marker>
          <c:cat>
            <c:numRef>
              <c:f>Data!$B$31:$B$54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Data!$L$45:$L$54</c:f>
              <c:numCache>
                <c:formatCode>0.00%</c:formatCode>
                <c:ptCount val="10"/>
                <c:pt idx="0">
                  <c:v>0.06</c:v>
                </c:pt>
                <c:pt idx="1">
                  <c:v>5.8999999999999997E-2</c:v>
                </c:pt>
                <c:pt idx="2">
                  <c:v>8.4000000000000005E-2</c:v>
                </c:pt>
                <c:pt idx="3">
                  <c:v>9.6000000000000002E-2</c:v>
                </c:pt>
                <c:pt idx="4">
                  <c:v>8.8999999999999996E-2</c:v>
                </c:pt>
                <c:pt idx="5">
                  <c:v>2.9000000000000001E-2</c:v>
                </c:pt>
                <c:pt idx="6">
                  <c:v>0.115</c:v>
                </c:pt>
                <c:pt idx="7">
                  <c:v>8.7999999999999995E-2</c:v>
                </c:pt>
                <c:pt idx="8">
                  <c:v>7.5999999999999998E-2</c:v>
                </c:pt>
                <c:pt idx="9">
                  <c:v>6.5000000000000002E-2</c:v>
                </c:pt>
              </c:numCache>
            </c:numRef>
          </c:val>
          <c:smooth val="0"/>
          <c:extLst>
            <c:ext xmlns:c16="http://schemas.microsoft.com/office/drawing/2014/chart" uri="{C3380CC4-5D6E-409C-BE32-E72D297353CC}">
              <c16:uniqueId val="{00000002-AACA-4820-95DB-3E9C6A942426}"/>
            </c:ext>
          </c:extLst>
        </c:ser>
        <c:ser>
          <c:idx val="3"/>
          <c:order val="3"/>
          <c:tx>
            <c:strRef>
              <c:f>Data!$K$2</c:f>
              <c:strCache>
                <c:ptCount val="1"/>
                <c:pt idx="0">
                  <c:v>Percentage of Palestinian households that conducted Outbound Trips to Israel</c:v>
                </c:pt>
              </c:strCache>
            </c:strRef>
          </c:tx>
          <c:spPr>
            <a:ln w="28575" cap="rnd">
              <a:solidFill>
                <a:schemeClr val="accent4"/>
              </a:solidFill>
              <a:round/>
            </a:ln>
            <a:effectLst/>
          </c:spPr>
          <c:marker>
            <c:symbol val="none"/>
          </c:marker>
          <c:val>
            <c:numRef>
              <c:f>Data!$K$45:$K$54</c:f>
              <c:numCache>
                <c:formatCode>0.00%</c:formatCode>
                <c:ptCount val="10"/>
                <c:pt idx="0">
                  <c:v>0.158</c:v>
                </c:pt>
                <c:pt idx="1">
                  <c:v>0.128</c:v>
                </c:pt>
                <c:pt idx="2">
                  <c:v>9.8000000000000004E-2</c:v>
                </c:pt>
                <c:pt idx="3">
                  <c:v>0.111</c:v>
                </c:pt>
                <c:pt idx="4">
                  <c:v>0.124</c:v>
                </c:pt>
                <c:pt idx="5">
                  <c:v>0.19650000000000001</c:v>
                </c:pt>
                <c:pt idx="6">
                  <c:v>0.26900000000000002</c:v>
                </c:pt>
                <c:pt idx="7">
                  <c:v>0.24099999999999999</c:v>
                </c:pt>
                <c:pt idx="8">
                  <c:v>0.21299999999999999</c:v>
                </c:pt>
                <c:pt idx="9">
                  <c:v>0.21299999999999999</c:v>
                </c:pt>
              </c:numCache>
            </c:numRef>
          </c:val>
          <c:smooth val="0"/>
          <c:extLst>
            <c:ext xmlns:c16="http://schemas.microsoft.com/office/drawing/2014/chart" uri="{C3380CC4-5D6E-409C-BE32-E72D297353CC}">
              <c16:uniqueId val="{00000003-AACA-4820-95DB-3E9C6A942426}"/>
            </c:ext>
          </c:extLst>
        </c:ser>
        <c:ser>
          <c:idx val="4"/>
          <c:order val="4"/>
          <c:tx>
            <c:strRef>
              <c:f>Data!$J$2</c:f>
              <c:strCache>
                <c:ptCount val="1"/>
                <c:pt idx="0">
                  <c:v>Percentage of Palestinians entered to Israel for medical treatment</c:v>
                </c:pt>
              </c:strCache>
            </c:strRef>
          </c:tx>
          <c:spPr>
            <a:ln w="28575" cap="rnd">
              <a:solidFill>
                <a:schemeClr val="accent5"/>
              </a:solidFill>
              <a:round/>
            </a:ln>
            <a:effectLst/>
          </c:spPr>
          <c:marker>
            <c:symbol val="none"/>
          </c:marker>
          <c:val>
            <c:numRef>
              <c:f>Data!$J$45:$J$54</c:f>
              <c:numCache>
                <c:formatCode>0.00%</c:formatCode>
                <c:ptCount val="10"/>
                <c:pt idx="0">
                  <c:v>2.7540471909923418E-2</c:v>
                </c:pt>
                <c:pt idx="1">
                  <c:v>2.7540471909923418E-2</c:v>
                </c:pt>
                <c:pt idx="2">
                  <c:v>2.9330514908793737E-2</c:v>
                </c:pt>
                <c:pt idx="3">
                  <c:v>2.6388071314980326E-2</c:v>
                </c:pt>
                <c:pt idx="4">
                  <c:v>2.925442598082003E-2</c:v>
                </c:pt>
                <c:pt idx="5">
                  <c:v>2.5325968389786135E-2</c:v>
                </c:pt>
                <c:pt idx="6">
                  <c:v>2.4564909951648801E-2</c:v>
                </c:pt>
                <c:pt idx="7">
                  <c:v>2.490928186376877E-2</c:v>
                </c:pt>
                <c:pt idx="8">
                  <c:v>2.6219461403408386E-2</c:v>
                </c:pt>
                <c:pt idx="9">
                  <c:v>2.5277109483003886E-2</c:v>
                </c:pt>
              </c:numCache>
            </c:numRef>
          </c:val>
          <c:smooth val="0"/>
          <c:extLst>
            <c:ext xmlns:c16="http://schemas.microsoft.com/office/drawing/2014/chart" uri="{C3380CC4-5D6E-409C-BE32-E72D297353CC}">
              <c16:uniqueId val="{00000004-AACA-4820-95DB-3E9C6A942426}"/>
            </c:ext>
          </c:extLst>
        </c:ser>
        <c:dLbls>
          <c:showLegendKey val="0"/>
          <c:showVal val="0"/>
          <c:showCatName val="0"/>
          <c:showSerName val="0"/>
          <c:showPercent val="0"/>
          <c:showBubbleSize val="0"/>
        </c:dLbls>
        <c:marker val="1"/>
        <c:smooth val="0"/>
        <c:axId val="1754140015"/>
        <c:axId val="1754141679"/>
      </c:lineChart>
      <c:catAx>
        <c:axId val="13611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6112320"/>
        <c:crosses val="autoZero"/>
        <c:auto val="1"/>
        <c:lblAlgn val="ctr"/>
        <c:lblOffset val="100"/>
        <c:noMultiLvlLbl val="0"/>
      </c:catAx>
      <c:valAx>
        <c:axId val="136112320"/>
        <c:scaling>
          <c:orientation val="minMax"/>
          <c:max val="2"/>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6111904"/>
        <c:crosses val="autoZero"/>
        <c:crossBetween val="between"/>
        <c:majorUnit val="0.25"/>
      </c:valAx>
      <c:valAx>
        <c:axId val="1754141679"/>
        <c:scaling>
          <c:orientation val="minMax"/>
          <c:max val="0.30000000000000004"/>
          <c:min val="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54140015"/>
        <c:crosses val="max"/>
        <c:crossBetween val="between"/>
        <c:majorUnit val="5.000000000000001E-2"/>
      </c:valAx>
      <c:catAx>
        <c:axId val="1754140015"/>
        <c:scaling>
          <c:orientation val="minMax"/>
        </c:scaling>
        <c:delete val="1"/>
        <c:axPos val="b"/>
        <c:numFmt formatCode="General" sourceLinked="1"/>
        <c:majorTickMark val="out"/>
        <c:minorTickMark val="none"/>
        <c:tickLblPos val="nextTo"/>
        <c:crossAx val="1754141679"/>
        <c:crosses val="autoZero"/>
        <c:auto val="1"/>
        <c:lblAlgn val="ctr"/>
        <c:lblOffset val="100"/>
        <c:noMultiLvlLbl val="0"/>
      </c:catAx>
      <c:spPr>
        <a:noFill/>
        <a:ln>
          <a:noFill/>
        </a:ln>
        <a:effectLst/>
      </c:spPr>
    </c:plotArea>
    <c:legend>
      <c:legendPos val="b"/>
      <c:layout>
        <c:manualLayout>
          <c:xMode val="edge"/>
          <c:yMode val="edge"/>
          <c:x val="9.4763657997108744E-3"/>
          <c:y val="0.63366672876973806"/>
          <c:w val="0.97977687009320802"/>
          <c:h val="0.3583951912611172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113735783027"/>
          <c:y val="9.7834456280804033E-2"/>
          <c:w val="0.86426640419947509"/>
          <c:h val="0.4487085977827911"/>
        </c:manualLayout>
      </c:layout>
      <c:lineChart>
        <c:grouping val="standard"/>
        <c:varyColors val="0"/>
        <c:ser>
          <c:idx val="0"/>
          <c:order val="0"/>
          <c:tx>
            <c:strRef>
              <c:f>Data!$M$2</c:f>
              <c:strCache>
                <c:ptCount val="1"/>
                <c:pt idx="0">
                  <c:v>Mobile cellular subscriptions ratio </c:v>
                </c:pt>
              </c:strCache>
            </c:strRef>
          </c:tx>
          <c:spPr>
            <a:ln w="28575" cap="rnd">
              <a:solidFill>
                <a:schemeClr val="accent1"/>
              </a:solidFill>
              <a:round/>
            </a:ln>
            <a:effectLst/>
          </c:spPr>
          <c:marker>
            <c:symbol val="none"/>
          </c:marker>
          <c:cat>
            <c:numRef>
              <c:f>Data!$B$35:$B$54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Data!$M$35:$M$54</c:f>
              <c:numCache>
                <c:formatCode>0%</c:formatCode>
                <c:ptCount val="20"/>
                <c:pt idx="0">
                  <c:v>2.9659304544755599E-3</c:v>
                </c:pt>
                <c:pt idx="1">
                  <c:v>5.8567976021917982E-2</c:v>
                </c:pt>
                <c:pt idx="2">
                  <c:v>7.2890683164597722E-2</c:v>
                </c:pt>
                <c:pt idx="3">
                  <c:v>7.2787383164710409E-2</c:v>
                </c:pt>
                <c:pt idx="4">
                  <c:v>0.11032453781315726</c:v>
                </c:pt>
                <c:pt idx="5">
                  <c:v>0.13353013249254811</c:v>
                </c:pt>
                <c:pt idx="6">
                  <c:v>0.17837817966690508</c:v>
                </c:pt>
                <c:pt idx="7">
                  <c:v>0.20915738606710996</c:v>
                </c:pt>
                <c:pt idx="8">
                  <c:v>0.26639852591646718</c:v>
                </c:pt>
                <c:pt idx="9">
                  <c:v>0.362460802509947</c:v>
                </c:pt>
                <c:pt idx="10">
                  <c:v>0.5176355204964973</c:v>
                </c:pt>
                <c:pt idx="11">
                  <c:v>0.56578944480019522</c:v>
                </c:pt>
                <c:pt idx="12">
                  <c:v>0.61005618310757881</c:v>
                </c:pt>
                <c:pt idx="13">
                  <c:v>0.59938943347181339</c:v>
                </c:pt>
                <c:pt idx="14">
                  <c:v>0.59693374930656395</c:v>
                </c:pt>
                <c:pt idx="15">
                  <c:v>0.58847117766601231</c:v>
                </c:pt>
                <c:pt idx="16">
                  <c:v>0.6145081803053235</c:v>
                </c:pt>
                <c:pt idx="17">
                  <c:v>0.65841123538306989</c:v>
                </c:pt>
                <c:pt idx="18">
                  <c:v>0.70479739990772627</c:v>
                </c:pt>
                <c:pt idx="19">
                  <c:v>0.62857991506717059</c:v>
                </c:pt>
              </c:numCache>
            </c:numRef>
          </c:val>
          <c:smooth val="0"/>
          <c:extLst>
            <c:ext xmlns:c16="http://schemas.microsoft.com/office/drawing/2014/chart" uri="{C3380CC4-5D6E-409C-BE32-E72D297353CC}">
              <c16:uniqueId val="{00000000-8931-4754-AFF8-024141A98A1A}"/>
            </c:ext>
          </c:extLst>
        </c:ser>
        <c:ser>
          <c:idx val="1"/>
          <c:order val="1"/>
          <c:tx>
            <c:strRef>
              <c:f>Data!$N$2</c:f>
              <c:strCache>
                <c:ptCount val="1"/>
                <c:pt idx="0">
                  <c:v>Individuals using the Internet ratio </c:v>
                </c:pt>
              </c:strCache>
            </c:strRef>
          </c:tx>
          <c:spPr>
            <a:ln w="28575" cap="rnd">
              <a:solidFill>
                <a:schemeClr val="accent2"/>
              </a:solidFill>
              <a:round/>
            </a:ln>
            <a:effectLst/>
          </c:spPr>
          <c:marker>
            <c:symbol val="none"/>
          </c:marker>
          <c:cat>
            <c:numRef>
              <c:f>Data!$B$35:$B$54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Data!$N$35:$N$54</c:f>
              <c:numCache>
                <c:formatCode>0%</c:formatCode>
                <c:ptCount val="20"/>
                <c:pt idx="0">
                  <c:v>5.3239311452304539E-2</c:v>
                </c:pt>
                <c:pt idx="1">
                  <c:v>0.10569621932078573</c:v>
                </c:pt>
                <c:pt idx="2">
                  <c:v>0.17450955265184578</c:v>
                </c:pt>
                <c:pt idx="3">
                  <c:v>0.21081678996899203</c:v>
                </c:pt>
                <c:pt idx="4">
                  <c:v>0.19327233142226283</c:v>
                </c:pt>
                <c:pt idx="5">
                  <c:v>0.63526923282841719</c:v>
                </c:pt>
                <c:pt idx="6">
                  <c:v>0.66030453834955971</c:v>
                </c:pt>
                <c:pt idx="7">
                  <c:v>0.43999278251431295</c:v>
                </c:pt>
                <c:pt idx="8">
                  <c:v>0.41013638659707025</c:v>
                </c:pt>
                <c:pt idx="9">
                  <c:v>0.51061470215462612</c:v>
                </c:pt>
                <c:pt idx="10">
                  <c:v>0.55407407407407405</c:v>
                </c:pt>
                <c:pt idx="11">
                  <c:v>0.59645254774189604</c:v>
                </c:pt>
                <c:pt idx="12">
                  <c:v>0.61299435028248583</c:v>
                </c:pt>
                <c:pt idx="13">
                  <c:v>0.66334225011224313</c:v>
                </c:pt>
                <c:pt idx="14">
                  <c:v>0.71543065126905492</c:v>
                </c:pt>
                <c:pt idx="15">
                  <c:v>0.74237415773002657</c:v>
                </c:pt>
                <c:pt idx="16">
                  <c:v>0.76806007874530047</c:v>
                </c:pt>
                <c:pt idx="17">
                  <c:v>0.79920389887542698</c:v>
                </c:pt>
                <c:pt idx="18">
                  <c:v>0.76910982516477189</c:v>
                </c:pt>
                <c:pt idx="19">
                  <c:v>0.8137381485375238</c:v>
                </c:pt>
              </c:numCache>
            </c:numRef>
          </c:val>
          <c:smooth val="0"/>
          <c:extLst>
            <c:ext xmlns:c16="http://schemas.microsoft.com/office/drawing/2014/chart" uri="{C3380CC4-5D6E-409C-BE32-E72D297353CC}">
              <c16:uniqueId val="{00000001-8931-4754-AFF8-024141A98A1A}"/>
            </c:ext>
          </c:extLst>
        </c:ser>
        <c:ser>
          <c:idx val="2"/>
          <c:order val="2"/>
          <c:tx>
            <c:strRef>
              <c:f>Data!$O$2</c:f>
              <c:strCache>
                <c:ptCount val="1"/>
                <c:pt idx="0">
                  <c:v>Fixed broadband subscriptions ratio </c:v>
                </c:pt>
              </c:strCache>
            </c:strRef>
          </c:tx>
          <c:spPr>
            <a:ln w="28575" cap="rnd">
              <a:solidFill>
                <a:schemeClr val="accent3"/>
              </a:solidFill>
              <a:round/>
            </a:ln>
            <a:effectLst/>
          </c:spPr>
          <c:marker>
            <c:symbol val="none"/>
          </c:marker>
          <c:cat>
            <c:numRef>
              <c:f>Data!$B$35:$B$54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Data!$O$35:$O$54</c:f>
              <c:numCache>
                <c:formatCode>General</c:formatCode>
                <c:ptCount val="20"/>
                <c:pt idx="10" formatCode="0.00%">
                  <c:v>0.14975907623187198</c:v>
                </c:pt>
                <c:pt idx="11" formatCode="0%">
                  <c:v>0.14975907623187198</c:v>
                </c:pt>
                <c:pt idx="12" formatCode="0%">
                  <c:v>0.17274676014604046</c:v>
                </c:pt>
                <c:pt idx="13" formatCode="0%">
                  <c:v>0.18986348573293516</c:v>
                </c:pt>
                <c:pt idx="14" formatCode="0%">
                  <c:v>0.1956947400489962</c:v>
                </c:pt>
                <c:pt idx="15" formatCode="0%">
                  <c:v>0.22252821743434176</c:v>
                </c:pt>
                <c:pt idx="16" formatCode="0%">
                  <c:v>0.24843274515362487</c:v>
                </c:pt>
                <c:pt idx="17" formatCode="0%">
                  <c:v>0.26684012990060096</c:v>
                </c:pt>
                <c:pt idx="18" formatCode="0%">
                  <c:v>0.25770639655602207</c:v>
                </c:pt>
                <c:pt idx="19" formatCode="0%">
                  <c:v>0.25152384430980212</c:v>
                </c:pt>
              </c:numCache>
            </c:numRef>
          </c:val>
          <c:smooth val="0"/>
          <c:extLst>
            <c:ext xmlns:c16="http://schemas.microsoft.com/office/drawing/2014/chart" uri="{C3380CC4-5D6E-409C-BE32-E72D297353CC}">
              <c16:uniqueId val="{00000002-8931-4754-AFF8-024141A98A1A}"/>
            </c:ext>
          </c:extLst>
        </c:ser>
        <c:ser>
          <c:idx val="3"/>
          <c:order val="3"/>
          <c:tx>
            <c:strRef>
              <c:f>Data!$P$2</c:f>
              <c:strCache>
                <c:ptCount val="1"/>
                <c:pt idx="0">
                  <c:v>Electricity imported from Israel out of total available electricity in the WBG</c:v>
                </c:pt>
              </c:strCache>
            </c:strRef>
          </c:tx>
          <c:spPr>
            <a:ln w="28575" cap="rnd">
              <a:solidFill>
                <a:schemeClr val="accent4"/>
              </a:solidFill>
              <a:round/>
            </a:ln>
            <a:effectLst/>
          </c:spPr>
          <c:marker>
            <c:symbol val="none"/>
          </c:marker>
          <c:cat>
            <c:numRef>
              <c:f>Data!$B$35:$B$54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Data!$P$35:$P$54</c:f>
              <c:numCache>
                <c:formatCode>General</c:formatCode>
                <c:ptCount val="20"/>
                <c:pt idx="4" formatCode="0%">
                  <c:v>0.8679574230739685</c:v>
                </c:pt>
                <c:pt idx="5" formatCode="0%">
                  <c:v>0.85118306962124113</c:v>
                </c:pt>
                <c:pt idx="6" formatCode="0%">
                  <c:v>0.89967167388209313</c:v>
                </c:pt>
                <c:pt idx="7" formatCode="0%">
                  <c:v>0.85308311635155898</c:v>
                </c:pt>
                <c:pt idx="8" formatCode="0%">
                  <c:v>0.85754287919068495</c:v>
                </c:pt>
                <c:pt idx="9" formatCode="0%">
                  <c:v>0.8436745374978728</c:v>
                </c:pt>
                <c:pt idx="10" formatCode="0%">
                  <c:v>0.85610024159308518</c:v>
                </c:pt>
                <c:pt idx="11" formatCode="0%">
                  <c:v>0.85290129989917196</c:v>
                </c:pt>
                <c:pt idx="12" formatCode="0%">
                  <c:v>0.87562221015601893</c:v>
                </c:pt>
                <c:pt idx="13" formatCode="0%">
                  <c:v>0.85127357687443372</c:v>
                </c:pt>
                <c:pt idx="14" formatCode="0%">
                  <c:v>0.88814941701410199</c:v>
                </c:pt>
                <c:pt idx="15" formatCode="0%">
                  <c:v>0.87411687997294063</c:v>
                </c:pt>
                <c:pt idx="16" formatCode="0%">
                  <c:v>0.88428988373783901</c:v>
                </c:pt>
                <c:pt idx="17" formatCode="0%">
                  <c:v>0.89194974909827596</c:v>
                </c:pt>
                <c:pt idx="18" formatCode="0%">
                  <c:v>0.91397883742346542</c:v>
                </c:pt>
                <c:pt idx="19" formatCode="0%">
                  <c:v>0.87210141432837285</c:v>
                </c:pt>
              </c:numCache>
            </c:numRef>
          </c:val>
          <c:smooth val="0"/>
          <c:extLst>
            <c:ext xmlns:c16="http://schemas.microsoft.com/office/drawing/2014/chart" uri="{C3380CC4-5D6E-409C-BE32-E72D297353CC}">
              <c16:uniqueId val="{00000003-8931-4754-AFF8-024141A98A1A}"/>
            </c:ext>
          </c:extLst>
        </c:ser>
        <c:ser>
          <c:idx val="4"/>
          <c:order val="4"/>
          <c:tx>
            <c:strRef>
              <c:f>Data!$Q$2</c:f>
              <c:strCache>
                <c:ptCount val="1"/>
                <c:pt idx="0">
                  <c:v>Water Purchased from Israel out of available water quantity in the WBG</c:v>
                </c:pt>
              </c:strCache>
            </c:strRef>
          </c:tx>
          <c:spPr>
            <a:ln w="28575" cap="rnd">
              <a:solidFill>
                <a:schemeClr val="accent5"/>
              </a:solidFill>
              <a:round/>
            </a:ln>
            <a:effectLst/>
          </c:spPr>
          <c:marker>
            <c:symbol val="none"/>
          </c:marker>
          <c:cat>
            <c:numRef>
              <c:f>Data!$B$35:$B$54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Data!$Q$35:$Q$54</c:f>
              <c:numCache>
                <c:formatCode>0.00%</c:formatCode>
                <c:ptCount val="20"/>
                <c:pt idx="0">
                  <c:v>0.13735788076412536</c:v>
                </c:pt>
                <c:pt idx="1">
                  <c:v>0.15165915608357233</c:v>
                </c:pt>
                <c:pt idx="2">
                  <c:v>0.13715326902465166</c:v>
                </c:pt>
                <c:pt idx="3">
                  <c:v>0.1405037812330831</c:v>
                </c:pt>
                <c:pt idx="4">
                  <c:v>0.14385429344151451</c:v>
                </c:pt>
                <c:pt idx="5">
                  <c:v>0.13376015228426394</c:v>
                </c:pt>
                <c:pt idx="6">
                  <c:v>0.13760576621748666</c:v>
                </c:pt>
                <c:pt idx="7">
                  <c:v>0.14741264162194395</c:v>
                </c:pt>
                <c:pt idx="8">
                  <c:v>0.17110204081632652</c:v>
                </c:pt>
                <c:pt idx="9">
                  <c:v>0.16930379746835442</c:v>
                </c:pt>
                <c:pt idx="10">
                  <c:v>0.18212020537601931</c:v>
                </c:pt>
                <c:pt idx="11">
                  <c:v>0.17598024081506639</c:v>
                </c:pt>
                <c:pt idx="12">
                  <c:v>0.16208476517754869</c:v>
                </c:pt>
                <c:pt idx="13">
                  <c:v>0.17309269893355209</c:v>
                </c:pt>
                <c:pt idx="14">
                  <c:v>0.18529325941056318</c:v>
                </c:pt>
                <c:pt idx="15">
                  <c:v>0.19217081850533807</c:v>
                </c:pt>
                <c:pt idx="16">
                  <c:v>0.21754675467546752</c:v>
                </c:pt>
                <c:pt idx="17">
                  <c:v>0.22174840085287847</c:v>
                </c:pt>
                <c:pt idx="18">
                  <c:v>0.22002567394094993</c:v>
                </c:pt>
                <c:pt idx="19">
                  <c:v>0.20148360851878441</c:v>
                </c:pt>
              </c:numCache>
            </c:numRef>
          </c:val>
          <c:smooth val="0"/>
          <c:extLst>
            <c:ext xmlns:c16="http://schemas.microsoft.com/office/drawing/2014/chart" uri="{C3380CC4-5D6E-409C-BE32-E72D297353CC}">
              <c16:uniqueId val="{00000004-8931-4754-AFF8-024141A98A1A}"/>
            </c:ext>
          </c:extLst>
        </c:ser>
        <c:dLbls>
          <c:showLegendKey val="0"/>
          <c:showVal val="0"/>
          <c:showCatName val="0"/>
          <c:showSerName val="0"/>
          <c:showPercent val="0"/>
          <c:showBubbleSize val="0"/>
        </c:dLbls>
        <c:smooth val="0"/>
        <c:axId val="136151008"/>
        <c:axId val="136143936"/>
      </c:lineChart>
      <c:catAx>
        <c:axId val="13615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6143936"/>
        <c:crosses val="autoZero"/>
        <c:auto val="1"/>
        <c:lblAlgn val="ctr"/>
        <c:lblOffset val="100"/>
        <c:noMultiLvlLbl val="0"/>
      </c:catAx>
      <c:valAx>
        <c:axId val="136143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6151008"/>
        <c:crosses val="autoZero"/>
        <c:crossBetween val="between"/>
      </c:valAx>
      <c:spPr>
        <a:noFill/>
        <a:ln>
          <a:noFill/>
        </a:ln>
        <a:effectLst/>
      </c:spPr>
    </c:plotArea>
    <c:legend>
      <c:legendPos val="b"/>
      <c:layout>
        <c:manualLayout>
          <c:xMode val="edge"/>
          <c:yMode val="edge"/>
          <c:x val="8.0486566451920788E-2"/>
          <c:y val="0.6952625386474367"/>
          <c:w val="0.87212541159627777"/>
          <c:h val="0.29646139524699655"/>
        </c:manualLayout>
      </c:layout>
      <c:overlay val="1"/>
      <c:spPr>
        <a:noFill/>
        <a:ln>
          <a:noFill/>
        </a:ln>
        <a:effectLst/>
      </c:spPr>
      <c:txPr>
        <a:bodyPr rot="0" spcFirstLastPara="1" vertOverflow="ellipsis" vert="horz" wrap="square" anchor="b" anchorCtr="0"/>
        <a:lstStyle/>
        <a:p>
          <a:pPr>
            <a:defRPr lang="en-US"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150481189851261E-2"/>
          <c:y val="8.7220903893862584E-2"/>
          <c:w val="0.89768132108486431"/>
          <c:h val="0.5163502678603531"/>
        </c:manualLayout>
      </c:layout>
      <c:lineChart>
        <c:grouping val="standard"/>
        <c:varyColors val="0"/>
        <c:ser>
          <c:idx val="0"/>
          <c:order val="0"/>
          <c:tx>
            <c:strRef>
              <c:f>Data!$S$2</c:f>
              <c:strCache>
                <c:ptCount val="1"/>
                <c:pt idx="0">
                  <c:v>Share of NIS credit in the Palestinian banking system</c:v>
                </c:pt>
              </c:strCache>
            </c:strRef>
          </c:tx>
          <c:spPr>
            <a:ln w="28575" cap="rnd">
              <a:solidFill>
                <a:schemeClr val="accent1"/>
              </a:solidFill>
              <a:round/>
            </a:ln>
            <a:effectLst/>
          </c:spPr>
          <c:marker>
            <c:symbol val="none"/>
          </c:marker>
          <c:cat>
            <c:numRef>
              <c:f>Data!$B$31:$B$54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Data!$S$31:$S$54</c:f>
              <c:numCache>
                <c:formatCode>0%</c:formatCode>
                <c:ptCount val="24"/>
                <c:pt idx="0">
                  <c:v>0.30301294136989104</c:v>
                </c:pt>
                <c:pt idx="1">
                  <c:v>0.30558175797217191</c:v>
                </c:pt>
                <c:pt idx="2">
                  <c:v>0.24680580148860648</c:v>
                </c:pt>
                <c:pt idx="3">
                  <c:v>0.20811678149267288</c:v>
                </c:pt>
                <c:pt idx="4">
                  <c:v>0.23220817787597869</c:v>
                </c:pt>
                <c:pt idx="5">
                  <c:v>0.18989629076370687</c:v>
                </c:pt>
                <c:pt idx="6">
                  <c:v>0.17615212566389807</c:v>
                </c:pt>
                <c:pt idx="7">
                  <c:v>0.22798429799465778</c:v>
                </c:pt>
                <c:pt idx="8">
                  <c:v>0.27933357713514118</c:v>
                </c:pt>
                <c:pt idx="9">
                  <c:v>0.16791950512880746</c:v>
                </c:pt>
                <c:pt idx="10">
                  <c:v>0.1710648089764861</c:v>
                </c:pt>
                <c:pt idx="11">
                  <c:v>0.19737949573701682</c:v>
                </c:pt>
                <c:pt idx="12">
                  <c:v>0.25942207622424518</c:v>
                </c:pt>
                <c:pt idx="13">
                  <c:v>0.25914787149975027</c:v>
                </c:pt>
                <c:pt idx="14">
                  <c:v>0.30032199435950369</c:v>
                </c:pt>
                <c:pt idx="15">
                  <c:v>0.24322832916994483</c:v>
                </c:pt>
                <c:pt idx="16">
                  <c:v>0.32568278552879648</c:v>
                </c:pt>
                <c:pt idx="17">
                  <c:v>0.33720921605011817</c:v>
                </c:pt>
                <c:pt idx="18">
                  <c:v>0.2949001624583778</c:v>
                </c:pt>
                <c:pt idx="19">
                  <c:v>0.34072810230518757</c:v>
                </c:pt>
                <c:pt idx="20">
                  <c:v>0.35811555182192306</c:v>
                </c:pt>
                <c:pt idx="21">
                  <c:v>0.39654397956535864</c:v>
                </c:pt>
                <c:pt idx="22">
                  <c:v>0.3675462956419262</c:v>
                </c:pt>
                <c:pt idx="23">
                  <c:v>0.40459489946763127</c:v>
                </c:pt>
              </c:numCache>
            </c:numRef>
          </c:val>
          <c:smooth val="0"/>
          <c:extLst>
            <c:ext xmlns:c16="http://schemas.microsoft.com/office/drawing/2014/chart" uri="{C3380CC4-5D6E-409C-BE32-E72D297353CC}">
              <c16:uniqueId val="{00000000-8C22-4365-877E-2E78C4545B07}"/>
            </c:ext>
          </c:extLst>
        </c:ser>
        <c:ser>
          <c:idx val="1"/>
          <c:order val="1"/>
          <c:tx>
            <c:strRef>
              <c:f>Data!$U$2</c:f>
              <c:strCache>
                <c:ptCount val="1"/>
                <c:pt idx="0">
                  <c:v>Checks and Money transfers volume out of WBG GNI </c:v>
                </c:pt>
              </c:strCache>
            </c:strRef>
          </c:tx>
          <c:spPr>
            <a:ln w="28575" cap="rnd">
              <a:solidFill>
                <a:schemeClr val="accent2"/>
              </a:solidFill>
              <a:round/>
            </a:ln>
            <a:effectLst/>
          </c:spPr>
          <c:marker>
            <c:symbol val="none"/>
          </c:marker>
          <c:cat>
            <c:numRef>
              <c:f>Data!$B$31:$B$54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Data!$U$31:$U$54</c:f>
              <c:numCache>
                <c:formatCode>General</c:formatCode>
                <c:ptCount val="24"/>
                <c:pt idx="14" formatCode="0%">
                  <c:v>0.86608919676130658</c:v>
                </c:pt>
                <c:pt idx="15" formatCode="0%">
                  <c:v>0.60518448921977408</c:v>
                </c:pt>
                <c:pt idx="16" formatCode="0%">
                  <c:v>0.64582259281668508</c:v>
                </c:pt>
                <c:pt idx="17" formatCode="0%">
                  <c:v>0.66352960079558221</c:v>
                </c:pt>
                <c:pt idx="18" formatCode="0%">
                  <c:v>0.6448206022416022</c:v>
                </c:pt>
                <c:pt idx="19" formatCode="0%">
                  <c:v>0.60455452161554946</c:v>
                </c:pt>
                <c:pt idx="20" formatCode="0%">
                  <c:v>0.67195078037199296</c:v>
                </c:pt>
                <c:pt idx="21" formatCode="0%">
                  <c:v>0.6840764491610577</c:v>
                </c:pt>
                <c:pt idx="22" formatCode="0%">
                  <c:v>0.53602795603840747</c:v>
                </c:pt>
                <c:pt idx="23" formatCode="0%">
                  <c:v>0.58115171562185408</c:v>
                </c:pt>
              </c:numCache>
            </c:numRef>
          </c:val>
          <c:smooth val="0"/>
          <c:extLst>
            <c:ext xmlns:c16="http://schemas.microsoft.com/office/drawing/2014/chart" uri="{C3380CC4-5D6E-409C-BE32-E72D297353CC}">
              <c16:uniqueId val="{00000001-8C22-4365-877E-2E78C4545B07}"/>
            </c:ext>
          </c:extLst>
        </c:ser>
        <c:ser>
          <c:idx val="2"/>
          <c:order val="2"/>
          <c:tx>
            <c:strRef>
              <c:f>Data!$V$2</c:f>
              <c:strCache>
                <c:ptCount val="1"/>
                <c:pt idx="0">
                  <c:v>Share of NIS checks presented for clearing in the Palestinian banking system </c:v>
                </c:pt>
              </c:strCache>
            </c:strRef>
          </c:tx>
          <c:spPr>
            <a:ln w="28575" cap="rnd">
              <a:solidFill>
                <a:schemeClr val="accent3"/>
              </a:solidFill>
              <a:round/>
            </a:ln>
            <a:effectLst/>
          </c:spPr>
          <c:marker>
            <c:symbol val="none"/>
          </c:marker>
          <c:cat>
            <c:numRef>
              <c:f>Data!$B$31:$B$54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Data!$V$31:$V$54</c:f>
              <c:numCache>
                <c:formatCode>General</c:formatCode>
                <c:ptCount val="24"/>
                <c:pt idx="2" formatCode="0%">
                  <c:v>0.57198433649786529</c:v>
                </c:pt>
                <c:pt idx="3" formatCode="0%">
                  <c:v>0.66559243223139797</c:v>
                </c:pt>
                <c:pt idx="4" formatCode="0%">
                  <c:v>0.66449981814583292</c:v>
                </c:pt>
                <c:pt idx="5" formatCode="0%">
                  <c:v>0.66276335187461777</c:v>
                </c:pt>
                <c:pt idx="6" formatCode="0%">
                  <c:v>0.62566153757024878</c:v>
                </c:pt>
                <c:pt idx="7" formatCode="0%">
                  <c:v>0.62101806080361188</c:v>
                </c:pt>
                <c:pt idx="8" formatCode="0%">
                  <c:v>0.65135256034562139</c:v>
                </c:pt>
                <c:pt idx="9" formatCode="0%">
                  <c:v>0.60726341780106818</c:v>
                </c:pt>
                <c:pt idx="10" formatCode="0%">
                  <c:v>0.65497163169527806</c:v>
                </c:pt>
                <c:pt idx="11" formatCode="0%">
                  <c:v>0.66469055707226676</c:v>
                </c:pt>
                <c:pt idx="12" formatCode="0%">
                  <c:v>0.69606192825820168</c:v>
                </c:pt>
                <c:pt idx="13" formatCode="0%">
                  <c:v>0.68544757459132433</c:v>
                </c:pt>
                <c:pt idx="14" formatCode="0%">
                  <c:v>0.69873773688670737</c:v>
                </c:pt>
                <c:pt idx="15" formatCode="0%">
                  <c:v>0.67263610392688178</c:v>
                </c:pt>
                <c:pt idx="16" formatCode="0%">
                  <c:v>0.73092509697357355</c:v>
                </c:pt>
                <c:pt idx="17" formatCode="0%">
                  <c:v>0.73080842957835046</c:v>
                </c:pt>
                <c:pt idx="18" formatCode="0%">
                  <c:v>0.73577341116967832</c:v>
                </c:pt>
                <c:pt idx="19" formatCode="0%">
                  <c:v>0.74018257404805032</c:v>
                </c:pt>
                <c:pt idx="20" formatCode="0%">
                  <c:v>0.73477063487248873</c:v>
                </c:pt>
                <c:pt idx="21" formatCode="0%">
                  <c:v>0.75122344369221206</c:v>
                </c:pt>
                <c:pt idx="22" formatCode="0%">
                  <c:v>0.77697988083013425</c:v>
                </c:pt>
                <c:pt idx="23" formatCode="0%">
                  <c:v>0.80016302914713067</c:v>
                </c:pt>
              </c:numCache>
            </c:numRef>
          </c:val>
          <c:smooth val="0"/>
          <c:extLst>
            <c:ext xmlns:c16="http://schemas.microsoft.com/office/drawing/2014/chart" uri="{C3380CC4-5D6E-409C-BE32-E72D297353CC}">
              <c16:uniqueId val="{00000002-8C22-4365-877E-2E78C4545B07}"/>
            </c:ext>
          </c:extLst>
        </c:ser>
        <c:ser>
          <c:idx val="3"/>
          <c:order val="3"/>
          <c:tx>
            <c:strRef>
              <c:f>Data!$T$2</c:f>
              <c:strCache>
                <c:ptCount val="1"/>
                <c:pt idx="0">
                  <c:v>Excess NIS cash deposited in Israel out of total NIS circulation</c:v>
                </c:pt>
              </c:strCache>
            </c:strRef>
          </c:tx>
          <c:spPr>
            <a:ln w="28575" cap="rnd">
              <a:solidFill>
                <a:schemeClr val="accent4"/>
              </a:solidFill>
              <a:round/>
            </a:ln>
            <a:effectLst/>
          </c:spPr>
          <c:marker>
            <c:symbol val="none"/>
          </c:marker>
          <c:val>
            <c:numRef>
              <c:f>Data!$T$31:$T$54</c:f>
              <c:numCache>
                <c:formatCode>General</c:formatCode>
                <c:ptCount val="24"/>
                <c:pt idx="14" formatCode="0%">
                  <c:v>0.10260299333080543</c:v>
                </c:pt>
                <c:pt idx="15" formatCode="0%">
                  <c:v>0.10862783528306895</c:v>
                </c:pt>
                <c:pt idx="16" formatCode="0%">
                  <c:v>0.10594818615011044</c:v>
                </c:pt>
                <c:pt idx="17" formatCode="0%">
                  <c:v>0.16685205784204671</c:v>
                </c:pt>
                <c:pt idx="18" formatCode="0%">
                  <c:v>0.14241858404278887</c:v>
                </c:pt>
                <c:pt idx="19" formatCode="0%">
                  <c:v>0.11838828636357451</c:v>
                </c:pt>
                <c:pt idx="20" formatCode="0%">
                  <c:v>0.16316726432003126</c:v>
                </c:pt>
                <c:pt idx="21" formatCode="0%">
                  <c:v>0.15449745748278629</c:v>
                </c:pt>
                <c:pt idx="22" formatCode="0%">
                  <c:v>0.16886187098953057</c:v>
                </c:pt>
                <c:pt idx="23" formatCode="0%">
                  <c:v>0.19511986969189474</c:v>
                </c:pt>
              </c:numCache>
            </c:numRef>
          </c:val>
          <c:smooth val="0"/>
          <c:extLst>
            <c:ext xmlns:c16="http://schemas.microsoft.com/office/drawing/2014/chart" uri="{C3380CC4-5D6E-409C-BE32-E72D297353CC}">
              <c16:uniqueId val="{00000003-8C22-4365-877E-2E78C4545B07}"/>
            </c:ext>
          </c:extLst>
        </c:ser>
        <c:ser>
          <c:idx val="4"/>
          <c:order val="4"/>
          <c:tx>
            <c:strRef>
              <c:f>Data!$R$2</c:f>
              <c:strCache>
                <c:ptCount val="1"/>
                <c:pt idx="0">
                  <c:v>Share of NIS deposits in the Palestinian banking system</c:v>
                </c:pt>
              </c:strCache>
            </c:strRef>
          </c:tx>
          <c:spPr>
            <a:ln w="28575" cap="rnd">
              <a:solidFill>
                <a:schemeClr val="accent5"/>
              </a:solidFill>
              <a:round/>
            </a:ln>
            <a:effectLst/>
          </c:spPr>
          <c:marker>
            <c:symbol val="none"/>
          </c:marker>
          <c:val>
            <c:numRef>
              <c:f>Data!$R$31:$R$54</c:f>
              <c:numCache>
                <c:formatCode>General</c:formatCode>
                <c:ptCount val="24"/>
                <c:pt idx="10" formatCode="0%">
                  <c:v>0.14350137545693084</c:v>
                </c:pt>
                <c:pt idx="11" formatCode="0%">
                  <c:v>0.1791625297263465</c:v>
                </c:pt>
                <c:pt idx="12" formatCode="0%">
                  <c:v>0.22077113551526745</c:v>
                </c:pt>
                <c:pt idx="13" formatCode="0%">
                  <c:v>0.23278484810822905</c:v>
                </c:pt>
                <c:pt idx="14" formatCode="0%">
                  <c:v>0.25415798765355541</c:v>
                </c:pt>
                <c:pt idx="15" formatCode="0%">
                  <c:v>0.30345025308503126</c:v>
                </c:pt>
                <c:pt idx="16" formatCode="0%">
                  <c:v>0.31046974735922339</c:v>
                </c:pt>
                <c:pt idx="17" formatCode="0%">
                  <c:v>0.29021664757846366</c:v>
                </c:pt>
                <c:pt idx="18" formatCode="0%">
                  <c:v>0.30785293344989373</c:v>
                </c:pt>
                <c:pt idx="19" formatCode="0%">
                  <c:v>0.33452443817382577</c:v>
                </c:pt>
                <c:pt idx="20" formatCode="0%">
                  <c:v>0.33063448954752372</c:v>
                </c:pt>
                <c:pt idx="21" formatCode="0%">
                  <c:v>0.33715241413900704</c:v>
                </c:pt>
                <c:pt idx="22" formatCode="0%">
                  <c:v>0.36460946980352943</c:v>
                </c:pt>
                <c:pt idx="23" formatCode="0%">
                  <c:v>0.3590562847523921</c:v>
                </c:pt>
              </c:numCache>
            </c:numRef>
          </c:val>
          <c:smooth val="0"/>
          <c:extLst>
            <c:ext xmlns:c16="http://schemas.microsoft.com/office/drawing/2014/chart" uri="{C3380CC4-5D6E-409C-BE32-E72D297353CC}">
              <c16:uniqueId val="{00000004-8C22-4365-877E-2E78C4545B07}"/>
            </c:ext>
          </c:extLst>
        </c:ser>
        <c:dLbls>
          <c:showLegendKey val="0"/>
          <c:showVal val="0"/>
          <c:showCatName val="0"/>
          <c:showSerName val="0"/>
          <c:showPercent val="0"/>
          <c:showBubbleSize val="0"/>
        </c:dLbls>
        <c:smooth val="0"/>
        <c:axId val="1632719935"/>
        <c:axId val="1632724511"/>
      </c:lineChart>
      <c:catAx>
        <c:axId val="1632719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632724511"/>
        <c:crosses val="autoZero"/>
        <c:auto val="1"/>
        <c:lblAlgn val="ctr"/>
        <c:lblOffset val="100"/>
        <c:noMultiLvlLbl val="0"/>
      </c:catAx>
      <c:valAx>
        <c:axId val="1632724511"/>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632719935"/>
        <c:crosses val="autoZero"/>
        <c:crossBetween val="between"/>
        <c:majorUnit val="0.2"/>
        <c:minorUnit val="0.2"/>
      </c:valAx>
      <c:spPr>
        <a:noFill/>
        <a:ln>
          <a:noFill/>
        </a:ln>
        <a:effectLst/>
      </c:spPr>
    </c:plotArea>
    <c:legend>
      <c:legendPos val="b"/>
      <c:layout>
        <c:manualLayout>
          <c:xMode val="edge"/>
          <c:yMode val="edge"/>
          <c:x val="8.3813510652940529E-2"/>
          <c:y val="0.71923594112068823"/>
          <c:w val="0.83237297869411897"/>
          <c:h val="0.256127010772727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'Index 1968-2019'!$K$59</c:f>
              <c:strCache>
                <c:ptCount val="1"/>
                <c:pt idx="0">
                  <c:v>Trade</c:v>
                </c:pt>
              </c:strCache>
            </c:strRef>
          </c:tx>
          <c:spPr>
            <a:ln w="28575" cap="rnd">
              <a:solidFill>
                <a:schemeClr val="accent2"/>
              </a:solidFill>
              <a:round/>
            </a:ln>
            <a:effectLst/>
          </c:spPr>
          <c:marker>
            <c:symbol val="none"/>
          </c:marker>
          <c:cat>
            <c:numRef>
              <c:f>'Index 1968-2019'!$I$60:$I$111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1968-2019'!$K$60:$K$111</c:f>
              <c:numCache>
                <c:formatCode>0.00%</c:formatCode>
                <c:ptCount val="52"/>
                <c:pt idx="0">
                  <c:v>0.31589637089043915</c:v>
                </c:pt>
                <c:pt idx="1">
                  <c:v>0.32000898050246923</c:v>
                </c:pt>
                <c:pt idx="2">
                  <c:v>0.45509220469338302</c:v>
                </c:pt>
                <c:pt idx="3">
                  <c:v>0.41008115596896133</c:v>
                </c:pt>
                <c:pt idx="4">
                  <c:v>0.49815220925181941</c:v>
                </c:pt>
                <c:pt idx="5">
                  <c:v>0.72320864415927932</c:v>
                </c:pt>
                <c:pt idx="6">
                  <c:v>0.71676241869093804</c:v>
                </c:pt>
                <c:pt idx="7">
                  <c:v>0.72334037311504074</c:v>
                </c:pt>
                <c:pt idx="8">
                  <c:v>0.70124116207588183</c:v>
                </c:pt>
                <c:pt idx="9">
                  <c:v>0.69631244575993401</c:v>
                </c:pt>
                <c:pt idx="10">
                  <c:v>0.6485339685274718</c:v>
                </c:pt>
                <c:pt idx="11">
                  <c:v>0.63887154351302922</c:v>
                </c:pt>
                <c:pt idx="12">
                  <c:v>0.67805186422346941</c:v>
                </c:pt>
                <c:pt idx="13">
                  <c:v>0.76976549048587728</c:v>
                </c:pt>
                <c:pt idx="14">
                  <c:v>0.70581497977644536</c:v>
                </c:pt>
                <c:pt idx="15">
                  <c:v>0.80605905655896115</c:v>
                </c:pt>
                <c:pt idx="16">
                  <c:v>0.71079235887825987</c:v>
                </c:pt>
                <c:pt idx="17">
                  <c:v>0.71817970303280576</c:v>
                </c:pt>
                <c:pt idx="18">
                  <c:v>0.76752926135333688</c:v>
                </c:pt>
                <c:pt idx="19">
                  <c:v>0.85036592426378177</c:v>
                </c:pt>
                <c:pt idx="20">
                  <c:v>0.73161960474179244</c:v>
                </c:pt>
                <c:pt idx="21">
                  <c:v>0.61656450274020735</c:v>
                </c:pt>
                <c:pt idx="22">
                  <c:v>0.74000505913047743</c:v>
                </c:pt>
                <c:pt idx="23">
                  <c:v>0.75650842856500011</c:v>
                </c:pt>
                <c:pt idx="24">
                  <c:v>0.83291171178497159</c:v>
                </c:pt>
                <c:pt idx="25">
                  <c:v>0.83291171178497159</c:v>
                </c:pt>
                <c:pt idx="26">
                  <c:v>0.83291171178497159</c:v>
                </c:pt>
                <c:pt idx="27">
                  <c:v>0.90877241572515177</c:v>
                </c:pt>
                <c:pt idx="28">
                  <c:v>0.89715006395798258</c:v>
                </c:pt>
                <c:pt idx="29">
                  <c:v>0.83498451886556069</c:v>
                </c:pt>
                <c:pt idx="30">
                  <c:v>0.76598355344017777</c:v>
                </c:pt>
                <c:pt idx="31">
                  <c:v>0.52378560980309818</c:v>
                </c:pt>
                <c:pt idx="32">
                  <c:v>0.70744469600174142</c:v>
                </c:pt>
                <c:pt idx="33">
                  <c:v>0.63118371181363353</c:v>
                </c:pt>
                <c:pt idx="34">
                  <c:v>0.73467318196131681</c:v>
                </c:pt>
                <c:pt idx="35">
                  <c:v>0.74050595058883717</c:v>
                </c:pt>
                <c:pt idx="36">
                  <c:v>0.73880939545784285</c:v>
                </c:pt>
                <c:pt idx="37">
                  <c:v>0.71127738784136096</c:v>
                </c:pt>
                <c:pt idx="38">
                  <c:v>0.75313428336616539</c:v>
                </c:pt>
                <c:pt idx="39">
                  <c:v>0.75280361508496829</c:v>
                </c:pt>
                <c:pt idx="40">
                  <c:v>0.84495762788558437</c:v>
                </c:pt>
                <c:pt idx="41">
                  <c:v>0.75244831836399895</c:v>
                </c:pt>
                <c:pt idx="42">
                  <c:v>0.69167134980716793</c:v>
                </c:pt>
                <c:pt idx="43">
                  <c:v>0.67970456234125554</c:v>
                </c:pt>
                <c:pt idx="44">
                  <c:v>0.67159798108252278</c:v>
                </c:pt>
                <c:pt idx="45">
                  <c:v>0.70393975403405451</c:v>
                </c:pt>
                <c:pt idx="46">
                  <c:v>0.65585565939413204</c:v>
                </c:pt>
                <c:pt idx="47">
                  <c:v>0.54023476207949406</c:v>
                </c:pt>
                <c:pt idx="48">
                  <c:v>0.54982241432404122</c:v>
                </c:pt>
                <c:pt idx="49">
                  <c:v>0.49777510512487921</c:v>
                </c:pt>
                <c:pt idx="50">
                  <c:v>0.45697735901594289</c:v>
                </c:pt>
                <c:pt idx="51">
                  <c:v>0.43828538906815967</c:v>
                </c:pt>
              </c:numCache>
            </c:numRef>
          </c:val>
          <c:smooth val="0"/>
          <c:extLst>
            <c:ext xmlns:c16="http://schemas.microsoft.com/office/drawing/2014/chart" uri="{C3380CC4-5D6E-409C-BE32-E72D297353CC}">
              <c16:uniqueId val="{00000000-B0BF-4B9B-BCC6-9090CEC1AEF1}"/>
            </c:ext>
          </c:extLst>
        </c:ser>
        <c:ser>
          <c:idx val="2"/>
          <c:order val="1"/>
          <c:tx>
            <c:strRef>
              <c:f>'Index 1968-2019'!$L$59</c:f>
              <c:strCache>
                <c:ptCount val="1"/>
                <c:pt idx="0">
                  <c:v>Employment</c:v>
                </c:pt>
              </c:strCache>
            </c:strRef>
          </c:tx>
          <c:spPr>
            <a:ln w="28575" cap="rnd">
              <a:solidFill>
                <a:schemeClr val="accent3"/>
              </a:solidFill>
              <a:round/>
            </a:ln>
            <a:effectLst/>
          </c:spPr>
          <c:marker>
            <c:symbol val="none"/>
          </c:marker>
          <c:cat>
            <c:numRef>
              <c:f>'Index 1968-2019'!$I$60:$I$111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1968-2019'!$L$60:$L$111</c:f>
              <c:numCache>
                <c:formatCode>0.00%</c:formatCode>
                <c:ptCount val="52"/>
                <c:pt idx="0">
                  <c:v>6.2260192109121447E-2</c:v>
                </c:pt>
                <c:pt idx="1">
                  <c:v>0.14881191624705231</c:v>
                </c:pt>
                <c:pt idx="2">
                  <c:v>0.23467398521256941</c:v>
                </c:pt>
                <c:pt idx="3">
                  <c:v>0.44472340324979892</c:v>
                </c:pt>
                <c:pt idx="4">
                  <c:v>0.69087782768267614</c:v>
                </c:pt>
                <c:pt idx="5">
                  <c:v>0.77876346942606078</c:v>
                </c:pt>
                <c:pt idx="6">
                  <c:v>0.74415612375307783</c:v>
                </c:pt>
                <c:pt idx="7">
                  <c:v>0.78744536433955437</c:v>
                </c:pt>
                <c:pt idx="8">
                  <c:v>0.73308480879212579</c:v>
                </c:pt>
                <c:pt idx="9">
                  <c:v>0.72873365635087772</c:v>
                </c:pt>
                <c:pt idx="10">
                  <c:v>0.75017229736502655</c:v>
                </c:pt>
                <c:pt idx="11">
                  <c:v>0.8445695778897413</c:v>
                </c:pt>
                <c:pt idx="12">
                  <c:v>0.77777002962196329</c:v>
                </c:pt>
                <c:pt idx="13">
                  <c:v>0.83217262290999472</c:v>
                </c:pt>
                <c:pt idx="14">
                  <c:v>0.88123963362012869</c:v>
                </c:pt>
                <c:pt idx="15">
                  <c:v>0.9517959111707549</c:v>
                </c:pt>
                <c:pt idx="16">
                  <c:v>0.8946803249821077</c:v>
                </c:pt>
                <c:pt idx="17">
                  <c:v>0.85403913569095136</c:v>
                </c:pt>
                <c:pt idx="18">
                  <c:v>0.86539390728105503</c:v>
                </c:pt>
                <c:pt idx="19">
                  <c:v>1</c:v>
                </c:pt>
                <c:pt idx="20">
                  <c:v>0.9458962137639666</c:v>
                </c:pt>
                <c:pt idx="21">
                  <c:v>0.91837581654460076</c:v>
                </c:pt>
                <c:pt idx="22">
                  <c:v>0.8907578230239861</c:v>
                </c:pt>
                <c:pt idx="23">
                  <c:v>0.85691769349970381</c:v>
                </c:pt>
                <c:pt idx="24">
                  <c:v>0.88315272978221482</c:v>
                </c:pt>
                <c:pt idx="25">
                  <c:v>0.58811213283773522</c:v>
                </c:pt>
                <c:pt idx="26">
                  <c:v>0.39722966246888847</c:v>
                </c:pt>
                <c:pt idx="27">
                  <c:v>0.34228959294169137</c:v>
                </c:pt>
                <c:pt idx="28">
                  <c:v>0.28506031476706084</c:v>
                </c:pt>
                <c:pt idx="29">
                  <c:v>0.33865017643645218</c:v>
                </c:pt>
                <c:pt idx="30">
                  <c:v>0.49984739172944415</c:v>
                </c:pt>
                <c:pt idx="31">
                  <c:v>0.51498511181417284</c:v>
                </c:pt>
                <c:pt idx="32">
                  <c:v>0.3128241787714009</c:v>
                </c:pt>
                <c:pt idx="33">
                  <c:v>0.12405263601335656</c:v>
                </c:pt>
                <c:pt idx="34">
                  <c:v>5.0632911430782718E-2</c:v>
                </c:pt>
                <c:pt idx="35">
                  <c:v>5.9816859419266906E-2</c:v>
                </c:pt>
                <c:pt idx="36">
                  <c:v>4.058289444477349E-2</c:v>
                </c:pt>
                <c:pt idx="37">
                  <c:v>7.1351337812048901E-2</c:v>
                </c:pt>
                <c:pt idx="38">
                  <c:v>7.0707843997996997E-2</c:v>
                </c:pt>
                <c:pt idx="39">
                  <c:v>8.4581667923480763E-2</c:v>
                </c:pt>
                <c:pt idx="40">
                  <c:v>0.10871137162944841</c:v>
                </c:pt>
                <c:pt idx="41">
                  <c:v>0.100653983397506</c:v>
                </c:pt>
                <c:pt idx="42">
                  <c:v>0.11012248749214636</c:v>
                </c:pt>
                <c:pt idx="43">
                  <c:v>0.1080242959555526</c:v>
                </c:pt>
                <c:pt idx="44">
                  <c:v>0.1081320571683639</c:v>
                </c:pt>
                <c:pt idx="45">
                  <c:v>0.15835886615606082</c:v>
                </c:pt>
                <c:pt idx="46">
                  <c:v>0.20105389924739492</c:v>
                </c:pt>
                <c:pt idx="47">
                  <c:v>0.22096285649923564</c:v>
                </c:pt>
                <c:pt idx="48">
                  <c:v>0.2316974367011134</c:v>
                </c:pt>
                <c:pt idx="49">
                  <c:v>0.26039213883899309</c:v>
                </c:pt>
                <c:pt idx="50">
                  <c:v>0.30525987339146721</c:v>
                </c:pt>
                <c:pt idx="51">
                  <c:v>0.31861570990241589</c:v>
                </c:pt>
              </c:numCache>
            </c:numRef>
          </c:val>
          <c:smooth val="0"/>
          <c:extLst>
            <c:ext xmlns:c16="http://schemas.microsoft.com/office/drawing/2014/chart" uri="{C3380CC4-5D6E-409C-BE32-E72D297353CC}">
              <c16:uniqueId val="{00000001-B0BF-4B9B-BCC6-9090CEC1AEF1}"/>
            </c:ext>
          </c:extLst>
        </c:ser>
        <c:ser>
          <c:idx val="3"/>
          <c:order val="2"/>
          <c:tx>
            <c:strRef>
              <c:f>'Index 1968-2019'!$M$59</c:f>
              <c:strCache>
                <c:ptCount val="1"/>
                <c:pt idx="0">
                  <c:v>Wealth and standard of living</c:v>
                </c:pt>
              </c:strCache>
            </c:strRef>
          </c:tx>
          <c:spPr>
            <a:ln w="28575" cap="rnd">
              <a:solidFill>
                <a:schemeClr val="accent4"/>
              </a:solidFill>
              <a:round/>
            </a:ln>
            <a:effectLst/>
          </c:spPr>
          <c:marker>
            <c:symbol val="none"/>
          </c:marker>
          <c:cat>
            <c:numRef>
              <c:f>'Index 1968-2019'!$I$60:$I$111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1968-2019'!$M$60:$M$111</c:f>
              <c:numCache>
                <c:formatCode>0.00%</c:formatCode>
                <c:ptCount val="52"/>
                <c:pt idx="0">
                  <c:v>0.11604488382678521</c:v>
                </c:pt>
                <c:pt idx="1">
                  <c:v>0.12065101669568012</c:v>
                </c:pt>
                <c:pt idx="2">
                  <c:v>0.19978717022418002</c:v>
                </c:pt>
                <c:pt idx="3">
                  <c:v>0.26530393910287081</c:v>
                </c:pt>
                <c:pt idx="4">
                  <c:v>0.32097593126676338</c:v>
                </c:pt>
                <c:pt idx="5">
                  <c:v>0.26939544995047748</c:v>
                </c:pt>
                <c:pt idx="6">
                  <c:v>0.41917910254916624</c:v>
                </c:pt>
                <c:pt idx="7">
                  <c:v>0.45639808146851679</c:v>
                </c:pt>
                <c:pt idx="8">
                  <c:v>0.62578280196484926</c:v>
                </c:pt>
                <c:pt idx="9">
                  <c:v>0.62652834245877109</c:v>
                </c:pt>
                <c:pt idx="10">
                  <c:v>0.68394024462481362</c:v>
                </c:pt>
                <c:pt idx="11">
                  <c:v>0.58102502386172972</c:v>
                </c:pt>
                <c:pt idx="12">
                  <c:v>0.79596400968079561</c:v>
                </c:pt>
                <c:pt idx="13">
                  <c:v>0.68353274465149527</c:v>
                </c:pt>
                <c:pt idx="14">
                  <c:v>0.7339363169188633</c:v>
                </c:pt>
                <c:pt idx="15">
                  <c:v>0.64756179285669568</c:v>
                </c:pt>
                <c:pt idx="16">
                  <c:v>0.80968336409492814</c:v>
                </c:pt>
                <c:pt idx="17">
                  <c:v>0.73864821683037307</c:v>
                </c:pt>
                <c:pt idx="18">
                  <c:v>0.73368241617092034</c:v>
                </c:pt>
                <c:pt idx="19">
                  <c:v>0.57738225621389416</c:v>
                </c:pt>
                <c:pt idx="20">
                  <c:v>0.48469780867464707</c:v>
                </c:pt>
                <c:pt idx="21">
                  <c:v>0.41862652037765957</c:v>
                </c:pt>
                <c:pt idx="22">
                  <c:v>0.53241892308218319</c:v>
                </c:pt>
                <c:pt idx="23">
                  <c:v>0.44516320155105316</c:v>
                </c:pt>
                <c:pt idx="24">
                  <c:v>0.54077128701538157</c:v>
                </c:pt>
                <c:pt idx="25">
                  <c:v>0.59801189703519309</c:v>
                </c:pt>
                <c:pt idx="26">
                  <c:v>0.58583762638208725</c:v>
                </c:pt>
                <c:pt idx="27">
                  <c:v>0.48843011987108609</c:v>
                </c:pt>
                <c:pt idx="28">
                  <c:v>0.38337682874976087</c:v>
                </c:pt>
                <c:pt idx="29">
                  <c:v>0.45417997380259068</c:v>
                </c:pt>
                <c:pt idx="30">
                  <c:v>0.54687742605269296</c:v>
                </c:pt>
                <c:pt idx="31">
                  <c:v>0.62775512905599951</c:v>
                </c:pt>
                <c:pt idx="32">
                  <c:v>0.46112074533824149</c:v>
                </c:pt>
                <c:pt idx="33">
                  <c:v>0.38567998299076778</c:v>
                </c:pt>
                <c:pt idx="34">
                  <c:v>0.24374925782385834</c:v>
                </c:pt>
                <c:pt idx="35">
                  <c:v>0.31217059397198565</c:v>
                </c:pt>
                <c:pt idx="36">
                  <c:v>0.45517599880601056</c:v>
                </c:pt>
                <c:pt idx="37">
                  <c:v>0.52731182604222182</c:v>
                </c:pt>
                <c:pt idx="38">
                  <c:v>0.46788089790048248</c:v>
                </c:pt>
                <c:pt idx="39">
                  <c:v>0.43875937723061376</c:v>
                </c:pt>
                <c:pt idx="40">
                  <c:v>0.46283713446650959</c:v>
                </c:pt>
                <c:pt idx="41">
                  <c:v>0.52497933078798287</c:v>
                </c:pt>
                <c:pt idx="42">
                  <c:v>0.48751110080106169</c:v>
                </c:pt>
                <c:pt idx="43">
                  <c:v>0.51924830838703251</c:v>
                </c:pt>
                <c:pt idx="44">
                  <c:v>0.5577694142254549</c:v>
                </c:pt>
                <c:pt idx="45">
                  <c:v>0.53898614981241477</c:v>
                </c:pt>
                <c:pt idx="46">
                  <c:v>0.48225634651498506</c:v>
                </c:pt>
                <c:pt idx="47">
                  <c:v>0.47533960802430997</c:v>
                </c:pt>
                <c:pt idx="48">
                  <c:v>0.50536665454446161</c:v>
                </c:pt>
                <c:pt idx="49">
                  <c:v>0.47614964620418321</c:v>
                </c:pt>
                <c:pt idx="50">
                  <c:v>0.44935682117809878</c:v>
                </c:pt>
                <c:pt idx="51">
                  <c:v>0.42135497817502054</c:v>
                </c:pt>
              </c:numCache>
            </c:numRef>
          </c:val>
          <c:smooth val="0"/>
          <c:extLst>
            <c:ext xmlns:c16="http://schemas.microsoft.com/office/drawing/2014/chart" uri="{C3380CC4-5D6E-409C-BE32-E72D297353CC}">
              <c16:uniqueId val="{00000002-B0BF-4B9B-BCC6-9090CEC1AEF1}"/>
            </c:ext>
          </c:extLst>
        </c:ser>
        <c:dLbls>
          <c:showLegendKey val="0"/>
          <c:showVal val="0"/>
          <c:showCatName val="0"/>
          <c:showSerName val="0"/>
          <c:showPercent val="0"/>
          <c:showBubbleSize val="0"/>
        </c:dLbls>
        <c:smooth val="0"/>
        <c:axId val="1961729743"/>
        <c:axId val="1961720591"/>
      </c:lineChart>
      <c:catAx>
        <c:axId val="196172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961720591"/>
        <c:crosses val="autoZero"/>
        <c:auto val="1"/>
        <c:lblAlgn val="ctr"/>
        <c:lblOffset val="100"/>
        <c:noMultiLvlLbl val="0"/>
      </c:catAx>
      <c:valAx>
        <c:axId val="196172059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961729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Data!$W$2</c:f>
              <c:strCache>
                <c:ptCount val="1"/>
                <c:pt idx="0">
                  <c:v>GDP per Capita Ratio </c:v>
                </c:pt>
              </c:strCache>
            </c:strRef>
          </c:tx>
          <c:spPr>
            <a:ln w="28575" cap="rnd">
              <a:solidFill>
                <a:schemeClr val="accent1"/>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Data!$W$3:$W$54</c:f>
              <c:numCache>
                <c:formatCode>0.00%</c:formatCode>
                <c:ptCount val="52"/>
                <c:pt idx="0">
                  <c:v>5.0624450978225009E-2</c:v>
                </c:pt>
                <c:pt idx="1">
                  <c:v>5.0989358125178678E-2</c:v>
                </c:pt>
                <c:pt idx="2">
                  <c:v>5.7258684005893137E-2</c:v>
                </c:pt>
                <c:pt idx="3">
                  <c:v>5.922579072422731E-2</c:v>
                </c:pt>
                <c:pt idx="4">
                  <c:v>6.1950551943390296E-2</c:v>
                </c:pt>
                <c:pt idx="5">
                  <c:v>5.6138953466801825E-2</c:v>
                </c:pt>
                <c:pt idx="6">
                  <c:v>6.5336911090350391E-2</c:v>
                </c:pt>
                <c:pt idx="7">
                  <c:v>6.3284252537899113E-2</c:v>
                </c:pt>
                <c:pt idx="8">
                  <c:v>7.3726568864484143E-2</c:v>
                </c:pt>
                <c:pt idx="9">
                  <c:v>7.2360686942051167E-2</c:v>
                </c:pt>
                <c:pt idx="10">
                  <c:v>7.7585015316708375E-2</c:v>
                </c:pt>
                <c:pt idx="11">
                  <c:v>7.4465996666475728E-2</c:v>
                </c:pt>
                <c:pt idx="12">
                  <c:v>8.5454418146876515E-2</c:v>
                </c:pt>
                <c:pt idx="13">
                  <c:v>7.6176843024664001E-2</c:v>
                </c:pt>
                <c:pt idx="14">
                  <c:v>7.9942426415266582E-2</c:v>
                </c:pt>
                <c:pt idx="15">
                  <c:v>7.3394890859206738E-2</c:v>
                </c:pt>
                <c:pt idx="16">
                  <c:v>7.5158192419774769E-2</c:v>
                </c:pt>
                <c:pt idx="17">
                  <c:v>7.0745551023928946E-2</c:v>
                </c:pt>
                <c:pt idx="18">
                  <c:v>7.9723857643997045E-2</c:v>
                </c:pt>
                <c:pt idx="19">
                  <c:v>7.1323379990092625E-2</c:v>
                </c:pt>
                <c:pt idx="20">
                  <c:v>6.8189068330206104E-2</c:v>
                </c:pt>
                <c:pt idx="21">
                  <c:v>6.7540325591603861E-2</c:v>
                </c:pt>
                <c:pt idx="22">
                  <c:v>7.4904162219637041E-2</c:v>
                </c:pt>
                <c:pt idx="23">
                  <c:v>6.6103656823440438E-2</c:v>
                </c:pt>
                <c:pt idx="24">
                  <c:v>7.4741486455714171E-2</c:v>
                </c:pt>
                <c:pt idx="25">
                  <c:v>7.7920715856427208E-2</c:v>
                </c:pt>
                <c:pt idx="26">
                  <c:v>8.0389206546284717E-2</c:v>
                </c:pt>
                <c:pt idx="27">
                  <c:v>7.6401075415845704E-2</c:v>
                </c:pt>
                <c:pt idx="28">
                  <c:v>7.2266355201821092E-2</c:v>
                </c:pt>
                <c:pt idx="29">
                  <c:v>7.8169824540276531E-2</c:v>
                </c:pt>
                <c:pt idx="30">
                  <c:v>8.577555691112293E-2</c:v>
                </c:pt>
                <c:pt idx="31">
                  <c:v>9.0064781295973159E-2</c:v>
                </c:pt>
                <c:pt idx="32">
                  <c:v>7.6711456940689329E-2</c:v>
                </c:pt>
                <c:pt idx="33">
                  <c:v>6.9349013681044389E-2</c:v>
                </c:pt>
                <c:pt idx="34">
                  <c:v>6.0369282118377464E-2</c:v>
                </c:pt>
                <c:pt idx="35">
                  <c:v>6.7659837533479067E-2</c:v>
                </c:pt>
                <c:pt idx="36">
                  <c:v>7.8558821716930932E-2</c:v>
                </c:pt>
                <c:pt idx="37">
                  <c:v>8.3473385207076506E-2</c:v>
                </c:pt>
                <c:pt idx="38">
                  <c:v>7.767134688068128E-2</c:v>
                </c:pt>
                <c:pt idx="39">
                  <c:v>7.5622066985429517E-2</c:v>
                </c:pt>
                <c:pt idx="40">
                  <c:v>7.8111504687220015E-2</c:v>
                </c:pt>
                <c:pt idx="41">
                  <c:v>8.3814081223698308E-2</c:v>
                </c:pt>
                <c:pt idx="42">
                  <c:v>8.3309751914044688E-2</c:v>
                </c:pt>
                <c:pt idx="43">
                  <c:v>8.6551791521162449E-2</c:v>
                </c:pt>
                <c:pt idx="44">
                  <c:v>8.9244937372383995E-2</c:v>
                </c:pt>
                <c:pt idx="45">
                  <c:v>8.923815647907947E-2</c:v>
                </c:pt>
                <c:pt idx="46">
                  <c:v>8.5506334043813331E-2</c:v>
                </c:pt>
                <c:pt idx="47">
                  <c:v>8.6435046016019562E-2</c:v>
                </c:pt>
                <c:pt idx="48">
                  <c:v>9.0235460619074823E-2</c:v>
                </c:pt>
                <c:pt idx="49">
                  <c:v>8.8345987430787851E-2</c:v>
                </c:pt>
                <c:pt idx="50">
                  <c:v>8.5921920658068932E-2</c:v>
                </c:pt>
                <c:pt idx="51">
                  <c:v>8.3316884199913371E-2</c:v>
                </c:pt>
              </c:numCache>
            </c:numRef>
          </c:val>
          <c:smooth val="0"/>
          <c:extLst>
            <c:ext xmlns:c16="http://schemas.microsoft.com/office/drawing/2014/chart" uri="{C3380CC4-5D6E-409C-BE32-E72D297353CC}">
              <c16:uniqueId val="{00000000-25B8-4954-9C09-84552AB6A77C}"/>
            </c:ext>
          </c:extLst>
        </c:ser>
        <c:ser>
          <c:idx val="1"/>
          <c:order val="1"/>
          <c:tx>
            <c:strRef>
              <c:f>Data!$X$2</c:f>
              <c:strCache>
                <c:ptCount val="1"/>
                <c:pt idx="0">
                  <c:v>Price level ratio </c:v>
                </c:pt>
              </c:strCache>
            </c:strRef>
          </c:tx>
          <c:spPr>
            <a:ln w="28575" cap="rnd">
              <a:solidFill>
                <a:schemeClr val="accent2"/>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Data!$X$3:$X$54</c:f>
              <c:numCache>
                <c:formatCode>General</c:formatCode>
                <c:ptCount val="52"/>
                <c:pt idx="26" formatCode="0.00%">
                  <c:v>0.67141267241303393</c:v>
                </c:pt>
                <c:pt idx="27" formatCode="0.00%">
                  <c:v>0.6635493433243882</c:v>
                </c:pt>
                <c:pt idx="28" formatCode="0.00%">
                  <c:v>0.65274042938111076</c:v>
                </c:pt>
                <c:pt idx="29" formatCode="0.00%">
                  <c:v>0.62638123614061858</c:v>
                </c:pt>
                <c:pt idx="30" formatCode="0.00%">
                  <c:v>0.6110098656314662</c:v>
                </c:pt>
                <c:pt idx="31" formatCode="0.00%">
                  <c:v>0.60760856967076182</c:v>
                </c:pt>
                <c:pt idx="32" formatCode="0.00%">
                  <c:v>0.65832108891133934</c:v>
                </c:pt>
                <c:pt idx="33" formatCode="0.00%">
                  <c:v>0.68288034416896193</c:v>
                </c:pt>
                <c:pt idx="34" formatCode="0.00%">
                  <c:v>0.76074330497404807</c:v>
                </c:pt>
                <c:pt idx="35" formatCode="0.00%">
                  <c:v>0.67047641254095303</c:v>
                </c:pt>
                <c:pt idx="36" formatCode="0.00%">
                  <c:v>0.62712596785665742</c:v>
                </c:pt>
                <c:pt idx="37" formatCode="0.00%">
                  <c:v>0.57990887987785256</c:v>
                </c:pt>
                <c:pt idx="38" formatCode="0.00%">
                  <c:v>0.57793846442613184</c:v>
                </c:pt>
                <c:pt idx="39" formatCode="0.00%">
                  <c:v>0.5527692447460687</c:v>
                </c:pt>
                <c:pt idx="40" formatCode="0.00%">
                  <c:v>0.53384703704968361</c:v>
                </c:pt>
                <c:pt idx="41" formatCode="0.00%">
                  <c:v>0.57681449283959596</c:v>
                </c:pt>
                <c:pt idx="42" formatCode="0.00%">
                  <c:v>0.61116730830344124</c:v>
                </c:pt>
                <c:pt idx="43" formatCode="0.00%">
                  <c:v>0.60955906592507791</c:v>
                </c:pt>
                <c:pt idx="44" formatCode="0.00%">
                  <c:v>0.59655283794236302</c:v>
                </c:pt>
                <c:pt idx="45" formatCode="0.00%">
                  <c:v>0.6085547164797166</c:v>
                </c:pt>
                <c:pt idx="46" formatCode="0.00%">
                  <c:v>0.55239390338254113</c:v>
                </c:pt>
                <c:pt idx="47" formatCode="0.00%">
                  <c:v>0.54434086051730113</c:v>
                </c:pt>
                <c:pt idx="48" formatCode="0.00%">
                  <c:v>0.56714709732007929</c:v>
                </c:pt>
                <c:pt idx="49" formatCode="0.00%">
                  <c:v>0.5426030826286925</c:v>
                </c:pt>
                <c:pt idx="50" formatCode="0.00%">
                  <c:v>0.53262184902131049</c:v>
                </c:pt>
                <c:pt idx="51" formatCode="0.00%">
                  <c:v>0.54061601191794917</c:v>
                </c:pt>
              </c:numCache>
            </c:numRef>
          </c:val>
          <c:smooth val="0"/>
          <c:extLst>
            <c:ext xmlns:c16="http://schemas.microsoft.com/office/drawing/2014/chart" uri="{C3380CC4-5D6E-409C-BE32-E72D297353CC}">
              <c16:uniqueId val="{00000001-25B8-4954-9C09-84552AB6A77C}"/>
            </c:ext>
          </c:extLst>
        </c:ser>
        <c:ser>
          <c:idx val="2"/>
          <c:order val="2"/>
          <c:tx>
            <c:strRef>
              <c:f>Data!$Y$2</c:f>
              <c:strCache>
                <c:ptCount val="1"/>
                <c:pt idx="0">
                  <c:v>Market capitilazation Ratio </c:v>
                </c:pt>
              </c:strCache>
            </c:strRef>
          </c:tx>
          <c:spPr>
            <a:ln w="28575" cap="rnd">
              <a:solidFill>
                <a:schemeClr val="accent3"/>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Data!$Y$3:$Y$54</c:f>
              <c:numCache>
                <c:formatCode>General</c:formatCode>
                <c:ptCount val="52"/>
                <c:pt idx="31" formatCode="0.00%">
                  <c:v>9.2293920403082579E-3</c:v>
                </c:pt>
                <c:pt idx="32" formatCode="0.00%">
                  <c:v>6.7887350448556944E-3</c:v>
                </c:pt>
                <c:pt idx="33" formatCode="0.00%">
                  <c:v>8.8858147139739638E-3</c:v>
                </c:pt>
                <c:pt idx="34" formatCode="0.00%">
                  <c:v>9.9296321728152368E-3</c:v>
                </c:pt>
                <c:pt idx="35" formatCode="0.00%">
                  <c:v>6.5724123994250457E-3</c:v>
                </c:pt>
                <c:pt idx="36" formatCode="0.00%">
                  <c:v>8.4634415186772803E-3</c:v>
                </c:pt>
                <c:pt idx="37" formatCode="0.00%">
                  <c:v>2.5791837078664975E-2</c:v>
                </c:pt>
                <c:pt idx="38" formatCode="0.00%">
                  <c:v>1.1954116118456402E-2</c:v>
                </c:pt>
                <c:pt idx="39" formatCode="0.00%">
                  <c:v>7.4591040668625973E-3</c:v>
                </c:pt>
                <c:pt idx="40" formatCode="0.00%">
                  <c:v>1.6902981845839486E-2</c:v>
                </c:pt>
                <c:pt idx="41" formatCode="0.00%">
                  <c:v>1.2585762282239704E-2</c:v>
                </c:pt>
                <c:pt idx="42" formatCode="0.00%">
                  <c:v>1.0763397209161247E-2</c:v>
                </c:pt>
                <c:pt idx="43" formatCode="0.00%">
                  <c:v>1.7729666974961235E-2</c:v>
                </c:pt>
                <c:pt idx="44" formatCode="0.00%">
                  <c:v>1.7664771066138757E-2</c:v>
                </c:pt>
                <c:pt idx="45" formatCode="0.00%">
                  <c:v>1.5973725703247912E-2</c:v>
                </c:pt>
                <c:pt idx="46" formatCode="0.00%">
                  <c:v>1.5894577528715998E-2</c:v>
                </c:pt>
                <c:pt idx="47" formatCode="0.00%">
                  <c:v>1.3690650341971059E-2</c:v>
                </c:pt>
                <c:pt idx="48" formatCode="0.00%">
                  <c:v>1.58428957281086E-2</c:v>
                </c:pt>
                <c:pt idx="49" formatCode="0.00%">
                  <c:v>1.6842721856633207E-2</c:v>
                </c:pt>
                <c:pt idx="50" formatCode="0.00%">
                  <c:v>1.9923143560659405E-2</c:v>
                </c:pt>
                <c:pt idx="51" formatCode="0.00%">
                  <c:v>1.582963996131628E-2</c:v>
                </c:pt>
              </c:numCache>
            </c:numRef>
          </c:val>
          <c:smooth val="0"/>
          <c:extLst>
            <c:ext xmlns:c16="http://schemas.microsoft.com/office/drawing/2014/chart" uri="{C3380CC4-5D6E-409C-BE32-E72D297353CC}">
              <c16:uniqueId val="{00000002-25B8-4954-9C09-84552AB6A77C}"/>
            </c:ext>
          </c:extLst>
        </c:ser>
        <c:ser>
          <c:idx val="3"/>
          <c:order val="3"/>
          <c:tx>
            <c:strRef>
              <c:f>Data!$Z$2</c:f>
              <c:strCache>
                <c:ptCount val="1"/>
                <c:pt idx="0">
                  <c:v>Daily Wage Ratio</c:v>
                </c:pt>
              </c:strCache>
            </c:strRef>
          </c:tx>
          <c:spPr>
            <a:ln w="28575" cap="rnd">
              <a:solidFill>
                <a:schemeClr val="accent4"/>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Data!$Z$3:$Z$54</c:f>
              <c:numCache>
                <c:formatCode>0%</c:formatCode>
                <c:ptCount val="52"/>
                <c:pt idx="0">
                  <c:v>0.55266891133940776</c:v>
                </c:pt>
                <c:pt idx="1">
                  <c:v>0.55266891133940776</c:v>
                </c:pt>
                <c:pt idx="2">
                  <c:v>0.55266891133940776</c:v>
                </c:pt>
                <c:pt idx="3">
                  <c:v>0.61168224299065421</c:v>
                </c:pt>
                <c:pt idx="4">
                  <c:v>0.64254473868955431</c:v>
                </c:pt>
                <c:pt idx="5">
                  <c:v>0.67413229327404134</c:v>
                </c:pt>
                <c:pt idx="6">
                  <c:v>0.72298330665638699</c:v>
                </c:pt>
                <c:pt idx="7">
                  <c:v>0.81454847959079657</c:v>
                </c:pt>
                <c:pt idx="8">
                  <c:v>0.86904727222445</c:v>
                </c:pt>
                <c:pt idx="9">
                  <c:v>0.89513596996652767</c:v>
                </c:pt>
                <c:pt idx="10">
                  <c:v>0.88275862068965516</c:v>
                </c:pt>
                <c:pt idx="11">
                  <c:v>0.7905908811796668</c:v>
                </c:pt>
                <c:pt idx="12">
                  <c:v>0.90116506192982049</c:v>
                </c:pt>
                <c:pt idx="13">
                  <c:v>0.90794917678602405</c:v>
                </c:pt>
                <c:pt idx="14">
                  <c:v>0.9121141804573879</c:v>
                </c:pt>
                <c:pt idx="15">
                  <c:v>0.9067089680824878</c:v>
                </c:pt>
                <c:pt idx="16">
                  <c:v>1.1095732761429751</c:v>
                </c:pt>
                <c:pt idx="17">
                  <c:v>1.0873300857861232</c:v>
                </c:pt>
                <c:pt idx="18">
                  <c:v>0.91574759240495351</c:v>
                </c:pt>
                <c:pt idx="19">
                  <c:v>0.84284405536439011</c:v>
                </c:pt>
                <c:pt idx="20">
                  <c:v>0.76579544508285469</c:v>
                </c:pt>
                <c:pt idx="21">
                  <c:v>0.68184046579009705</c:v>
                </c:pt>
                <c:pt idx="22">
                  <c:v>0.71206840273276317</c:v>
                </c:pt>
                <c:pt idx="23">
                  <c:v>0.74663370502840309</c:v>
                </c:pt>
                <c:pt idx="24">
                  <c:v>0.72716137593140751</c:v>
                </c:pt>
                <c:pt idx="25">
                  <c:v>0.75197840052136666</c:v>
                </c:pt>
                <c:pt idx="26">
                  <c:v>0.68912581843921439</c:v>
                </c:pt>
                <c:pt idx="27" formatCode="0.00%">
                  <c:v>0.62085889570552144</c:v>
                </c:pt>
                <c:pt idx="28" formatCode="0.00%">
                  <c:v>0.54418604651162783</c:v>
                </c:pt>
                <c:pt idx="29" formatCode="0.00%">
                  <c:v>0.53879781420765027</c:v>
                </c:pt>
                <c:pt idx="30" formatCode="0.00%">
                  <c:v>0.53400000000000003</c:v>
                </c:pt>
                <c:pt idx="31" formatCode="0.00%">
                  <c:v>0.57277882797731572</c:v>
                </c:pt>
                <c:pt idx="32" formatCode="0.00%">
                  <c:v>0.57556561085972857</c:v>
                </c:pt>
                <c:pt idx="33" formatCode="0.00%">
                  <c:v>0.60093896713615025</c:v>
                </c:pt>
                <c:pt idx="34" formatCode="0.00%">
                  <c:v>0.55948275862068975</c:v>
                </c:pt>
                <c:pt idx="35" formatCode="0.00%">
                  <c:v>0.52524429967426711</c:v>
                </c:pt>
                <c:pt idx="36" formatCode="0.00%">
                  <c:v>0.53312051077414202</c:v>
                </c:pt>
                <c:pt idx="37" formatCode="0.00%">
                  <c:v>0.54777070063694266</c:v>
                </c:pt>
                <c:pt idx="38" formatCode="0.00%">
                  <c:v>0.56779661016949146</c:v>
                </c:pt>
                <c:pt idx="39" formatCode="0.00%">
                  <c:v>0.56307692307692314</c:v>
                </c:pt>
                <c:pt idx="40" formatCode="0.00%">
                  <c:v>0.55242227042660885</c:v>
                </c:pt>
                <c:pt idx="41" formatCode="0.00%">
                  <c:v>0.53814989871708308</c:v>
                </c:pt>
                <c:pt idx="42" formatCode="0.00%">
                  <c:v>0.49303797468354432</c:v>
                </c:pt>
                <c:pt idx="43" formatCode="0.00%">
                  <c:v>0.47971384601986999</c:v>
                </c:pt>
                <c:pt idx="44" formatCode="0.00%">
                  <c:v>0.4862788195004073</c:v>
                </c:pt>
                <c:pt idx="45" formatCode="0.00%">
                  <c:v>0.45915894511760519</c:v>
                </c:pt>
                <c:pt idx="46" formatCode="0.00%">
                  <c:v>0.44519999999999998</c:v>
                </c:pt>
                <c:pt idx="47" formatCode="0.00%">
                  <c:v>0.41816429520545129</c:v>
                </c:pt>
                <c:pt idx="48" formatCode="0.00%">
                  <c:v>0.39213663457129755</c:v>
                </c:pt>
                <c:pt idx="49" formatCode="0.00%">
                  <c:v>0.38435261707988971</c:v>
                </c:pt>
                <c:pt idx="50" formatCode="0.00%">
                  <c:v>0.38987237546315362</c:v>
                </c:pt>
                <c:pt idx="51" formatCode="0.00%">
                  <c:v>0.39695181907571286</c:v>
                </c:pt>
              </c:numCache>
            </c:numRef>
          </c:val>
          <c:smooth val="0"/>
          <c:extLst>
            <c:ext xmlns:c16="http://schemas.microsoft.com/office/drawing/2014/chart" uri="{C3380CC4-5D6E-409C-BE32-E72D297353CC}">
              <c16:uniqueId val="{00000003-25B8-4954-9C09-84552AB6A77C}"/>
            </c:ext>
          </c:extLst>
        </c:ser>
        <c:dLbls>
          <c:showLegendKey val="0"/>
          <c:showVal val="0"/>
          <c:showCatName val="0"/>
          <c:showSerName val="0"/>
          <c:showPercent val="0"/>
          <c:showBubbleSize val="0"/>
        </c:dLbls>
        <c:smooth val="0"/>
        <c:axId val="902351856"/>
        <c:axId val="902340624"/>
      </c:lineChart>
      <c:catAx>
        <c:axId val="90235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902340624"/>
        <c:crosses val="autoZero"/>
        <c:auto val="1"/>
        <c:lblAlgn val="ctr"/>
        <c:lblOffset val="100"/>
        <c:noMultiLvlLbl val="0"/>
      </c:catAx>
      <c:valAx>
        <c:axId val="902340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90235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Trade, employment and taxes</a:t>
            </a:r>
            <a:r>
              <a:rPr lang="en-US" sz="1400" b="0" i="0" u="none" strike="noStrike" baseline="0"/>
              <a:t>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percentStacked"/>
        <c:varyColors val="0"/>
        <c:ser>
          <c:idx val="0"/>
          <c:order val="0"/>
          <c:tx>
            <c:strRef>
              <c:f>'Index 2010-2019'!$T$50</c:f>
              <c:strCache>
                <c:ptCount val="1"/>
                <c:pt idx="0">
                  <c:v>Palestinian exports of goods and services to Israel out of total Palestinian exports</c:v>
                </c:pt>
              </c:strCache>
            </c:strRef>
          </c:tx>
          <c:spPr>
            <a:solidFill>
              <a:schemeClr val="accent1"/>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2010-2019'!$T$51:$T$60</c:f>
              <c:numCache>
                <c:formatCode>0%</c:formatCode>
                <c:ptCount val="10"/>
                <c:pt idx="0">
                  <c:v>0.13421800674459294</c:v>
                </c:pt>
                <c:pt idx="1">
                  <c:v>0.20157994855910039</c:v>
                </c:pt>
                <c:pt idx="2">
                  <c:v>0</c:v>
                </c:pt>
                <c:pt idx="3">
                  <c:v>0.21232677713271753</c:v>
                </c:pt>
                <c:pt idx="4">
                  <c:v>0.12617246346151817</c:v>
                </c:pt>
                <c:pt idx="5">
                  <c:v>0.19257353394294996</c:v>
                </c:pt>
                <c:pt idx="6">
                  <c:v>0.1993001462525561</c:v>
                </c:pt>
                <c:pt idx="7">
                  <c:v>0.16839808836058845</c:v>
                </c:pt>
                <c:pt idx="8">
                  <c:v>0.1451231680042559</c:v>
                </c:pt>
                <c:pt idx="9">
                  <c:v>3.8579215034751077E-2</c:v>
                </c:pt>
              </c:numCache>
            </c:numRef>
          </c:val>
          <c:extLst>
            <c:ext xmlns:c16="http://schemas.microsoft.com/office/drawing/2014/chart" uri="{C3380CC4-5D6E-409C-BE32-E72D297353CC}">
              <c16:uniqueId val="{00000000-0487-4536-A2A2-75478569C37D}"/>
            </c:ext>
          </c:extLst>
        </c:ser>
        <c:ser>
          <c:idx val="1"/>
          <c:order val="1"/>
          <c:tx>
            <c:strRef>
              <c:f>'Index 2010-2019'!$U$50</c:f>
              <c:strCache>
                <c:ptCount val="1"/>
                <c:pt idx="0">
                  <c:v>Palestinian imports of goods and services from Israel out of total Palestinian imports</c:v>
                </c:pt>
              </c:strCache>
            </c:strRef>
          </c:tx>
          <c:spPr>
            <a:solidFill>
              <a:schemeClr val="accent2"/>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2010-2019'!$U$51:$U$60</c:f>
              <c:numCache>
                <c:formatCode>0%</c:formatCode>
                <c:ptCount val="10"/>
                <c:pt idx="0">
                  <c:v>0.19958518411744486</c:v>
                </c:pt>
                <c:pt idx="1">
                  <c:v>0.18364590304115314</c:v>
                </c:pt>
                <c:pt idx="2">
                  <c:v>0.19524969664212458</c:v>
                </c:pt>
                <c:pt idx="3">
                  <c:v>0.2025903666502597</c:v>
                </c:pt>
                <c:pt idx="4">
                  <c:v>0.17087821757874219</c:v>
                </c:pt>
                <c:pt idx="5">
                  <c:v>6.9835280172783662E-2</c:v>
                </c:pt>
                <c:pt idx="6">
                  <c:v>7.7105592913393667E-2</c:v>
                </c:pt>
                <c:pt idx="7">
                  <c:v>3.7129432274349707E-2</c:v>
                </c:pt>
                <c:pt idx="8">
                  <c:v>5.7078653443310172E-3</c:v>
                </c:pt>
                <c:pt idx="9">
                  <c:v>0</c:v>
                </c:pt>
              </c:numCache>
            </c:numRef>
          </c:val>
          <c:extLst>
            <c:ext xmlns:c16="http://schemas.microsoft.com/office/drawing/2014/chart" uri="{C3380CC4-5D6E-409C-BE32-E72D297353CC}">
              <c16:uniqueId val="{00000001-0487-4536-A2A2-75478569C37D}"/>
            </c:ext>
          </c:extLst>
        </c:ser>
        <c:ser>
          <c:idx val="2"/>
          <c:order val="2"/>
          <c:tx>
            <c:strRef>
              <c:f>'Index 2010-2019'!$V$50</c:f>
              <c:strCache>
                <c:ptCount val="1"/>
                <c:pt idx="0">
                  <c:v>Share of Gross clearance revenues out of Total PA net revenues and grants</c:v>
                </c:pt>
              </c:strCache>
            </c:strRef>
          </c:tx>
          <c:spPr>
            <a:solidFill>
              <a:schemeClr val="accent3"/>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2010-2019'!$V$51:$V$60</c:f>
              <c:numCache>
                <c:formatCode>0%</c:formatCode>
                <c:ptCount val="10"/>
                <c:pt idx="0">
                  <c:v>0</c:v>
                </c:pt>
                <c:pt idx="1">
                  <c:v>6.7861572470980555E-2</c:v>
                </c:pt>
                <c:pt idx="2">
                  <c:v>9.2539127998621878E-2</c:v>
                </c:pt>
                <c:pt idx="3">
                  <c:v>5.5811436343540306E-2</c:v>
                </c:pt>
                <c:pt idx="4">
                  <c:v>0.10705826027837621</c:v>
                </c:pt>
                <c:pt idx="5">
                  <c:v>0.15128066387036584</c:v>
                </c:pt>
                <c:pt idx="6">
                  <c:v>0.13641332008841001</c:v>
                </c:pt>
                <c:pt idx="7">
                  <c:v>0.16426836783228868</c:v>
                </c:pt>
                <c:pt idx="8">
                  <c:v>0.1426644347664901</c:v>
                </c:pt>
                <c:pt idx="9">
                  <c:v>0.18300553636350866</c:v>
                </c:pt>
              </c:numCache>
            </c:numRef>
          </c:val>
          <c:extLst>
            <c:ext xmlns:c16="http://schemas.microsoft.com/office/drawing/2014/chart" uri="{C3380CC4-5D6E-409C-BE32-E72D297353CC}">
              <c16:uniqueId val="{00000002-0487-4536-A2A2-75478569C37D}"/>
            </c:ext>
          </c:extLst>
        </c:ser>
        <c:ser>
          <c:idx val="3"/>
          <c:order val="3"/>
          <c:tx>
            <c:strRef>
              <c:f>'Index 2010-2019'!$W$50</c:f>
              <c:strCache>
                <c:ptCount val="1"/>
                <c:pt idx="0">
                  <c:v>Palestinians employed in Israel out of total Palestinian employed Individuals</c:v>
                </c:pt>
              </c:strCache>
            </c:strRef>
          </c:tx>
          <c:spPr>
            <a:solidFill>
              <a:schemeClr val="accent4"/>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2010-2019'!$W$51:$W$60</c:f>
              <c:numCache>
                <c:formatCode>0%</c:formatCode>
                <c:ptCount val="10"/>
                <c:pt idx="0">
                  <c:v>4.5767713394610575E-2</c:v>
                </c:pt>
                <c:pt idx="1">
                  <c:v>1.525590446487019E-2</c:v>
                </c:pt>
                <c:pt idx="2">
                  <c:v>0</c:v>
                </c:pt>
                <c:pt idx="3">
                  <c:v>7.6279522324350896E-2</c:v>
                </c:pt>
                <c:pt idx="4">
                  <c:v>0.10679133125409121</c:v>
                </c:pt>
                <c:pt idx="5">
                  <c:v>0.10170602976580119</c:v>
                </c:pt>
                <c:pt idx="6">
                  <c:v>0.1169619342306714</c:v>
                </c:pt>
                <c:pt idx="7">
                  <c:v>0.1779855520901521</c:v>
                </c:pt>
                <c:pt idx="8">
                  <c:v>0.19324145655502228</c:v>
                </c:pt>
                <c:pt idx="9">
                  <c:v>0.18815615506673222</c:v>
                </c:pt>
              </c:numCache>
            </c:numRef>
          </c:val>
          <c:extLst>
            <c:ext xmlns:c16="http://schemas.microsoft.com/office/drawing/2014/chart" uri="{C3380CC4-5D6E-409C-BE32-E72D297353CC}">
              <c16:uniqueId val="{00000003-0487-4536-A2A2-75478569C37D}"/>
            </c:ext>
          </c:extLst>
        </c:ser>
        <c:ser>
          <c:idx val="4"/>
          <c:order val="4"/>
          <c:tx>
            <c:strRef>
              <c:f>'Index 2010-2019'!$X$50</c:f>
              <c:strCache>
                <c:ptCount val="1"/>
                <c:pt idx="0">
                  <c:v>Remittances of Palestinians workers in Israel out of WBG GNI</c:v>
                </c:pt>
              </c:strCache>
            </c:strRef>
          </c:tx>
          <c:spPr>
            <a:solidFill>
              <a:schemeClr val="accent5"/>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2010-2019'!$X$51:$X$60</c:f>
              <c:numCache>
                <c:formatCode>0%</c:formatCode>
                <c:ptCount val="10"/>
                <c:pt idx="0">
                  <c:v>0</c:v>
                </c:pt>
                <c:pt idx="1">
                  <c:v>9.5873102323503021E-3</c:v>
                </c:pt>
                <c:pt idx="2">
                  <c:v>1.5857308870195385E-2</c:v>
                </c:pt>
                <c:pt idx="3">
                  <c:v>4.9292754269457235E-2</c:v>
                </c:pt>
                <c:pt idx="4">
                  <c:v>9.151382226220918E-2</c:v>
                </c:pt>
                <c:pt idx="5">
                  <c:v>0.11896514968614097</c:v>
                </c:pt>
                <c:pt idx="6">
                  <c:v>0.12653179703713413</c:v>
                </c:pt>
                <c:pt idx="7">
                  <c:v>0.13862114025471664</c:v>
                </c:pt>
                <c:pt idx="8">
                  <c:v>0.18974741694847577</c:v>
                </c:pt>
                <c:pt idx="9">
                  <c:v>0.20883586329849183</c:v>
                </c:pt>
              </c:numCache>
            </c:numRef>
          </c:val>
          <c:extLst>
            <c:ext xmlns:c16="http://schemas.microsoft.com/office/drawing/2014/chart" uri="{C3380CC4-5D6E-409C-BE32-E72D297353CC}">
              <c16:uniqueId val="{00000004-0487-4536-A2A2-75478569C37D}"/>
            </c:ext>
          </c:extLst>
        </c:ser>
        <c:dLbls>
          <c:showLegendKey val="0"/>
          <c:showVal val="0"/>
          <c:showCatName val="0"/>
          <c:showSerName val="0"/>
          <c:showPercent val="0"/>
          <c:showBubbleSize val="0"/>
        </c:dLbls>
        <c:gapWidth val="150"/>
        <c:overlap val="100"/>
        <c:axId val="588083695"/>
        <c:axId val="588085359"/>
      </c:barChart>
      <c:catAx>
        <c:axId val="588083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88085359"/>
        <c:crosses val="autoZero"/>
        <c:auto val="1"/>
        <c:lblAlgn val="ctr"/>
        <c:lblOffset val="100"/>
        <c:noMultiLvlLbl val="0"/>
      </c:catAx>
      <c:valAx>
        <c:axId val="5880853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88083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Movement of people and Services</a:t>
            </a:r>
            <a:r>
              <a:rPr lang="en-US" sz="1400" b="0" i="0" u="none" strike="noStrike" baseline="0"/>
              <a:t>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percentStacked"/>
        <c:varyColors val="0"/>
        <c:ser>
          <c:idx val="0"/>
          <c:order val="0"/>
          <c:tx>
            <c:strRef>
              <c:f>'Index 2010-2019'!$Y$50</c:f>
              <c:strCache>
                <c:ptCount val="1"/>
                <c:pt idx="0">
                  <c:v>Number of Israeli cars entered the WB </c:v>
                </c:pt>
              </c:strCache>
            </c:strRef>
          </c:tx>
          <c:spPr>
            <a:solidFill>
              <a:schemeClr val="accent1"/>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2010-2019'!$Y$51:$Y$60</c:f>
              <c:numCache>
                <c:formatCode>0.00%</c:formatCode>
                <c:ptCount val="10"/>
                <c:pt idx="0">
                  <c:v>0</c:v>
                </c:pt>
                <c:pt idx="1">
                  <c:v>0</c:v>
                </c:pt>
                <c:pt idx="2" formatCode="0%">
                  <c:v>5.613003327921836E-2</c:v>
                </c:pt>
                <c:pt idx="3" formatCode="0%">
                  <c:v>8.9687955020699969E-2</c:v>
                </c:pt>
                <c:pt idx="4" formatCode="0%">
                  <c:v>9.8688415605496141E-2</c:v>
                </c:pt>
                <c:pt idx="5" formatCode="0%">
                  <c:v>0.15066678736253442</c:v>
                </c:pt>
                <c:pt idx="6" formatCode="0%">
                  <c:v>0.20052807972418599</c:v>
                </c:pt>
                <c:pt idx="7" formatCode="0%">
                  <c:v>0.20456154745090804</c:v>
                </c:pt>
                <c:pt idx="8" formatCode="0%">
                  <c:v>0.19092578196580787</c:v>
                </c:pt>
                <c:pt idx="9" formatCode="0%">
                  <c:v>0.17196188297042991</c:v>
                </c:pt>
              </c:numCache>
            </c:numRef>
          </c:val>
          <c:extLst>
            <c:ext xmlns:c16="http://schemas.microsoft.com/office/drawing/2014/chart" uri="{C3380CC4-5D6E-409C-BE32-E72D297353CC}">
              <c16:uniqueId val="{00000000-B9F2-4DF3-A178-CD7AB4D63ABE}"/>
            </c:ext>
          </c:extLst>
        </c:ser>
        <c:ser>
          <c:idx val="1"/>
          <c:order val="1"/>
          <c:tx>
            <c:strRef>
              <c:f>'Index 2010-2019'!$Z$50</c:f>
              <c:strCache>
                <c:ptCount val="1"/>
                <c:pt idx="0">
                  <c:v>Movement of people between Israel and the WB </c:v>
                </c:pt>
              </c:strCache>
            </c:strRef>
          </c:tx>
          <c:spPr>
            <a:solidFill>
              <a:schemeClr val="accent2"/>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2010-2019'!$Z$51:$Z$60</c:f>
              <c:numCache>
                <c:formatCode>0.00%</c:formatCode>
                <c:ptCount val="10"/>
                <c:pt idx="0">
                  <c:v>0</c:v>
                </c:pt>
                <c:pt idx="1">
                  <c:v>0</c:v>
                </c:pt>
                <c:pt idx="2" formatCode="0%">
                  <c:v>1.5861072007222549E-2</c:v>
                </c:pt>
                <c:pt idx="3" formatCode="0%">
                  <c:v>3.5084064488893611E-2</c:v>
                </c:pt>
                <c:pt idx="4" formatCode="0%">
                  <c:v>5.8471504511180661E-2</c:v>
                </c:pt>
                <c:pt idx="5" formatCode="0%">
                  <c:v>0.10050420443244276</c:v>
                </c:pt>
                <c:pt idx="6" formatCode="0%">
                  <c:v>0.12413144738562427</c:v>
                </c:pt>
                <c:pt idx="7" formatCode="0%">
                  <c:v>0.15192203782510519</c:v>
                </c:pt>
                <c:pt idx="8" formatCode="0%">
                  <c:v>0.17890203871791469</c:v>
                </c:pt>
                <c:pt idx="9" formatCode="0%">
                  <c:v>0.19283303011469033</c:v>
                </c:pt>
              </c:numCache>
            </c:numRef>
          </c:val>
          <c:extLst>
            <c:ext xmlns:c16="http://schemas.microsoft.com/office/drawing/2014/chart" uri="{C3380CC4-5D6E-409C-BE32-E72D297353CC}">
              <c16:uniqueId val="{00000001-B9F2-4DF3-A178-CD7AB4D63ABE}"/>
            </c:ext>
          </c:extLst>
        </c:ser>
        <c:ser>
          <c:idx val="2"/>
          <c:order val="2"/>
          <c:tx>
            <c:strRef>
              <c:f>'Index 2010-2019'!$AA$50</c:f>
              <c:strCache>
                <c:ptCount val="1"/>
                <c:pt idx="0">
                  <c:v>Percentage of Palestinians entered to Israel for medical treatment</c:v>
                </c:pt>
              </c:strCache>
            </c:strRef>
          </c:tx>
          <c:spPr>
            <a:solidFill>
              <a:schemeClr val="accent3"/>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2010-2019'!$AA$51:$AA$60</c:f>
              <c:numCache>
                <c:formatCode>0%</c:formatCode>
                <c:ptCount val="10"/>
                <c:pt idx="0">
                  <c:v>0.11385513614151835</c:v>
                </c:pt>
                <c:pt idx="1">
                  <c:v>0.11385513614151835</c:v>
                </c:pt>
                <c:pt idx="2">
                  <c:v>0.18234827867844228</c:v>
                </c:pt>
                <c:pt idx="3">
                  <c:v>6.9760363971863068E-2</c:v>
                </c:pt>
                <c:pt idx="4">
                  <c:v>0.17943685711344423</c:v>
                </c:pt>
                <c:pt idx="5">
                  <c:v>2.9120688226576805E-2</c:v>
                </c:pt>
                <c:pt idx="6">
                  <c:v>0</c:v>
                </c:pt>
                <c:pt idx="7">
                  <c:v>1.3176842387267648E-2</c:v>
                </c:pt>
                <c:pt idx="8">
                  <c:v>6.3308774421375599E-2</c:v>
                </c:pt>
                <c:pt idx="9">
                  <c:v>2.7251180025630348E-2</c:v>
                </c:pt>
              </c:numCache>
            </c:numRef>
          </c:val>
          <c:extLst>
            <c:ext xmlns:c16="http://schemas.microsoft.com/office/drawing/2014/chart" uri="{C3380CC4-5D6E-409C-BE32-E72D297353CC}">
              <c16:uniqueId val="{00000002-B9F2-4DF3-A178-CD7AB4D63ABE}"/>
            </c:ext>
          </c:extLst>
        </c:ser>
        <c:ser>
          <c:idx val="3"/>
          <c:order val="3"/>
          <c:tx>
            <c:strRef>
              <c:f>'Index 2010-2019'!$AB$50</c:f>
              <c:strCache>
                <c:ptCount val="1"/>
                <c:pt idx="0">
                  <c:v>Percentage of Palestinian households that conducted Outbound Trips to Israel</c:v>
                </c:pt>
              </c:strCache>
            </c:strRef>
          </c:tx>
          <c:spPr>
            <a:solidFill>
              <a:schemeClr val="accent4"/>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2010-2019'!$AB$51:$AB$60</c:f>
              <c:numCache>
                <c:formatCode>0%</c:formatCode>
                <c:ptCount val="10"/>
                <c:pt idx="0">
                  <c:v>6.9518678583393445E-2</c:v>
                </c:pt>
                <c:pt idx="1">
                  <c:v>3.4759339291696723E-2</c:v>
                </c:pt>
                <c:pt idx="2">
                  <c:v>0</c:v>
                </c:pt>
                <c:pt idx="3">
                  <c:v>1.5062380359735244E-2</c:v>
                </c:pt>
                <c:pt idx="4">
                  <c:v>3.0124760719470487E-2</c:v>
                </c:pt>
                <c:pt idx="5">
                  <c:v>0.11412649734107089</c:v>
                </c:pt>
                <c:pt idx="6">
                  <c:v>0.19812823396267132</c:v>
                </c:pt>
                <c:pt idx="7">
                  <c:v>0.1656861839570877</c:v>
                </c:pt>
                <c:pt idx="8">
                  <c:v>0.13324413395150408</c:v>
                </c:pt>
                <c:pt idx="9">
                  <c:v>0.13324413395150408</c:v>
                </c:pt>
              </c:numCache>
            </c:numRef>
          </c:val>
          <c:extLst>
            <c:ext xmlns:c16="http://schemas.microsoft.com/office/drawing/2014/chart" uri="{C3380CC4-5D6E-409C-BE32-E72D297353CC}">
              <c16:uniqueId val="{00000003-B9F2-4DF3-A178-CD7AB4D63ABE}"/>
            </c:ext>
          </c:extLst>
        </c:ser>
        <c:ser>
          <c:idx val="4"/>
          <c:order val="4"/>
          <c:tx>
            <c:strRef>
              <c:f>'Index 2010-2019'!$AC$50</c:f>
              <c:strCache>
                <c:ptCount val="1"/>
                <c:pt idx="0">
                  <c:v>Percentage of Israeli guests’ nights in WB Hotels </c:v>
                </c:pt>
              </c:strCache>
            </c:strRef>
          </c:tx>
          <c:spPr>
            <a:solidFill>
              <a:schemeClr val="accent5"/>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2010-2019'!$AC$51:$AC$60</c:f>
              <c:numCache>
                <c:formatCode>0%</c:formatCode>
                <c:ptCount val="10"/>
                <c:pt idx="0">
                  <c:v>8.0069723297580567E-2</c:v>
                </c:pt>
                <c:pt idx="1">
                  <c:v>7.7486828997658616E-2</c:v>
                </c:pt>
                <c:pt idx="2">
                  <c:v>0.14205918649570751</c:v>
                </c:pt>
                <c:pt idx="3">
                  <c:v>0.17305391809477094</c:v>
                </c:pt>
                <c:pt idx="4">
                  <c:v>0.15497365799531726</c:v>
                </c:pt>
                <c:pt idx="5">
                  <c:v>0</c:v>
                </c:pt>
                <c:pt idx="6">
                  <c:v>0.22212890979328809</c:v>
                </c:pt>
                <c:pt idx="7">
                  <c:v>0.15239076369539528</c:v>
                </c:pt>
                <c:pt idx="8">
                  <c:v>0.12139603209633186</c:v>
                </c:pt>
                <c:pt idx="9">
                  <c:v>9.2984194797190362E-2</c:v>
                </c:pt>
              </c:numCache>
            </c:numRef>
          </c:val>
          <c:extLst>
            <c:ext xmlns:c16="http://schemas.microsoft.com/office/drawing/2014/chart" uri="{C3380CC4-5D6E-409C-BE32-E72D297353CC}">
              <c16:uniqueId val="{00000004-B9F2-4DF3-A178-CD7AB4D63ABE}"/>
            </c:ext>
          </c:extLst>
        </c:ser>
        <c:dLbls>
          <c:showLegendKey val="0"/>
          <c:showVal val="0"/>
          <c:showCatName val="0"/>
          <c:showSerName val="0"/>
          <c:showPercent val="0"/>
          <c:showBubbleSize val="0"/>
        </c:dLbls>
        <c:gapWidth val="150"/>
        <c:overlap val="100"/>
        <c:axId val="2055935311"/>
        <c:axId val="2055936143"/>
      </c:barChart>
      <c:catAx>
        <c:axId val="2055935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55936143"/>
        <c:crosses val="autoZero"/>
        <c:auto val="1"/>
        <c:lblAlgn val="ctr"/>
        <c:lblOffset val="100"/>
        <c:noMultiLvlLbl val="0"/>
      </c:catAx>
      <c:valAx>
        <c:axId val="20559361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55935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Resources and infrastrucure</a:t>
            </a:r>
            <a:r>
              <a:rPr lang="en-US" sz="1400" b="0" i="0" u="none" strike="noStrike" baseline="0"/>
              <a:t>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manualLayout>
          <c:layoutTarget val="inner"/>
          <c:xMode val="edge"/>
          <c:yMode val="edge"/>
          <c:x val="0.10517804024496938"/>
          <c:y val="0.13467592592592595"/>
          <c:w val="0.86426640419947509"/>
          <c:h val="0.31007254301545645"/>
        </c:manualLayout>
      </c:layout>
      <c:barChart>
        <c:barDir val="col"/>
        <c:grouping val="percentStacked"/>
        <c:varyColors val="0"/>
        <c:ser>
          <c:idx val="0"/>
          <c:order val="0"/>
          <c:tx>
            <c:strRef>
              <c:f>'Index 2010-2019'!$AD$50</c:f>
              <c:strCache>
                <c:ptCount val="1"/>
                <c:pt idx="0">
                  <c:v>Mobile cellular subscriptions ratio </c:v>
                </c:pt>
              </c:strCache>
            </c:strRef>
          </c:tx>
          <c:spPr>
            <a:solidFill>
              <a:schemeClr val="accent1"/>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2010-2019'!$AD$51:$AD$60</c:f>
              <c:numCache>
                <c:formatCode>0%</c:formatCode>
                <c:ptCount val="10"/>
                <c:pt idx="0">
                  <c:v>0</c:v>
                </c:pt>
                <c:pt idx="1">
                  <c:v>4.9313560558042487E-2</c:v>
                </c:pt>
                <c:pt idx="2">
                  <c:v>9.4646324435410267E-2</c:v>
                </c:pt>
                <c:pt idx="3">
                  <c:v>8.3722699585993779E-2</c:v>
                </c:pt>
                <c:pt idx="4">
                  <c:v>8.1207877968741807E-2</c:v>
                </c:pt>
                <c:pt idx="5">
                  <c:v>7.2541511829169084E-2</c:v>
                </c:pt>
                <c:pt idx="6">
                  <c:v>9.9205534024032704E-2</c:v>
                </c:pt>
                <c:pt idx="7">
                  <c:v>0.14416585650170172</c:v>
                </c:pt>
                <c:pt idx="8">
                  <c:v>0.19166908633018531</c:v>
                </c:pt>
                <c:pt idx="9">
                  <c:v>0.11361614238813168</c:v>
                </c:pt>
              </c:numCache>
            </c:numRef>
          </c:val>
          <c:extLst>
            <c:ext xmlns:c16="http://schemas.microsoft.com/office/drawing/2014/chart" uri="{C3380CC4-5D6E-409C-BE32-E72D297353CC}">
              <c16:uniqueId val="{00000000-269E-4510-92FD-F28F6AB0C313}"/>
            </c:ext>
          </c:extLst>
        </c:ser>
        <c:ser>
          <c:idx val="1"/>
          <c:order val="1"/>
          <c:tx>
            <c:strRef>
              <c:f>'Index 2010-2019'!$AE$50</c:f>
              <c:strCache>
                <c:ptCount val="1"/>
                <c:pt idx="0">
                  <c:v>Individuals using the Internet ratio </c:v>
                </c:pt>
              </c:strCache>
            </c:strRef>
          </c:tx>
          <c:spPr>
            <a:solidFill>
              <a:schemeClr val="accent2"/>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2010-2019'!$AE$51:$AE$60</c:f>
              <c:numCache>
                <c:formatCode>0%</c:formatCode>
                <c:ptCount val="10"/>
                <c:pt idx="0">
                  <c:v>0</c:v>
                </c:pt>
                <c:pt idx="1">
                  <c:v>3.3822895951165062E-2</c:v>
                </c:pt>
                <c:pt idx="2">
                  <c:v>4.702515685750603E-2</c:v>
                </c:pt>
                <c:pt idx="3">
                  <c:v>8.7208571452604688E-2</c:v>
                </c:pt>
                <c:pt idx="4">
                  <c:v>0.12878110628240702</c:v>
                </c:pt>
                <c:pt idx="5">
                  <c:v>0.15028512322110449</c:v>
                </c:pt>
                <c:pt idx="6">
                  <c:v>0.17078544233875859</c:v>
                </c:pt>
                <c:pt idx="7">
                  <c:v>0.19564179266510121</c:v>
                </c:pt>
                <c:pt idx="8">
                  <c:v>0.17162326071322848</c:v>
                </c:pt>
                <c:pt idx="9">
                  <c:v>0.20724179548499091</c:v>
                </c:pt>
              </c:numCache>
            </c:numRef>
          </c:val>
          <c:extLst>
            <c:ext xmlns:c16="http://schemas.microsoft.com/office/drawing/2014/chart" uri="{C3380CC4-5D6E-409C-BE32-E72D297353CC}">
              <c16:uniqueId val="{00000001-269E-4510-92FD-F28F6AB0C313}"/>
            </c:ext>
          </c:extLst>
        </c:ser>
        <c:ser>
          <c:idx val="2"/>
          <c:order val="2"/>
          <c:tx>
            <c:strRef>
              <c:f>'Index 2010-2019'!$AF$50</c:f>
              <c:strCache>
                <c:ptCount val="1"/>
                <c:pt idx="0">
                  <c:v>Fixed broadband subscriptions ratio </c:v>
                </c:pt>
              </c:strCache>
            </c:strRef>
          </c:tx>
          <c:spPr>
            <a:solidFill>
              <a:schemeClr val="accent3"/>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2010-2019'!$AF$51:$AF$60</c:f>
              <c:numCache>
                <c:formatCode>0%</c:formatCode>
                <c:ptCount val="10"/>
                <c:pt idx="0">
                  <c:v>0</c:v>
                </c:pt>
                <c:pt idx="1">
                  <c:v>0</c:v>
                </c:pt>
                <c:pt idx="2">
                  <c:v>4.4783612246968862E-2</c:v>
                </c:pt>
                <c:pt idx="3">
                  <c:v>7.8129677230435943E-2</c:v>
                </c:pt>
                <c:pt idx="4">
                  <c:v>8.9489874855346943E-2</c:v>
                </c:pt>
                <c:pt idx="5">
                  <c:v>0.14176569572316627</c:v>
                </c:pt>
                <c:pt idx="6">
                  <c:v>0.19223177700185501</c:v>
                </c:pt>
                <c:pt idx="7">
                  <c:v>0.22809224837719258</c:v>
                </c:pt>
                <c:pt idx="8">
                  <c:v>0.21029830384593345</c:v>
                </c:pt>
                <c:pt idx="9">
                  <c:v>0.19825372277699477</c:v>
                </c:pt>
              </c:numCache>
            </c:numRef>
          </c:val>
          <c:extLst>
            <c:ext xmlns:c16="http://schemas.microsoft.com/office/drawing/2014/chart" uri="{C3380CC4-5D6E-409C-BE32-E72D297353CC}">
              <c16:uniqueId val="{00000002-269E-4510-92FD-F28F6AB0C313}"/>
            </c:ext>
          </c:extLst>
        </c:ser>
        <c:ser>
          <c:idx val="3"/>
          <c:order val="3"/>
          <c:tx>
            <c:strRef>
              <c:f>'Index 2010-2019'!$AG$50</c:f>
              <c:strCache>
                <c:ptCount val="1"/>
                <c:pt idx="0">
                  <c:v>Electricity imported from Israel out of total available electricity in the WBG</c:v>
                </c:pt>
              </c:strCache>
            </c:strRef>
          </c:tx>
          <c:spPr>
            <a:solidFill>
              <a:schemeClr val="accent4"/>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2010-2019'!$AG$51:$AG$60</c:f>
              <c:numCache>
                <c:formatCode>0%</c:formatCode>
                <c:ptCount val="10"/>
                <c:pt idx="0">
                  <c:v>1.3808762353032628E-2</c:v>
                </c:pt>
                <c:pt idx="1">
                  <c:v>4.6568058349513216E-3</c:v>
                </c:pt>
                <c:pt idx="2">
                  <c:v>6.9659798267589348E-2</c:v>
                </c:pt>
                <c:pt idx="3">
                  <c:v>0</c:v>
                </c:pt>
                <c:pt idx="4">
                  <c:v>0.1054992925216839</c:v>
                </c:pt>
                <c:pt idx="5">
                  <c:v>6.5353150101071775E-2</c:v>
                </c:pt>
                <c:pt idx="6">
                  <c:v>9.4457428022666545E-2</c:v>
                </c:pt>
                <c:pt idx="7">
                  <c:v>0.11637178640139664</c:v>
                </c:pt>
                <c:pt idx="8">
                  <c:v>0.17939552292923597</c:v>
                </c:pt>
                <c:pt idx="9">
                  <c:v>5.9587038771856823E-2</c:v>
                </c:pt>
              </c:numCache>
            </c:numRef>
          </c:val>
          <c:extLst>
            <c:ext xmlns:c16="http://schemas.microsoft.com/office/drawing/2014/chart" uri="{C3380CC4-5D6E-409C-BE32-E72D297353CC}">
              <c16:uniqueId val="{00000003-269E-4510-92FD-F28F6AB0C313}"/>
            </c:ext>
          </c:extLst>
        </c:ser>
        <c:ser>
          <c:idx val="4"/>
          <c:order val="4"/>
          <c:tx>
            <c:strRef>
              <c:f>'Index 2010-2019'!$AH$50</c:f>
              <c:strCache>
                <c:ptCount val="1"/>
                <c:pt idx="0">
                  <c:v>Water Purchased from Israel out of available water quantity in the WBG</c:v>
                </c:pt>
              </c:strCache>
            </c:strRef>
          </c:tx>
          <c:spPr>
            <a:solidFill>
              <a:schemeClr val="accent5"/>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2010-2019'!$AH$51:$AH$60</c:f>
              <c:numCache>
                <c:formatCode>0%</c:formatCode>
                <c:ptCount val="10"/>
                <c:pt idx="0">
                  <c:v>6.5012602128926705E-2</c:v>
                </c:pt>
                <c:pt idx="1">
                  <c:v>4.5089153024104302E-2</c:v>
                </c:pt>
                <c:pt idx="2">
                  <c:v>0</c:v>
                </c:pt>
                <c:pt idx="3">
                  <c:v>3.5719425700227903E-2</c:v>
                </c:pt>
                <c:pt idx="4">
                  <c:v>7.5308782169789187E-2</c:v>
                </c:pt>
                <c:pt idx="5">
                  <c:v>9.7625637133670243E-2</c:v>
                </c:pt>
                <c:pt idx="6">
                  <c:v>0.17996750861416802</c:v>
                </c:pt>
                <c:pt idx="7">
                  <c:v>0.1936013468783952</c:v>
                </c:pt>
                <c:pt idx="8">
                  <c:v>0.18801130452382023</c:v>
                </c:pt>
                <c:pt idx="9">
                  <c:v>0.12784452455799772</c:v>
                </c:pt>
              </c:numCache>
            </c:numRef>
          </c:val>
          <c:extLst>
            <c:ext xmlns:c16="http://schemas.microsoft.com/office/drawing/2014/chart" uri="{C3380CC4-5D6E-409C-BE32-E72D297353CC}">
              <c16:uniqueId val="{00000004-269E-4510-92FD-F28F6AB0C313}"/>
            </c:ext>
          </c:extLst>
        </c:ser>
        <c:dLbls>
          <c:showLegendKey val="0"/>
          <c:showVal val="0"/>
          <c:showCatName val="0"/>
          <c:showSerName val="0"/>
          <c:showPercent val="0"/>
          <c:showBubbleSize val="0"/>
        </c:dLbls>
        <c:gapWidth val="150"/>
        <c:overlap val="100"/>
        <c:axId val="345548143"/>
        <c:axId val="345560623"/>
      </c:barChart>
      <c:catAx>
        <c:axId val="345548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45560623"/>
        <c:crosses val="autoZero"/>
        <c:auto val="1"/>
        <c:lblAlgn val="ctr"/>
        <c:lblOffset val="100"/>
        <c:noMultiLvlLbl val="0"/>
      </c:catAx>
      <c:valAx>
        <c:axId val="3455606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45548143"/>
        <c:crosses val="autoZero"/>
        <c:crossBetween val="between"/>
        <c:majorUnit val="0.2"/>
      </c:valAx>
      <c:spPr>
        <a:noFill/>
        <a:ln>
          <a:noFill/>
        </a:ln>
        <a:effectLst/>
      </c:spPr>
    </c:plotArea>
    <c:legend>
      <c:legendPos val="b"/>
      <c:layout>
        <c:manualLayout>
          <c:xMode val="edge"/>
          <c:yMode val="edge"/>
          <c:x val="5.742607174103237E-2"/>
          <c:y val="0.51677748614756491"/>
          <c:w val="0.89070319335083126"/>
          <c:h val="0.483222513852435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Banking and money</a:t>
            </a:r>
            <a:r>
              <a:rPr lang="en-US" sz="1400" b="0" i="0" u="none" strike="noStrike" baseline="0"/>
              <a:t>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percentStacked"/>
        <c:varyColors val="0"/>
        <c:ser>
          <c:idx val="0"/>
          <c:order val="0"/>
          <c:tx>
            <c:strRef>
              <c:f>'Index 2010-2019'!$AI$50</c:f>
              <c:strCache>
                <c:ptCount val="1"/>
                <c:pt idx="0">
                  <c:v>Share of NIS deposits in the Palestinian banking system</c:v>
                </c:pt>
              </c:strCache>
            </c:strRef>
          </c:tx>
          <c:spPr>
            <a:solidFill>
              <a:schemeClr val="accent1"/>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2010-2019'!$AI$51:$AI$60</c:f>
              <c:numCache>
                <c:formatCode>0%</c:formatCode>
                <c:ptCount val="10"/>
                <c:pt idx="0">
                  <c:v>0</c:v>
                </c:pt>
                <c:pt idx="1">
                  <c:v>9.1165976665759138E-2</c:v>
                </c:pt>
                <c:pt idx="2">
                  <c:v>0.10414852160673059</c:v>
                </c:pt>
                <c:pt idx="3">
                  <c:v>6.6690441604527903E-2</c:v>
                </c:pt>
                <c:pt idx="4">
                  <c:v>9.9308727904649202E-2</c:v>
                </c:pt>
                <c:pt idx="5">
                  <c:v>0.14863763896236662</c:v>
                </c:pt>
                <c:pt idx="6">
                  <c:v>0.14144318436401901</c:v>
                </c:pt>
                <c:pt idx="7">
                  <c:v>0.15349807687129069</c:v>
                </c:pt>
                <c:pt idx="8">
                  <c:v>0.20427986330596118</c:v>
                </c:pt>
                <c:pt idx="9">
                  <c:v>0.1940092552427872</c:v>
                </c:pt>
              </c:numCache>
            </c:numRef>
          </c:val>
          <c:extLst>
            <c:ext xmlns:c16="http://schemas.microsoft.com/office/drawing/2014/chart" uri="{C3380CC4-5D6E-409C-BE32-E72D297353CC}">
              <c16:uniqueId val="{00000000-ED9F-486C-ADC9-D9C24459682B}"/>
            </c:ext>
          </c:extLst>
        </c:ser>
        <c:ser>
          <c:idx val="1"/>
          <c:order val="1"/>
          <c:tx>
            <c:strRef>
              <c:f>'Index 2010-2019'!$AJ$50</c:f>
              <c:strCache>
                <c:ptCount val="1"/>
                <c:pt idx="0">
                  <c:v>Share of NIS credit in the Palestinian banking system</c:v>
                </c:pt>
              </c:strCache>
            </c:strRef>
          </c:tx>
          <c:spPr>
            <a:solidFill>
              <a:schemeClr val="accent2"/>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2010-2019'!$AJ$51:$AJ$60</c:f>
              <c:numCache>
                <c:formatCode>0%</c:formatCode>
                <c:ptCount val="10"/>
                <c:pt idx="0">
                  <c:v>7.2440672509988938E-2</c:v>
                </c:pt>
                <c:pt idx="1">
                  <c:v>0</c:v>
                </c:pt>
                <c:pt idx="2">
                  <c:v>0.10461854656290456</c:v>
                </c:pt>
                <c:pt idx="3">
                  <c:v>0.1192433280659303</c:v>
                </c:pt>
                <c:pt idx="4">
                  <c:v>6.5561430341008364E-2</c:v>
                </c:pt>
                <c:pt idx="5">
                  <c:v>0.12370810512932336</c:v>
                </c:pt>
                <c:pt idx="6">
                  <c:v>0.14576937115671698</c:v>
                </c:pt>
                <c:pt idx="7">
                  <c:v>0.19452751516434816</c:v>
                </c:pt>
                <c:pt idx="8">
                  <c:v>0.15773513692639093</c:v>
                </c:pt>
                <c:pt idx="9">
                  <c:v>0.20474255478579009</c:v>
                </c:pt>
              </c:numCache>
            </c:numRef>
          </c:val>
          <c:extLst>
            <c:ext xmlns:c16="http://schemas.microsoft.com/office/drawing/2014/chart" uri="{C3380CC4-5D6E-409C-BE32-E72D297353CC}">
              <c16:uniqueId val="{00000001-ED9F-486C-ADC9-D9C24459682B}"/>
            </c:ext>
          </c:extLst>
        </c:ser>
        <c:ser>
          <c:idx val="2"/>
          <c:order val="2"/>
          <c:tx>
            <c:strRef>
              <c:f>'Index 2010-2019'!$AK$50</c:f>
              <c:strCache>
                <c:ptCount val="1"/>
                <c:pt idx="0">
                  <c:v>Excess NIS cash deposited in Israel out of total NIS circulation</c:v>
                </c:pt>
              </c:strCache>
            </c:strRef>
          </c:tx>
          <c:spPr>
            <a:solidFill>
              <a:schemeClr val="accent3"/>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2010-2019'!$AK$51:$AK$60</c:f>
              <c:numCache>
                <c:formatCode>0%</c:formatCode>
                <c:ptCount val="10"/>
                <c:pt idx="0">
                  <c:v>0</c:v>
                </c:pt>
                <c:pt idx="1">
                  <c:v>1.1225065265926143E-2</c:v>
                </c:pt>
                <c:pt idx="2">
                  <c:v>6.232529918846875E-3</c:v>
                </c:pt>
                <c:pt idx="3">
                  <c:v>0.11970437533924508</c:v>
                </c:pt>
                <c:pt idx="4">
                  <c:v>7.4181631299972156E-2</c:v>
                </c:pt>
                <c:pt idx="5">
                  <c:v>2.9410056884236094E-2</c:v>
                </c:pt>
                <c:pt idx="6">
                  <c:v>0.11283912507976804</c:v>
                </c:pt>
                <c:pt idx="7">
                  <c:v>9.6686145738212881E-2</c:v>
                </c:pt>
                <c:pt idx="8">
                  <c:v>0.12344891900222811</c:v>
                </c:pt>
                <c:pt idx="9">
                  <c:v>0.17237099057223929</c:v>
                </c:pt>
              </c:numCache>
            </c:numRef>
          </c:val>
          <c:extLst>
            <c:ext xmlns:c16="http://schemas.microsoft.com/office/drawing/2014/chart" uri="{C3380CC4-5D6E-409C-BE32-E72D297353CC}">
              <c16:uniqueId val="{00000002-ED9F-486C-ADC9-D9C24459682B}"/>
            </c:ext>
          </c:extLst>
        </c:ser>
        <c:ser>
          <c:idx val="3"/>
          <c:order val="3"/>
          <c:tx>
            <c:strRef>
              <c:f>'Index 2010-2019'!$AL$50</c:f>
              <c:strCache>
                <c:ptCount val="1"/>
                <c:pt idx="0">
                  <c:v>Checks and Money transfers volume out of WBG GNI </c:v>
                </c:pt>
              </c:strCache>
            </c:strRef>
          </c:tx>
          <c:spPr>
            <a:solidFill>
              <a:schemeClr val="accent4"/>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2010-2019'!$AL$51:$AL$60</c:f>
              <c:numCache>
                <c:formatCode>0%</c:formatCode>
                <c:ptCount val="10"/>
                <c:pt idx="0">
                  <c:v>0.21566181319077982</c:v>
                </c:pt>
                <c:pt idx="1">
                  <c:v>4.5186836561652399E-2</c:v>
                </c:pt>
                <c:pt idx="2">
                  <c:v>7.1739748642905873E-2</c:v>
                </c:pt>
                <c:pt idx="3">
                  <c:v>8.3309496846447742E-2</c:v>
                </c:pt>
                <c:pt idx="4">
                  <c:v>7.1085048612847312E-2</c:v>
                </c:pt>
                <c:pt idx="5">
                  <c:v>4.477521611363805E-2</c:v>
                </c:pt>
                <c:pt idx="6">
                  <c:v>8.8811890440667493E-2</c:v>
                </c:pt>
                <c:pt idx="7">
                  <c:v>9.6734795024898859E-2</c:v>
                </c:pt>
                <c:pt idx="8">
                  <c:v>0</c:v>
                </c:pt>
                <c:pt idx="9">
                  <c:v>2.9483836964428432E-2</c:v>
                </c:pt>
              </c:numCache>
            </c:numRef>
          </c:val>
          <c:extLst>
            <c:ext xmlns:c16="http://schemas.microsoft.com/office/drawing/2014/chart" uri="{C3380CC4-5D6E-409C-BE32-E72D297353CC}">
              <c16:uniqueId val="{00000003-ED9F-486C-ADC9-D9C24459682B}"/>
            </c:ext>
          </c:extLst>
        </c:ser>
        <c:ser>
          <c:idx val="4"/>
          <c:order val="4"/>
          <c:tx>
            <c:strRef>
              <c:f>'Index 2010-2019'!$AM$50</c:f>
              <c:strCache>
                <c:ptCount val="1"/>
                <c:pt idx="0">
                  <c:v>Share of NIS checks presented for clearing in the Palestinian banking system </c:v>
                </c:pt>
              </c:strCache>
            </c:strRef>
          </c:tx>
          <c:spPr>
            <a:solidFill>
              <a:schemeClr val="accent5"/>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2010-2019'!$AM$51:$AM$60</c:f>
              <c:numCache>
                <c:formatCode>0%</c:formatCode>
                <c:ptCount val="10"/>
                <c:pt idx="0">
                  <c:v>4.1537817218688218E-2</c:v>
                </c:pt>
                <c:pt idx="1">
                  <c:v>0</c:v>
                </c:pt>
                <c:pt idx="2">
                  <c:v>9.2760385634165679E-2</c:v>
                </c:pt>
                <c:pt idx="3">
                  <c:v>9.257472257830951E-2</c:v>
                </c:pt>
                <c:pt idx="4">
                  <c:v>0.10047593313291943</c:v>
                </c:pt>
                <c:pt idx="5">
                  <c:v>0.10749262063331963</c:v>
                </c:pt>
                <c:pt idx="6">
                  <c:v>9.8880127283990191E-2</c:v>
                </c:pt>
                <c:pt idx="7">
                  <c:v>0.12506292460320648</c:v>
                </c:pt>
                <c:pt idx="8">
                  <c:v>0.16605140144242697</c:v>
                </c:pt>
                <c:pt idx="9">
                  <c:v>0.20294477814522965</c:v>
                </c:pt>
              </c:numCache>
            </c:numRef>
          </c:val>
          <c:extLst>
            <c:ext xmlns:c16="http://schemas.microsoft.com/office/drawing/2014/chart" uri="{C3380CC4-5D6E-409C-BE32-E72D297353CC}">
              <c16:uniqueId val="{00000004-ED9F-486C-ADC9-D9C24459682B}"/>
            </c:ext>
          </c:extLst>
        </c:ser>
        <c:dLbls>
          <c:showLegendKey val="0"/>
          <c:showVal val="0"/>
          <c:showCatName val="0"/>
          <c:showSerName val="0"/>
          <c:showPercent val="0"/>
          <c:showBubbleSize val="0"/>
        </c:dLbls>
        <c:gapWidth val="150"/>
        <c:overlap val="100"/>
        <c:axId val="1228055055"/>
        <c:axId val="1228056719"/>
      </c:barChart>
      <c:catAx>
        <c:axId val="1228055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28056719"/>
        <c:crosses val="autoZero"/>
        <c:auto val="1"/>
        <c:lblAlgn val="ctr"/>
        <c:lblOffset val="100"/>
        <c:noMultiLvlLbl val="0"/>
      </c:catAx>
      <c:valAx>
        <c:axId val="12280567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28055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 Wealth and standard of living</a:t>
            </a:r>
            <a:r>
              <a:rPr lang="en-US" sz="1400" b="0" i="0" u="none" strike="noStrike" baseline="0"/>
              <a:t>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manualLayout>
          <c:layoutTarget val="inner"/>
          <c:xMode val="edge"/>
          <c:yMode val="edge"/>
          <c:x val="3.0555555555555555E-2"/>
          <c:y val="0.13009259259259259"/>
          <c:w val="0.86426640419947509"/>
          <c:h val="0.51675485201028071"/>
        </c:manualLayout>
      </c:layout>
      <c:barChart>
        <c:barDir val="col"/>
        <c:grouping val="percentStacked"/>
        <c:varyColors val="0"/>
        <c:ser>
          <c:idx val="0"/>
          <c:order val="0"/>
          <c:tx>
            <c:strRef>
              <c:f>'Index 2010-2019'!$AN$50</c:f>
              <c:strCache>
                <c:ptCount val="1"/>
                <c:pt idx="0">
                  <c:v>GDP per Capita Ratio </c:v>
                </c:pt>
              </c:strCache>
            </c:strRef>
          </c:tx>
          <c:spPr>
            <a:solidFill>
              <a:schemeClr val="accent1"/>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2010-2019'!$AN$51:$AN$60</c:f>
              <c:numCache>
                <c:formatCode>0%</c:formatCode>
                <c:ptCount val="10"/>
                <c:pt idx="0">
                  <c:v>0</c:v>
                </c:pt>
                <c:pt idx="1">
                  <c:v>0.11339616802389138</c:v>
                </c:pt>
                <c:pt idx="2">
                  <c:v>0.20759378941861101</c:v>
                </c:pt>
                <c:pt idx="3">
                  <c:v>0.20735661547575604</c:v>
                </c:pt>
                <c:pt idx="4">
                  <c:v>7.6829411867353134E-2</c:v>
                </c:pt>
                <c:pt idx="5">
                  <c:v>0.10931278394426683</c:v>
                </c:pt>
                <c:pt idx="6">
                  <c:v>0.24223912202550646</c:v>
                </c:pt>
                <c:pt idx="7">
                  <c:v>0.17615139790725984</c:v>
                </c:pt>
                <c:pt idx="8">
                  <c:v>9.1365301384293399E-2</c:v>
                </c:pt>
                <c:pt idx="9">
                  <c:v>2.49464529977968E-4</c:v>
                </c:pt>
              </c:numCache>
            </c:numRef>
          </c:val>
          <c:extLst>
            <c:ext xmlns:c16="http://schemas.microsoft.com/office/drawing/2014/chart" uri="{C3380CC4-5D6E-409C-BE32-E72D297353CC}">
              <c16:uniqueId val="{00000000-BB71-4623-862B-DA01FE679CBC}"/>
            </c:ext>
          </c:extLst>
        </c:ser>
        <c:ser>
          <c:idx val="1"/>
          <c:order val="1"/>
          <c:tx>
            <c:strRef>
              <c:f>'Index 2010-2019'!$AO$50</c:f>
              <c:strCache>
                <c:ptCount val="1"/>
                <c:pt idx="0">
                  <c:v>Price level ratio </c:v>
                </c:pt>
              </c:strCache>
            </c:strRef>
          </c:tx>
          <c:spPr>
            <a:solidFill>
              <a:schemeClr val="accent2"/>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2010-2019'!$AO$51:$AO$60</c:f>
              <c:numCache>
                <c:formatCode>0%</c:formatCode>
                <c:ptCount val="10"/>
                <c:pt idx="0">
                  <c:v>0.2840366714055349</c:v>
                </c:pt>
                <c:pt idx="1">
                  <c:v>0.27822093340949311</c:v>
                </c:pt>
                <c:pt idx="2">
                  <c:v>0.23118771548046754</c:v>
                </c:pt>
                <c:pt idx="3">
                  <c:v>0.27458899750898813</c:v>
                </c:pt>
                <c:pt idx="4">
                  <c:v>7.1499849373099139E-2</c:v>
                </c:pt>
                <c:pt idx="5">
                  <c:v>4.2378376139200313E-2</c:v>
                </c:pt>
                <c:pt idx="6">
                  <c:v>0.12485045852246839</c:v>
                </c:pt>
                <c:pt idx="7">
                  <c:v>3.6094210871930349E-2</c:v>
                </c:pt>
                <c:pt idx="8">
                  <c:v>0</c:v>
                </c:pt>
                <c:pt idx="9">
                  <c:v>2.8908551055496261E-2</c:v>
                </c:pt>
              </c:numCache>
            </c:numRef>
          </c:val>
          <c:extLst>
            <c:ext xmlns:c16="http://schemas.microsoft.com/office/drawing/2014/chart" uri="{C3380CC4-5D6E-409C-BE32-E72D297353CC}">
              <c16:uniqueId val="{00000001-BB71-4623-862B-DA01FE679CBC}"/>
            </c:ext>
          </c:extLst>
        </c:ser>
        <c:ser>
          <c:idx val="2"/>
          <c:order val="2"/>
          <c:tx>
            <c:strRef>
              <c:f>'Index 2010-2019'!$AP$50</c:f>
              <c:strCache>
                <c:ptCount val="1"/>
                <c:pt idx="0">
                  <c:v>Market capitilazation Ratio </c:v>
                </c:pt>
              </c:strCache>
            </c:strRef>
          </c:tx>
          <c:spPr>
            <a:solidFill>
              <a:schemeClr val="accent3"/>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2010-2019'!$AP$51:$AP$60</c:f>
              <c:numCache>
                <c:formatCode>0%</c:formatCode>
                <c:ptCount val="10"/>
                <c:pt idx="0">
                  <c:v>0</c:v>
                </c:pt>
                <c:pt idx="1">
                  <c:v>0.15712244750230109</c:v>
                </c:pt>
                <c:pt idx="2">
                  <c:v>0.15565873674031871</c:v>
                </c:pt>
                <c:pt idx="3">
                  <c:v>0.11751763753120503</c:v>
                </c:pt>
                <c:pt idx="4">
                  <c:v>0.11573247053137875</c:v>
                </c:pt>
                <c:pt idx="5">
                  <c:v>6.6023451882937276E-2</c:v>
                </c:pt>
                <c:pt idx="6">
                  <c:v>0.1145668006282943</c:v>
                </c:pt>
                <c:pt idx="7">
                  <c:v>0.13711762534108032</c:v>
                </c:pt>
                <c:pt idx="8">
                  <c:v>0.20659575549503417</c:v>
                </c:pt>
                <c:pt idx="9">
                  <c:v>0.11426782017075383</c:v>
                </c:pt>
              </c:numCache>
            </c:numRef>
          </c:val>
          <c:extLst>
            <c:ext xmlns:c16="http://schemas.microsoft.com/office/drawing/2014/chart" uri="{C3380CC4-5D6E-409C-BE32-E72D297353CC}">
              <c16:uniqueId val="{00000002-BB71-4623-862B-DA01FE679CBC}"/>
            </c:ext>
          </c:extLst>
        </c:ser>
        <c:ser>
          <c:idx val="3"/>
          <c:order val="3"/>
          <c:tx>
            <c:strRef>
              <c:f>'Index 2010-2019'!$AQ$50</c:f>
              <c:strCache>
                <c:ptCount val="1"/>
                <c:pt idx="0">
                  <c:v>Daily Wage Ratio</c:v>
                </c:pt>
              </c:strCache>
            </c:strRef>
          </c:tx>
          <c:spPr>
            <a:solidFill>
              <a:schemeClr val="accent4"/>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2010-2019'!$AQ$51:$AQ$60</c:f>
              <c:numCache>
                <c:formatCode>0%</c:formatCode>
                <c:ptCount val="10"/>
                <c:pt idx="0">
                  <c:v>0.26712845107392441</c:v>
                </c:pt>
                <c:pt idx="1">
                  <c:v>0.23438021404997669</c:v>
                </c:pt>
                <c:pt idx="2">
                  <c:v>0.25051570125693373</c:v>
                </c:pt>
                <c:pt idx="3">
                  <c:v>0.18386007995773371</c:v>
                </c:pt>
                <c:pt idx="4">
                  <c:v>0.14955158182968031</c:v>
                </c:pt>
                <c:pt idx="5">
                  <c:v>8.3102833767440695E-2</c:v>
                </c:pt>
                <c:pt idx="6">
                  <c:v>1.9131671289106481E-2</c:v>
                </c:pt>
                <c:pt idx="7">
                  <c:v>0</c:v>
                </c:pt>
                <c:pt idx="8">
                  <c:v>1.3566542354312648E-2</c:v>
                </c:pt>
                <c:pt idx="9">
                  <c:v>3.0966501726802664E-2</c:v>
                </c:pt>
              </c:numCache>
            </c:numRef>
          </c:val>
          <c:extLst>
            <c:ext xmlns:c16="http://schemas.microsoft.com/office/drawing/2014/chart" uri="{C3380CC4-5D6E-409C-BE32-E72D297353CC}">
              <c16:uniqueId val="{00000003-BB71-4623-862B-DA01FE679CBC}"/>
            </c:ext>
          </c:extLst>
        </c:ser>
        <c:dLbls>
          <c:showLegendKey val="0"/>
          <c:showVal val="0"/>
          <c:showCatName val="0"/>
          <c:showSerName val="0"/>
          <c:showPercent val="0"/>
          <c:showBubbleSize val="0"/>
        </c:dLbls>
        <c:gapWidth val="150"/>
        <c:overlap val="100"/>
        <c:axId val="588092015"/>
        <c:axId val="588094927"/>
      </c:barChart>
      <c:catAx>
        <c:axId val="588092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88094927"/>
        <c:crosses val="autoZero"/>
        <c:auto val="1"/>
        <c:lblAlgn val="ctr"/>
        <c:lblOffset val="100"/>
        <c:noMultiLvlLbl val="0"/>
      </c:catAx>
      <c:valAx>
        <c:axId val="5880949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88092015"/>
        <c:crosses val="autoZero"/>
        <c:crossBetween val="between"/>
        <c:majorUnit val="0.2"/>
      </c:valAx>
      <c:spPr>
        <a:noFill/>
        <a:ln>
          <a:noFill/>
        </a:ln>
        <a:effectLst/>
      </c:spPr>
    </c:plotArea>
    <c:legend>
      <c:legendPos val="b"/>
      <c:layout>
        <c:manualLayout>
          <c:xMode val="edge"/>
          <c:yMode val="edge"/>
          <c:x val="6.5405074365704294E-2"/>
          <c:y val="0.79737169532009189"/>
          <c:w val="0.86918985126859127"/>
          <c:h val="0.202628304679908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'Index 1968-2019'!$X$59</c:f>
              <c:strCache>
                <c:ptCount val="1"/>
                <c:pt idx="0">
                  <c:v>Trade</c:v>
                </c:pt>
              </c:strCache>
            </c:strRef>
          </c:tx>
          <c:spPr>
            <a:solidFill>
              <a:schemeClr val="accent1"/>
            </a:solidFill>
            <a:ln>
              <a:noFill/>
            </a:ln>
            <a:effectLst/>
          </c:spPr>
          <c:invertIfNegative val="0"/>
          <c:cat>
            <c:numRef>
              <c:f>'Index 1968-2019'!$W$60:$W$111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1968-2019'!$X$60:$X$111</c:f>
              <c:numCache>
                <c:formatCode>0%</c:formatCode>
                <c:ptCount val="52"/>
                <c:pt idx="0">
                  <c:v>0.10529879029681305</c:v>
                </c:pt>
                <c:pt idx="1">
                  <c:v>0.10666966016748974</c:v>
                </c:pt>
                <c:pt idx="2">
                  <c:v>0.15169740156446099</c:v>
                </c:pt>
                <c:pt idx="3">
                  <c:v>0.13669371865632043</c:v>
                </c:pt>
                <c:pt idx="4">
                  <c:v>0.16605073641727314</c:v>
                </c:pt>
                <c:pt idx="5">
                  <c:v>0.24106954805309311</c:v>
                </c:pt>
                <c:pt idx="6">
                  <c:v>0.23892080623031267</c:v>
                </c:pt>
                <c:pt idx="7">
                  <c:v>0.24111345770501358</c:v>
                </c:pt>
                <c:pt idx="8">
                  <c:v>0.23374705402529394</c:v>
                </c:pt>
                <c:pt idx="9">
                  <c:v>0.23210414858664466</c:v>
                </c:pt>
                <c:pt idx="10">
                  <c:v>0.21617798950915726</c:v>
                </c:pt>
                <c:pt idx="11">
                  <c:v>0.21295718117100973</c:v>
                </c:pt>
                <c:pt idx="12">
                  <c:v>0.22601728807448979</c:v>
                </c:pt>
                <c:pt idx="13">
                  <c:v>0.25658849682862572</c:v>
                </c:pt>
                <c:pt idx="14">
                  <c:v>0.23527165992548177</c:v>
                </c:pt>
                <c:pt idx="15">
                  <c:v>0.26868635218632037</c:v>
                </c:pt>
                <c:pt idx="16">
                  <c:v>0.23693078629275327</c:v>
                </c:pt>
                <c:pt idx="17">
                  <c:v>0.23939323434426857</c:v>
                </c:pt>
                <c:pt idx="18">
                  <c:v>0.25584308711777892</c:v>
                </c:pt>
                <c:pt idx="19">
                  <c:v>0.28345530808792724</c:v>
                </c:pt>
                <c:pt idx="20">
                  <c:v>0.24387320158059747</c:v>
                </c:pt>
                <c:pt idx="21">
                  <c:v>0.20552150091340243</c:v>
                </c:pt>
                <c:pt idx="22">
                  <c:v>0.24666835304349247</c:v>
                </c:pt>
                <c:pt idx="23">
                  <c:v>0.25216947618833335</c:v>
                </c:pt>
                <c:pt idx="24">
                  <c:v>0.27763723726165718</c:v>
                </c:pt>
                <c:pt idx="25">
                  <c:v>0.27763723726165718</c:v>
                </c:pt>
                <c:pt idx="26">
                  <c:v>0.27763723726165718</c:v>
                </c:pt>
                <c:pt idx="27">
                  <c:v>0.30292413857505057</c:v>
                </c:pt>
                <c:pt idx="28">
                  <c:v>0.29905002131932751</c:v>
                </c:pt>
                <c:pt idx="29">
                  <c:v>0.27832817295518686</c:v>
                </c:pt>
                <c:pt idx="30">
                  <c:v>0.2553278511467259</c:v>
                </c:pt>
                <c:pt idx="31">
                  <c:v>0.17459520326769939</c:v>
                </c:pt>
                <c:pt idx="32">
                  <c:v>0.23581489866724714</c:v>
                </c:pt>
                <c:pt idx="33">
                  <c:v>0.2103945706045445</c:v>
                </c:pt>
                <c:pt idx="34">
                  <c:v>0.24489106065377225</c:v>
                </c:pt>
                <c:pt idx="35">
                  <c:v>0.24683531686294571</c:v>
                </c:pt>
                <c:pt idx="36">
                  <c:v>0.2462697984859476</c:v>
                </c:pt>
                <c:pt idx="37">
                  <c:v>0.23709246261378697</c:v>
                </c:pt>
                <c:pt idx="38">
                  <c:v>0.25104476112205509</c:v>
                </c:pt>
                <c:pt idx="39">
                  <c:v>0.25093453836165608</c:v>
                </c:pt>
                <c:pt idx="40">
                  <c:v>0.28165254262852812</c:v>
                </c:pt>
                <c:pt idx="41">
                  <c:v>0.25081610612133298</c:v>
                </c:pt>
                <c:pt idx="42">
                  <c:v>0.23055711660238931</c:v>
                </c:pt>
                <c:pt idx="43">
                  <c:v>0.22656818744708518</c:v>
                </c:pt>
                <c:pt idx="44">
                  <c:v>0.22386599369417426</c:v>
                </c:pt>
                <c:pt idx="45">
                  <c:v>0.23464658467801816</c:v>
                </c:pt>
                <c:pt idx="46">
                  <c:v>0.21861855313137735</c:v>
                </c:pt>
                <c:pt idx="47">
                  <c:v>0.18007825402649802</c:v>
                </c:pt>
                <c:pt idx="48">
                  <c:v>0.18327413810801374</c:v>
                </c:pt>
                <c:pt idx="49">
                  <c:v>0.1659250350416264</c:v>
                </c:pt>
                <c:pt idx="50">
                  <c:v>0.15232578633864763</c:v>
                </c:pt>
                <c:pt idx="51">
                  <c:v>0.14609512968938654</c:v>
                </c:pt>
              </c:numCache>
            </c:numRef>
          </c:val>
          <c:extLst>
            <c:ext xmlns:c16="http://schemas.microsoft.com/office/drawing/2014/chart" uri="{C3380CC4-5D6E-409C-BE32-E72D297353CC}">
              <c16:uniqueId val="{00000000-95CF-4846-8EED-0804BD886FEB}"/>
            </c:ext>
          </c:extLst>
        </c:ser>
        <c:ser>
          <c:idx val="1"/>
          <c:order val="1"/>
          <c:tx>
            <c:strRef>
              <c:f>'Index 1968-2019'!$Y$59</c:f>
              <c:strCache>
                <c:ptCount val="1"/>
                <c:pt idx="0">
                  <c:v>Employment</c:v>
                </c:pt>
              </c:strCache>
            </c:strRef>
          </c:tx>
          <c:spPr>
            <a:solidFill>
              <a:schemeClr val="accent2"/>
            </a:solidFill>
            <a:ln>
              <a:noFill/>
            </a:ln>
            <a:effectLst/>
          </c:spPr>
          <c:invertIfNegative val="0"/>
          <c:cat>
            <c:numRef>
              <c:f>'Index 1968-2019'!$W$60:$W$111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1968-2019'!$Y$60:$Y$111</c:f>
              <c:numCache>
                <c:formatCode>0%</c:formatCode>
                <c:ptCount val="52"/>
                <c:pt idx="0">
                  <c:v>2.0753397369707147E-2</c:v>
                </c:pt>
                <c:pt idx="1">
                  <c:v>4.9603972082350768E-2</c:v>
                </c:pt>
                <c:pt idx="2">
                  <c:v>7.8224661737523127E-2</c:v>
                </c:pt>
                <c:pt idx="3">
                  <c:v>0.14824113441659964</c:v>
                </c:pt>
                <c:pt idx="4">
                  <c:v>0.2302926092275587</c:v>
                </c:pt>
                <c:pt idx="5">
                  <c:v>0.25958782314202022</c:v>
                </c:pt>
                <c:pt idx="6">
                  <c:v>0.24805204125102592</c:v>
                </c:pt>
                <c:pt idx="7">
                  <c:v>0.26248178811318479</c:v>
                </c:pt>
                <c:pt idx="8">
                  <c:v>0.24436160293070858</c:v>
                </c:pt>
                <c:pt idx="9">
                  <c:v>0.2429112187836259</c:v>
                </c:pt>
                <c:pt idx="10">
                  <c:v>0.25005743245500883</c:v>
                </c:pt>
                <c:pt idx="11">
                  <c:v>0.28152319262991377</c:v>
                </c:pt>
                <c:pt idx="12">
                  <c:v>0.25925667654065443</c:v>
                </c:pt>
                <c:pt idx="13">
                  <c:v>0.27739087430333154</c:v>
                </c:pt>
                <c:pt idx="14">
                  <c:v>0.2937465445400429</c:v>
                </c:pt>
                <c:pt idx="15">
                  <c:v>0.31726530372358497</c:v>
                </c:pt>
                <c:pt idx="16">
                  <c:v>0.29822677499403588</c:v>
                </c:pt>
                <c:pt idx="17">
                  <c:v>0.28467971189698377</c:v>
                </c:pt>
                <c:pt idx="18">
                  <c:v>0.28846463576035164</c:v>
                </c:pt>
                <c:pt idx="19">
                  <c:v>0.33333333333333331</c:v>
                </c:pt>
                <c:pt idx="20">
                  <c:v>0.31529873792132218</c:v>
                </c:pt>
                <c:pt idx="21">
                  <c:v>0.30612527218153357</c:v>
                </c:pt>
                <c:pt idx="22">
                  <c:v>0.2969192743413287</c:v>
                </c:pt>
                <c:pt idx="23">
                  <c:v>0.28563923116656792</c:v>
                </c:pt>
                <c:pt idx="24">
                  <c:v>0.29438424326073825</c:v>
                </c:pt>
                <c:pt idx="25">
                  <c:v>0.19603737761257839</c:v>
                </c:pt>
                <c:pt idx="26">
                  <c:v>0.13240988748962948</c:v>
                </c:pt>
                <c:pt idx="27">
                  <c:v>0.11409653098056378</c:v>
                </c:pt>
                <c:pt idx="28">
                  <c:v>9.5020104922353604E-2</c:v>
                </c:pt>
                <c:pt idx="29">
                  <c:v>0.11288339214548405</c:v>
                </c:pt>
                <c:pt idx="30">
                  <c:v>0.16661579724314804</c:v>
                </c:pt>
                <c:pt idx="31">
                  <c:v>0.1716617039380576</c:v>
                </c:pt>
                <c:pt idx="32">
                  <c:v>0.10427472625713363</c:v>
                </c:pt>
                <c:pt idx="33">
                  <c:v>4.1350878671118849E-2</c:v>
                </c:pt>
                <c:pt idx="34">
                  <c:v>1.6877637143594238E-2</c:v>
                </c:pt>
                <c:pt idx="35">
                  <c:v>1.9938953139755633E-2</c:v>
                </c:pt>
                <c:pt idx="36">
                  <c:v>1.3527631481591163E-2</c:v>
                </c:pt>
                <c:pt idx="37">
                  <c:v>2.3783779270682967E-2</c:v>
                </c:pt>
                <c:pt idx="38">
                  <c:v>2.3569281332665663E-2</c:v>
                </c:pt>
                <c:pt idx="39">
                  <c:v>2.819388930782692E-2</c:v>
                </c:pt>
                <c:pt idx="40">
                  <c:v>3.6237123876482799E-2</c:v>
                </c:pt>
                <c:pt idx="41">
                  <c:v>3.3551327799168668E-2</c:v>
                </c:pt>
                <c:pt idx="42">
                  <c:v>3.6707495830715448E-2</c:v>
                </c:pt>
                <c:pt idx="43">
                  <c:v>3.6008098651850867E-2</c:v>
                </c:pt>
                <c:pt idx="44">
                  <c:v>3.6044019056121299E-2</c:v>
                </c:pt>
                <c:pt idx="45">
                  <c:v>5.2786288718686937E-2</c:v>
                </c:pt>
                <c:pt idx="46">
                  <c:v>6.7017966415798297E-2</c:v>
                </c:pt>
                <c:pt idx="47">
                  <c:v>7.3654285499745203E-2</c:v>
                </c:pt>
                <c:pt idx="48">
                  <c:v>7.7232478900371132E-2</c:v>
                </c:pt>
                <c:pt idx="49">
                  <c:v>8.6797379612997688E-2</c:v>
                </c:pt>
                <c:pt idx="50">
                  <c:v>0.10175329113048906</c:v>
                </c:pt>
                <c:pt idx="51">
                  <c:v>0.10620523663413863</c:v>
                </c:pt>
              </c:numCache>
            </c:numRef>
          </c:val>
          <c:extLst>
            <c:ext xmlns:c16="http://schemas.microsoft.com/office/drawing/2014/chart" uri="{C3380CC4-5D6E-409C-BE32-E72D297353CC}">
              <c16:uniqueId val="{00000001-95CF-4846-8EED-0804BD886FEB}"/>
            </c:ext>
          </c:extLst>
        </c:ser>
        <c:ser>
          <c:idx val="2"/>
          <c:order val="2"/>
          <c:tx>
            <c:strRef>
              <c:f>'Index 1968-2019'!$Z$59</c:f>
              <c:strCache>
                <c:ptCount val="1"/>
                <c:pt idx="0">
                  <c:v>Wealth and standard of living</c:v>
                </c:pt>
              </c:strCache>
            </c:strRef>
          </c:tx>
          <c:spPr>
            <a:solidFill>
              <a:schemeClr val="accent3"/>
            </a:solidFill>
            <a:ln>
              <a:noFill/>
            </a:ln>
            <a:effectLst/>
          </c:spPr>
          <c:invertIfNegative val="0"/>
          <c:cat>
            <c:numRef>
              <c:f>'Index 1968-2019'!$W$60:$W$111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1968-2019'!$Z$60:$Z$111</c:f>
              <c:numCache>
                <c:formatCode>0%</c:formatCode>
                <c:ptCount val="52"/>
                <c:pt idx="0">
                  <c:v>3.8681627942261737E-2</c:v>
                </c:pt>
                <c:pt idx="1">
                  <c:v>4.0217005565226706E-2</c:v>
                </c:pt>
                <c:pt idx="2">
                  <c:v>6.6595723408059998E-2</c:v>
                </c:pt>
                <c:pt idx="3">
                  <c:v>8.8434646367623604E-2</c:v>
                </c:pt>
                <c:pt idx="4">
                  <c:v>0.10699197708892112</c:v>
                </c:pt>
                <c:pt idx="5">
                  <c:v>8.9798483316825828E-2</c:v>
                </c:pt>
                <c:pt idx="6">
                  <c:v>0.13972636751638873</c:v>
                </c:pt>
                <c:pt idx="7">
                  <c:v>0.15213269382283892</c:v>
                </c:pt>
                <c:pt idx="8">
                  <c:v>0.2085942673216164</c:v>
                </c:pt>
                <c:pt idx="9">
                  <c:v>0.20884278081959035</c:v>
                </c:pt>
                <c:pt idx="10">
                  <c:v>0.22798008154160454</c:v>
                </c:pt>
                <c:pt idx="11">
                  <c:v>0.19367500795390991</c:v>
                </c:pt>
                <c:pt idx="12">
                  <c:v>0.26532133656026519</c:v>
                </c:pt>
                <c:pt idx="13">
                  <c:v>0.22784424821716509</c:v>
                </c:pt>
                <c:pt idx="14">
                  <c:v>0.24464543897295443</c:v>
                </c:pt>
                <c:pt idx="15">
                  <c:v>0.21585393095223188</c:v>
                </c:pt>
                <c:pt idx="16">
                  <c:v>0.26989445469830936</c:v>
                </c:pt>
                <c:pt idx="17">
                  <c:v>0.24621607227679101</c:v>
                </c:pt>
                <c:pt idx="18">
                  <c:v>0.24456080539030678</c:v>
                </c:pt>
                <c:pt idx="19">
                  <c:v>0.19246075207129804</c:v>
                </c:pt>
                <c:pt idx="20">
                  <c:v>0.16156593622488236</c:v>
                </c:pt>
                <c:pt idx="21">
                  <c:v>0.13954217345921985</c:v>
                </c:pt>
                <c:pt idx="22">
                  <c:v>0.17747297436072773</c:v>
                </c:pt>
                <c:pt idx="23">
                  <c:v>0.14838773385035103</c:v>
                </c:pt>
                <c:pt idx="24">
                  <c:v>0.18025709567179385</c:v>
                </c:pt>
                <c:pt idx="25">
                  <c:v>0.19933729901173103</c:v>
                </c:pt>
                <c:pt idx="26">
                  <c:v>0.19527920879402907</c:v>
                </c:pt>
                <c:pt idx="27">
                  <c:v>0.1628100399570287</c:v>
                </c:pt>
                <c:pt idx="28">
                  <c:v>0.12779227624992029</c:v>
                </c:pt>
                <c:pt idx="29">
                  <c:v>0.15139332460086355</c:v>
                </c:pt>
                <c:pt idx="30">
                  <c:v>0.18229247535089765</c:v>
                </c:pt>
                <c:pt idx="31">
                  <c:v>0.20925170968533316</c:v>
                </c:pt>
                <c:pt idx="32">
                  <c:v>0.15370691511274714</c:v>
                </c:pt>
                <c:pt idx="33">
                  <c:v>0.12855999433025592</c:v>
                </c:pt>
                <c:pt idx="34">
                  <c:v>8.124975260795278E-2</c:v>
                </c:pt>
                <c:pt idx="35">
                  <c:v>0.10405686465732855</c:v>
                </c:pt>
                <c:pt idx="36">
                  <c:v>0.15172533293533685</c:v>
                </c:pt>
                <c:pt idx="37">
                  <c:v>0.1757706086807406</c:v>
                </c:pt>
                <c:pt idx="38">
                  <c:v>0.15596029930016081</c:v>
                </c:pt>
                <c:pt idx="39">
                  <c:v>0.14625312574353791</c:v>
                </c:pt>
                <c:pt idx="40">
                  <c:v>0.15427904482216986</c:v>
                </c:pt>
                <c:pt idx="41">
                  <c:v>0.17499311026266096</c:v>
                </c:pt>
                <c:pt idx="42">
                  <c:v>0.16250370026702055</c:v>
                </c:pt>
                <c:pt idx="43">
                  <c:v>0.17308276946234416</c:v>
                </c:pt>
                <c:pt idx="44">
                  <c:v>0.18592313807515162</c:v>
                </c:pt>
                <c:pt idx="45">
                  <c:v>0.17966204993747159</c:v>
                </c:pt>
                <c:pt idx="46">
                  <c:v>0.16075211550499502</c:v>
                </c:pt>
                <c:pt idx="47">
                  <c:v>0.15844653600810332</c:v>
                </c:pt>
                <c:pt idx="48">
                  <c:v>0.16845555151482053</c:v>
                </c:pt>
                <c:pt idx="49">
                  <c:v>0.15871654873472774</c:v>
                </c:pt>
                <c:pt idx="50">
                  <c:v>0.14978560705936625</c:v>
                </c:pt>
                <c:pt idx="51">
                  <c:v>0.14045165939167351</c:v>
                </c:pt>
              </c:numCache>
            </c:numRef>
          </c:val>
          <c:extLst>
            <c:ext xmlns:c16="http://schemas.microsoft.com/office/drawing/2014/chart" uri="{C3380CC4-5D6E-409C-BE32-E72D297353CC}">
              <c16:uniqueId val="{00000002-95CF-4846-8EED-0804BD886FEB}"/>
            </c:ext>
          </c:extLst>
        </c:ser>
        <c:dLbls>
          <c:showLegendKey val="0"/>
          <c:showVal val="0"/>
          <c:showCatName val="0"/>
          <c:showSerName val="0"/>
          <c:showPercent val="0"/>
          <c:showBubbleSize val="0"/>
        </c:dLbls>
        <c:gapWidth val="150"/>
        <c:overlap val="100"/>
        <c:axId val="2049437520"/>
        <c:axId val="2049434608"/>
      </c:barChart>
      <c:catAx>
        <c:axId val="204943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49434608"/>
        <c:crosses val="autoZero"/>
        <c:auto val="1"/>
        <c:lblAlgn val="ctr"/>
        <c:lblOffset val="100"/>
        <c:noMultiLvlLbl val="0"/>
      </c:catAx>
      <c:valAx>
        <c:axId val="20494346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49437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1996-2019'!$P$33</c:f>
              <c:strCache>
                <c:ptCount val="1"/>
                <c:pt idx="0">
                  <c:v>IWBGII</c:v>
                </c:pt>
              </c:strCache>
            </c:strRef>
          </c:tx>
          <c:spPr>
            <a:ln w="28575" cap="rnd">
              <a:solidFill>
                <a:schemeClr val="accent1"/>
              </a:solidFill>
              <a:round/>
            </a:ln>
            <a:effectLst/>
          </c:spPr>
          <c:marker>
            <c:symbol val="none"/>
          </c:marker>
          <c:cat>
            <c:numRef>
              <c:f>'Index 1996-2019'!$O$34:$O$57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1996-2019'!$P$34:$P$57</c:f>
              <c:numCache>
                <c:formatCode>0%</c:formatCode>
                <c:ptCount val="24"/>
                <c:pt idx="0">
                  <c:v>0.59613027028888621</c:v>
                </c:pt>
                <c:pt idx="1">
                  <c:v>0.62149673413112938</c:v>
                </c:pt>
                <c:pt idx="2">
                  <c:v>0.70814097741440918</c:v>
                </c:pt>
                <c:pt idx="3">
                  <c:v>0.7293143489641386</c:v>
                </c:pt>
                <c:pt idx="4">
                  <c:v>0.65468529594886338</c:v>
                </c:pt>
                <c:pt idx="5">
                  <c:v>0.45827686098497433</c:v>
                </c:pt>
                <c:pt idx="6">
                  <c:v>0.40859419729353097</c:v>
                </c:pt>
                <c:pt idx="7">
                  <c:v>0.48923026403633363</c:v>
                </c:pt>
                <c:pt idx="8">
                  <c:v>0.46354617812374677</c:v>
                </c:pt>
                <c:pt idx="9">
                  <c:v>0.40564776275814429</c:v>
                </c:pt>
                <c:pt idx="10">
                  <c:v>0.4376954233739993</c:v>
                </c:pt>
                <c:pt idx="11">
                  <c:v>0.42638673528202081</c:v>
                </c:pt>
                <c:pt idx="12">
                  <c:v>0.39470600413618906</c:v>
                </c:pt>
                <c:pt idx="13">
                  <c:v>0.43143730330410457</c:v>
                </c:pt>
                <c:pt idx="14">
                  <c:v>0.40385269073666263</c:v>
                </c:pt>
                <c:pt idx="15">
                  <c:v>0.39828418529336207</c:v>
                </c:pt>
                <c:pt idx="16">
                  <c:v>0.45067006259894515</c:v>
                </c:pt>
                <c:pt idx="17">
                  <c:v>0.49373915244472988</c:v>
                </c:pt>
                <c:pt idx="18">
                  <c:v>0.45434497180544614</c:v>
                </c:pt>
                <c:pt idx="19">
                  <c:v>0.38831779729836113</c:v>
                </c:pt>
                <c:pt idx="20">
                  <c:v>0.50310406349603576</c:v>
                </c:pt>
                <c:pt idx="21">
                  <c:v>0.47579863419562396</c:v>
                </c:pt>
                <c:pt idx="22">
                  <c:v>0.45739368775829953</c:v>
                </c:pt>
                <c:pt idx="23">
                  <c:v>0.42763226531490028</c:v>
                </c:pt>
              </c:numCache>
            </c:numRef>
          </c:val>
          <c:smooth val="0"/>
          <c:extLst>
            <c:ext xmlns:c16="http://schemas.microsoft.com/office/drawing/2014/chart" uri="{C3380CC4-5D6E-409C-BE32-E72D297353CC}">
              <c16:uniqueId val="{00000000-699F-4990-AB56-7627112A1E5D}"/>
            </c:ext>
          </c:extLst>
        </c:ser>
        <c:dLbls>
          <c:showLegendKey val="0"/>
          <c:showVal val="0"/>
          <c:showCatName val="0"/>
          <c:showSerName val="0"/>
          <c:showPercent val="0"/>
          <c:showBubbleSize val="0"/>
        </c:dLbls>
        <c:smooth val="0"/>
        <c:axId val="412782240"/>
        <c:axId val="412793888"/>
      </c:lineChart>
      <c:catAx>
        <c:axId val="41278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12793888"/>
        <c:crosses val="autoZero"/>
        <c:auto val="1"/>
        <c:lblAlgn val="ctr"/>
        <c:lblOffset val="100"/>
        <c:noMultiLvlLbl val="0"/>
      </c:catAx>
      <c:valAx>
        <c:axId val="4127938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1278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1996-2019'!$Q$33</c:f>
              <c:strCache>
                <c:ptCount val="1"/>
                <c:pt idx="0">
                  <c:v>Trade, employment and taxes</c:v>
                </c:pt>
              </c:strCache>
            </c:strRef>
          </c:tx>
          <c:spPr>
            <a:ln w="28575" cap="rnd">
              <a:solidFill>
                <a:schemeClr val="accent1"/>
              </a:solidFill>
              <a:round/>
            </a:ln>
            <a:effectLst/>
          </c:spPr>
          <c:marker>
            <c:symbol val="none"/>
          </c:marker>
          <c:cat>
            <c:numRef>
              <c:f>'Index 1996-2019'!$O$34:$O$57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1996-2019'!$Q$34:$Q$57</c:f>
              <c:numCache>
                <c:formatCode>0%</c:formatCode>
                <c:ptCount val="24"/>
                <c:pt idx="0">
                  <c:v>0.66475379672917356</c:v>
                </c:pt>
                <c:pt idx="1">
                  <c:v>0.69570589036406727</c:v>
                </c:pt>
                <c:pt idx="2">
                  <c:v>0.86251657539124671</c:v>
                </c:pt>
                <c:pt idx="3">
                  <c:v>0.77462369095828687</c:v>
                </c:pt>
                <c:pt idx="4">
                  <c:v>0.64145705645347673</c:v>
                </c:pt>
                <c:pt idx="5">
                  <c:v>0.33934224556531456</c:v>
                </c:pt>
                <c:pt idx="6">
                  <c:v>0.29427675033607653</c:v>
                </c:pt>
                <c:pt idx="7">
                  <c:v>0.39767534186727105</c:v>
                </c:pt>
                <c:pt idx="8">
                  <c:v>0.41771748659854441</c:v>
                </c:pt>
                <c:pt idx="9">
                  <c:v>0.40090866340464187</c:v>
                </c:pt>
                <c:pt idx="10">
                  <c:v>0.36364039411697274</c:v>
                </c:pt>
                <c:pt idx="11">
                  <c:v>0.45223179865913715</c:v>
                </c:pt>
                <c:pt idx="12">
                  <c:v>0.46449479910990554</c:v>
                </c:pt>
                <c:pt idx="13">
                  <c:v>0.42194777226973657</c:v>
                </c:pt>
                <c:pt idx="14">
                  <c:v>0.36368937168230703</c:v>
                </c:pt>
                <c:pt idx="15">
                  <c:v>0.39802821096274454</c:v>
                </c:pt>
                <c:pt idx="16">
                  <c:v>0.34565730813955059</c:v>
                </c:pt>
                <c:pt idx="17">
                  <c:v>0.44941999676803401</c:v>
                </c:pt>
                <c:pt idx="18">
                  <c:v>0.45417554893581347</c:v>
                </c:pt>
                <c:pt idx="19">
                  <c:v>0.44878024042228515</c:v>
                </c:pt>
                <c:pt idx="20">
                  <c:v>0.45893336436723176</c:v>
                </c:pt>
                <c:pt idx="21">
                  <c:v>0.45862136742436027</c:v>
                </c:pt>
                <c:pt idx="22">
                  <c:v>0.46130394806312491</c:v>
                </c:pt>
                <c:pt idx="23">
                  <c:v>0.44671636226453515</c:v>
                </c:pt>
              </c:numCache>
            </c:numRef>
          </c:val>
          <c:smooth val="0"/>
          <c:extLst>
            <c:ext xmlns:c16="http://schemas.microsoft.com/office/drawing/2014/chart" uri="{C3380CC4-5D6E-409C-BE32-E72D297353CC}">
              <c16:uniqueId val="{00000000-4B2B-422A-881A-9CD70FE9963F}"/>
            </c:ext>
          </c:extLst>
        </c:ser>
        <c:ser>
          <c:idx val="1"/>
          <c:order val="1"/>
          <c:tx>
            <c:strRef>
              <c:f>'Index 1996-2019'!$R$33</c:f>
              <c:strCache>
                <c:ptCount val="1"/>
                <c:pt idx="0">
                  <c:v>Movement of people and Services</c:v>
                </c:pt>
              </c:strCache>
            </c:strRef>
          </c:tx>
          <c:spPr>
            <a:ln w="28575" cap="rnd">
              <a:solidFill>
                <a:schemeClr val="accent2"/>
              </a:solidFill>
              <a:round/>
            </a:ln>
            <a:effectLst/>
          </c:spPr>
          <c:marker>
            <c:symbol val="none"/>
          </c:marker>
          <c:cat>
            <c:numRef>
              <c:f>'Index 1996-2019'!$O$34:$O$57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1996-2019'!$R$34:$R$57</c:f>
              <c:numCache>
                <c:formatCode>0%</c:formatCode>
                <c:ptCount val="24"/>
                <c:pt idx="0">
                  <c:v>0</c:v>
                </c:pt>
                <c:pt idx="1">
                  <c:v>5.6179775280898882E-2</c:v>
                </c:pt>
                <c:pt idx="2">
                  <c:v>0.25842696629213485</c:v>
                </c:pt>
                <c:pt idx="3">
                  <c:v>0.7865168539325843</c:v>
                </c:pt>
                <c:pt idx="4">
                  <c:v>0.74157303370786509</c:v>
                </c:pt>
                <c:pt idx="5">
                  <c:v>0.29213483146067409</c:v>
                </c:pt>
                <c:pt idx="6">
                  <c:v>0.17977528089887634</c:v>
                </c:pt>
                <c:pt idx="7">
                  <c:v>0.6404494382022472</c:v>
                </c:pt>
                <c:pt idx="8">
                  <c:v>0.67415730337078639</c:v>
                </c:pt>
                <c:pt idx="9">
                  <c:v>0.67415730337078639</c:v>
                </c:pt>
                <c:pt idx="10">
                  <c:v>1</c:v>
                </c:pt>
                <c:pt idx="11">
                  <c:v>0.8202247191011236</c:v>
                </c:pt>
                <c:pt idx="12">
                  <c:v>0.16853932584269665</c:v>
                </c:pt>
                <c:pt idx="13">
                  <c:v>0.56179775280898869</c:v>
                </c:pt>
                <c:pt idx="14">
                  <c:v>0.37078651685393255</c:v>
                </c:pt>
                <c:pt idx="15">
                  <c:v>0.3595505617977528</c:v>
                </c:pt>
                <c:pt idx="16">
                  <c:v>0.6404494382022472</c:v>
                </c:pt>
                <c:pt idx="17">
                  <c:v>0.7752808988764045</c:v>
                </c:pt>
                <c:pt idx="18">
                  <c:v>0.69662921348314599</c:v>
                </c:pt>
                <c:pt idx="19">
                  <c:v>2.2471910112359567E-2</c:v>
                </c:pt>
                <c:pt idx="20">
                  <c:v>0.9887640449438202</c:v>
                </c:pt>
                <c:pt idx="21">
                  <c:v>0.68539325842696619</c:v>
                </c:pt>
                <c:pt idx="22">
                  <c:v>0.550561797752809</c:v>
                </c:pt>
                <c:pt idx="23">
                  <c:v>0.4269662921348315</c:v>
                </c:pt>
              </c:numCache>
            </c:numRef>
          </c:val>
          <c:smooth val="0"/>
          <c:extLst>
            <c:ext xmlns:c16="http://schemas.microsoft.com/office/drawing/2014/chart" uri="{C3380CC4-5D6E-409C-BE32-E72D297353CC}">
              <c16:uniqueId val="{00000001-4B2B-422A-881A-9CD70FE9963F}"/>
            </c:ext>
          </c:extLst>
        </c:ser>
        <c:ser>
          <c:idx val="2"/>
          <c:order val="2"/>
          <c:tx>
            <c:strRef>
              <c:f>'Index 1996-2019'!$S$33</c:f>
              <c:strCache>
                <c:ptCount val="1"/>
                <c:pt idx="0">
                  <c:v>Banking and money</c:v>
                </c:pt>
              </c:strCache>
            </c:strRef>
          </c:tx>
          <c:spPr>
            <a:ln w="28575" cap="rnd">
              <a:solidFill>
                <a:schemeClr val="accent3"/>
              </a:solidFill>
              <a:round/>
            </a:ln>
            <a:effectLst/>
          </c:spPr>
          <c:marker>
            <c:symbol val="none"/>
          </c:marker>
          <c:cat>
            <c:numRef>
              <c:f>'Index 1996-2019'!$O$34:$O$57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1996-2019'!$S$34:$S$57</c:f>
              <c:numCache>
                <c:formatCode>0%</c:formatCode>
                <c:ptCount val="24"/>
                <c:pt idx="0">
                  <c:v>0.57079628669672444</c:v>
                </c:pt>
                <c:pt idx="1">
                  <c:v>0.5816500410950517</c:v>
                </c:pt>
                <c:pt idx="2">
                  <c:v>0.33331008734632389</c:v>
                </c:pt>
                <c:pt idx="3">
                  <c:v>0.16984138328431012</c:v>
                </c:pt>
                <c:pt idx="4">
                  <c:v>0.27163226209791691</c:v>
                </c:pt>
                <c:pt idx="5">
                  <c:v>9.2856233307622618E-2</c:v>
                </c:pt>
                <c:pt idx="6">
                  <c:v>3.4784437808117942E-2</c:v>
                </c:pt>
                <c:pt idx="7">
                  <c:v>0.2537855404599505</c:v>
                </c:pt>
                <c:pt idx="8">
                  <c:v>0.47074632459187393</c:v>
                </c:pt>
                <c:pt idx="9">
                  <c:v>0</c:v>
                </c:pt>
                <c:pt idx="10">
                  <c:v>1.3289526173455234E-2</c:v>
                </c:pt>
                <c:pt idx="11">
                  <c:v>0.12447424325840364</c:v>
                </c:pt>
                <c:pt idx="12">
                  <c:v>0.38661632465453044</c:v>
                </c:pt>
                <c:pt idx="13">
                  <c:v>0.3854577558676866</c:v>
                </c:pt>
                <c:pt idx="14">
                  <c:v>0.55942650735018618</c:v>
                </c:pt>
                <c:pt idx="15">
                  <c:v>0.31819456454913719</c:v>
                </c:pt>
                <c:pt idx="16">
                  <c:v>0.66658082831430954</c:v>
                </c:pt>
                <c:pt idx="17">
                  <c:v>0.7152822598827322</c:v>
                </c:pt>
                <c:pt idx="18">
                  <c:v>0.5365182032728979</c:v>
                </c:pt>
                <c:pt idx="19">
                  <c:v>0.73015024506091164</c:v>
                </c:pt>
                <c:pt idx="20">
                  <c:v>0.80361563239155942</c:v>
                </c:pt>
                <c:pt idx="21">
                  <c:v>0.96598328303301795</c:v>
                </c:pt>
                <c:pt idx="22">
                  <c:v>0.84346237626769771</c:v>
                </c:pt>
                <c:pt idx="23">
                  <c:v>1</c:v>
                </c:pt>
              </c:numCache>
            </c:numRef>
          </c:val>
          <c:smooth val="0"/>
          <c:extLst>
            <c:ext xmlns:c16="http://schemas.microsoft.com/office/drawing/2014/chart" uri="{C3380CC4-5D6E-409C-BE32-E72D297353CC}">
              <c16:uniqueId val="{00000002-4B2B-422A-881A-9CD70FE9963F}"/>
            </c:ext>
          </c:extLst>
        </c:ser>
        <c:ser>
          <c:idx val="3"/>
          <c:order val="3"/>
          <c:tx>
            <c:strRef>
              <c:f>'Index 1996-2019'!$T$33</c:f>
              <c:strCache>
                <c:ptCount val="1"/>
                <c:pt idx="0">
                  <c:v> Wealth and standard of living</c:v>
                </c:pt>
              </c:strCache>
            </c:strRef>
          </c:tx>
          <c:spPr>
            <a:ln w="28575" cap="rnd">
              <a:solidFill>
                <a:schemeClr val="accent4"/>
              </a:solidFill>
              <a:round/>
            </a:ln>
            <a:effectLst/>
          </c:spPr>
          <c:marker>
            <c:symbol val="none"/>
          </c:marker>
          <c:cat>
            <c:numRef>
              <c:f>'Index 1996-2019'!$O$34:$O$57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1996-2019'!$T$34:$T$57</c:f>
              <c:numCache>
                <c:formatCode>0%</c:formatCode>
                <c:ptCount val="24"/>
                <c:pt idx="0">
                  <c:v>0.55428923427838528</c:v>
                </c:pt>
                <c:pt idx="1">
                  <c:v>0.5733682690820453</c:v>
                </c:pt>
                <c:pt idx="2">
                  <c:v>0.62841027365460334</c:v>
                </c:pt>
                <c:pt idx="3">
                  <c:v>0.73099371553239845</c:v>
                </c:pt>
                <c:pt idx="4">
                  <c:v>0.66034922578811017</c:v>
                </c:pt>
                <c:pt idx="5">
                  <c:v>0.65311439274661609</c:v>
                </c:pt>
                <c:pt idx="6">
                  <c:v>0.60286423328048788</c:v>
                </c:pt>
                <c:pt idx="7">
                  <c:v>0.49964040546703881</c:v>
                </c:pt>
                <c:pt idx="8">
                  <c:v>0.57006048384278618</c:v>
                </c:pt>
                <c:pt idx="9">
                  <c:v>0.5784644538685535</c:v>
                </c:pt>
                <c:pt idx="10">
                  <c:v>0.54164982932065298</c:v>
                </c:pt>
                <c:pt idx="11">
                  <c:v>0.4747367650454104</c:v>
                </c:pt>
                <c:pt idx="12">
                  <c:v>0.4584739527311269</c:v>
                </c:pt>
                <c:pt idx="13">
                  <c:v>0.56293865543993071</c:v>
                </c:pt>
                <c:pt idx="14">
                  <c:v>0.53807786596490359</c:v>
                </c:pt>
                <c:pt idx="15">
                  <c:v>0.55140569444588639</c:v>
                </c:pt>
                <c:pt idx="16">
                  <c:v>0.57256249238777046</c:v>
                </c:pt>
                <c:pt idx="17">
                  <c:v>0.54828571971672413</c:v>
                </c:pt>
                <c:pt idx="18">
                  <c:v>0.40308923417554621</c:v>
                </c:pt>
                <c:pt idx="19">
                  <c:v>0.36007849043761631</c:v>
                </c:pt>
                <c:pt idx="20">
                  <c:v>0.39576182083731998</c:v>
                </c:pt>
                <c:pt idx="21">
                  <c:v>0.32682979575892834</c:v>
                </c:pt>
                <c:pt idx="22">
                  <c:v>0.29368544441391981</c:v>
                </c:pt>
                <c:pt idx="23">
                  <c:v>0.28718754225427506</c:v>
                </c:pt>
              </c:numCache>
            </c:numRef>
          </c:val>
          <c:smooth val="0"/>
          <c:extLst>
            <c:ext xmlns:c16="http://schemas.microsoft.com/office/drawing/2014/chart" uri="{C3380CC4-5D6E-409C-BE32-E72D297353CC}">
              <c16:uniqueId val="{00000003-4B2B-422A-881A-9CD70FE9963F}"/>
            </c:ext>
          </c:extLst>
        </c:ser>
        <c:dLbls>
          <c:showLegendKey val="0"/>
          <c:showVal val="0"/>
          <c:showCatName val="0"/>
          <c:showSerName val="0"/>
          <c:showPercent val="0"/>
          <c:showBubbleSize val="0"/>
        </c:dLbls>
        <c:smooth val="0"/>
        <c:axId val="1201924464"/>
        <c:axId val="1201917392"/>
      </c:lineChart>
      <c:catAx>
        <c:axId val="120192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01917392"/>
        <c:crosses val="autoZero"/>
        <c:auto val="1"/>
        <c:lblAlgn val="ctr"/>
        <c:lblOffset val="100"/>
        <c:noMultiLvlLbl val="0"/>
      </c:catAx>
      <c:valAx>
        <c:axId val="12019173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0192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'Index 1996-2019'!$Q$62</c:f>
              <c:strCache>
                <c:ptCount val="1"/>
                <c:pt idx="0">
                  <c:v>Trade, employment and taxes</c:v>
                </c:pt>
              </c:strCache>
            </c:strRef>
          </c:tx>
          <c:spPr>
            <a:solidFill>
              <a:schemeClr val="accent1"/>
            </a:solidFill>
            <a:ln>
              <a:noFill/>
            </a:ln>
            <a:effectLst/>
          </c:spPr>
          <c:invertIfNegative val="0"/>
          <c:cat>
            <c:numRef>
              <c:f>'Index 1996-2019'!$P$63:$P$86</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1996-2019'!$Q$63:$Q$86</c:f>
              <c:numCache>
                <c:formatCode>0%</c:formatCode>
                <c:ptCount val="24"/>
                <c:pt idx="0">
                  <c:v>0.33237689836458678</c:v>
                </c:pt>
                <c:pt idx="1">
                  <c:v>0.34785294518203363</c:v>
                </c:pt>
                <c:pt idx="2">
                  <c:v>0.43125828769562335</c:v>
                </c:pt>
                <c:pt idx="3">
                  <c:v>0.38731184547914344</c:v>
                </c:pt>
                <c:pt idx="4">
                  <c:v>0.32072852822673836</c:v>
                </c:pt>
                <c:pt idx="5">
                  <c:v>0.16967112278265728</c:v>
                </c:pt>
                <c:pt idx="6">
                  <c:v>0.14713837516803827</c:v>
                </c:pt>
                <c:pt idx="7">
                  <c:v>0.19883767093363552</c:v>
                </c:pt>
                <c:pt idx="8">
                  <c:v>0.2088587432992722</c:v>
                </c:pt>
                <c:pt idx="9">
                  <c:v>0.20045433170232094</c:v>
                </c:pt>
                <c:pt idx="10">
                  <c:v>0.18182019705848637</c:v>
                </c:pt>
                <c:pt idx="11">
                  <c:v>0.22611589932956858</c:v>
                </c:pt>
                <c:pt idx="12">
                  <c:v>0.23224739955495277</c:v>
                </c:pt>
                <c:pt idx="13">
                  <c:v>0.21097388613486828</c:v>
                </c:pt>
                <c:pt idx="14">
                  <c:v>0.18184468584115351</c:v>
                </c:pt>
                <c:pt idx="15">
                  <c:v>0.19901410548137227</c:v>
                </c:pt>
                <c:pt idx="16">
                  <c:v>0.17282865406977529</c:v>
                </c:pt>
                <c:pt idx="17">
                  <c:v>0.22470999838401701</c:v>
                </c:pt>
                <c:pt idx="18">
                  <c:v>0.22708777446790673</c:v>
                </c:pt>
                <c:pt idx="19">
                  <c:v>0.22439012021114257</c:v>
                </c:pt>
                <c:pt idx="20">
                  <c:v>0.22946668218361588</c:v>
                </c:pt>
                <c:pt idx="21">
                  <c:v>0.22931068371218014</c:v>
                </c:pt>
                <c:pt idx="22">
                  <c:v>0.23065197403156246</c:v>
                </c:pt>
                <c:pt idx="23">
                  <c:v>0.22335818113226757</c:v>
                </c:pt>
              </c:numCache>
            </c:numRef>
          </c:val>
          <c:extLst>
            <c:ext xmlns:c16="http://schemas.microsoft.com/office/drawing/2014/chart" uri="{C3380CC4-5D6E-409C-BE32-E72D297353CC}">
              <c16:uniqueId val="{00000000-626E-43A8-872C-153A4D263FBB}"/>
            </c:ext>
          </c:extLst>
        </c:ser>
        <c:ser>
          <c:idx val="1"/>
          <c:order val="1"/>
          <c:tx>
            <c:strRef>
              <c:f>'Index 1996-2019'!$R$62</c:f>
              <c:strCache>
                <c:ptCount val="1"/>
                <c:pt idx="0">
                  <c:v>Movement of people and Services</c:v>
                </c:pt>
              </c:strCache>
            </c:strRef>
          </c:tx>
          <c:spPr>
            <a:solidFill>
              <a:schemeClr val="accent2"/>
            </a:solidFill>
            <a:ln>
              <a:noFill/>
            </a:ln>
            <a:effectLst/>
          </c:spPr>
          <c:invertIfNegative val="0"/>
          <c:cat>
            <c:numRef>
              <c:f>'Index 1996-2019'!$P$63:$P$86</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1996-2019'!$R$63:$R$86</c:f>
              <c:numCache>
                <c:formatCode>0%</c:formatCode>
                <c:ptCount val="24"/>
                <c:pt idx="0">
                  <c:v>0</c:v>
                </c:pt>
                <c:pt idx="1">
                  <c:v>5.6179775280898884E-3</c:v>
                </c:pt>
                <c:pt idx="2">
                  <c:v>2.5842696629213485E-2</c:v>
                </c:pt>
                <c:pt idx="3">
                  <c:v>7.8651685393258439E-2</c:v>
                </c:pt>
                <c:pt idx="4">
                  <c:v>7.4157303370786506E-2</c:v>
                </c:pt>
                <c:pt idx="5">
                  <c:v>2.921348314606741E-2</c:v>
                </c:pt>
                <c:pt idx="6">
                  <c:v>1.7977528089887635E-2</c:v>
                </c:pt>
                <c:pt idx="7">
                  <c:v>6.4044943820224728E-2</c:v>
                </c:pt>
                <c:pt idx="8">
                  <c:v>6.7415730337078636E-2</c:v>
                </c:pt>
                <c:pt idx="9">
                  <c:v>6.7415730337078636E-2</c:v>
                </c:pt>
                <c:pt idx="10">
                  <c:v>0.1</c:v>
                </c:pt>
                <c:pt idx="11">
                  <c:v>8.202247191011236E-2</c:v>
                </c:pt>
                <c:pt idx="12">
                  <c:v>1.6853932584269666E-2</c:v>
                </c:pt>
                <c:pt idx="13">
                  <c:v>5.6179775280898875E-2</c:v>
                </c:pt>
                <c:pt idx="14">
                  <c:v>3.7078651685393253E-2</c:v>
                </c:pt>
                <c:pt idx="15">
                  <c:v>3.5955056179775284E-2</c:v>
                </c:pt>
                <c:pt idx="16">
                  <c:v>6.4044943820224728E-2</c:v>
                </c:pt>
                <c:pt idx="17">
                  <c:v>7.7528089887640456E-2</c:v>
                </c:pt>
                <c:pt idx="18">
                  <c:v>6.9662921348314602E-2</c:v>
                </c:pt>
                <c:pt idx="19">
                  <c:v>2.247191011235957E-3</c:v>
                </c:pt>
                <c:pt idx="20">
                  <c:v>9.8876404494382023E-2</c:v>
                </c:pt>
                <c:pt idx="21">
                  <c:v>6.8539325842696619E-2</c:v>
                </c:pt>
                <c:pt idx="22">
                  <c:v>5.5056179775280906E-2</c:v>
                </c:pt>
                <c:pt idx="23">
                  <c:v>4.2696629213483155E-2</c:v>
                </c:pt>
              </c:numCache>
            </c:numRef>
          </c:val>
          <c:extLst>
            <c:ext xmlns:c16="http://schemas.microsoft.com/office/drawing/2014/chart" uri="{C3380CC4-5D6E-409C-BE32-E72D297353CC}">
              <c16:uniqueId val="{00000001-626E-43A8-872C-153A4D263FBB}"/>
            </c:ext>
          </c:extLst>
        </c:ser>
        <c:ser>
          <c:idx val="2"/>
          <c:order val="2"/>
          <c:tx>
            <c:strRef>
              <c:f>'Index 1996-2019'!$S$62</c:f>
              <c:strCache>
                <c:ptCount val="1"/>
                <c:pt idx="0">
                  <c:v>Banking and money</c:v>
                </c:pt>
              </c:strCache>
            </c:strRef>
          </c:tx>
          <c:spPr>
            <a:solidFill>
              <a:schemeClr val="accent3"/>
            </a:solidFill>
            <a:ln>
              <a:noFill/>
            </a:ln>
            <a:effectLst/>
          </c:spPr>
          <c:invertIfNegative val="0"/>
          <c:cat>
            <c:numRef>
              <c:f>'Index 1996-2019'!$P$63:$P$86</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1996-2019'!$S$63:$S$86</c:f>
              <c:numCache>
                <c:formatCode>0%</c:formatCode>
                <c:ptCount val="24"/>
                <c:pt idx="0">
                  <c:v>5.707962866967245E-2</c:v>
                </c:pt>
                <c:pt idx="1">
                  <c:v>5.8165004109505175E-2</c:v>
                </c:pt>
                <c:pt idx="2">
                  <c:v>3.3331008734632392E-2</c:v>
                </c:pt>
                <c:pt idx="3">
                  <c:v>1.6984138328431011E-2</c:v>
                </c:pt>
                <c:pt idx="4">
                  <c:v>2.7163226209791693E-2</c:v>
                </c:pt>
                <c:pt idx="5">
                  <c:v>9.2856233307622629E-3</c:v>
                </c:pt>
                <c:pt idx="6">
                  <c:v>3.4784437808117945E-3</c:v>
                </c:pt>
                <c:pt idx="7">
                  <c:v>2.5378554045995053E-2</c:v>
                </c:pt>
                <c:pt idx="8">
                  <c:v>4.7074632459187395E-2</c:v>
                </c:pt>
                <c:pt idx="9">
                  <c:v>0</c:v>
                </c:pt>
                <c:pt idx="10">
                  <c:v>1.3289526173455234E-3</c:v>
                </c:pt>
                <c:pt idx="11">
                  <c:v>1.2447424325840365E-2</c:v>
                </c:pt>
                <c:pt idx="12">
                  <c:v>3.8661632465453045E-2</c:v>
                </c:pt>
                <c:pt idx="13">
                  <c:v>3.8545775586768666E-2</c:v>
                </c:pt>
                <c:pt idx="14">
                  <c:v>5.5942650735018619E-2</c:v>
                </c:pt>
                <c:pt idx="15">
                  <c:v>3.1819456454913721E-2</c:v>
                </c:pt>
                <c:pt idx="16">
                  <c:v>6.6658082831430959E-2</c:v>
                </c:pt>
                <c:pt idx="17">
                  <c:v>7.1528225988273228E-2</c:v>
                </c:pt>
                <c:pt idx="18">
                  <c:v>5.3651820327289795E-2</c:v>
                </c:pt>
                <c:pt idx="19">
                  <c:v>7.3015024506091167E-2</c:v>
                </c:pt>
                <c:pt idx="20">
                  <c:v>8.0361563239155942E-2</c:v>
                </c:pt>
                <c:pt idx="21">
                  <c:v>9.6598328303301798E-2</c:v>
                </c:pt>
                <c:pt idx="22">
                  <c:v>8.4346237626769779E-2</c:v>
                </c:pt>
                <c:pt idx="23">
                  <c:v>0.1</c:v>
                </c:pt>
              </c:numCache>
            </c:numRef>
          </c:val>
          <c:extLst>
            <c:ext xmlns:c16="http://schemas.microsoft.com/office/drawing/2014/chart" uri="{C3380CC4-5D6E-409C-BE32-E72D297353CC}">
              <c16:uniqueId val="{00000002-626E-43A8-872C-153A4D263FBB}"/>
            </c:ext>
          </c:extLst>
        </c:ser>
        <c:ser>
          <c:idx val="3"/>
          <c:order val="3"/>
          <c:tx>
            <c:strRef>
              <c:f>'Index 1996-2019'!$T$62</c:f>
              <c:strCache>
                <c:ptCount val="1"/>
                <c:pt idx="0">
                  <c:v> Wealth and standard of living</c:v>
                </c:pt>
              </c:strCache>
            </c:strRef>
          </c:tx>
          <c:spPr>
            <a:solidFill>
              <a:schemeClr val="accent4"/>
            </a:solidFill>
            <a:ln>
              <a:noFill/>
            </a:ln>
            <a:effectLst/>
          </c:spPr>
          <c:invertIfNegative val="0"/>
          <c:cat>
            <c:numRef>
              <c:f>'Index 1996-2019'!$P$63:$P$86</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1996-2019'!$T$63:$T$86</c:f>
              <c:numCache>
                <c:formatCode>0%</c:formatCode>
                <c:ptCount val="24"/>
                <c:pt idx="0">
                  <c:v>0.1662867702835156</c:v>
                </c:pt>
                <c:pt idx="1">
                  <c:v>0.17201048072461361</c:v>
                </c:pt>
                <c:pt idx="2">
                  <c:v>0.18852308209638102</c:v>
                </c:pt>
                <c:pt idx="3">
                  <c:v>0.21929811465971957</c:v>
                </c:pt>
                <c:pt idx="4">
                  <c:v>0.19810476773643307</c:v>
                </c:pt>
                <c:pt idx="5">
                  <c:v>0.19593431782398485</c:v>
                </c:pt>
                <c:pt idx="6">
                  <c:v>0.18085926998414639</c:v>
                </c:pt>
                <c:pt idx="7">
                  <c:v>0.14989212164011168</c:v>
                </c:pt>
                <c:pt idx="8">
                  <c:v>0.17101814515283589</c:v>
                </c:pt>
                <c:pt idx="9">
                  <c:v>0.17353933616056608</c:v>
                </c:pt>
                <c:pt idx="10">
                  <c:v>0.16249494879619591</c:v>
                </c:pt>
                <c:pt idx="11">
                  <c:v>0.14242102951362315</c:v>
                </c:pt>
                <c:pt idx="12">
                  <c:v>0.13754218581933808</c:v>
                </c:pt>
                <c:pt idx="13">
                  <c:v>0.16888159663197924</c:v>
                </c:pt>
                <c:pt idx="14">
                  <c:v>0.16142335978947109</c:v>
                </c:pt>
                <c:pt idx="15">
                  <c:v>0.16542170833376593</c:v>
                </c:pt>
                <c:pt idx="16">
                  <c:v>0.17176874771633116</c:v>
                </c:pt>
                <c:pt idx="17">
                  <c:v>0.16448571591501726</c:v>
                </c:pt>
                <c:pt idx="18">
                  <c:v>0.12092677025266388</c:v>
                </c:pt>
                <c:pt idx="19">
                  <c:v>0.10802354713128491</c:v>
                </c:pt>
                <c:pt idx="20">
                  <c:v>0.11872854625119601</c:v>
                </c:pt>
                <c:pt idx="21">
                  <c:v>9.8048938727678517E-2</c:v>
                </c:pt>
                <c:pt idx="22">
                  <c:v>8.8105633324175953E-2</c:v>
                </c:pt>
                <c:pt idx="23">
                  <c:v>8.6156262676282527E-2</c:v>
                </c:pt>
              </c:numCache>
            </c:numRef>
          </c:val>
          <c:extLst>
            <c:ext xmlns:c16="http://schemas.microsoft.com/office/drawing/2014/chart" uri="{C3380CC4-5D6E-409C-BE32-E72D297353CC}">
              <c16:uniqueId val="{00000003-626E-43A8-872C-153A4D263FBB}"/>
            </c:ext>
          </c:extLst>
        </c:ser>
        <c:dLbls>
          <c:showLegendKey val="0"/>
          <c:showVal val="0"/>
          <c:showCatName val="0"/>
          <c:showSerName val="0"/>
          <c:showPercent val="0"/>
          <c:showBubbleSize val="0"/>
        </c:dLbls>
        <c:gapWidth val="150"/>
        <c:overlap val="100"/>
        <c:axId val="845293088"/>
        <c:axId val="845293504"/>
      </c:barChart>
      <c:catAx>
        <c:axId val="84529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45293504"/>
        <c:crosses val="autoZero"/>
        <c:auto val="1"/>
        <c:lblAlgn val="ctr"/>
        <c:lblOffset val="100"/>
        <c:noMultiLvlLbl val="0"/>
      </c:catAx>
      <c:valAx>
        <c:axId val="8452935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4529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2000-2019 '!$Z$33</c:f>
              <c:strCache>
                <c:ptCount val="1"/>
                <c:pt idx="0">
                  <c:v>IWBGII</c:v>
                </c:pt>
              </c:strCache>
            </c:strRef>
          </c:tx>
          <c:spPr>
            <a:ln w="28575" cap="rnd">
              <a:solidFill>
                <a:schemeClr val="accent1"/>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'!$Z$34:$Z$53</c:f>
              <c:numCache>
                <c:formatCode>0%</c:formatCode>
                <c:ptCount val="20"/>
                <c:pt idx="0">
                  <c:v>0.49941995813447698</c:v>
                </c:pt>
                <c:pt idx="1">
                  <c:v>0.37293414349120213</c:v>
                </c:pt>
                <c:pt idx="2">
                  <c:v>0.32265951676460503</c:v>
                </c:pt>
                <c:pt idx="3">
                  <c:v>0.3718751402549863</c:v>
                </c:pt>
                <c:pt idx="4">
                  <c:v>0.37303597861054172</c:v>
                </c:pt>
                <c:pt idx="5">
                  <c:v>0.40862766650179111</c:v>
                </c:pt>
                <c:pt idx="6">
                  <c:v>0.41051345424187469</c:v>
                </c:pt>
                <c:pt idx="7">
                  <c:v>0.38362260337612031</c:v>
                </c:pt>
                <c:pt idx="8">
                  <c:v>0.42511913298096837</c:v>
                </c:pt>
                <c:pt idx="9">
                  <c:v>0.44694487357602775</c:v>
                </c:pt>
                <c:pt idx="10">
                  <c:v>0.4523655477718308</c:v>
                </c:pt>
                <c:pt idx="11">
                  <c:v>0.46524741546732262</c:v>
                </c:pt>
                <c:pt idx="12">
                  <c:v>0.51569918993301211</c:v>
                </c:pt>
                <c:pt idx="13">
                  <c:v>0.5551226013691547</c:v>
                </c:pt>
                <c:pt idx="14">
                  <c:v>0.54394687856683621</c:v>
                </c:pt>
                <c:pt idx="15">
                  <c:v>0.49682567739531991</c:v>
                </c:pt>
                <c:pt idx="16">
                  <c:v>0.60581154345318267</c:v>
                </c:pt>
                <c:pt idx="17">
                  <c:v>0.60608425917683939</c:v>
                </c:pt>
                <c:pt idx="18">
                  <c:v>0.61393031082462901</c:v>
                </c:pt>
                <c:pt idx="19">
                  <c:v>0.57164681483069568</c:v>
                </c:pt>
              </c:numCache>
            </c:numRef>
          </c:val>
          <c:smooth val="0"/>
          <c:extLst>
            <c:ext xmlns:c16="http://schemas.microsoft.com/office/drawing/2014/chart" uri="{C3380CC4-5D6E-409C-BE32-E72D297353CC}">
              <c16:uniqueId val="{00000000-7D2E-4679-B045-89F3354E1140}"/>
            </c:ext>
          </c:extLst>
        </c:ser>
        <c:dLbls>
          <c:showLegendKey val="0"/>
          <c:showVal val="0"/>
          <c:showCatName val="0"/>
          <c:showSerName val="0"/>
          <c:showPercent val="0"/>
          <c:showBubbleSize val="0"/>
        </c:dLbls>
        <c:smooth val="0"/>
        <c:axId val="412447984"/>
        <c:axId val="412449648"/>
      </c:lineChart>
      <c:catAx>
        <c:axId val="41244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12449648"/>
        <c:crosses val="autoZero"/>
        <c:auto val="1"/>
        <c:lblAlgn val="ctr"/>
        <c:lblOffset val="100"/>
        <c:noMultiLvlLbl val="0"/>
      </c:catAx>
      <c:valAx>
        <c:axId val="4124496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1244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2000-2019 '!$U$33</c:f>
              <c:strCache>
                <c:ptCount val="1"/>
                <c:pt idx="0">
                  <c:v>Trade, employment and taxes</c:v>
                </c:pt>
              </c:strCache>
            </c:strRef>
          </c:tx>
          <c:spPr>
            <a:ln w="28575" cap="rnd">
              <a:solidFill>
                <a:schemeClr val="accent1"/>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'!$U$34:$U$53</c:f>
              <c:numCache>
                <c:formatCode>0%</c:formatCode>
                <c:ptCount val="20"/>
                <c:pt idx="0">
                  <c:v>0.73070941097032927</c:v>
                </c:pt>
                <c:pt idx="1">
                  <c:v>0.37583533745218178</c:v>
                </c:pt>
                <c:pt idx="2">
                  <c:v>0.3181087791600658</c:v>
                </c:pt>
                <c:pt idx="3">
                  <c:v>0.42209541973353554</c:v>
                </c:pt>
                <c:pt idx="4">
                  <c:v>0.43737407512316762</c:v>
                </c:pt>
                <c:pt idx="5">
                  <c:v>0.42731823269572411</c:v>
                </c:pt>
                <c:pt idx="6">
                  <c:v>0.39050905003684833</c:v>
                </c:pt>
                <c:pt idx="7">
                  <c:v>0.48233075970052214</c:v>
                </c:pt>
                <c:pt idx="8">
                  <c:v>0.50696922949551082</c:v>
                </c:pt>
                <c:pt idx="9">
                  <c:v>0.45786667262371944</c:v>
                </c:pt>
                <c:pt idx="10">
                  <c:v>0.39892201477670425</c:v>
                </c:pt>
                <c:pt idx="11">
                  <c:v>0.43044468594417523</c:v>
                </c:pt>
                <c:pt idx="12">
                  <c:v>0.37783978044941158</c:v>
                </c:pt>
                <c:pt idx="13">
                  <c:v>0.49488124831340874</c:v>
                </c:pt>
                <c:pt idx="14">
                  <c:v>0.50584825297393776</c:v>
                </c:pt>
                <c:pt idx="15">
                  <c:v>0.49608029069643317</c:v>
                </c:pt>
                <c:pt idx="16">
                  <c:v>0.50937522490896625</c:v>
                </c:pt>
                <c:pt idx="17">
                  <c:v>0.51368809187448028</c:v>
                </c:pt>
                <c:pt idx="18">
                  <c:v>0.5224405451581946</c:v>
                </c:pt>
                <c:pt idx="19">
                  <c:v>0.50927992403939437</c:v>
                </c:pt>
              </c:numCache>
            </c:numRef>
          </c:val>
          <c:smooth val="0"/>
          <c:extLst>
            <c:ext xmlns:c16="http://schemas.microsoft.com/office/drawing/2014/chart" uri="{C3380CC4-5D6E-409C-BE32-E72D297353CC}">
              <c16:uniqueId val="{00000000-346F-445F-9DE8-B2D9FC3901AA}"/>
            </c:ext>
          </c:extLst>
        </c:ser>
        <c:ser>
          <c:idx val="1"/>
          <c:order val="1"/>
          <c:tx>
            <c:strRef>
              <c:f>'Index 2000-2019 '!$V$33</c:f>
              <c:strCache>
                <c:ptCount val="1"/>
                <c:pt idx="0">
                  <c:v>Movement of people and Services</c:v>
                </c:pt>
              </c:strCache>
            </c:strRef>
          </c:tx>
          <c:spPr>
            <a:ln w="28575" cap="rnd">
              <a:solidFill>
                <a:schemeClr val="accent2"/>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'!$V$34:$V$53</c:f>
              <c:numCache>
                <c:formatCode>0%</c:formatCode>
                <c:ptCount val="20"/>
                <c:pt idx="0">
                  <c:v>0.73563218390804597</c:v>
                </c:pt>
                <c:pt idx="1">
                  <c:v>0.27586206896551718</c:v>
                </c:pt>
                <c:pt idx="2">
                  <c:v>0.160919540229885</c:v>
                </c:pt>
                <c:pt idx="3">
                  <c:v>0.63218390804597702</c:v>
                </c:pt>
                <c:pt idx="4">
                  <c:v>0.66666666666666652</c:v>
                </c:pt>
                <c:pt idx="5">
                  <c:v>0.66666666666666652</c:v>
                </c:pt>
                <c:pt idx="6">
                  <c:v>1</c:v>
                </c:pt>
                <c:pt idx="7">
                  <c:v>0.81609195402298851</c:v>
                </c:pt>
                <c:pt idx="8">
                  <c:v>0.14942528735632185</c:v>
                </c:pt>
                <c:pt idx="9">
                  <c:v>0.55172413793103448</c:v>
                </c:pt>
                <c:pt idx="10">
                  <c:v>0.35632183908045967</c:v>
                </c:pt>
                <c:pt idx="11">
                  <c:v>0.34482758620689646</c:v>
                </c:pt>
                <c:pt idx="12">
                  <c:v>0.63218390804597702</c:v>
                </c:pt>
                <c:pt idx="13">
                  <c:v>0.77011494252873558</c:v>
                </c:pt>
                <c:pt idx="14">
                  <c:v>0.68965517241379304</c:v>
                </c:pt>
                <c:pt idx="15">
                  <c:v>0</c:v>
                </c:pt>
                <c:pt idx="16">
                  <c:v>0.9885057471264368</c:v>
                </c:pt>
                <c:pt idx="17">
                  <c:v>0.67816091954022983</c:v>
                </c:pt>
                <c:pt idx="18">
                  <c:v>0.54022988505747127</c:v>
                </c:pt>
                <c:pt idx="19">
                  <c:v>0.41379310344827586</c:v>
                </c:pt>
              </c:numCache>
            </c:numRef>
          </c:val>
          <c:smooth val="0"/>
          <c:extLst>
            <c:ext xmlns:c16="http://schemas.microsoft.com/office/drawing/2014/chart" uri="{C3380CC4-5D6E-409C-BE32-E72D297353CC}">
              <c16:uniqueId val="{00000001-346F-445F-9DE8-B2D9FC3901AA}"/>
            </c:ext>
          </c:extLst>
        </c:ser>
        <c:ser>
          <c:idx val="2"/>
          <c:order val="2"/>
          <c:tx>
            <c:strRef>
              <c:f>'Index 2000-2019 '!$W$33</c:f>
              <c:strCache>
                <c:ptCount val="1"/>
                <c:pt idx="0">
                  <c:v>Resources and infrastructure</c:v>
                </c:pt>
              </c:strCache>
            </c:strRef>
          </c:tx>
          <c:spPr>
            <a:ln w="28575" cap="rnd">
              <a:solidFill>
                <a:schemeClr val="accent3"/>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'!$W$34:$W$53</c:f>
              <c:numCache>
                <c:formatCode>0%</c:formatCode>
                <c:ptCount val="20"/>
                <c:pt idx="0">
                  <c:v>1.3629579473732643E-2</c:v>
                </c:pt>
                <c:pt idx="1">
                  <c:v>0.11720870713073249</c:v>
                </c:pt>
                <c:pt idx="2">
                  <c:v>9.9218855045018289E-2</c:v>
                </c:pt>
                <c:pt idx="3">
                  <c:v>0.12777660372220778</c:v>
                </c:pt>
                <c:pt idx="4">
                  <c:v>0.1506079324109556</c:v>
                </c:pt>
                <c:pt idx="5">
                  <c:v>0.31712002131259287</c:v>
                </c:pt>
                <c:pt idx="6">
                  <c:v>0.36396236366165702</c:v>
                </c:pt>
                <c:pt idx="7">
                  <c:v>0.3191685160211884</c:v>
                </c:pt>
                <c:pt idx="8">
                  <c:v>0.42301330718194463</c:v>
                </c:pt>
                <c:pt idx="9">
                  <c:v>0.5058659694244676</c:v>
                </c:pt>
                <c:pt idx="10">
                  <c:v>0.64716797360428979</c:v>
                </c:pt>
                <c:pt idx="11">
                  <c:v>0.66535288571729023</c:v>
                </c:pt>
                <c:pt idx="12">
                  <c:v>0.64098628755086007</c:v>
                </c:pt>
                <c:pt idx="13">
                  <c:v>0.69969035321397466</c:v>
                </c:pt>
                <c:pt idx="14">
                  <c:v>0.76757525245729974</c:v>
                </c:pt>
                <c:pt idx="15">
                  <c:v>0.80142038797393167</c:v>
                </c:pt>
                <c:pt idx="16">
                  <c:v>0.92117877906545753</c:v>
                </c:pt>
                <c:pt idx="17">
                  <c:v>0.97159850228350919</c:v>
                </c:pt>
                <c:pt idx="18">
                  <c:v>0.97391266084887562</c:v>
                </c:pt>
                <c:pt idx="19">
                  <c:v>0.88702984205650814</c:v>
                </c:pt>
              </c:numCache>
            </c:numRef>
          </c:val>
          <c:smooth val="0"/>
          <c:extLst>
            <c:ext xmlns:c16="http://schemas.microsoft.com/office/drawing/2014/chart" uri="{C3380CC4-5D6E-409C-BE32-E72D297353CC}">
              <c16:uniqueId val="{00000002-346F-445F-9DE8-B2D9FC3901AA}"/>
            </c:ext>
          </c:extLst>
        </c:ser>
        <c:ser>
          <c:idx val="3"/>
          <c:order val="3"/>
          <c:tx>
            <c:strRef>
              <c:f>'Index 2000-2019 '!$X$33</c:f>
              <c:strCache>
                <c:ptCount val="1"/>
                <c:pt idx="0">
                  <c:v>Banking and money</c:v>
                </c:pt>
              </c:strCache>
            </c:strRef>
          </c:tx>
          <c:spPr>
            <a:ln w="28575" cap="rnd">
              <a:solidFill>
                <a:schemeClr val="accent4"/>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'!$X$34:$X$53</c:f>
              <c:numCache>
                <c:formatCode>0%</c:formatCode>
                <c:ptCount val="20"/>
                <c:pt idx="0">
                  <c:v>0.28417412914280238</c:v>
                </c:pt>
                <c:pt idx="1">
                  <c:v>0.19028515629808135</c:v>
                </c:pt>
                <c:pt idx="2">
                  <c:v>6.5080546632657443E-2</c:v>
                </c:pt>
                <c:pt idx="3">
                  <c:v>0.16254510489919299</c:v>
                </c:pt>
                <c:pt idx="4">
                  <c:v>0.34965318141286805</c:v>
                </c:pt>
                <c:pt idx="5">
                  <c:v>0</c:v>
                </c:pt>
                <c:pt idx="6">
                  <c:v>0.13030549407861436</c:v>
                </c:pt>
                <c:pt idx="7">
                  <c:v>0.21108951918062591</c:v>
                </c:pt>
                <c:pt idx="8">
                  <c:v>0.4234758382429743</c:v>
                </c:pt>
                <c:pt idx="9">
                  <c:v>0.39538391763216996</c:v>
                </c:pt>
                <c:pt idx="10">
                  <c:v>0.51681668391874969</c:v>
                </c:pt>
                <c:pt idx="11">
                  <c:v>0.32854471057584911</c:v>
                </c:pt>
                <c:pt idx="12">
                  <c:v>0.65382418379408769</c:v>
                </c:pt>
                <c:pt idx="13">
                  <c:v>0.67787249514521331</c:v>
                </c:pt>
                <c:pt idx="14">
                  <c:v>0.60135980741771355</c:v>
                </c:pt>
                <c:pt idx="15">
                  <c:v>0.70960447466202847</c:v>
                </c:pt>
                <c:pt idx="16">
                  <c:v>0.73230930394287586</c:v>
                </c:pt>
                <c:pt idx="17">
                  <c:v>0.85613916858145256</c:v>
                </c:pt>
                <c:pt idx="18">
                  <c:v>0.86163996204162574</c:v>
                </c:pt>
                <c:pt idx="19">
                  <c:v>1</c:v>
                </c:pt>
              </c:numCache>
            </c:numRef>
          </c:val>
          <c:smooth val="0"/>
          <c:extLst>
            <c:ext xmlns:c16="http://schemas.microsoft.com/office/drawing/2014/chart" uri="{C3380CC4-5D6E-409C-BE32-E72D297353CC}">
              <c16:uniqueId val="{00000003-346F-445F-9DE8-B2D9FC3901AA}"/>
            </c:ext>
          </c:extLst>
        </c:ser>
        <c:ser>
          <c:idx val="4"/>
          <c:order val="4"/>
          <c:tx>
            <c:strRef>
              <c:f>'Index 2000-2019 '!$Y$33</c:f>
              <c:strCache>
                <c:ptCount val="1"/>
                <c:pt idx="0">
                  <c:v> Wealth and Standard of living</c:v>
                </c:pt>
              </c:strCache>
            </c:strRef>
          </c:tx>
          <c:spPr>
            <a:ln w="28575" cap="rnd">
              <a:solidFill>
                <a:schemeClr val="accent5"/>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'!$Y$34:$Y$53</c:f>
              <c:numCache>
                <c:formatCode>0%</c:formatCode>
                <c:ptCount val="20"/>
                <c:pt idx="0">
                  <c:v>0.49807577367128425</c:v>
                </c:pt>
                <c:pt idx="1">
                  <c:v>0.51992777641111199</c:v>
                </c:pt>
                <c:pt idx="2">
                  <c:v>0.49581779345077426</c:v>
                </c:pt>
                <c:pt idx="3">
                  <c:v>0.37473030410027913</c:v>
                </c:pt>
                <c:pt idx="4">
                  <c:v>0.45214325213752149</c:v>
                </c:pt>
                <c:pt idx="5">
                  <c:v>0.68384834040141507</c:v>
                </c:pt>
                <c:pt idx="6">
                  <c:v>0.47624081653745975</c:v>
                </c:pt>
                <c:pt idx="7">
                  <c:v>0.36758636943918116</c:v>
                </c:pt>
                <c:pt idx="8">
                  <c:v>0.47823213839297285</c:v>
                </c:pt>
                <c:pt idx="9">
                  <c:v>0.50042368315726726</c:v>
                </c:pt>
                <c:pt idx="10">
                  <c:v>0.4580733612855048</c:v>
                </c:pt>
                <c:pt idx="11">
                  <c:v>0.55868419487927745</c:v>
                </c:pt>
                <c:pt idx="12">
                  <c:v>0.57370764854590672</c:v>
                </c:pt>
                <c:pt idx="13">
                  <c:v>0.53350350318394879</c:v>
                </c:pt>
                <c:pt idx="14">
                  <c:v>0.42357660542010306</c:v>
                </c:pt>
                <c:pt idx="15">
                  <c:v>0.36265058247816817</c:v>
                </c:pt>
                <c:pt idx="16">
                  <c:v>0.41740878543115884</c:v>
                </c:pt>
                <c:pt idx="17">
                  <c:v>0.37871517840251817</c:v>
                </c:pt>
                <c:pt idx="18">
                  <c:v>0.39392603448808483</c:v>
                </c:pt>
                <c:pt idx="19">
                  <c:v>0.33580564980819705</c:v>
                </c:pt>
              </c:numCache>
            </c:numRef>
          </c:val>
          <c:smooth val="0"/>
          <c:extLst>
            <c:ext xmlns:c16="http://schemas.microsoft.com/office/drawing/2014/chart" uri="{C3380CC4-5D6E-409C-BE32-E72D297353CC}">
              <c16:uniqueId val="{00000004-346F-445F-9DE8-B2D9FC3901AA}"/>
            </c:ext>
          </c:extLst>
        </c:ser>
        <c:dLbls>
          <c:showLegendKey val="0"/>
          <c:showVal val="0"/>
          <c:showCatName val="0"/>
          <c:showSerName val="0"/>
          <c:showPercent val="0"/>
          <c:showBubbleSize val="0"/>
        </c:dLbls>
        <c:smooth val="0"/>
        <c:axId val="1796796608"/>
        <c:axId val="1796802016"/>
      </c:lineChart>
      <c:catAx>
        <c:axId val="179679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96802016"/>
        <c:crosses val="autoZero"/>
        <c:auto val="1"/>
        <c:lblAlgn val="ctr"/>
        <c:lblOffset val="100"/>
        <c:noMultiLvlLbl val="0"/>
      </c:catAx>
      <c:valAx>
        <c:axId val="17968020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9679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'Index 2000-2019 '!$AB$33</c:f>
              <c:strCache>
                <c:ptCount val="1"/>
                <c:pt idx="0">
                  <c:v>Trade, employment and taxes</c:v>
                </c:pt>
              </c:strCache>
            </c:strRef>
          </c:tx>
          <c:spPr>
            <a:solidFill>
              <a:schemeClr val="accent1"/>
            </a:solidFill>
            <a:ln>
              <a:noFill/>
            </a:ln>
            <a:effectLst/>
          </c:spPr>
          <c:invertIfNegative val="0"/>
          <c:cat>
            <c:numRef>
              <c:f>'Index 2000-2019 '!$AA$34:$AA$53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'!$AB$34:$AB$53</c:f>
              <c:numCache>
                <c:formatCode>0%</c:formatCode>
                <c:ptCount val="20"/>
                <c:pt idx="0">
                  <c:v>0.24356980365677641</c:v>
                </c:pt>
                <c:pt idx="1">
                  <c:v>0.12527844581739392</c:v>
                </c:pt>
                <c:pt idx="2">
                  <c:v>0.10603625972002192</c:v>
                </c:pt>
                <c:pt idx="3">
                  <c:v>0.14069847324451185</c:v>
                </c:pt>
                <c:pt idx="4">
                  <c:v>0.1457913583743892</c:v>
                </c:pt>
                <c:pt idx="5">
                  <c:v>0.1424394108985747</c:v>
                </c:pt>
                <c:pt idx="6">
                  <c:v>0.1301696833456161</c:v>
                </c:pt>
                <c:pt idx="7">
                  <c:v>0.16077691990017404</c:v>
                </c:pt>
                <c:pt idx="8">
                  <c:v>0.16898974316517026</c:v>
                </c:pt>
                <c:pt idx="9">
                  <c:v>0.15262222420790647</c:v>
                </c:pt>
                <c:pt idx="10">
                  <c:v>0.13297400492556807</c:v>
                </c:pt>
                <c:pt idx="11">
                  <c:v>0.14348156198139173</c:v>
                </c:pt>
                <c:pt idx="12">
                  <c:v>0.12594659348313719</c:v>
                </c:pt>
                <c:pt idx="13">
                  <c:v>0.16496041610446957</c:v>
                </c:pt>
                <c:pt idx="14">
                  <c:v>0.16861608432464592</c:v>
                </c:pt>
                <c:pt idx="15">
                  <c:v>0.16536009689881104</c:v>
                </c:pt>
                <c:pt idx="16">
                  <c:v>0.16979174163632207</c:v>
                </c:pt>
                <c:pt idx="17">
                  <c:v>0.17122936395816007</c:v>
                </c:pt>
                <c:pt idx="18">
                  <c:v>0.17414684838606487</c:v>
                </c:pt>
                <c:pt idx="19">
                  <c:v>0.16975997467979811</c:v>
                </c:pt>
              </c:numCache>
            </c:numRef>
          </c:val>
          <c:extLst>
            <c:ext xmlns:c16="http://schemas.microsoft.com/office/drawing/2014/chart" uri="{C3380CC4-5D6E-409C-BE32-E72D297353CC}">
              <c16:uniqueId val="{00000000-3843-492E-AE79-7077A9E2E2A1}"/>
            </c:ext>
          </c:extLst>
        </c:ser>
        <c:ser>
          <c:idx val="1"/>
          <c:order val="1"/>
          <c:tx>
            <c:strRef>
              <c:f>'Index 2000-2019 '!$AC$33</c:f>
              <c:strCache>
                <c:ptCount val="1"/>
                <c:pt idx="0">
                  <c:v>Movement of people and Services</c:v>
                </c:pt>
              </c:strCache>
            </c:strRef>
          </c:tx>
          <c:spPr>
            <a:solidFill>
              <a:schemeClr val="accent2"/>
            </a:solidFill>
            <a:ln>
              <a:noFill/>
            </a:ln>
            <a:effectLst/>
          </c:spPr>
          <c:invertIfNegative val="0"/>
          <c:cat>
            <c:numRef>
              <c:f>'Index 2000-2019 '!$AA$34:$AA$53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'!$AC$34:$AC$53</c:f>
              <c:numCache>
                <c:formatCode>0%</c:formatCode>
                <c:ptCount val="20"/>
                <c:pt idx="0">
                  <c:v>4.9042145593869733E-2</c:v>
                </c:pt>
                <c:pt idx="1">
                  <c:v>1.8390804597701146E-2</c:v>
                </c:pt>
                <c:pt idx="2">
                  <c:v>1.0727969348659E-2</c:v>
                </c:pt>
                <c:pt idx="3">
                  <c:v>4.2145593869731802E-2</c:v>
                </c:pt>
                <c:pt idx="4">
                  <c:v>4.4444444444444432E-2</c:v>
                </c:pt>
                <c:pt idx="5">
                  <c:v>4.4444444444444432E-2</c:v>
                </c:pt>
                <c:pt idx="6">
                  <c:v>6.6666666666666666E-2</c:v>
                </c:pt>
                <c:pt idx="7">
                  <c:v>5.4406130268199231E-2</c:v>
                </c:pt>
                <c:pt idx="8">
                  <c:v>9.9616858237547897E-3</c:v>
                </c:pt>
                <c:pt idx="9">
                  <c:v>3.6781609195402298E-2</c:v>
                </c:pt>
                <c:pt idx="10">
                  <c:v>2.3754789272030643E-2</c:v>
                </c:pt>
                <c:pt idx="11">
                  <c:v>2.298850574712643E-2</c:v>
                </c:pt>
                <c:pt idx="12">
                  <c:v>4.2145593869731802E-2</c:v>
                </c:pt>
                <c:pt idx="13">
                  <c:v>5.134099616858237E-2</c:v>
                </c:pt>
                <c:pt idx="14">
                  <c:v>4.5977011494252866E-2</c:v>
                </c:pt>
                <c:pt idx="15">
                  <c:v>0</c:v>
                </c:pt>
                <c:pt idx="16">
                  <c:v>6.5900383141762456E-2</c:v>
                </c:pt>
                <c:pt idx="17">
                  <c:v>4.5210727969348656E-2</c:v>
                </c:pt>
                <c:pt idx="18">
                  <c:v>3.6015325670498081E-2</c:v>
                </c:pt>
                <c:pt idx="19">
                  <c:v>2.7586206896551724E-2</c:v>
                </c:pt>
              </c:numCache>
            </c:numRef>
          </c:val>
          <c:extLst>
            <c:ext xmlns:c16="http://schemas.microsoft.com/office/drawing/2014/chart" uri="{C3380CC4-5D6E-409C-BE32-E72D297353CC}">
              <c16:uniqueId val="{00000001-3843-492E-AE79-7077A9E2E2A1}"/>
            </c:ext>
          </c:extLst>
        </c:ser>
        <c:ser>
          <c:idx val="2"/>
          <c:order val="2"/>
          <c:tx>
            <c:strRef>
              <c:f>'Index 2000-2019 '!$AD$33</c:f>
              <c:strCache>
                <c:ptCount val="1"/>
                <c:pt idx="0">
                  <c:v>Resources and infrastructure</c:v>
                </c:pt>
              </c:strCache>
            </c:strRef>
          </c:tx>
          <c:spPr>
            <a:solidFill>
              <a:schemeClr val="accent3"/>
            </a:solidFill>
            <a:ln>
              <a:noFill/>
            </a:ln>
            <a:effectLst/>
          </c:spPr>
          <c:invertIfNegative val="0"/>
          <c:cat>
            <c:numRef>
              <c:f>'Index 2000-2019 '!$AA$34:$AA$53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'!$AD$34:$AD$53</c:f>
              <c:numCache>
                <c:formatCode>0%</c:formatCode>
                <c:ptCount val="20"/>
                <c:pt idx="0">
                  <c:v>2.7259158947465288E-3</c:v>
                </c:pt>
                <c:pt idx="1">
                  <c:v>2.3441741426146499E-2</c:v>
                </c:pt>
                <c:pt idx="2">
                  <c:v>1.9843771009003659E-2</c:v>
                </c:pt>
                <c:pt idx="3">
                  <c:v>2.5555320744441556E-2</c:v>
                </c:pt>
                <c:pt idx="4">
                  <c:v>3.0121586482191123E-2</c:v>
                </c:pt>
                <c:pt idx="5">
                  <c:v>6.3424004262518582E-2</c:v>
                </c:pt>
                <c:pt idx="6">
                  <c:v>7.2792472732331401E-2</c:v>
                </c:pt>
                <c:pt idx="7">
                  <c:v>6.3833703204237688E-2</c:v>
                </c:pt>
                <c:pt idx="8">
                  <c:v>8.4602661436388935E-2</c:v>
                </c:pt>
                <c:pt idx="9">
                  <c:v>0.10117319388489353</c:v>
                </c:pt>
                <c:pt idx="10">
                  <c:v>0.12943359472085797</c:v>
                </c:pt>
                <c:pt idx="11">
                  <c:v>0.13307057714345805</c:v>
                </c:pt>
                <c:pt idx="12">
                  <c:v>0.12819725751017202</c:v>
                </c:pt>
                <c:pt idx="13">
                  <c:v>0.13993807064279493</c:v>
                </c:pt>
                <c:pt idx="14">
                  <c:v>0.15351505049145997</c:v>
                </c:pt>
                <c:pt idx="15">
                  <c:v>0.16028407759478636</c:v>
                </c:pt>
                <c:pt idx="16">
                  <c:v>0.18423575581309151</c:v>
                </c:pt>
                <c:pt idx="17">
                  <c:v>0.19431970045670185</c:v>
                </c:pt>
                <c:pt idx="18">
                  <c:v>0.19478253216977515</c:v>
                </c:pt>
                <c:pt idx="19">
                  <c:v>0.17740596841130163</c:v>
                </c:pt>
              </c:numCache>
            </c:numRef>
          </c:val>
          <c:extLst>
            <c:ext xmlns:c16="http://schemas.microsoft.com/office/drawing/2014/chart" uri="{C3380CC4-5D6E-409C-BE32-E72D297353CC}">
              <c16:uniqueId val="{00000002-3843-492E-AE79-7077A9E2E2A1}"/>
            </c:ext>
          </c:extLst>
        </c:ser>
        <c:ser>
          <c:idx val="3"/>
          <c:order val="3"/>
          <c:tx>
            <c:strRef>
              <c:f>'Index 2000-2019 '!$AE$33</c:f>
              <c:strCache>
                <c:ptCount val="1"/>
                <c:pt idx="0">
                  <c:v>Banking and money</c:v>
                </c:pt>
              </c:strCache>
            </c:strRef>
          </c:tx>
          <c:spPr>
            <a:solidFill>
              <a:schemeClr val="accent4"/>
            </a:solidFill>
            <a:ln>
              <a:noFill/>
            </a:ln>
            <a:effectLst/>
          </c:spPr>
          <c:invertIfNegative val="0"/>
          <c:cat>
            <c:numRef>
              <c:f>'Index 2000-2019 '!$AA$34:$AA$53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'!$AE$34:$AE$53</c:f>
              <c:numCache>
                <c:formatCode>0%</c:formatCode>
                <c:ptCount val="20"/>
                <c:pt idx="0">
                  <c:v>3.7889883885706986E-2</c:v>
                </c:pt>
                <c:pt idx="1">
                  <c:v>2.5371354173077513E-2</c:v>
                </c:pt>
                <c:pt idx="2">
                  <c:v>8.6774062176876582E-3</c:v>
                </c:pt>
                <c:pt idx="3">
                  <c:v>2.1672680653225734E-2</c:v>
                </c:pt>
                <c:pt idx="4">
                  <c:v>4.6620424188382407E-2</c:v>
                </c:pt>
                <c:pt idx="5">
                  <c:v>0</c:v>
                </c:pt>
                <c:pt idx="6">
                  <c:v>1.7374065877148581E-2</c:v>
                </c:pt>
                <c:pt idx="7">
                  <c:v>2.8145269224083454E-2</c:v>
                </c:pt>
                <c:pt idx="8">
                  <c:v>5.6463445099063238E-2</c:v>
                </c:pt>
                <c:pt idx="9">
                  <c:v>5.2717855684289328E-2</c:v>
                </c:pt>
                <c:pt idx="10">
                  <c:v>6.8908891189166627E-2</c:v>
                </c:pt>
                <c:pt idx="11">
                  <c:v>4.3805961410113212E-2</c:v>
                </c:pt>
                <c:pt idx="12">
                  <c:v>8.7176557839211688E-2</c:v>
                </c:pt>
                <c:pt idx="13">
                  <c:v>9.0382999352695101E-2</c:v>
                </c:pt>
                <c:pt idx="14">
                  <c:v>8.0181307655695144E-2</c:v>
                </c:pt>
                <c:pt idx="15">
                  <c:v>9.4613929954937129E-2</c:v>
                </c:pt>
                <c:pt idx="16">
                  <c:v>9.764124052571678E-2</c:v>
                </c:pt>
                <c:pt idx="17">
                  <c:v>0.11415188914419368</c:v>
                </c:pt>
                <c:pt idx="18">
                  <c:v>0.11488532827221676</c:v>
                </c:pt>
                <c:pt idx="19">
                  <c:v>0.13333333333333333</c:v>
                </c:pt>
              </c:numCache>
            </c:numRef>
          </c:val>
          <c:extLst>
            <c:ext xmlns:c16="http://schemas.microsoft.com/office/drawing/2014/chart" uri="{C3380CC4-5D6E-409C-BE32-E72D297353CC}">
              <c16:uniqueId val="{00000003-3843-492E-AE79-7077A9E2E2A1}"/>
            </c:ext>
          </c:extLst>
        </c:ser>
        <c:ser>
          <c:idx val="4"/>
          <c:order val="4"/>
          <c:tx>
            <c:strRef>
              <c:f>'Index 2000-2019 '!$AF$33</c:f>
              <c:strCache>
                <c:ptCount val="1"/>
                <c:pt idx="0">
                  <c:v> Wealth and Standard of living</c:v>
                </c:pt>
              </c:strCache>
            </c:strRef>
          </c:tx>
          <c:spPr>
            <a:solidFill>
              <a:schemeClr val="accent5"/>
            </a:solidFill>
            <a:ln>
              <a:noFill/>
            </a:ln>
            <a:effectLst/>
          </c:spPr>
          <c:invertIfNegative val="0"/>
          <c:cat>
            <c:numRef>
              <c:f>'Index 2000-2019 '!$AA$34:$AA$53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'!$AF$34:$AF$53</c:f>
              <c:numCache>
                <c:formatCode>0%</c:formatCode>
                <c:ptCount val="20"/>
                <c:pt idx="0">
                  <c:v>0.13282020631234245</c:v>
                </c:pt>
                <c:pt idx="1">
                  <c:v>0.13864740704296319</c:v>
                </c:pt>
                <c:pt idx="2">
                  <c:v>0.13221807825353979</c:v>
                </c:pt>
                <c:pt idx="3">
                  <c:v>9.992808109340777E-2</c:v>
                </c:pt>
                <c:pt idx="4">
                  <c:v>0.12057153390333906</c:v>
                </c:pt>
                <c:pt idx="5">
                  <c:v>0.18235955744037735</c:v>
                </c:pt>
                <c:pt idx="6">
                  <c:v>0.12699755107665595</c:v>
                </c:pt>
                <c:pt idx="7">
                  <c:v>9.8023031850448306E-2</c:v>
                </c:pt>
                <c:pt idx="8">
                  <c:v>0.12752857023812608</c:v>
                </c:pt>
                <c:pt idx="9">
                  <c:v>0.13344631550860461</c:v>
                </c:pt>
                <c:pt idx="10">
                  <c:v>0.12215289634280128</c:v>
                </c:pt>
                <c:pt idx="11">
                  <c:v>0.14898245196780732</c:v>
                </c:pt>
                <c:pt idx="12">
                  <c:v>0.15298870627890845</c:v>
                </c:pt>
                <c:pt idx="13">
                  <c:v>0.14226760084905302</c:v>
                </c:pt>
                <c:pt idx="14">
                  <c:v>0.11295376144536082</c:v>
                </c:pt>
                <c:pt idx="15">
                  <c:v>9.6706821994178183E-2</c:v>
                </c:pt>
                <c:pt idx="16">
                  <c:v>0.11130900944830902</c:v>
                </c:pt>
                <c:pt idx="17">
                  <c:v>0.10099071424067151</c:v>
                </c:pt>
                <c:pt idx="18">
                  <c:v>0.10504694253015595</c:v>
                </c:pt>
                <c:pt idx="19">
                  <c:v>8.9548173282185881E-2</c:v>
                </c:pt>
              </c:numCache>
            </c:numRef>
          </c:val>
          <c:extLst>
            <c:ext xmlns:c16="http://schemas.microsoft.com/office/drawing/2014/chart" uri="{C3380CC4-5D6E-409C-BE32-E72D297353CC}">
              <c16:uniqueId val="{00000004-3843-492E-AE79-7077A9E2E2A1}"/>
            </c:ext>
          </c:extLst>
        </c:ser>
        <c:dLbls>
          <c:showLegendKey val="0"/>
          <c:showVal val="0"/>
          <c:showCatName val="0"/>
          <c:showSerName val="0"/>
          <c:showPercent val="0"/>
          <c:showBubbleSize val="0"/>
        </c:dLbls>
        <c:gapWidth val="150"/>
        <c:overlap val="100"/>
        <c:axId val="2030759328"/>
        <c:axId val="2030759744"/>
      </c:barChart>
      <c:catAx>
        <c:axId val="203075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30759744"/>
        <c:crosses val="autoZero"/>
        <c:auto val="1"/>
        <c:lblAlgn val="ctr"/>
        <c:lblOffset val="100"/>
        <c:noMultiLvlLbl val="0"/>
      </c:catAx>
      <c:valAx>
        <c:axId val="20307597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3075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5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9374</Words>
  <Characters>44810</Characters>
  <Application>Microsoft Office Word</Application>
  <DocSecurity>0</DocSecurity>
  <Lines>734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רועי פרייברג</dc:creator>
  <cp:keywords/>
  <dc:description/>
  <cp:lastModifiedBy>Susan</cp:lastModifiedBy>
  <cp:revision>2</cp:revision>
  <dcterms:created xsi:type="dcterms:W3CDTF">2022-05-21T08:04:00Z</dcterms:created>
  <dcterms:modified xsi:type="dcterms:W3CDTF">2022-05-21T08:04:00Z</dcterms:modified>
</cp:coreProperties>
</file>