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CA265" w14:textId="77777777" w:rsidR="00944978" w:rsidRDefault="00D726D8">
      <w:pPr>
        <w:bidi/>
        <w:jc w:val="both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  <w:rtl/>
        </w:rPr>
        <w:t>פרק ראשון: תמונת מצב של ההייטק הישראלי</w:t>
      </w:r>
    </w:p>
    <w:p w14:paraId="0ACEE811" w14:textId="77777777" w:rsidR="00944978" w:rsidRDefault="00D726D8">
      <w:pPr>
        <w:bidi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rtl/>
        </w:rPr>
        <w:t xml:space="preserve">שנת 2021 הייתה אחת השנים המוצלחות ביותר להייטק הישראלי. היקף ההשקעות ההון סיכון בחברות הזנק ישראליות הגיע לכ-27 מיליארד דולר ועשרות חברות הונפקו או הגיעו לסטטוס של חד-קרן. הצלחה זו באה לידי </w:t>
      </w:r>
      <w:r>
        <w:rPr>
          <w:rFonts w:ascii="Calibri" w:eastAsia="Calibri" w:hAnsi="Calibri" w:cs="Calibri"/>
          <w:sz w:val="24"/>
          <w:szCs w:val="24"/>
          <w:rtl/>
        </w:rPr>
        <w:t>ביטוי גם בגיוסי עובדים: לאחר  עלייה מתונה של פחות מאחוז בשנת 2020, שנבעה בעיקר המשבר הקורונה, גדל מספר העובדים ב-2021 בכ-12%. צמיחה זו גבוהה מהצמיחה הממוצעת בעשור האחרון אשר עמדה על כ-8% לשנה, אך יש לקחת בחשבון כי בחלקה היא מהווה "תיקון" לשנת קורונה וחזרתם</w:t>
      </w:r>
      <w:r>
        <w:rPr>
          <w:rFonts w:ascii="Calibri" w:eastAsia="Calibri" w:hAnsi="Calibri" w:cs="Calibri"/>
          <w:sz w:val="24"/>
          <w:szCs w:val="24"/>
          <w:rtl/>
        </w:rPr>
        <w:t xml:space="preserve"> של עובדים מחל"ת. ניתוח רבעוני (תרשים </w:t>
      </w: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  <w:rtl/>
        </w:rPr>
        <w:t xml:space="preserve">) מלמד כי ההייטק הישראלי צמח בעקביות לאורך כל השנה, עם צמיחה רבעונית ממוצעת של כ-3%. </w:t>
      </w:r>
    </w:p>
    <w:p w14:paraId="3EA992D1" w14:textId="77777777" w:rsidR="00944978" w:rsidRDefault="00D726D8">
      <w:pPr>
        <w:bidi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5E6BC93A" wp14:editId="6813A962">
            <wp:extent cx="4210050" cy="2054578"/>
            <wp:effectExtent l="0" t="0" r="0" b="0"/>
            <wp:docPr id="16" name="image10.png" descr="Chart, waterfall 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Chart, waterfall char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0545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723013" w14:textId="77777777" w:rsidR="00944978" w:rsidRDefault="00944978">
      <w:pPr>
        <w:bidi/>
        <w:ind w:left="720"/>
        <w:jc w:val="center"/>
        <w:rPr>
          <w:rFonts w:ascii="Calibri" w:eastAsia="Calibri" w:hAnsi="Calibri" w:cs="Calibri"/>
          <w:sz w:val="24"/>
          <w:szCs w:val="24"/>
        </w:rPr>
      </w:pPr>
    </w:p>
    <w:p w14:paraId="59AAFBB4" w14:textId="77777777" w:rsidR="00944978" w:rsidRDefault="00D726D8">
      <w:pPr>
        <w:bidi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rtl/>
        </w:rPr>
        <w:t>בשנת 2020 הצמיחה העיקרית הייתה של חברות רב לאומיות (גידול של 3% במצבת העובדים) בעוד חברות ישראליות הציגו צמיחה אפסית בכמות העובד</w:t>
      </w:r>
      <w:r>
        <w:rPr>
          <w:rFonts w:ascii="Calibri" w:eastAsia="Calibri" w:hAnsi="Calibri" w:cs="Calibri"/>
          <w:sz w:val="24"/>
          <w:szCs w:val="24"/>
          <w:rtl/>
        </w:rPr>
        <w:t xml:space="preserve">ים. בשנת 2021 המגמה התהפכה:  מרכזי המו"פ של חברות רב-לאומיות חוו אמנם צמיחה גבוהה של כ-5%, אך הצמיחה המשמעותית הייתה בחברות מקומיות שרשמו גידול של כ-14% (תרשים </w:t>
      </w: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  <w:rtl/>
        </w:rPr>
        <w:t>). נתונים אלה מצביעים מחד  על היציבות של מרכזי המו"פ של החברות הרב-לאומיות ו-"הגב הפיננסי" המאפ</w:t>
      </w:r>
      <w:r>
        <w:rPr>
          <w:rFonts w:ascii="Calibri" w:eastAsia="Calibri" w:hAnsi="Calibri" w:cs="Calibri"/>
          <w:sz w:val="24"/>
          <w:szCs w:val="24"/>
          <w:rtl/>
        </w:rPr>
        <w:t xml:space="preserve">שר להם לצלוח תקופות קשות, ומאידך על פוטנציאל הצמיחה של החברות המקומיות.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5560358" wp14:editId="5FCB32A4">
            <wp:simplePos x="0" y="0"/>
            <wp:positionH relativeFrom="column">
              <wp:posOffset>1009650</wp:posOffset>
            </wp:positionH>
            <wp:positionV relativeFrom="paragraph">
              <wp:posOffset>1369368</wp:posOffset>
            </wp:positionV>
            <wp:extent cx="4110038" cy="2289878"/>
            <wp:effectExtent l="0" t="0" r="0" b="0"/>
            <wp:wrapTopAndBottom distT="114300" distB="114300"/>
            <wp:docPr id="20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0038" cy="22898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870814" w14:textId="77777777" w:rsidR="00944978" w:rsidRDefault="00944978">
      <w:pPr>
        <w:bidi/>
        <w:jc w:val="both"/>
        <w:rPr>
          <w:rFonts w:ascii="Calibri" w:eastAsia="Calibri" w:hAnsi="Calibri" w:cs="Calibri"/>
          <w:sz w:val="24"/>
          <w:szCs w:val="24"/>
        </w:rPr>
      </w:pPr>
    </w:p>
    <w:p w14:paraId="4A4D9905" w14:textId="77777777" w:rsidR="00944978" w:rsidRDefault="00944978">
      <w:pPr>
        <w:bidi/>
        <w:jc w:val="both"/>
        <w:rPr>
          <w:rFonts w:ascii="Calibri" w:eastAsia="Calibri" w:hAnsi="Calibri" w:cs="Calibri"/>
          <w:sz w:val="24"/>
          <w:szCs w:val="24"/>
        </w:rPr>
      </w:pPr>
    </w:p>
    <w:p w14:paraId="1DF41FAC" w14:textId="77777777" w:rsidR="00944978" w:rsidRDefault="00D726D8">
      <w:pPr>
        <w:bidi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rtl/>
        </w:rPr>
        <w:t xml:space="preserve">בפרט, מצביעים הנתונים על כך שהחברות הישראליות, בניגוד למרכזי המו"פ של חברות רב לאומיות, מגדילות בתקופות טובות לא רק את העובדים הטכנולוגיים אלא גם את משרות הצמיחה - אנשי שיווק, </w:t>
      </w:r>
      <w:r>
        <w:rPr>
          <w:rFonts w:ascii="Calibri" w:eastAsia="Calibri" w:hAnsi="Calibri" w:cs="Calibri"/>
          <w:sz w:val="24"/>
          <w:szCs w:val="24"/>
          <w:rtl/>
        </w:rPr>
        <w:t>פיתוח מוצר, מכירות, עורכי דין ועוד. ניתוח כוח האדם ביוני 2021 אכן מראה כי עובדים טכנולוגיים מהווים מעל ל-80% מכוח האדם במרכזי מו"פ רב-לאומיים, לעומת כ-65% בקרב חברות מקומיות.</w:t>
      </w:r>
    </w:p>
    <w:p w14:paraId="396FCE92" w14:textId="77777777" w:rsidR="00944978" w:rsidRDefault="00D726D8">
      <w:pPr>
        <w:tabs>
          <w:tab w:val="right" w:pos="2130"/>
          <w:tab w:val="right" w:pos="7092"/>
        </w:tabs>
        <w:bidi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rtl/>
        </w:rPr>
        <w:t>א</w:t>
      </w:r>
      <w:r>
        <w:rPr>
          <w:rFonts w:ascii="Calibri" w:eastAsia="Calibri" w:hAnsi="Calibri" w:cs="Calibri"/>
          <w:sz w:val="24"/>
          <w:szCs w:val="24"/>
          <w:rtl/>
        </w:rPr>
        <w:t xml:space="preserve">ינדיקציה נוספת לכך הינה בחינה של מגמות הצמיחה בקרב הסוגים השונים של חברות </w:t>
      </w:r>
      <w:r>
        <w:rPr>
          <w:rFonts w:ascii="Calibri" w:eastAsia="Calibri" w:hAnsi="Calibri" w:cs="Calibri"/>
          <w:sz w:val="24"/>
          <w:szCs w:val="24"/>
          <w:rtl/>
        </w:rPr>
        <w:t xml:space="preserve">מקומיות (תרשים </w:t>
      </w: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  <w:rtl/>
        </w:rPr>
        <w:t>). צמיחה גבוהה במיוחד של כ-30% נרשמה בחברות "צומחות", כאשר חברות אלה מוגדרות כחברות אשר עומדות באחד (לפחות) מהקריטריונים הבאים: (1) חברה פרטית ששוויה מוערך במיליארד דולר ומעלה ("חד קרן");  (2) חברות אשר יצאו להנפקה ראשונה לציבור (</w:t>
      </w:r>
      <w:r>
        <w:rPr>
          <w:rFonts w:ascii="Calibri" w:eastAsia="Calibri" w:hAnsi="Calibri" w:cs="Calibri"/>
          <w:sz w:val="24"/>
          <w:szCs w:val="24"/>
        </w:rPr>
        <w:t>IPO</w:t>
      </w:r>
      <w:r>
        <w:rPr>
          <w:rFonts w:ascii="Calibri" w:eastAsia="Calibri" w:hAnsi="Calibri" w:cs="Calibri"/>
          <w:sz w:val="24"/>
          <w:szCs w:val="24"/>
          <w:rtl/>
        </w:rPr>
        <w:t>) בעשור</w:t>
      </w:r>
      <w:r>
        <w:rPr>
          <w:rFonts w:ascii="Calibri" w:eastAsia="Calibri" w:hAnsi="Calibri" w:cs="Calibri"/>
          <w:sz w:val="24"/>
          <w:szCs w:val="24"/>
          <w:rtl/>
        </w:rPr>
        <w:t xml:space="preserve"> האחרון; או (3) חברות בפורום "חברות צמיחה". גם </w:t>
      </w:r>
      <w:proofErr w:type="spellStart"/>
      <w:r>
        <w:rPr>
          <w:rFonts w:ascii="Calibri" w:eastAsia="Calibri" w:hAnsi="Calibri" w:cs="Calibri"/>
          <w:sz w:val="24"/>
          <w:szCs w:val="24"/>
          <w:rtl/>
        </w:rPr>
        <w:t>סטארטפים</w:t>
      </w:r>
      <w:proofErr w:type="spellEnd"/>
      <w:r>
        <w:rPr>
          <w:rFonts w:ascii="Calibri" w:eastAsia="Calibri" w:hAnsi="Calibri" w:cs="Calibri"/>
          <w:sz w:val="24"/>
          <w:szCs w:val="24"/>
          <w:rtl/>
        </w:rPr>
        <w:t xml:space="preserve"> קטנים (עד 50 עובדים) צמחו משמעותית, אך חלק מצמיחה זו ניתן לייחס להשפעה של "מספרים קטנים". 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1629818" wp14:editId="0E719462">
            <wp:simplePos x="0" y="0"/>
            <wp:positionH relativeFrom="column">
              <wp:posOffset>626744</wp:posOffset>
            </wp:positionH>
            <wp:positionV relativeFrom="paragraph">
              <wp:posOffset>1750695</wp:posOffset>
            </wp:positionV>
            <wp:extent cx="4462463" cy="2603103"/>
            <wp:effectExtent l="0" t="0" r="0" b="0"/>
            <wp:wrapTopAndBottom distT="114300" distB="114300"/>
            <wp:docPr id="1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2463" cy="26031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547CA7" w14:textId="77777777" w:rsidR="00944978" w:rsidRDefault="00944978">
      <w:pPr>
        <w:bidi/>
        <w:jc w:val="both"/>
        <w:rPr>
          <w:rFonts w:ascii="Calibri" w:eastAsia="Calibri" w:hAnsi="Calibri" w:cs="Calibri"/>
          <w:sz w:val="24"/>
          <w:szCs w:val="24"/>
        </w:rPr>
      </w:pPr>
    </w:p>
    <w:p w14:paraId="713EBC53" w14:textId="77777777" w:rsidR="00944978" w:rsidRDefault="00944978">
      <w:pPr>
        <w:bidi/>
        <w:jc w:val="both"/>
        <w:rPr>
          <w:rFonts w:ascii="Calibri" w:eastAsia="Calibri" w:hAnsi="Calibri" w:cs="Calibri"/>
          <w:sz w:val="24"/>
          <w:szCs w:val="24"/>
        </w:rPr>
      </w:pPr>
    </w:p>
    <w:p w14:paraId="0ECBBC0F" w14:textId="77777777" w:rsidR="00944978" w:rsidRDefault="00D726D8">
      <w:pPr>
        <w:bidi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rtl/>
        </w:rPr>
        <w:t xml:space="preserve">במהלך 2021 חווה ההייטק צמיחה חיובית גורפת בכל הסקטורים (בניגוד לשנת 2020 בה סקטורים מבוססי חומרה כמעט ולא </w:t>
      </w:r>
      <w:r>
        <w:rPr>
          <w:rFonts w:ascii="Calibri" w:eastAsia="Calibri" w:hAnsi="Calibri" w:cs="Calibri"/>
          <w:sz w:val="24"/>
          <w:szCs w:val="24"/>
          <w:rtl/>
        </w:rPr>
        <w:t>חוו צמיחה ותחומי התקשורת והתעשייה אף הצטמצמו במספר העובדים). לצד הגידול המהיר בעובדים בסקטורים מוטי תוכנה, בלט לטובה גם סקטור ה-</w:t>
      </w:r>
      <w:proofErr w:type="spellStart"/>
      <w:r>
        <w:rPr>
          <w:rFonts w:ascii="Calibri" w:eastAsia="Calibri" w:hAnsi="Calibri" w:cs="Calibri"/>
          <w:sz w:val="24"/>
          <w:szCs w:val="24"/>
        </w:rPr>
        <w:t>Agrifood</w:t>
      </w:r>
      <w:proofErr w:type="spellEnd"/>
      <w:r>
        <w:rPr>
          <w:rFonts w:ascii="Calibri" w:eastAsia="Calibri" w:hAnsi="Calibri" w:cs="Calibri"/>
          <w:sz w:val="24"/>
          <w:szCs w:val="24"/>
        </w:rPr>
        <w:t>-tech and Cleantech</w:t>
      </w:r>
      <w:r>
        <w:rPr>
          <w:rFonts w:ascii="Calibri" w:eastAsia="Calibri" w:hAnsi="Calibri" w:cs="Calibri"/>
          <w:sz w:val="24"/>
          <w:szCs w:val="24"/>
          <w:rtl/>
        </w:rPr>
        <w:t xml:space="preserve">, ככל הנראה ביטוי תעסוקתי לגידול בהשקעות בחברות בסקטור תחליפי המזון -  על פי נתוני </w:t>
      </w:r>
      <w:r>
        <w:rPr>
          <w:rFonts w:ascii="Calibri" w:eastAsia="Calibri" w:hAnsi="Calibri" w:cs="Calibri"/>
          <w:sz w:val="24"/>
          <w:szCs w:val="24"/>
        </w:rPr>
        <w:t>Start-Up Nation Fi</w:t>
      </w:r>
      <w:r>
        <w:rPr>
          <w:rFonts w:ascii="Calibri" w:eastAsia="Calibri" w:hAnsi="Calibri" w:cs="Calibri"/>
          <w:sz w:val="24"/>
          <w:szCs w:val="24"/>
        </w:rPr>
        <w:t>nder</w:t>
      </w:r>
      <w:r>
        <w:rPr>
          <w:rFonts w:ascii="Calibri" w:eastAsia="Calibri" w:hAnsi="Calibri" w:cs="Calibri"/>
          <w:sz w:val="24"/>
          <w:szCs w:val="24"/>
          <w:rtl/>
        </w:rPr>
        <w:t xml:space="preserve"> השקעות ה-</w:t>
      </w:r>
      <w:r>
        <w:rPr>
          <w:rFonts w:ascii="Calibri" w:eastAsia="Calibri" w:hAnsi="Calibri" w:cs="Calibri"/>
          <w:sz w:val="24"/>
          <w:szCs w:val="24"/>
        </w:rPr>
        <w:t>equity</w:t>
      </w:r>
      <w:r>
        <w:rPr>
          <w:rFonts w:ascii="Calibri" w:eastAsia="Calibri" w:hAnsi="Calibri" w:cs="Calibri"/>
          <w:sz w:val="24"/>
          <w:szCs w:val="24"/>
          <w:rtl/>
        </w:rPr>
        <w:t xml:space="preserve"> ב-2021 בתחום זה הסתכמו ל-527 מיליון דולר, יותר מפי 1.5 מההשקעה בכל סקטור ה-</w:t>
      </w:r>
      <w:proofErr w:type="spellStart"/>
      <w:r>
        <w:rPr>
          <w:rFonts w:ascii="Calibri" w:eastAsia="Calibri" w:hAnsi="Calibri" w:cs="Calibri"/>
          <w:sz w:val="24"/>
          <w:szCs w:val="24"/>
        </w:rPr>
        <w:t>Agrifood</w:t>
      </w:r>
      <w:proofErr w:type="spellEnd"/>
      <w:r>
        <w:rPr>
          <w:rFonts w:ascii="Calibri" w:eastAsia="Calibri" w:hAnsi="Calibri" w:cs="Calibri"/>
          <w:sz w:val="24"/>
          <w:szCs w:val="24"/>
        </w:rPr>
        <w:t>-tech</w:t>
      </w:r>
      <w:r>
        <w:rPr>
          <w:rFonts w:ascii="Calibri" w:eastAsia="Calibri" w:hAnsi="Calibri" w:cs="Calibri"/>
          <w:sz w:val="24"/>
          <w:szCs w:val="24"/>
          <w:rtl/>
        </w:rPr>
        <w:t xml:space="preserve"> במהלך 2020. </w:t>
      </w:r>
    </w:p>
    <w:p w14:paraId="38FA4153" w14:textId="77777777" w:rsidR="00944978" w:rsidRDefault="00D726D8">
      <w:pPr>
        <w:bidi/>
        <w:ind w:left="720"/>
        <w:jc w:val="both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lastRenderedPageBreak/>
        <w:drawing>
          <wp:anchor distT="114300" distB="114300" distL="114300" distR="114300" simplePos="0" relativeHeight="251660288" behindDoc="0" locked="0" layoutInCell="1" hidden="0" allowOverlap="1" wp14:anchorId="365627E7" wp14:editId="22459A84">
            <wp:simplePos x="0" y="0"/>
            <wp:positionH relativeFrom="column">
              <wp:posOffset>614363</wp:posOffset>
            </wp:positionH>
            <wp:positionV relativeFrom="paragraph">
              <wp:posOffset>256964</wp:posOffset>
            </wp:positionV>
            <wp:extent cx="4552950" cy="2794519"/>
            <wp:effectExtent l="0" t="0" r="0" b="0"/>
            <wp:wrapTopAndBottom distT="114300" distB="11430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7945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A8D7A1" w14:textId="77777777" w:rsidR="00944978" w:rsidRDefault="00944978">
      <w:pPr>
        <w:bidi/>
        <w:ind w:left="720"/>
        <w:jc w:val="both"/>
        <w:rPr>
          <w:rFonts w:ascii="Calibri" w:eastAsia="Calibri" w:hAnsi="Calibri" w:cs="Calibri"/>
          <w:sz w:val="32"/>
          <w:szCs w:val="32"/>
        </w:rPr>
      </w:pPr>
    </w:p>
    <w:p w14:paraId="4745DE3E" w14:textId="6F3BEC0E" w:rsidR="00944978" w:rsidRDefault="00D726D8">
      <w:pPr>
        <w:bidi/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sectPr w:rsidR="00944978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01852" w14:textId="77777777" w:rsidR="00D726D8" w:rsidRDefault="00D726D8">
      <w:pPr>
        <w:spacing w:line="240" w:lineRule="auto"/>
      </w:pPr>
      <w:r>
        <w:separator/>
      </w:r>
    </w:p>
  </w:endnote>
  <w:endnote w:type="continuationSeparator" w:id="0">
    <w:p w14:paraId="2828CAAD" w14:textId="77777777" w:rsidR="00D726D8" w:rsidRDefault="00D726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7F28" w14:textId="77777777" w:rsidR="00944978" w:rsidRDefault="00944978">
    <w:pPr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ED229" w14:textId="77777777" w:rsidR="00D726D8" w:rsidRDefault="00D726D8">
      <w:pPr>
        <w:spacing w:line="240" w:lineRule="auto"/>
      </w:pPr>
      <w:r>
        <w:separator/>
      </w:r>
    </w:p>
  </w:footnote>
  <w:footnote w:type="continuationSeparator" w:id="0">
    <w:p w14:paraId="6F546458" w14:textId="77777777" w:rsidR="00D726D8" w:rsidRDefault="00D726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0E24"/>
    <w:multiLevelType w:val="multilevel"/>
    <w:tmpl w:val="632CFB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B05043"/>
    <w:multiLevelType w:val="multilevel"/>
    <w:tmpl w:val="D7AC8E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26434D"/>
    <w:multiLevelType w:val="multilevel"/>
    <w:tmpl w:val="36F6CD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883FD7"/>
    <w:multiLevelType w:val="multilevel"/>
    <w:tmpl w:val="D74057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E002E6"/>
    <w:multiLevelType w:val="multilevel"/>
    <w:tmpl w:val="D53633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C585A17"/>
    <w:multiLevelType w:val="multilevel"/>
    <w:tmpl w:val="B888E8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DA0743D"/>
    <w:multiLevelType w:val="multilevel"/>
    <w:tmpl w:val="2DEAF3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26A2F39"/>
    <w:multiLevelType w:val="multilevel"/>
    <w:tmpl w:val="AC688F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62099743">
    <w:abstractNumId w:val="7"/>
  </w:num>
  <w:num w:numId="2" w16cid:durableId="480804118">
    <w:abstractNumId w:val="2"/>
  </w:num>
  <w:num w:numId="3" w16cid:durableId="1677610062">
    <w:abstractNumId w:val="0"/>
  </w:num>
  <w:num w:numId="4" w16cid:durableId="507982135">
    <w:abstractNumId w:val="5"/>
  </w:num>
  <w:num w:numId="5" w16cid:durableId="1410081755">
    <w:abstractNumId w:val="1"/>
  </w:num>
  <w:num w:numId="6" w16cid:durableId="687294663">
    <w:abstractNumId w:val="4"/>
  </w:num>
  <w:num w:numId="7" w16cid:durableId="480926061">
    <w:abstractNumId w:val="3"/>
  </w:num>
  <w:num w:numId="8" w16cid:durableId="50661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78"/>
    <w:rsid w:val="00944978"/>
    <w:rsid w:val="0097551B"/>
    <w:rsid w:val="00D7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EBAF1"/>
  <w15:docId w15:val="{95541900-1D5B-44EC-89E7-D7101386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L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Eynav Ehrlich</cp:lastModifiedBy>
  <cp:revision>2</cp:revision>
  <dcterms:created xsi:type="dcterms:W3CDTF">2022-06-15T03:34:00Z</dcterms:created>
  <dcterms:modified xsi:type="dcterms:W3CDTF">2022-06-15T03:34:00Z</dcterms:modified>
</cp:coreProperties>
</file>