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39C" w:rsidRPr="0032172B" w:rsidRDefault="00352C4A" w:rsidP="0032172B">
      <w:pPr>
        <w:jc w:val="center"/>
        <w:rPr>
          <w:b/>
          <w:bCs/>
          <w:rtl/>
          <w:lang w:bidi="he-IL"/>
        </w:rPr>
      </w:pPr>
      <w:r w:rsidRPr="0032172B">
        <w:rPr>
          <w:rFonts w:hint="cs"/>
          <w:b/>
          <w:bCs/>
          <w:rtl/>
          <w:lang w:bidi="he-IL"/>
        </w:rPr>
        <w:t>משפט ללא נאשם</w:t>
      </w:r>
      <w:r w:rsidR="008465E3">
        <w:rPr>
          <w:rFonts w:hint="cs"/>
          <w:b/>
          <w:bCs/>
          <w:rtl/>
          <w:lang w:bidi="he-IL"/>
        </w:rPr>
        <w:t>: משפטו של ד"ר יוזף מנגלה בירושלים</w:t>
      </w:r>
    </w:p>
    <w:p w:rsidR="00352C4A" w:rsidRDefault="00352C4A" w:rsidP="0032172B">
      <w:pPr>
        <w:jc w:val="center"/>
        <w:rPr>
          <w:sz w:val="20"/>
          <w:szCs w:val="20"/>
          <w:rtl/>
          <w:lang w:bidi="he-IL"/>
        </w:rPr>
      </w:pPr>
      <w:r w:rsidRPr="0032172B">
        <w:rPr>
          <w:rFonts w:hint="cs"/>
          <w:sz w:val="20"/>
          <w:szCs w:val="20"/>
          <w:rtl/>
          <w:lang w:bidi="he-IL"/>
        </w:rPr>
        <w:t>יהודית דורי דסטון</w:t>
      </w:r>
    </w:p>
    <w:p w:rsidR="00FA43A2" w:rsidRPr="0032172B" w:rsidRDefault="00FA43A2" w:rsidP="0032172B">
      <w:pPr>
        <w:jc w:val="center"/>
        <w:rPr>
          <w:sz w:val="20"/>
          <w:szCs w:val="20"/>
          <w:rtl/>
          <w:lang w:bidi="he-IL"/>
        </w:rPr>
      </w:pPr>
    </w:p>
    <w:p w:rsidR="00352C4A" w:rsidRPr="006A7576" w:rsidRDefault="0025212E">
      <w:pPr>
        <w:rPr>
          <w:b/>
          <w:bCs/>
          <w:i/>
          <w:iCs/>
          <w:rtl/>
          <w:lang w:bidi="he-IL"/>
        </w:rPr>
      </w:pPr>
      <w:r>
        <w:rPr>
          <w:b/>
          <w:bCs/>
          <w:i/>
          <w:iCs/>
          <w:lang w:bidi="he-IL"/>
        </w:rPr>
        <w:t>"</w:t>
      </w:r>
      <w:r w:rsidR="00FA43A2" w:rsidRPr="006A7576">
        <w:rPr>
          <w:b/>
          <w:bCs/>
          <w:i/>
          <w:iCs/>
          <w:lang w:bidi="he-IL"/>
        </w:rPr>
        <w:t>J'accuse</w:t>
      </w:r>
      <w:r>
        <w:rPr>
          <w:b/>
          <w:bCs/>
          <w:i/>
          <w:iCs/>
          <w:lang w:bidi="he-IL"/>
        </w:rPr>
        <w:t>"</w:t>
      </w:r>
    </w:p>
    <w:p w:rsidR="00FA43A2" w:rsidRDefault="00FA43A2" w:rsidP="00341EAE">
      <w:pPr>
        <w:ind w:firstLine="720"/>
        <w:rPr>
          <w:rtl/>
          <w:lang w:bidi="he-IL"/>
        </w:rPr>
      </w:pPr>
    </w:p>
    <w:p w:rsidR="008465E3" w:rsidRDefault="00352C4A" w:rsidP="00F11C41">
      <w:pPr>
        <w:ind w:firstLine="720"/>
        <w:rPr>
          <w:rtl/>
          <w:lang w:bidi="he-IL"/>
        </w:rPr>
      </w:pPr>
      <w:r>
        <w:rPr>
          <w:rFonts w:hint="cs"/>
          <w:rtl/>
          <w:lang w:bidi="he-IL"/>
        </w:rPr>
        <w:t xml:space="preserve">בארבעה בפברואר 1985 נערך </w:t>
      </w:r>
      <w:r w:rsidR="00E24110">
        <w:rPr>
          <w:rFonts w:hint="cs"/>
          <w:rtl/>
          <w:lang w:bidi="he-IL"/>
        </w:rPr>
        <w:t>ב</w:t>
      </w:r>
      <w:r>
        <w:rPr>
          <w:rFonts w:hint="cs"/>
          <w:rtl/>
          <w:lang w:bidi="he-IL"/>
        </w:rPr>
        <w:t xml:space="preserve">"יד ושם" בירושלים כינוס יוצא דופן. </w:t>
      </w:r>
      <w:r w:rsidR="00E24110">
        <w:rPr>
          <w:rFonts w:hint="cs"/>
          <w:rtl/>
          <w:lang w:bidi="he-IL"/>
        </w:rPr>
        <w:t xml:space="preserve">האולם שבו נערך קושט בתפאורה המדמה אולם בבית המשפט. </w:t>
      </w:r>
      <w:r w:rsidR="00572266">
        <w:rPr>
          <w:rFonts w:hint="cs"/>
          <w:rtl/>
          <w:lang w:bidi="he-IL"/>
        </w:rPr>
        <w:t xml:space="preserve">את פני הבאים קידם </w:t>
      </w:r>
      <w:r w:rsidR="00572266" w:rsidRPr="00572266">
        <w:rPr>
          <w:rtl/>
          <w:lang w:bidi="he-IL"/>
        </w:rPr>
        <w:t>שלט</w:t>
      </w:r>
      <w:r w:rsidR="00572266">
        <w:rPr>
          <w:rFonts w:hint="cs"/>
          <w:rtl/>
          <w:lang w:bidi="he-IL"/>
        </w:rPr>
        <w:t xml:space="preserve"> שנשא את הכיתוב</w:t>
      </w:r>
      <w:r w:rsidR="00572266" w:rsidRPr="00572266">
        <w:rPr>
          <w:rtl/>
          <w:lang w:bidi="he-IL"/>
        </w:rPr>
        <w:t xml:space="preserve"> </w:t>
      </w:r>
      <w:r w:rsidR="00CF2A51">
        <w:rPr>
          <w:rFonts w:hint="cs"/>
          <w:rtl/>
          <w:lang w:bidi="he-IL"/>
        </w:rPr>
        <w:t>"</w:t>
      </w:r>
      <w:r w:rsidR="00572266" w:rsidRPr="00572266">
        <w:t>J'accuse</w:t>
      </w:r>
      <w:r w:rsidR="00CF2A51">
        <w:rPr>
          <w:rFonts w:hint="cs"/>
          <w:rtl/>
          <w:lang w:bidi="he-IL"/>
        </w:rPr>
        <w:t xml:space="preserve"> </w:t>
      </w:r>
      <w:r w:rsidR="00CF2A51">
        <w:rPr>
          <w:rtl/>
          <w:lang w:bidi="he-IL"/>
        </w:rPr>
        <w:t>–</w:t>
      </w:r>
      <w:r w:rsidR="00CF2A51">
        <w:rPr>
          <w:rFonts w:hint="cs"/>
          <w:rtl/>
          <w:lang w:bidi="he-IL"/>
        </w:rPr>
        <w:t xml:space="preserve"> אני מאשים</w:t>
      </w:r>
      <w:r w:rsidR="00572266">
        <w:t>"</w:t>
      </w:r>
      <w:r w:rsidR="00572266">
        <w:rPr>
          <w:rFonts w:hint="cs"/>
          <w:rtl/>
          <w:lang w:bidi="he-IL"/>
        </w:rPr>
        <w:t>. על במה מוגבהת ניצב שולחן</w:t>
      </w:r>
      <w:r w:rsidR="00CF2A51">
        <w:rPr>
          <w:rFonts w:hint="cs"/>
          <w:rtl/>
          <w:lang w:bidi="he-IL"/>
        </w:rPr>
        <w:t xml:space="preserve"> מלבני</w:t>
      </w:r>
      <w:r w:rsidR="00B35C56">
        <w:rPr>
          <w:rFonts w:hint="cs"/>
          <w:rtl/>
          <w:lang w:bidi="he-IL"/>
        </w:rPr>
        <w:t xml:space="preserve"> </w:t>
      </w:r>
      <w:r w:rsidR="00341EAE">
        <w:rPr>
          <w:rFonts w:hint="cs"/>
          <w:rtl/>
          <w:lang w:bidi="he-IL"/>
        </w:rPr>
        <w:t>ארוך ועליו שמותיהם של השופטים היושבים בדין</w:t>
      </w:r>
      <w:r w:rsidR="00B35C56">
        <w:rPr>
          <w:rFonts w:hint="cs"/>
          <w:rtl/>
          <w:lang w:bidi="he-IL"/>
        </w:rPr>
        <w:t xml:space="preserve">. מצדו האחד, במאונך לו, עמד שולחנו של התובע, ומצדו האחר ניצב דוכן עדים שעליו סמל "יד ושם" ומאחוריו מתנוססים שני דגלי ישראל. </w:t>
      </w:r>
      <w:r w:rsidR="0032172B">
        <w:rPr>
          <w:rFonts w:hint="cs"/>
          <w:rtl/>
          <w:lang w:bidi="he-IL"/>
        </w:rPr>
        <w:t xml:space="preserve">רהיט אחד בלט בהיעדרו: ספסל הנאשמים. </w:t>
      </w:r>
      <w:r w:rsidR="00E24110">
        <w:rPr>
          <w:rFonts w:hint="cs"/>
          <w:rtl/>
          <w:lang w:bidi="he-IL"/>
        </w:rPr>
        <w:t xml:space="preserve">תפאורה חסרה זו </w:t>
      </w:r>
      <w:proofErr w:type="spellStart"/>
      <w:r w:rsidR="00E24110">
        <w:rPr>
          <w:rFonts w:hint="cs"/>
          <w:rtl/>
          <w:lang w:bidi="he-IL"/>
        </w:rPr>
        <w:t>היתה</w:t>
      </w:r>
      <w:proofErr w:type="spellEnd"/>
      <w:r w:rsidR="00E24110">
        <w:rPr>
          <w:rFonts w:hint="cs"/>
          <w:rtl/>
          <w:lang w:bidi="he-IL"/>
        </w:rPr>
        <w:t xml:space="preserve"> במידה רבה סמלית לאופיו של האירוע שלכבודו הוקמה: משפטו של אחד מבכירי הפושעים הנאציים, ד"ר יוזף מנגלה. </w:t>
      </w:r>
      <w:r w:rsidR="00F11C41">
        <w:rPr>
          <w:rFonts w:hint="cs"/>
          <w:rtl/>
          <w:lang w:bidi="he-IL"/>
        </w:rPr>
        <w:t>"</w:t>
      </w:r>
      <w:r w:rsidR="008465E3">
        <w:rPr>
          <w:rFonts w:hint="cs"/>
          <w:rtl/>
          <w:lang w:bidi="he-IL"/>
        </w:rPr>
        <w:t>ה</w:t>
      </w:r>
      <w:r w:rsidR="00F11C41">
        <w:rPr>
          <w:rFonts w:hint="cs"/>
          <w:rtl/>
          <w:lang w:bidi="he-IL"/>
        </w:rPr>
        <w:t>משפט"</w:t>
      </w:r>
      <w:r w:rsidR="008465E3">
        <w:rPr>
          <w:rFonts w:hint="cs"/>
          <w:rtl/>
          <w:lang w:bidi="he-IL"/>
        </w:rPr>
        <w:t xml:space="preserve"> </w:t>
      </w:r>
      <w:r w:rsidR="008465E3" w:rsidRPr="008465E3">
        <w:rPr>
          <w:rtl/>
          <w:lang w:bidi="he-IL"/>
        </w:rPr>
        <w:t xml:space="preserve">זכה </w:t>
      </w:r>
      <w:r w:rsidR="00341EAE">
        <w:rPr>
          <w:rFonts w:hint="cs"/>
          <w:rtl/>
          <w:lang w:bidi="he-IL"/>
        </w:rPr>
        <w:t xml:space="preserve">אמנם </w:t>
      </w:r>
      <w:r w:rsidR="008465E3" w:rsidRPr="008465E3">
        <w:rPr>
          <w:rtl/>
          <w:lang w:bidi="he-IL"/>
        </w:rPr>
        <w:t>לשם הרשמי "</w:t>
      </w:r>
      <w:r w:rsidR="00341EAE">
        <w:t xml:space="preserve">a </w:t>
      </w:r>
      <w:r w:rsidR="008465E3" w:rsidRPr="008465E3">
        <w:t xml:space="preserve">public </w:t>
      </w:r>
      <w:r w:rsidR="00341EAE">
        <w:t>hearing</w:t>
      </w:r>
      <w:r w:rsidR="008465E3" w:rsidRPr="008465E3">
        <w:rPr>
          <w:rtl/>
          <w:lang w:bidi="he-IL"/>
        </w:rPr>
        <w:t>" אך במובנים רבים היה זה משפט דמה (</w:t>
      </w:r>
      <w:r w:rsidR="008465E3" w:rsidRPr="008465E3">
        <w:t>a mock trial</w:t>
      </w:r>
      <w:r w:rsidR="008465E3" w:rsidRPr="008465E3">
        <w:rPr>
          <w:rtl/>
          <w:lang w:bidi="he-IL"/>
        </w:rPr>
        <w:t>)</w:t>
      </w:r>
      <w:r w:rsidR="008465E3">
        <w:rPr>
          <w:rFonts w:hint="cs"/>
          <w:rtl/>
          <w:lang w:bidi="he-IL"/>
        </w:rPr>
        <w:t xml:space="preserve">. נכחו בו חבר השופטים, התובע, עדי התביעה וקהל הצופים. מקומו של הנאשם נפקד. </w:t>
      </w:r>
    </w:p>
    <w:p w:rsidR="008465E3" w:rsidRDefault="008465E3" w:rsidP="0032172B">
      <w:pPr>
        <w:rPr>
          <w:rtl/>
          <w:lang w:bidi="he-IL"/>
        </w:rPr>
      </w:pPr>
    </w:p>
    <w:p w:rsidR="00904E17" w:rsidRDefault="00352C4A" w:rsidP="00F3562E">
      <w:pPr>
        <w:ind w:firstLine="720"/>
        <w:rPr>
          <w:rtl/>
          <w:lang w:bidi="he-IL"/>
        </w:rPr>
      </w:pPr>
      <w:r>
        <w:rPr>
          <w:rFonts w:hint="cs"/>
          <w:rtl/>
          <w:lang w:bidi="he-IL"/>
        </w:rPr>
        <w:t xml:space="preserve">במרכזו </w:t>
      </w:r>
      <w:r w:rsidR="00F11C41">
        <w:rPr>
          <w:rFonts w:hint="cs"/>
          <w:rtl/>
          <w:lang w:bidi="he-IL"/>
        </w:rPr>
        <w:t xml:space="preserve">של המשפט </w:t>
      </w:r>
      <w:r>
        <w:rPr>
          <w:rFonts w:hint="cs"/>
          <w:rtl/>
          <w:lang w:bidi="he-IL"/>
        </w:rPr>
        <w:t xml:space="preserve">עמדו הפשעים שביצע </w:t>
      </w:r>
      <w:r w:rsidR="00F3562E">
        <w:rPr>
          <w:rFonts w:hint="cs"/>
          <w:rtl/>
          <w:lang w:bidi="he-IL"/>
        </w:rPr>
        <w:t xml:space="preserve">מנגלה </w:t>
      </w:r>
      <w:r>
        <w:rPr>
          <w:rFonts w:hint="cs"/>
          <w:rtl/>
          <w:lang w:bidi="he-IL"/>
        </w:rPr>
        <w:t>במס</w:t>
      </w:r>
      <w:r w:rsidR="00F3562E">
        <w:rPr>
          <w:rFonts w:hint="cs"/>
          <w:rtl/>
          <w:lang w:bidi="he-IL"/>
        </w:rPr>
        <w:t>ווה של</w:t>
      </w:r>
      <w:r>
        <w:rPr>
          <w:rFonts w:hint="cs"/>
          <w:rtl/>
          <w:lang w:bidi="he-IL"/>
        </w:rPr>
        <w:t xml:space="preserve"> ניסויים רפואיים שערך במחנה אושוויץ-בירקנאו בין השנים 1944-1943. </w:t>
      </w:r>
      <w:r w:rsidR="00E860CB" w:rsidRPr="00E860CB">
        <w:rPr>
          <w:rtl/>
          <w:lang w:bidi="he-IL"/>
        </w:rPr>
        <w:t xml:space="preserve">בעוד ש"הנאשם" שהועמד לדין באותו הליך מוכר היטב וידוע לשמצה, הנסיבות של ניהול המשפט מוכרות פחות. </w:t>
      </w:r>
      <w:r w:rsidR="008465E3">
        <w:rPr>
          <w:rFonts w:hint="cs"/>
          <w:rtl/>
          <w:lang w:bidi="he-IL"/>
        </w:rPr>
        <w:t>ה</w:t>
      </w:r>
      <w:r w:rsidR="00E860CB">
        <w:rPr>
          <w:rFonts w:hint="cs"/>
          <w:rtl/>
          <w:lang w:bidi="he-IL"/>
        </w:rPr>
        <w:t>הליך</w:t>
      </w:r>
      <w:r w:rsidR="008465E3">
        <w:rPr>
          <w:rFonts w:hint="cs"/>
          <w:rtl/>
          <w:lang w:bidi="he-IL"/>
        </w:rPr>
        <w:t xml:space="preserve"> </w:t>
      </w:r>
      <w:r w:rsidR="00F75186">
        <w:rPr>
          <w:rFonts w:hint="cs"/>
          <w:rtl/>
          <w:lang w:bidi="he-IL"/>
        </w:rPr>
        <w:t xml:space="preserve">התקיים כחלק מהאירועים שנערכו לציון ארבעים שנה לשחרור אושוויץ, ביוזמה של </w:t>
      </w:r>
      <w:r w:rsidR="00F75186" w:rsidRPr="00F75186">
        <w:rPr>
          <w:rFonts w:hint="cs"/>
          <w:rtl/>
          <w:lang w:bidi="he-IL"/>
        </w:rPr>
        <w:t>הארגון "</w:t>
      </w:r>
      <w:r w:rsidR="00F75186" w:rsidRPr="00F75186">
        <w:rPr>
          <w:lang w:bidi="he-IL"/>
        </w:rPr>
        <w:t>"Candles</w:t>
      </w:r>
      <w:r w:rsidR="00F75186" w:rsidRPr="00F75186">
        <w:rPr>
          <w:rFonts w:hint="cs"/>
          <w:rtl/>
          <w:lang w:bidi="he-IL"/>
        </w:rPr>
        <w:t xml:space="preserve"> </w:t>
      </w:r>
      <w:r w:rsidR="008465E3">
        <w:rPr>
          <w:lang w:bidi="he-IL"/>
        </w:rPr>
        <w:t>(</w:t>
      </w:r>
      <w:r w:rsidR="00F75186" w:rsidRPr="00F75186">
        <w:rPr>
          <w:lang w:bidi="he-IL"/>
        </w:rPr>
        <w:t xml:space="preserve">Children of </w:t>
      </w:r>
      <w:r w:rsidR="008465E3" w:rsidRPr="00F75186">
        <w:rPr>
          <w:lang w:bidi="he-IL"/>
        </w:rPr>
        <w:t>Auschwitz</w:t>
      </w:r>
      <w:r w:rsidR="00F75186" w:rsidRPr="00F75186">
        <w:rPr>
          <w:lang w:bidi="he-IL"/>
        </w:rPr>
        <w:t xml:space="preserve"> Nazi Deadly Lab Experiments Survivors)</w:t>
      </w:r>
      <w:r w:rsidR="00A37E5F">
        <w:rPr>
          <w:rFonts w:hint="cs"/>
          <w:rtl/>
          <w:lang w:bidi="he-IL"/>
        </w:rPr>
        <w:t>, המכונה גם "</w:t>
      </w:r>
      <w:r w:rsidR="00A37E5F">
        <w:rPr>
          <w:lang w:bidi="he-IL"/>
        </w:rPr>
        <w:t xml:space="preserve">Forever the Twins of Auschwitz </w:t>
      </w:r>
      <w:r w:rsidR="00A37E5F">
        <w:rPr>
          <w:rFonts w:hint="cs"/>
          <w:rtl/>
          <w:lang w:bidi="he-IL"/>
        </w:rPr>
        <w:t xml:space="preserve">". </w:t>
      </w:r>
      <w:r w:rsidR="001B72F4">
        <w:rPr>
          <w:rFonts w:hint="cs"/>
          <w:rtl/>
          <w:lang w:bidi="he-IL"/>
        </w:rPr>
        <w:t xml:space="preserve">המשפט נמשך שלושה ימים, ובמהלכו נשמעו עדויות רבות מפי </w:t>
      </w:r>
      <w:r w:rsidR="00F3562E">
        <w:rPr>
          <w:rFonts w:hint="cs"/>
          <w:rtl/>
          <w:lang w:bidi="he-IL"/>
        </w:rPr>
        <w:t xml:space="preserve">ניצולי שואה שהיו </w:t>
      </w:r>
      <w:r w:rsidR="001B72F4">
        <w:rPr>
          <w:rFonts w:hint="cs"/>
          <w:rtl/>
          <w:lang w:bidi="he-IL"/>
        </w:rPr>
        <w:t xml:space="preserve">עדי ראיה </w:t>
      </w:r>
      <w:r w:rsidR="00F3562E">
        <w:rPr>
          <w:rFonts w:hint="cs"/>
          <w:rtl/>
          <w:lang w:bidi="he-IL"/>
        </w:rPr>
        <w:t>ל</w:t>
      </w:r>
      <w:r w:rsidR="001B72F4">
        <w:rPr>
          <w:rFonts w:hint="cs"/>
          <w:rtl/>
          <w:lang w:bidi="he-IL"/>
        </w:rPr>
        <w:t>מעשיו של מנגלה. בתום המשפט הוחלט כי "</w:t>
      </w:r>
      <w:r w:rsidR="001B72F4" w:rsidRPr="001B72F4">
        <w:rPr>
          <w:rtl/>
          <w:lang w:bidi="he-IL"/>
        </w:rPr>
        <w:t xml:space="preserve">קיים חומר ראיות המצדיק את העמדתו לדין של </w:t>
      </w:r>
      <w:r w:rsidR="001B72F4">
        <w:rPr>
          <w:rFonts w:hint="cs"/>
          <w:rtl/>
          <w:lang w:bidi="he-IL"/>
        </w:rPr>
        <w:t xml:space="preserve">ד"ר </w:t>
      </w:r>
      <w:r w:rsidR="001B72F4" w:rsidRPr="001B72F4">
        <w:rPr>
          <w:rtl/>
          <w:lang w:bidi="he-IL"/>
        </w:rPr>
        <w:t>יוזף מנגלה על פשעי מלחמה ופשעים נגד האנושות</w:t>
      </w:r>
      <w:r w:rsidR="001B72F4">
        <w:rPr>
          <w:rFonts w:hint="cs"/>
          <w:rtl/>
          <w:lang w:bidi="he-IL"/>
        </w:rPr>
        <w:t>,</w:t>
      </w:r>
      <w:r w:rsidR="001B72F4" w:rsidRPr="001B72F4">
        <w:rPr>
          <w:rtl/>
          <w:lang w:bidi="he-IL"/>
        </w:rPr>
        <w:t xml:space="preserve"> ובכלל זה פשעים נגד העם היהודי ונגד עמים אחרים</w:t>
      </w:r>
      <w:r w:rsidR="001B72F4">
        <w:rPr>
          <w:rFonts w:hint="cs"/>
          <w:rtl/>
          <w:lang w:bidi="he-IL"/>
        </w:rPr>
        <w:t>"</w:t>
      </w:r>
      <w:r w:rsidR="001B72F4" w:rsidRPr="001B72F4">
        <w:rPr>
          <w:rtl/>
          <w:lang w:bidi="he-IL"/>
        </w:rPr>
        <w:t>.</w:t>
      </w:r>
      <w:r w:rsidR="001B72F4">
        <w:rPr>
          <w:rFonts w:hint="cs"/>
          <w:rtl/>
          <w:lang w:bidi="he-IL"/>
        </w:rPr>
        <w:t xml:space="preserve"> </w:t>
      </w:r>
      <w:r w:rsidR="00F3562E">
        <w:rPr>
          <w:rFonts w:hint="cs"/>
          <w:rtl/>
          <w:lang w:bidi="he-IL"/>
        </w:rPr>
        <w:t>על פני הדברים</w:t>
      </w:r>
      <w:r w:rsidR="001B72F4">
        <w:rPr>
          <w:rFonts w:hint="cs"/>
          <w:rtl/>
          <w:lang w:bidi="he-IL"/>
        </w:rPr>
        <w:t xml:space="preserve">, </w:t>
      </w:r>
      <w:r w:rsidR="00F3562E">
        <w:rPr>
          <w:rFonts w:hint="cs"/>
          <w:rtl/>
          <w:lang w:bidi="he-IL"/>
        </w:rPr>
        <w:t>ההליך</w:t>
      </w:r>
      <w:r w:rsidR="001B72F4">
        <w:rPr>
          <w:rFonts w:hint="cs"/>
          <w:rtl/>
          <w:lang w:bidi="he-IL"/>
        </w:rPr>
        <w:t xml:space="preserve"> שימש שלב מקדים לקראת עריכת משפט פלילי כדת וכדין</w:t>
      </w:r>
      <w:r w:rsidR="00F3562E">
        <w:rPr>
          <w:rFonts w:hint="cs"/>
          <w:rtl/>
          <w:lang w:bidi="he-IL"/>
        </w:rPr>
        <w:t xml:space="preserve"> שבו, על פי התכנית שנרקמה, יועמד מנגלה לדין בישראל או במדינה אחרת בעולם שתהיה מוכנה לשפוט אותו בהתאם לחוקיה ולעקרונות המשפט הבינלאומי. </w:t>
      </w:r>
      <w:r w:rsidR="001B72F4">
        <w:rPr>
          <w:rFonts w:hint="cs"/>
          <w:rtl/>
          <w:lang w:bidi="he-IL"/>
        </w:rPr>
        <w:t>אך מדוע היה צורך בקיומו של "משפט מקדים" (</w:t>
      </w:r>
      <w:r w:rsidR="001B72F4">
        <w:rPr>
          <w:lang w:bidi="he-IL"/>
        </w:rPr>
        <w:t>pre-trial stage?</w:t>
      </w:r>
      <w:r w:rsidR="001B72F4">
        <w:rPr>
          <w:rFonts w:hint="cs"/>
          <w:rtl/>
          <w:lang w:bidi="he-IL"/>
        </w:rPr>
        <w:t>) מסוג זה?</w:t>
      </w:r>
      <w:r w:rsidR="003C14A3">
        <w:rPr>
          <w:rFonts w:hint="cs"/>
          <w:rtl/>
          <w:lang w:bidi="he-IL"/>
        </w:rPr>
        <w:t xml:space="preserve"> האם </w:t>
      </w:r>
      <w:proofErr w:type="spellStart"/>
      <w:r w:rsidR="003C14A3">
        <w:rPr>
          <w:rFonts w:hint="cs"/>
          <w:rtl/>
          <w:lang w:bidi="he-IL"/>
        </w:rPr>
        <w:t>היתה</w:t>
      </w:r>
      <w:proofErr w:type="spellEnd"/>
      <w:r w:rsidR="003C14A3">
        <w:rPr>
          <w:rFonts w:hint="cs"/>
          <w:rtl/>
          <w:lang w:bidi="he-IL"/>
        </w:rPr>
        <w:t xml:space="preserve"> לו תכלית משפטית, או שהוא נועד לממש דווקא מטרות מסוג אחר? והאם הגשים ההליך, בסופו של דבר, את התכליות שלשמן התקי</w:t>
      </w:r>
      <w:r w:rsidR="00904E17">
        <w:rPr>
          <w:rFonts w:hint="cs"/>
          <w:rtl/>
          <w:lang w:bidi="he-IL"/>
        </w:rPr>
        <w:t>ים? אלו השאלות שבהן יעסוק המאמר.</w:t>
      </w:r>
    </w:p>
    <w:p w:rsidR="00796FDD" w:rsidRDefault="003C14A3" w:rsidP="00904E17">
      <w:pPr>
        <w:ind w:firstLine="720"/>
        <w:rPr>
          <w:rtl/>
          <w:lang w:bidi="he-IL"/>
        </w:rPr>
      </w:pPr>
      <w:r>
        <w:rPr>
          <w:rFonts w:hint="cs"/>
          <w:rtl/>
          <w:lang w:bidi="he-IL"/>
        </w:rPr>
        <w:t xml:space="preserve"> </w:t>
      </w:r>
    </w:p>
    <w:p w:rsidR="00904E17" w:rsidRDefault="00796FDD" w:rsidP="00E152AE">
      <w:pPr>
        <w:ind w:firstLine="720"/>
        <w:rPr>
          <w:rtl/>
          <w:lang w:bidi="he-IL"/>
        </w:rPr>
      </w:pPr>
      <w:r>
        <w:rPr>
          <w:rFonts w:hint="cs"/>
          <w:rtl/>
          <w:lang w:bidi="he-IL"/>
        </w:rPr>
        <w:t>המשפט אמנם תועד במצלמות וידיאו לכל אורכו, אך לפחות בארכיון יד ושם נשמר ממנו תיעוד חלקי בלבד. לעיתים נפסק הצילום במהלך עדות מסוימת ולעתים הוא מתחיל רק באמצעה.</w:t>
      </w:r>
      <w:r w:rsidR="00904E17">
        <w:rPr>
          <w:rFonts w:hint="cs"/>
          <w:rtl/>
          <w:lang w:bidi="he-IL"/>
        </w:rPr>
        <w:t xml:space="preserve"> התוצאה המצערת היא שזהותם של חלק מהעדים אינה ידועה.</w:t>
      </w:r>
      <w:r>
        <w:rPr>
          <w:rFonts w:hint="cs"/>
          <w:rtl/>
          <w:lang w:bidi="he-IL"/>
        </w:rPr>
        <w:t xml:space="preserve"> </w:t>
      </w:r>
      <w:r w:rsidR="007C5FDF">
        <w:rPr>
          <w:rFonts w:hint="cs"/>
          <w:rtl/>
          <w:lang w:bidi="he-IL"/>
        </w:rPr>
        <w:t xml:space="preserve">כמו כן (ויתכן שיש בכך כדי לרמוז על הזיכרון הציבורי הקלוש של האירוע), על אף חלוף השנים, </w:t>
      </w:r>
      <w:r w:rsidR="00904E17">
        <w:rPr>
          <w:rFonts w:hint="cs"/>
          <w:rtl/>
          <w:lang w:bidi="he-IL"/>
        </w:rPr>
        <w:t xml:space="preserve">התעודות ההיסטוריות שנאספו לקראת המשפט, כמו גם המוצגים שהוגשו במהלכו ואלו המסכמים אותו, עדיין לא קוטלגו. </w:t>
      </w:r>
      <w:proofErr w:type="spellStart"/>
      <w:r>
        <w:rPr>
          <w:rFonts w:hint="cs"/>
          <w:rtl/>
          <w:lang w:bidi="he-IL"/>
        </w:rPr>
        <w:t>נסיון</w:t>
      </w:r>
      <w:proofErr w:type="spellEnd"/>
      <w:r>
        <w:rPr>
          <w:rFonts w:hint="cs"/>
          <w:rtl/>
          <w:lang w:bidi="he-IL"/>
        </w:rPr>
        <w:t xml:space="preserve"> </w:t>
      </w:r>
      <w:r w:rsidR="00904E17">
        <w:rPr>
          <w:rFonts w:hint="cs"/>
          <w:rtl/>
          <w:lang w:bidi="he-IL"/>
        </w:rPr>
        <w:t xml:space="preserve">חלקי </w:t>
      </w:r>
      <w:r>
        <w:rPr>
          <w:rFonts w:hint="cs"/>
          <w:rtl/>
          <w:lang w:bidi="he-IL"/>
        </w:rPr>
        <w:t>ל</w:t>
      </w:r>
      <w:r w:rsidR="00904E17">
        <w:rPr>
          <w:rFonts w:hint="cs"/>
          <w:rtl/>
          <w:lang w:bidi="he-IL"/>
        </w:rPr>
        <w:t xml:space="preserve">תמלל חלק מן העדויות נעשה אמנם בעבר במסגרת מסמך שאחת ממחבריו </w:t>
      </w:r>
      <w:proofErr w:type="spellStart"/>
      <w:r w:rsidR="00904E17">
        <w:rPr>
          <w:rFonts w:hint="cs"/>
          <w:rtl/>
          <w:lang w:bidi="he-IL"/>
        </w:rPr>
        <w:t>היתה</w:t>
      </w:r>
      <w:proofErr w:type="spellEnd"/>
      <w:r w:rsidR="00904E17">
        <w:rPr>
          <w:rFonts w:hint="cs"/>
          <w:rtl/>
          <w:lang w:bidi="he-IL"/>
        </w:rPr>
        <w:t xml:space="preserve"> עדה במשפט, אך הוא אינו מקיף את העדויות כולן, ואינו כולל גם את הנאומים שנישאו בו ואת ההחלטה </w:t>
      </w:r>
      <w:r w:rsidR="00904E17">
        <w:rPr>
          <w:rFonts w:hint="cs"/>
          <w:rtl/>
          <w:lang w:bidi="he-IL"/>
        </w:rPr>
        <w:lastRenderedPageBreak/>
        <w:t>שניתנה בתום הדיון.</w:t>
      </w:r>
      <w:r w:rsidR="007C5FDF">
        <w:rPr>
          <w:rStyle w:val="FootnoteReference"/>
          <w:rtl/>
          <w:lang w:bidi="he-IL"/>
        </w:rPr>
        <w:footnoteReference w:id="1"/>
      </w:r>
      <w:r w:rsidR="00904E17">
        <w:rPr>
          <w:rFonts w:hint="cs"/>
          <w:rtl/>
          <w:lang w:bidi="he-IL"/>
        </w:rPr>
        <w:t xml:space="preserve"> מאמר זה פורש אפוא לראשונה </w:t>
      </w:r>
      <w:r w:rsidR="00904E17" w:rsidRPr="00904E17">
        <w:rPr>
          <w:rtl/>
          <w:lang w:bidi="he-IL"/>
        </w:rPr>
        <w:t xml:space="preserve">את סיפורו </w:t>
      </w:r>
      <w:r w:rsidR="00EA1A8A">
        <w:rPr>
          <w:rFonts w:hint="cs"/>
          <w:rtl/>
          <w:lang w:bidi="he-IL"/>
        </w:rPr>
        <w:t xml:space="preserve">המלא </w:t>
      </w:r>
      <w:r w:rsidR="00904E17" w:rsidRPr="00904E17">
        <w:rPr>
          <w:rtl/>
          <w:lang w:bidi="he-IL"/>
        </w:rPr>
        <w:t>של משפט</w:t>
      </w:r>
      <w:r w:rsidR="00EA1A8A">
        <w:rPr>
          <w:rFonts w:hint="cs"/>
          <w:rtl/>
          <w:lang w:bidi="he-IL"/>
        </w:rPr>
        <w:t xml:space="preserve"> מנגלה</w:t>
      </w:r>
      <w:r w:rsidR="00904E17" w:rsidRPr="00904E17">
        <w:rPr>
          <w:rtl/>
          <w:lang w:bidi="he-IL"/>
        </w:rPr>
        <w:t>, כמעט ארבעה עשורים אחרי שנערך</w:t>
      </w:r>
      <w:r w:rsidR="00904E17">
        <w:rPr>
          <w:rFonts w:hint="cs"/>
          <w:rtl/>
          <w:lang w:bidi="he-IL"/>
        </w:rPr>
        <w:t xml:space="preserve">, ומציע </w:t>
      </w:r>
      <w:r w:rsidR="00EA1A8A">
        <w:rPr>
          <w:rFonts w:hint="cs"/>
          <w:rtl/>
          <w:lang w:bidi="he-IL"/>
        </w:rPr>
        <w:t xml:space="preserve">לפרשו כך </w:t>
      </w:r>
      <w:r w:rsidR="001771A0">
        <w:rPr>
          <w:rFonts w:hint="cs"/>
          <w:rtl/>
          <w:lang w:bidi="he-IL"/>
        </w:rPr>
        <w:t xml:space="preserve">שעל אף שהוא </w:t>
      </w:r>
      <w:r w:rsidR="00E152AE">
        <w:rPr>
          <w:rFonts w:hint="cs"/>
          <w:rtl/>
          <w:lang w:bidi="he-IL"/>
        </w:rPr>
        <w:t>התיימר</w:t>
      </w:r>
      <w:r w:rsidR="00EA1A8A">
        <w:rPr>
          <w:rFonts w:hint="cs"/>
          <w:rtl/>
          <w:lang w:bidi="he-IL"/>
        </w:rPr>
        <w:t xml:space="preserve"> לדמות משפט פלילי, </w:t>
      </w:r>
      <w:r w:rsidR="00E152AE">
        <w:rPr>
          <w:rFonts w:hint="cs"/>
          <w:rtl/>
          <w:lang w:bidi="he-IL"/>
        </w:rPr>
        <w:t xml:space="preserve">בפועל  עמדו </w:t>
      </w:r>
      <w:r w:rsidR="001771A0">
        <w:rPr>
          <w:rFonts w:hint="cs"/>
          <w:rtl/>
          <w:lang w:bidi="he-IL"/>
        </w:rPr>
        <w:t xml:space="preserve">במרכז האירוע </w:t>
      </w:r>
      <w:r w:rsidR="00EA1A8A">
        <w:rPr>
          <w:rFonts w:hint="cs"/>
          <w:rtl/>
          <w:lang w:bidi="he-IL"/>
        </w:rPr>
        <w:t>דווקא ניצולי השואה, קרבנות הפשעים</w:t>
      </w:r>
      <w:r w:rsidR="007C5FDF">
        <w:rPr>
          <w:rFonts w:hint="cs"/>
          <w:rtl/>
          <w:lang w:bidi="he-IL"/>
        </w:rPr>
        <w:t xml:space="preserve">, </w:t>
      </w:r>
      <w:r w:rsidR="00EA1A8A">
        <w:rPr>
          <w:rFonts w:hint="cs"/>
          <w:rtl/>
          <w:lang w:bidi="he-IL"/>
        </w:rPr>
        <w:t xml:space="preserve">ולא </w:t>
      </w:r>
      <w:r w:rsidR="007C5FDF">
        <w:rPr>
          <w:rFonts w:hint="cs"/>
          <w:rtl/>
          <w:lang w:bidi="he-IL"/>
        </w:rPr>
        <w:t>הנאשם.</w:t>
      </w:r>
    </w:p>
    <w:p w:rsidR="0032172B" w:rsidRDefault="0032172B" w:rsidP="00F75186">
      <w:pPr>
        <w:tabs>
          <w:tab w:val="left" w:pos="800"/>
        </w:tabs>
        <w:overflowPunct w:val="0"/>
        <w:autoSpaceDE w:val="0"/>
        <w:autoSpaceDN w:val="0"/>
        <w:adjustRightInd w:val="0"/>
        <w:textAlignment w:val="baseline"/>
        <w:rPr>
          <w:rtl/>
          <w:lang w:bidi="he-IL"/>
        </w:rPr>
      </w:pPr>
    </w:p>
    <w:p w:rsidR="00FA43A2" w:rsidRPr="00FA43A2" w:rsidRDefault="00FA43A2" w:rsidP="00F75186">
      <w:pPr>
        <w:tabs>
          <w:tab w:val="left" w:pos="800"/>
        </w:tabs>
        <w:overflowPunct w:val="0"/>
        <w:autoSpaceDE w:val="0"/>
        <w:autoSpaceDN w:val="0"/>
        <w:adjustRightInd w:val="0"/>
        <w:textAlignment w:val="baseline"/>
        <w:rPr>
          <w:b/>
          <w:bCs/>
          <w:rtl/>
          <w:lang w:bidi="he-IL"/>
        </w:rPr>
      </w:pPr>
      <w:r w:rsidRPr="006A7576">
        <w:rPr>
          <w:rFonts w:hint="cs"/>
          <w:b/>
          <w:bCs/>
          <w:i/>
          <w:iCs/>
          <w:rtl/>
          <w:lang w:bidi="he-IL"/>
        </w:rPr>
        <w:t>"</w:t>
      </w:r>
      <w:r w:rsidRPr="006A7576">
        <w:rPr>
          <w:b/>
          <w:bCs/>
          <w:i/>
          <w:iCs/>
          <w:rtl/>
          <w:lang w:bidi="he-IL"/>
        </w:rPr>
        <w:t>ויש בכך גם מחאה כלפי העובדה שמנגלה עוד מסתובב חופשי</w:t>
      </w:r>
      <w:r w:rsidRPr="006A7576">
        <w:rPr>
          <w:rFonts w:hint="cs"/>
          <w:b/>
          <w:bCs/>
          <w:i/>
          <w:iCs/>
          <w:rtl/>
          <w:lang w:bidi="he-IL"/>
        </w:rPr>
        <w:t>"</w:t>
      </w:r>
      <w:r w:rsidRPr="00FA43A2">
        <w:rPr>
          <w:rStyle w:val="FootnoteReference"/>
          <w:rtl/>
          <w:lang w:bidi="he-IL"/>
        </w:rPr>
        <w:footnoteReference w:id="2"/>
      </w:r>
    </w:p>
    <w:p w:rsidR="00FA43A2" w:rsidRDefault="00FA43A2" w:rsidP="00F75186">
      <w:pPr>
        <w:tabs>
          <w:tab w:val="left" w:pos="800"/>
        </w:tabs>
        <w:overflowPunct w:val="0"/>
        <w:autoSpaceDE w:val="0"/>
        <w:autoSpaceDN w:val="0"/>
        <w:adjustRightInd w:val="0"/>
        <w:textAlignment w:val="baseline"/>
        <w:rPr>
          <w:rtl/>
          <w:lang w:bidi="he-IL"/>
        </w:rPr>
      </w:pPr>
    </w:p>
    <w:p w:rsidR="00511C54" w:rsidRPr="00511C54" w:rsidRDefault="001C10E3" w:rsidP="00E152AE">
      <w:pPr>
        <w:tabs>
          <w:tab w:val="left" w:pos="800"/>
        </w:tabs>
        <w:overflowPunct w:val="0"/>
        <w:autoSpaceDE w:val="0"/>
        <w:autoSpaceDN w:val="0"/>
        <w:adjustRightInd w:val="0"/>
        <w:textAlignment w:val="baseline"/>
        <w:rPr>
          <w:rtl/>
          <w:lang w:bidi="he-IL"/>
        </w:rPr>
      </w:pPr>
      <w:r>
        <w:rPr>
          <w:rtl/>
          <w:lang w:bidi="he-IL"/>
        </w:rPr>
        <w:tab/>
      </w:r>
      <w:r w:rsidR="00511C54" w:rsidRPr="00511C54">
        <w:rPr>
          <w:rtl/>
          <w:lang w:bidi="he-IL"/>
        </w:rPr>
        <w:t>יוזף מנגלה, שהתפרסם בכינוי "מלאך המוות של אושוויץ", היה ונותר אחד הסמלים הבולטים של מחנה ההשמדה אושו</w:t>
      </w:r>
      <w:r w:rsidR="00E152AE">
        <w:rPr>
          <w:rtl/>
          <w:lang w:bidi="he-IL"/>
        </w:rPr>
        <w:t>ויץ ולמעשה של פשעי הנאציים בכלל</w:t>
      </w:r>
      <w:r w:rsidR="00511C54" w:rsidRPr="00511C54">
        <w:rPr>
          <w:rtl/>
          <w:lang w:bidi="he-IL"/>
        </w:rPr>
        <w:t xml:space="preserve">ותם. לאחר המלחמה נעלמו עקבותיו. </w:t>
      </w:r>
      <w:r w:rsidR="00511C54">
        <w:rPr>
          <w:rFonts w:hint="cs"/>
          <w:rtl/>
          <w:lang w:bidi="he-IL"/>
        </w:rPr>
        <w:t xml:space="preserve">למעשה, </w:t>
      </w:r>
      <w:r w:rsidR="007F0CED">
        <w:rPr>
          <w:rFonts w:hint="cs"/>
          <w:rtl/>
          <w:lang w:bidi="he-IL"/>
        </w:rPr>
        <w:t xml:space="preserve">בעת שנוהל </w:t>
      </w:r>
      <w:r w:rsidR="00511C54">
        <w:rPr>
          <w:rFonts w:hint="cs"/>
          <w:rtl/>
          <w:lang w:bidi="he-IL"/>
        </w:rPr>
        <w:t>ההליך המתואר כאן</w:t>
      </w:r>
      <w:r w:rsidR="007F0CED">
        <w:rPr>
          <w:rFonts w:hint="cs"/>
          <w:rtl/>
          <w:lang w:bidi="he-IL"/>
        </w:rPr>
        <w:t>, מנגלה כבר לא היה בין החיים קרוב לשש שנים. אלא שדבר מותו</w:t>
      </w:r>
      <w:r w:rsidR="006B2AAD">
        <w:rPr>
          <w:rFonts w:hint="cs"/>
          <w:rtl/>
          <w:lang w:bidi="he-IL"/>
        </w:rPr>
        <w:t xml:space="preserve"> </w:t>
      </w:r>
      <w:r w:rsidR="007F0CED">
        <w:rPr>
          <w:rFonts w:hint="cs"/>
          <w:rtl/>
          <w:lang w:bidi="he-IL"/>
        </w:rPr>
        <w:t xml:space="preserve">התגלה רק חמישה חודשים לאחר מכן. </w:t>
      </w:r>
      <w:r w:rsidR="00511C54" w:rsidRPr="00511C54">
        <w:rPr>
          <w:rFonts w:hint="cs"/>
          <w:rtl/>
          <w:lang w:bidi="he-IL"/>
        </w:rPr>
        <w:t>בדיעבד הסתבר</w:t>
      </w:r>
      <w:r w:rsidR="00511C54">
        <w:rPr>
          <w:rFonts w:hint="cs"/>
          <w:rtl/>
          <w:lang w:bidi="he-IL"/>
        </w:rPr>
        <w:t>,</w:t>
      </w:r>
      <w:r w:rsidR="00511C54" w:rsidRPr="00511C54">
        <w:rPr>
          <w:rFonts w:hint="cs"/>
          <w:rtl/>
          <w:lang w:bidi="he-IL"/>
        </w:rPr>
        <w:t xml:space="preserve"> כי </w:t>
      </w:r>
      <w:r w:rsidR="00511C54">
        <w:rPr>
          <w:rFonts w:hint="cs"/>
          <w:rtl/>
          <w:lang w:bidi="he-IL"/>
        </w:rPr>
        <w:t xml:space="preserve">עם תום המלחמה </w:t>
      </w:r>
      <w:r w:rsidR="00511C54" w:rsidRPr="00511C54">
        <w:rPr>
          <w:rFonts w:hint="cs"/>
          <w:rtl/>
          <w:lang w:bidi="he-IL"/>
        </w:rPr>
        <w:t xml:space="preserve">הסתתר בחווה בבוואריה, </w:t>
      </w:r>
      <w:r w:rsidR="00511C54">
        <w:rPr>
          <w:rFonts w:hint="cs"/>
          <w:rtl/>
          <w:lang w:bidi="he-IL"/>
        </w:rPr>
        <w:t>ו</w:t>
      </w:r>
      <w:r w:rsidR="00511C54" w:rsidRPr="00511C54">
        <w:rPr>
          <w:rFonts w:hint="cs"/>
          <w:rtl/>
          <w:lang w:bidi="he-IL"/>
        </w:rPr>
        <w:t>בשנת</w:t>
      </w:r>
      <w:r w:rsidR="00511C54">
        <w:rPr>
          <w:rFonts w:hint="cs"/>
          <w:rtl/>
          <w:lang w:bidi="he-IL"/>
        </w:rPr>
        <w:t xml:space="preserve"> 1949 היגר</w:t>
      </w:r>
      <w:r w:rsidR="00511C54" w:rsidRPr="00511C54">
        <w:rPr>
          <w:rFonts w:hint="cs"/>
          <w:rtl/>
          <w:lang w:bidi="he-IL"/>
        </w:rPr>
        <w:t xml:space="preserve"> לארגנטינה, שם מצאו פושעים נאצים רבים מקלט.</w:t>
      </w:r>
      <w:r w:rsidR="00511C54" w:rsidRPr="00511C54">
        <w:rPr>
          <w:rFonts w:hint="eastAsia"/>
          <w:rtl/>
          <w:lang w:bidi="he-IL"/>
        </w:rPr>
        <w:t xml:space="preserve"> על</w:t>
      </w:r>
      <w:r w:rsidR="00511C54" w:rsidRPr="00511C54">
        <w:rPr>
          <w:rtl/>
          <w:lang w:bidi="he-IL"/>
        </w:rPr>
        <w:t xml:space="preserve"> </w:t>
      </w:r>
      <w:r w:rsidR="00511C54" w:rsidRPr="00511C54">
        <w:rPr>
          <w:rFonts w:hint="eastAsia"/>
          <w:rtl/>
          <w:lang w:bidi="he-IL"/>
        </w:rPr>
        <w:t>אף</w:t>
      </w:r>
      <w:r w:rsidR="00511C54" w:rsidRPr="00511C54">
        <w:rPr>
          <w:rtl/>
          <w:lang w:bidi="he-IL"/>
        </w:rPr>
        <w:t xml:space="preserve"> </w:t>
      </w:r>
      <w:r w:rsidR="00511C54" w:rsidRPr="00511C54">
        <w:rPr>
          <w:rFonts w:hint="eastAsia"/>
          <w:rtl/>
          <w:lang w:bidi="he-IL"/>
        </w:rPr>
        <w:t>מאמצים</w:t>
      </w:r>
      <w:r w:rsidR="00511C54" w:rsidRPr="00511C54">
        <w:rPr>
          <w:rtl/>
          <w:lang w:bidi="he-IL"/>
        </w:rPr>
        <w:t xml:space="preserve"> </w:t>
      </w:r>
      <w:r w:rsidR="00511C54" w:rsidRPr="00511C54">
        <w:rPr>
          <w:rFonts w:hint="eastAsia"/>
          <w:rtl/>
          <w:lang w:bidi="he-IL"/>
        </w:rPr>
        <w:t>בינלאומיים</w:t>
      </w:r>
      <w:r w:rsidR="00511C54" w:rsidRPr="00511C54">
        <w:rPr>
          <w:rtl/>
          <w:lang w:bidi="he-IL"/>
        </w:rPr>
        <w:t xml:space="preserve"> </w:t>
      </w:r>
      <w:r w:rsidR="00511C54" w:rsidRPr="00511C54">
        <w:rPr>
          <w:rFonts w:hint="eastAsia"/>
          <w:rtl/>
          <w:lang w:bidi="he-IL"/>
        </w:rPr>
        <w:t>רבים</w:t>
      </w:r>
      <w:r w:rsidR="00511C54" w:rsidRPr="00511C54">
        <w:rPr>
          <w:rtl/>
          <w:lang w:bidi="he-IL"/>
        </w:rPr>
        <w:t xml:space="preserve"> </w:t>
      </w:r>
      <w:r w:rsidR="00511C54" w:rsidRPr="00511C54">
        <w:rPr>
          <w:rFonts w:hint="eastAsia"/>
          <w:rtl/>
          <w:lang w:bidi="he-IL"/>
        </w:rPr>
        <w:t>לאתרו</w:t>
      </w:r>
      <w:r w:rsidR="00511C54" w:rsidRPr="00511C54">
        <w:rPr>
          <w:rtl/>
          <w:lang w:bidi="he-IL"/>
        </w:rPr>
        <w:t xml:space="preserve">, </w:t>
      </w:r>
      <w:r w:rsidR="00511C54" w:rsidRPr="00511C54">
        <w:rPr>
          <w:rFonts w:hint="eastAsia"/>
          <w:rtl/>
          <w:lang w:bidi="he-IL"/>
        </w:rPr>
        <w:t>מנגלה</w:t>
      </w:r>
      <w:r w:rsidR="00511C54" w:rsidRPr="00511C54">
        <w:rPr>
          <w:rtl/>
          <w:lang w:bidi="he-IL"/>
        </w:rPr>
        <w:t xml:space="preserve"> </w:t>
      </w:r>
      <w:r w:rsidR="00511C54" w:rsidRPr="00511C54">
        <w:rPr>
          <w:rFonts w:hint="eastAsia"/>
          <w:rtl/>
          <w:lang w:bidi="he-IL"/>
        </w:rPr>
        <w:t>מעולם</w:t>
      </w:r>
      <w:r w:rsidR="00511C54" w:rsidRPr="00511C54">
        <w:rPr>
          <w:rtl/>
          <w:lang w:bidi="he-IL"/>
        </w:rPr>
        <w:t xml:space="preserve"> </w:t>
      </w:r>
      <w:r w:rsidR="00511C54" w:rsidRPr="00511C54">
        <w:rPr>
          <w:rFonts w:hint="eastAsia"/>
          <w:rtl/>
          <w:lang w:bidi="he-IL"/>
        </w:rPr>
        <w:t>לא</w:t>
      </w:r>
      <w:r w:rsidR="00511C54" w:rsidRPr="00511C54">
        <w:rPr>
          <w:rtl/>
          <w:lang w:bidi="he-IL"/>
        </w:rPr>
        <w:t xml:space="preserve"> </w:t>
      </w:r>
      <w:r w:rsidR="00511C54" w:rsidRPr="00511C54">
        <w:rPr>
          <w:rFonts w:hint="eastAsia"/>
          <w:rtl/>
          <w:lang w:bidi="he-IL"/>
        </w:rPr>
        <w:t>נתפס</w:t>
      </w:r>
      <w:r w:rsidR="00511C54" w:rsidRPr="00511C54">
        <w:rPr>
          <w:rtl/>
          <w:lang w:bidi="he-IL"/>
        </w:rPr>
        <w:t xml:space="preserve">, </w:t>
      </w:r>
      <w:r w:rsidR="00511C54" w:rsidRPr="00511C54">
        <w:rPr>
          <w:rFonts w:hint="eastAsia"/>
          <w:rtl/>
          <w:lang w:bidi="he-IL"/>
        </w:rPr>
        <w:t>והוא</w:t>
      </w:r>
      <w:r w:rsidR="00511C54" w:rsidRPr="00511C54">
        <w:rPr>
          <w:rtl/>
          <w:lang w:bidi="he-IL"/>
        </w:rPr>
        <w:t xml:space="preserve"> </w:t>
      </w:r>
      <w:r w:rsidR="00511C54" w:rsidRPr="00511C54">
        <w:rPr>
          <w:rFonts w:hint="eastAsia"/>
          <w:rtl/>
          <w:lang w:bidi="he-IL"/>
        </w:rPr>
        <w:t>חי</w:t>
      </w:r>
      <w:r w:rsidR="00511C54" w:rsidRPr="00511C54">
        <w:rPr>
          <w:rtl/>
          <w:lang w:bidi="he-IL"/>
        </w:rPr>
        <w:t xml:space="preserve"> </w:t>
      </w:r>
      <w:r w:rsidR="00511C54" w:rsidRPr="00511C54">
        <w:rPr>
          <w:rFonts w:hint="eastAsia"/>
          <w:rtl/>
          <w:lang w:bidi="he-IL"/>
        </w:rPr>
        <w:t>בזהות</w:t>
      </w:r>
      <w:r w:rsidR="00511C54" w:rsidRPr="00511C54">
        <w:rPr>
          <w:rtl/>
          <w:lang w:bidi="he-IL"/>
        </w:rPr>
        <w:t xml:space="preserve"> </w:t>
      </w:r>
      <w:r w:rsidR="00511C54" w:rsidRPr="00511C54">
        <w:rPr>
          <w:rFonts w:hint="eastAsia"/>
          <w:rtl/>
          <w:lang w:bidi="he-IL"/>
        </w:rPr>
        <w:t>בדויה</w:t>
      </w:r>
      <w:r w:rsidR="00511C54" w:rsidRPr="00511C54">
        <w:rPr>
          <w:rFonts w:hint="cs"/>
          <w:rtl/>
          <w:lang w:bidi="he-IL"/>
        </w:rPr>
        <w:t xml:space="preserve"> במשך 35 שנים</w:t>
      </w:r>
      <w:r w:rsidR="00511C54" w:rsidRPr="00511C54">
        <w:rPr>
          <w:rtl/>
          <w:lang w:bidi="he-IL"/>
        </w:rPr>
        <w:t>.</w:t>
      </w:r>
      <w:r w:rsidR="00511C54" w:rsidRPr="00511C54">
        <w:rPr>
          <w:rFonts w:hint="cs"/>
          <w:rtl/>
          <w:lang w:bidi="he-IL"/>
        </w:rPr>
        <w:t xml:space="preserve"> </w:t>
      </w:r>
      <w:r w:rsidR="00511C54" w:rsidRPr="00511C54">
        <w:rPr>
          <w:rFonts w:hint="eastAsia"/>
          <w:rtl/>
          <w:lang w:bidi="he-IL"/>
        </w:rPr>
        <w:t>ככל</w:t>
      </w:r>
      <w:r w:rsidR="00511C54" w:rsidRPr="00511C54">
        <w:rPr>
          <w:rtl/>
          <w:lang w:bidi="he-IL"/>
        </w:rPr>
        <w:t xml:space="preserve"> </w:t>
      </w:r>
      <w:r w:rsidR="00511C54" w:rsidRPr="00511C54">
        <w:rPr>
          <w:rFonts w:hint="eastAsia"/>
          <w:rtl/>
          <w:lang w:bidi="he-IL"/>
        </w:rPr>
        <w:t>הידוע</w:t>
      </w:r>
      <w:r w:rsidR="00511C54" w:rsidRPr="00511C54">
        <w:rPr>
          <w:rtl/>
          <w:lang w:bidi="he-IL"/>
        </w:rPr>
        <w:t xml:space="preserve"> </w:t>
      </w:r>
      <w:r w:rsidR="00511C54">
        <w:rPr>
          <w:rFonts w:hint="cs"/>
          <w:rtl/>
          <w:lang w:bidi="he-IL"/>
        </w:rPr>
        <w:t xml:space="preserve">היום, </w:t>
      </w:r>
      <w:r w:rsidR="00E152AE">
        <w:rPr>
          <w:rFonts w:hint="cs"/>
          <w:rtl/>
          <w:lang w:bidi="he-IL"/>
        </w:rPr>
        <w:t xml:space="preserve">בשנת 1979 הוא </w:t>
      </w:r>
      <w:r w:rsidR="00511C54" w:rsidRPr="00511C54">
        <w:rPr>
          <w:rFonts w:hint="eastAsia"/>
          <w:rtl/>
          <w:lang w:bidi="he-IL"/>
        </w:rPr>
        <w:t>מת</w:t>
      </w:r>
      <w:r w:rsidR="00511C54" w:rsidRPr="00511C54">
        <w:rPr>
          <w:rtl/>
          <w:lang w:bidi="he-IL"/>
        </w:rPr>
        <w:t xml:space="preserve"> </w:t>
      </w:r>
      <w:r w:rsidR="00511C54" w:rsidRPr="00511C54">
        <w:rPr>
          <w:rFonts w:hint="cs"/>
          <w:rtl/>
          <w:lang w:bidi="he-IL"/>
        </w:rPr>
        <w:t xml:space="preserve">בברזיל </w:t>
      </w:r>
      <w:r w:rsidR="00511C54" w:rsidRPr="00511C54">
        <w:rPr>
          <w:rFonts w:hint="eastAsia"/>
          <w:rtl/>
          <w:lang w:bidi="he-IL"/>
        </w:rPr>
        <w:t>כתוצאה</w:t>
      </w:r>
      <w:r w:rsidR="00511C54" w:rsidRPr="00511C54">
        <w:rPr>
          <w:rtl/>
          <w:lang w:bidi="he-IL"/>
        </w:rPr>
        <w:t xml:space="preserve"> </w:t>
      </w:r>
      <w:r w:rsidR="00511C54" w:rsidRPr="00511C54">
        <w:rPr>
          <w:rFonts w:hint="eastAsia"/>
          <w:rtl/>
          <w:lang w:bidi="he-IL"/>
        </w:rPr>
        <w:t>משבץ</w:t>
      </w:r>
      <w:r w:rsidR="00511C54" w:rsidRPr="00511C54">
        <w:rPr>
          <w:rtl/>
          <w:lang w:bidi="he-IL"/>
        </w:rPr>
        <w:t xml:space="preserve"> </w:t>
      </w:r>
      <w:r w:rsidR="00511C54" w:rsidRPr="00511C54">
        <w:rPr>
          <w:rFonts w:hint="eastAsia"/>
          <w:rtl/>
          <w:lang w:bidi="he-IL"/>
        </w:rPr>
        <w:t>בו</w:t>
      </w:r>
      <w:r w:rsidR="00511C54" w:rsidRPr="00511C54">
        <w:rPr>
          <w:rtl/>
          <w:lang w:bidi="he-IL"/>
        </w:rPr>
        <w:t xml:space="preserve"> </w:t>
      </w:r>
      <w:r w:rsidR="00511C54" w:rsidRPr="00511C54">
        <w:rPr>
          <w:rFonts w:hint="eastAsia"/>
          <w:rtl/>
          <w:lang w:bidi="he-IL"/>
        </w:rPr>
        <w:t>לקה</w:t>
      </w:r>
      <w:r w:rsidR="00511C54" w:rsidRPr="00511C54">
        <w:rPr>
          <w:rtl/>
          <w:lang w:bidi="he-IL"/>
        </w:rPr>
        <w:t xml:space="preserve"> </w:t>
      </w:r>
      <w:r w:rsidR="00511C54" w:rsidRPr="00511C54">
        <w:rPr>
          <w:rFonts w:hint="eastAsia"/>
          <w:rtl/>
          <w:lang w:bidi="he-IL"/>
        </w:rPr>
        <w:t>בעת</w:t>
      </w:r>
      <w:r w:rsidR="00511C54" w:rsidRPr="00511C54">
        <w:rPr>
          <w:rtl/>
          <w:lang w:bidi="he-IL"/>
        </w:rPr>
        <w:t xml:space="preserve"> </w:t>
      </w:r>
      <w:r w:rsidR="00511C54" w:rsidRPr="00511C54">
        <w:rPr>
          <w:rFonts w:hint="eastAsia"/>
          <w:rtl/>
          <w:lang w:bidi="he-IL"/>
        </w:rPr>
        <w:t>ששחה</w:t>
      </w:r>
      <w:r w:rsidR="00511C54" w:rsidRPr="00511C54">
        <w:rPr>
          <w:rtl/>
          <w:lang w:bidi="he-IL"/>
        </w:rPr>
        <w:t xml:space="preserve"> </w:t>
      </w:r>
      <w:r w:rsidR="00511C54" w:rsidRPr="00511C54">
        <w:rPr>
          <w:rFonts w:hint="eastAsia"/>
          <w:rtl/>
          <w:lang w:bidi="he-IL"/>
        </w:rPr>
        <w:t>בים</w:t>
      </w:r>
      <w:r w:rsidR="00E152AE">
        <w:rPr>
          <w:rFonts w:hint="cs"/>
          <w:rtl/>
          <w:lang w:bidi="he-IL"/>
        </w:rPr>
        <w:t xml:space="preserve">. </w:t>
      </w:r>
      <w:r w:rsidR="00511C54" w:rsidRPr="00511C54">
        <w:rPr>
          <w:rFonts w:hint="cs"/>
          <w:rtl/>
          <w:lang w:bidi="he-IL"/>
        </w:rPr>
        <w:t xml:space="preserve">עובדת מותו לא </w:t>
      </w:r>
      <w:proofErr w:type="spellStart"/>
      <w:r w:rsidR="00511C54" w:rsidRPr="00511C54">
        <w:rPr>
          <w:rFonts w:hint="cs"/>
          <w:rtl/>
          <w:lang w:bidi="he-IL"/>
        </w:rPr>
        <w:t>היתה</w:t>
      </w:r>
      <w:proofErr w:type="spellEnd"/>
      <w:r w:rsidR="00511C54" w:rsidRPr="00511C54">
        <w:rPr>
          <w:rFonts w:hint="cs"/>
          <w:rtl/>
          <w:lang w:bidi="he-IL"/>
        </w:rPr>
        <w:t xml:space="preserve"> ידועה עד ל-5 ביוני 1985, עת הוצאו עצמותיו מקבר שנשא את שמו של אדם אחר.</w:t>
      </w:r>
      <w:r w:rsidR="00E152AE">
        <w:rPr>
          <w:rStyle w:val="FootnoteReference"/>
          <w:rtl/>
          <w:lang w:bidi="he-IL"/>
        </w:rPr>
        <w:footnoteReference w:id="3"/>
      </w:r>
    </w:p>
    <w:p w:rsidR="00511C54" w:rsidRPr="00511C54" w:rsidRDefault="00511C54" w:rsidP="00511C54">
      <w:pPr>
        <w:tabs>
          <w:tab w:val="left" w:pos="800"/>
        </w:tabs>
        <w:overflowPunct w:val="0"/>
        <w:autoSpaceDE w:val="0"/>
        <w:autoSpaceDN w:val="0"/>
        <w:adjustRightInd w:val="0"/>
        <w:textAlignment w:val="baseline"/>
        <w:rPr>
          <w:rtl/>
          <w:lang w:bidi="he-IL"/>
        </w:rPr>
      </w:pPr>
    </w:p>
    <w:p w:rsidR="008E6F7D" w:rsidRDefault="001C10E3" w:rsidP="007F4E39">
      <w:pPr>
        <w:tabs>
          <w:tab w:val="left" w:pos="800"/>
        </w:tabs>
        <w:overflowPunct w:val="0"/>
        <w:autoSpaceDE w:val="0"/>
        <w:autoSpaceDN w:val="0"/>
        <w:adjustRightInd w:val="0"/>
        <w:textAlignment w:val="baseline"/>
        <w:rPr>
          <w:rtl/>
          <w:lang w:bidi="he-IL"/>
        </w:rPr>
      </w:pPr>
      <w:r>
        <w:rPr>
          <w:rtl/>
          <w:lang w:bidi="he-IL"/>
        </w:rPr>
        <w:tab/>
      </w:r>
      <w:r w:rsidR="00511C54">
        <w:rPr>
          <w:rFonts w:hint="cs"/>
          <w:rtl/>
          <w:lang w:bidi="he-IL"/>
        </w:rPr>
        <w:t xml:space="preserve">מנגלה </w:t>
      </w:r>
      <w:r w:rsidR="00511C54" w:rsidRPr="00511C54">
        <w:rPr>
          <w:rtl/>
          <w:lang w:bidi="he-IL"/>
        </w:rPr>
        <w:t xml:space="preserve">מעולם לא הועמד למשפט פלילי בערכאה מדינתית או בינלאומית. </w:t>
      </w:r>
      <w:r w:rsidR="00511C54">
        <w:rPr>
          <w:rFonts w:hint="cs"/>
          <w:rtl/>
          <w:lang w:bidi="he-IL"/>
        </w:rPr>
        <w:t xml:space="preserve">לאחר המלחמה </w:t>
      </w:r>
      <w:r w:rsidR="00511C54" w:rsidRPr="00511C54">
        <w:rPr>
          <w:rFonts w:hint="cs"/>
          <w:rtl/>
          <w:lang w:bidi="he-IL"/>
        </w:rPr>
        <w:t xml:space="preserve">נזכר שמו מספר פעמים, בין היתר בעדויות שנאספו לקראת </w:t>
      </w:r>
      <w:r w:rsidR="00511C54">
        <w:rPr>
          <w:rFonts w:hint="cs"/>
          <w:rtl/>
          <w:lang w:bidi="he-IL"/>
        </w:rPr>
        <w:t>ניהולם של משפטי נירנברג</w:t>
      </w:r>
      <w:r w:rsidR="00511C54" w:rsidRPr="00511C54">
        <w:rPr>
          <w:rFonts w:hint="cs"/>
          <w:rtl/>
          <w:lang w:bidi="he-IL"/>
        </w:rPr>
        <w:t>.</w:t>
      </w:r>
      <w:r w:rsidR="00511C54" w:rsidRPr="00511C54">
        <w:rPr>
          <w:rFonts w:ascii="Arial TUR" w:eastAsia="Times New Roman" w:hAnsi="Arial TUR" w:cs="FrankRuehl"/>
          <w:spacing w:val="10"/>
          <w:sz w:val="22"/>
          <w:szCs w:val="28"/>
          <w:vertAlign w:val="superscript"/>
          <w:rtl/>
          <w:lang w:bidi="he-IL"/>
        </w:rPr>
        <w:footnoteReference w:id="4"/>
      </w:r>
      <w:r w:rsidR="00511C54" w:rsidRPr="00511C54">
        <w:rPr>
          <w:rFonts w:ascii="Arial TUR" w:eastAsia="Times New Roman" w:hAnsi="Arial TUR" w:cs="FrankRuehl" w:hint="cs"/>
          <w:spacing w:val="10"/>
          <w:sz w:val="22"/>
          <w:szCs w:val="28"/>
          <w:rtl/>
          <w:lang w:bidi="he-IL"/>
        </w:rPr>
        <w:t xml:space="preserve"> </w:t>
      </w:r>
      <w:r w:rsidR="00511C54">
        <w:rPr>
          <w:rFonts w:hint="cs"/>
          <w:rtl/>
          <w:lang w:bidi="he-IL"/>
        </w:rPr>
        <w:t xml:space="preserve">אולם, </w:t>
      </w:r>
      <w:r w:rsidR="00511C54" w:rsidRPr="00511C54">
        <w:rPr>
          <w:rFonts w:hint="cs"/>
          <w:rtl/>
          <w:lang w:bidi="he-IL"/>
        </w:rPr>
        <w:t>רק בשנת 1959 הוצי</w:t>
      </w:r>
      <w:r w:rsidR="00511C54">
        <w:rPr>
          <w:rFonts w:hint="cs"/>
          <w:rtl/>
          <w:lang w:bidi="he-IL"/>
        </w:rPr>
        <w:t xml:space="preserve">א נגדו בית משפט גרמני </w:t>
      </w:r>
      <w:proofErr w:type="spellStart"/>
      <w:r w:rsidR="00511C54">
        <w:rPr>
          <w:rFonts w:hint="cs"/>
          <w:rtl/>
          <w:lang w:bidi="he-IL"/>
        </w:rPr>
        <w:t>בפרייבורג</w:t>
      </w:r>
      <w:proofErr w:type="spellEnd"/>
      <w:r w:rsidR="00511C54">
        <w:rPr>
          <w:rFonts w:hint="cs"/>
          <w:rtl/>
          <w:lang w:bidi="he-IL"/>
        </w:rPr>
        <w:t xml:space="preserve">, עיר מחוז מגוריו, </w:t>
      </w:r>
      <w:r w:rsidR="00511C54" w:rsidRPr="00511C54">
        <w:rPr>
          <w:rFonts w:hint="cs"/>
          <w:rtl/>
          <w:lang w:bidi="he-IL"/>
        </w:rPr>
        <w:t xml:space="preserve">צו מעצר. בשנת 1960 ביקש משרד החוץ במערב גרמניה מארגנטינה להסגירו לידיו, אך מנגלה הצליח להימלט לפרגוואי ובהמשך לברזיל, שם חי אצל זוג גרמנים שהעניקו לו מקלט עד יום מותו. </w:t>
      </w:r>
      <w:r w:rsidR="008E6F7D">
        <w:rPr>
          <w:rFonts w:hint="cs"/>
          <w:rtl/>
          <w:lang w:bidi="he-IL"/>
        </w:rPr>
        <w:t xml:space="preserve">אולם, </w:t>
      </w:r>
      <w:r w:rsidR="00511C54" w:rsidRPr="00511C54">
        <w:rPr>
          <w:rFonts w:hint="cs"/>
          <w:rtl/>
          <w:lang w:bidi="he-IL"/>
        </w:rPr>
        <w:t xml:space="preserve">גרמניה לא </w:t>
      </w:r>
      <w:proofErr w:type="spellStart"/>
      <w:r w:rsidR="00511C54" w:rsidRPr="00511C54">
        <w:rPr>
          <w:rFonts w:hint="cs"/>
          <w:rtl/>
          <w:lang w:bidi="he-IL"/>
        </w:rPr>
        <w:t>היתה</w:t>
      </w:r>
      <w:proofErr w:type="spellEnd"/>
      <w:r w:rsidR="00511C54" w:rsidRPr="00511C54">
        <w:rPr>
          <w:rFonts w:hint="cs"/>
          <w:rtl/>
          <w:lang w:bidi="he-IL"/>
        </w:rPr>
        <w:t xml:space="preserve"> המדינה היחידה שחפצה בהבאתו לדין של מנגלה בתחומיה. </w:t>
      </w:r>
      <w:r w:rsidR="005751B7">
        <w:rPr>
          <w:rFonts w:hint="cs"/>
          <w:rtl/>
          <w:lang w:bidi="he-IL"/>
        </w:rPr>
        <w:t xml:space="preserve">למעשה, </w:t>
      </w:r>
      <w:r w:rsidR="00511C54" w:rsidRPr="00511C54">
        <w:rPr>
          <w:rFonts w:hint="cs"/>
          <w:rtl/>
          <w:lang w:bidi="he-IL"/>
        </w:rPr>
        <w:t>לאחר תפיסת אייכמן, היה מנגלה לפושע המלחמה הנאצי המבוקש ביותר</w:t>
      </w:r>
      <w:r w:rsidR="005751B7">
        <w:rPr>
          <w:rFonts w:hint="cs"/>
          <w:rtl/>
          <w:lang w:bidi="he-IL"/>
        </w:rPr>
        <w:t>. ארצות הברית נקטה בצעדים לצורך איתורו</w:t>
      </w:r>
      <w:r w:rsidR="00511C54" w:rsidRPr="00511C54">
        <w:rPr>
          <w:rFonts w:hint="cs"/>
          <w:rtl/>
          <w:lang w:bidi="he-IL"/>
        </w:rPr>
        <w:t>.</w:t>
      </w:r>
      <w:r w:rsidR="005751B7">
        <w:rPr>
          <w:rStyle w:val="FootnoteReference"/>
          <w:rtl/>
          <w:lang w:bidi="he-IL"/>
        </w:rPr>
        <w:footnoteReference w:id="5"/>
      </w:r>
      <w:r w:rsidR="00511C54" w:rsidRPr="00511C54">
        <w:rPr>
          <w:rFonts w:hint="cs"/>
          <w:rtl/>
          <w:lang w:bidi="he-IL"/>
        </w:rPr>
        <w:t xml:space="preserve"> </w:t>
      </w:r>
      <w:r w:rsidR="007F4E39">
        <w:rPr>
          <w:rFonts w:hint="cs"/>
          <w:rtl/>
          <w:lang w:bidi="he-IL"/>
        </w:rPr>
        <w:t xml:space="preserve">לאורך כחצי יובל, </w:t>
      </w:r>
      <w:r w:rsidR="00511C54" w:rsidRPr="00511C54">
        <w:rPr>
          <w:rFonts w:hint="cs"/>
          <w:rtl/>
          <w:lang w:bidi="he-IL"/>
        </w:rPr>
        <w:t xml:space="preserve">גם מדינת ישראל השקיעה </w:t>
      </w:r>
      <w:r w:rsidR="007F4E39">
        <w:rPr>
          <w:rFonts w:hint="cs"/>
          <w:rtl/>
          <w:lang w:bidi="he-IL"/>
        </w:rPr>
        <w:t xml:space="preserve">מצדה </w:t>
      </w:r>
      <w:r w:rsidR="00511C54" w:rsidRPr="00511C54">
        <w:rPr>
          <w:rFonts w:hint="cs"/>
          <w:rtl/>
          <w:lang w:bidi="he-IL"/>
        </w:rPr>
        <w:t>מאמצים כדי להביא</w:t>
      </w:r>
      <w:r w:rsidR="007F4E39">
        <w:rPr>
          <w:rFonts w:hint="cs"/>
          <w:rtl/>
          <w:lang w:bidi="he-IL"/>
        </w:rPr>
        <w:t>ו</w:t>
      </w:r>
      <w:r w:rsidR="00511C54" w:rsidRPr="00511C54">
        <w:rPr>
          <w:rFonts w:hint="cs"/>
          <w:rtl/>
          <w:lang w:bidi="he-IL"/>
        </w:rPr>
        <w:t xml:space="preserve"> </w:t>
      </w:r>
      <w:r w:rsidR="007F4E39">
        <w:rPr>
          <w:rFonts w:hint="cs"/>
          <w:rtl/>
          <w:lang w:bidi="he-IL"/>
        </w:rPr>
        <w:t>למשפט, ש</w:t>
      </w:r>
      <w:r w:rsidR="008E6F7D">
        <w:rPr>
          <w:rFonts w:hint="cs"/>
          <w:rtl/>
          <w:lang w:bidi="he-IL"/>
        </w:rPr>
        <w:t xml:space="preserve">התמקדו במקביל </w:t>
      </w:r>
      <w:r w:rsidR="00EA2802">
        <w:rPr>
          <w:rFonts w:hint="cs"/>
          <w:rtl/>
          <w:lang w:bidi="he-IL"/>
        </w:rPr>
        <w:t>במישור המודיעיני, המדיני והמשפטי</w:t>
      </w:r>
      <w:r w:rsidR="00511C54" w:rsidRPr="00511C54">
        <w:rPr>
          <w:rFonts w:hint="cs"/>
          <w:rtl/>
          <w:lang w:bidi="he-IL"/>
        </w:rPr>
        <w:t>.</w:t>
      </w:r>
    </w:p>
    <w:p w:rsidR="008E6F7D" w:rsidRDefault="008E6F7D" w:rsidP="005751B7">
      <w:pPr>
        <w:tabs>
          <w:tab w:val="left" w:pos="800"/>
        </w:tabs>
        <w:overflowPunct w:val="0"/>
        <w:autoSpaceDE w:val="0"/>
        <w:autoSpaceDN w:val="0"/>
        <w:adjustRightInd w:val="0"/>
        <w:textAlignment w:val="baseline"/>
        <w:rPr>
          <w:rtl/>
          <w:lang w:bidi="he-IL"/>
        </w:rPr>
      </w:pPr>
    </w:p>
    <w:p w:rsidR="001C10E3" w:rsidRDefault="008E6F7D" w:rsidP="008B2671">
      <w:pPr>
        <w:tabs>
          <w:tab w:val="left" w:pos="800"/>
        </w:tabs>
        <w:overflowPunct w:val="0"/>
        <w:autoSpaceDE w:val="0"/>
        <w:autoSpaceDN w:val="0"/>
        <w:adjustRightInd w:val="0"/>
        <w:textAlignment w:val="baseline"/>
        <w:rPr>
          <w:rtl/>
          <w:lang w:bidi="he-IL"/>
        </w:rPr>
      </w:pPr>
      <w:r>
        <w:rPr>
          <w:rtl/>
          <w:lang w:bidi="he-IL"/>
        </w:rPr>
        <w:tab/>
      </w:r>
      <w:r w:rsidR="00511C54" w:rsidRPr="00511C54">
        <w:rPr>
          <w:rFonts w:hint="cs"/>
          <w:rtl/>
          <w:lang w:bidi="he-IL"/>
        </w:rPr>
        <w:t xml:space="preserve">לאורך </w:t>
      </w:r>
      <w:r w:rsidR="00E860CB">
        <w:rPr>
          <w:rFonts w:hint="cs"/>
          <w:rtl/>
          <w:lang w:bidi="he-IL"/>
        </w:rPr>
        <w:t>שני העשורים הראשונים לקיומה של מדינת ישראל,</w:t>
      </w:r>
      <w:r w:rsidR="00511C54" w:rsidRPr="00511C54">
        <w:rPr>
          <w:rFonts w:hint="cs"/>
          <w:rtl/>
          <w:lang w:bidi="he-IL"/>
        </w:rPr>
        <w:t xml:space="preserve"> התנוסס שמו של מנגלה בראש רשימת הפושעים הנאצים המבוקשים על ידי המוסד.</w:t>
      </w:r>
      <w:r w:rsidR="00E860CB">
        <w:rPr>
          <w:rFonts w:hint="cs"/>
          <w:rtl/>
          <w:lang w:bidi="he-IL"/>
        </w:rPr>
        <w:t xml:space="preserve"> </w:t>
      </w:r>
      <w:r w:rsidR="00641AA2">
        <w:rPr>
          <w:rFonts w:hint="cs"/>
          <w:rtl/>
          <w:lang w:bidi="he-IL"/>
        </w:rPr>
        <w:t xml:space="preserve">אמנם, </w:t>
      </w:r>
      <w:r w:rsidR="00E860CB">
        <w:rPr>
          <w:rFonts w:hint="cs"/>
          <w:rtl/>
          <w:lang w:bidi="he-IL"/>
        </w:rPr>
        <w:t>כפי שחושפים מחקרים חדשים</w:t>
      </w:r>
      <w:r w:rsidR="00EA2802">
        <w:rPr>
          <w:rFonts w:hint="cs"/>
          <w:rtl/>
          <w:lang w:bidi="he-IL"/>
        </w:rPr>
        <w:t>, בעשור שבין 1968, עם מינויו של צבי זמיר לראש המוסד ועד למהפך המדיני ב-1977, הופחתה משמעותית פעילות המוסד באיתור פושעי מלחמה נאציים, באישורם של ראשי הממשלה לוי אשכול, גולדה מאיר ויצחק רבין.</w:t>
      </w:r>
      <w:r w:rsidR="00F0620E">
        <w:rPr>
          <w:rFonts w:hint="cs"/>
          <w:rtl/>
          <w:lang w:bidi="he-IL"/>
        </w:rPr>
        <w:t xml:space="preserve"> </w:t>
      </w:r>
      <w:r w:rsidR="00641AA2">
        <w:rPr>
          <w:rFonts w:hint="cs"/>
          <w:rtl/>
          <w:lang w:bidi="he-IL"/>
        </w:rPr>
        <w:t xml:space="preserve">אולם, בניגוד לפושעים נאצים אחרים, </w:t>
      </w:r>
      <w:r w:rsidR="00F0620E">
        <w:rPr>
          <w:rFonts w:hint="cs"/>
          <w:rtl/>
          <w:lang w:bidi="he-IL"/>
        </w:rPr>
        <w:t xml:space="preserve">החיפוש אחר מנגלה נמשך כל אותה עת, </w:t>
      </w:r>
      <w:r w:rsidR="00641AA2">
        <w:rPr>
          <w:rFonts w:hint="cs"/>
          <w:rtl/>
          <w:lang w:bidi="he-IL"/>
        </w:rPr>
        <w:t>גם אם</w:t>
      </w:r>
      <w:r w:rsidR="00F0620E">
        <w:rPr>
          <w:rFonts w:hint="cs"/>
          <w:rtl/>
          <w:lang w:bidi="he-IL"/>
        </w:rPr>
        <w:t xml:space="preserve"> בעצימות נמוכה.</w:t>
      </w:r>
      <w:r w:rsidR="00641AA2">
        <w:rPr>
          <w:rStyle w:val="FootnoteReference"/>
          <w:rtl/>
          <w:lang w:bidi="he-IL"/>
        </w:rPr>
        <w:footnoteReference w:id="6"/>
      </w:r>
      <w:r w:rsidR="00771B1D">
        <w:rPr>
          <w:rFonts w:hint="cs"/>
          <w:rtl/>
          <w:lang w:bidi="he-IL"/>
        </w:rPr>
        <w:t xml:space="preserve"> </w:t>
      </w:r>
      <w:r w:rsidR="00EA2802">
        <w:rPr>
          <w:rFonts w:hint="cs"/>
          <w:rtl/>
          <w:lang w:bidi="he-IL"/>
        </w:rPr>
        <w:t xml:space="preserve">עם בחירתו של מנחם בגין לראשות הממשלה ב-1977 ומינויו של שמואל </w:t>
      </w:r>
      <w:r w:rsidR="00EA2802">
        <w:rPr>
          <w:rFonts w:hint="cs"/>
          <w:rtl/>
          <w:lang w:bidi="he-IL"/>
        </w:rPr>
        <w:lastRenderedPageBreak/>
        <w:t>תמיר לשר המשפטים חודשו המאמצים המדינתיים בנושא.</w:t>
      </w:r>
      <w:r w:rsidR="008B2671">
        <w:rPr>
          <w:rStyle w:val="FootnoteReference"/>
          <w:rtl/>
          <w:lang w:bidi="he-IL"/>
        </w:rPr>
        <w:footnoteReference w:id="7"/>
      </w:r>
      <w:r w:rsidR="00EA2802">
        <w:rPr>
          <w:rFonts w:hint="cs"/>
          <w:rtl/>
          <w:lang w:bidi="he-IL"/>
        </w:rPr>
        <w:t xml:space="preserve"> </w:t>
      </w:r>
      <w:r w:rsidR="00511C54" w:rsidRPr="00511C54">
        <w:rPr>
          <w:rFonts w:hint="cs"/>
          <w:rtl/>
          <w:lang w:bidi="he-IL"/>
        </w:rPr>
        <w:t>בחודש מרץ 1985 מינה שר המשפטים דאז, משה ניסים, צוות בין-משרדי שעליו הוטל לרכז את הטיפול באיתורו של מנגלה ובהבאתו לדין בישראל. הצוות החל לעבוד בשיתוף פ</w:t>
      </w:r>
      <w:r w:rsidR="00F0620E">
        <w:rPr>
          <w:rFonts w:hint="cs"/>
          <w:rtl/>
          <w:lang w:bidi="he-IL"/>
        </w:rPr>
        <w:t>עולה עם המשרד לחקירות מיוחדות במשרד המשפטים האמריקאי</w:t>
      </w:r>
      <w:r w:rsidR="00511C54" w:rsidRPr="00511C54">
        <w:rPr>
          <w:rFonts w:hint="cs"/>
          <w:rtl/>
          <w:lang w:bidi="he-IL"/>
        </w:rPr>
        <w:t xml:space="preserve"> </w:t>
      </w:r>
      <w:r w:rsidR="00F0620E">
        <w:rPr>
          <w:rFonts w:hint="cs"/>
          <w:rtl/>
          <w:lang w:bidi="he-IL"/>
        </w:rPr>
        <w:t>(</w:t>
      </w:r>
      <w:r w:rsidR="00F0620E">
        <w:rPr>
          <w:lang w:bidi="he-IL"/>
        </w:rPr>
        <w:t>the office of special investigations,</w:t>
      </w:r>
      <w:r w:rsidR="00F0620E" w:rsidRPr="00F0620E">
        <w:t xml:space="preserve"> </w:t>
      </w:r>
      <w:r w:rsidR="00F0620E" w:rsidRPr="00F0620E">
        <w:rPr>
          <w:lang w:bidi="he-IL"/>
        </w:rPr>
        <w:t>United States Department of Justice</w:t>
      </w:r>
      <w:r w:rsidR="00F0620E">
        <w:rPr>
          <w:lang w:bidi="he-IL"/>
        </w:rPr>
        <w:t xml:space="preserve"> </w:t>
      </w:r>
      <w:r w:rsidR="00F0620E">
        <w:rPr>
          <w:rFonts w:hint="cs"/>
          <w:rtl/>
          <w:lang w:bidi="he-IL"/>
        </w:rPr>
        <w:t xml:space="preserve">) </w:t>
      </w:r>
      <w:r w:rsidR="00511C54" w:rsidRPr="00511C54">
        <w:rPr>
          <w:rFonts w:hint="cs"/>
          <w:rtl/>
          <w:lang w:bidi="he-IL"/>
        </w:rPr>
        <w:t xml:space="preserve">ועם התובע מפרנקפורט </w:t>
      </w:r>
      <w:r w:rsidR="0073384B">
        <w:rPr>
          <w:rFonts w:hint="cs"/>
          <w:rtl/>
          <w:lang w:bidi="he-IL"/>
        </w:rPr>
        <w:t>שה</w:t>
      </w:r>
      <w:r w:rsidR="00511C54" w:rsidRPr="00511C54">
        <w:rPr>
          <w:rFonts w:hint="cs"/>
          <w:rtl/>
          <w:lang w:bidi="he-IL"/>
        </w:rPr>
        <w:t>ופקד על תיק מנגלה בגרמניה. באותו חודש אף הודיע שר המשפטים על מתן פרס מטעם מדינת ישראל בסך מיליון דולר למי שיגרום להבאת מנגלה למשפט בישראל</w:t>
      </w:r>
      <w:r w:rsidR="00641AA2">
        <w:rPr>
          <w:rFonts w:hint="cs"/>
          <w:rtl/>
          <w:lang w:bidi="he-IL"/>
        </w:rPr>
        <w:t>.</w:t>
      </w:r>
      <w:bookmarkStart w:id="0" w:name="_Ref471644562"/>
      <w:r w:rsidR="00641AA2" w:rsidRPr="001B170A">
        <w:rPr>
          <w:vertAlign w:val="superscript"/>
          <w:rtl/>
        </w:rPr>
        <w:footnoteReference w:id="8"/>
      </w:r>
      <w:bookmarkEnd w:id="0"/>
      <w:r w:rsidR="00641AA2" w:rsidRPr="00511C54">
        <w:rPr>
          <w:rFonts w:hint="cs"/>
          <w:rtl/>
          <w:lang w:bidi="he-IL"/>
        </w:rPr>
        <w:t xml:space="preserve"> </w:t>
      </w:r>
      <w:r>
        <w:rPr>
          <w:rFonts w:hint="cs"/>
          <w:rtl/>
          <w:lang w:bidi="he-IL"/>
        </w:rPr>
        <w:t xml:space="preserve">לצד זאת, </w:t>
      </w:r>
      <w:r w:rsidR="00511C54" w:rsidRPr="00511C54">
        <w:rPr>
          <w:rFonts w:hint="cs"/>
          <w:rtl/>
          <w:lang w:bidi="he-IL"/>
        </w:rPr>
        <w:t xml:space="preserve">במישור הציבורי נעשו גם כן יוזמות שונות לצורך </w:t>
      </w:r>
      <w:r w:rsidR="0073384B">
        <w:rPr>
          <w:rFonts w:hint="cs"/>
          <w:rtl/>
          <w:lang w:bidi="he-IL"/>
        </w:rPr>
        <w:t xml:space="preserve">איתורו של מנגלה והכרזה קבל עם ועדה על הפשעים החמורים שביצע. </w:t>
      </w:r>
      <w:r w:rsidR="009B291B">
        <w:rPr>
          <w:rFonts w:hint="cs"/>
          <w:rtl/>
          <w:lang w:bidi="he-IL"/>
        </w:rPr>
        <w:t>ניהול המשפט הפומבי</w:t>
      </w:r>
      <w:r w:rsidR="0073384B">
        <w:rPr>
          <w:rFonts w:hint="cs"/>
          <w:rtl/>
          <w:lang w:bidi="he-IL"/>
        </w:rPr>
        <w:t xml:space="preserve"> </w:t>
      </w:r>
      <w:proofErr w:type="spellStart"/>
      <w:r w:rsidR="0073384B">
        <w:rPr>
          <w:rFonts w:hint="cs"/>
          <w:rtl/>
          <w:lang w:bidi="he-IL"/>
        </w:rPr>
        <w:t>היתה</w:t>
      </w:r>
      <w:proofErr w:type="spellEnd"/>
      <w:r w:rsidR="0073384B">
        <w:rPr>
          <w:rFonts w:hint="cs"/>
          <w:rtl/>
          <w:lang w:bidi="he-IL"/>
        </w:rPr>
        <w:t xml:space="preserve"> אחת מ</w:t>
      </w:r>
      <w:r>
        <w:rPr>
          <w:rFonts w:hint="cs"/>
          <w:rtl/>
          <w:lang w:bidi="he-IL"/>
        </w:rPr>
        <w:t>יוזמות אלה.</w:t>
      </w:r>
      <w:r w:rsidR="0073384B">
        <w:rPr>
          <w:rFonts w:hint="cs"/>
          <w:rtl/>
          <w:lang w:bidi="he-IL"/>
        </w:rPr>
        <w:t xml:space="preserve"> </w:t>
      </w:r>
    </w:p>
    <w:p w:rsidR="009B291B" w:rsidRDefault="009B291B" w:rsidP="00F0620E">
      <w:pPr>
        <w:tabs>
          <w:tab w:val="left" w:pos="800"/>
        </w:tabs>
        <w:overflowPunct w:val="0"/>
        <w:autoSpaceDE w:val="0"/>
        <w:autoSpaceDN w:val="0"/>
        <w:adjustRightInd w:val="0"/>
        <w:textAlignment w:val="baseline"/>
        <w:rPr>
          <w:rtl/>
          <w:lang w:bidi="he-IL"/>
        </w:rPr>
      </w:pPr>
    </w:p>
    <w:p w:rsidR="00FA43A2" w:rsidRPr="00FA43A2" w:rsidRDefault="00195939" w:rsidP="00F0620E">
      <w:pPr>
        <w:tabs>
          <w:tab w:val="left" w:pos="800"/>
        </w:tabs>
        <w:overflowPunct w:val="0"/>
        <w:autoSpaceDE w:val="0"/>
        <w:autoSpaceDN w:val="0"/>
        <w:adjustRightInd w:val="0"/>
        <w:textAlignment w:val="baseline"/>
        <w:rPr>
          <w:b/>
          <w:bCs/>
          <w:lang w:bidi="he-IL"/>
        </w:rPr>
      </w:pPr>
      <w:r>
        <w:rPr>
          <w:b/>
          <w:bCs/>
          <w:lang w:bidi="he-IL"/>
        </w:rPr>
        <w:t>The state of Israel vs. Josef Mengele</w:t>
      </w:r>
    </w:p>
    <w:p w:rsidR="00FA43A2" w:rsidRDefault="00FA43A2" w:rsidP="00F0620E">
      <w:pPr>
        <w:tabs>
          <w:tab w:val="left" w:pos="800"/>
        </w:tabs>
        <w:overflowPunct w:val="0"/>
        <w:autoSpaceDE w:val="0"/>
        <w:autoSpaceDN w:val="0"/>
        <w:adjustRightInd w:val="0"/>
        <w:textAlignment w:val="baseline"/>
        <w:rPr>
          <w:rtl/>
          <w:lang w:bidi="he-IL"/>
        </w:rPr>
      </w:pPr>
    </w:p>
    <w:p w:rsidR="00624DB1" w:rsidRDefault="00330F28" w:rsidP="00624DB1">
      <w:pPr>
        <w:tabs>
          <w:tab w:val="left" w:pos="800"/>
        </w:tabs>
        <w:overflowPunct w:val="0"/>
        <w:autoSpaceDE w:val="0"/>
        <w:autoSpaceDN w:val="0"/>
        <w:adjustRightInd w:val="0"/>
        <w:textAlignment w:val="baseline"/>
        <w:rPr>
          <w:rtl/>
          <w:lang w:bidi="he-IL"/>
        </w:rPr>
      </w:pPr>
      <w:r>
        <w:rPr>
          <w:rtl/>
          <w:lang w:bidi="he-IL"/>
        </w:rPr>
        <w:tab/>
      </w:r>
      <w:r w:rsidR="001C10E3" w:rsidRPr="00330F28">
        <w:rPr>
          <w:rtl/>
          <w:lang w:bidi="he-IL"/>
        </w:rPr>
        <w:t xml:space="preserve">במובנים רבים דמה </w:t>
      </w:r>
      <w:r w:rsidR="00624DB1">
        <w:rPr>
          <w:rFonts w:hint="cs"/>
          <w:rtl/>
          <w:lang w:bidi="he-IL"/>
        </w:rPr>
        <w:t>המשפט הפומבי</w:t>
      </w:r>
      <w:r w:rsidR="001C10E3" w:rsidRPr="00330F28">
        <w:rPr>
          <w:rtl/>
          <w:lang w:bidi="he-IL"/>
        </w:rPr>
        <w:t xml:space="preserve"> למשפט פלילי "רגיל". </w:t>
      </w:r>
      <w:r w:rsidR="00D7116B" w:rsidRPr="00330F28">
        <w:rPr>
          <w:rFonts w:hint="cs"/>
          <w:rtl/>
          <w:lang w:bidi="he-IL"/>
        </w:rPr>
        <w:t>העדים מסרו את עדו</w:t>
      </w:r>
      <w:r w:rsidR="007F4E39">
        <w:rPr>
          <w:rFonts w:hint="cs"/>
          <w:rtl/>
          <w:lang w:bidi="he-IL"/>
        </w:rPr>
        <w:t>יו</w:t>
      </w:r>
      <w:r w:rsidR="00D7116B" w:rsidRPr="00330F28">
        <w:rPr>
          <w:rFonts w:hint="cs"/>
          <w:rtl/>
          <w:lang w:bidi="he-IL"/>
        </w:rPr>
        <w:t>ת</w:t>
      </w:r>
      <w:r w:rsidR="007F4E39">
        <w:rPr>
          <w:rFonts w:hint="cs"/>
          <w:rtl/>
          <w:lang w:bidi="he-IL"/>
        </w:rPr>
        <w:t>יה</w:t>
      </w:r>
      <w:r w:rsidR="00D7116B" w:rsidRPr="00330F28">
        <w:rPr>
          <w:rFonts w:hint="cs"/>
          <w:rtl/>
          <w:lang w:bidi="he-IL"/>
        </w:rPr>
        <w:t>ם בפני פ</w:t>
      </w:r>
      <w:r w:rsidR="00D7116B">
        <w:rPr>
          <w:rFonts w:hint="cs"/>
          <w:rtl/>
          <w:lang w:bidi="he-IL"/>
        </w:rPr>
        <w:t>אנל של שבעה "שופטים", שכונו "חברי ועדה", ו</w:t>
      </w:r>
      <w:r w:rsidR="00624DB1">
        <w:rPr>
          <w:rFonts w:hint="cs"/>
          <w:rtl/>
          <w:lang w:bidi="he-IL"/>
        </w:rPr>
        <w:t>היו בעלי ידע או מומחיות רלוונטיים</w:t>
      </w:r>
      <w:r w:rsidR="00D7116B">
        <w:rPr>
          <w:rFonts w:hint="cs"/>
          <w:rtl/>
          <w:lang w:bidi="he-IL"/>
        </w:rPr>
        <w:t xml:space="preserve"> להליך, כל אחד בתחומו. בראש הוועדה עמד גדעון </w:t>
      </w:r>
      <w:proofErr w:type="spellStart"/>
      <w:r w:rsidR="00D7116B">
        <w:rPr>
          <w:rFonts w:hint="cs"/>
          <w:rtl/>
          <w:lang w:bidi="he-IL"/>
        </w:rPr>
        <w:t>האוזנר</w:t>
      </w:r>
      <w:proofErr w:type="spellEnd"/>
      <w:r w:rsidR="00D7116B">
        <w:rPr>
          <w:rFonts w:hint="cs"/>
          <w:rtl/>
          <w:lang w:bidi="he-IL"/>
        </w:rPr>
        <w:t xml:space="preserve">, היועץ המשפטי לממשלה לשעבר, ששימש התובע הראשי במשפט אייכמן. </w:t>
      </w:r>
      <w:proofErr w:type="spellStart"/>
      <w:r w:rsidR="00D7116B">
        <w:rPr>
          <w:rFonts w:hint="cs"/>
          <w:rtl/>
          <w:lang w:bidi="he-IL"/>
        </w:rPr>
        <w:t>האוזנר</w:t>
      </w:r>
      <w:proofErr w:type="spellEnd"/>
      <w:r w:rsidR="00D7116B">
        <w:rPr>
          <w:rFonts w:hint="cs"/>
          <w:rtl/>
          <w:lang w:bidi="he-IL"/>
        </w:rPr>
        <w:t xml:space="preserve"> ניהל את ההליך </w:t>
      </w:r>
      <w:r w:rsidR="00624DB1">
        <w:rPr>
          <w:rFonts w:hint="cs"/>
          <w:rtl/>
          <w:lang w:bidi="he-IL"/>
        </w:rPr>
        <w:t>ב</w:t>
      </w:r>
      <w:r w:rsidR="00D7116B">
        <w:rPr>
          <w:rFonts w:hint="cs"/>
          <w:rtl/>
          <w:lang w:bidi="he-IL"/>
        </w:rPr>
        <w:t xml:space="preserve">דומה </w:t>
      </w:r>
      <w:r w:rsidR="00624DB1">
        <w:rPr>
          <w:rFonts w:hint="cs"/>
          <w:rtl/>
          <w:lang w:bidi="he-IL"/>
        </w:rPr>
        <w:t xml:space="preserve">לאופן </w:t>
      </w:r>
      <w:r w:rsidR="00D7116B">
        <w:rPr>
          <w:rFonts w:hint="cs"/>
          <w:rtl/>
          <w:lang w:bidi="he-IL"/>
        </w:rPr>
        <w:t>שבו מנוהל משפ</w:t>
      </w:r>
      <w:r>
        <w:rPr>
          <w:rFonts w:hint="cs"/>
          <w:rtl/>
          <w:lang w:bidi="he-IL"/>
        </w:rPr>
        <w:t xml:space="preserve">ט על ידי אב בית דין: הוא הבהיר </w:t>
      </w:r>
      <w:r w:rsidR="00D7116B">
        <w:rPr>
          <w:rFonts w:hint="cs"/>
          <w:rtl/>
          <w:lang w:bidi="he-IL"/>
        </w:rPr>
        <w:t>לקהל השומעים את סדר הדיון, ניצח על שאלותיהם של חברי הוועדה לעדים, ואף עמד על מסגרת הזמנים והקפיד על שמירת הכללים הנהוגים.</w:t>
      </w:r>
      <w:r w:rsidR="00B750E6">
        <w:rPr>
          <w:rStyle w:val="FootnoteReference"/>
          <w:rtl/>
          <w:lang w:bidi="he-IL"/>
        </w:rPr>
        <w:footnoteReference w:id="9"/>
      </w:r>
      <w:r>
        <w:rPr>
          <w:rFonts w:hint="cs"/>
          <w:rtl/>
          <w:lang w:bidi="he-IL"/>
        </w:rPr>
        <w:t xml:space="preserve"> נוסף עליו</w:t>
      </w:r>
      <w:r w:rsidR="00D7116B">
        <w:rPr>
          <w:rFonts w:hint="cs"/>
          <w:rtl/>
          <w:lang w:bidi="he-IL"/>
        </w:rPr>
        <w:t xml:space="preserve"> כללה הוועדה את </w:t>
      </w:r>
      <w:r w:rsidR="00D7116B" w:rsidRPr="004B7B82">
        <w:rPr>
          <w:lang w:bidi="he-IL"/>
        </w:rPr>
        <w:t xml:space="preserve">Professor </w:t>
      </w:r>
      <w:r w:rsidR="00D7116B">
        <w:rPr>
          <w:lang w:bidi="he-IL"/>
        </w:rPr>
        <w:t>Telford Taylor,  who was chief counsel for the prosecution at the Nuremberg t</w:t>
      </w:r>
      <w:r w:rsidR="00D7116B" w:rsidRPr="00D65335">
        <w:rPr>
          <w:lang w:bidi="he-IL"/>
        </w:rPr>
        <w:t>rials</w:t>
      </w:r>
      <w:r w:rsidR="00D7116B">
        <w:rPr>
          <w:lang w:bidi="he-IL"/>
        </w:rPr>
        <w:t xml:space="preserve">; </w:t>
      </w:r>
      <w:r w:rsidR="00D7116B" w:rsidRPr="004B7B82">
        <w:rPr>
          <w:lang w:bidi="he-IL"/>
        </w:rPr>
        <w:t>Simon Wiesenthal, the director of the documentation center of federation of Je</w:t>
      </w:r>
      <w:r w:rsidR="00D7116B">
        <w:rPr>
          <w:lang w:bidi="he-IL"/>
        </w:rPr>
        <w:t>wish victims of the Nazi regime in</w:t>
      </w:r>
      <w:r w:rsidR="00D7116B" w:rsidRPr="004B7B82">
        <w:rPr>
          <w:lang w:bidi="he-IL"/>
        </w:rPr>
        <w:t xml:space="preserve"> Vienna</w:t>
      </w:r>
      <w:r w:rsidR="00D7116B">
        <w:rPr>
          <w:lang w:bidi="he-IL"/>
        </w:rPr>
        <w:t xml:space="preserve">; Professor Yehuda Bauer, Historian from the Hebrew University of Jerusalem; Doctor (MD) </w:t>
      </w:r>
      <w:r w:rsidR="00D7116B" w:rsidRPr="00A05E96">
        <w:rPr>
          <w:lang w:bidi="he-IL"/>
        </w:rPr>
        <w:t xml:space="preserve">Arno </w:t>
      </w:r>
      <w:proofErr w:type="spellStart"/>
      <w:r w:rsidR="00D7116B" w:rsidRPr="00A05E96">
        <w:rPr>
          <w:lang w:bidi="he-IL"/>
        </w:rPr>
        <w:t>Motulsky</w:t>
      </w:r>
      <w:proofErr w:type="spellEnd"/>
      <w:r w:rsidR="00D7116B">
        <w:rPr>
          <w:lang w:bidi="he-IL"/>
        </w:rPr>
        <w:t xml:space="preserve">, </w:t>
      </w:r>
      <w:r w:rsidR="00D7116B" w:rsidRPr="00A05E96">
        <w:rPr>
          <w:lang w:bidi="he-IL"/>
        </w:rPr>
        <w:t>a medical genetics and a Holocaust survivor himself</w:t>
      </w:r>
      <w:r w:rsidR="00D7116B">
        <w:rPr>
          <w:lang w:bidi="he-IL"/>
        </w:rPr>
        <w:t>; and Rafi Eitan,</w:t>
      </w:r>
      <w:r w:rsidR="00D7116B" w:rsidRPr="004B7B82">
        <w:rPr>
          <w:lang w:bidi="he-IL"/>
        </w:rPr>
        <w:t xml:space="preserve"> </w:t>
      </w:r>
      <w:r w:rsidR="00D7116B">
        <w:rPr>
          <w:lang w:bidi="he-IL"/>
        </w:rPr>
        <w:t xml:space="preserve">a former intelligence officer who </w:t>
      </w:r>
      <w:r w:rsidR="00D7116B" w:rsidRPr="004B7B82">
        <w:rPr>
          <w:lang w:bidi="he-IL"/>
        </w:rPr>
        <w:t>was in charge of the Mossad operation that led to the arrest of Adolf Eichmann</w:t>
      </w:r>
      <w:r w:rsidR="00D7116B">
        <w:rPr>
          <w:lang w:bidi="he-IL"/>
        </w:rPr>
        <w:t>, a half of a century earlier</w:t>
      </w:r>
      <w:r w:rsidR="00D7116B" w:rsidRPr="004B7B82">
        <w:rPr>
          <w:lang w:bidi="he-IL"/>
        </w:rPr>
        <w:t>.</w:t>
      </w:r>
      <w:r w:rsidR="009733FA">
        <w:rPr>
          <w:rFonts w:hint="cs"/>
          <w:rtl/>
          <w:lang w:bidi="he-IL"/>
        </w:rPr>
        <w:t xml:space="preserve"> </w:t>
      </w:r>
    </w:p>
    <w:p w:rsidR="00624DB1" w:rsidRDefault="00624DB1" w:rsidP="00624DB1">
      <w:pPr>
        <w:tabs>
          <w:tab w:val="left" w:pos="800"/>
        </w:tabs>
        <w:overflowPunct w:val="0"/>
        <w:autoSpaceDE w:val="0"/>
        <w:autoSpaceDN w:val="0"/>
        <w:adjustRightInd w:val="0"/>
        <w:textAlignment w:val="baseline"/>
        <w:rPr>
          <w:rtl/>
          <w:lang w:bidi="he-IL"/>
        </w:rPr>
      </w:pPr>
    </w:p>
    <w:p w:rsidR="00330F28" w:rsidRDefault="00624DB1" w:rsidP="00624DB1">
      <w:pPr>
        <w:tabs>
          <w:tab w:val="left" w:pos="800"/>
        </w:tabs>
        <w:overflowPunct w:val="0"/>
        <w:autoSpaceDE w:val="0"/>
        <w:autoSpaceDN w:val="0"/>
        <w:adjustRightInd w:val="0"/>
        <w:textAlignment w:val="baseline"/>
        <w:rPr>
          <w:rtl/>
          <w:lang w:bidi="he-IL"/>
        </w:rPr>
      </w:pPr>
      <w:r>
        <w:rPr>
          <w:rtl/>
          <w:lang w:bidi="he-IL"/>
        </w:rPr>
        <w:tab/>
      </w:r>
      <w:r w:rsidR="00330F28">
        <w:rPr>
          <w:rFonts w:hint="cs"/>
          <w:rtl/>
          <w:lang w:bidi="he-IL"/>
        </w:rPr>
        <w:t>חבר הוועדה השביעי והאחרון היה</w:t>
      </w:r>
      <w:r w:rsidR="00330F28" w:rsidRPr="00330F28">
        <w:rPr>
          <w:rtl/>
          <w:lang w:bidi="he-IL"/>
        </w:rPr>
        <w:t xml:space="preserve"> </w:t>
      </w:r>
      <w:r w:rsidR="00330F28">
        <w:rPr>
          <w:rtl/>
          <w:lang w:bidi="he-IL"/>
        </w:rPr>
        <w:t>צבי טרלו</w:t>
      </w:r>
      <w:r w:rsidR="00330F28">
        <w:rPr>
          <w:rFonts w:hint="cs"/>
          <w:rtl/>
          <w:lang w:bidi="he-IL"/>
        </w:rPr>
        <w:t xml:space="preserve">. </w:t>
      </w:r>
      <w:proofErr w:type="spellStart"/>
      <w:r w:rsidR="00AE64F4" w:rsidRPr="00AE64F4">
        <w:rPr>
          <w:rtl/>
          <w:lang w:bidi="he-IL"/>
        </w:rPr>
        <w:t>טרלו</w:t>
      </w:r>
      <w:proofErr w:type="spellEnd"/>
      <w:r w:rsidR="00AE64F4" w:rsidRPr="00AE64F4">
        <w:rPr>
          <w:rtl/>
          <w:lang w:bidi="he-IL"/>
        </w:rPr>
        <w:t xml:space="preserve">, יליד </w:t>
      </w:r>
      <w:proofErr w:type="spellStart"/>
      <w:r w:rsidR="00AE64F4" w:rsidRPr="00AE64F4">
        <w:rPr>
          <w:rtl/>
          <w:lang w:bidi="he-IL"/>
        </w:rPr>
        <w:t>קרקוב</w:t>
      </w:r>
      <w:proofErr w:type="spellEnd"/>
      <w:r w:rsidR="00AE64F4" w:rsidRPr="00AE64F4">
        <w:rPr>
          <w:rtl/>
          <w:lang w:bidi="he-IL"/>
        </w:rPr>
        <w:t xml:space="preserve">, פולין 1932, סיים את לימודי המשפטים במחזור הראשון של הפקולטה למשפטים באוניברסיטה העברית בירושלים, ובמשך שנים רבות עבד בפרקליטות המדינה ובמשרד המשפטים. בהיותו פרקליט צעיר הוא היה אחד מחברי צוות התביעה במשפט אייכמן, שם עבד </w:t>
      </w:r>
      <w:proofErr w:type="spellStart"/>
      <w:r w:rsidR="00AE64F4" w:rsidRPr="00AE64F4">
        <w:rPr>
          <w:rtl/>
          <w:lang w:bidi="he-IL"/>
        </w:rPr>
        <w:t>לצידו</w:t>
      </w:r>
      <w:proofErr w:type="spellEnd"/>
      <w:r w:rsidR="00AE64F4" w:rsidRPr="00AE64F4">
        <w:rPr>
          <w:rtl/>
          <w:lang w:bidi="he-IL"/>
        </w:rPr>
        <w:t xml:space="preserve"> של </w:t>
      </w:r>
      <w:proofErr w:type="spellStart"/>
      <w:r w:rsidR="00AE64F4" w:rsidRPr="00AE64F4">
        <w:rPr>
          <w:rtl/>
          <w:lang w:bidi="he-IL"/>
        </w:rPr>
        <w:t>האוזנר</w:t>
      </w:r>
      <w:proofErr w:type="spellEnd"/>
      <w:r w:rsidR="00AE64F4" w:rsidRPr="00AE64F4">
        <w:rPr>
          <w:rtl/>
          <w:lang w:bidi="he-IL"/>
        </w:rPr>
        <w:t xml:space="preserve">. בין השנים 1969–1976 שימש מנכ"ל משרד המשפטים, ובסיום תפקידו זה מונה לשופט בבית הדין הארצי לעבודה וכיהן כסגן נשיא בית הדין עד לפרישתו, בשנת 1982. </w:t>
      </w:r>
      <w:r w:rsidR="00330F28">
        <w:rPr>
          <w:rFonts w:hint="cs"/>
          <w:rtl/>
          <w:lang w:bidi="he-IL"/>
        </w:rPr>
        <w:t xml:space="preserve">טרלו היה ה"רוח החיה" מאחורי המשפט, ולמעשה הוא חבש שלושה כובעים שונים בהליך זה: </w:t>
      </w:r>
      <w:r>
        <w:rPr>
          <w:rtl/>
          <w:lang w:bidi="he-IL"/>
        </w:rPr>
        <w:t>בנוסף ל</w:t>
      </w:r>
      <w:r>
        <w:rPr>
          <w:rFonts w:hint="cs"/>
          <w:rtl/>
          <w:lang w:bidi="he-IL"/>
        </w:rPr>
        <w:t>היותו אחד מן</w:t>
      </w:r>
      <w:r w:rsidR="00330F28">
        <w:rPr>
          <w:rFonts w:hint="cs"/>
          <w:rtl/>
          <w:lang w:bidi="he-IL"/>
        </w:rPr>
        <w:t xml:space="preserve"> השופטים</w:t>
      </w:r>
      <w:r w:rsidR="00330F28" w:rsidRPr="00330F28">
        <w:rPr>
          <w:rtl/>
          <w:lang w:bidi="he-IL"/>
        </w:rPr>
        <w:t xml:space="preserve">, </w:t>
      </w:r>
      <w:r w:rsidR="00330F28">
        <w:rPr>
          <w:rFonts w:hint="cs"/>
          <w:rtl/>
          <w:lang w:bidi="he-IL"/>
        </w:rPr>
        <w:t xml:space="preserve">הוא שימש כ"ראש צוות </w:t>
      </w:r>
      <w:r w:rsidR="00330F28">
        <w:rPr>
          <w:rFonts w:hint="cs"/>
          <w:rtl/>
          <w:lang w:bidi="he-IL"/>
        </w:rPr>
        <w:lastRenderedPageBreak/>
        <w:t>החקירה" לקראת ההליך, ובתפקיד</w:t>
      </w:r>
      <w:r w:rsidR="00AE64F4">
        <w:rPr>
          <w:rFonts w:hint="cs"/>
          <w:rtl/>
          <w:lang w:bidi="he-IL"/>
        </w:rPr>
        <w:t>ו זה הופקד על איסוף חומר הראיות. במשפט עצמו הוא</w:t>
      </w:r>
      <w:r w:rsidR="00330F28">
        <w:rPr>
          <w:rFonts w:hint="cs"/>
          <w:rtl/>
          <w:lang w:bidi="he-IL"/>
        </w:rPr>
        <w:t xml:space="preserve"> </w:t>
      </w:r>
      <w:r w:rsidR="00330F28" w:rsidRPr="00330F28">
        <w:rPr>
          <w:rtl/>
          <w:lang w:bidi="he-IL"/>
        </w:rPr>
        <w:t xml:space="preserve">לבש </w:t>
      </w:r>
      <w:r w:rsidR="00AE64F4">
        <w:rPr>
          <w:rFonts w:hint="cs"/>
          <w:rtl/>
          <w:lang w:bidi="he-IL"/>
        </w:rPr>
        <w:t xml:space="preserve">גם </w:t>
      </w:r>
      <w:r w:rsidR="009733FA">
        <w:rPr>
          <w:rtl/>
          <w:lang w:bidi="he-IL"/>
        </w:rPr>
        <w:t xml:space="preserve">את גלימת </w:t>
      </w:r>
      <w:r>
        <w:rPr>
          <w:rFonts w:hint="cs"/>
          <w:rtl/>
          <w:lang w:bidi="he-IL"/>
        </w:rPr>
        <w:t>"</w:t>
      </w:r>
      <w:r w:rsidR="009733FA">
        <w:rPr>
          <w:rtl/>
          <w:lang w:bidi="he-IL"/>
        </w:rPr>
        <w:t>התובע</w:t>
      </w:r>
      <w:r>
        <w:rPr>
          <w:rFonts w:hint="cs"/>
          <w:rtl/>
          <w:lang w:bidi="he-IL"/>
        </w:rPr>
        <w:t>"</w:t>
      </w:r>
      <w:r w:rsidR="00330F28" w:rsidRPr="00330F28">
        <w:rPr>
          <w:rtl/>
          <w:lang w:bidi="he-IL"/>
        </w:rPr>
        <w:t xml:space="preserve"> – הוא היה זה ש</w:t>
      </w:r>
      <w:r w:rsidR="00330F28">
        <w:rPr>
          <w:rFonts w:hint="cs"/>
          <w:rtl/>
          <w:lang w:bidi="he-IL"/>
        </w:rPr>
        <w:t xml:space="preserve">הכין את העדים </w:t>
      </w:r>
      <w:r>
        <w:rPr>
          <w:rFonts w:hint="cs"/>
          <w:rtl/>
          <w:lang w:bidi="he-IL"/>
        </w:rPr>
        <w:t xml:space="preserve">לקראת הדיונים, </w:t>
      </w:r>
      <w:r w:rsidR="00330F28">
        <w:rPr>
          <w:rFonts w:hint="cs"/>
          <w:rtl/>
          <w:lang w:bidi="he-IL"/>
        </w:rPr>
        <w:t>ו</w:t>
      </w:r>
      <w:r w:rsidR="00330F28" w:rsidRPr="00330F28">
        <w:rPr>
          <w:rtl/>
          <w:lang w:bidi="he-IL"/>
        </w:rPr>
        <w:t xml:space="preserve">ניהל את חקירותיהם </w:t>
      </w:r>
      <w:r w:rsidR="00AE64F4">
        <w:rPr>
          <w:rFonts w:hint="cs"/>
          <w:rtl/>
          <w:lang w:bidi="he-IL"/>
        </w:rPr>
        <w:t>על דוכן העדים</w:t>
      </w:r>
      <w:r w:rsidR="00330F28" w:rsidRPr="00330F28">
        <w:rPr>
          <w:rtl/>
          <w:lang w:bidi="he-IL"/>
        </w:rPr>
        <w:t>.</w:t>
      </w:r>
      <w:r w:rsidR="00AE64F4">
        <w:rPr>
          <w:rFonts w:hint="cs"/>
          <w:rtl/>
          <w:lang w:bidi="he-IL"/>
        </w:rPr>
        <w:t xml:space="preserve"> </w:t>
      </w:r>
    </w:p>
    <w:p w:rsidR="009733FA" w:rsidRDefault="009733FA" w:rsidP="00AE64F4">
      <w:pPr>
        <w:tabs>
          <w:tab w:val="left" w:pos="800"/>
        </w:tabs>
        <w:overflowPunct w:val="0"/>
        <w:autoSpaceDE w:val="0"/>
        <w:autoSpaceDN w:val="0"/>
        <w:adjustRightInd w:val="0"/>
        <w:textAlignment w:val="baseline"/>
        <w:rPr>
          <w:rtl/>
        </w:rPr>
      </w:pPr>
    </w:p>
    <w:p w:rsidR="00A30DE6" w:rsidRDefault="00837C63" w:rsidP="00570244">
      <w:pPr>
        <w:tabs>
          <w:tab w:val="left" w:pos="800"/>
        </w:tabs>
        <w:overflowPunct w:val="0"/>
        <w:autoSpaceDE w:val="0"/>
        <w:autoSpaceDN w:val="0"/>
        <w:adjustRightInd w:val="0"/>
        <w:textAlignment w:val="baseline"/>
        <w:rPr>
          <w:rtl/>
          <w:lang w:bidi="he-IL"/>
        </w:rPr>
      </w:pPr>
      <w:r>
        <w:rPr>
          <w:rtl/>
          <w:lang w:bidi="he-IL"/>
        </w:rPr>
        <w:tab/>
      </w:r>
      <w:r w:rsidR="003F24C0">
        <w:rPr>
          <w:rFonts w:hint="cs"/>
          <w:rtl/>
          <w:lang w:bidi="he-IL"/>
        </w:rPr>
        <w:t xml:space="preserve">עדויותיהם של ניצולי השואה עמדו בלב ההליך. בזה אחר זה נקראו 30 עדים לעלות אל דוכן </w:t>
      </w:r>
      <w:r w:rsidR="003F24C0" w:rsidRPr="008E35E3">
        <w:rPr>
          <w:rtl/>
          <w:lang w:bidi="he-IL"/>
        </w:rPr>
        <w:t xml:space="preserve">העדים שהוצב </w:t>
      </w:r>
      <w:r w:rsidR="003F24C0">
        <w:rPr>
          <w:rFonts w:hint="cs"/>
          <w:rtl/>
          <w:lang w:bidi="he-IL"/>
        </w:rPr>
        <w:t xml:space="preserve">על הבמה </w:t>
      </w:r>
      <w:r w:rsidR="003F24C0">
        <w:rPr>
          <w:rtl/>
          <w:lang w:bidi="he-IL"/>
        </w:rPr>
        <w:t>במיוחד לצורך כך</w:t>
      </w:r>
      <w:r w:rsidR="003F24C0">
        <w:rPr>
          <w:rFonts w:hint="cs"/>
          <w:rtl/>
          <w:lang w:bidi="he-IL"/>
        </w:rPr>
        <w:t>, ו</w:t>
      </w:r>
      <w:r w:rsidR="008F1BC5">
        <w:rPr>
          <w:rFonts w:hint="cs"/>
          <w:rtl/>
          <w:lang w:bidi="he-IL"/>
        </w:rPr>
        <w:t>לספר</w:t>
      </w:r>
      <w:r w:rsidR="003F24C0">
        <w:rPr>
          <w:rFonts w:hint="cs"/>
          <w:rtl/>
          <w:lang w:bidi="he-IL"/>
        </w:rPr>
        <w:t xml:space="preserve"> את סיפורם </w:t>
      </w:r>
      <w:r w:rsidR="003F24C0" w:rsidRPr="00201683">
        <w:rPr>
          <w:rtl/>
          <w:lang w:bidi="he-IL"/>
        </w:rPr>
        <w:t>במסגרת מה שכונה על ידי חברי הוועדה "ע</w:t>
      </w:r>
      <w:r w:rsidR="003F24C0">
        <w:rPr>
          <w:rtl/>
          <w:lang w:bidi="he-IL"/>
        </w:rPr>
        <w:t>דות", "הצהרה" או "שמיעת ראיות"</w:t>
      </w:r>
      <w:r w:rsidR="003F24C0">
        <w:rPr>
          <w:rFonts w:hint="cs"/>
          <w:rtl/>
          <w:lang w:bidi="he-IL"/>
        </w:rPr>
        <w:t xml:space="preserve"> </w:t>
      </w:r>
      <w:r w:rsidR="003F24C0">
        <w:rPr>
          <w:rtl/>
          <w:lang w:bidi="he-IL"/>
        </w:rPr>
        <w:t>–</w:t>
      </w:r>
      <w:r w:rsidR="003F24C0">
        <w:rPr>
          <w:rFonts w:hint="cs"/>
          <w:rtl/>
          <w:lang w:bidi="he-IL"/>
        </w:rPr>
        <w:t xml:space="preserve"> </w:t>
      </w:r>
      <w:r w:rsidR="003F24C0" w:rsidRPr="00201683">
        <w:rPr>
          <w:rtl/>
          <w:lang w:bidi="he-IL"/>
        </w:rPr>
        <w:t xml:space="preserve">כולם מונחים משפטיים. </w:t>
      </w:r>
      <w:r w:rsidR="00BC4D73">
        <w:rPr>
          <w:rFonts w:hint="cs"/>
          <w:rtl/>
          <w:lang w:bidi="he-IL"/>
        </w:rPr>
        <w:t>מבחינה ראייתית, תרומתן ה</w:t>
      </w:r>
      <w:r w:rsidR="008F1BC5">
        <w:rPr>
          <w:rFonts w:hint="cs"/>
          <w:rtl/>
          <w:lang w:bidi="he-IL"/>
        </w:rPr>
        <w:t>מרכזית</w:t>
      </w:r>
      <w:r w:rsidR="00BC4D73">
        <w:rPr>
          <w:rFonts w:hint="cs"/>
          <w:rtl/>
          <w:lang w:bidi="he-IL"/>
        </w:rPr>
        <w:t xml:space="preserve"> של העדויות </w:t>
      </w:r>
      <w:proofErr w:type="spellStart"/>
      <w:r w:rsidR="00BC4D73">
        <w:rPr>
          <w:rFonts w:hint="cs"/>
          <w:rtl/>
          <w:lang w:bidi="he-IL"/>
        </w:rPr>
        <w:t>היתה</w:t>
      </w:r>
      <w:proofErr w:type="spellEnd"/>
      <w:r w:rsidR="00BC4D73">
        <w:rPr>
          <w:rFonts w:hint="cs"/>
          <w:rtl/>
          <w:lang w:bidi="he-IL"/>
        </w:rPr>
        <w:t xml:space="preserve"> בכך שהעדים </w:t>
      </w:r>
      <w:r w:rsidR="00BC4D73" w:rsidRPr="00BC4D73">
        <w:rPr>
          <w:rtl/>
          <w:lang w:bidi="he-IL"/>
        </w:rPr>
        <w:t xml:space="preserve">סיפרו </w:t>
      </w:r>
      <w:r w:rsidR="00BC4D73">
        <w:rPr>
          <w:rFonts w:hint="cs"/>
          <w:rtl/>
          <w:lang w:bidi="he-IL"/>
        </w:rPr>
        <w:t xml:space="preserve">מכלי ראשון </w:t>
      </w:r>
      <w:r w:rsidR="00BC4D73" w:rsidRPr="00BC4D73">
        <w:rPr>
          <w:rtl/>
          <w:lang w:bidi="he-IL"/>
        </w:rPr>
        <w:t>על קורותיהם במחנה ובעיקר על הפשעים שביצע מנגלה</w:t>
      </w:r>
      <w:r w:rsidR="00BC4D73">
        <w:rPr>
          <w:rFonts w:hint="cs"/>
          <w:rtl/>
          <w:lang w:bidi="he-IL"/>
        </w:rPr>
        <w:t xml:space="preserve">, שהם </w:t>
      </w:r>
      <w:r w:rsidR="008F1BC5">
        <w:rPr>
          <w:rFonts w:hint="cs"/>
          <w:rtl/>
          <w:lang w:bidi="he-IL"/>
        </w:rPr>
        <w:t xml:space="preserve">עצמם </w:t>
      </w:r>
      <w:r w:rsidR="00BC4D73">
        <w:rPr>
          <w:rFonts w:hint="cs"/>
          <w:rtl/>
          <w:lang w:bidi="he-IL"/>
        </w:rPr>
        <w:t>היו עדי ראיה להם</w:t>
      </w:r>
      <w:r w:rsidR="00BC4D73" w:rsidRPr="00BC4D73">
        <w:rPr>
          <w:rtl/>
          <w:lang w:bidi="he-IL"/>
        </w:rPr>
        <w:t xml:space="preserve">. מרביתם של העדים סבלו מנחת זרועו כאשר נערכו בגופם </w:t>
      </w:r>
      <w:r w:rsidR="008F1BC5">
        <w:rPr>
          <w:rFonts w:hint="cs"/>
          <w:rtl/>
          <w:lang w:bidi="he-IL"/>
        </w:rPr>
        <w:t>טיפולים ו</w:t>
      </w:r>
      <w:r w:rsidR="00BC4D73" w:rsidRPr="00BC4D73">
        <w:rPr>
          <w:rtl/>
          <w:lang w:bidi="he-IL"/>
        </w:rPr>
        <w:t xml:space="preserve">ניסויים רפואיים </w:t>
      </w:r>
      <w:r w:rsidR="008F1BC5">
        <w:rPr>
          <w:rFonts w:hint="cs"/>
          <w:rtl/>
          <w:lang w:bidi="he-IL"/>
        </w:rPr>
        <w:t xml:space="preserve">בכפיה, </w:t>
      </w:r>
      <w:r w:rsidR="00BC4D73" w:rsidRPr="00BC4D73">
        <w:rPr>
          <w:rtl/>
          <w:lang w:bidi="he-IL"/>
        </w:rPr>
        <w:t xml:space="preserve">שכללו בדיקות דם, </w:t>
      </w:r>
      <w:r w:rsidR="00BC4D73" w:rsidRPr="00BC4D73">
        <w:t>blood transfer</w:t>
      </w:r>
      <w:r w:rsidR="00BC4D73" w:rsidRPr="00BC4D73">
        <w:rPr>
          <w:rtl/>
          <w:lang w:bidi="he-IL"/>
        </w:rPr>
        <w:t>, זריקות שונות, מתן טיפות עיניים, הקרנות, כריתת איברי גוף וניתוחים שונים.</w:t>
      </w:r>
      <w:r w:rsidR="008F1BC5">
        <w:rPr>
          <w:rFonts w:hint="cs"/>
          <w:rtl/>
          <w:lang w:bidi="he-IL"/>
        </w:rPr>
        <w:t xml:space="preserve"> </w:t>
      </w:r>
    </w:p>
    <w:p w:rsidR="00A30DE6" w:rsidRDefault="00A30DE6" w:rsidP="00570244">
      <w:pPr>
        <w:tabs>
          <w:tab w:val="left" w:pos="800"/>
        </w:tabs>
        <w:overflowPunct w:val="0"/>
        <w:autoSpaceDE w:val="0"/>
        <w:autoSpaceDN w:val="0"/>
        <w:adjustRightInd w:val="0"/>
        <w:textAlignment w:val="baseline"/>
        <w:rPr>
          <w:rtl/>
          <w:lang w:bidi="he-IL"/>
        </w:rPr>
      </w:pPr>
    </w:p>
    <w:p w:rsidR="003F24C0" w:rsidRDefault="00A30DE6" w:rsidP="00915EE6">
      <w:pPr>
        <w:tabs>
          <w:tab w:val="left" w:pos="800"/>
        </w:tabs>
        <w:overflowPunct w:val="0"/>
        <w:autoSpaceDE w:val="0"/>
        <w:autoSpaceDN w:val="0"/>
        <w:adjustRightInd w:val="0"/>
        <w:textAlignment w:val="baseline"/>
        <w:rPr>
          <w:rtl/>
          <w:lang w:bidi="he-IL"/>
        </w:rPr>
      </w:pPr>
      <w:r>
        <w:rPr>
          <w:rtl/>
          <w:lang w:bidi="he-IL"/>
        </w:rPr>
        <w:tab/>
      </w:r>
      <w:r w:rsidR="00570244">
        <w:rPr>
          <w:rFonts w:hint="cs"/>
          <w:rtl/>
          <w:lang w:bidi="he-IL"/>
        </w:rPr>
        <w:t>אותם עדים</w:t>
      </w:r>
      <w:r w:rsidR="008F1BC5">
        <w:rPr>
          <w:rFonts w:hint="cs"/>
          <w:rtl/>
          <w:lang w:bidi="he-IL"/>
        </w:rPr>
        <w:t xml:space="preserve"> לא היו ניצולי אושוויץ היחידים שהיו בחיים במחצית שנות השמונים של המאה הקודמת, והיו יכולים למסור עדות. למעשה, היו בנמצא ניצולים נוספים שפנו למארגני המשפט וביקשו להעיד. מיהם העדים שנבחרו בסופו של דבר לעשות כן, ומדוע נבחרו דווקא הם? אין בנמצא תשובה ברורה לכך, אך פילוח של העדויות ועמידה על מאפייניהם האישיים של העדים מספקים כמה מסקנות מעניינות. בעוד שחברי הוועדה היו כולם גברים, מרביתם של העדים היו נשים (18 מתוך 30). </w:t>
      </w:r>
      <w:r w:rsidR="00915EE6">
        <w:rPr>
          <w:rFonts w:hint="cs"/>
          <w:rtl/>
          <w:lang w:bidi="he-IL"/>
        </w:rPr>
        <w:t xml:space="preserve">כמעט כולם התגוררו באותה עת בישראל, אך חלקם הגיעו במיוחד מארצות הברית, צרפת, ואף מאוסטרליה. </w:t>
      </w:r>
      <w:r w:rsidR="00915EE6" w:rsidRPr="00915EE6">
        <w:rPr>
          <w:rtl/>
          <w:lang w:bidi="he-IL"/>
        </w:rPr>
        <w:t>הם העידו, על פי בחירתם, בעברית, אנגלית או בצרפתית.</w:t>
      </w:r>
      <w:r w:rsidR="00915EE6">
        <w:rPr>
          <w:rFonts w:hint="cs"/>
          <w:rtl/>
          <w:lang w:bidi="he-IL"/>
        </w:rPr>
        <w:t xml:space="preserve"> </w:t>
      </w:r>
      <w:r w:rsidR="008F1BC5">
        <w:rPr>
          <w:rFonts w:hint="cs"/>
          <w:rtl/>
          <w:lang w:bidi="he-IL"/>
        </w:rPr>
        <w:t xml:space="preserve">אשר למוצאם, </w:t>
      </w:r>
      <w:r w:rsidR="00570244">
        <w:rPr>
          <w:rFonts w:hint="cs"/>
          <w:rtl/>
          <w:lang w:bidi="he-IL"/>
        </w:rPr>
        <w:t xml:space="preserve">מרבית העדים היו ילידי הונגריה </w:t>
      </w:r>
      <w:r w:rsidR="00EC03C3">
        <w:rPr>
          <w:rFonts w:hint="cs"/>
          <w:rtl/>
          <w:lang w:bidi="he-IL"/>
        </w:rPr>
        <w:t xml:space="preserve">(9), </w:t>
      </w:r>
      <w:r w:rsidR="003F24C0">
        <w:rPr>
          <w:rFonts w:hint="cs"/>
          <w:rtl/>
          <w:lang w:bidi="he-IL"/>
        </w:rPr>
        <w:t>צ'כוסלובקיה</w:t>
      </w:r>
      <w:r w:rsidR="00EC03C3">
        <w:rPr>
          <w:rFonts w:hint="cs"/>
          <w:rtl/>
          <w:lang w:bidi="he-IL"/>
        </w:rPr>
        <w:t xml:space="preserve"> (5)</w:t>
      </w:r>
      <w:r w:rsidR="003F24C0">
        <w:rPr>
          <w:rFonts w:hint="cs"/>
          <w:rtl/>
          <w:lang w:bidi="he-IL"/>
        </w:rPr>
        <w:t>, פולין</w:t>
      </w:r>
      <w:r w:rsidR="00EC03C3">
        <w:rPr>
          <w:rFonts w:hint="cs"/>
          <w:rtl/>
          <w:lang w:bidi="he-IL"/>
        </w:rPr>
        <w:t xml:space="preserve"> (4)</w:t>
      </w:r>
      <w:r w:rsidR="003F24C0">
        <w:rPr>
          <w:rFonts w:hint="cs"/>
          <w:rtl/>
          <w:lang w:bidi="he-IL"/>
        </w:rPr>
        <w:t xml:space="preserve"> או</w:t>
      </w:r>
      <w:r w:rsidR="00A44BED">
        <w:rPr>
          <w:rFonts w:hint="cs"/>
          <w:rtl/>
          <w:lang w:bidi="he-IL"/>
        </w:rPr>
        <w:t xml:space="preserve"> </w:t>
      </w:r>
      <w:r w:rsidR="003F24C0">
        <w:rPr>
          <w:rFonts w:hint="cs"/>
          <w:rtl/>
          <w:lang w:bidi="he-IL"/>
        </w:rPr>
        <w:t>יוון</w:t>
      </w:r>
      <w:r w:rsidR="00EC03C3">
        <w:rPr>
          <w:rFonts w:hint="cs"/>
          <w:rtl/>
          <w:lang w:bidi="he-IL"/>
        </w:rPr>
        <w:t xml:space="preserve"> (4)</w:t>
      </w:r>
      <w:r w:rsidR="003F24C0">
        <w:rPr>
          <w:rFonts w:hint="cs"/>
          <w:rtl/>
          <w:lang w:bidi="he-IL"/>
        </w:rPr>
        <w:t>.</w:t>
      </w:r>
      <w:r w:rsidR="00A44BED">
        <w:rPr>
          <w:rFonts w:hint="cs"/>
          <w:rtl/>
          <w:lang w:bidi="he-IL"/>
        </w:rPr>
        <w:t xml:space="preserve"> </w:t>
      </w:r>
      <w:r w:rsidR="003F24C0">
        <w:rPr>
          <w:rFonts w:hint="cs"/>
          <w:rtl/>
          <w:lang w:bidi="he-IL"/>
        </w:rPr>
        <w:t xml:space="preserve">עדים בודדים </w:t>
      </w:r>
      <w:r w:rsidR="00915EE6">
        <w:rPr>
          <w:rFonts w:hint="cs"/>
          <w:rtl/>
          <w:lang w:bidi="he-IL"/>
        </w:rPr>
        <w:t>היו</w:t>
      </w:r>
      <w:r w:rsidR="003F24C0">
        <w:rPr>
          <w:rFonts w:hint="cs"/>
          <w:rtl/>
          <w:lang w:bidi="he-IL"/>
        </w:rPr>
        <w:t xml:space="preserve"> גם מטרנסילבניה, צרפת, וינה והולנד. </w:t>
      </w:r>
      <w:r w:rsidR="00EC03C3">
        <w:rPr>
          <w:rFonts w:hint="cs"/>
          <w:rtl/>
          <w:lang w:bidi="he-IL"/>
        </w:rPr>
        <w:t xml:space="preserve">מוצאם של ארבעה עדים אינו ידוע. </w:t>
      </w:r>
      <w:r w:rsidR="009E600F">
        <w:rPr>
          <w:rFonts w:hint="cs"/>
          <w:rtl/>
          <w:lang w:bidi="he-IL"/>
        </w:rPr>
        <w:t xml:space="preserve">כל העדים, למעט אחת, היו יהודים. </w:t>
      </w:r>
      <w:r w:rsidR="00601DCB">
        <w:rPr>
          <w:rFonts w:hint="cs"/>
          <w:rtl/>
          <w:lang w:bidi="he-IL"/>
        </w:rPr>
        <w:t>לפחות שני שלישים מהעדים היו מתחת לגיל 20</w:t>
      </w:r>
      <w:r w:rsidR="00D72BFC">
        <w:rPr>
          <w:rFonts w:hint="cs"/>
          <w:rtl/>
          <w:lang w:bidi="he-IL"/>
        </w:rPr>
        <w:t xml:space="preserve"> בעת שהגיעו לאושוויץ, </w:t>
      </w:r>
      <w:r w:rsidR="00601DCB">
        <w:rPr>
          <w:rFonts w:hint="cs"/>
          <w:rtl/>
          <w:lang w:bidi="he-IL"/>
        </w:rPr>
        <w:t xml:space="preserve">ומחציתם מתחת לגיל 17. הצעירה ביותר </w:t>
      </w:r>
      <w:proofErr w:type="spellStart"/>
      <w:r w:rsidR="00601DCB">
        <w:rPr>
          <w:rFonts w:hint="cs"/>
          <w:rtl/>
          <w:lang w:bidi="he-IL"/>
        </w:rPr>
        <w:t>היתה</w:t>
      </w:r>
      <w:proofErr w:type="spellEnd"/>
      <w:r w:rsidR="00601DCB">
        <w:rPr>
          <w:rFonts w:hint="cs"/>
          <w:rtl/>
          <w:lang w:bidi="he-IL"/>
        </w:rPr>
        <w:t xml:space="preserve"> בת </w:t>
      </w:r>
      <w:r w:rsidR="00570244">
        <w:rPr>
          <w:rFonts w:hint="cs"/>
          <w:rtl/>
          <w:lang w:bidi="he-IL"/>
        </w:rPr>
        <w:t>5</w:t>
      </w:r>
      <w:r w:rsidR="00601DCB">
        <w:rPr>
          <w:rFonts w:hint="cs"/>
          <w:rtl/>
          <w:lang w:bidi="he-IL"/>
        </w:rPr>
        <w:t>, והמבוגר ביותר היה בן 32. שליש</w:t>
      </w:r>
      <w:r w:rsidR="003F24C0" w:rsidRPr="003F24C0">
        <w:rPr>
          <w:rtl/>
          <w:lang w:bidi="he-IL"/>
        </w:rPr>
        <w:t xml:space="preserve"> </w:t>
      </w:r>
      <w:r w:rsidR="00601DCB">
        <w:rPr>
          <w:rFonts w:hint="cs"/>
          <w:rtl/>
          <w:lang w:bidi="he-IL"/>
        </w:rPr>
        <w:t>מ</w:t>
      </w:r>
      <w:r w:rsidR="003F24C0" w:rsidRPr="003F24C0">
        <w:rPr>
          <w:rtl/>
          <w:lang w:bidi="he-IL"/>
        </w:rPr>
        <w:t xml:space="preserve">העדים </w:t>
      </w:r>
      <w:r w:rsidR="00601DCB">
        <w:rPr>
          <w:rFonts w:hint="cs"/>
          <w:rtl/>
          <w:lang w:bidi="he-IL"/>
        </w:rPr>
        <w:t xml:space="preserve">(10 במספר) </w:t>
      </w:r>
      <w:r w:rsidR="00570244">
        <w:rPr>
          <w:rtl/>
          <w:lang w:bidi="he-IL"/>
        </w:rPr>
        <w:t>היו תאומים</w:t>
      </w:r>
      <w:r w:rsidR="00570244">
        <w:rPr>
          <w:rFonts w:hint="cs"/>
          <w:rtl/>
          <w:lang w:bidi="he-IL"/>
        </w:rPr>
        <w:t xml:space="preserve">, והיו גם כאלו (3 במספר) </w:t>
      </w:r>
      <w:r w:rsidR="003F24C0" w:rsidRPr="003F24C0">
        <w:rPr>
          <w:rtl/>
          <w:lang w:bidi="he-IL"/>
        </w:rPr>
        <w:t>ש</w:t>
      </w:r>
      <w:r w:rsidR="00601DCB">
        <w:rPr>
          <w:rFonts w:hint="cs"/>
          <w:rtl/>
          <w:lang w:bidi="he-IL"/>
        </w:rPr>
        <w:t>באו עם אחיהם ו</w:t>
      </w:r>
      <w:r w:rsidR="00EC03C3">
        <w:rPr>
          <w:rFonts w:hint="cs"/>
          <w:rtl/>
          <w:lang w:bidi="he-IL"/>
        </w:rPr>
        <w:t>נ</w:t>
      </w:r>
      <w:r w:rsidR="003F24C0" w:rsidRPr="003F24C0">
        <w:rPr>
          <w:rtl/>
          <w:lang w:bidi="he-IL"/>
        </w:rPr>
        <w:t>חזו ל</w:t>
      </w:r>
      <w:r w:rsidR="00EC03C3">
        <w:rPr>
          <w:rFonts w:hint="cs"/>
          <w:rtl/>
          <w:lang w:bidi="he-IL"/>
        </w:rPr>
        <w:t xml:space="preserve">היות </w:t>
      </w:r>
      <w:r w:rsidR="003F24C0" w:rsidRPr="003F24C0">
        <w:rPr>
          <w:rtl/>
          <w:lang w:bidi="he-IL"/>
        </w:rPr>
        <w:t>תאומים</w:t>
      </w:r>
      <w:r w:rsidR="00601DCB">
        <w:rPr>
          <w:rFonts w:hint="cs"/>
          <w:rtl/>
          <w:lang w:bidi="he-IL"/>
        </w:rPr>
        <w:t>, בשל הדמיון הרב ביניהם. אחת מהן</w:t>
      </w:r>
      <w:r w:rsidR="009E600F">
        <w:rPr>
          <w:rFonts w:hint="cs"/>
          <w:rtl/>
          <w:lang w:bidi="he-IL"/>
        </w:rPr>
        <w:t xml:space="preserve">, אליזבת </w:t>
      </w:r>
      <w:proofErr w:type="spellStart"/>
      <w:r w:rsidR="009E600F">
        <w:rPr>
          <w:rFonts w:hint="cs"/>
          <w:rtl/>
          <w:lang w:bidi="he-IL"/>
        </w:rPr>
        <w:t>מוסקוביץ</w:t>
      </w:r>
      <w:proofErr w:type="spellEnd"/>
      <w:r w:rsidR="00317B9D">
        <w:rPr>
          <w:rFonts w:hint="cs"/>
          <w:rtl/>
          <w:lang w:bidi="he-IL"/>
        </w:rPr>
        <w:t xml:space="preserve"> </w:t>
      </w:r>
      <w:r w:rsidR="00317B9D" w:rsidRPr="00317B9D">
        <w:rPr>
          <w:lang w:bidi="he-IL"/>
        </w:rPr>
        <w:t xml:space="preserve">Elizabeth </w:t>
      </w:r>
      <w:proofErr w:type="spellStart"/>
      <w:r w:rsidR="00317B9D" w:rsidRPr="00317B9D">
        <w:rPr>
          <w:lang w:bidi="he-IL"/>
        </w:rPr>
        <w:t>Moshkovitz</w:t>
      </w:r>
      <w:proofErr w:type="spellEnd"/>
      <w:r w:rsidR="009E600F">
        <w:rPr>
          <w:rFonts w:hint="cs"/>
          <w:rtl/>
          <w:lang w:bidi="he-IL"/>
        </w:rPr>
        <w:t>,</w:t>
      </w:r>
      <w:r w:rsidR="00601DCB">
        <w:rPr>
          <w:rFonts w:hint="cs"/>
          <w:rtl/>
          <w:lang w:bidi="he-IL"/>
        </w:rPr>
        <w:t xml:space="preserve"> </w:t>
      </w:r>
      <w:proofErr w:type="spellStart"/>
      <w:r w:rsidR="00601DCB">
        <w:rPr>
          <w:rFonts w:hint="cs"/>
          <w:rtl/>
          <w:lang w:bidi="he-IL"/>
        </w:rPr>
        <w:t>היתה</w:t>
      </w:r>
      <w:proofErr w:type="spellEnd"/>
      <w:r w:rsidR="00601DCB">
        <w:rPr>
          <w:rFonts w:hint="cs"/>
          <w:rtl/>
          <w:lang w:bidi="he-IL"/>
        </w:rPr>
        <w:t xml:space="preserve"> גמדה </w:t>
      </w:r>
      <w:r w:rsidR="003F24C0" w:rsidRPr="003F24C0">
        <w:rPr>
          <w:rtl/>
          <w:lang w:bidi="he-IL"/>
        </w:rPr>
        <w:t>(</w:t>
      </w:r>
      <w:r w:rsidR="00601DCB" w:rsidRPr="003F24C0">
        <w:t>dwarf</w:t>
      </w:r>
      <w:r w:rsidR="00601DCB">
        <w:rPr>
          <w:rtl/>
          <w:lang w:bidi="he-IL"/>
        </w:rPr>
        <w:t>)</w:t>
      </w:r>
      <w:r w:rsidR="00601DCB">
        <w:rPr>
          <w:rFonts w:hint="cs"/>
          <w:rtl/>
          <w:lang w:bidi="he-IL"/>
        </w:rPr>
        <w:t>, נצר למשפחה של שבעה גמדים שהגיעו יחדיו לאושוויץ, והיא העידה כשאחותה, גמדה אף היא, ישובה לצדה</w:t>
      </w:r>
      <w:r w:rsidR="009E600F">
        <w:rPr>
          <w:rFonts w:hint="cs"/>
          <w:rtl/>
          <w:lang w:bidi="he-IL"/>
        </w:rPr>
        <w:t>, שתיהן נתונות</w:t>
      </w:r>
      <w:r w:rsidR="00601DCB">
        <w:rPr>
          <w:rFonts w:hint="cs"/>
          <w:rtl/>
          <w:lang w:bidi="he-IL"/>
        </w:rPr>
        <w:t xml:space="preserve"> </w:t>
      </w:r>
      <w:proofErr w:type="spellStart"/>
      <w:r w:rsidR="00601DCB">
        <w:rPr>
          <w:rFonts w:hint="cs"/>
          <w:rtl/>
          <w:lang w:bidi="he-IL"/>
        </w:rPr>
        <w:t>בכסא</w:t>
      </w:r>
      <w:proofErr w:type="spellEnd"/>
      <w:r w:rsidR="00601DCB">
        <w:rPr>
          <w:rFonts w:hint="cs"/>
          <w:rtl/>
          <w:lang w:bidi="he-IL"/>
        </w:rPr>
        <w:t xml:space="preserve"> גלגלים. השתיים, זהות להפליא במראן,</w:t>
      </w:r>
      <w:r w:rsidR="009E600F">
        <w:rPr>
          <w:rFonts w:hint="cs"/>
          <w:rtl/>
          <w:lang w:bidi="he-IL"/>
        </w:rPr>
        <w:t xml:space="preserve"> השלימו האחת את דברי רעותה. גם במקרה של העד </w:t>
      </w:r>
      <w:proofErr w:type="spellStart"/>
      <w:r w:rsidR="009E600F">
        <w:rPr>
          <w:rFonts w:hint="cs"/>
          <w:rtl/>
          <w:lang w:bidi="he-IL"/>
        </w:rPr>
        <w:t>רייכנברג</w:t>
      </w:r>
      <w:proofErr w:type="spellEnd"/>
      <w:r w:rsidR="009E600F">
        <w:rPr>
          <w:rFonts w:hint="cs"/>
          <w:rtl/>
          <w:lang w:bidi="he-IL"/>
        </w:rPr>
        <w:t>, ניתנה לקהל הצופים במשפט המחשה חיה לפגיעה החמורה בגופם של העדים: הניסויים שערך מנגלה באושוויץ פגעו בצורה אנושה במיתרי הקול שלו, עד שלא נותר לו קול. דבריו נשמעו באמצעות מכשיר מיוחד שהוצמד לגרונו, אשר כפי שסיפר, למרבה האירוניה, יובא לארץ במיוחד מגרמניה. עוד ראוי להזכיר, כי אחד העדים העיד מאחורי פרגוד</w:t>
      </w:r>
      <w:r w:rsidR="00570244">
        <w:rPr>
          <w:rFonts w:hint="cs"/>
          <w:rtl/>
          <w:lang w:bidi="he-IL"/>
        </w:rPr>
        <w:t xml:space="preserve"> שחור</w:t>
      </w:r>
      <w:r w:rsidR="009E600F">
        <w:rPr>
          <w:rFonts w:hint="cs"/>
          <w:rtl/>
          <w:lang w:bidi="he-IL"/>
        </w:rPr>
        <w:t>, כך שזהותו לא נחשפה לעיני הצופים במשפט. אף שהדבר לא נאמר במ</w:t>
      </w:r>
      <w:r w:rsidR="00CB60A6">
        <w:rPr>
          <w:rFonts w:hint="cs"/>
          <w:rtl/>
          <w:lang w:bidi="he-IL"/>
        </w:rPr>
        <w:t>פורש, ניתן להניח שהיה זה בשל כך שסיפר כי בניתוח שערך לו מנגלה באושוויץ בכפיה, הוצא אחד מאשכיו. עדות מקבילה של גברת ברוך</w:t>
      </w:r>
      <w:r w:rsidR="00360210">
        <w:rPr>
          <w:rFonts w:hint="cs"/>
          <w:rtl/>
          <w:lang w:bidi="he-IL"/>
        </w:rPr>
        <w:t xml:space="preserve"> </w:t>
      </w:r>
      <w:r w:rsidR="00360210" w:rsidRPr="00360210">
        <w:t xml:space="preserve"> </w:t>
      </w:r>
      <w:r w:rsidR="00360210" w:rsidRPr="00360210">
        <w:rPr>
          <w:lang w:bidi="he-IL"/>
        </w:rPr>
        <w:t>Baruch</w:t>
      </w:r>
      <w:r w:rsidR="00360210">
        <w:rPr>
          <w:rFonts w:hint="cs"/>
          <w:rtl/>
          <w:lang w:bidi="he-IL"/>
        </w:rPr>
        <w:t xml:space="preserve">, </w:t>
      </w:r>
      <w:r w:rsidR="00CB60A6">
        <w:rPr>
          <w:rFonts w:hint="cs"/>
          <w:rtl/>
          <w:lang w:bidi="he-IL"/>
        </w:rPr>
        <w:t xml:space="preserve">שבניתוח שנערך לה בכפיה הוצאה אחת משחלותיה, ניתנה דווקא בפנים גלויות. </w:t>
      </w:r>
    </w:p>
    <w:p w:rsidR="00F52DBB" w:rsidRDefault="00F52DBB" w:rsidP="00F52DBB">
      <w:pPr>
        <w:tabs>
          <w:tab w:val="left" w:pos="800"/>
        </w:tabs>
        <w:overflowPunct w:val="0"/>
        <w:autoSpaceDE w:val="0"/>
        <w:autoSpaceDN w:val="0"/>
        <w:adjustRightInd w:val="0"/>
        <w:textAlignment w:val="baseline"/>
        <w:rPr>
          <w:rtl/>
          <w:lang w:bidi="he-IL"/>
        </w:rPr>
      </w:pPr>
    </w:p>
    <w:p w:rsidR="009733FA" w:rsidRPr="009733FA" w:rsidRDefault="00F52DBB" w:rsidP="007F4E39">
      <w:pPr>
        <w:tabs>
          <w:tab w:val="left" w:pos="800"/>
        </w:tabs>
        <w:overflowPunct w:val="0"/>
        <w:autoSpaceDE w:val="0"/>
        <w:autoSpaceDN w:val="0"/>
        <w:adjustRightInd w:val="0"/>
        <w:textAlignment w:val="baseline"/>
        <w:rPr>
          <w:rtl/>
          <w:lang w:bidi="he-IL"/>
        </w:rPr>
      </w:pPr>
      <w:r>
        <w:rPr>
          <w:rtl/>
          <w:lang w:bidi="he-IL"/>
        </w:rPr>
        <w:tab/>
      </w:r>
      <w:r w:rsidR="009733FA">
        <w:rPr>
          <w:rFonts w:hint="cs"/>
          <w:rtl/>
          <w:lang w:bidi="he-IL"/>
        </w:rPr>
        <w:t>האופן שבו מסרו העדים את עדויותיהם דמה מאוד למסגרת של חקירה ראשית (</w:t>
      </w:r>
      <w:r w:rsidR="009733FA" w:rsidRPr="009733FA">
        <w:rPr>
          <w:lang w:bidi="he-IL"/>
        </w:rPr>
        <w:t>direct</w:t>
      </w:r>
      <w:r w:rsidR="009733FA">
        <w:rPr>
          <w:lang w:bidi="he-IL"/>
        </w:rPr>
        <w:t xml:space="preserve"> </w:t>
      </w:r>
      <w:r w:rsidR="009733FA" w:rsidRPr="009733FA">
        <w:rPr>
          <w:lang w:bidi="he-IL"/>
        </w:rPr>
        <w:t>examination</w:t>
      </w:r>
      <w:r w:rsidR="008E35E3">
        <w:rPr>
          <w:rFonts w:hint="cs"/>
          <w:rtl/>
          <w:lang w:bidi="he-IL"/>
        </w:rPr>
        <w:t xml:space="preserve">) במשפט פלילי: </w:t>
      </w:r>
      <w:r w:rsidR="008E35E3" w:rsidRPr="008E35E3">
        <w:rPr>
          <w:rtl/>
          <w:lang w:bidi="he-IL"/>
        </w:rPr>
        <w:t>במרבית המקרים, עדותם לא נמסרה באופן חופשי לגמרי,</w:t>
      </w:r>
      <w:r w:rsidR="008E35E3">
        <w:rPr>
          <w:rFonts w:hint="cs"/>
          <w:rtl/>
          <w:lang w:bidi="he-IL"/>
        </w:rPr>
        <w:t xml:space="preserve"> תוך שהם בוחרים את נקודת הפתיחה ונקודת הסיום של עדותם, אלא הם השיבו לשאלות שנשאלו על ידי טרלו. בתום מסירת העדות </w:t>
      </w:r>
      <w:r w:rsidR="008E35E3" w:rsidRPr="008E35E3">
        <w:rPr>
          <w:rtl/>
          <w:lang w:bidi="he-IL"/>
        </w:rPr>
        <w:t xml:space="preserve">הם </w:t>
      </w:r>
      <w:r w:rsidR="008E35E3">
        <w:rPr>
          <w:rFonts w:hint="cs"/>
          <w:rtl/>
          <w:lang w:bidi="he-IL"/>
        </w:rPr>
        <w:t xml:space="preserve">השיבו על </w:t>
      </w:r>
      <w:r w:rsidR="008E35E3" w:rsidRPr="008E35E3">
        <w:rPr>
          <w:rtl/>
          <w:lang w:bidi="he-IL"/>
        </w:rPr>
        <w:t xml:space="preserve">שאלות </w:t>
      </w:r>
      <w:r w:rsidR="008E35E3">
        <w:rPr>
          <w:rFonts w:hint="cs"/>
          <w:rtl/>
          <w:lang w:bidi="he-IL"/>
        </w:rPr>
        <w:t xml:space="preserve">הבהרה </w:t>
      </w:r>
      <w:r w:rsidR="008E35E3" w:rsidRPr="008E35E3">
        <w:rPr>
          <w:rtl/>
          <w:lang w:bidi="he-IL"/>
        </w:rPr>
        <w:t xml:space="preserve">נוספות </w:t>
      </w:r>
      <w:r w:rsidR="00B960FD">
        <w:rPr>
          <w:rFonts w:hint="cs"/>
          <w:rtl/>
          <w:lang w:bidi="he-IL"/>
        </w:rPr>
        <w:t xml:space="preserve">שנשאלו </w:t>
      </w:r>
      <w:r w:rsidR="008E35E3" w:rsidRPr="008E35E3">
        <w:rPr>
          <w:rtl/>
          <w:lang w:bidi="he-IL"/>
        </w:rPr>
        <w:t>על ידי חברי הוועדה.</w:t>
      </w:r>
      <w:r w:rsidR="00B960FD">
        <w:rPr>
          <w:rFonts w:hint="cs"/>
          <w:rtl/>
          <w:lang w:bidi="he-IL"/>
        </w:rPr>
        <w:t xml:space="preserve"> </w:t>
      </w:r>
      <w:r w:rsidR="00B960FD">
        <w:rPr>
          <w:rFonts w:hint="cs"/>
          <w:rtl/>
          <w:lang w:bidi="he-IL"/>
        </w:rPr>
        <w:lastRenderedPageBreak/>
        <w:t>כיאה להליך מעין-פלילי, שבמרכזו עומדת שאלת אחריותו של מנגלה לביצוע הפשעים,</w:t>
      </w:r>
      <w:r w:rsidR="008E35E3">
        <w:rPr>
          <w:rFonts w:hint="cs"/>
          <w:rtl/>
          <w:lang w:bidi="he-IL"/>
        </w:rPr>
        <w:t xml:space="preserve"> </w:t>
      </w:r>
      <w:r w:rsidR="00B960FD">
        <w:rPr>
          <w:rFonts w:hint="cs"/>
          <w:rtl/>
          <w:lang w:bidi="he-IL"/>
        </w:rPr>
        <w:t>טרלו, כמו גם חברי הוועדה האחרים, לא התעניינו בסיפורם השלם של העדים על קורותיהם במלחמה. אף סיפור הישרדותם בשנים שבהם היו אסירים במחנה אושוויץ לא הוצג במלואו. מתוך ה</w:t>
      </w:r>
      <w:r w:rsidR="00360E1D">
        <w:rPr>
          <w:rFonts w:hint="cs"/>
          <w:rtl/>
          <w:lang w:bidi="he-IL"/>
        </w:rPr>
        <w:t>סיפור כולו, התבקשו העדים להתרכז אך ו</w:t>
      </w:r>
      <w:r w:rsidR="00365475">
        <w:rPr>
          <w:rFonts w:hint="cs"/>
          <w:rtl/>
          <w:lang w:bidi="he-IL"/>
        </w:rPr>
        <w:t xml:space="preserve">רק </w:t>
      </w:r>
      <w:r w:rsidR="00B960FD">
        <w:rPr>
          <w:rFonts w:hint="cs"/>
          <w:rtl/>
          <w:lang w:bidi="he-IL"/>
        </w:rPr>
        <w:t>במעשים שביצע מנגלה, שהיו עדי ראיה להם. לפיכך, כל עד נשאל בפתח עדותו: באיזה תאריך הגעת לאושוויץ? מתי ראית את מנגלה לראשונה? ומיד לאח</w:t>
      </w:r>
      <w:r w:rsidR="00365475">
        <w:rPr>
          <w:rFonts w:hint="cs"/>
          <w:rtl/>
          <w:lang w:bidi="he-IL"/>
        </w:rPr>
        <w:t>ר שמסרו את המידע בקשר לכך, נשאל</w:t>
      </w:r>
      <w:r w:rsidR="00B960FD">
        <w:rPr>
          <w:rFonts w:hint="cs"/>
          <w:rtl/>
          <w:lang w:bidi="he-IL"/>
        </w:rPr>
        <w:t xml:space="preserve"> </w:t>
      </w:r>
      <w:r w:rsidR="00B960FD">
        <w:rPr>
          <w:rtl/>
          <w:lang w:bidi="he-IL"/>
        </w:rPr>
        <w:t>–</w:t>
      </w:r>
      <w:r w:rsidR="00B960FD">
        <w:rPr>
          <w:rFonts w:hint="cs"/>
          <w:rtl/>
          <w:lang w:bidi="he-IL"/>
        </w:rPr>
        <w:t xml:space="preserve"> מה תוכל לספר על הניסויים שביצע מנגלה באסירים? האם היית עד לפעולותיו הספציפיות של מנגלה? מה </w:t>
      </w:r>
      <w:r w:rsidR="00365475">
        <w:rPr>
          <w:rFonts w:hint="cs"/>
          <w:rtl/>
          <w:lang w:bidi="he-IL"/>
        </w:rPr>
        <w:t>היה ידוע לך</w:t>
      </w:r>
      <w:r w:rsidR="00B960FD">
        <w:rPr>
          <w:rFonts w:hint="cs"/>
          <w:rtl/>
          <w:lang w:bidi="he-IL"/>
        </w:rPr>
        <w:t xml:space="preserve"> בקשר למטרותיו וכוונותיו בביצוע הניסויים? בנוסף, בדומה לחקירת עד בבית המשפט, העדים התבקשו </w:t>
      </w:r>
      <w:r w:rsidR="00837C63">
        <w:rPr>
          <w:rFonts w:hint="cs"/>
          <w:rtl/>
          <w:lang w:bidi="he-IL"/>
        </w:rPr>
        <w:t xml:space="preserve">לתאר באופן ספציפי על פי </w:t>
      </w:r>
      <w:proofErr w:type="spellStart"/>
      <w:r w:rsidR="00837C63">
        <w:rPr>
          <w:rFonts w:hint="cs"/>
          <w:rtl/>
          <w:lang w:bidi="he-IL"/>
        </w:rPr>
        <w:t>זכרונם</w:t>
      </w:r>
      <w:proofErr w:type="spellEnd"/>
      <w:r w:rsidR="00B960FD">
        <w:rPr>
          <w:rFonts w:hint="cs"/>
          <w:rtl/>
          <w:lang w:bidi="he-IL"/>
        </w:rPr>
        <w:t xml:space="preserve"> מתי התרחש האירוע שעליו סיפרו (או בסמוך לאיזה חג בלוח השנה היהודי) ובאיזה מקום במחנה</w:t>
      </w:r>
      <w:r w:rsidR="006B32FB">
        <w:rPr>
          <w:rFonts w:hint="cs"/>
          <w:rtl/>
          <w:lang w:bidi="he-IL"/>
        </w:rPr>
        <w:t xml:space="preserve"> </w:t>
      </w:r>
      <w:r w:rsidR="00365475">
        <w:rPr>
          <w:rFonts w:hint="cs"/>
          <w:rtl/>
          <w:lang w:bidi="he-IL"/>
        </w:rPr>
        <w:t>הוא אירע (המקומות שחזרו ונזכרו בעדויות היו</w:t>
      </w:r>
      <w:r w:rsidR="006B32FB">
        <w:rPr>
          <w:rFonts w:hint="cs"/>
          <w:rtl/>
          <w:lang w:bidi="he-IL"/>
        </w:rPr>
        <w:t>:</w:t>
      </w:r>
      <w:r w:rsidR="007F4E39">
        <w:rPr>
          <w:rFonts w:hint="cs"/>
          <w:rtl/>
          <w:lang w:bidi="he-IL"/>
        </w:rPr>
        <w:t xml:space="preserve"> הרמפה בכניסה לאושוויץ</w:t>
      </w:r>
      <w:r w:rsidR="00365475">
        <w:rPr>
          <w:rFonts w:hint="cs"/>
          <w:rtl/>
          <w:lang w:bidi="he-IL"/>
        </w:rPr>
        <w:t xml:space="preserve">, בית החולים, מחנה הנשים, מחנה </w:t>
      </w:r>
      <w:r w:rsidR="00360E1D">
        <w:rPr>
          <w:rFonts w:hint="cs"/>
          <w:rtl/>
          <w:lang w:bidi="he-IL"/>
        </w:rPr>
        <w:t>הצוענים, מחנה המשפחות, בלוק 10 ו</w:t>
      </w:r>
      <w:r w:rsidR="00365475">
        <w:rPr>
          <w:rFonts w:hint="cs"/>
          <w:rtl/>
          <w:lang w:bidi="he-IL"/>
        </w:rPr>
        <w:t xml:space="preserve">מגרש המסדרים). הנסיון למקד את העדות ב"נאשם" עצמו ובמעשיו, כמו גם </w:t>
      </w:r>
      <w:r w:rsidR="00837C63">
        <w:rPr>
          <w:rFonts w:hint="cs"/>
          <w:rtl/>
          <w:lang w:bidi="he-IL"/>
        </w:rPr>
        <w:t>ל</w:t>
      </w:r>
      <w:r w:rsidR="00360E1D">
        <w:rPr>
          <w:rFonts w:hint="cs"/>
          <w:rtl/>
          <w:lang w:bidi="he-IL"/>
        </w:rPr>
        <w:t>הכניסה ל</w:t>
      </w:r>
      <w:r w:rsidR="00837C63">
        <w:rPr>
          <w:rFonts w:hint="cs"/>
          <w:rtl/>
          <w:lang w:bidi="he-IL"/>
        </w:rPr>
        <w:t>תבניות ברורות של זמן ומקום, הוא מאפיין בולט של מתן עדות בבית המשפט, להבדיל מעדות תיעודית הנמסרת בחופשיות רבה יותר.</w:t>
      </w:r>
      <w:r w:rsidR="00837C63">
        <w:rPr>
          <w:rStyle w:val="FootnoteReference"/>
          <w:rtl/>
          <w:lang w:bidi="he-IL"/>
        </w:rPr>
        <w:footnoteReference w:id="10"/>
      </w:r>
      <w:r w:rsidR="00837C63">
        <w:rPr>
          <w:rFonts w:hint="cs"/>
          <w:rtl/>
          <w:lang w:bidi="he-IL"/>
        </w:rPr>
        <w:t xml:space="preserve"> </w:t>
      </w:r>
      <w:r w:rsidR="00360E1D">
        <w:rPr>
          <w:rFonts w:hint="cs"/>
          <w:rtl/>
          <w:lang w:bidi="he-IL"/>
        </w:rPr>
        <w:t xml:space="preserve">לצד זאת, צריך כמובן לציין כי </w:t>
      </w:r>
      <w:r w:rsidR="006B5658">
        <w:rPr>
          <w:rFonts w:hint="cs"/>
          <w:rtl/>
          <w:lang w:bidi="he-IL"/>
        </w:rPr>
        <w:t>חקירה נגדית (</w:t>
      </w:r>
      <w:r w:rsidR="006B5658">
        <w:rPr>
          <w:lang w:bidi="he-IL"/>
        </w:rPr>
        <w:t>cross examination</w:t>
      </w:r>
      <w:r w:rsidR="006B5658">
        <w:rPr>
          <w:rFonts w:hint="cs"/>
          <w:rtl/>
          <w:lang w:bidi="he-IL"/>
        </w:rPr>
        <w:t xml:space="preserve">) לא נערכה באותו מעמד, שכן לבד מהנאשם, גם </w:t>
      </w:r>
      <w:proofErr w:type="spellStart"/>
      <w:r w:rsidR="006B5658">
        <w:rPr>
          <w:rFonts w:hint="cs"/>
          <w:rtl/>
          <w:lang w:bidi="he-IL"/>
        </w:rPr>
        <w:t>סניגורו</w:t>
      </w:r>
      <w:proofErr w:type="spellEnd"/>
      <w:r w:rsidR="006B5658">
        <w:rPr>
          <w:rFonts w:hint="cs"/>
          <w:rtl/>
          <w:lang w:bidi="he-IL"/>
        </w:rPr>
        <w:t xml:space="preserve"> לא נכח במשפט הפומבי. </w:t>
      </w:r>
    </w:p>
    <w:p w:rsidR="009733FA" w:rsidRDefault="009733FA" w:rsidP="00AE64F4">
      <w:pPr>
        <w:tabs>
          <w:tab w:val="left" w:pos="800"/>
        </w:tabs>
        <w:overflowPunct w:val="0"/>
        <w:autoSpaceDE w:val="0"/>
        <w:autoSpaceDN w:val="0"/>
        <w:adjustRightInd w:val="0"/>
        <w:textAlignment w:val="baseline"/>
        <w:rPr>
          <w:rtl/>
        </w:rPr>
      </w:pPr>
    </w:p>
    <w:p w:rsidR="00330F28" w:rsidRDefault="00DE5005" w:rsidP="00F93C56">
      <w:pPr>
        <w:tabs>
          <w:tab w:val="left" w:pos="800"/>
        </w:tabs>
        <w:overflowPunct w:val="0"/>
        <w:autoSpaceDE w:val="0"/>
        <w:autoSpaceDN w:val="0"/>
        <w:adjustRightInd w:val="0"/>
        <w:textAlignment w:val="baseline"/>
        <w:rPr>
          <w:rtl/>
          <w:lang w:bidi="he-IL"/>
        </w:rPr>
      </w:pPr>
      <w:r>
        <w:rPr>
          <w:rtl/>
          <w:lang w:bidi="he-IL"/>
        </w:rPr>
        <w:tab/>
      </w:r>
      <w:r w:rsidR="00837C63">
        <w:rPr>
          <w:rFonts w:hint="cs"/>
          <w:rtl/>
          <w:lang w:bidi="he-IL"/>
        </w:rPr>
        <w:t>מוט</w:t>
      </w:r>
      <w:r w:rsidR="00360E1D">
        <w:rPr>
          <w:rFonts w:hint="cs"/>
          <w:rtl/>
          <w:lang w:bidi="he-IL"/>
        </w:rPr>
        <w:t>יב "משפטי" נוסף של האירוע קשור</w:t>
      </w:r>
      <w:r w:rsidR="00837C63">
        <w:rPr>
          <w:rFonts w:hint="cs"/>
          <w:rtl/>
          <w:lang w:bidi="he-IL"/>
        </w:rPr>
        <w:t xml:space="preserve"> להכנות שנעשו לקראתו, הכוללות איסוף של תיעוד </w:t>
      </w:r>
      <w:r>
        <w:rPr>
          <w:rFonts w:hint="cs"/>
          <w:rtl/>
          <w:lang w:bidi="he-IL"/>
        </w:rPr>
        <w:t xml:space="preserve">היסטורי </w:t>
      </w:r>
      <w:r w:rsidR="00837C63">
        <w:rPr>
          <w:rFonts w:hint="cs"/>
          <w:rtl/>
          <w:lang w:bidi="he-IL"/>
        </w:rPr>
        <w:t>רב</w:t>
      </w:r>
      <w:r>
        <w:rPr>
          <w:rFonts w:hint="cs"/>
          <w:rtl/>
          <w:lang w:bidi="he-IL"/>
        </w:rPr>
        <w:t xml:space="preserve"> בנוגע לפשעים שביצע מנגלה. בנוסף לתשאול העדים, אלו שהתייצבו להעיד ואלו שבסופו של דבר לא העידו במשפט, הוצגו לעיון הוועדה כחומר רקע ל</w:t>
      </w:r>
      <w:r w:rsidR="0073303F">
        <w:rPr>
          <w:rFonts w:hint="cs"/>
          <w:rtl/>
          <w:lang w:bidi="he-IL"/>
        </w:rPr>
        <w:t>דיונים</w:t>
      </w:r>
      <w:r>
        <w:rPr>
          <w:rFonts w:hint="cs"/>
          <w:rtl/>
          <w:lang w:bidi="he-IL"/>
        </w:rPr>
        <w:t xml:space="preserve"> </w:t>
      </w:r>
      <w:r w:rsidR="0073303F">
        <w:rPr>
          <w:rFonts w:hint="cs"/>
          <w:rtl/>
          <w:lang w:bidi="he-IL"/>
        </w:rPr>
        <w:t xml:space="preserve">מסמכים שונים. בין אלו, ניתן למנות </w:t>
      </w:r>
      <w:r>
        <w:rPr>
          <w:rFonts w:hint="cs"/>
          <w:rtl/>
          <w:lang w:bidi="he-IL"/>
        </w:rPr>
        <w:t xml:space="preserve">מסמך המרכז </w:t>
      </w:r>
      <w:r>
        <w:rPr>
          <w:rtl/>
          <w:lang w:bidi="he-IL"/>
        </w:rPr>
        <w:t>עדויות</w:t>
      </w:r>
      <w:r>
        <w:rPr>
          <w:rFonts w:hint="cs"/>
          <w:rtl/>
          <w:lang w:bidi="he-IL"/>
        </w:rPr>
        <w:t xml:space="preserve"> של ניצולי אושוויץ</w:t>
      </w:r>
      <w:r>
        <w:rPr>
          <w:rtl/>
          <w:lang w:bidi="he-IL"/>
        </w:rPr>
        <w:t xml:space="preserve"> </w:t>
      </w:r>
      <w:r>
        <w:rPr>
          <w:rFonts w:hint="cs"/>
          <w:rtl/>
          <w:lang w:bidi="he-IL"/>
        </w:rPr>
        <w:t xml:space="preserve">שהתייחסו </w:t>
      </w:r>
      <w:proofErr w:type="spellStart"/>
      <w:r>
        <w:rPr>
          <w:rFonts w:hint="cs"/>
          <w:rtl/>
          <w:lang w:bidi="he-IL"/>
        </w:rPr>
        <w:t>ל</w:t>
      </w:r>
      <w:r>
        <w:rPr>
          <w:rtl/>
          <w:lang w:bidi="he-IL"/>
        </w:rPr>
        <w:t>מנגלה</w:t>
      </w:r>
      <w:proofErr w:type="spellEnd"/>
      <w:r>
        <w:rPr>
          <w:rFonts w:hint="cs"/>
          <w:rtl/>
          <w:lang w:bidi="he-IL"/>
        </w:rPr>
        <w:t xml:space="preserve">, שנערך </w:t>
      </w:r>
      <w:r w:rsidR="00AC0285">
        <w:rPr>
          <w:rtl/>
          <w:lang w:bidi="he-IL"/>
        </w:rPr>
        <w:t>על ידי יעקב בר</w:t>
      </w:r>
      <w:r w:rsidR="00AC0285">
        <w:rPr>
          <w:rFonts w:hint="cs"/>
          <w:rtl/>
          <w:lang w:bidi="he-IL"/>
        </w:rPr>
        <w:t>-</w:t>
      </w:r>
      <w:r>
        <w:rPr>
          <w:rtl/>
          <w:lang w:bidi="he-IL"/>
        </w:rPr>
        <w:t>אור</w:t>
      </w:r>
      <w:r>
        <w:rPr>
          <w:rFonts w:hint="cs"/>
          <w:rtl/>
          <w:lang w:bidi="he-IL"/>
        </w:rPr>
        <w:t xml:space="preserve">, שבדומה </w:t>
      </w:r>
      <w:proofErr w:type="spellStart"/>
      <w:r>
        <w:rPr>
          <w:rFonts w:hint="cs"/>
          <w:rtl/>
          <w:lang w:bidi="he-IL"/>
        </w:rPr>
        <w:t>לטרלו</w:t>
      </w:r>
      <w:proofErr w:type="spellEnd"/>
      <w:r>
        <w:rPr>
          <w:rFonts w:hint="cs"/>
          <w:rtl/>
          <w:lang w:bidi="he-IL"/>
        </w:rPr>
        <w:t xml:space="preserve"> היה אף הוא חבר בצוות התביעה במשפט אייכמן; </w:t>
      </w:r>
      <w:r>
        <w:rPr>
          <w:rtl/>
          <w:lang w:bidi="he-IL"/>
        </w:rPr>
        <w:t>סקירה בנושא מנגלה שהוכנה על ידי לשכת התובע הציבורי שליד בית המשפט האזורי בפרנקפורט על הנהר מיין</w:t>
      </w:r>
      <w:r>
        <w:rPr>
          <w:rFonts w:hint="cs"/>
          <w:rtl/>
          <w:lang w:bidi="he-IL"/>
        </w:rPr>
        <w:t>;</w:t>
      </w:r>
      <w:r w:rsidR="0073303F">
        <w:rPr>
          <w:rFonts w:hint="cs"/>
          <w:rtl/>
          <w:lang w:bidi="he-IL"/>
        </w:rPr>
        <w:t xml:space="preserve"> דוח ש</w:t>
      </w:r>
      <w:r w:rsidR="00F93C56">
        <w:rPr>
          <w:rFonts w:hint="cs"/>
          <w:rtl/>
          <w:lang w:bidi="he-IL"/>
        </w:rPr>
        <w:t>הכין</w:t>
      </w:r>
      <w:r w:rsidR="0073303F">
        <w:rPr>
          <w:rFonts w:hint="cs"/>
          <w:rtl/>
          <w:lang w:bidi="he-IL"/>
        </w:rPr>
        <w:t xml:space="preserve"> </w:t>
      </w:r>
      <w:proofErr w:type="spellStart"/>
      <w:r w:rsidR="0073303F">
        <w:rPr>
          <w:rFonts w:hint="cs"/>
          <w:rtl/>
          <w:lang w:bidi="he-IL"/>
        </w:rPr>
        <w:t>ויזנטל</w:t>
      </w:r>
      <w:proofErr w:type="spellEnd"/>
      <w:r w:rsidR="0073303F">
        <w:rPr>
          <w:rFonts w:hint="cs"/>
          <w:rtl/>
          <w:lang w:bidi="he-IL"/>
        </w:rPr>
        <w:t xml:space="preserve"> בנושא הניסויים שנערכו על ידי מנגלה; </w:t>
      </w:r>
      <w:r>
        <w:rPr>
          <w:rFonts w:hint="cs"/>
          <w:rtl/>
          <w:lang w:bidi="he-IL"/>
        </w:rPr>
        <w:t xml:space="preserve">וכן עדות כתובה על חיי היום יום במחנה, </w:t>
      </w:r>
      <w:r w:rsidRPr="00DE5005">
        <w:rPr>
          <w:rtl/>
          <w:lang w:bidi="he-IL"/>
        </w:rPr>
        <w:t xml:space="preserve">פרי עטו של </w:t>
      </w:r>
      <w:r>
        <w:rPr>
          <w:rFonts w:hint="cs"/>
          <w:rtl/>
          <w:lang w:bidi="he-IL"/>
        </w:rPr>
        <w:t xml:space="preserve">ניצול המחנה </w:t>
      </w:r>
      <w:r w:rsidRPr="00DE5005">
        <w:rPr>
          <w:rtl/>
          <w:lang w:bidi="he-IL"/>
        </w:rPr>
        <w:t xml:space="preserve">מנשה </w:t>
      </w:r>
      <w:proofErr w:type="spellStart"/>
      <w:r w:rsidRPr="00DE5005">
        <w:rPr>
          <w:rtl/>
          <w:lang w:bidi="he-IL"/>
        </w:rPr>
        <w:t>לורנצי</w:t>
      </w:r>
      <w:proofErr w:type="spellEnd"/>
      <w:r w:rsidR="00F93C56">
        <w:rPr>
          <w:rFonts w:hint="cs"/>
          <w:rtl/>
          <w:lang w:bidi="he-IL"/>
        </w:rPr>
        <w:t>, ניצול אושוויץ שהיה אחד מ"תאומי מנגלה"</w:t>
      </w:r>
      <w:r>
        <w:rPr>
          <w:rFonts w:hint="cs"/>
          <w:rtl/>
          <w:lang w:bidi="he-IL"/>
        </w:rPr>
        <w:t>.</w:t>
      </w:r>
      <w:r>
        <w:rPr>
          <w:rStyle w:val="FootnoteReference"/>
          <w:rtl/>
          <w:lang w:bidi="he-IL"/>
        </w:rPr>
        <w:footnoteReference w:id="11"/>
      </w:r>
      <w:r>
        <w:rPr>
          <w:rFonts w:hint="cs"/>
          <w:rtl/>
          <w:lang w:bidi="he-IL"/>
        </w:rPr>
        <w:t xml:space="preserve"> איסוף החומרים לקראת המשפט </w:t>
      </w:r>
      <w:r w:rsidR="00837C63">
        <w:rPr>
          <w:rFonts w:hint="cs"/>
          <w:rtl/>
          <w:lang w:bidi="he-IL"/>
        </w:rPr>
        <w:t>מזכיר</w:t>
      </w:r>
      <w:r>
        <w:rPr>
          <w:rFonts w:hint="cs"/>
          <w:rtl/>
          <w:lang w:bidi="he-IL"/>
        </w:rPr>
        <w:t>, לפחות במידת מה, ניהולה של</w:t>
      </w:r>
      <w:r w:rsidR="00837C63">
        <w:rPr>
          <w:rFonts w:hint="cs"/>
          <w:rtl/>
          <w:lang w:bidi="he-IL"/>
        </w:rPr>
        <w:t xml:space="preserve"> חקירה משטרתית שבמהלכה נאסף חומר ראיות לקראת גיבושו של כתב אישום וניהול משפט פלילי. </w:t>
      </w:r>
    </w:p>
    <w:p w:rsidR="00DE5005" w:rsidRDefault="00DE5005" w:rsidP="00DE5005">
      <w:pPr>
        <w:tabs>
          <w:tab w:val="left" w:pos="800"/>
        </w:tabs>
        <w:overflowPunct w:val="0"/>
        <w:autoSpaceDE w:val="0"/>
        <w:autoSpaceDN w:val="0"/>
        <w:adjustRightInd w:val="0"/>
        <w:textAlignment w:val="baseline"/>
        <w:rPr>
          <w:rtl/>
          <w:lang w:bidi="he-IL"/>
        </w:rPr>
      </w:pPr>
    </w:p>
    <w:p w:rsidR="009B291B" w:rsidRPr="002C5C8B" w:rsidRDefault="00D90E48" w:rsidP="00965348">
      <w:pPr>
        <w:tabs>
          <w:tab w:val="left" w:pos="800"/>
        </w:tabs>
        <w:overflowPunct w:val="0"/>
        <w:autoSpaceDE w:val="0"/>
        <w:autoSpaceDN w:val="0"/>
        <w:adjustRightInd w:val="0"/>
        <w:textAlignment w:val="baseline"/>
        <w:rPr>
          <w:rtl/>
          <w:lang w:bidi="he-IL"/>
        </w:rPr>
      </w:pPr>
      <w:r>
        <w:rPr>
          <w:rtl/>
          <w:lang w:bidi="he-IL"/>
        </w:rPr>
        <w:tab/>
      </w:r>
      <w:r>
        <w:rPr>
          <w:rFonts w:hint="cs"/>
          <w:rtl/>
          <w:lang w:bidi="he-IL"/>
        </w:rPr>
        <w:t>מתוך החומרים שנאספו, בפתח ההליך הוגשו לעיון הוועדה</w:t>
      </w:r>
      <w:r w:rsidR="00DE5005">
        <w:rPr>
          <w:rFonts w:hint="cs"/>
          <w:rtl/>
          <w:lang w:bidi="he-IL"/>
        </w:rPr>
        <w:t xml:space="preserve"> תעודות היסטוריות שונות </w:t>
      </w:r>
      <w:r>
        <w:rPr>
          <w:rFonts w:hint="cs"/>
          <w:rtl/>
          <w:lang w:bidi="he-IL"/>
        </w:rPr>
        <w:t>כ"</w:t>
      </w:r>
      <w:r w:rsidRPr="004C7336">
        <w:rPr>
          <w:rFonts w:hint="cs"/>
          <w:rtl/>
          <w:lang w:bidi="he-IL"/>
        </w:rPr>
        <w:t xml:space="preserve">מוצגי תביעה", שתפקידם להוסיף ולחזק על הראיות הנשמעות בעל פה. בין אלו, ניתן למנות העתק של </w:t>
      </w:r>
      <w:r w:rsidR="00D7116B" w:rsidRPr="004C7336">
        <w:rPr>
          <w:rtl/>
          <w:lang w:bidi="he-IL"/>
        </w:rPr>
        <w:t xml:space="preserve">השאלון שמילא </w:t>
      </w:r>
      <w:r w:rsidRPr="004C7336">
        <w:rPr>
          <w:rFonts w:hint="cs"/>
          <w:rtl/>
          <w:lang w:bidi="he-IL"/>
        </w:rPr>
        <w:t xml:space="preserve">מנגלה </w:t>
      </w:r>
      <w:r w:rsidR="00D7116B" w:rsidRPr="004C7336">
        <w:rPr>
          <w:rtl/>
          <w:lang w:bidi="he-IL"/>
        </w:rPr>
        <w:t>ביו</w:t>
      </w:r>
      <w:r w:rsidRPr="004C7336">
        <w:rPr>
          <w:rtl/>
          <w:lang w:bidi="he-IL"/>
        </w:rPr>
        <w:t>ם 1.1.</w:t>
      </w:r>
      <w:r w:rsidR="004C7336" w:rsidRPr="004C7336">
        <w:rPr>
          <w:rFonts w:hint="cs"/>
          <w:rtl/>
          <w:lang w:bidi="he-IL"/>
        </w:rPr>
        <w:t>19</w:t>
      </w:r>
      <w:r w:rsidRPr="004C7336">
        <w:rPr>
          <w:rtl/>
          <w:lang w:bidi="he-IL"/>
        </w:rPr>
        <w:t>39 כדי להתקבל לשורות הס"ס</w:t>
      </w:r>
      <w:r w:rsidRPr="004C7336">
        <w:rPr>
          <w:rFonts w:hint="cs"/>
          <w:rtl/>
          <w:lang w:bidi="he-IL"/>
        </w:rPr>
        <w:t xml:space="preserve">, ובו פרטים על תאריך ומקום לידתו, שירותו בפלוגות </w:t>
      </w:r>
      <w:proofErr w:type="spellStart"/>
      <w:r w:rsidRPr="004C7336">
        <w:rPr>
          <w:rFonts w:hint="cs"/>
          <w:rtl/>
          <w:lang w:bidi="he-IL"/>
        </w:rPr>
        <w:t>הס"א</w:t>
      </w:r>
      <w:proofErr w:type="spellEnd"/>
      <w:r w:rsidRPr="004C7336">
        <w:rPr>
          <w:rFonts w:hint="cs"/>
          <w:rtl/>
          <w:lang w:bidi="he-IL"/>
        </w:rPr>
        <w:t xml:space="preserve"> ובצבא הגרמני, </w:t>
      </w:r>
      <w:r w:rsidRPr="004C7336">
        <w:rPr>
          <w:rtl/>
          <w:lang w:bidi="he-IL"/>
        </w:rPr>
        <w:t>מקצועו</w:t>
      </w:r>
      <w:r w:rsidRPr="004C7336">
        <w:rPr>
          <w:rFonts w:hint="cs"/>
          <w:rtl/>
          <w:lang w:bidi="he-IL"/>
        </w:rPr>
        <w:t xml:space="preserve"> ו</w:t>
      </w:r>
      <w:r w:rsidR="00D7116B" w:rsidRPr="004C7336">
        <w:rPr>
          <w:rtl/>
          <w:lang w:bidi="he-IL"/>
        </w:rPr>
        <w:t>כתובת מגורי</w:t>
      </w:r>
      <w:r w:rsidRPr="004C7336">
        <w:rPr>
          <w:rFonts w:hint="cs"/>
          <w:rtl/>
          <w:lang w:bidi="he-IL"/>
        </w:rPr>
        <w:t xml:space="preserve">ו; אישור </w:t>
      </w:r>
      <w:r w:rsidR="002C5C8B">
        <w:rPr>
          <w:rFonts w:hint="cs"/>
          <w:rtl/>
          <w:lang w:bidi="he-IL"/>
        </w:rPr>
        <w:t xml:space="preserve">שניתן </w:t>
      </w:r>
      <w:proofErr w:type="spellStart"/>
      <w:r w:rsidR="002C5C8B">
        <w:rPr>
          <w:rFonts w:hint="cs"/>
          <w:rtl/>
          <w:lang w:bidi="he-IL"/>
        </w:rPr>
        <w:t>למנגלה</w:t>
      </w:r>
      <w:proofErr w:type="spellEnd"/>
      <w:r w:rsidR="002C5C8B">
        <w:rPr>
          <w:rFonts w:hint="cs"/>
          <w:rtl/>
          <w:lang w:bidi="he-IL"/>
        </w:rPr>
        <w:t xml:space="preserve"> </w:t>
      </w:r>
      <w:r w:rsidR="004C7336" w:rsidRPr="004C7336">
        <w:rPr>
          <w:rFonts w:hint="cs"/>
          <w:rtl/>
          <w:lang w:bidi="he-IL"/>
        </w:rPr>
        <w:t xml:space="preserve">מאת לשכתו של ראש הס"ס הימלר </w:t>
      </w:r>
      <w:r w:rsidRPr="004C7336">
        <w:rPr>
          <w:rFonts w:hint="cs"/>
          <w:rtl/>
          <w:lang w:bidi="he-IL"/>
        </w:rPr>
        <w:t>להינשא</w:t>
      </w:r>
      <w:r w:rsidR="004C7336" w:rsidRPr="004C7336">
        <w:rPr>
          <w:rFonts w:hint="cs"/>
          <w:rtl/>
          <w:lang w:bidi="he-IL"/>
        </w:rPr>
        <w:t xml:space="preserve"> לבחירת ליבו, מתוארך לחודש מרץ 1929; שאלון אישי בחתימתו של מנגלה מיום 18.7.1940, הכולל פרטים אישיים ובהם </w:t>
      </w:r>
      <w:r w:rsidR="00D7116B" w:rsidRPr="004C7336">
        <w:rPr>
          <w:rtl/>
          <w:lang w:bidi="he-IL"/>
        </w:rPr>
        <w:t xml:space="preserve">מספרו </w:t>
      </w:r>
      <w:r w:rsidR="004C7336" w:rsidRPr="004C7336">
        <w:rPr>
          <w:rFonts w:hint="cs"/>
          <w:rtl/>
          <w:lang w:bidi="he-IL"/>
        </w:rPr>
        <w:t>כחייל בשירות ה</w:t>
      </w:r>
      <w:r w:rsidR="004C7336" w:rsidRPr="004C7336">
        <w:rPr>
          <w:rtl/>
          <w:lang w:bidi="he-IL"/>
        </w:rPr>
        <w:t>ס"ס, מס</w:t>
      </w:r>
      <w:r w:rsidR="004C7336" w:rsidRPr="004C7336">
        <w:rPr>
          <w:rFonts w:hint="cs"/>
          <w:rtl/>
          <w:lang w:bidi="he-IL"/>
        </w:rPr>
        <w:t>פר</w:t>
      </w:r>
      <w:r w:rsidR="00D7116B" w:rsidRPr="004C7336">
        <w:rPr>
          <w:rtl/>
          <w:lang w:bidi="he-IL"/>
        </w:rPr>
        <w:t xml:space="preserve"> פנקס המפלגה הנאצית</w:t>
      </w:r>
      <w:r w:rsidR="004C7336" w:rsidRPr="004C7336">
        <w:rPr>
          <w:rFonts w:hint="cs"/>
          <w:rtl/>
          <w:lang w:bidi="he-IL"/>
        </w:rPr>
        <w:t xml:space="preserve"> שהחזיק</w:t>
      </w:r>
      <w:r w:rsidR="004C7336" w:rsidRPr="004C7336">
        <w:rPr>
          <w:rtl/>
          <w:lang w:bidi="he-IL"/>
        </w:rPr>
        <w:t>, גובהו</w:t>
      </w:r>
      <w:r w:rsidR="00D7116B" w:rsidRPr="004C7336">
        <w:rPr>
          <w:rtl/>
          <w:lang w:bidi="he-IL"/>
        </w:rPr>
        <w:t xml:space="preserve">, </w:t>
      </w:r>
      <w:r w:rsidR="004C7336" w:rsidRPr="004C7336">
        <w:rPr>
          <w:rFonts w:hint="cs"/>
          <w:rtl/>
          <w:lang w:bidi="he-IL"/>
        </w:rPr>
        <w:t xml:space="preserve">השכלתו, הכשרתו המקצועית, מקומות עבודה קודמים וכתובת מגוריו באותה עת; שלושה כתבי מינוי משנת 1943 לתפקידים שונים כרופא ממשלתי, האחרון שבהם מעיד על הצבתו </w:t>
      </w:r>
      <w:r w:rsidR="002C5C8B">
        <w:rPr>
          <w:rFonts w:hint="cs"/>
          <w:rtl/>
          <w:lang w:bidi="he-IL"/>
        </w:rPr>
        <w:t>ב</w:t>
      </w:r>
      <w:r w:rsidR="004C7336" w:rsidRPr="004C7336">
        <w:rPr>
          <w:rFonts w:hint="cs"/>
          <w:rtl/>
          <w:lang w:bidi="he-IL"/>
        </w:rPr>
        <w:t xml:space="preserve">תפקיד </w:t>
      </w:r>
      <w:r w:rsidR="00D7116B" w:rsidRPr="004C7336">
        <w:rPr>
          <w:rtl/>
          <w:lang w:bidi="he-IL"/>
        </w:rPr>
        <w:t>רופא ראשי של סגל הס"ס באושוויץ (</w:t>
      </w:r>
      <w:r w:rsidR="004C7336" w:rsidRPr="004C7336">
        <w:rPr>
          <w:rFonts w:hint="cs"/>
          <w:rtl/>
          <w:lang w:bidi="he-IL"/>
        </w:rPr>
        <w:t>החל</w:t>
      </w:r>
      <w:r w:rsidR="00D7116B" w:rsidRPr="004C7336">
        <w:rPr>
          <w:rtl/>
          <w:lang w:bidi="he-IL"/>
        </w:rPr>
        <w:t xml:space="preserve"> מיום 30.5.</w:t>
      </w:r>
      <w:r w:rsidR="004C7336" w:rsidRPr="004C7336">
        <w:rPr>
          <w:rFonts w:hint="cs"/>
          <w:rtl/>
          <w:lang w:bidi="he-IL"/>
        </w:rPr>
        <w:t>19</w:t>
      </w:r>
      <w:r w:rsidR="00D7116B" w:rsidRPr="004C7336">
        <w:rPr>
          <w:rtl/>
          <w:lang w:bidi="he-IL"/>
        </w:rPr>
        <w:t>43)</w:t>
      </w:r>
      <w:r w:rsidR="002C5C8B">
        <w:rPr>
          <w:rFonts w:hint="cs"/>
          <w:rtl/>
          <w:lang w:bidi="he-IL"/>
        </w:rPr>
        <w:t>; ודו</w:t>
      </w:r>
      <w:r w:rsidR="004C7336" w:rsidRPr="004C7336">
        <w:rPr>
          <w:rFonts w:hint="cs"/>
          <w:rtl/>
          <w:lang w:bidi="he-IL"/>
        </w:rPr>
        <w:t xml:space="preserve">ח </w:t>
      </w:r>
      <w:r w:rsidR="00D7116B" w:rsidRPr="004C7336">
        <w:rPr>
          <w:rtl/>
          <w:lang w:bidi="he-IL"/>
        </w:rPr>
        <w:t xml:space="preserve">הערכה </w:t>
      </w:r>
      <w:r w:rsidR="004C7336" w:rsidRPr="004C7336">
        <w:rPr>
          <w:rFonts w:hint="cs"/>
          <w:rtl/>
          <w:lang w:bidi="he-IL"/>
        </w:rPr>
        <w:t xml:space="preserve">מיום 19.8.1944 </w:t>
      </w:r>
      <w:r w:rsidR="00D7116B" w:rsidRPr="004C7336">
        <w:rPr>
          <w:rtl/>
          <w:lang w:bidi="he-IL"/>
        </w:rPr>
        <w:t xml:space="preserve">על </w:t>
      </w:r>
      <w:r w:rsidR="004C7336" w:rsidRPr="004C7336">
        <w:rPr>
          <w:rFonts w:hint="cs"/>
          <w:rtl/>
          <w:lang w:bidi="he-IL"/>
        </w:rPr>
        <w:t xml:space="preserve">תפקודו של </w:t>
      </w:r>
      <w:r w:rsidR="004C7336" w:rsidRPr="004C7336">
        <w:rPr>
          <w:rtl/>
          <w:lang w:bidi="he-IL"/>
        </w:rPr>
        <w:t>מנגלה</w:t>
      </w:r>
      <w:r w:rsidR="004C7336" w:rsidRPr="004C7336">
        <w:rPr>
          <w:rFonts w:hint="cs"/>
          <w:rtl/>
          <w:lang w:bidi="he-IL"/>
        </w:rPr>
        <w:t xml:space="preserve"> כרופא מחנה אושוויץ, ה</w:t>
      </w:r>
      <w:r w:rsidR="004C7336" w:rsidRPr="004C7336">
        <w:rPr>
          <w:rtl/>
          <w:lang w:bidi="he-IL"/>
        </w:rPr>
        <w:t xml:space="preserve">משבח את </w:t>
      </w:r>
      <w:r w:rsidR="004C7336" w:rsidRPr="004C7336">
        <w:rPr>
          <w:rtl/>
          <w:lang w:bidi="he-IL"/>
        </w:rPr>
        <w:lastRenderedPageBreak/>
        <w:t xml:space="preserve">למדנותו </w:t>
      </w:r>
      <w:r w:rsidR="004C7336" w:rsidRPr="00542901">
        <w:rPr>
          <w:rtl/>
          <w:lang w:bidi="he-IL"/>
        </w:rPr>
        <w:t>וחריצותו</w:t>
      </w:r>
      <w:r w:rsidR="004C7336" w:rsidRPr="00542901">
        <w:rPr>
          <w:rFonts w:hint="cs"/>
          <w:rtl/>
          <w:lang w:bidi="he-IL"/>
        </w:rPr>
        <w:t>.</w:t>
      </w:r>
      <w:r w:rsidR="002C5C8B" w:rsidRPr="00542901">
        <w:rPr>
          <w:rFonts w:hint="cs"/>
          <w:rtl/>
          <w:lang w:bidi="he-IL"/>
        </w:rPr>
        <w:t xml:space="preserve"> </w:t>
      </w:r>
      <w:r w:rsidR="004C7336" w:rsidRPr="00542901">
        <w:rPr>
          <w:rFonts w:hint="cs"/>
          <w:rtl/>
          <w:lang w:bidi="he-IL"/>
        </w:rPr>
        <w:t xml:space="preserve">נוסף על מוצגים אלו, </w:t>
      </w:r>
      <w:r w:rsidR="00542901" w:rsidRPr="00542901">
        <w:rPr>
          <w:rFonts w:hint="cs"/>
          <w:rtl/>
          <w:lang w:bidi="he-IL"/>
        </w:rPr>
        <w:t>וכפי שמקובל לעתים בעדויות הנמסרות בבית משפט, במהלך חלק מהעדויות הוגשו באמצעות העדים עצמם מ</w:t>
      </w:r>
      <w:r w:rsidR="002C5C8B">
        <w:rPr>
          <w:rFonts w:hint="cs"/>
          <w:rtl/>
          <w:lang w:bidi="he-IL"/>
        </w:rPr>
        <w:t>וצגים</w:t>
      </w:r>
      <w:r w:rsidR="00542901" w:rsidRPr="00542901">
        <w:rPr>
          <w:rFonts w:hint="cs"/>
          <w:rtl/>
          <w:lang w:bidi="he-IL"/>
        </w:rPr>
        <w:t xml:space="preserve"> לעיון חברי הוועדה</w:t>
      </w:r>
      <w:r w:rsidR="002C5C8B">
        <w:rPr>
          <w:rFonts w:hint="cs"/>
          <w:rtl/>
          <w:lang w:bidi="he-IL"/>
        </w:rPr>
        <w:t>: בשני מקרים היו אלה</w:t>
      </w:r>
      <w:r w:rsidR="00542901" w:rsidRPr="00542901">
        <w:rPr>
          <w:rFonts w:hint="cs"/>
          <w:rtl/>
          <w:lang w:bidi="he-IL"/>
        </w:rPr>
        <w:t xml:space="preserve"> </w:t>
      </w:r>
      <w:r w:rsidR="009B291B" w:rsidRPr="00542901">
        <w:rPr>
          <w:rFonts w:hint="cs"/>
          <w:rtl/>
          <w:lang w:bidi="he-IL"/>
        </w:rPr>
        <w:t xml:space="preserve">תמונות </w:t>
      </w:r>
      <w:r w:rsidR="00542901" w:rsidRPr="00542901">
        <w:rPr>
          <w:rFonts w:hint="cs"/>
          <w:rtl/>
          <w:lang w:bidi="he-IL"/>
        </w:rPr>
        <w:t>ה</w:t>
      </w:r>
      <w:r w:rsidR="009B291B" w:rsidRPr="00542901">
        <w:rPr>
          <w:rFonts w:hint="cs"/>
          <w:rtl/>
          <w:lang w:bidi="he-IL"/>
        </w:rPr>
        <w:t>רלוונטיות ל</w:t>
      </w:r>
      <w:r w:rsidR="00542901" w:rsidRPr="00542901">
        <w:rPr>
          <w:rFonts w:hint="cs"/>
          <w:rtl/>
          <w:lang w:bidi="he-IL"/>
        </w:rPr>
        <w:t xml:space="preserve">תוכן אותה </w:t>
      </w:r>
      <w:r w:rsidR="002C5C8B">
        <w:rPr>
          <w:rFonts w:hint="cs"/>
          <w:rtl/>
          <w:lang w:bidi="he-IL"/>
        </w:rPr>
        <w:t>עדות,</w:t>
      </w:r>
      <w:r w:rsidR="009B291B" w:rsidRPr="00542901">
        <w:rPr>
          <w:rStyle w:val="FootnoteReference"/>
          <w:rtl/>
          <w:lang w:bidi="he-IL"/>
        </w:rPr>
        <w:footnoteReference w:id="12"/>
      </w:r>
      <w:r w:rsidR="002C5C8B">
        <w:rPr>
          <w:rFonts w:hint="cs"/>
          <w:rtl/>
          <w:lang w:bidi="he-IL"/>
        </w:rPr>
        <w:t xml:space="preserve"> ובמקרה שלישי היה זה</w:t>
      </w:r>
      <w:r w:rsidR="009B291B" w:rsidRPr="00542901">
        <w:rPr>
          <w:rFonts w:hint="cs"/>
          <w:rtl/>
          <w:lang w:bidi="he-IL"/>
        </w:rPr>
        <w:t xml:space="preserve"> </w:t>
      </w:r>
      <w:r w:rsidR="002C5C8B" w:rsidRPr="002C5C8B">
        <w:rPr>
          <w:lang w:bidi="he-IL"/>
        </w:rPr>
        <w:t>a document</w:t>
      </w:r>
      <w:r w:rsidR="002C5C8B">
        <w:rPr>
          <w:lang w:bidi="he-IL"/>
        </w:rPr>
        <w:t xml:space="preserve"> </w:t>
      </w:r>
      <w:r w:rsidR="002C5C8B" w:rsidRPr="002C5C8B">
        <w:rPr>
          <w:lang w:bidi="he-IL"/>
        </w:rPr>
        <w:t>that</w:t>
      </w:r>
      <w:r w:rsidR="002C5C8B">
        <w:rPr>
          <w:lang w:bidi="he-IL"/>
        </w:rPr>
        <w:t xml:space="preserve"> improve that</w:t>
      </w:r>
      <w:r w:rsidR="00E406B9">
        <w:rPr>
          <w:lang w:bidi="he-IL"/>
        </w:rPr>
        <w:t xml:space="preserve"> the</w:t>
      </w:r>
      <w:r w:rsidR="002C5C8B">
        <w:rPr>
          <w:lang w:bidi="he-IL"/>
        </w:rPr>
        <w:t xml:space="preserve"> </w:t>
      </w:r>
      <w:r w:rsidR="00E406B9">
        <w:rPr>
          <w:lang w:bidi="he-IL"/>
        </w:rPr>
        <w:t>witness testify</w:t>
      </w:r>
      <w:r w:rsidR="002C5C8B">
        <w:rPr>
          <w:lang w:bidi="he-IL"/>
        </w:rPr>
        <w:t xml:space="preserve"> </w:t>
      </w:r>
      <w:r w:rsidR="002C5C8B" w:rsidRPr="002C5C8B">
        <w:rPr>
          <w:lang w:bidi="he-IL"/>
        </w:rPr>
        <w:t>in the</w:t>
      </w:r>
      <w:r w:rsidR="00965348">
        <w:rPr>
          <w:lang w:bidi="he-IL"/>
        </w:rPr>
        <w:t xml:space="preserve"> first</w:t>
      </w:r>
      <w:r w:rsidR="00E406B9">
        <w:rPr>
          <w:lang w:bidi="he-IL"/>
        </w:rPr>
        <w:t xml:space="preserve"> </w:t>
      </w:r>
      <w:proofErr w:type="spellStart"/>
      <w:r w:rsidR="00E406B9">
        <w:rPr>
          <w:lang w:bidi="he-IL"/>
        </w:rPr>
        <w:t>Belsen</w:t>
      </w:r>
      <w:proofErr w:type="spellEnd"/>
      <w:r w:rsidR="00E406B9">
        <w:rPr>
          <w:lang w:bidi="he-IL"/>
        </w:rPr>
        <w:t xml:space="preserve"> </w:t>
      </w:r>
      <w:r w:rsidR="002C5C8B" w:rsidRPr="002C5C8B">
        <w:rPr>
          <w:lang w:bidi="he-IL"/>
        </w:rPr>
        <w:t>trial in</w:t>
      </w:r>
      <w:r w:rsidR="00E406B9" w:rsidRPr="00E406B9">
        <w:rPr>
          <w:lang w:bidi="he-IL"/>
        </w:rPr>
        <w:t xml:space="preserve"> </w:t>
      </w:r>
      <w:proofErr w:type="spellStart"/>
      <w:r w:rsidR="00E406B9" w:rsidRPr="00E406B9">
        <w:rPr>
          <w:lang w:bidi="he-IL"/>
        </w:rPr>
        <w:t>Lüneburg</w:t>
      </w:r>
      <w:proofErr w:type="spellEnd"/>
      <w:r w:rsidR="00965348">
        <w:rPr>
          <w:lang w:bidi="he-IL"/>
        </w:rPr>
        <w:t>, 1945,</w:t>
      </w:r>
      <w:r w:rsidR="002C5C8B" w:rsidRPr="002C5C8B">
        <w:rPr>
          <w:lang w:bidi="he-IL"/>
        </w:rPr>
        <w:t xml:space="preserve"> against </w:t>
      </w:r>
      <w:r w:rsidR="00E406B9">
        <w:rPr>
          <w:lang w:bidi="he-IL"/>
        </w:rPr>
        <w:t xml:space="preserve">Josef </w:t>
      </w:r>
      <w:r w:rsidR="002C5C8B" w:rsidRPr="002C5C8B">
        <w:rPr>
          <w:lang w:bidi="he-IL"/>
        </w:rPr>
        <w:t>Kramer,</w:t>
      </w:r>
      <w:r w:rsidR="00E406B9">
        <w:rPr>
          <w:lang w:bidi="he-IL"/>
        </w:rPr>
        <w:t xml:space="preserve"> Franz </w:t>
      </w:r>
      <w:proofErr w:type="spellStart"/>
      <w:r w:rsidR="00E406B9">
        <w:rPr>
          <w:lang w:bidi="he-IL"/>
        </w:rPr>
        <w:t>Hössler</w:t>
      </w:r>
      <w:proofErr w:type="spellEnd"/>
      <w:r w:rsidR="00E406B9">
        <w:rPr>
          <w:lang w:bidi="he-IL"/>
        </w:rPr>
        <w:t>, Dr. Fritz Klein</w:t>
      </w:r>
      <w:r w:rsidR="002C5C8B" w:rsidRPr="002C5C8B">
        <w:rPr>
          <w:lang w:bidi="he-IL"/>
        </w:rPr>
        <w:t xml:space="preserve"> and Irma </w:t>
      </w:r>
      <w:proofErr w:type="spellStart"/>
      <w:r w:rsidR="002C5C8B" w:rsidRPr="002C5C8B">
        <w:rPr>
          <w:lang w:bidi="he-IL"/>
        </w:rPr>
        <w:t>Grese</w:t>
      </w:r>
      <w:proofErr w:type="spellEnd"/>
      <w:r w:rsidR="00E406B9">
        <w:rPr>
          <w:lang w:bidi="he-IL"/>
        </w:rPr>
        <w:t>.</w:t>
      </w:r>
      <w:r w:rsidR="00E406B9">
        <w:rPr>
          <w:rStyle w:val="FootnoteReference"/>
          <w:lang w:bidi="he-IL"/>
        </w:rPr>
        <w:footnoteReference w:id="13"/>
      </w:r>
    </w:p>
    <w:p w:rsidR="00542901" w:rsidRDefault="00542901" w:rsidP="00542901">
      <w:pPr>
        <w:tabs>
          <w:tab w:val="left" w:pos="800"/>
        </w:tabs>
        <w:overflowPunct w:val="0"/>
        <w:autoSpaceDE w:val="0"/>
        <w:autoSpaceDN w:val="0"/>
        <w:adjustRightInd w:val="0"/>
        <w:textAlignment w:val="baseline"/>
        <w:rPr>
          <w:rtl/>
          <w:lang w:bidi="he-IL"/>
        </w:rPr>
      </w:pPr>
    </w:p>
    <w:p w:rsidR="00382E26" w:rsidRDefault="00F255C9" w:rsidP="007F4E39">
      <w:pPr>
        <w:tabs>
          <w:tab w:val="left" w:pos="800"/>
        </w:tabs>
        <w:overflowPunct w:val="0"/>
        <w:autoSpaceDE w:val="0"/>
        <w:autoSpaceDN w:val="0"/>
        <w:adjustRightInd w:val="0"/>
        <w:textAlignment w:val="baseline"/>
        <w:rPr>
          <w:rtl/>
          <w:lang w:bidi="he-IL"/>
        </w:rPr>
      </w:pPr>
      <w:r>
        <w:rPr>
          <w:rtl/>
          <w:lang w:bidi="he-IL"/>
        </w:rPr>
        <w:tab/>
      </w:r>
      <w:r w:rsidR="00E444DD">
        <w:rPr>
          <w:rFonts w:hint="cs"/>
          <w:rtl/>
          <w:lang w:bidi="he-IL"/>
        </w:rPr>
        <w:t xml:space="preserve">בתום שמיעת עדויותיהם של הניצולים, הוזמנו אל דוכן העדים שני עדים נוספים: העד הראשון היה </w:t>
      </w:r>
      <w:r w:rsidR="00642C0B">
        <w:rPr>
          <w:lang w:bidi="he-IL"/>
        </w:rPr>
        <w:t xml:space="preserve">Professor </w:t>
      </w:r>
      <w:proofErr w:type="spellStart"/>
      <w:r w:rsidR="00642C0B" w:rsidRPr="00642C0B">
        <w:rPr>
          <w:lang w:bidi="he-IL"/>
        </w:rPr>
        <w:t>Shamai</w:t>
      </w:r>
      <w:proofErr w:type="spellEnd"/>
      <w:r w:rsidR="00642C0B" w:rsidRPr="00642C0B">
        <w:rPr>
          <w:lang w:bidi="he-IL"/>
        </w:rPr>
        <w:t xml:space="preserve"> Davidson</w:t>
      </w:r>
      <w:r w:rsidR="00642C0B">
        <w:rPr>
          <w:lang w:bidi="he-IL"/>
        </w:rPr>
        <w:t xml:space="preserve">, the </w:t>
      </w:r>
      <w:r w:rsidR="00642C0B" w:rsidRPr="00642C0B">
        <w:rPr>
          <w:lang w:bidi="he-IL"/>
        </w:rPr>
        <w:t xml:space="preserve">Medical Director of </w:t>
      </w:r>
      <w:r w:rsidR="00642C0B">
        <w:rPr>
          <w:lang w:bidi="he-IL"/>
        </w:rPr>
        <w:t>"</w:t>
      </w:r>
      <w:proofErr w:type="spellStart"/>
      <w:r w:rsidR="00642C0B" w:rsidRPr="00642C0B">
        <w:rPr>
          <w:lang w:bidi="he-IL"/>
        </w:rPr>
        <w:t>Shalvata</w:t>
      </w:r>
      <w:proofErr w:type="spellEnd"/>
      <w:r w:rsidR="00642C0B" w:rsidRPr="00642C0B">
        <w:rPr>
          <w:lang w:bidi="he-IL"/>
        </w:rPr>
        <w:t xml:space="preserve"> Mental Health Center</w:t>
      </w:r>
      <w:r w:rsidR="00642C0B">
        <w:rPr>
          <w:lang w:bidi="he-IL"/>
        </w:rPr>
        <w:t>"</w:t>
      </w:r>
      <w:r w:rsidR="005B1E48">
        <w:rPr>
          <w:lang w:bidi="he-IL"/>
        </w:rPr>
        <w:t xml:space="preserve">, who served also </w:t>
      </w:r>
      <w:r w:rsidR="00642C0B" w:rsidRPr="00642C0B">
        <w:rPr>
          <w:lang w:bidi="he-IL"/>
        </w:rPr>
        <w:t>as</w:t>
      </w:r>
      <w:r w:rsidR="005B1E48">
        <w:rPr>
          <w:lang w:bidi="he-IL"/>
        </w:rPr>
        <w:t xml:space="preserve"> the</w:t>
      </w:r>
      <w:r w:rsidR="00642C0B" w:rsidRPr="00642C0B">
        <w:rPr>
          <w:lang w:bidi="he-IL"/>
        </w:rPr>
        <w:t xml:space="preserve"> Head of the Elie Wiesel Chair for the Study of the Psycho-Social Trauma of the Holocaust</w:t>
      </w:r>
      <w:r w:rsidR="00642C0B">
        <w:rPr>
          <w:lang w:bidi="he-IL"/>
        </w:rPr>
        <w:t xml:space="preserve"> at Bar </w:t>
      </w:r>
      <w:proofErr w:type="spellStart"/>
      <w:r w:rsidR="00642C0B">
        <w:rPr>
          <w:lang w:bidi="he-IL"/>
        </w:rPr>
        <w:t>Ilan</w:t>
      </w:r>
      <w:proofErr w:type="spellEnd"/>
      <w:r w:rsidR="00642C0B">
        <w:rPr>
          <w:lang w:bidi="he-IL"/>
        </w:rPr>
        <w:t xml:space="preserve"> University.</w:t>
      </w:r>
      <w:r w:rsidR="00642C0B">
        <w:rPr>
          <w:rFonts w:hint="cs"/>
          <w:rtl/>
          <w:lang w:bidi="he-IL"/>
        </w:rPr>
        <w:t xml:space="preserve"> כמומחה בעל שם עולמי בתחום </w:t>
      </w:r>
      <w:r w:rsidR="006F1F94">
        <w:rPr>
          <w:rFonts w:hint="cs"/>
          <w:rtl/>
          <w:lang w:bidi="he-IL"/>
        </w:rPr>
        <w:t>הפסיכיאטריה של ניצולי השואה,</w:t>
      </w:r>
      <w:r w:rsidR="005B1E48">
        <w:rPr>
          <w:rStyle w:val="FootnoteReference"/>
          <w:rtl/>
          <w:lang w:bidi="he-IL"/>
        </w:rPr>
        <w:footnoteReference w:id="14"/>
      </w:r>
      <w:r w:rsidR="006F1F94">
        <w:rPr>
          <w:rFonts w:hint="cs"/>
          <w:rtl/>
          <w:lang w:bidi="he-IL"/>
        </w:rPr>
        <w:t xml:space="preserve"> דו</w:t>
      </w:r>
      <w:r w:rsidR="00642C0B">
        <w:rPr>
          <w:rFonts w:hint="cs"/>
          <w:rtl/>
          <w:lang w:bidi="he-IL"/>
        </w:rPr>
        <w:t>י</w:t>
      </w:r>
      <w:r w:rsidR="006F1F94">
        <w:rPr>
          <w:rFonts w:hint="cs"/>
          <w:rtl/>
          <w:lang w:bidi="he-IL"/>
        </w:rPr>
        <w:t xml:space="preserve">דסון הוזמן לשאת דברים על ההיבטים הרגשיים הנלמדים מעדויות של ילדים ניצולי שואה ששרדו את מחנות ההשמדה, ובפרט כאלו שהיו תאומים ועברו את הטראומה </w:t>
      </w:r>
      <w:r>
        <w:rPr>
          <w:rFonts w:hint="cs"/>
          <w:rtl/>
          <w:lang w:bidi="he-IL"/>
        </w:rPr>
        <w:t>של המחנה לצד אח או אחות</w:t>
      </w:r>
      <w:r w:rsidR="006F1F94">
        <w:rPr>
          <w:rFonts w:hint="cs"/>
          <w:rtl/>
          <w:lang w:bidi="he-IL"/>
        </w:rPr>
        <w:t xml:space="preserve">. </w:t>
      </w:r>
      <w:r>
        <w:rPr>
          <w:rFonts w:hint="cs"/>
          <w:rtl/>
          <w:lang w:bidi="he-IL"/>
        </w:rPr>
        <w:t xml:space="preserve">זהותו של העד השני אינה ידועה לי, אך מתוכן דבריו ניכר כי הוזמן להעיד על בסיס </w:t>
      </w:r>
      <w:proofErr w:type="spellStart"/>
      <w:r>
        <w:rPr>
          <w:rFonts w:hint="cs"/>
          <w:rtl/>
          <w:lang w:bidi="he-IL"/>
        </w:rPr>
        <w:t>נסיונו</w:t>
      </w:r>
      <w:proofErr w:type="spellEnd"/>
      <w:r>
        <w:rPr>
          <w:rFonts w:hint="cs"/>
          <w:rtl/>
          <w:lang w:bidi="he-IL"/>
        </w:rPr>
        <w:t xml:space="preserve"> המשפטי וידיעותיו בתחום הסגרת פושעי מלחמה נאצים, ובפרט אלו מהם ש</w:t>
      </w:r>
      <w:r w:rsidR="007F4E39">
        <w:rPr>
          <w:rFonts w:hint="cs"/>
          <w:rtl/>
          <w:lang w:bidi="he-IL"/>
        </w:rPr>
        <w:t xml:space="preserve">ביצעו </w:t>
      </w:r>
      <w:r>
        <w:rPr>
          <w:rFonts w:hint="cs"/>
          <w:rtl/>
          <w:lang w:bidi="he-IL"/>
        </w:rPr>
        <w:t>פשעים בדמות ניסויים בבני אדם במחנות.</w:t>
      </w:r>
      <w:r w:rsidR="00FE7F81">
        <w:rPr>
          <w:rFonts w:hint="cs"/>
          <w:rtl/>
          <w:lang w:bidi="he-IL"/>
        </w:rPr>
        <w:t xml:space="preserve"> שני העדים הללו </w:t>
      </w:r>
      <w:r w:rsidR="00382E26">
        <w:rPr>
          <w:rFonts w:hint="cs"/>
          <w:rtl/>
          <w:lang w:bidi="he-IL"/>
        </w:rPr>
        <w:t xml:space="preserve">שימשו מעין "עדים מומחים", מסוג אלו המוזמנים להעיד במשפט על רקע </w:t>
      </w:r>
      <w:proofErr w:type="spellStart"/>
      <w:r w:rsidR="00382E26">
        <w:rPr>
          <w:rFonts w:hint="cs"/>
          <w:rtl/>
          <w:lang w:bidi="he-IL"/>
        </w:rPr>
        <w:t>נסיונם</w:t>
      </w:r>
      <w:proofErr w:type="spellEnd"/>
      <w:r w:rsidR="00382E26">
        <w:rPr>
          <w:rFonts w:hint="cs"/>
          <w:rtl/>
          <w:lang w:bidi="he-IL"/>
        </w:rPr>
        <w:t xml:space="preserve"> ומומחיותם בתחום הנדון בו. </w:t>
      </w:r>
    </w:p>
    <w:p w:rsidR="00382E26" w:rsidRDefault="00382E26" w:rsidP="00382E26">
      <w:pPr>
        <w:tabs>
          <w:tab w:val="left" w:pos="800"/>
        </w:tabs>
        <w:overflowPunct w:val="0"/>
        <w:autoSpaceDE w:val="0"/>
        <w:autoSpaceDN w:val="0"/>
        <w:adjustRightInd w:val="0"/>
        <w:textAlignment w:val="baseline"/>
        <w:rPr>
          <w:rtl/>
          <w:lang w:bidi="he-IL"/>
        </w:rPr>
      </w:pPr>
    </w:p>
    <w:p w:rsidR="00C74298" w:rsidRDefault="00597E98" w:rsidP="005B1E48">
      <w:pPr>
        <w:tabs>
          <w:tab w:val="left" w:pos="800"/>
        </w:tabs>
        <w:overflowPunct w:val="0"/>
        <w:autoSpaceDE w:val="0"/>
        <w:autoSpaceDN w:val="0"/>
        <w:adjustRightInd w:val="0"/>
        <w:textAlignment w:val="baseline"/>
        <w:rPr>
          <w:rtl/>
          <w:lang w:bidi="he-IL"/>
        </w:rPr>
      </w:pPr>
      <w:r>
        <w:rPr>
          <w:rtl/>
          <w:lang w:bidi="he-IL"/>
        </w:rPr>
        <w:tab/>
      </w:r>
      <w:r w:rsidR="00987D53">
        <w:rPr>
          <w:rFonts w:hint="cs"/>
          <w:rtl/>
          <w:lang w:bidi="he-IL"/>
        </w:rPr>
        <w:t xml:space="preserve">נופך של משפט פלילי הוקנה להליך גם באמצעות נאומי הפתיחה והסיכום במשפט. אלא שבניגוד למשפט פלילי רגיל, שבו נאומים אלו נשמעים על ידי התובע והסניגור, מזה ומזה, ומטרתם להציג את השאלות העומדות להכרעה ואת עיקר הראיות התומכות באשמתו או בחפותו של הנאשם </w:t>
      </w:r>
      <w:r w:rsidR="00987D53">
        <w:rPr>
          <w:rtl/>
          <w:lang w:bidi="he-IL"/>
        </w:rPr>
        <w:t>–</w:t>
      </w:r>
      <w:r w:rsidR="00987D53">
        <w:rPr>
          <w:rFonts w:hint="cs"/>
          <w:rtl/>
          <w:lang w:bidi="he-IL"/>
        </w:rPr>
        <w:t xml:space="preserve"> בהליך זה נשמעו דברי פתיחה וסיכום, באופן יוצא דופן, </w:t>
      </w:r>
      <w:r w:rsidR="00C74298">
        <w:rPr>
          <w:rFonts w:hint="cs"/>
          <w:rtl/>
          <w:lang w:bidi="he-IL"/>
        </w:rPr>
        <w:t xml:space="preserve">לא רק על ידי טרלו בכובעו כתובע, אלא </w:t>
      </w:r>
      <w:r w:rsidR="00987D53">
        <w:rPr>
          <w:rFonts w:hint="cs"/>
          <w:rtl/>
          <w:lang w:bidi="he-IL"/>
        </w:rPr>
        <w:t xml:space="preserve">גם על ידי חבר השופטים. נאום הפתיחה הראשון נישא על ידי </w:t>
      </w:r>
      <w:proofErr w:type="spellStart"/>
      <w:r w:rsidR="00987D53">
        <w:rPr>
          <w:rFonts w:hint="cs"/>
          <w:rtl/>
          <w:lang w:bidi="he-IL"/>
        </w:rPr>
        <w:t>האוזנר</w:t>
      </w:r>
      <w:proofErr w:type="spellEnd"/>
      <w:r w:rsidR="00987D53">
        <w:rPr>
          <w:rFonts w:hint="cs"/>
          <w:rtl/>
          <w:lang w:bidi="he-IL"/>
        </w:rPr>
        <w:t xml:space="preserve">, יושב ראש הוועדה. </w:t>
      </w:r>
      <w:r w:rsidR="00DA56F5">
        <w:rPr>
          <w:rFonts w:hint="cs"/>
          <w:rtl/>
          <w:lang w:bidi="he-IL"/>
        </w:rPr>
        <w:t>בנאומו תיאר כי מנגלה היה ונותר הבולט מבין סמלי אושוויץ, וכי במעשיו הביא להתפוררות גופם ונפשם של קרבנותיו. וכך אמר, בין היתר: "</w:t>
      </w:r>
      <w:r w:rsidR="00DA56F5" w:rsidRPr="00DA56F5">
        <w:rPr>
          <w:rtl/>
          <w:lang w:bidi="he-IL"/>
        </w:rPr>
        <w:t xml:space="preserve">לאושוויץ ממלכת המוות וארץ הייסורים הגיע מנגלה בהתנדבות, והשתלב היטב במלאכת ההשמדה והניסויים. אישיותו של מנגלה מגלמת את האכזריות הנוראה, היונקת מן הגזענות הנאצית, פרי המיסטיקה של הגזע הארי העליון. קסם לו התפקיד של חורץ דין לכל חי. הוא היה עורך סלקציות ומחליט בניד הבוהן שמאלה או ימינה. מי ילך למחנה ויחיה זמנית ומי ילך מיד לתאי הגזים </w:t>
      </w:r>
      <w:r w:rsidR="00DA56F5" w:rsidRPr="00DA56F5">
        <w:rPr>
          <w:rFonts w:hint="cs"/>
          <w:rtl/>
          <w:lang w:bidi="he-IL"/>
        </w:rPr>
        <w:t>ולקרמטוריום</w:t>
      </w:r>
      <w:r w:rsidR="00DA56F5" w:rsidRPr="00DA56F5">
        <w:rPr>
          <w:rtl/>
          <w:lang w:bidi="he-IL"/>
        </w:rPr>
        <w:t>. הוא היה המעביר צאנו תחת שבטו</w:t>
      </w:r>
      <w:r w:rsidR="00DA56F5">
        <w:rPr>
          <w:rFonts w:hint="cs"/>
          <w:rtl/>
          <w:lang w:bidi="he-IL"/>
        </w:rPr>
        <w:t xml:space="preserve">". </w:t>
      </w:r>
      <w:proofErr w:type="spellStart"/>
      <w:r w:rsidR="00DA56F5">
        <w:rPr>
          <w:rFonts w:hint="cs"/>
          <w:rtl/>
          <w:lang w:bidi="he-IL"/>
        </w:rPr>
        <w:t>האוזנר</w:t>
      </w:r>
      <w:proofErr w:type="spellEnd"/>
      <w:r w:rsidR="00DA56F5">
        <w:rPr>
          <w:rFonts w:hint="cs"/>
          <w:rtl/>
          <w:lang w:bidi="he-IL"/>
        </w:rPr>
        <w:t xml:space="preserve"> </w:t>
      </w:r>
      <w:r w:rsidR="005B1E48">
        <w:rPr>
          <w:rFonts w:hint="cs"/>
          <w:rtl/>
          <w:lang w:bidi="he-IL"/>
        </w:rPr>
        <w:t>של משפט מנגלה, הי</w:t>
      </w:r>
      <w:r>
        <w:rPr>
          <w:rFonts w:hint="cs"/>
          <w:rtl/>
          <w:lang w:bidi="he-IL"/>
        </w:rPr>
        <w:t xml:space="preserve">ה </w:t>
      </w:r>
      <w:r w:rsidR="00DA56F5">
        <w:rPr>
          <w:rFonts w:hint="cs"/>
          <w:rtl/>
          <w:lang w:bidi="he-IL"/>
        </w:rPr>
        <w:t xml:space="preserve">אמנם </w:t>
      </w:r>
      <w:r>
        <w:rPr>
          <w:rFonts w:hint="cs"/>
          <w:rtl/>
          <w:lang w:bidi="he-IL"/>
        </w:rPr>
        <w:t>שונה מאוד מ</w:t>
      </w:r>
      <w:r w:rsidR="00FA5F98">
        <w:rPr>
          <w:rFonts w:hint="cs"/>
          <w:rtl/>
          <w:lang w:bidi="he-IL"/>
        </w:rPr>
        <w:t xml:space="preserve">דמותו </w:t>
      </w:r>
      <w:r>
        <w:rPr>
          <w:rFonts w:hint="cs"/>
          <w:rtl/>
          <w:lang w:bidi="he-IL"/>
        </w:rPr>
        <w:t>של אותו תובע נמרץ וכריזמטי</w:t>
      </w:r>
      <w:r w:rsidR="00DA56F5">
        <w:rPr>
          <w:rFonts w:hint="cs"/>
          <w:rtl/>
          <w:lang w:bidi="he-IL"/>
        </w:rPr>
        <w:t xml:space="preserve"> שהיה בעת ניהולו של משפט אייכמן</w:t>
      </w:r>
      <w:r>
        <w:rPr>
          <w:rFonts w:hint="cs"/>
          <w:rtl/>
          <w:lang w:bidi="he-IL"/>
        </w:rPr>
        <w:t xml:space="preserve">. </w:t>
      </w:r>
      <w:r w:rsidR="00DA56F5">
        <w:rPr>
          <w:rFonts w:hint="cs"/>
          <w:rtl/>
          <w:lang w:bidi="he-IL"/>
        </w:rPr>
        <w:t xml:space="preserve">סימני גילו ניכרו בו. אולם, למשמע דבריו, המנוסחים לעילא ולעילא, ומשובצים </w:t>
      </w:r>
      <w:r w:rsidR="00DA56F5">
        <w:rPr>
          <w:rFonts w:hint="cs"/>
          <w:rtl/>
          <w:lang w:bidi="he-IL"/>
        </w:rPr>
        <w:lastRenderedPageBreak/>
        <w:t>דימויים בהירים הקמים לתחיה לנגד עיני המאזינים לו, קשה היה שלא להיזכר בנאום הפתיחה המפורסם שנשא 24 שנים קודם לכן, בפתח פרשת התביעה במשפט אייכמן.</w:t>
      </w:r>
      <w:r w:rsidR="00DA56F5">
        <w:rPr>
          <w:rStyle w:val="FootnoteReference"/>
          <w:rtl/>
          <w:lang w:bidi="he-IL"/>
        </w:rPr>
        <w:footnoteReference w:id="15"/>
      </w:r>
      <w:r w:rsidR="00DA56F5">
        <w:rPr>
          <w:rFonts w:hint="cs"/>
          <w:rtl/>
          <w:lang w:bidi="he-IL"/>
        </w:rPr>
        <w:t xml:space="preserve"> </w:t>
      </w:r>
    </w:p>
    <w:p w:rsidR="00C74298" w:rsidRDefault="00C74298" w:rsidP="002C2614">
      <w:pPr>
        <w:tabs>
          <w:tab w:val="left" w:pos="800"/>
        </w:tabs>
        <w:overflowPunct w:val="0"/>
        <w:autoSpaceDE w:val="0"/>
        <w:autoSpaceDN w:val="0"/>
        <w:adjustRightInd w:val="0"/>
        <w:textAlignment w:val="baseline"/>
        <w:rPr>
          <w:rtl/>
          <w:lang w:bidi="he-IL"/>
        </w:rPr>
      </w:pPr>
    </w:p>
    <w:p w:rsidR="00B61B1E" w:rsidRDefault="008F3AA9" w:rsidP="004B3F32">
      <w:pPr>
        <w:tabs>
          <w:tab w:val="left" w:pos="800"/>
        </w:tabs>
        <w:overflowPunct w:val="0"/>
        <w:autoSpaceDE w:val="0"/>
        <w:autoSpaceDN w:val="0"/>
        <w:adjustRightInd w:val="0"/>
        <w:textAlignment w:val="baseline"/>
        <w:rPr>
          <w:rtl/>
          <w:lang w:bidi="he-IL"/>
        </w:rPr>
      </w:pPr>
      <w:r>
        <w:rPr>
          <w:rtl/>
          <w:lang w:bidi="he-IL"/>
        </w:rPr>
        <w:tab/>
      </w:r>
      <w:r w:rsidR="00C74298">
        <w:rPr>
          <w:rFonts w:hint="cs"/>
          <w:rtl/>
          <w:lang w:bidi="he-IL"/>
        </w:rPr>
        <w:t xml:space="preserve">בתום שמיעת העדויות, נשמעו גם נאומי סיכום על ידי יתר חברי הוועדה. </w:t>
      </w:r>
      <w:r w:rsidR="00B61B1E">
        <w:rPr>
          <w:rFonts w:hint="cs"/>
          <w:rtl/>
          <w:lang w:bidi="he-IL"/>
        </w:rPr>
        <w:t xml:space="preserve">בנאומיהם, שכונו "הצהרות", התמקד כל אחד מחברי הוועדה בהיבט אחר של העדויות והממצאים שעלו מהם, בהתאם לתחום מומחיותו. פרופ' </w:t>
      </w:r>
      <w:proofErr w:type="spellStart"/>
      <w:r w:rsidR="00B61B1E">
        <w:rPr>
          <w:rFonts w:hint="cs"/>
          <w:rtl/>
          <w:lang w:bidi="he-IL"/>
        </w:rPr>
        <w:t>מוטולסקי</w:t>
      </w:r>
      <w:proofErr w:type="spellEnd"/>
      <w:r w:rsidR="007C04B8">
        <w:rPr>
          <w:rFonts w:hint="cs"/>
          <w:rtl/>
          <w:lang w:bidi="he-IL"/>
        </w:rPr>
        <w:t xml:space="preserve">, בכובעו </w:t>
      </w:r>
      <w:proofErr w:type="spellStart"/>
      <w:r w:rsidR="007C04B8">
        <w:rPr>
          <w:rFonts w:hint="cs"/>
          <w:rtl/>
          <w:lang w:bidi="he-IL"/>
        </w:rPr>
        <w:t>כגנטיקאי</w:t>
      </w:r>
      <w:proofErr w:type="spellEnd"/>
      <w:r w:rsidR="007C04B8">
        <w:rPr>
          <w:rFonts w:hint="cs"/>
          <w:rtl/>
          <w:lang w:bidi="he-IL"/>
        </w:rPr>
        <w:t xml:space="preserve"> וכמדען, </w:t>
      </w:r>
      <w:r w:rsidR="00B61B1E">
        <w:rPr>
          <w:rFonts w:hint="cs"/>
          <w:rtl/>
          <w:lang w:bidi="he-IL"/>
        </w:rPr>
        <w:t xml:space="preserve">התייחס להיבטים המדעיים </w:t>
      </w:r>
      <w:proofErr w:type="spellStart"/>
      <w:r w:rsidR="00B61B1E">
        <w:rPr>
          <w:rFonts w:hint="cs"/>
          <w:rtl/>
          <w:lang w:bidi="he-IL"/>
        </w:rPr>
        <w:t>והפסאודו</w:t>
      </w:r>
      <w:proofErr w:type="spellEnd"/>
      <w:r w:rsidR="00B61B1E">
        <w:rPr>
          <w:rFonts w:hint="cs"/>
          <w:rtl/>
          <w:lang w:bidi="he-IL"/>
        </w:rPr>
        <w:t xml:space="preserve">-מדעיים של הניסויים שביצע מנגלה באושוויץ, וביקש ללמוד מכך על הסכנה הטמונה בשימוש בבני אדם כאובייקטים במחקר מדעי. </w:t>
      </w:r>
      <w:proofErr w:type="spellStart"/>
      <w:r w:rsidR="00B61B1E">
        <w:rPr>
          <w:rFonts w:hint="cs"/>
          <w:rtl/>
          <w:lang w:bidi="he-IL"/>
        </w:rPr>
        <w:t>ויזנטל</w:t>
      </w:r>
      <w:proofErr w:type="spellEnd"/>
      <w:r w:rsidR="007C04B8">
        <w:rPr>
          <w:rFonts w:hint="cs"/>
          <w:rtl/>
          <w:lang w:bidi="he-IL"/>
        </w:rPr>
        <w:t xml:space="preserve">, הידוע </w:t>
      </w:r>
      <w:r w:rsidR="004B3F32">
        <w:rPr>
          <w:rFonts w:hint="cs"/>
          <w:rtl/>
          <w:lang w:bidi="he-IL"/>
        </w:rPr>
        <w:t xml:space="preserve">כ"צייד </w:t>
      </w:r>
      <w:r w:rsidR="007C04B8">
        <w:rPr>
          <w:rFonts w:hint="cs"/>
          <w:rtl/>
          <w:lang w:bidi="he-IL"/>
        </w:rPr>
        <w:t xml:space="preserve">נאצים", </w:t>
      </w:r>
      <w:r w:rsidR="00B61B1E">
        <w:rPr>
          <w:rFonts w:hint="cs"/>
          <w:rtl/>
          <w:lang w:bidi="he-IL"/>
        </w:rPr>
        <w:t xml:space="preserve">ביקש להצביע על פושעים נאצים נוספים שעודם מסתובבים חופשי, ולעורר מודעות לסבלם של הצוענים שעונו והושמדו גם הם באושוויץ, וקולם לא נשמע. פרופ' </w:t>
      </w:r>
      <w:proofErr w:type="spellStart"/>
      <w:r w:rsidR="00B61B1E">
        <w:rPr>
          <w:rFonts w:hint="cs"/>
          <w:rtl/>
          <w:lang w:bidi="he-IL"/>
        </w:rPr>
        <w:t>באואר</w:t>
      </w:r>
      <w:proofErr w:type="spellEnd"/>
      <w:r w:rsidR="007C04B8">
        <w:rPr>
          <w:rFonts w:hint="cs"/>
          <w:rtl/>
          <w:lang w:bidi="he-IL"/>
        </w:rPr>
        <w:t xml:space="preserve"> חבש את כובע ההיסטוריון,</w:t>
      </w:r>
      <w:r w:rsidR="00B61B1E">
        <w:rPr>
          <w:rFonts w:hint="cs"/>
          <w:rtl/>
          <w:lang w:bidi="he-IL"/>
        </w:rPr>
        <w:t xml:space="preserve"> </w:t>
      </w:r>
      <w:r w:rsidR="007C04B8">
        <w:rPr>
          <w:rFonts w:hint="cs"/>
          <w:rtl/>
          <w:lang w:bidi="he-IL"/>
        </w:rPr>
        <w:t>ו</w:t>
      </w:r>
      <w:r w:rsidR="00B61B1E">
        <w:rPr>
          <w:rFonts w:hint="cs"/>
          <w:rtl/>
          <w:lang w:bidi="he-IL"/>
        </w:rPr>
        <w:t>עמד על כך שעדויותיהם של העדים הניצולים</w:t>
      </w:r>
      <w:r w:rsidR="004B3F32">
        <w:rPr>
          <w:rFonts w:hint="cs"/>
          <w:rtl/>
          <w:lang w:bidi="he-IL"/>
        </w:rPr>
        <w:t xml:space="preserve"> מאששות ומשלימות את הידוע במחקר ההיסטורי.</w:t>
      </w:r>
      <w:r w:rsidR="00B61B1E">
        <w:rPr>
          <w:rFonts w:hint="cs"/>
          <w:rtl/>
          <w:lang w:bidi="he-IL"/>
        </w:rPr>
        <w:t xml:space="preserve"> </w:t>
      </w:r>
      <w:r w:rsidR="004B3F32">
        <w:rPr>
          <w:rFonts w:hint="cs"/>
          <w:rtl/>
          <w:lang w:bidi="he-IL"/>
        </w:rPr>
        <w:t>כך</w:t>
      </w:r>
      <w:r w:rsidR="00B61B1E">
        <w:rPr>
          <w:rFonts w:hint="cs"/>
          <w:rtl/>
          <w:lang w:bidi="he-IL"/>
        </w:rPr>
        <w:t xml:space="preserve"> למשל</w:t>
      </w:r>
      <w:r w:rsidR="004B3F32">
        <w:rPr>
          <w:rFonts w:hint="cs"/>
          <w:rtl/>
          <w:lang w:bidi="he-IL"/>
        </w:rPr>
        <w:t>, הוא הצביע על כך שניתן להסיק מהעדויות ש</w:t>
      </w:r>
      <w:r w:rsidR="00B61B1E">
        <w:rPr>
          <w:rFonts w:hint="cs"/>
          <w:rtl/>
          <w:lang w:bidi="he-IL"/>
        </w:rPr>
        <w:t xml:space="preserve">היו אנשי </w:t>
      </w:r>
      <w:proofErr w:type="spellStart"/>
      <w:r w:rsidR="00B61B1E">
        <w:rPr>
          <w:rFonts w:hint="cs"/>
          <w:rtl/>
          <w:lang w:bidi="he-IL"/>
        </w:rPr>
        <w:t>וורמאכט</w:t>
      </w:r>
      <w:proofErr w:type="spellEnd"/>
      <w:r w:rsidR="00B61B1E">
        <w:rPr>
          <w:rFonts w:hint="cs"/>
          <w:rtl/>
          <w:lang w:bidi="he-IL"/>
        </w:rPr>
        <w:t xml:space="preserve"> באושוויץ, </w:t>
      </w:r>
      <w:r w:rsidR="004B3F32">
        <w:rPr>
          <w:rFonts w:hint="cs"/>
          <w:rtl/>
          <w:lang w:bidi="he-IL"/>
        </w:rPr>
        <w:t>ש</w:t>
      </w:r>
      <w:r w:rsidR="00B61B1E">
        <w:rPr>
          <w:rFonts w:hint="cs"/>
          <w:rtl/>
          <w:lang w:bidi="he-IL"/>
        </w:rPr>
        <w:t>אנשי הזונדרקומנדו</w:t>
      </w:r>
      <w:r w:rsidR="004B3F32">
        <w:rPr>
          <w:rFonts w:hint="cs"/>
          <w:rtl/>
          <w:lang w:bidi="he-IL"/>
        </w:rPr>
        <w:t xml:space="preserve"> באושוויץ הועסקו גם בעבודות כפי</w:t>
      </w:r>
      <w:r w:rsidR="00B61B1E">
        <w:rPr>
          <w:rFonts w:hint="cs"/>
          <w:rtl/>
          <w:lang w:bidi="he-IL"/>
        </w:rPr>
        <w:t xml:space="preserve">ה על הרמפה במחנה (ולא רק בתאי הגזים), </w:t>
      </w:r>
      <w:r w:rsidR="004B3F32">
        <w:rPr>
          <w:rFonts w:hint="cs"/>
          <w:rtl/>
          <w:lang w:bidi="he-IL"/>
        </w:rPr>
        <w:t>וש</w:t>
      </w:r>
      <w:r w:rsidR="00B61B1E">
        <w:rPr>
          <w:rtl/>
          <w:lang w:bidi="he-IL"/>
        </w:rPr>
        <w:t>מנגלה הגיע לאושוויץ</w:t>
      </w:r>
      <w:r w:rsidR="00B61B1E">
        <w:rPr>
          <w:rFonts w:hint="cs"/>
          <w:rtl/>
          <w:lang w:bidi="he-IL"/>
        </w:rPr>
        <w:t xml:space="preserve"> לפני אביב 1943. עוד הדגיש </w:t>
      </w:r>
      <w:proofErr w:type="spellStart"/>
      <w:r w:rsidR="00B61B1E">
        <w:rPr>
          <w:rFonts w:hint="cs"/>
          <w:rtl/>
          <w:lang w:bidi="he-IL"/>
        </w:rPr>
        <w:t>באואר</w:t>
      </w:r>
      <w:proofErr w:type="spellEnd"/>
      <w:r w:rsidR="00B61B1E">
        <w:rPr>
          <w:rFonts w:hint="cs"/>
          <w:rtl/>
          <w:lang w:bidi="he-IL"/>
        </w:rPr>
        <w:t xml:space="preserve"> </w:t>
      </w:r>
      <w:r w:rsidR="007C04B8">
        <w:rPr>
          <w:rFonts w:hint="cs"/>
          <w:rtl/>
          <w:lang w:bidi="he-IL"/>
        </w:rPr>
        <w:t>"</w:t>
      </w:r>
      <w:r w:rsidR="007C04B8">
        <w:rPr>
          <w:rtl/>
          <w:lang w:bidi="he-IL"/>
        </w:rPr>
        <w:t>כמורה באוניברסיטה בעולם המערבי</w:t>
      </w:r>
      <w:r w:rsidR="007C04B8">
        <w:rPr>
          <w:rFonts w:hint="cs"/>
          <w:rtl/>
          <w:lang w:bidi="he-IL"/>
        </w:rPr>
        <w:t xml:space="preserve">", </w:t>
      </w:r>
      <w:r w:rsidR="00B61B1E">
        <w:rPr>
          <w:rFonts w:hint="cs"/>
          <w:rtl/>
          <w:lang w:bidi="he-IL"/>
        </w:rPr>
        <w:t xml:space="preserve">כי מנגלה היה חלק ממכונת השמדה, שלקחה בה חלק </w:t>
      </w:r>
      <w:r w:rsidR="007C04B8">
        <w:rPr>
          <w:rFonts w:hint="cs"/>
          <w:rtl/>
          <w:lang w:bidi="he-IL"/>
        </w:rPr>
        <w:t xml:space="preserve">משמעותי שכבה של אנשים משכילים, וכי דבר זה אמור לשמש תמרור אזהרה. פרופ' טיילור, משפטן בעל שם-בינלאומי בתחום פשעי הנאצים, העריך </w:t>
      </w:r>
      <w:r w:rsidR="004B3F32">
        <w:rPr>
          <w:rFonts w:hint="cs"/>
          <w:rtl/>
          <w:lang w:bidi="he-IL"/>
        </w:rPr>
        <w:t xml:space="preserve">מצדו </w:t>
      </w:r>
      <w:r w:rsidR="007C04B8">
        <w:rPr>
          <w:rFonts w:hint="cs"/>
          <w:rtl/>
          <w:lang w:bidi="he-IL"/>
        </w:rPr>
        <w:t xml:space="preserve">כי העדויות על השתתפותו של מנגלה בניסויים הרפואיים ובסלקציות, מבססות </w:t>
      </w:r>
      <w:proofErr w:type="spellStart"/>
      <w:r w:rsidR="007C04B8">
        <w:rPr>
          <w:rtl/>
          <w:lang w:bidi="he-IL"/>
        </w:rPr>
        <w:t>אישומים</w:t>
      </w:r>
      <w:proofErr w:type="spellEnd"/>
      <w:r w:rsidR="007C04B8">
        <w:rPr>
          <w:rtl/>
          <w:lang w:bidi="he-IL"/>
        </w:rPr>
        <w:t xml:space="preserve"> חמורים מאוד</w:t>
      </w:r>
      <w:r w:rsidR="007C04B8">
        <w:rPr>
          <w:rFonts w:hint="cs"/>
          <w:rtl/>
          <w:lang w:bidi="he-IL"/>
        </w:rPr>
        <w:t xml:space="preserve"> נגדו</w:t>
      </w:r>
      <w:r w:rsidR="007C04B8">
        <w:rPr>
          <w:rtl/>
          <w:lang w:bidi="he-IL"/>
        </w:rPr>
        <w:t xml:space="preserve">, </w:t>
      </w:r>
      <w:r w:rsidR="007C04B8">
        <w:rPr>
          <w:rFonts w:hint="cs"/>
          <w:rtl/>
          <w:lang w:bidi="he-IL"/>
        </w:rPr>
        <w:t xml:space="preserve">ומצדיקות את העמדתו לדין בפני טריבונל מתאים. </w:t>
      </w:r>
    </w:p>
    <w:p w:rsidR="00875E20" w:rsidRDefault="00875E20" w:rsidP="007C04B8">
      <w:pPr>
        <w:tabs>
          <w:tab w:val="left" w:pos="800"/>
        </w:tabs>
        <w:overflowPunct w:val="0"/>
        <w:autoSpaceDE w:val="0"/>
        <w:autoSpaceDN w:val="0"/>
        <w:adjustRightInd w:val="0"/>
        <w:textAlignment w:val="baseline"/>
        <w:rPr>
          <w:rtl/>
          <w:lang w:bidi="he-IL"/>
        </w:rPr>
      </w:pPr>
    </w:p>
    <w:p w:rsidR="00B61B1E" w:rsidRDefault="001902C9" w:rsidP="00D25539">
      <w:pPr>
        <w:tabs>
          <w:tab w:val="left" w:pos="800"/>
        </w:tabs>
        <w:overflowPunct w:val="0"/>
        <w:autoSpaceDE w:val="0"/>
        <w:autoSpaceDN w:val="0"/>
        <w:adjustRightInd w:val="0"/>
        <w:textAlignment w:val="baseline"/>
        <w:rPr>
          <w:rtl/>
          <w:lang w:bidi="he-IL"/>
        </w:rPr>
      </w:pPr>
      <w:r>
        <w:rPr>
          <w:rtl/>
          <w:lang w:bidi="he-IL"/>
        </w:rPr>
        <w:tab/>
      </w:r>
      <w:r>
        <w:rPr>
          <w:rFonts w:hint="cs"/>
          <w:rtl/>
          <w:lang w:bidi="he-IL"/>
        </w:rPr>
        <w:t xml:space="preserve">נאום סיכום נשמע גם מפיו של התובע במשפט. בנאומו הבהיר טרלו כי בנוסף לעדויות שנשמעו, בידי הוועדה מצוי חומר ראיות רב בכתב, וכי החומר כולו מועבר למכון המחקר ביד ושם. טרלו התנצל בשם הוועדה בפני עדים נוספים שהיו מוכנים להעיד אך מפאת קוצר הזמן התבקשו למסור רק עדות בכתב, והוסיף וקרא </w:t>
      </w:r>
      <w:r w:rsidR="004B3F32">
        <w:rPr>
          <w:rFonts w:hint="cs"/>
          <w:rtl/>
          <w:lang w:bidi="he-IL"/>
        </w:rPr>
        <w:t>לנ</w:t>
      </w:r>
      <w:r>
        <w:rPr>
          <w:rFonts w:hint="cs"/>
          <w:rtl/>
          <w:lang w:bidi="he-IL"/>
        </w:rPr>
        <w:t>יצולים נוספים ל</w:t>
      </w:r>
      <w:r w:rsidR="00240BD0">
        <w:rPr>
          <w:rFonts w:hint="cs"/>
          <w:rtl/>
          <w:lang w:bidi="he-IL"/>
        </w:rPr>
        <w:t>פנות ליד ושם "</w:t>
      </w:r>
      <w:r w:rsidR="00B61B1E">
        <w:rPr>
          <w:rFonts w:hint="cs"/>
          <w:rtl/>
          <w:lang w:bidi="he-IL"/>
        </w:rPr>
        <w:t>על מנת שעדויותיהם י</w:t>
      </w:r>
      <w:r w:rsidR="004B3F32">
        <w:rPr>
          <w:rFonts w:hint="cs"/>
          <w:rtl/>
          <w:lang w:bidi="he-IL"/>
        </w:rPr>
        <w:t>י</w:t>
      </w:r>
      <w:r w:rsidR="00B61B1E">
        <w:rPr>
          <w:rFonts w:hint="cs"/>
          <w:rtl/>
          <w:lang w:bidi="he-IL"/>
        </w:rPr>
        <w:t>שמרו ליום פקודה כאשר המאמצים ללכידתו של מנגלה י</w:t>
      </w:r>
      <w:r w:rsidR="00240BD0">
        <w:rPr>
          <w:rFonts w:hint="cs"/>
          <w:rtl/>
          <w:lang w:bidi="he-IL"/>
        </w:rPr>
        <w:t>י</w:t>
      </w:r>
      <w:r w:rsidR="00B61B1E">
        <w:rPr>
          <w:rFonts w:hint="cs"/>
          <w:rtl/>
          <w:lang w:bidi="he-IL"/>
        </w:rPr>
        <w:t>שאו פרי</w:t>
      </w:r>
      <w:r w:rsidR="00240BD0">
        <w:rPr>
          <w:rFonts w:hint="cs"/>
          <w:rtl/>
          <w:lang w:bidi="he-IL"/>
        </w:rPr>
        <w:t>"</w:t>
      </w:r>
      <w:r w:rsidR="00B61B1E">
        <w:rPr>
          <w:rFonts w:hint="cs"/>
          <w:rtl/>
          <w:lang w:bidi="he-IL"/>
        </w:rPr>
        <w:t>.</w:t>
      </w:r>
      <w:r w:rsidR="00672022">
        <w:rPr>
          <w:rFonts w:hint="cs"/>
          <w:rtl/>
          <w:lang w:bidi="he-IL"/>
        </w:rPr>
        <w:t xml:space="preserve"> מספר פעמים בנאומו עשה טרלו שימוש בביטוי "פלנטת אושוויץ", הלקוח מעדותו המפורסמת של יחיאל די-נור במשפט אייכמן.</w:t>
      </w:r>
      <w:r w:rsidR="00672022">
        <w:rPr>
          <w:rStyle w:val="FootnoteReference"/>
          <w:rtl/>
          <w:lang w:bidi="he-IL"/>
        </w:rPr>
        <w:footnoteReference w:id="16"/>
      </w:r>
      <w:r w:rsidR="00672022">
        <w:rPr>
          <w:rFonts w:hint="cs"/>
          <w:rtl/>
          <w:lang w:bidi="he-IL"/>
        </w:rPr>
        <w:t xml:space="preserve"> נדמה כי באמצעות השימוש החוזר בביטוי זה ביקש טרלו, במודע או שלא במודע, לשחזר את גודל המעמד. </w:t>
      </w:r>
      <w:r w:rsidR="003374E4">
        <w:rPr>
          <w:rFonts w:hint="cs"/>
          <w:rtl/>
          <w:lang w:bidi="he-IL"/>
        </w:rPr>
        <w:t>אזכור סמלי נוסף בדברי הס</w:t>
      </w:r>
      <w:r w:rsidR="007F3204">
        <w:rPr>
          <w:rFonts w:hint="cs"/>
          <w:rtl/>
          <w:lang w:bidi="he-IL"/>
        </w:rPr>
        <w:t>י</w:t>
      </w:r>
      <w:r w:rsidR="003374E4">
        <w:rPr>
          <w:rFonts w:hint="cs"/>
          <w:rtl/>
          <w:lang w:bidi="he-IL"/>
        </w:rPr>
        <w:t>כום של טרלו התייחס לציטוט מתוך ספר הקינות של אורי צבי גרינבר</w:t>
      </w:r>
      <w:r w:rsidR="00AA7AD6">
        <w:rPr>
          <w:rFonts w:hint="cs"/>
          <w:rtl/>
          <w:lang w:bidi="he-IL"/>
        </w:rPr>
        <w:t>ג "רחובות הנהר", שהפך לאחד מהסמלים המוכרים של השמדת יהדות אירופה בשואה.</w:t>
      </w:r>
      <w:r w:rsidR="003374E4">
        <w:rPr>
          <w:rStyle w:val="FootnoteReference"/>
          <w:rtl/>
          <w:lang w:bidi="he-IL"/>
        </w:rPr>
        <w:footnoteReference w:id="17"/>
      </w:r>
      <w:r w:rsidR="003374E4">
        <w:rPr>
          <w:rFonts w:hint="cs"/>
          <w:rtl/>
          <w:lang w:bidi="he-IL"/>
        </w:rPr>
        <w:t xml:space="preserve"> </w:t>
      </w:r>
      <w:r w:rsidR="00AA7AD6">
        <w:rPr>
          <w:rFonts w:hint="cs"/>
          <w:rtl/>
          <w:lang w:bidi="he-IL"/>
        </w:rPr>
        <w:t>על רקע האנטישמיות וביטוייה, כפי שבאו לידי שיא ברצח היהודים באושוויץ, ביקש טרלו להעביר מסר חד משמעי: "</w:t>
      </w:r>
      <w:r w:rsidR="00B61B1E">
        <w:rPr>
          <w:rFonts w:hint="cs"/>
          <w:rtl/>
          <w:lang w:bidi="he-IL"/>
        </w:rPr>
        <w:t>ה</w:t>
      </w:r>
      <w:r w:rsidR="00AA7AD6">
        <w:rPr>
          <w:rFonts w:hint="cs"/>
          <w:rtl/>
          <w:lang w:bidi="he-IL"/>
        </w:rPr>
        <w:t>שנאה ת</w:t>
      </w:r>
      <w:r w:rsidR="00B61B1E">
        <w:rPr>
          <w:rFonts w:hint="cs"/>
          <w:rtl/>
          <w:lang w:bidi="he-IL"/>
        </w:rPr>
        <w:t xml:space="preserve">וסיף להרעיל את המין האנושי כל עוד יש אוזלת יד בהבאה לדין של מנגלה. יש חובה </w:t>
      </w:r>
      <w:r w:rsidR="00AA7AD6">
        <w:rPr>
          <w:rFonts w:hint="cs"/>
          <w:rtl/>
          <w:lang w:bidi="he-IL"/>
        </w:rPr>
        <w:t xml:space="preserve">על כן </w:t>
      </w:r>
      <w:r w:rsidR="00B61B1E">
        <w:rPr>
          <w:rFonts w:hint="cs"/>
          <w:rtl/>
          <w:lang w:bidi="he-IL"/>
        </w:rPr>
        <w:t>להביא למעצרם ולהענשתם של המרצחים ויוזף מנגלה בראשם. לבל יעז מישהו במקום כלשהו לעשות כמעשיה</w:t>
      </w:r>
      <w:r w:rsidR="00AA7AD6">
        <w:rPr>
          <w:rFonts w:hint="cs"/>
          <w:rtl/>
          <w:lang w:bidi="he-IL"/>
        </w:rPr>
        <w:t xml:space="preserve">ם לבני העם היהודי או לכל עם אחר". כהמשך ישיר לכך, </w:t>
      </w:r>
      <w:r w:rsidR="00AA7AD6">
        <w:rPr>
          <w:rFonts w:hint="cs"/>
          <w:rtl/>
          <w:lang w:bidi="he-IL"/>
        </w:rPr>
        <w:lastRenderedPageBreak/>
        <w:t>חתם טרלו את דבריו ב"בקשה אישית" שהפנה לאפיפיור, בשמו ובשם קרובי משפחתו שנרצחו בשואה:  "</w:t>
      </w:r>
      <w:r w:rsidR="00B61B1E">
        <w:rPr>
          <w:rFonts w:hint="cs"/>
          <w:rtl/>
          <w:lang w:bidi="he-IL"/>
        </w:rPr>
        <w:t xml:space="preserve">לעצור את הפושע הנאצי יוזף מנגלה ולהביאו לדין על הפשעים הנוראיים שביצע על אדמת פולין במחנה אושוויץ בין התאריכים  21.5.1943 ועד </w:t>
      </w:r>
      <w:r w:rsidR="00AA7AD6">
        <w:rPr>
          <w:rFonts w:hint="cs"/>
          <w:rtl/>
          <w:lang w:bidi="he-IL"/>
        </w:rPr>
        <w:t xml:space="preserve">31.12.1944, בהתאם לדין הבינלאומי". </w:t>
      </w:r>
    </w:p>
    <w:p w:rsidR="00B61B1E" w:rsidRDefault="00B61B1E" w:rsidP="00B61B1E">
      <w:pPr>
        <w:rPr>
          <w:rtl/>
          <w:lang w:bidi="he-IL"/>
        </w:rPr>
      </w:pPr>
    </w:p>
    <w:p w:rsidR="00B61B1E" w:rsidRDefault="00C70CD2" w:rsidP="007F4E39">
      <w:pPr>
        <w:tabs>
          <w:tab w:val="left" w:pos="800"/>
        </w:tabs>
        <w:overflowPunct w:val="0"/>
        <w:autoSpaceDE w:val="0"/>
        <w:autoSpaceDN w:val="0"/>
        <w:adjustRightInd w:val="0"/>
        <w:textAlignment w:val="baseline"/>
        <w:rPr>
          <w:rtl/>
          <w:lang w:bidi="he-IL"/>
        </w:rPr>
      </w:pPr>
      <w:r>
        <w:rPr>
          <w:rtl/>
          <w:lang w:bidi="he-IL"/>
        </w:rPr>
        <w:tab/>
      </w:r>
      <w:r>
        <w:rPr>
          <w:rFonts w:hint="cs"/>
          <w:rtl/>
          <w:lang w:bidi="he-IL"/>
        </w:rPr>
        <w:t xml:space="preserve">ולבסוף, </w:t>
      </w:r>
      <w:r w:rsidR="007F3F6E">
        <w:rPr>
          <w:rFonts w:hint="cs"/>
          <w:rtl/>
          <w:lang w:bidi="he-IL"/>
        </w:rPr>
        <w:t xml:space="preserve">"גולת הכותרת" של המשפט </w:t>
      </w:r>
      <w:proofErr w:type="spellStart"/>
      <w:r w:rsidR="007F3F6E">
        <w:rPr>
          <w:rFonts w:hint="cs"/>
          <w:rtl/>
          <w:lang w:bidi="he-IL"/>
        </w:rPr>
        <w:t>היתה</w:t>
      </w:r>
      <w:proofErr w:type="spellEnd"/>
      <w:r w:rsidR="007F3F6E">
        <w:rPr>
          <w:rFonts w:hint="cs"/>
          <w:rtl/>
          <w:lang w:bidi="he-IL"/>
        </w:rPr>
        <w:t xml:space="preserve"> החלטת הוועדה שחתמה אותו, והוקראה </w:t>
      </w:r>
      <w:r>
        <w:rPr>
          <w:rFonts w:hint="cs"/>
          <w:rtl/>
          <w:lang w:bidi="he-IL"/>
        </w:rPr>
        <w:t xml:space="preserve">בחגיגיות בעברית ובאנגלית. אף שהמשפטנים מבין חברי הוועדה הדגישו במספר הזדמנויות לאורך ההליך, כי  </w:t>
      </w:r>
      <w:r>
        <w:rPr>
          <w:lang w:bidi="he-IL"/>
        </w:rPr>
        <w:t>"</w:t>
      </w:r>
      <w:r w:rsidRPr="00C70CD2">
        <w:rPr>
          <w:lang w:bidi="he-IL"/>
        </w:rPr>
        <w:t>we have no power to declare whethe</w:t>
      </w:r>
      <w:r w:rsidR="007F4E39">
        <w:rPr>
          <w:lang w:bidi="he-IL"/>
        </w:rPr>
        <w:t>r the person is guilty or</w:t>
      </w:r>
      <w:r w:rsidR="007F4E39" w:rsidRPr="007F4E39">
        <w:t xml:space="preserve"> </w:t>
      </w:r>
      <w:r w:rsidR="007F4E39">
        <w:rPr>
          <w:lang w:bidi="he-IL"/>
        </w:rPr>
        <w:t>i</w:t>
      </w:r>
      <w:r w:rsidR="007F4E39" w:rsidRPr="007F4E39">
        <w:rPr>
          <w:lang w:bidi="he-IL"/>
        </w:rPr>
        <w:t>nnocent</w:t>
      </w:r>
      <w:r w:rsidR="007F4E39">
        <w:rPr>
          <w:lang w:bidi="he-IL"/>
        </w:rPr>
        <w:t xml:space="preserve">, </w:t>
      </w:r>
      <w:r>
        <w:rPr>
          <w:lang w:bidi="he-IL"/>
        </w:rPr>
        <w:t>neither to punish him"</w:t>
      </w:r>
      <w:r>
        <w:rPr>
          <w:rFonts w:hint="cs"/>
          <w:rtl/>
          <w:lang w:bidi="he-IL"/>
        </w:rPr>
        <w:t xml:space="preserve"> לפחות במובנים מסוימים דמתה ההחלטה להכרעת דין הניתנת בתום הליך פלילי.</w:t>
      </w:r>
      <w:r w:rsidR="00A3539C">
        <w:rPr>
          <w:rFonts w:hint="cs"/>
          <w:rtl/>
          <w:lang w:bidi="he-IL"/>
        </w:rPr>
        <w:t xml:space="preserve"> בליבה של ההחלטה עמדה ההצהרה כי הוצגה תשתית ראייתית מספקת לצורך העמדתו לדין של מנגלה וכי מעשיו עולים כדי </w:t>
      </w:r>
      <w:r w:rsidR="00D25539">
        <w:rPr>
          <w:rFonts w:hint="cs"/>
          <w:rtl/>
          <w:lang w:bidi="he-IL"/>
        </w:rPr>
        <w:t xml:space="preserve">ביצוע עבירות של </w:t>
      </w:r>
      <w:r w:rsidR="00A3539C">
        <w:rPr>
          <w:rtl/>
          <w:lang w:bidi="he-IL"/>
        </w:rPr>
        <w:t>פשעי מלחמה</w:t>
      </w:r>
      <w:r w:rsidR="00A3539C">
        <w:rPr>
          <w:rFonts w:hint="cs"/>
          <w:rtl/>
          <w:lang w:bidi="he-IL"/>
        </w:rPr>
        <w:t xml:space="preserve">, </w:t>
      </w:r>
      <w:r w:rsidR="000A0AE8" w:rsidRPr="000A0AE8">
        <w:rPr>
          <w:rtl/>
          <w:lang w:bidi="he-IL"/>
        </w:rPr>
        <w:t xml:space="preserve">פשעים נגד האנושות </w:t>
      </w:r>
      <w:r w:rsidR="00A3539C">
        <w:rPr>
          <w:rFonts w:hint="cs"/>
          <w:rtl/>
          <w:lang w:bidi="he-IL"/>
        </w:rPr>
        <w:t>ו</w:t>
      </w:r>
      <w:r w:rsidR="00A3539C">
        <w:rPr>
          <w:rtl/>
          <w:lang w:bidi="he-IL"/>
        </w:rPr>
        <w:t>פשעים נגד העם היהודי</w:t>
      </w:r>
      <w:r w:rsidR="00A3539C">
        <w:rPr>
          <w:rFonts w:hint="cs"/>
          <w:rtl/>
          <w:lang w:bidi="he-IL"/>
        </w:rPr>
        <w:t xml:space="preserve">. </w:t>
      </w:r>
      <w:r w:rsidR="000A0AE8" w:rsidRPr="000A0AE8">
        <w:rPr>
          <w:rtl/>
          <w:lang w:bidi="he-IL"/>
        </w:rPr>
        <w:t xml:space="preserve">בין </w:t>
      </w:r>
      <w:r w:rsidR="00D25539">
        <w:rPr>
          <w:rFonts w:hint="cs"/>
          <w:rtl/>
          <w:lang w:bidi="he-IL"/>
        </w:rPr>
        <w:t>אלו</w:t>
      </w:r>
      <w:r w:rsidR="00A3539C">
        <w:rPr>
          <w:rFonts w:hint="cs"/>
          <w:rtl/>
          <w:lang w:bidi="he-IL"/>
        </w:rPr>
        <w:t>, הוזכרו</w:t>
      </w:r>
      <w:r w:rsidR="000A0AE8" w:rsidRPr="000A0AE8">
        <w:rPr>
          <w:rtl/>
          <w:lang w:bidi="he-IL"/>
        </w:rPr>
        <w:t xml:space="preserve"> מעשי ר</w:t>
      </w:r>
      <w:r w:rsidR="00A3539C">
        <w:rPr>
          <w:rtl/>
          <w:lang w:bidi="he-IL"/>
        </w:rPr>
        <w:t>צח, גרימת חבלות גופניות חמורות</w:t>
      </w:r>
      <w:r w:rsidR="00A3539C">
        <w:rPr>
          <w:rFonts w:hint="cs"/>
          <w:rtl/>
          <w:lang w:bidi="he-IL"/>
        </w:rPr>
        <w:t xml:space="preserve"> ו</w:t>
      </w:r>
      <w:r w:rsidR="000A0AE8" w:rsidRPr="000A0AE8">
        <w:rPr>
          <w:rtl/>
          <w:lang w:bidi="he-IL"/>
        </w:rPr>
        <w:t>התעללות בגופם ובנפשם של בני אדם</w:t>
      </w:r>
      <w:r w:rsidR="00A3539C">
        <w:rPr>
          <w:rFonts w:hint="cs"/>
          <w:rtl/>
          <w:lang w:bidi="he-IL"/>
        </w:rPr>
        <w:t>, בכללם קטינים</w:t>
      </w:r>
      <w:r w:rsidR="000A0AE8" w:rsidRPr="000A0AE8">
        <w:rPr>
          <w:rtl/>
          <w:lang w:bidi="he-IL"/>
        </w:rPr>
        <w:t>. עיקרם של מעשי הרצח נעשו</w:t>
      </w:r>
      <w:r w:rsidR="00A3539C">
        <w:rPr>
          <w:rFonts w:hint="cs"/>
          <w:rtl/>
          <w:lang w:bidi="he-IL"/>
        </w:rPr>
        <w:t>, כך נקבע,</w:t>
      </w:r>
      <w:r w:rsidR="000A0AE8" w:rsidRPr="000A0AE8">
        <w:rPr>
          <w:rtl/>
          <w:lang w:bidi="he-IL"/>
        </w:rPr>
        <w:t xml:space="preserve"> בדרך של סלקציות, </w:t>
      </w:r>
      <w:r w:rsidR="00A3539C">
        <w:rPr>
          <w:rFonts w:hint="cs"/>
          <w:rtl/>
          <w:lang w:bidi="he-IL"/>
        </w:rPr>
        <w:t>שבמהלכן נשלחו הקורבנות</w:t>
      </w:r>
      <w:r w:rsidR="00A3539C">
        <w:rPr>
          <w:rtl/>
          <w:lang w:bidi="he-IL"/>
        </w:rPr>
        <w:t xml:space="preserve"> לתאי הגזים, וחלק</w:t>
      </w:r>
      <w:r w:rsidR="00A3539C">
        <w:rPr>
          <w:rFonts w:hint="cs"/>
          <w:rtl/>
          <w:lang w:bidi="he-IL"/>
        </w:rPr>
        <w:t xml:space="preserve">ם בוצעו </w:t>
      </w:r>
      <w:r w:rsidR="000A0AE8" w:rsidRPr="000A0AE8">
        <w:rPr>
          <w:rtl/>
          <w:lang w:bidi="he-IL"/>
        </w:rPr>
        <w:t>בדרך של רצח</w:t>
      </w:r>
      <w:r w:rsidR="00A3539C">
        <w:rPr>
          <w:rFonts w:hint="cs"/>
          <w:rtl/>
          <w:lang w:bidi="he-IL"/>
        </w:rPr>
        <w:t xml:space="preserve"> שביצע מנגלה</w:t>
      </w:r>
      <w:r w:rsidR="000A0AE8" w:rsidRPr="000A0AE8">
        <w:rPr>
          <w:rtl/>
          <w:lang w:bidi="he-IL"/>
        </w:rPr>
        <w:t xml:space="preserve"> </w:t>
      </w:r>
      <w:r w:rsidR="00A3539C">
        <w:rPr>
          <w:rFonts w:hint="cs"/>
          <w:rtl/>
          <w:lang w:bidi="he-IL"/>
        </w:rPr>
        <w:t>במו ידיו. עוד נקבע באו</w:t>
      </w:r>
      <w:r w:rsidR="00433B44">
        <w:rPr>
          <w:rFonts w:hint="cs"/>
          <w:rtl/>
          <w:lang w:bidi="he-IL"/>
        </w:rPr>
        <w:t xml:space="preserve">תה החלטה, על סמך הראיות שנשמעו, </w:t>
      </w:r>
      <w:r w:rsidR="00A3539C">
        <w:rPr>
          <w:rFonts w:hint="cs"/>
          <w:rtl/>
          <w:lang w:bidi="he-IL"/>
        </w:rPr>
        <w:t>כי "</w:t>
      </w:r>
      <w:r w:rsidR="000A0AE8" w:rsidRPr="000A0AE8">
        <w:rPr>
          <w:rtl/>
          <w:lang w:bidi="he-IL"/>
        </w:rPr>
        <w:t>החבלות הגופניות החמורות ומעשי ההתעללות בגופם ובנפשם של הקרבנות נעשו בידי מנגלה במסווה של ניסויים מדעיים</w:t>
      </w:r>
      <w:r w:rsidR="00A3539C">
        <w:rPr>
          <w:rFonts w:hint="cs"/>
          <w:rtl/>
          <w:lang w:bidi="he-IL"/>
        </w:rPr>
        <w:t>,</w:t>
      </w:r>
      <w:r w:rsidR="000A0AE8" w:rsidRPr="000A0AE8">
        <w:rPr>
          <w:rtl/>
          <w:lang w:bidi="he-IL"/>
        </w:rPr>
        <w:t xml:space="preserve"> בעוד שלאמיתו של דבר לא היה להם ערך מדעי. הניסויים שעשה מנגלה תוך שימוש באמצעי כפיה כלפי אסירים חסרי אונים היוו חלק ממערכת מסואבת של חקירות </w:t>
      </w:r>
      <w:proofErr w:type="spellStart"/>
      <w:r w:rsidR="000A0AE8" w:rsidRPr="000A0AE8">
        <w:rPr>
          <w:rtl/>
          <w:lang w:bidi="he-IL"/>
        </w:rPr>
        <w:t>פסאודו</w:t>
      </w:r>
      <w:proofErr w:type="spellEnd"/>
      <w:r w:rsidR="000A0AE8" w:rsidRPr="000A0AE8">
        <w:rPr>
          <w:rtl/>
          <w:lang w:bidi="he-IL"/>
        </w:rPr>
        <w:t xml:space="preserve"> מדעיות על ידי רופאים נאצים שהפרו את שבועת היפוקרטס, עסקו בדבקות פנאטית במימוש המיסטיקה של עליונות הגזע ובקידום מטרות הנובעות מן התורות הגזעיות של הרייך השלישי. במרכזן של אלה עמדה השמדת העם היהודי ובצידה גם חיסול גזעים ובני גזעים אחרים שהנאצים בחרו אותם כנחותים. מנגלה הוסיף על פשעיו גם מעשים של אכזריות פרימיטיבית, סדיסטית, תוך</w:t>
      </w:r>
      <w:r w:rsidR="00A3539C">
        <w:rPr>
          <w:rtl/>
          <w:lang w:bidi="he-IL"/>
        </w:rPr>
        <w:t xml:space="preserve"> חילול גופם וכבודם של קורבנותיו</w:t>
      </w:r>
      <w:r w:rsidR="00A3539C">
        <w:rPr>
          <w:rFonts w:hint="cs"/>
          <w:rtl/>
          <w:lang w:bidi="he-IL"/>
        </w:rPr>
        <w:t xml:space="preserve">". ההחלטה הוסיפה וקבעה, כי למרות הפשעים החמורים שביצע, לדאבון הלב </w:t>
      </w:r>
      <w:r w:rsidR="000A0AE8" w:rsidRPr="000A0AE8">
        <w:rPr>
          <w:rtl/>
          <w:lang w:bidi="he-IL"/>
        </w:rPr>
        <w:t xml:space="preserve">מנגלה מוסיף להלך חופשי. </w:t>
      </w:r>
      <w:r w:rsidR="00A3539C">
        <w:rPr>
          <w:rFonts w:hint="cs"/>
          <w:rtl/>
          <w:lang w:bidi="he-IL"/>
        </w:rPr>
        <w:t>לפיכך קראה הוועדה בהחלטתה "</w:t>
      </w:r>
      <w:r w:rsidR="000A0AE8" w:rsidRPr="000A0AE8">
        <w:rPr>
          <w:rtl/>
          <w:lang w:bidi="he-IL"/>
        </w:rPr>
        <w:t>לכל הממשלות, לכל ראשי הדתות והאמונות, לכל הארגונים הבינלאומיים המדיניים התרבותיים והחברתיים, ולכל אדם אשר קד</w:t>
      </w:r>
      <w:r w:rsidR="00A3539C">
        <w:rPr>
          <w:rtl/>
          <w:lang w:bidi="he-IL"/>
        </w:rPr>
        <w:t>ושת החיים והגנת החירות יקרים לו</w:t>
      </w:r>
      <w:r w:rsidR="00A3539C">
        <w:rPr>
          <w:rFonts w:hint="cs"/>
          <w:rtl/>
          <w:lang w:bidi="he-IL"/>
        </w:rPr>
        <w:t xml:space="preserve">, </w:t>
      </w:r>
      <w:proofErr w:type="spellStart"/>
      <w:r w:rsidR="000A0AE8" w:rsidRPr="000A0AE8">
        <w:rPr>
          <w:rtl/>
          <w:lang w:bidi="he-IL"/>
        </w:rPr>
        <w:t>ליתן</w:t>
      </w:r>
      <w:proofErr w:type="spellEnd"/>
      <w:r w:rsidR="000A0AE8" w:rsidRPr="000A0AE8">
        <w:rPr>
          <w:rtl/>
          <w:lang w:bidi="he-IL"/>
        </w:rPr>
        <w:t xml:space="preserve"> יד ללכידתו של יוזף מנגלה ולהעמדתו לדין במדינה המוכנה לשפוט אותו על פי חוקיה ולאור עקרונות הדין הבינלאומי. כך ייעשה גם לפושעים נאצים אחרים אשר טרם </w:t>
      </w:r>
      <w:r w:rsidR="009F4C67">
        <w:rPr>
          <w:rtl/>
          <w:lang w:bidi="he-IL"/>
        </w:rPr>
        <w:t xml:space="preserve">הועמדו לדין וטרם באו על עונשם. </w:t>
      </w:r>
      <w:r w:rsidR="000A0AE8" w:rsidRPr="000A0AE8">
        <w:rPr>
          <w:rtl/>
          <w:lang w:bidi="he-IL"/>
        </w:rPr>
        <w:t>עוד קוראת הוועדה לבני כל העמים לזכור ולהזכיר את האסון שהמיט הנאציזם על אירופה ועל העם היהודי בפרט, בכדי שלא ייכון לעולם בשום מקום בעולם משטר אשר יעשה את</w:t>
      </w:r>
      <w:r w:rsidR="009F4C67">
        <w:rPr>
          <w:rtl/>
          <w:lang w:bidi="he-IL"/>
        </w:rPr>
        <w:t xml:space="preserve"> הדברים הנוראים שנעשו לבני עמנו</w:t>
      </w:r>
      <w:r w:rsidR="009F4C67">
        <w:rPr>
          <w:rFonts w:hint="cs"/>
          <w:rtl/>
          <w:lang w:bidi="he-IL"/>
        </w:rPr>
        <w:t>".</w:t>
      </w:r>
      <w:r w:rsidR="009F4C67" w:rsidRPr="00BD5C2F">
        <w:rPr>
          <w:rStyle w:val="FootnoteReference"/>
          <w:highlight w:val="yellow"/>
          <w:rtl/>
          <w:lang w:bidi="he-IL"/>
        </w:rPr>
        <w:footnoteReference w:id="18"/>
      </w:r>
    </w:p>
    <w:p w:rsidR="001C10E3" w:rsidRDefault="001C10E3" w:rsidP="001C10E3">
      <w:pPr>
        <w:tabs>
          <w:tab w:val="left" w:pos="800"/>
        </w:tabs>
        <w:overflowPunct w:val="0"/>
        <w:autoSpaceDE w:val="0"/>
        <w:autoSpaceDN w:val="0"/>
        <w:adjustRightInd w:val="0"/>
        <w:textAlignment w:val="baseline"/>
        <w:rPr>
          <w:color w:val="0070C0"/>
          <w:rtl/>
        </w:rPr>
      </w:pPr>
    </w:p>
    <w:p w:rsidR="00FA43A2" w:rsidRPr="006A7576" w:rsidRDefault="006A7576" w:rsidP="001C10E3">
      <w:pPr>
        <w:tabs>
          <w:tab w:val="left" w:pos="800"/>
        </w:tabs>
        <w:overflowPunct w:val="0"/>
        <w:autoSpaceDE w:val="0"/>
        <w:autoSpaceDN w:val="0"/>
        <w:adjustRightInd w:val="0"/>
        <w:textAlignment w:val="baseline"/>
        <w:rPr>
          <w:b/>
          <w:bCs/>
          <w:i/>
          <w:iCs/>
          <w:rtl/>
          <w:lang w:bidi="he-IL"/>
        </w:rPr>
      </w:pPr>
      <w:r w:rsidRPr="006A7576">
        <w:rPr>
          <w:rFonts w:hint="cs"/>
          <w:b/>
          <w:bCs/>
          <w:i/>
          <w:iCs/>
          <w:rtl/>
          <w:lang w:bidi="he-IL"/>
        </w:rPr>
        <w:t>"</w:t>
      </w:r>
      <w:r w:rsidR="00FA43A2" w:rsidRPr="006A7576">
        <w:rPr>
          <w:rFonts w:hint="cs"/>
          <w:b/>
          <w:bCs/>
          <w:i/>
          <w:iCs/>
          <w:rtl/>
          <w:lang w:bidi="he-IL"/>
        </w:rPr>
        <w:t>תזכורת שתבוא מירושלים</w:t>
      </w:r>
      <w:r w:rsidRPr="006A7576">
        <w:rPr>
          <w:rFonts w:hint="cs"/>
          <w:b/>
          <w:bCs/>
          <w:i/>
          <w:iCs/>
          <w:rtl/>
          <w:lang w:bidi="he-IL"/>
        </w:rPr>
        <w:t>"</w:t>
      </w:r>
      <w:r w:rsidR="00FA43A2" w:rsidRPr="006A7576">
        <w:rPr>
          <w:rStyle w:val="FootnoteReference"/>
          <w:rtl/>
          <w:lang w:bidi="he-IL"/>
        </w:rPr>
        <w:footnoteReference w:id="19"/>
      </w:r>
    </w:p>
    <w:p w:rsidR="00A37E5F" w:rsidRDefault="00A37E5F" w:rsidP="001C10E3">
      <w:pPr>
        <w:tabs>
          <w:tab w:val="left" w:pos="800"/>
        </w:tabs>
        <w:overflowPunct w:val="0"/>
        <w:autoSpaceDE w:val="0"/>
        <w:autoSpaceDN w:val="0"/>
        <w:adjustRightInd w:val="0"/>
        <w:textAlignment w:val="baseline"/>
        <w:rPr>
          <w:rtl/>
          <w:lang w:bidi="he-IL"/>
        </w:rPr>
      </w:pPr>
    </w:p>
    <w:p w:rsidR="00195939" w:rsidRDefault="00195939" w:rsidP="00187719">
      <w:pPr>
        <w:tabs>
          <w:tab w:val="left" w:pos="800"/>
        </w:tabs>
        <w:overflowPunct w:val="0"/>
        <w:autoSpaceDE w:val="0"/>
        <w:autoSpaceDN w:val="0"/>
        <w:adjustRightInd w:val="0"/>
        <w:textAlignment w:val="baseline"/>
        <w:rPr>
          <w:rtl/>
          <w:lang w:bidi="he-IL"/>
        </w:rPr>
      </w:pPr>
      <w:r>
        <w:rPr>
          <w:rtl/>
          <w:lang w:bidi="he-IL"/>
        </w:rPr>
        <w:tab/>
      </w:r>
      <w:r>
        <w:rPr>
          <w:rFonts w:hint="cs"/>
          <w:rtl/>
          <w:lang w:bidi="he-IL"/>
        </w:rPr>
        <w:t xml:space="preserve">למרות ההיבטים המשפטיים של ההליך שתוארו, בסופו של דבר "משפט מנגלה" לא היה משפט פלילי שהתנהל על פי הפרוצדורות והכללים המקובלים. </w:t>
      </w:r>
      <w:r w:rsidR="0025212E">
        <w:rPr>
          <w:rFonts w:hint="cs"/>
          <w:rtl/>
          <w:lang w:bidi="he-IL"/>
        </w:rPr>
        <w:t xml:space="preserve">בשונה ממשפט פלילי רגיל, שמטרתו אחת </w:t>
      </w:r>
      <w:r w:rsidR="0025212E">
        <w:rPr>
          <w:rtl/>
          <w:lang w:bidi="he-IL"/>
        </w:rPr>
        <w:t>–</w:t>
      </w:r>
      <w:r w:rsidR="0025212E">
        <w:rPr>
          <w:rFonts w:hint="cs"/>
          <w:rtl/>
          <w:lang w:bidi="he-IL"/>
        </w:rPr>
        <w:t xml:space="preserve"> להכריע בשאלת אשמתו או חפותו של הנאשם העומד לדין </w:t>
      </w:r>
      <w:r w:rsidR="0025212E">
        <w:rPr>
          <w:rtl/>
          <w:lang w:bidi="he-IL"/>
        </w:rPr>
        <w:t>–</w:t>
      </w:r>
      <w:r w:rsidR="0025212E">
        <w:rPr>
          <w:rFonts w:hint="cs"/>
          <w:rtl/>
          <w:lang w:bidi="he-IL"/>
        </w:rPr>
        <w:t xml:space="preserve"> ברור כי האירוע הנדון נשא אופי של כינוס ציבורי, וזאת </w:t>
      </w:r>
      <w:r>
        <w:rPr>
          <w:rFonts w:hint="cs"/>
          <w:rtl/>
          <w:lang w:bidi="he-IL"/>
        </w:rPr>
        <w:t xml:space="preserve">בין אם נכנה אותו </w:t>
      </w:r>
      <w:r>
        <w:rPr>
          <w:lang w:bidi="he-IL"/>
        </w:rPr>
        <w:t>"public hearing"</w:t>
      </w:r>
      <w:r w:rsidR="00187719">
        <w:rPr>
          <w:rFonts w:hint="cs"/>
          <w:rtl/>
          <w:lang w:bidi="he-IL"/>
        </w:rPr>
        <w:t xml:space="preserve"> </w:t>
      </w:r>
      <w:r>
        <w:rPr>
          <w:rFonts w:hint="cs"/>
          <w:rtl/>
          <w:lang w:bidi="he-IL"/>
        </w:rPr>
        <w:t xml:space="preserve">או </w:t>
      </w:r>
      <w:r>
        <w:rPr>
          <w:lang w:bidi="he-IL"/>
        </w:rPr>
        <w:t>"a mock trial"</w:t>
      </w:r>
      <w:r w:rsidR="0025212E">
        <w:rPr>
          <w:rFonts w:hint="cs"/>
          <w:rtl/>
          <w:lang w:bidi="he-IL"/>
        </w:rPr>
        <w:t xml:space="preserve">. </w:t>
      </w:r>
      <w:r w:rsidR="0072701B">
        <w:rPr>
          <w:rFonts w:hint="cs"/>
          <w:rtl/>
          <w:lang w:bidi="he-IL"/>
        </w:rPr>
        <w:t xml:space="preserve">אין כל ספק </w:t>
      </w:r>
      <w:r w:rsidR="0072701B">
        <w:rPr>
          <w:rFonts w:hint="cs"/>
          <w:rtl/>
          <w:lang w:bidi="he-IL"/>
        </w:rPr>
        <w:lastRenderedPageBreak/>
        <w:t xml:space="preserve">כי חברי הוועדה, אף שחלקם היו משפטנים בכירים, לא היו בעלי סמכות לשפוט את הנאשם, בוודאי שלא בהיעדרו. </w:t>
      </w:r>
      <w:r w:rsidR="0025212E">
        <w:rPr>
          <w:rFonts w:hint="cs"/>
          <w:rtl/>
          <w:lang w:bidi="he-IL"/>
        </w:rPr>
        <w:t xml:space="preserve">מה </w:t>
      </w:r>
      <w:proofErr w:type="spellStart"/>
      <w:r w:rsidR="0025212E">
        <w:rPr>
          <w:rFonts w:hint="cs"/>
          <w:rtl/>
          <w:lang w:bidi="he-IL"/>
        </w:rPr>
        <w:t>היתה</w:t>
      </w:r>
      <w:proofErr w:type="spellEnd"/>
      <w:r w:rsidR="0025212E">
        <w:rPr>
          <w:rFonts w:hint="cs"/>
          <w:rtl/>
          <w:lang w:bidi="he-IL"/>
        </w:rPr>
        <w:t xml:space="preserve"> אפוא המטרה העיקרית של קיום המשפט בעיניי מארגניו?</w:t>
      </w:r>
    </w:p>
    <w:p w:rsidR="0025212E" w:rsidRDefault="0025212E" w:rsidP="0025212E">
      <w:pPr>
        <w:tabs>
          <w:tab w:val="left" w:pos="800"/>
        </w:tabs>
        <w:overflowPunct w:val="0"/>
        <w:autoSpaceDE w:val="0"/>
        <w:autoSpaceDN w:val="0"/>
        <w:adjustRightInd w:val="0"/>
        <w:textAlignment w:val="baseline"/>
        <w:rPr>
          <w:rtl/>
          <w:lang w:bidi="he-IL"/>
        </w:rPr>
      </w:pPr>
    </w:p>
    <w:p w:rsidR="00941F63" w:rsidRDefault="0025212E" w:rsidP="00187719">
      <w:pPr>
        <w:tabs>
          <w:tab w:val="left" w:pos="800"/>
        </w:tabs>
        <w:overflowPunct w:val="0"/>
        <w:autoSpaceDE w:val="0"/>
        <w:autoSpaceDN w:val="0"/>
        <w:adjustRightInd w:val="0"/>
        <w:textAlignment w:val="baseline"/>
        <w:rPr>
          <w:rtl/>
          <w:lang w:bidi="he-IL"/>
        </w:rPr>
      </w:pPr>
      <w:r>
        <w:rPr>
          <w:rtl/>
          <w:lang w:bidi="he-IL"/>
        </w:rPr>
        <w:tab/>
      </w:r>
      <w:r>
        <w:rPr>
          <w:rFonts w:hint="cs"/>
          <w:rtl/>
          <w:lang w:bidi="he-IL"/>
        </w:rPr>
        <w:t xml:space="preserve">המטרה הרשמית </w:t>
      </w:r>
      <w:r w:rsidR="00187719">
        <w:rPr>
          <w:rFonts w:hint="cs"/>
          <w:rtl/>
          <w:lang w:bidi="he-IL"/>
        </w:rPr>
        <w:t>ש</w:t>
      </w:r>
      <w:r w:rsidR="008935CC">
        <w:rPr>
          <w:rFonts w:hint="cs"/>
          <w:rtl/>
          <w:lang w:bidi="he-IL"/>
        </w:rPr>
        <w:t>עליה הצהירו המארגנים ב</w:t>
      </w:r>
      <w:r w:rsidR="00187719">
        <w:rPr>
          <w:rFonts w:hint="cs"/>
          <w:rtl/>
          <w:lang w:bidi="he-IL"/>
        </w:rPr>
        <w:t xml:space="preserve">הזדמנויות שונות לאורך ההליך, </w:t>
      </w:r>
      <w:proofErr w:type="spellStart"/>
      <w:r w:rsidR="00187719">
        <w:rPr>
          <w:rFonts w:hint="cs"/>
          <w:rtl/>
          <w:lang w:bidi="he-IL"/>
        </w:rPr>
        <w:t>היתה</w:t>
      </w:r>
      <w:proofErr w:type="spellEnd"/>
      <w:r>
        <w:rPr>
          <w:rFonts w:hint="cs"/>
          <w:rtl/>
          <w:lang w:bidi="he-IL"/>
        </w:rPr>
        <w:t xml:space="preserve"> לאסוף רא</w:t>
      </w:r>
      <w:r w:rsidR="008935CC">
        <w:rPr>
          <w:rFonts w:hint="cs"/>
          <w:rtl/>
          <w:lang w:bidi="he-IL"/>
        </w:rPr>
        <w:t>יות לקראת העמדתו של מנגלה לדין. בפרט ביקשו מארגני המשפט לאסוף עדויות של עדי ראיה לפשעיו של מנגלה, ולמעשה, עדויות של קרבנות הפשעים שביצע במו ידיו. אולם, כפי שבוודאי היה ידוע היטב למשפטנים מבין חברי הפאנל, על מנת שהעדויות תהיינה ראיות קבילות במשפט, יש הכרח כי גבייתן תיעשה על ידי היחידה החוקרת, בהתאם לסדרי הדין. במובן זה, התכלית האמורה מעוררת קושי, ולמצער היא אינה מצדיקה את קיומו של ההליך</w:t>
      </w:r>
      <w:r w:rsidR="00187719">
        <w:rPr>
          <w:rFonts w:hint="cs"/>
          <w:rtl/>
          <w:lang w:bidi="he-IL"/>
        </w:rPr>
        <w:t xml:space="preserve"> במתכונת שבה התקיים</w:t>
      </w:r>
      <w:r w:rsidR="008935CC">
        <w:rPr>
          <w:rFonts w:hint="cs"/>
          <w:rtl/>
          <w:lang w:bidi="he-IL"/>
        </w:rPr>
        <w:t>.</w:t>
      </w:r>
      <w:r w:rsidR="00941F63">
        <w:rPr>
          <w:rFonts w:hint="cs"/>
          <w:rtl/>
          <w:lang w:bidi="he-IL"/>
        </w:rPr>
        <w:t xml:space="preserve"> </w:t>
      </w:r>
      <w:r w:rsidR="008935CC">
        <w:rPr>
          <w:rFonts w:hint="cs"/>
          <w:rtl/>
          <w:lang w:bidi="he-IL"/>
        </w:rPr>
        <w:t xml:space="preserve">נדמה אפוא כי יש לדייק ולומר, כי ההליך לא נועד לצורך </w:t>
      </w:r>
      <w:r w:rsidR="008935CC" w:rsidRPr="00B3313C">
        <w:rPr>
          <w:rFonts w:hint="cs"/>
          <w:b/>
          <w:bCs/>
          <w:rtl/>
          <w:lang w:bidi="he-IL"/>
        </w:rPr>
        <w:t>פעולת איסוף הראיות</w:t>
      </w:r>
      <w:r w:rsidR="008935CC">
        <w:rPr>
          <w:rFonts w:hint="cs"/>
          <w:rtl/>
          <w:lang w:bidi="he-IL"/>
        </w:rPr>
        <w:t xml:space="preserve">, אלא לצורך </w:t>
      </w:r>
      <w:r w:rsidR="008935CC" w:rsidRPr="00B3313C">
        <w:rPr>
          <w:rFonts w:hint="cs"/>
          <w:b/>
          <w:bCs/>
          <w:rtl/>
          <w:lang w:bidi="he-IL"/>
        </w:rPr>
        <w:t>הצהרה על קיומן</w:t>
      </w:r>
      <w:r w:rsidR="008935CC">
        <w:rPr>
          <w:rFonts w:hint="cs"/>
          <w:rtl/>
          <w:lang w:bidi="he-IL"/>
        </w:rPr>
        <w:t xml:space="preserve">. </w:t>
      </w:r>
      <w:r w:rsidR="00187719">
        <w:rPr>
          <w:rFonts w:hint="cs"/>
          <w:rtl/>
          <w:lang w:bidi="he-IL"/>
        </w:rPr>
        <w:t>במילים אחרות</w:t>
      </w:r>
      <w:r w:rsidR="0098601D">
        <w:rPr>
          <w:rFonts w:hint="cs"/>
          <w:rtl/>
          <w:lang w:bidi="he-IL"/>
        </w:rPr>
        <w:t xml:space="preserve">, המארגנים ביקשו להכריז כי ישנם בנמצא די ניצולים שהיו עדי ראיה לביצוע </w:t>
      </w:r>
      <w:r w:rsidR="00B3313C">
        <w:rPr>
          <w:rFonts w:hint="cs"/>
          <w:rtl/>
          <w:lang w:bidi="he-IL"/>
        </w:rPr>
        <w:t>הפשעים</w:t>
      </w:r>
      <w:r w:rsidR="00187719">
        <w:rPr>
          <w:rFonts w:hint="cs"/>
          <w:rtl/>
          <w:lang w:bidi="he-IL"/>
        </w:rPr>
        <w:t xml:space="preserve"> על ידי מנגלה</w:t>
      </w:r>
      <w:r w:rsidR="00B3313C">
        <w:rPr>
          <w:rFonts w:hint="cs"/>
          <w:rtl/>
          <w:lang w:bidi="he-IL"/>
        </w:rPr>
        <w:t xml:space="preserve">. </w:t>
      </w:r>
      <w:r w:rsidR="00B3313C" w:rsidRPr="00B3313C">
        <w:rPr>
          <w:rtl/>
          <w:lang w:bidi="he-IL"/>
        </w:rPr>
        <w:t>ל</w:t>
      </w:r>
      <w:r w:rsidR="00941F63">
        <w:rPr>
          <w:rFonts w:hint="cs"/>
          <w:rtl/>
          <w:lang w:bidi="he-IL"/>
        </w:rPr>
        <w:t xml:space="preserve">הצהרה </w:t>
      </w:r>
      <w:r w:rsidR="00187719">
        <w:rPr>
          <w:rFonts w:hint="cs"/>
          <w:rtl/>
          <w:lang w:bidi="he-IL"/>
        </w:rPr>
        <w:t>זו</w:t>
      </w:r>
      <w:r w:rsidR="00B3313C" w:rsidRPr="00B3313C">
        <w:rPr>
          <w:rtl/>
          <w:lang w:bidi="he-IL"/>
        </w:rPr>
        <w:t xml:space="preserve"> יש</w:t>
      </w:r>
      <w:r w:rsidR="00941F63">
        <w:rPr>
          <w:rFonts w:hint="cs"/>
          <w:rtl/>
          <w:lang w:bidi="he-IL"/>
        </w:rPr>
        <w:t>נה</w:t>
      </w:r>
      <w:r w:rsidR="00187719">
        <w:rPr>
          <w:rtl/>
          <w:lang w:bidi="he-IL"/>
        </w:rPr>
        <w:t xml:space="preserve"> חשיבות בשני היבטים: כלפי חוץ</w:t>
      </w:r>
      <w:r w:rsidR="00187719">
        <w:rPr>
          <w:rFonts w:hint="cs"/>
          <w:rtl/>
          <w:lang w:bidi="he-IL"/>
        </w:rPr>
        <w:t xml:space="preserve"> </w:t>
      </w:r>
      <w:r w:rsidR="00187719">
        <w:rPr>
          <w:rtl/>
          <w:lang w:bidi="he-IL"/>
        </w:rPr>
        <w:t>–</w:t>
      </w:r>
      <w:r w:rsidR="00187719">
        <w:rPr>
          <w:rFonts w:hint="cs"/>
          <w:rtl/>
          <w:lang w:bidi="he-IL"/>
        </w:rPr>
        <w:t xml:space="preserve"> </w:t>
      </w:r>
      <w:r w:rsidR="00187719">
        <w:rPr>
          <w:rtl/>
          <w:lang w:bidi="he-IL"/>
        </w:rPr>
        <w:t>כלומר ביחס למדינות העולם</w:t>
      </w:r>
      <w:r w:rsidR="00187719">
        <w:rPr>
          <w:rFonts w:hint="cs"/>
          <w:rtl/>
          <w:lang w:bidi="he-IL"/>
        </w:rPr>
        <w:t xml:space="preserve"> </w:t>
      </w:r>
      <w:r w:rsidR="00187719">
        <w:rPr>
          <w:rtl/>
          <w:lang w:bidi="he-IL"/>
        </w:rPr>
        <w:t>–</w:t>
      </w:r>
      <w:r w:rsidR="00187719">
        <w:rPr>
          <w:rFonts w:hint="cs"/>
          <w:rtl/>
          <w:lang w:bidi="he-IL"/>
        </w:rPr>
        <w:t xml:space="preserve"> </w:t>
      </w:r>
      <w:r w:rsidR="00B3313C" w:rsidRPr="00B3313C">
        <w:rPr>
          <w:rtl/>
          <w:lang w:bidi="he-IL"/>
        </w:rPr>
        <w:t xml:space="preserve">נועד ההליך להשפיע על דעת הקהל העולמית באשר לצורך בלכידתו של מנגלה והבאתו לדין. הפעלת לחץ </w:t>
      </w:r>
      <w:r w:rsidR="00187719">
        <w:rPr>
          <w:rFonts w:hint="cs"/>
          <w:rtl/>
          <w:lang w:bidi="he-IL"/>
        </w:rPr>
        <w:t>בינלאומי</w:t>
      </w:r>
      <w:r w:rsidR="00B3313C" w:rsidRPr="00B3313C">
        <w:rPr>
          <w:rtl/>
          <w:lang w:bidi="he-IL"/>
        </w:rPr>
        <w:t xml:space="preserve">, כך קיוו המארגנים, תאפשר את הסגרתו של מנגלה לידי </w:t>
      </w:r>
      <w:r w:rsidR="00187719">
        <w:rPr>
          <w:rFonts w:hint="cs"/>
          <w:rtl/>
          <w:lang w:bidi="he-IL"/>
        </w:rPr>
        <w:t xml:space="preserve">מדינת </w:t>
      </w:r>
      <w:r w:rsidR="00B3313C" w:rsidRPr="00B3313C">
        <w:rPr>
          <w:rtl/>
          <w:lang w:bidi="he-IL"/>
        </w:rPr>
        <w:t>ישראל.</w:t>
      </w:r>
      <w:r w:rsidR="00B3313C">
        <w:rPr>
          <w:rFonts w:hint="cs"/>
          <w:rtl/>
          <w:lang w:bidi="he-IL"/>
        </w:rPr>
        <w:t xml:space="preserve"> </w:t>
      </w:r>
      <w:r w:rsidR="00A27604">
        <w:rPr>
          <w:rFonts w:hint="cs"/>
          <w:rtl/>
          <w:lang w:bidi="he-IL"/>
        </w:rPr>
        <w:t>ניתן להניח כי מסיבה זו נוהל חלק מהמשפט באנגלית: חלק מחברי הפאנל מסרו את "הצהרותיהם" באנגלית, ההחלטה בתום הדיונים הוקראה גם בשפה האנגלית, וחשוב מכך, חלק מהעדים, בפרט אלו שעדותם נתפסה כ"עדות חזקה" הן מבחינה ראייתית הן מבחינה רגשית, התבקשו להעיד בשפה האנגלית.</w:t>
      </w:r>
      <w:r w:rsidR="00A27604">
        <w:rPr>
          <w:rStyle w:val="FootnoteReference"/>
          <w:rtl/>
          <w:lang w:bidi="he-IL"/>
        </w:rPr>
        <w:footnoteReference w:id="20"/>
      </w:r>
    </w:p>
    <w:p w:rsidR="00941F63" w:rsidRDefault="00941F63" w:rsidP="00941F63">
      <w:pPr>
        <w:tabs>
          <w:tab w:val="left" w:pos="800"/>
        </w:tabs>
        <w:overflowPunct w:val="0"/>
        <w:autoSpaceDE w:val="0"/>
        <w:autoSpaceDN w:val="0"/>
        <w:adjustRightInd w:val="0"/>
        <w:textAlignment w:val="baseline"/>
        <w:rPr>
          <w:rtl/>
          <w:lang w:bidi="he-IL"/>
        </w:rPr>
      </w:pPr>
    </w:p>
    <w:p w:rsidR="00FF2A50" w:rsidRDefault="00941F63" w:rsidP="009F597F">
      <w:pPr>
        <w:spacing w:after="140"/>
        <w:rPr>
          <w:rtl/>
          <w:lang w:bidi="he-IL"/>
        </w:rPr>
      </w:pPr>
      <w:r>
        <w:rPr>
          <w:rtl/>
          <w:lang w:bidi="he-IL"/>
        </w:rPr>
        <w:tab/>
      </w:r>
      <w:r w:rsidR="00B3313C">
        <w:rPr>
          <w:rFonts w:hint="cs"/>
          <w:rtl/>
          <w:lang w:bidi="he-IL"/>
        </w:rPr>
        <w:t xml:space="preserve">אך ההיבט </w:t>
      </w:r>
      <w:proofErr w:type="spellStart"/>
      <w:r w:rsidR="00B3313C">
        <w:rPr>
          <w:rFonts w:hint="cs"/>
          <w:rtl/>
          <w:lang w:bidi="he-IL"/>
        </w:rPr>
        <w:t>המענין</w:t>
      </w:r>
      <w:proofErr w:type="spellEnd"/>
      <w:r w:rsidR="00B3313C">
        <w:rPr>
          <w:rFonts w:hint="cs"/>
          <w:rtl/>
          <w:lang w:bidi="he-IL"/>
        </w:rPr>
        <w:t xml:space="preserve"> יותר הוא דווקא זה המכוון כלפי פנים, ביחס למדינת ישראל עצמה והעיסוק שלה בפשעי הנאצים. </w:t>
      </w:r>
      <w:r w:rsidR="00993CE3">
        <w:rPr>
          <w:rFonts w:hint="cs"/>
          <w:rtl/>
          <w:lang w:bidi="he-IL"/>
        </w:rPr>
        <w:t>כפי שהראיתי במחקר קודם,</w:t>
      </w:r>
      <w:r w:rsidR="0064037A" w:rsidRPr="00A27604">
        <w:rPr>
          <w:rStyle w:val="FootnoteReference"/>
          <w:rtl/>
          <w:lang w:bidi="he-IL"/>
        </w:rPr>
        <w:footnoteReference w:id="21"/>
      </w:r>
      <w:r w:rsidR="0064037A">
        <w:rPr>
          <w:rFonts w:hint="cs"/>
          <w:rtl/>
          <w:lang w:bidi="he-IL"/>
        </w:rPr>
        <w:t xml:space="preserve"> </w:t>
      </w:r>
      <w:r w:rsidR="00993CE3">
        <w:rPr>
          <w:rFonts w:hint="cs"/>
          <w:rtl/>
          <w:lang w:bidi="he-IL"/>
        </w:rPr>
        <w:t xml:space="preserve">כשני עשורים לאחר ניהולו של משפט אייכמן, לא </w:t>
      </w:r>
      <w:proofErr w:type="spellStart"/>
      <w:r w:rsidR="00993CE3">
        <w:rPr>
          <w:rFonts w:hint="cs"/>
          <w:rtl/>
          <w:lang w:bidi="he-IL"/>
        </w:rPr>
        <w:t>היתה</w:t>
      </w:r>
      <w:proofErr w:type="spellEnd"/>
      <w:r w:rsidR="00993CE3">
        <w:rPr>
          <w:rFonts w:hint="cs"/>
          <w:rtl/>
          <w:lang w:bidi="he-IL"/>
        </w:rPr>
        <w:t xml:space="preserve"> מדינת ישראל מעוניינת לקלקל את הרושם העז שנוצר בכל הנוגע להצלחתו להשיג הן את המטרה </w:t>
      </w:r>
      <w:proofErr w:type="spellStart"/>
      <w:r w:rsidR="00993CE3">
        <w:rPr>
          <w:rFonts w:hint="cs"/>
          <w:rtl/>
          <w:lang w:bidi="he-IL"/>
        </w:rPr>
        <w:t>הגמולית</w:t>
      </w:r>
      <w:proofErr w:type="spellEnd"/>
      <w:r w:rsidR="00993CE3">
        <w:rPr>
          <w:rFonts w:hint="cs"/>
          <w:rtl/>
          <w:lang w:bidi="he-IL"/>
        </w:rPr>
        <w:t xml:space="preserve"> הן מטרות </w:t>
      </w:r>
      <w:r w:rsidR="007D6BA2">
        <w:rPr>
          <w:rtl/>
          <w:lang w:bidi="he-IL"/>
        </w:rPr>
        <w:t>חינוכיות מובהקות</w:t>
      </w:r>
      <w:r w:rsidR="007D6BA2">
        <w:rPr>
          <w:rFonts w:hint="cs"/>
          <w:rtl/>
          <w:lang w:bidi="he-IL"/>
        </w:rPr>
        <w:t xml:space="preserve">, כגון </w:t>
      </w:r>
      <w:r w:rsidR="007D6BA2">
        <w:rPr>
          <w:rtl/>
          <w:lang w:bidi="he-IL"/>
        </w:rPr>
        <w:t>תיעוד היסטורי</w:t>
      </w:r>
      <w:r w:rsidR="0064037A" w:rsidRPr="00A27604">
        <w:rPr>
          <w:rtl/>
          <w:lang w:bidi="he-IL"/>
        </w:rPr>
        <w:t xml:space="preserve"> </w:t>
      </w:r>
      <w:r w:rsidR="007D6BA2">
        <w:rPr>
          <w:rFonts w:hint="cs"/>
          <w:rtl/>
          <w:lang w:bidi="he-IL"/>
        </w:rPr>
        <w:t>ו</w:t>
      </w:r>
      <w:r w:rsidR="0064037A" w:rsidRPr="00A27604">
        <w:rPr>
          <w:rtl/>
          <w:lang w:bidi="he-IL"/>
        </w:rPr>
        <w:t xml:space="preserve">עיצוב הזיכרון </w:t>
      </w:r>
      <w:r w:rsidR="007D6BA2">
        <w:rPr>
          <w:rFonts w:hint="cs"/>
          <w:rtl/>
          <w:lang w:bidi="he-IL"/>
        </w:rPr>
        <w:t>הקולקטיבי של השואה</w:t>
      </w:r>
      <w:r w:rsidR="0064037A" w:rsidRPr="00A27604">
        <w:rPr>
          <w:rtl/>
          <w:lang w:bidi="he-IL"/>
        </w:rPr>
        <w:t xml:space="preserve">. </w:t>
      </w:r>
      <w:r w:rsidR="00C15132">
        <w:rPr>
          <w:rFonts w:hint="cs"/>
          <w:rtl/>
          <w:lang w:bidi="he-IL"/>
        </w:rPr>
        <w:t>לפיכך, לצורך ניהול "</w:t>
      </w:r>
      <w:r w:rsidR="00C15132" w:rsidRPr="001B170A">
        <w:rPr>
          <w:u w:color="000000"/>
          <w:rtl/>
          <w:lang w:bidi="he-IL"/>
        </w:rPr>
        <w:t>ה</w:t>
      </w:r>
      <w:r w:rsidR="00C15132">
        <w:rPr>
          <w:u w:color="000000"/>
          <w:rtl/>
          <w:lang w:bidi="he-IL"/>
        </w:rPr>
        <w:t>משפט השני מסוגו אחרי משפט אייכמ</w:t>
      </w:r>
      <w:r w:rsidR="00C15132">
        <w:rPr>
          <w:rFonts w:hint="cs"/>
          <w:u w:color="000000"/>
          <w:rtl/>
          <w:lang w:bidi="he-IL"/>
        </w:rPr>
        <w:t>ן</w:t>
      </w:r>
      <w:r w:rsidR="00C15132">
        <w:rPr>
          <w:u w:color="000000"/>
          <w:rtl/>
        </w:rPr>
        <w:t>"</w:t>
      </w:r>
      <w:r w:rsidR="00C15132">
        <w:rPr>
          <w:rFonts w:hint="cs"/>
          <w:u w:color="000000"/>
          <w:rtl/>
          <w:lang w:bidi="he-IL"/>
        </w:rPr>
        <w:t>,</w:t>
      </w:r>
      <w:r w:rsidR="00C15132" w:rsidRPr="001B170A">
        <w:rPr>
          <w:u w:color="000000"/>
          <w:vertAlign w:val="superscript"/>
          <w:rtl/>
        </w:rPr>
        <w:footnoteReference w:id="22"/>
      </w:r>
      <w:r w:rsidR="00C15132">
        <w:rPr>
          <w:rFonts w:hint="cs"/>
          <w:u w:color="000000"/>
          <w:rtl/>
          <w:lang w:bidi="he-IL"/>
        </w:rPr>
        <w:t xml:space="preserve"> </w:t>
      </w:r>
      <w:r w:rsidR="00993CE3" w:rsidRPr="001B170A">
        <w:rPr>
          <w:rtl/>
          <w:lang w:bidi="he-IL"/>
        </w:rPr>
        <w:t xml:space="preserve">גיבשה פרקליטות המדינה קריטריונים ברורים לפתיחת הליכים משפטיים נוספים נגד </w:t>
      </w:r>
      <w:r w:rsidR="00C15132">
        <w:rPr>
          <w:rFonts w:hint="cs"/>
          <w:rtl/>
          <w:lang w:bidi="he-IL"/>
        </w:rPr>
        <w:t>פושעי מלחמה נאצים על דרך של הגשת בקשה להסגרתם:</w:t>
      </w:r>
      <w:r w:rsidR="00993CE3" w:rsidRPr="001B170A">
        <w:rPr>
          <w:rtl/>
          <w:lang w:bidi="he-IL"/>
        </w:rPr>
        <w:t xml:space="preserve"> </w:t>
      </w:r>
      <w:r w:rsidR="00C15132">
        <w:rPr>
          <w:rFonts w:hint="cs"/>
          <w:rtl/>
          <w:lang w:bidi="he-IL"/>
        </w:rPr>
        <w:t>התנאי ה</w:t>
      </w:r>
      <w:r w:rsidR="00FF2A50">
        <w:rPr>
          <w:rFonts w:hint="cs"/>
          <w:rtl/>
          <w:lang w:bidi="he-IL"/>
        </w:rPr>
        <w:t>ראשון</w:t>
      </w:r>
      <w:r w:rsidR="00C15132">
        <w:rPr>
          <w:rFonts w:hint="cs"/>
          <w:rtl/>
          <w:lang w:bidi="he-IL"/>
        </w:rPr>
        <w:t xml:space="preserve"> הוא</w:t>
      </w:r>
      <w:r w:rsidR="00993CE3" w:rsidRPr="001B170A">
        <w:rPr>
          <w:rtl/>
        </w:rPr>
        <w:t xml:space="preserve"> </w:t>
      </w:r>
      <w:r w:rsidR="00993CE3" w:rsidRPr="001B170A">
        <w:rPr>
          <w:rtl/>
          <w:lang w:bidi="he-IL"/>
        </w:rPr>
        <w:t>קיומן של ראיות המראות כי הנאשם השתתף ברצח יהודים המוני</w:t>
      </w:r>
      <w:r w:rsidR="00C15132">
        <w:rPr>
          <w:rFonts w:hint="cs"/>
          <w:rtl/>
          <w:lang w:bidi="he-IL"/>
        </w:rPr>
        <w:t>. התנאי הש</w:t>
      </w:r>
      <w:r w:rsidR="00FF2A50">
        <w:rPr>
          <w:rFonts w:hint="cs"/>
          <w:rtl/>
          <w:lang w:bidi="he-IL"/>
        </w:rPr>
        <w:t>ני</w:t>
      </w:r>
      <w:r w:rsidR="00C15132">
        <w:rPr>
          <w:rFonts w:hint="cs"/>
          <w:rtl/>
          <w:lang w:bidi="he-IL"/>
        </w:rPr>
        <w:t xml:space="preserve"> הוא </w:t>
      </w:r>
      <w:r w:rsidR="00FF2A50">
        <w:rPr>
          <w:rFonts w:hint="cs"/>
          <w:rtl/>
          <w:lang w:bidi="he-IL"/>
        </w:rPr>
        <w:t xml:space="preserve">קיומם של </w:t>
      </w:r>
      <w:r w:rsidR="00993CE3" w:rsidRPr="001B170A">
        <w:rPr>
          <w:rtl/>
          <w:lang w:bidi="he-IL"/>
        </w:rPr>
        <w:t>סיכויי הרשעה גבוהים כמו גם פוטנציאל לענישה חמורה במיוחד</w:t>
      </w:r>
      <w:r w:rsidR="00FF2A50">
        <w:rPr>
          <w:rFonts w:hint="cs"/>
          <w:rtl/>
          <w:lang w:bidi="he-IL"/>
        </w:rPr>
        <w:t>.</w:t>
      </w:r>
      <w:r w:rsidR="00FF2A50" w:rsidRPr="00FF2A50">
        <w:rPr>
          <w:rFonts w:hint="cs"/>
          <w:rtl/>
          <w:lang w:bidi="he-IL"/>
        </w:rPr>
        <w:t xml:space="preserve"> </w:t>
      </w:r>
      <w:r w:rsidR="00FF2A50">
        <w:rPr>
          <w:rFonts w:hint="cs"/>
          <w:rtl/>
          <w:lang w:bidi="he-IL"/>
        </w:rPr>
        <w:t xml:space="preserve">התנאי השלישי הוא </w:t>
      </w:r>
      <w:r w:rsidR="00FF2A50" w:rsidRPr="001B170A">
        <w:rPr>
          <w:rtl/>
          <w:lang w:bidi="he-IL"/>
        </w:rPr>
        <w:t>הימצאותם בישראל של עדים היכולים להעיד על מעשי הנאשם</w:t>
      </w:r>
      <w:r w:rsidR="00FF2A50" w:rsidRPr="001B170A">
        <w:rPr>
          <w:rtl/>
        </w:rPr>
        <w:t xml:space="preserve">, </w:t>
      </w:r>
      <w:r w:rsidR="00FF2A50" w:rsidRPr="001B170A">
        <w:rPr>
          <w:rtl/>
          <w:lang w:bidi="he-IL"/>
        </w:rPr>
        <w:t>או נכונות של עדים כאלו להגיע ארצה על מנת למסור עדות במשפט</w:t>
      </w:r>
      <w:r w:rsidR="00993CE3" w:rsidRPr="001B170A">
        <w:rPr>
          <w:rtl/>
        </w:rPr>
        <w:t>.</w:t>
      </w:r>
      <w:r w:rsidR="0064037A">
        <w:rPr>
          <w:rFonts w:hint="cs"/>
          <w:rtl/>
          <w:lang w:bidi="he-IL"/>
        </w:rPr>
        <w:t xml:space="preserve"> </w:t>
      </w:r>
      <w:r w:rsidR="00490ECF" w:rsidRPr="00A27604">
        <w:rPr>
          <w:rtl/>
          <w:lang w:bidi="he-IL"/>
        </w:rPr>
        <w:t xml:space="preserve">במידה רבה הושם הדגש על הקריטריון האחרון, שכן מעבר לערכה הראייתי הברור של עדות הניצולים, ניתן היה לעשות בה גם שימוש מובהק לצורך הגשמת המטרות </w:t>
      </w:r>
      <w:r w:rsidR="0064037A">
        <w:rPr>
          <w:rFonts w:hint="cs"/>
          <w:rtl/>
          <w:lang w:bidi="he-IL"/>
        </w:rPr>
        <w:t>החינוכיות</w:t>
      </w:r>
      <w:r w:rsidR="00490ECF" w:rsidRPr="00A27604">
        <w:rPr>
          <w:rtl/>
          <w:lang w:bidi="he-IL"/>
        </w:rPr>
        <w:t>.</w:t>
      </w:r>
      <w:bookmarkStart w:id="1" w:name="_Ref535175760"/>
      <w:r w:rsidR="0064037A" w:rsidRPr="001B170A">
        <w:rPr>
          <w:vertAlign w:val="superscript"/>
          <w:rtl/>
        </w:rPr>
        <w:footnoteReference w:id="23"/>
      </w:r>
      <w:bookmarkEnd w:id="1"/>
      <w:r w:rsidR="0064037A">
        <w:rPr>
          <w:rFonts w:hint="cs"/>
          <w:rtl/>
          <w:lang w:bidi="he-IL"/>
        </w:rPr>
        <w:t xml:space="preserve"> </w:t>
      </w:r>
      <w:r w:rsidR="00FF2A50" w:rsidRPr="00A27604">
        <w:rPr>
          <w:rFonts w:hint="cs"/>
          <w:rtl/>
          <w:lang w:bidi="he-IL"/>
        </w:rPr>
        <w:t xml:space="preserve">ארבעים שנה לאחר המלחמה, </w:t>
      </w:r>
      <w:r w:rsidR="00490ECF" w:rsidRPr="00A27604">
        <w:rPr>
          <w:rtl/>
          <w:lang w:bidi="he-IL"/>
        </w:rPr>
        <w:t xml:space="preserve">היו </w:t>
      </w:r>
      <w:r w:rsidR="007D6BA2">
        <w:rPr>
          <w:rFonts w:hint="cs"/>
          <w:rtl/>
          <w:lang w:bidi="he-IL"/>
        </w:rPr>
        <w:t xml:space="preserve">בנמצא </w:t>
      </w:r>
      <w:r w:rsidR="00490ECF" w:rsidRPr="00A27604">
        <w:rPr>
          <w:rtl/>
          <w:lang w:bidi="he-IL"/>
        </w:rPr>
        <w:t xml:space="preserve">ראיות רבות למעשי רצח והתעללות </w:t>
      </w:r>
      <w:r w:rsidR="00FF2A50" w:rsidRPr="00A27604">
        <w:rPr>
          <w:rFonts w:hint="cs"/>
          <w:rtl/>
          <w:lang w:bidi="he-IL"/>
        </w:rPr>
        <w:t>ש</w:t>
      </w:r>
      <w:r w:rsidR="00490ECF" w:rsidRPr="00A27604">
        <w:rPr>
          <w:rtl/>
          <w:lang w:bidi="he-IL"/>
        </w:rPr>
        <w:t xml:space="preserve">ביצע </w:t>
      </w:r>
      <w:r w:rsidR="00FF2A50" w:rsidRPr="00A27604">
        <w:rPr>
          <w:rFonts w:hint="cs"/>
          <w:rtl/>
          <w:lang w:bidi="he-IL"/>
        </w:rPr>
        <w:t xml:space="preserve">מנגלה </w:t>
      </w:r>
      <w:r w:rsidR="00490ECF" w:rsidRPr="00A27604">
        <w:rPr>
          <w:rtl/>
          <w:lang w:bidi="he-IL"/>
        </w:rPr>
        <w:t xml:space="preserve">במו ידיו או שהיה אחראי </w:t>
      </w:r>
      <w:r w:rsidR="00FF2A50" w:rsidRPr="00A27604">
        <w:rPr>
          <w:rtl/>
          <w:lang w:bidi="he-IL"/>
        </w:rPr>
        <w:t>עליהם באופן ישיר</w:t>
      </w:r>
      <w:r w:rsidR="00FF2A50" w:rsidRPr="00A27604">
        <w:rPr>
          <w:rFonts w:hint="cs"/>
          <w:rtl/>
          <w:lang w:bidi="he-IL"/>
        </w:rPr>
        <w:t>.</w:t>
      </w:r>
      <w:r w:rsidR="00490ECF" w:rsidRPr="00A27604">
        <w:rPr>
          <w:rtl/>
          <w:lang w:bidi="he-IL"/>
        </w:rPr>
        <w:t xml:space="preserve"> הרשעתו, אם </w:t>
      </w:r>
      <w:r w:rsidR="00FF2A50" w:rsidRPr="00A27604">
        <w:rPr>
          <w:rFonts w:hint="cs"/>
          <w:rtl/>
          <w:lang w:bidi="he-IL"/>
        </w:rPr>
        <w:t>ייתפס ו</w:t>
      </w:r>
      <w:r w:rsidR="00490ECF" w:rsidRPr="00A27604">
        <w:rPr>
          <w:rtl/>
          <w:lang w:bidi="he-IL"/>
        </w:rPr>
        <w:t xml:space="preserve">יובא לדין, </w:t>
      </w:r>
      <w:proofErr w:type="spellStart"/>
      <w:r w:rsidR="00490ECF" w:rsidRPr="00A27604">
        <w:rPr>
          <w:rtl/>
          <w:lang w:bidi="he-IL"/>
        </w:rPr>
        <w:t>היתה</w:t>
      </w:r>
      <w:proofErr w:type="spellEnd"/>
      <w:r w:rsidR="00490ECF" w:rsidRPr="00A27604">
        <w:rPr>
          <w:rtl/>
          <w:lang w:bidi="he-IL"/>
        </w:rPr>
        <w:t xml:space="preserve"> כמעט ודאית, והעונש הצפוי לו לפי החוק </w:t>
      </w:r>
      <w:r w:rsidR="00FF2A50" w:rsidRPr="00A27604">
        <w:rPr>
          <w:rFonts w:hint="cs"/>
          <w:rtl/>
          <w:lang w:bidi="he-IL"/>
        </w:rPr>
        <w:t>הישראלי</w:t>
      </w:r>
      <w:r w:rsidR="00490ECF" w:rsidRPr="00A27604">
        <w:rPr>
          <w:rtl/>
          <w:lang w:bidi="he-IL"/>
        </w:rPr>
        <w:t xml:space="preserve"> היה עונש מוות. </w:t>
      </w:r>
      <w:r w:rsidR="00A27604">
        <w:rPr>
          <w:rFonts w:hint="cs"/>
          <w:rtl/>
          <w:lang w:bidi="he-IL"/>
        </w:rPr>
        <w:t xml:space="preserve">ניתן אפוא להניח, כי </w:t>
      </w:r>
      <w:r w:rsidR="00FF2A50" w:rsidRPr="00A27604">
        <w:rPr>
          <w:rFonts w:hint="cs"/>
          <w:rtl/>
          <w:lang w:bidi="he-IL"/>
        </w:rPr>
        <w:t xml:space="preserve">ניהול משפט הדמה בעניינו נועד להדגיש את קיומו </w:t>
      </w:r>
      <w:r w:rsidR="00FF2A50" w:rsidRPr="00A27604">
        <w:rPr>
          <w:rFonts w:hint="cs"/>
          <w:rtl/>
          <w:lang w:bidi="he-IL"/>
        </w:rPr>
        <w:lastRenderedPageBreak/>
        <w:t xml:space="preserve">של הקריטריון השלישי, והחשוב מכולם: קיומם של עדי ראיה היכולים להעיד מכלי ראשון על הפשעים שביצע. </w:t>
      </w:r>
      <w:r w:rsidR="007D6BA2">
        <w:rPr>
          <w:rFonts w:hint="cs"/>
          <w:rtl/>
          <w:lang w:bidi="he-IL"/>
        </w:rPr>
        <w:t>באמצעות משפט הדמה</w:t>
      </w:r>
      <w:r w:rsidR="00A27604">
        <w:rPr>
          <w:rFonts w:hint="cs"/>
          <w:rtl/>
          <w:lang w:bidi="he-IL"/>
        </w:rPr>
        <w:t xml:space="preserve"> </w:t>
      </w:r>
      <w:r w:rsidR="00FF2A50" w:rsidRPr="00A27604">
        <w:rPr>
          <w:rFonts w:hint="cs"/>
          <w:rtl/>
          <w:lang w:bidi="he-IL"/>
        </w:rPr>
        <w:t xml:space="preserve">ביקשו </w:t>
      </w:r>
      <w:r w:rsidR="00FF2A50">
        <w:rPr>
          <w:rFonts w:hint="cs"/>
          <w:rtl/>
          <w:lang w:bidi="he-IL"/>
        </w:rPr>
        <w:t xml:space="preserve">המארגנים </w:t>
      </w:r>
      <w:r w:rsidR="009F597F">
        <w:rPr>
          <w:rFonts w:hint="cs"/>
          <w:rtl/>
          <w:lang w:bidi="he-IL"/>
        </w:rPr>
        <w:t>להמחיש את האפשרות ש</w:t>
      </w:r>
      <w:r w:rsidR="00FF2A50">
        <w:rPr>
          <w:rFonts w:hint="cs"/>
          <w:rtl/>
          <w:lang w:bidi="he-IL"/>
        </w:rPr>
        <w:t xml:space="preserve">משפטו </w:t>
      </w:r>
      <w:proofErr w:type="spellStart"/>
      <w:r w:rsidR="00FF2A50">
        <w:rPr>
          <w:rFonts w:hint="cs"/>
          <w:rtl/>
          <w:lang w:bidi="he-IL"/>
        </w:rPr>
        <w:t>האמיתי</w:t>
      </w:r>
      <w:proofErr w:type="spellEnd"/>
      <w:r w:rsidR="00FF2A50">
        <w:rPr>
          <w:rFonts w:hint="cs"/>
          <w:rtl/>
          <w:lang w:bidi="he-IL"/>
        </w:rPr>
        <w:t xml:space="preserve"> של מנגלה, אם ייתפס, ייטיב להגשים את המטרות </w:t>
      </w:r>
      <w:r w:rsidR="0064037A">
        <w:rPr>
          <w:rFonts w:hint="cs"/>
          <w:rtl/>
          <w:lang w:bidi="he-IL"/>
        </w:rPr>
        <w:t>החינוכיות</w:t>
      </w:r>
      <w:r w:rsidR="00FF2A50">
        <w:rPr>
          <w:rFonts w:hint="cs"/>
          <w:rtl/>
          <w:lang w:bidi="he-IL"/>
        </w:rPr>
        <w:t xml:space="preserve"> הנלוות להליך מסוג זה, </w:t>
      </w:r>
      <w:r w:rsidR="009F597F">
        <w:rPr>
          <w:rFonts w:hint="cs"/>
          <w:rtl/>
          <w:lang w:bidi="he-IL"/>
        </w:rPr>
        <w:t>ולהצהיר על כך</w:t>
      </w:r>
      <w:r w:rsidR="00FF2A50">
        <w:rPr>
          <w:rFonts w:hint="cs"/>
          <w:rtl/>
          <w:lang w:bidi="he-IL"/>
        </w:rPr>
        <w:t xml:space="preserve"> </w:t>
      </w:r>
      <w:r w:rsidR="009F597F">
        <w:rPr>
          <w:rFonts w:hint="cs"/>
          <w:rtl/>
          <w:lang w:bidi="he-IL"/>
        </w:rPr>
        <w:t>ש</w:t>
      </w:r>
      <w:r w:rsidR="00FF2A50">
        <w:rPr>
          <w:rFonts w:hint="cs"/>
          <w:rtl/>
          <w:lang w:bidi="he-IL"/>
        </w:rPr>
        <w:t xml:space="preserve">מנגלה הוא מועמד מתאים לנהל בעניינו את "המשפט השני אחרי משפט אייכמן". </w:t>
      </w:r>
    </w:p>
    <w:p w:rsidR="006D24D6" w:rsidRDefault="006D24D6" w:rsidP="00DF635B">
      <w:pPr>
        <w:tabs>
          <w:tab w:val="left" w:pos="800"/>
        </w:tabs>
        <w:overflowPunct w:val="0"/>
        <w:autoSpaceDE w:val="0"/>
        <w:autoSpaceDN w:val="0"/>
        <w:adjustRightInd w:val="0"/>
        <w:textAlignment w:val="baseline"/>
        <w:rPr>
          <w:rtl/>
          <w:lang w:bidi="he-IL"/>
        </w:rPr>
      </w:pPr>
    </w:p>
    <w:p w:rsidR="00DF635B" w:rsidRPr="00042259" w:rsidRDefault="008A6E89" w:rsidP="00866449">
      <w:pPr>
        <w:tabs>
          <w:tab w:val="left" w:pos="800"/>
        </w:tabs>
        <w:overflowPunct w:val="0"/>
        <w:autoSpaceDE w:val="0"/>
        <w:autoSpaceDN w:val="0"/>
        <w:adjustRightInd w:val="0"/>
        <w:textAlignment w:val="baseline"/>
        <w:rPr>
          <w:rtl/>
          <w:lang w:bidi="he-IL"/>
        </w:rPr>
      </w:pPr>
      <w:r>
        <w:rPr>
          <w:rtl/>
          <w:lang w:bidi="he-IL"/>
        </w:rPr>
        <w:tab/>
      </w:r>
      <w:r>
        <w:rPr>
          <w:rFonts w:hint="cs"/>
          <w:rtl/>
          <w:lang w:bidi="he-IL"/>
        </w:rPr>
        <w:t xml:space="preserve">מטרה נוספת, שאינה נופלת בחשיבותה מזו הראשונה, היא זו של תיעוד והנצחה. האירוע התקיים כאמור לציון 40 שנה לשחרור אושוויץ, ולרגל עריכתו התקבצו ובאו ניצולי אושוויץ מכל </w:t>
      </w:r>
      <w:r w:rsidR="00F617E1">
        <w:rPr>
          <w:rFonts w:hint="cs"/>
          <w:rtl/>
          <w:lang w:bidi="he-IL"/>
        </w:rPr>
        <w:t xml:space="preserve">רחבי הארץ, אך גם ממספר מדינות בעולם. בנוסף לעדויות שנמסרו בעל פה, נערכו כחלק מהכנת האירוע גם עדויות רבות בכתובים </w:t>
      </w:r>
      <w:r w:rsidR="00F617E1">
        <w:rPr>
          <w:rtl/>
          <w:lang w:bidi="he-IL"/>
        </w:rPr>
        <w:t>–</w:t>
      </w:r>
      <w:r w:rsidR="00F617E1">
        <w:rPr>
          <w:rFonts w:hint="cs"/>
          <w:rtl/>
          <w:lang w:bidi="he-IL"/>
        </w:rPr>
        <w:t xml:space="preserve"> ואלו הועברו למשמרת בארכיון יד ושם. היה אפוא ערך היסטורי ממשי באיסוף כל העדויות הללו, ובקיבוצן יחדיו. תכלית זו הודגשה בדברי הפתיחה </w:t>
      </w:r>
      <w:r w:rsidR="00A800EF">
        <w:rPr>
          <w:rFonts w:hint="cs"/>
          <w:rtl/>
          <w:lang w:bidi="he-IL"/>
        </w:rPr>
        <w:t xml:space="preserve">להליך </w:t>
      </w:r>
      <w:r w:rsidR="00F617E1">
        <w:rPr>
          <w:rFonts w:hint="cs"/>
          <w:rtl/>
          <w:lang w:bidi="he-IL"/>
        </w:rPr>
        <w:t>שנשא</w:t>
      </w:r>
      <w:r w:rsidR="001B6832">
        <w:rPr>
          <w:rFonts w:hint="cs"/>
          <w:rtl/>
          <w:lang w:bidi="he-IL"/>
        </w:rPr>
        <w:t xml:space="preserve"> ההיסטוריון </w:t>
      </w:r>
      <w:r w:rsidR="00F617E1">
        <w:rPr>
          <w:rFonts w:hint="cs"/>
          <w:rtl/>
          <w:lang w:bidi="he-IL"/>
        </w:rPr>
        <w:t xml:space="preserve">ד"ר </w:t>
      </w:r>
      <w:r w:rsidR="001B6832">
        <w:rPr>
          <w:rFonts w:hint="cs"/>
          <w:rtl/>
          <w:lang w:bidi="he-IL"/>
        </w:rPr>
        <w:t xml:space="preserve">יצחק ארד, יושב ראש הנהלת יד ושם: "העדויות תהוונה תיעוד בעל ערך רב שישמש </w:t>
      </w:r>
      <w:r w:rsidR="00A800EF">
        <w:rPr>
          <w:rFonts w:hint="cs"/>
          <w:rtl/>
          <w:lang w:bidi="he-IL"/>
        </w:rPr>
        <w:t>למחקר</w:t>
      </w:r>
      <w:r w:rsidR="001B6832">
        <w:rPr>
          <w:rFonts w:hint="cs"/>
          <w:rtl/>
          <w:lang w:bidi="he-IL"/>
        </w:rPr>
        <w:t xml:space="preserve"> והכתיבה ההיסטורית. הן תהווה גם אזה</w:t>
      </w:r>
      <w:r w:rsidR="00A800EF">
        <w:rPr>
          <w:rFonts w:hint="cs"/>
          <w:rtl/>
          <w:lang w:bidi="he-IL"/>
        </w:rPr>
        <w:t xml:space="preserve">רה לאנושות לאן מתדרדרת חברה, </w:t>
      </w:r>
      <w:r w:rsidR="001B6832">
        <w:rPr>
          <w:rFonts w:hint="cs"/>
          <w:rtl/>
          <w:lang w:bidi="he-IL"/>
        </w:rPr>
        <w:t>ולקח לדורות הבאים</w:t>
      </w:r>
      <w:r w:rsidR="00A800EF">
        <w:rPr>
          <w:rFonts w:hint="cs"/>
          <w:rtl/>
          <w:lang w:bidi="he-IL"/>
        </w:rPr>
        <w:t>"</w:t>
      </w:r>
      <w:r w:rsidR="001B6832">
        <w:rPr>
          <w:rFonts w:hint="cs"/>
          <w:rtl/>
          <w:lang w:bidi="he-IL"/>
        </w:rPr>
        <w:t xml:space="preserve">. </w:t>
      </w:r>
      <w:r w:rsidR="00A800EF">
        <w:rPr>
          <w:rFonts w:hint="cs"/>
          <w:rtl/>
          <w:lang w:bidi="he-IL"/>
        </w:rPr>
        <w:t xml:space="preserve">היטיב לבטא זאת גם </w:t>
      </w:r>
      <w:proofErr w:type="spellStart"/>
      <w:r w:rsidR="00A800EF">
        <w:rPr>
          <w:rFonts w:hint="cs"/>
          <w:rtl/>
          <w:lang w:bidi="he-IL"/>
        </w:rPr>
        <w:t>האוזנר</w:t>
      </w:r>
      <w:proofErr w:type="spellEnd"/>
      <w:r w:rsidR="00A800EF">
        <w:rPr>
          <w:rFonts w:hint="cs"/>
          <w:rtl/>
          <w:lang w:bidi="he-IL"/>
        </w:rPr>
        <w:t xml:space="preserve">, במילות הסיכום שנשא לאחר קריאת ההחלטה: </w:t>
      </w:r>
      <w:r w:rsidR="00A800EF" w:rsidRPr="006D24D6">
        <w:rPr>
          <w:rtl/>
          <w:lang w:bidi="he-IL"/>
        </w:rPr>
        <w:t>"זוהי אולי ההזדמנות האחרונה לזמן יחד אנשים היכולים להעיד על דברים מידיעה אישית בפורום בינלאומי. כמה פעמים ארבעים יש בחיי אדם</w:t>
      </w:r>
      <w:r w:rsidR="00A800EF">
        <w:rPr>
          <w:rFonts w:hint="cs"/>
          <w:rtl/>
          <w:lang w:bidi="he-IL"/>
        </w:rPr>
        <w:t>"</w:t>
      </w:r>
      <w:r w:rsidR="00A800EF" w:rsidRPr="006D24D6">
        <w:rPr>
          <w:rtl/>
          <w:lang w:bidi="he-IL"/>
        </w:rPr>
        <w:t>.</w:t>
      </w:r>
      <w:r w:rsidR="00A800EF">
        <w:rPr>
          <w:rFonts w:hint="cs"/>
          <w:rtl/>
          <w:lang w:bidi="he-IL"/>
        </w:rPr>
        <w:t xml:space="preserve"> חלק מחברי הפאנל הצביעו על כך, שערכן של העדויות רב במיוחד כאשר הן משתלבות עם תיעוד בכתב שנמצא בידי החוקרים </w:t>
      </w:r>
      <w:r w:rsidR="00866449">
        <w:rPr>
          <w:rFonts w:hint="cs"/>
          <w:rtl/>
          <w:lang w:bidi="he-IL"/>
        </w:rPr>
        <w:t>וביכולתן</w:t>
      </w:r>
      <w:r w:rsidR="00A800EF">
        <w:rPr>
          <w:rFonts w:hint="cs"/>
          <w:rtl/>
          <w:lang w:bidi="he-IL"/>
        </w:rPr>
        <w:t xml:space="preserve"> לאשש אותו, להציע הקשר רחב יותר או לשפוך אור על היבטים שהיו עד כה בלתי מובנים, למשל בכל הנוגע לאופי המדויק של הניסויים שערך מנגלה באסירי המחנה. </w:t>
      </w:r>
      <w:r w:rsidR="00866449">
        <w:rPr>
          <w:rFonts w:hint="cs"/>
          <w:rtl/>
          <w:lang w:bidi="he-IL"/>
        </w:rPr>
        <w:t xml:space="preserve">למעשה, המטרה של </w:t>
      </w:r>
      <w:r w:rsidR="00A800EF">
        <w:rPr>
          <w:rFonts w:hint="cs"/>
          <w:rtl/>
          <w:lang w:bidi="he-IL"/>
        </w:rPr>
        <w:t xml:space="preserve">התיעוד וההנצחה </w:t>
      </w:r>
      <w:proofErr w:type="spellStart"/>
      <w:r w:rsidR="00866449">
        <w:rPr>
          <w:rFonts w:hint="cs"/>
          <w:rtl/>
          <w:lang w:bidi="he-IL"/>
        </w:rPr>
        <w:t>היתה</w:t>
      </w:r>
      <w:proofErr w:type="spellEnd"/>
      <w:r w:rsidR="00866449">
        <w:rPr>
          <w:rFonts w:hint="cs"/>
          <w:rtl/>
          <w:lang w:bidi="he-IL"/>
        </w:rPr>
        <w:t xml:space="preserve"> כה חשובה</w:t>
      </w:r>
      <w:r w:rsidR="00A800EF">
        <w:rPr>
          <w:rFonts w:hint="cs"/>
          <w:rtl/>
          <w:lang w:bidi="he-IL"/>
        </w:rPr>
        <w:t>, עד ש</w:t>
      </w:r>
      <w:r w:rsidR="00042259">
        <w:rPr>
          <w:rFonts w:hint="cs"/>
          <w:rtl/>
          <w:lang w:bidi="he-IL"/>
        </w:rPr>
        <w:t xml:space="preserve">היא </w:t>
      </w:r>
      <w:r w:rsidR="00866449">
        <w:rPr>
          <w:rFonts w:hint="cs"/>
          <w:rtl/>
          <w:lang w:bidi="he-IL"/>
        </w:rPr>
        <w:t>לא הצטמצמה</w:t>
      </w:r>
      <w:r w:rsidR="00042259">
        <w:rPr>
          <w:rFonts w:hint="cs"/>
          <w:rtl/>
          <w:lang w:bidi="he-IL"/>
        </w:rPr>
        <w:t xml:space="preserve"> רק לאיסוף עדויותיהם של הניצולים עצמם. </w:t>
      </w:r>
      <w:r w:rsidR="00A800EF">
        <w:rPr>
          <w:rFonts w:hint="cs"/>
          <w:rtl/>
          <w:lang w:bidi="he-IL"/>
        </w:rPr>
        <w:t xml:space="preserve">יש מי שראה </w:t>
      </w:r>
      <w:r w:rsidR="00042259">
        <w:rPr>
          <w:rFonts w:hint="cs"/>
          <w:rtl/>
          <w:lang w:bidi="he-IL"/>
        </w:rPr>
        <w:t>ב</w:t>
      </w:r>
      <w:r w:rsidR="00866449">
        <w:rPr>
          <w:rFonts w:hint="cs"/>
          <w:rtl/>
          <w:lang w:bidi="he-IL"/>
        </w:rPr>
        <w:t>הם</w:t>
      </w:r>
      <w:r w:rsidR="00042259">
        <w:rPr>
          <w:rFonts w:hint="cs"/>
          <w:rtl/>
          <w:lang w:bidi="he-IL"/>
        </w:rPr>
        <w:t xml:space="preserve"> </w:t>
      </w:r>
      <w:r w:rsidR="00A800EF">
        <w:rPr>
          <w:rFonts w:hint="cs"/>
          <w:rtl/>
          <w:lang w:bidi="he-IL"/>
        </w:rPr>
        <w:t>את התכלי</w:t>
      </w:r>
      <w:r w:rsidR="00866449">
        <w:rPr>
          <w:rFonts w:hint="cs"/>
          <w:rtl/>
          <w:lang w:bidi="he-IL"/>
        </w:rPr>
        <w:t>ת העליונה בלכידתו של מנגלה עצמו</w:t>
      </w:r>
      <w:r w:rsidR="00A800EF">
        <w:rPr>
          <w:rFonts w:hint="cs"/>
          <w:rtl/>
          <w:lang w:bidi="he-IL"/>
        </w:rPr>
        <w:t xml:space="preserve">. כך אמר </w:t>
      </w:r>
      <w:proofErr w:type="spellStart"/>
      <w:r w:rsidR="00A800EF">
        <w:rPr>
          <w:rFonts w:hint="cs"/>
          <w:rtl/>
          <w:lang w:bidi="he-IL"/>
        </w:rPr>
        <w:t>ויזנטל</w:t>
      </w:r>
      <w:proofErr w:type="spellEnd"/>
      <w:r w:rsidR="00A800EF">
        <w:rPr>
          <w:rFonts w:hint="cs"/>
          <w:rtl/>
          <w:lang w:bidi="he-IL"/>
        </w:rPr>
        <w:t xml:space="preserve">, בראיון תקשורתי שנערך במהלך ההפסקות בין הדיונים: </w:t>
      </w:r>
      <w:r w:rsidR="00042259">
        <w:rPr>
          <w:lang w:bidi="he-IL"/>
        </w:rPr>
        <w:t>"</w:t>
      </w:r>
      <w:r w:rsidR="00490ECF" w:rsidRPr="00490ECF">
        <w:rPr>
          <w:lang w:bidi="he-IL"/>
        </w:rPr>
        <w:t>The big importance is not to have him</w:t>
      </w:r>
      <w:r w:rsidR="00042259">
        <w:rPr>
          <w:lang w:bidi="he-IL"/>
        </w:rPr>
        <w:t xml:space="preserve"> [Mengele]</w:t>
      </w:r>
      <w:r w:rsidR="00490ECF" w:rsidRPr="00490ECF">
        <w:rPr>
          <w:lang w:bidi="he-IL"/>
        </w:rPr>
        <w:t xml:space="preserve"> as a criminal but as a witness, forty years later. We need this historic lecture for t</w:t>
      </w:r>
      <w:r w:rsidR="007F4E39">
        <w:rPr>
          <w:lang w:bidi="he-IL"/>
        </w:rPr>
        <w:t>he</w:t>
      </w:r>
      <w:r w:rsidR="00490ECF" w:rsidRPr="00490ECF">
        <w:rPr>
          <w:lang w:bidi="he-IL"/>
        </w:rPr>
        <w:t xml:space="preserve"> young generations, grandsons and granddaughters of the survivors</w:t>
      </w:r>
      <w:r w:rsidR="00042259">
        <w:rPr>
          <w:lang w:bidi="he-IL"/>
        </w:rPr>
        <w:t>".</w:t>
      </w:r>
      <w:r w:rsidR="00042259">
        <w:rPr>
          <w:rFonts w:hint="cs"/>
          <w:rtl/>
          <w:lang w:bidi="he-IL"/>
        </w:rPr>
        <w:t xml:space="preserve"> </w:t>
      </w:r>
      <w:proofErr w:type="spellStart"/>
      <w:r w:rsidR="00866449">
        <w:rPr>
          <w:rFonts w:hint="cs"/>
          <w:rtl/>
          <w:lang w:bidi="he-IL"/>
        </w:rPr>
        <w:t>מענין</w:t>
      </w:r>
      <w:proofErr w:type="spellEnd"/>
      <w:r w:rsidR="00866449">
        <w:rPr>
          <w:rFonts w:hint="cs"/>
          <w:rtl/>
          <w:lang w:bidi="he-IL"/>
        </w:rPr>
        <w:t xml:space="preserve"> לציין כי </w:t>
      </w:r>
      <w:r w:rsidR="00042259">
        <w:rPr>
          <w:rFonts w:hint="cs"/>
          <w:rtl/>
          <w:lang w:bidi="he-IL"/>
        </w:rPr>
        <w:t xml:space="preserve">לתפיסה זו יש ביטויים גם היום, במסגרת התיעוד והחשיפה של </w:t>
      </w:r>
      <w:r w:rsidR="00866449">
        <w:rPr>
          <w:rFonts w:hint="cs"/>
          <w:rtl/>
          <w:lang w:bidi="he-IL"/>
        </w:rPr>
        <w:t>ה</w:t>
      </w:r>
      <w:r w:rsidR="00042259">
        <w:rPr>
          <w:rFonts w:hint="cs"/>
          <w:rtl/>
          <w:lang w:bidi="he-IL"/>
        </w:rPr>
        <w:t xml:space="preserve">קלטות הראיונות שנערכו עם אייכמן בזמן ניהול משפטו, כמו גם </w:t>
      </w:r>
      <w:r w:rsidR="00866449">
        <w:rPr>
          <w:rFonts w:hint="cs"/>
          <w:rtl/>
          <w:lang w:bidi="he-IL"/>
        </w:rPr>
        <w:t>פרסום היומנים האישיים שכתב באותה עת</w:t>
      </w:r>
      <w:r w:rsidR="00042259">
        <w:rPr>
          <w:rFonts w:hint="cs"/>
          <w:rtl/>
          <w:lang w:bidi="he-IL"/>
        </w:rPr>
        <w:t>.</w:t>
      </w:r>
      <w:r w:rsidR="00042259">
        <w:rPr>
          <w:rStyle w:val="FootnoteReference"/>
          <w:rtl/>
          <w:lang w:bidi="he-IL"/>
        </w:rPr>
        <w:footnoteReference w:id="24"/>
      </w:r>
      <w:r w:rsidR="00042259">
        <w:rPr>
          <w:rFonts w:hint="cs"/>
          <w:rtl/>
          <w:lang w:bidi="he-IL"/>
        </w:rPr>
        <w:t xml:space="preserve"> </w:t>
      </w:r>
      <w:r w:rsidR="00E21CF2">
        <w:rPr>
          <w:rFonts w:hint="cs"/>
          <w:rtl/>
          <w:lang w:bidi="he-IL"/>
        </w:rPr>
        <w:t xml:space="preserve">האופן שבו תם האירוע מלמד יותר מכל על </w:t>
      </w:r>
      <w:proofErr w:type="spellStart"/>
      <w:r w:rsidR="00E21CF2">
        <w:rPr>
          <w:rFonts w:hint="cs"/>
          <w:rtl/>
          <w:lang w:bidi="he-IL"/>
        </w:rPr>
        <w:t>הנסיון</w:t>
      </w:r>
      <w:proofErr w:type="spellEnd"/>
      <w:r w:rsidR="00E21CF2">
        <w:rPr>
          <w:rFonts w:hint="cs"/>
          <w:rtl/>
          <w:lang w:bidi="he-IL"/>
        </w:rPr>
        <w:t xml:space="preserve"> להגשים באמצעותו גם מטרות של תיעוד והנצחה. לאחר שסיים </w:t>
      </w:r>
      <w:proofErr w:type="spellStart"/>
      <w:r w:rsidR="00E21CF2">
        <w:rPr>
          <w:rFonts w:hint="cs"/>
          <w:rtl/>
          <w:lang w:bidi="he-IL"/>
        </w:rPr>
        <w:t>האוזנר</w:t>
      </w:r>
      <w:proofErr w:type="spellEnd"/>
      <w:r w:rsidR="00E21CF2">
        <w:rPr>
          <w:rFonts w:hint="cs"/>
          <w:rtl/>
          <w:lang w:bidi="he-IL"/>
        </w:rPr>
        <w:t xml:space="preserve"> לקרוא מן הכתובים, הוא הכריז על דקת דומיה לזכר הקרבנות, אשר לקראתה התבקש הקהל לעמוד על רגליו. לאחריה, נעל </w:t>
      </w:r>
      <w:proofErr w:type="spellStart"/>
      <w:r w:rsidR="00E21CF2">
        <w:rPr>
          <w:rFonts w:hint="cs"/>
          <w:rtl/>
          <w:lang w:bidi="he-IL"/>
        </w:rPr>
        <w:t>האוזנר</w:t>
      </w:r>
      <w:proofErr w:type="spellEnd"/>
      <w:r w:rsidR="00E21CF2">
        <w:rPr>
          <w:rFonts w:hint="cs"/>
          <w:rtl/>
          <w:lang w:bidi="he-IL"/>
        </w:rPr>
        <w:t xml:space="preserve"> את הישיבה והמשפט הגיע אל סיומו. אקט סמלי זה, שהזכיר במידה רבה את "הצפירה" הנשמעת ברחבי ישראל בכל יום הזיכרון לשואה לגבורה, הוסיף נופך טקסי לאירוע והדגיש את התכלית של הנצחת הנספים.</w:t>
      </w:r>
      <w:r w:rsidR="00E21CF2">
        <w:rPr>
          <w:rStyle w:val="FootnoteReference"/>
          <w:rtl/>
          <w:lang w:bidi="he-IL"/>
        </w:rPr>
        <w:footnoteReference w:id="25"/>
      </w:r>
    </w:p>
    <w:p w:rsidR="00490ECF" w:rsidRDefault="00490ECF" w:rsidP="00DF635B">
      <w:pPr>
        <w:tabs>
          <w:tab w:val="left" w:pos="800"/>
        </w:tabs>
        <w:overflowPunct w:val="0"/>
        <w:autoSpaceDE w:val="0"/>
        <w:autoSpaceDN w:val="0"/>
        <w:adjustRightInd w:val="0"/>
        <w:textAlignment w:val="baseline"/>
        <w:rPr>
          <w:rtl/>
          <w:lang w:bidi="he-IL"/>
        </w:rPr>
      </w:pPr>
    </w:p>
    <w:p w:rsidR="00241090" w:rsidRDefault="00C857A3" w:rsidP="007F4E39">
      <w:pPr>
        <w:tabs>
          <w:tab w:val="left" w:pos="800"/>
        </w:tabs>
        <w:overflowPunct w:val="0"/>
        <w:autoSpaceDE w:val="0"/>
        <w:autoSpaceDN w:val="0"/>
        <w:adjustRightInd w:val="0"/>
        <w:textAlignment w:val="baseline"/>
        <w:rPr>
          <w:rtl/>
          <w:lang w:bidi="he-IL"/>
        </w:rPr>
      </w:pPr>
      <w:r>
        <w:rPr>
          <w:rtl/>
          <w:lang w:bidi="he-IL"/>
        </w:rPr>
        <w:tab/>
      </w:r>
      <w:r>
        <w:rPr>
          <w:rFonts w:hint="cs"/>
          <w:rtl/>
          <w:lang w:bidi="he-IL"/>
        </w:rPr>
        <w:t xml:space="preserve">מטרה שלישית </w:t>
      </w:r>
      <w:r w:rsidR="005F4F77">
        <w:rPr>
          <w:rFonts w:hint="cs"/>
          <w:rtl/>
          <w:lang w:bidi="he-IL"/>
        </w:rPr>
        <w:t xml:space="preserve">היא שימוש בהד התקשורתי של האירוע ככלי במאבק בהכחשת השואה בעולם. מטרה זו נלמדת במפורש מהאמור בחתימת ההחלטה, כפי שצוטט לעיל. עוד ניתן ללמוד על כך מדברי הסיכום של </w:t>
      </w:r>
      <w:proofErr w:type="spellStart"/>
      <w:r w:rsidR="005F4F77">
        <w:rPr>
          <w:rFonts w:hint="cs"/>
          <w:rtl/>
          <w:lang w:bidi="he-IL"/>
        </w:rPr>
        <w:t>האוזנר</w:t>
      </w:r>
      <w:proofErr w:type="spellEnd"/>
      <w:r w:rsidR="005F4F77">
        <w:rPr>
          <w:rFonts w:hint="cs"/>
          <w:rtl/>
          <w:lang w:bidi="he-IL"/>
        </w:rPr>
        <w:t xml:space="preserve">, </w:t>
      </w:r>
      <w:r w:rsidR="001A48A2">
        <w:rPr>
          <w:rFonts w:hint="cs"/>
          <w:rtl/>
          <w:lang w:bidi="he-IL"/>
        </w:rPr>
        <w:t>ש</w:t>
      </w:r>
      <w:r w:rsidR="005F4F77">
        <w:rPr>
          <w:rFonts w:hint="cs"/>
          <w:rtl/>
          <w:lang w:bidi="he-IL"/>
        </w:rPr>
        <w:t>הסביר מדוע יש צורך בעריכת ה</w:t>
      </w:r>
      <w:r w:rsidR="007F4E39">
        <w:rPr>
          <w:rFonts w:hint="cs"/>
          <w:rtl/>
          <w:lang w:bidi="he-IL"/>
        </w:rPr>
        <w:t xml:space="preserve">משפט </w:t>
      </w:r>
      <w:r w:rsidR="005F4F77">
        <w:rPr>
          <w:rFonts w:hint="cs"/>
          <w:rtl/>
          <w:lang w:bidi="he-IL"/>
        </w:rPr>
        <w:t>דווקא באותה עת: "</w:t>
      </w:r>
      <w:r w:rsidR="00771B1D">
        <w:rPr>
          <w:rtl/>
          <w:lang w:bidi="he-IL"/>
        </w:rPr>
        <w:t>הכחשת השואה</w:t>
      </w:r>
      <w:r w:rsidR="001A48A2">
        <w:rPr>
          <w:rtl/>
          <w:lang w:bidi="he-IL"/>
        </w:rPr>
        <w:t xml:space="preserve"> היא תנועה הגוברת והולכת. רבים </w:t>
      </w:r>
      <w:r w:rsidR="00771B1D">
        <w:rPr>
          <w:rtl/>
          <w:lang w:bidi="he-IL"/>
        </w:rPr>
        <w:t xml:space="preserve">מבקשים להתנער מכל ידע ומגע עם השואה. אך השואה </w:t>
      </w:r>
      <w:r w:rsidR="00771B1D">
        <w:rPr>
          <w:rtl/>
          <w:lang w:bidi="he-IL"/>
        </w:rPr>
        <w:lastRenderedPageBreak/>
        <w:t>תרדוף את האנושות במשך דורות. העולם אחרי שעבר את אושוויץ לא יחזור עוד להיות מה שהיה קודם מפני שהרעל הנאצי השתפך וגרף את אירופה כולה</w:t>
      </w:r>
      <w:r w:rsidR="00241090">
        <w:rPr>
          <w:rFonts w:hint="cs"/>
          <w:rtl/>
          <w:lang w:bidi="he-IL"/>
        </w:rPr>
        <w:t>"</w:t>
      </w:r>
      <w:r w:rsidR="00771B1D">
        <w:rPr>
          <w:rtl/>
          <w:lang w:bidi="he-IL"/>
        </w:rPr>
        <w:t xml:space="preserve">. </w:t>
      </w:r>
      <w:r w:rsidR="00387689">
        <w:rPr>
          <w:rFonts w:hint="cs"/>
          <w:rtl/>
          <w:lang w:bidi="he-IL"/>
        </w:rPr>
        <w:t xml:space="preserve">הנחה זו של </w:t>
      </w:r>
      <w:proofErr w:type="spellStart"/>
      <w:r w:rsidR="00387689">
        <w:rPr>
          <w:rFonts w:hint="cs"/>
          <w:rtl/>
          <w:lang w:bidi="he-IL"/>
        </w:rPr>
        <w:t>האוזנר</w:t>
      </w:r>
      <w:proofErr w:type="spellEnd"/>
      <w:r w:rsidR="00387689">
        <w:rPr>
          <w:rFonts w:hint="cs"/>
          <w:rtl/>
          <w:lang w:bidi="he-IL"/>
        </w:rPr>
        <w:t xml:space="preserve"> בדבר היותו של המאבק בהכחשת השואה צו השעה</w:t>
      </w:r>
      <w:r w:rsidR="001A48A2">
        <w:rPr>
          <w:rFonts w:hint="cs"/>
          <w:rtl/>
          <w:lang w:bidi="he-IL"/>
        </w:rPr>
        <w:t>,</w:t>
      </w:r>
      <w:r w:rsidR="00387689">
        <w:rPr>
          <w:rFonts w:hint="cs"/>
          <w:rtl/>
          <w:lang w:bidi="he-IL"/>
        </w:rPr>
        <w:t xml:space="preserve"> אינה עומדת בחלל הריק. </w:t>
      </w:r>
      <w:r w:rsidR="00E15E55">
        <w:rPr>
          <w:rFonts w:hint="cs"/>
          <w:rtl/>
          <w:lang w:bidi="he-IL"/>
        </w:rPr>
        <w:t>התופעה של הכחשת שואה הלכה ונפוצה בעולם בשנות השמונים של המאה הקודמת, ועם הזדקנותם של הניצולים היה חשש ממשי להתגברותה.</w:t>
      </w:r>
      <w:r w:rsidR="00241090">
        <w:rPr>
          <w:rFonts w:hint="cs"/>
          <w:rtl/>
          <w:lang w:bidi="he-IL"/>
        </w:rPr>
        <w:t xml:space="preserve"> אך </w:t>
      </w:r>
      <w:proofErr w:type="spellStart"/>
      <w:r w:rsidR="00241090">
        <w:rPr>
          <w:rFonts w:hint="cs"/>
          <w:rtl/>
          <w:lang w:bidi="he-IL"/>
        </w:rPr>
        <w:t>האוזנר</w:t>
      </w:r>
      <w:proofErr w:type="spellEnd"/>
      <w:r w:rsidR="00241090">
        <w:rPr>
          <w:rFonts w:hint="cs"/>
          <w:rtl/>
          <w:lang w:bidi="he-IL"/>
        </w:rPr>
        <w:t xml:space="preserve"> לא ראה בקיום ההליך ושמיעת עדויות הניצולים רק כלי למאבק בתופעה השלילית של הכחשת אירועי העבר, אלא גם הדהוד של </w:t>
      </w:r>
      <w:r w:rsidR="00241090" w:rsidRPr="00241090">
        <w:rPr>
          <w:rtl/>
          <w:lang w:bidi="he-IL"/>
        </w:rPr>
        <w:t xml:space="preserve">לקח </w:t>
      </w:r>
      <w:r w:rsidR="00241090">
        <w:rPr>
          <w:rFonts w:hint="cs"/>
          <w:rtl/>
          <w:lang w:bidi="he-IL"/>
        </w:rPr>
        <w:t>כלפי העתיד. כפי שהדגיש בהמשך דבריו, פשעי הנאצים שעליהם העידו הניצולים הם "</w:t>
      </w:r>
      <w:r w:rsidR="00241090">
        <w:rPr>
          <w:rtl/>
          <w:lang w:bidi="he-IL"/>
        </w:rPr>
        <w:t xml:space="preserve">רק דגם אחד של הידרדרות. </w:t>
      </w:r>
      <w:r w:rsidR="00241090" w:rsidRPr="00241090">
        <w:rPr>
          <w:rtl/>
          <w:lang w:bidi="he-IL"/>
        </w:rPr>
        <w:t>אושוויץ יכולה להופיע בהיסטוריה בגלגולים שונים שבהם איבה הדדית יכולה לגרום לייסורים אין קץ</w:t>
      </w:r>
      <w:r w:rsidR="00241090">
        <w:rPr>
          <w:rFonts w:hint="cs"/>
          <w:rtl/>
          <w:lang w:bidi="he-IL"/>
        </w:rPr>
        <w:t xml:space="preserve">". </w:t>
      </w:r>
      <w:proofErr w:type="spellStart"/>
      <w:r w:rsidR="00241090">
        <w:rPr>
          <w:rFonts w:hint="cs"/>
          <w:rtl/>
          <w:lang w:bidi="he-IL"/>
        </w:rPr>
        <w:t>האוזנר</w:t>
      </w:r>
      <w:proofErr w:type="spellEnd"/>
      <w:r w:rsidR="00241090">
        <w:rPr>
          <w:rFonts w:hint="cs"/>
          <w:rtl/>
          <w:lang w:bidi="he-IL"/>
        </w:rPr>
        <w:t xml:space="preserve"> </w:t>
      </w:r>
      <w:r w:rsidR="001A48A2">
        <w:rPr>
          <w:rFonts w:hint="cs"/>
          <w:rtl/>
          <w:lang w:bidi="he-IL"/>
        </w:rPr>
        <w:t>הוסיף ואמר</w:t>
      </w:r>
      <w:r w:rsidR="00241090">
        <w:rPr>
          <w:rFonts w:hint="cs"/>
          <w:rtl/>
          <w:lang w:bidi="he-IL"/>
        </w:rPr>
        <w:t>:</w:t>
      </w:r>
      <w:r w:rsidR="00241090" w:rsidRPr="00241090">
        <w:rPr>
          <w:rtl/>
          <w:lang w:bidi="he-IL"/>
        </w:rPr>
        <w:t xml:space="preserve"> </w:t>
      </w:r>
      <w:r w:rsidR="00241090">
        <w:rPr>
          <w:rFonts w:hint="cs"/>
          <w:rtl/>
          <w:lang w:bidi="he-IL"/>
        </w:rPr>
        <w:t>"</w:t>
      </w:r>
      <w:r w:rsidR="00241090">
        <w:rPr>
          <w:rtl/>
          <w:lang w:bidi="he-IL"/>
        </w:rPr>
        <w:t>האמצעים הטכניים להשמדה של עמים מצויים בידי מעצמות שונות. אם יפעילו את האמצעים האלה יכולה לחזור טרגדיה אנושית איומה. לכן נודעת חשיבות לתזכורת שתבוא מירושלים</w:t>
      </w:r>
      <w:r w:rsidR="00241090">
        <w:rPr>
          <w:rFonts w:hint="cs"/>
          <w:rtl/>
          <w:lang w:bidi="he-IL"/>
        </w:rPr>
        <w:t>"</w:t>
      </w:r>
      <w:r w:rsidR="00241090">
        <w:rPr>
          <w:rtl/>
          <w:lang w:bidi="he-IL"/>
        </w:rPr>
        <w:t>.</w:t>
      </w:r>
    </w:p>
    <w:p w:rsidR="00241090" w:rsidRDefault="00241090" w:rsidP="00241090">
      <w:pPr>
        <w:tabs>
          <w:tab w:val="left" w:pos="800"/>
        </w:tabs>
        <w:overflowPunct w:val="0"/>
        <w:autoSpaceDE w:val="0"/>
        <w:autoSpaceDN w:val="0"/>
        <w:adjustRightInd w:val="0"/>
        <w:textAlignment w:val="baseline"/>
        <w:rPr>
          <w:rtl/>
          <w:lang w:bidi="he-IL"/>
        </w:rPr>
      </w:pPr>
    </w:p>
    <w:p w:rsidR="005E4EA2" w:rsidRDefault="00E15E55" w:rsidP="001A48A2">
      <w:pPr>
        <w:tabs>
          <w:tab w:val="left" w:pos="800"/>
        </w:tabs>
        <w:overflowPunct w:val="0"/>
        <w:autoSpaceDE w:val="0"/>
        <w:autoSpaceDN w:val="0"/>
        <w:adjustRightInd w:val="0"/>
        <w:textAlignment w:val="baseline"/>
        <w:rPr>
          <w:rtl/>
          <w:lang w:bidi="he-IL"/>
        </w:rPr>
      </w:pPr>
      <w:r>
        <w:rPr>
          <w:rtl/>
          <w:lang w:bidi="he-IL"/>
        </w:rPr>
        <w:tab/>
      </w:r>
      <w:r w:rsidR="001A48A2">
        <w:rPr>
          <w:rFonts w:hint="cs"/>
          <w:rtl/>
          <w:lang w:bidi="he-IL"/>
        </w:rPr>
        <w:t xml:space="preserve">תכלית הצהרתית ברורה נוספת של ההליך </w:t>
      </w:r>
      <w:proofErr w:type="spellStart"/>
      <w:r w:rsidR="001A48A2">
        <w:rPr>
          <w:rFonts w:hint="cs"/>
          <w:rtl/>
          <w:lang w:bidi="he-IL"/>
        </w:rPr>
        <w:t>היתה</w:t>
      </w:r>
      <w:proofErr w:type="spellEnd"/>
      <w:r w:rsidR="001A48A2">
        <w:rPr>
          <w:rFonts w:hint="cs"/>
          <w:rtl/>
          <w:lang w:bidi="he-IL"/>
        </w:rPr>
        <w:t xml:space="preserve"> ללא ספק</w:t>
      </w:r>
      <w:r>
        <w:rPr>
          <w:rFonts w:hint="cs"/>
          <w:rtl/>
          <w:lang w:bidi="he-IL"/>
        </w:rPr>
        <w:t xml:space="preserve"> </w:t>
      </w:r>
      <w:r w:rsidR="001A48A2">
        <w:rPr>
          <w:rFonts w:hint="cs"/>
          <w:rtl/>
          <w:lang w:bidi="he-IL"/>
        </w:rPr>
        <w:t xml:space="preserve">להכריז </w:t>
      </w:r>
      <w:r>
        <w:rPr>
          <w:rFonts w:hint="cs"/>
          <w:rtl/>
          <w:lang w:bidi="he-IL"/>
        </w:rPr>
        <w:t xml:space="preserve">על מדינת ישראל </w:t>
      </w:r>
      <w:r w:rsidR="00955AF2">
        <w:rPr>
          <w:rFonts w:hint="cs"/>
          <w:rtl/>
          <w:lang w:bidi="he-IL"/>
        </w:rPr>
        <w:t xml:space="preserve">כנציגתם של הניצולים </w:t>
      </w:r>
      <w:proofErr w:type="spellStart"/>
      <w:r>
        <w:rPr>
          <w:rFonts w:hint="cs"/>
          <w:rtl/>
          <w:lang w:bidi="he-IL"/>
        </w:rPr>
        <w:t>וכממשיכת</w:t>
      </w:r>
      <w:proofErr w:type="spellEnd"/>
      <w:r>
        <w:rPr>
          <w:rFonts w:hint="cs"/>
          <w:rtl/>
          <w:lang w:bidi="he-IL"/>
        </w:rPr>
        <w:t xml:space="preserve"> דרכם של הנספים. </w:t>
      </w:r>
      <w:r w:rsidR="00955AF2">
        <w:rPr>
          <w:rFonts w:hint="cs"/>
          <w:rtl/>
          <w:lang w:bidi="he-IL"/>
        </w:rPr>
        <w:t xml:space="preserve">במובן זה, לשמיעת העדויות היה מסר אחד ברור: ביתו הטבעי של העם היהודי לאחר השואה הוא במדינת ישראל, והמשך קיומה הוא לבדו יוכל להבטיח שלא יישנו הפשעים. גם להיבט זה התייחס </w:t>
      </w:r>
      <w:proofErr w:type="spellStart"/>
      <w:r w:rsidR="00955AF2">
        <w:rPr>
          <w:rFonts w:hint="cs"/>
          <w:rtl/>
          <w:lang w:bidi="he-IL"/>
        </w:rPr>
        <w:t>ה</w:t>
      </w:r>
      <w:r w:rsidR="007F5376">
        <w:rPr>
          <w:rFonts w:hint="cs"/>
          <w:rtl/>
          <w:lang w:bidi="he-IL"/>
        </w:rPr>
        <w:t>או</w:t>
      </w:r>
      <w:r w:rsidR="00955AF2">
        <w:rPr>
          <w:rFonts w:hint="cs"/>
          <w:rtl/>
          <w:lang w:bidi="he-IL"/>
        </w:rPr>
        <w:t>ז</w:t>
      </w:r>
      <w:r w:rsidR="007F5376">
        <w:rPr>
          <w:rFonts w:hint="cs"/>
          <w:rtl/>
          <w:lang w:bidi="he-IL"/>
        </w:rPr>
        <w:t>נר</w:t>
      </w:r>
      <w:proofErr w:type="spellEnd"/>
      <w:r w:rsidR="007F5376">
        <w:rPr>
          <w:rFonts w:hint="cs"/>
          <w:rtl/>
          <w:lang w:bidi="he-IL"/>
        </w:rPr>
        <w:t xml:space="preserve"> בדברי הסיכום שנשא, באומרו: </w:t>
      </w:r>
      <w:r w:rsidR="00241090">
        <w:rPr>
          <w:rFonts w:hint="cs"/>
          <w:rtl/>
          <w:lang w:bidi="he-IL"/>
        </w:rPr>
        <w:t>"</w:t>
      </w:r>
      <w:r w:rsidR="00771B1D">
        <w:rPr>
          <w:rtl/>
          <w:lang w:bidi="he-IL"/>
        </w:rPr>
        <w:t xml:space="preserve">אנו אומרים לא עוד שואה. על יסוד מה אנו אומרים כך. במה שנוגע לעם היהודי, הערובה לכך היא מדינת ישראל. כל עוד היא קיימת לא יתחדשו ימי אושוויץ, לא יבוצעו גירושים ולא יהיה </w:t>
      </w:r>
      <w:proofErr w:type="spellStart"/>
      <w:r w:rsidR="00771B1D">
        <w:rPr>
          <w:rtl/>
          <w:lang w:bidi="he-IL"/>
        </w:rPr>
        <w:t>נסיון</w:t>
      </w:r>
      <w:proofErr w:type="spellEnd"/>
      <w:r w:rsidR="00771B1D">
        <w:rPr>
          <w:rtl/>
          <w:lang w:bidi="he-IL"/>
        </w:rPr>
        <w:t xml:space="preserve"> של פתרון סופי. המבצע של הצלת יהודי אתיופיה בשבועות האחרונים הוכיח זאת מחדש</w:t>
      </w:r>
      <w:r w:rsidR="007F5376">
        <w:rPr>
          <w:rFonts w:hint="cs"/>
          <w:rtl/>
          <w:lang w:bidi="he-IL"/>
        </w:rPr>
        <w:t>"</w:t>
      </w:r>
      <w:r w:rsidR="00771B1D">
        <w:rPr>
          <w:rtl/>
          <w:lang w:bidi="he-IL"/>
        </w:rPr>
        <w:t>.</w:t>
      </w:r>
      <w:r w:rsidR="00AE7DF7">
        <w:rPr>
          <w:rStyle w:val="FootnoteReference"/>
          <w:rtl/>
          <w:lang w:bidi="he-IL"/>
        </w:rPr>
        <w:footnoteReference w:id="26"/>
      </w:r>
      <w:r w:rsidR="00771B1D">
        <w:rPr>
          <w:rtl/>
          <w:lang w:bidi="he-IL"/>
        </w:rPr>
        <w:t xml:space="preserve"> </w:t>
      </w:r>
      <w:r w:rsidR="007F5376">
        <w:rPr>
          <w:rFonts w:hint="cs"/>
          <w:rtl/>
          <w:lang w:bidi="he-IL"/>
        </w:rPr>
        <w:t>ביטוי מהותי לתכלית הצהרתית זו נמצא גם בדברי העדים עצמם</w:t>
      </w:r>
      <w:r w:rsidR="00AE7DF7">
        <w:rPr>
          <w:rFonts w:hint="cs"/>
          <w:rtl/>
          <w:lang w:bidi="he-IL"/>
        </w:rPr>
        <w:t>, שחלקם חתמו את עדותם בסיפור עלייתם ארצה והשתקעותם בה, ואחדים מהם הוסיפו והדגישו כי "</w:t>
      </w:r>
      <w:r w:rsidR="005E4EA2" w:rsidRPr="005E4EA2">
        <w:rPr>
          <w:rtl/>
          <w:lang w:bidi="he-IL"/>
        </w:rPr>
        <w:t>האנטישמיות היום בכל העולם התחזקה, אין ליהודים ביטחון מחוץ לארץ. רק הארץ יכולה לתת מקלט</w:t>
      </w:r>
      <w:r w:rsidR="00AE7DF7">
        <w:rPr>
          <w:rFonts w:hint="cs"/>
          <w:rtl/>
          <w:lang w:bidi="he-IL"/>
        </w:rPr>
        <w:t>"</w:t>
      </w:r>
      <w:r w:rsidR="005E4EA2" w:rsidRPr="005E4EA2">
        <w:rPr>
          <w:rtl/>
          <w:lang w:bidi="he-IL"/>
        </w:rPr>
        <w:t>.</w:t>
      </w:r>
      <w:r w:rsidR="00AE7DF7">
        <w:rPr>
          <w:rStyle w:val="FootnoteReference"/>
          <w:rtl/>
          <w:lang w:bidi="he-IL"/>
        </w:rPr>
        <w:footnoteReference w:id="27"/>
      </w:r>
    </w:p>
    <w:p w:rsidR="00771B1D" w:rsidRDefault="00771B1D" w:rsidP="001C10E3">
      <w:pPr>
        <w:tabs>
          <w:tab w:val="left" w:pos="800"/>
        </w:tabs>
        <w:overflowPunct w:val="0"/>
        <w:autoSpaceDE w:val="0"/>
        <w:autoSpaceDN w:val="0"/>
        <w:adjustRightInd w:val="0"/>
        <w:textAlignment w:val="baseline"/>
        <w:rPr>
          <w:rtl/>
          <w:lang w:bidi="he-IL"/>
        </w:rPr>
      </w:pPr>
    </w:p>
    <w:p w:rsidR="003D363A" w:rsidRDefault="003D363A" w:rsidP="00D01E1E">
      <w:pPr>
        <w:tabs>
          <w:tab w:val="left" w:pos="800"/>
        </w:tabs>
        <w:overflowPunct w:val="0"/>
        <w:autoSpaceDE w:val="0"/>
        <w:autoSpaceDN w:val="0"/>
        <w:adjustRightInd w:val="0"/>
        <w:textAlignment w:val="baseline"/>
        <w:rPr>
          <w:b/>
          <w:bCs/>
          <w:rtl/>
          <w:lang w:bidi="he-IL"/>
        </w:rPr>
      </w:pPr>
      <w:r w:rsidRPr="006A7576">
        <w:rPr>
          <w:rFonts w:hint="cs"/>
          <w:b/>
          <w:bCs/>
          <w:i/>
          <w:iCs/>
          <w:rtl/>
          <w:lang w:bidi="he-IL"/>
        </w:rPr>
        <w:t>"</w:t>
      </w:r>
      <w:r w:rsidRPr="006A7576">
        <w:rPr>
          <w:b/>
          <w:bCs/>
          <w:i/>
          <w:iCs/>
          <w:rtl/>
          <w:lang w:bidi="he-IL"/>
        </w:rPr>
        <w:t xml:space="preserve">נשבעתי </w:t>
      </w:r>
      <w:proofErr w:type="spellStart"/>
      <w:r w:rsidRPr="006A7576">
        <w:rPr>
          <w:b/>
          <w:bCs/>
          <w:i/>
          <w:iCs/>
          <w:rtl/>
          <w:lang w:bidi="he-IL"/>
        </w:rPr>
        <w:t>לאמא</w:t>
      </w:r>
      <w:proofErr w:type="spellEnd"/>
      <w:r w:rsidRPr="006A7576">
        <w:rPr>
          <w:b/>
          <w:bCs/>
          <w:i/>
          <w:iCs/>
          <w:rtl/>
          <w:lang w:bidi="he-IL"/>
        </w:rPr>
        <w:t xml:space="preserve"> שלי שאני פעם אנקום בד"ר מנגלה</w:t>
      </w:r>
      <w:r w:rsidRPr="006A7576">
        <w:rPr>
          <w:rFonts w:hint="cs"/>
          <w:b/>
          <w:bCs/>
          <w:i/>
          <w:iCs/>
          <w:rtl/>
          <w:lang w:bidi="he-IL"/>
        </w:rPr>
        <w:t>"</w:t>
      </w:r>
      <w:r w:rsidRPr="003D363A">
        <w:rPr>
          <w:rStyle w:val="FootnoteReference"/>
          <w:rtl/>
          <w:lang w:bidi="he-IL"/>
        </w:rPr>
        <w:footnoteReference w:id="28"/>
      </w:r>
      <w:r w:rsidRPr="003D363A">
        <w:rPr>
          <w:rFonts w:hint="cs"/>
          <w:rtl/>
          <w:lang w:bidi="he-IL"/>
        </w:rPr>
        <w:t xml:space="preserve"> </w:t>
      </w:r>
    </w:p>
    <w:p w:rsidR="00AE7DF7" w:rsidRDefault="00AE7DF7" w:rsidP="001C10E3">
      <w:pPr>
        <w:tabs>
          <w:tab w:val="left" w:pos="800"/>
        </w:tabs>
        <w:overflowPunct w:val="0"/>
        <w:autoSpaceDE w:val="0"/>
        <w:autoSpaceDN w:val="0"/>
        <w:adjustRightInd w:val="0"/>
        <w:textAlignment w:val="baseline"/>
        <w:rPr>
          <w:b/>
          <w:bCs/>
          <w:rtl/>
          <w:lang w:bidi="he-IL"/>
        </w:rPr>
      </w:pPr>
    </w:p>
    <w:p w:rsidR="0072701B" w:rsidRDefault="00D01E1E" w:rsidP="001F08B2">
      <w:pPr>
        <w:tabs>
          <w:tab w:val="left" w:pos="800"/>
        </w:tabs>
        <w:overflowPunct w:val="0"/>
        <w:autoSpaceDE w:val="0"/>
        <w:autoSpaceDN w:val="0"/>
        <w:adjustRightInd w:val="0"/>
        <w:textAlignment w:val="baseline"/>
        <w:rPr>
          <w:rtl/>
          <w:lang w:bidi="he-IL"/>
        </w:rPr>
      </w:pPr>
      <w:r>
        <w:rPr>
          <w:rtl/>
          <w:lang w:bidi="he-IL"/>
        </w:rPr>
        <w:tab/>
      </w:r>
      <w:r>
        <w:rPr>
          <w:rFonts w:hint="cs"/>
          <w:rtl/>
          <w:lang w:bidi="he-IL"/>
        </w:rPr>
        <w:t xml:space="preserve">מבלי להמעיט בחשיבותן של המטרות שמניתי עד כה לקיומו של ההליך, </w:t>
      </w:r>
      <w:proofErr w:type="spellStart"/>
      <w:r>
        <w:rPr>
          <w:rFonts w:hint="cs"/>
          <w:rtl/>
          <w:lang w:bidi="he-IL"/>
        </w:rPr>
        <w:t>צפיה</w:t>
      </w:r>
      <w:proofErr w:type="spellEnd"/>
      <w:r>
        <w:rPr>
          <w:rFonts w:hint="cs"/>
          <w:rtl/>
          <w:lang w:bidi="he-IL"/>
        </w:rPr>
        <w:t xml:space="preserve"> בתיעוד החזותי שלו, לכל אורכו, מותירה רושם עז בדבר תכלית נוספת שהוא </w:t>
      </w:r>
      <w:r w:rsidR="001F08B2">
        <w:rPr>
          <w:rFonts w:hint="cs"/>
          <w:rtl/>
          <w:lang w:bidi="he-IL"/>
        </w:rPr>
        <w:t>נועד ל</w:t>
      </w:r>
      <w:r>
        <w:rPr>
          <w:rFonts w:hint="cs"/>
          <w:rtl/>
          <w:lang w:bidi="he-IL"/>
        </w:rPr>
        <w:t xml:space="preserve">הגשים. במבחן התוצאה, לא יהיה זה מוגזם לומר כי למעשה </w:t>
      </w:r>
      <w:proofErr w:type="spellStart"/>
      <w:r>
        <w:rPr>
          <w:rFonts w:hint="cs"/>
          <w:rtl/>
          <w:lang w:bidi="he-IL"/>
        </w:rPr>
        <w:t>היתה</w:t>
      </w:r>
      <w:proofErr w:type="spellEnd"/>
      <w:r>
        <w:rPr>
          <w:rFonts w:hint="cs"/>
          <w:rtl/>
          <w:lang w:bidi="he-IL"/>
        </w:rPr>
        <w:t xml:space="preserve"> זו התכלית העיקרית של האירוע. כוונתי לתכלית של מתן קול ובמה לניצולים לספר את סיפורם</w:t>
      </w:r>
      <w:r w:rsidR="00D8290A">
        <w:rPr>
          <w:rFonts w:hint="cs"/>
          <w:rtl/>
          <w:lang w:bidi="he-IL"/>
        </w:rPr>
        <w:t xml:space="preserve">. קהל רב התאסף ובא כדי לצפות במשפט. </w:t>
      </w:r>
      <w:r w:rsidR="00D8290A" w:rsidRPr="0007071B">
        <w:rPr>
          <w:rtl/>
          <w:lang w:bidi="he-IL"/>
        </w:rPr>
        <w:t>מספר מצלמות ט</w:t>
      </w:r>
      <w:r w:rsidR="001F08B2">
        <w:rPr>
          <w:rtl/>
          <w:lang w:bidi="he-IL"/>
        </w:rPr>
        <w:t>לוויזיה הסריטו את האירוע כל העת</w:t>
      </w:r>
      <w:r w:rsidR="001F08B2">
        <w:rPr>
          <w:rFonts w:hint="cs"/>
          <w:rtl/>
          <w:lang w:bidi="he-IL"/>
        </w:rPr>
        <w:t>.</w:t>
      </w:r>
      <w:r w:rsidR="00D8290A" w:rsidRPr="00D8290A">
        <w:rPr>
          <w:rtl/>
          <w:lang w:bidi="he-IL"/>
        </w:rPr>
        <w:t xml:space="preserve"> </w:t>
      </w:r>
      <w:r w:rsidR="00D8290A">
        <w:rPr>
          <w:rFonts w:hint="cs"/>
          <w:rtl/>
          <w:lang w:bidi="he-IL"/>
        </w:rPr>
        <w:t>הוא שודר ב</w:t>
      </w:r>
      <w:r w:rsidR="00D8290A">
        <w:rPr>
          <w:rtl/>
          <w:lang w:bidi="he-IL"/>
        </w:rPr>
        <w:t>שידור חי וס</w:t>
      </w:r>
      <w:r w:rsidR="00D8290A">
        <w:rPr>
          <w:rFonts w:hint="cs"/>
          <w:rtl/>
          <w:lang w:bidi="he-IL"/>
        </w:rPr>
        <w:t>וקר</w:t>
      </w:r>
      <w:r w:rsidR="00D8290A">
        <w:rPr>
          <w:rtl/>
          <w:lang w:bidi="he-IL"/>
        </w:rPr>
        <w:t xml:space="preserve"> בכלי התקשורת בישראל ובעולם</w:t>
      </w:r>
      <w:r w:rsidR="00D8290A">
        <w:rPr>
          <w:rFonts w:hint="cs"/>
          <w:rtl/>
          <w:lang w:bidi="he-IL"/>
        </w:rPr>
        <w:t>.</w:t>
      </w:r>
      <w:r w:rsidR="00D8290A" w:rsidRPr="001F08B2">
        <w:rPr>
          <w:rStyle w:val="FootnoteReference"/>
          <w:rtl/>
        </w:rPr>
        <w:footnoteReference w:id="29"/>
      </w:r>
      <w:r w:rsidR="001F08B2">
        <w:rPr>
          <w:rFonts w:hint="cs"/>
          <w:rtl/>
          <w:lang w:bidi="he-IL"/>
        </w:rPr>
        <w:t xml:space="preserve"> </w:t>
      </w:r>
      <w:r w:rsidR="00D8290A">
        <w:rPr>
          <w:rFonts w:hint="cs"/>
          <w:rtl/>
          <w:lang w:bidi="he-IL"/>
        </w:rPr>
        <w:t xml:space="preserve">במובן זה המשפט יצר במה רחבה עבור העדים, והם מצאו בו מסגרת ראויה לתאר בה </w:t>
      </w:r>
      <w:r w:rsidR="00C51D7A">
        <w:rPr>
          <w:rFonts w:hint="cs"/>
          <w:rtl/>
          <w:lang w:bidi="he-IL"/>
        </w:rPr>
        <w:t xml:space="preserve">באופן פומבי </w:t>
      </w:r>
      <w:r w:rsidR="00D8290A">
        <w:rPr>
          <w:rFonts w:hint="cs"/>
          <w:rtl/>
          <w:lang w:bidi="he-IL"/>
        </w:rPr>
        <w:t xml:space="preserve">את </w:t>
      </w:r>
      <w:r w:rsidR="00C51D7A">
        <w:rPr>
          <w:rFonts w:hint="cs"/>
          <w:rtl/>
          <w:lang w:bidi="he-IL"/>
        </w:rPr>
        <w:t xml:space="preserve">סבלם. </w:t>
      </w:r>
      <w:r w:rsidR="00D8290A">
        <w:rPr>
          <w:rFonts w:hint="cs"/>
          <w:rtl/>
          <w:lang w:bidi="he-IL"/>
        </w:rPr>
        <w:t>הנופך המשפטי של האירוע הוסיף הילה של כבוד</w:t>
      </w:r>
      <w:r w:rsidR="001F08B2">
        <w:rPr>
          <w:rFonts w:hint="cs"/>
          <w:rtl/>
          <w:lang w:bidi="he-IL"/>
        </w:rPr>
        <w:t xml:space="preserve"> לסיפורי העדים</w:t>
      </w:r>
      <w:r w:rsidR="00D8290A">
        <w:rPr>
          <w:rFonts w:hint="cs"/>
          <w:rtl/>
          <w:lang w:bidi="he-IL"/>
        </w:rPr>
        <w:t xml:space="preserve">, ונתן </w:t>
      </w:r>
      <w:r w:rsidR="001F08B2">
        <w:rPr>
          <w:rFonts w:hint="cs"/>
          <w:rtl/>
          <w:lang w:bidi="he-IL"/>
        </w:rPr>
        <w:t xml:space="preserve">להם </w:t>
      </w:r>
      <w:r w:rsidR="00D8290A">
        <w:rPr>
          <w:rFonts w:hint="cs"/>
          <w:rtl/>
          <w:lang w:bidi="he-IL"/>
        </w:rPr>
        <w:t xml:space="preserve">תוקף ממשי </w:t>
      </w:r>
      <w:proofErr w:type="spellStart"/>
      <w:r w:rsidR="00D8290A">
        <w:rPr>
          <w:rFonts w:hint="cs"/>
          <w:rtl/>
          <w:lang w:bidi="he-IL"/>
        </w:rPr>
        <w:t>ומימד</w:t>
      </w:r>
      <w:proofErr w:type="spellEnd"/>
      <w:r w:rsidR="00D8290A">
        <w:rPr>
          <w:rFonts w:hint="cs"/>
          <w:rtl/>
          <w:lang w:bidi="he-IL"/>
        </w:rPr>
        <w:t xml:space="preserve"> של תועלת </w:t>
      </w:r>
      <w:r w:rsidR="001F08B2">
        <w:rPr>
          <w:rFonts w:hint="cs"/>
          <w:rtl/>
          <w:lang w:bidi="he-IL"/>
        </w:rPr>
        <w:t>מעשית</w:t>
      </w:r>
      <w:r w:rsidR="00D8290A">
        <w:rPr>
          <w:rFonts w:hint="cs"/>
          <w:rtl/>
          <w:lang w:bidi="he-IL"/>
        </w:rPr>
        <w:t>.</w:t>
      </w:r>
      <w:r w:rsidR="00440718">
        <w:rPr>
          <w:rFonts w:hint="cs"/>
          <w:rtl/>
          <w:lang w:bidi="he-IL"/>
        </w:rPr>
        <w:t xml:space="preserve"> </w:t>
      </w:r>
      <w:r w:rsidR="00893EA8">
        <w:rPr>
          <w:rFonts w:hint="cs"/>
          <w:rtl/>
          <w:lang w:bidi="he-IL"/>
        </w:rPr>
        <w:t>לכך תרמה גם האפשרות שניתנה להם למסור את עדותם בשפתם</w:t>
      </w:r>
      <w:r w:rsidR="00796FDD">
        <w:rPr>
          <w:rFonts w:hint="cs"/>
          <w:rtl/>
          <w:lang w:bidi="he-IL"/>
        </w:rPr>
        <w:t>, כאשר במקרה הצורך, תורגמו עבורם השאלות שנשאלו על ידי חברי הפאנל</w:t>
      </w:r>
      <w:r w:rsidR="00893EA8">
        <w:rPr>
          <w:rFonts w:hint="cs"/>
          <w:rtl/>
          <w:lang w:bidi="he-IL"/>
        </w:rPr>
        <w:t>.</w:t>
      </w:r>
    </w:p>
    <w:p w:rsidR="00D8290A" w:rsidRDefault="00D8290A" w:rsidP="00D8290A">
      <w:pPr>
        <w:tabs>
          <w:tab w:val="left" w:pos="800"/>
        </w:tabs>
        <w:overflowPunct w:val="0"/>
        <w:autoSpaceDE w:val="0"/>
        <w:autoSpaceDN w:val="0"/>
        <w:adjustRightInd w:val="0"/>
        <w:textAlignment w:val="baseline"/>
        <w:rPr>
          <w:rtl/>
          <w:lang w:bidi="he-IL"/>
        </w:rPr>
      </w:pPr>
    </w:p>
    <w:p w:rsidR="00D8290A" w:rsidRPr="00D01E1E" w:rsidRDefault="0019332C" w:rsidP="007F4E39">
      <w:pPr>
        <w:tabs>
          <w:tab w:val="left" w:pos="800"/>
        </w:tabs>
        <w:overflowPunct w:val="0"/>
        <w:autoSpaceDE w:val="0"/>
        <w:autoSpaceDN w:val="0"/>
        <w:adjustRightInd w:val="0"/>
        <w:textAlignment w:val="baseline"/>
        <w:rPr>
          <w:rtl/>
          <w:lang w:bidi="he-IL"/>
        </w:rPr>
      </w:pPr>
      <w:r>
        <w:rPr>
          <w:rtl/>
          <w:lang w:bidi="he-IL"/>
        </w:rPr>
        <w:tab/>
      </w:r>
      <w:r>
        <w:rPr>
          <w:rFonts w:hint="cs"/>
          <w:rtl/>
          <w:lang w:bidi="he-IL"/>
        </w:rPr>
        <w:t xml:space="preserve">ניתן למצוא לכך מספר ביטויים בעדויות שנשמעו: כך למשל, העדה אורנה </w:t>
      </w:r>
      <w:proofErr w:type="spellStart"/>
      <w:r>
        <w:rPr>
          <w:rFonts w:hint="cs"/>
          <w:rtl/>
          <w:lang w:bidi="he-IL"/>
        </w:rPr>
        <w:t>בירנבך</w:t>
      </w:r>
      <w:proofErr w:type="spellEnd"/>
      <w:r>
        <w:rPr>
          <w:rFonts w:hint="cs"/>
          <w:rtl/>
          <w:lang w:bidi="he-IL"/>
        </w:rPr>
        <w:t xml:space="preserve"> </w:t>
      </w:r>
      <w:r w:rsidR="005822EE">
        <w:rPr>
          <w:rFonts w:hint="cs"/>
          <w:rtl/>
          <w:lang w:bidi="he-IL"/>
        </w:rPr>
        <w:t xml:space="preserve">ציינה כי בהיותה "אשת עדות", היא </w:t>
      </w:r>
      <w:r>
        <w:rPr>
          <w:rFonts w:hint="cs"/>
          <w:rtl/>
          <w:lang w:bidi="he-IL"/>
        </w:rPr>
        <w:t xml:space="preserve">נוהגת לספר </w:t>
      </w:r>
      <w:r w:rsidR="005822EE">
        <w:rPr>
          <w:rFonts w:hint="cs"/>
          <w:rtl/>
          <w:lang w:bidi="he-IL"/>
        </w:rPr>
        <w:t>ל</w:t>
      </w:r>
      <w:r>
        <w:rPr>
          <w:rFonts w:hint="cs"/>
          <w:rtl/>
          <w:lang w:bidi="he-IL"/>
        </w:rPr>
        <w:t>בני נוער על קורותיה בזמן המלחמה, אך מעולם היא לא חשפה את סיפור הישרדותה הקשה במחנה אושוויץ: "על אושוויץ אני לא יכולה לספר, זה טאבו".</w:t>
      </w:r>
      <w:r w:rsidR="00A90BC7">
        <w:rPr>
          <w:rFonts w:hint="cs"/>
          <w:rtl/>
          <w:lang w:bidi="he-IL"/>
        </w:rPr>
        <w:t xml:space="preserve"> החשיבות של מתן עדותה במסגרת </w:t>
      </w:r>
      <w:r w:rsidR="005822EE">
        <w:rPr>
          <w:rFonts w:hint="cs"/>
          <w:rtl/>
          <w:lang w:bidi="he-IL"/>
        </w:rPr>
        <w:t>המשפט</w:t>
      </w:r>
      <w:r w:rsidR="00A90BC7">
        <w:rPr>
          <w:rFonts w:hint="cs"/>
          <w:rtl/>
          <w:lang w:bidi="he-IL"/>
        </w:rPr>
        <w:t xml:space="preserve"> הביא אותה להתגבר על קשייה ולחשוף את סיפורה המלא. ביטוי </w:t>
      </w:r>
      <w:r w:rsidR="004E6120">
        <w:rPr>
          <w:rFonts w:hint="cs"/>
          <w:rtl/>
          <w:lang w:bidi="he-IL"/>
        </w:rPr>
        <w:t xml:space="preserve">אף </w:t>
      </w:r>
      <w:r w:rsidR="00A90BC7">
        <w:rPr>
          <w:rFonts w:hint="cs"/>
          <w:rtl/>
          <w:lang w:bidi="he-IL"/>
        </w:rPr>
        <w:t xml:space="preserve">משמעותי יותר </w:t>
      </w:r>
      <w:r w:rsidR="005822EE">
        <w:rPr>
          <w:rFonts w:hint="cs"/>
          <w:rtl/>
          <w:lang w:bidi="he-IL"/>
        </w:rPr>
        <w:t xml:space="preserve">לכך, </w:t>
      </w:r>
      <w:r w:rsidR="00A90BC7">
        <w:rPr>
          <w:rFonts w:hint="cs"/>
          <w:rtl/>
          <w:lang w:bidi="he-IL"/>
        </w:rPr>
        <w:t>שחזר על עצמו במרבית העדויות</w:t>
      </w:r>
      <w:r w:rsidR="005822EE">
        <w:rPr>
          <w:rFonts w:hint="cs"/>
          <w:rtl/>
          <w:lang w:bidi="he-IL"/>
        </w:rPr>
        <w:t>,</w:t>
      </w:r>
      <w:r w:rsidR="00A90BC7">
        <w:rPr>
          <w:rFonts w:hint="cs"/>
          <w:rtl/>
          <w:lang w:bidi="he-IL"/>
        </w:rPr>
        <w:t xml:space="preserve"> הוא הדגש שניתן בהן ל</w:t>
      </w:r>
      <w:r w:rsidR="004E6120">
        <w:rPr>
          <w:rFonts w:hint="cs"/>
          <w:rtl/>
          <w:lang w:bidi="he-IL"/>
        </w:rPr>
        <w:t>מה שנתפס בעיניי העדים כ</w:t>
      </w:r>
      <w:r w:rsidR="00A90BC7">
        <w:rPr>
          <w:rFonts w:hint="cs"/>
          <w:rtl/>
          <w:lang w:bidi="he-IL"/>
        </w:rPr>
        <w:t xml:space="preserve">ניצחון על מנגלה, אם באמצעות עליה לישראל והשתקעות בה ואם באמצעות התפתחות אישית ומקצועית. </w:t>
      </w:r>
      <w:r w:rsidR="005D4B55">
        <w:rPr>
          <w:rFonts w:hint="cs"/>
          <w:rtl/>
          <w:lang w:bidi="he-IL"/>
        </w:rPr>
        <w:t xml:space="preserve">אך נדמה מאותן עדויות, שהניצחון הגדול ביותר מצא ביטוי בילודה והעמדת צאצאים. </w:t>
      </w:r>
      <w:r w:rsidR="00A90BC7">
        <w:rPr>
          <w:rFonts w:hint="cs"/>
          <w:rtl/>
          <w:lang w:bidi="he-IL"/>
        </w:rPr>
        <w:t xml:space="preserve">רבים מבין העדים שסיפרו על התעללות פיזית בהם במסגרת הניסויים שערך מנגלה, </w:t>
      </w:r>
      <w:r w:rsidR="00214F22">
        <w:rPr>
          <w:rFonts w:hint="cs"/>
          <w:rtl/>
          <w:lang w:bidi="he-IL"/>
        </w:rPr>
        <w:t>לרבות ניסויים שפגעו בדרך זו או אחרת ב</w:t>
      </w:r>
      <w:r w:rsidR="005D4B55">
        <w:rPr>
          <w:rFonts w:hint="cs"/>
          <w:rtl/>
          <w:lang w:bidi="he-IL"/>
        </w:rPr>
        <w:t>יכולת</w:t>
      </w:r>
      <w:r w:rsidR="00214F22">
        <w:rPr>
          <w:rFonts w:hint="cs"/>
          <w:rtl/>
          <w:lang w:bidi="he-IL"/>
        </w:rPr>
        <w:t xml:space="preserve"> הרבייה שלהם, </w:t>
      </w:r>
      <w:r w:rsidR="00A90BC7">
        <w:rPr>
          <w:rFonts w:hint="cs"/>
          <w:rtl/>
          <w:lang w:bidi="he-IL"/>
        </w:rPr>
        <w:t>טרחו להדגיש כי למרות ייסורי הגוף והנפש</w:t>
      </w:r>
      <w:r w:rsidR="00214F22">
        <w:rPr>
          <w:rFonts w:hint="cs"/>
          <w:rtl/>
          <w:lang w:bidi="he-IL"/>
        </w:rPr>
        <w:t>,</w:t>
      </w:r>
      <w:r w:rsidR="00A90BC7">
        <w:rPr>
          <w:rFonts w:hint="cs"/>
          <w:rtl/>
          <w:lang w:bidi="he-IL"/>
        </w:rPr>
        <w:t xml:space="preserve"> </w:t>
      </w:r>
      <w:r w:rsidR="00214F22">
        <w:rPr>
          <w:rFonts w:hint="cs"/>
          <w:rtl/>
          <w:lang w:bidi="he-IL"/>
        </w:rPr>
        <w:t xml:space="preserve">בסופו של דבר </w:t>
      </w:r>
      <w:r w:rsidR="00A90BC7">
        <w:rPr>
          <w:rFonts w:hint="cs"/>
          <w:rtl/>
          <w:lang w:bidi="he-IL"/>
        </w:rPr>
        <w:t>הם נישאו, הביאו ילדים</w:t>
      </w:r>
      <w:r w:rsidR="005D4B55">
        <w:rPr>
          <w:rFonts w:hint="cs"/>
          <w:rtl/>
          <w:lang w:bidi="he-IL"/>
        </w:rPr>
        <w:t xml:space="preserve"> לעולם והקימו משפח</w:t>
      </w:r>
      <w:r w:rsidR="007F4E39">
        <w:rPr>
          <w:rFonts w:hint="cs"/>
          <w:rtl/>
          <w:lang w:bidi="he-IL"/>
        </w:rPr>
        <w:t>ות</w:t>
      </w:r>
      <w:r w:rsidR="005D4B55">
        <w:rPr>
          <w:rFonts w:hint="cs"/>
          <w:rtl/>
          <w:lang w:bidi="he-IL"/>
        </w:rPr>
        <w:t xml:space="preserve"> לתפארת. חלק מהעדים</w:t>
      </w:r>
      <w:r w:rsidR="00A90BC7">
        <w:rPr>
          <w:rFonts w:hint="cs"/>
          <w:rtl/>
          <w:lang w:bidi="he-IL"/>
        </w:rPr>
        <w:t xml:space="preserve"> אף ביקשו להוסיף דברים בתום העדות שבה תיארו את הפשעים שביצע מנגלה, </w:t>
      </w:r>
      <w:r w:rsidR="00A97133">
        <w:rPr>
          <w:rFonts w:hint="cs"/>
          <w:rtl/>
          <w:lang w:bidi="he-IL"/>
        </w:rPr>
        <w:t xml:space="preserve">ומשניתנה להם הרשות לעשות כן, הם הדגישו לקחים שונים שלדעתם עולים מסיפורם </w:t>
      </w:r>
      <w:r w:rsidR="00A97133">
        <w:rPr>
          <w:rtl/>
          <w:lang w:bidi="he-IL"/>
        </w:rPr>
        <w:t>–</w:t>
      </w:r>
      <w:r w:rsidR="00A97133">
        <w:rPr>
          <w:rFonts w:hint="cs"/>
          <w:rtl/>
          <w:lang w:bidi="he-IL"/>
        </w:rPr>
        <w:t xml:space="preserve"> כגון היותה של מדינת ישראל מקלט לעם היהודי, ההכרח להילחם באנטישמיות, או ניצחון הרוח והאמונה. חלקם אף הגדילו לעשות ופנו בדברים אל מנגלה עצמו, משל היה נוכח באולם</w:t>
      </w:r>
      <w:r w:rsidR="00B44451">
        <w:rPr>
          <w:rFonts w:hint="cs"/>
          <w:rtl/>
          <w:lang w:bidi="he-IL"/>
        </w:rPr>
        <w:t xml:space="preserve"> ושמע את דבריהם. העדה ורה </w:t>
      </w:r>
      <w:proofErr w:type="spellStart"/>
      <w:r w:rsidR="00B44451">
        <w:rPr>
          <w:rFonts w:hint="cs"/>
          <w:rtl/>
          <w:lang w:bidi="he-IL"/>
        </w:rPr>
        <w:t>קריגל</w:t>
      </w:r>
      <w:proofErr w:type="spellEnd"/>
      <w:r w:rsidR="00B44451">
        <w:rPr>
          <w:rFonts w:hint="cs"/>
          <w:rtl/>
          <w:lang w:bidi="he-IL"/>
        </w:rPr>
        <w:t xml:space="preserve"> (</w:t>
      </w:r>
      <w:r w:rsidR="00B44451">
        <w:rPr>
          <w:lang w:bidi="he-IL"/>
        </w:rPr>
        <w:t xml:space="preserve"> </w:t>
      </w:r>
      <w:r w:rsidR="00B44451" w:rsidRPr="00B44451">
        <w:rPr>
          <w:lang w:bidi="he-IL"/>
        </w:rPr>
        <w:t>Vera Kregel</w:t>
      </w:r>
      <w:r w:rsidR="00B44451">
        <w:rPr>
          <w:rFonts w:hint="cs"/>
          <w:rtl/>
          <w:lang w:bidi="he-IL"/>
        </w:rPr>
        <w:t xml:space="preserve">) </w:t>
      </w:r>
      <w:r w:rsidR="00A97133">
        <w:rPr>
          <w:rFonts w:hint="cs"/>
          <w:rtl/>
          <w:lang w:bidi="he-IL"/>
        </w:rPr>
        <w:t>סיפרה, למשל, כי לה "</w:t>
      </w:r>
      <w:proofErr w:type="spellStart"/>
      <w:r w:rsidR="00A97133" w:rsidRPr="00A97133">
        <w:rPr>
          <w:rtl/>
          <w:lang w:bidi="he-IL"/>
        </w:rPr>
        <w:t>היתה</w:t>
      </w:r>
      <w:proofErr w:type="spellEnd"/>
      <w:r w:rsidR="00A97133" w:rsidRPr="00A97133">
        <w:rPr>
          <w:rtl/>
          <w:lang w:bidi="he-IL"/>
        </w:rPr>
        <w:t xml:space="preserve"> מלחמה פרטית עם מנגלה</w:t>
      </w:r>
      <w:r w:rsidR="00A97133">
        <w:rPr>
          <w:rFonts w:hint="cs"/>
          <w:rtl/>
          <w:lang w:bidi="he-IL"/>
        </w:rPr>
        <w:t xml:space="preserve">" שהפריד אותה בכוח מאמה, וכי "הנקמה שלי </w:t>
      </w:r>
      <w:proofErr w:type="spellStart"/>
      <w:r w:rsidR="00A97133">
        <w:rPr>
          <w:rFonts w:hint="cs"/>
          <w:rtl/>
          <w:lang w:bidi="he-IL"/>
        </w:rPr>
        <w:t>היתה</w:t>
      </w:r>
      <w:proofErr w:type="spellEnd"/>
      <w:r w:rsidR="00A97133">
        <w:rPr>
          <w:rFonts w:hint="cs"/>
          <w:rtl/>
          <w:lang w:bidi="he-IL"/>
        </w:rPr>
        <w:t xml:space="preserve"> לא להיות ממושמעת". גברת סרס, בתם של שני רופאים, סיפרה כיצד קברה בידיה החשופות את אמה שמתה מטיפוס במחנה, ולפתע נשבר קולה: </w:t>
      </w:r>
      <w:r w:rsidR="00A97133" w:rsidRPr="00A97133">
        <w:rPr>
          <w:rtl/>
          <w:lang w:bidi="he-IL"/>
        </w:rPr>
        <w:t xml:space="preserve">"כיסיתי את </w:t>
      </w:r>
      <w:proofErr w:type="spellStart"/>
      <w:r w:rsidR="00A97133" w:rsidRPr="00A97133">
        <w:rPr>
          <w:rtl/>
          <w:lang w:bidi="he-IL"/>
        </w:rPr>
        <w:t>אמא</w:t>
      </w:r>
      <w:proofErr w:type="spellEnd"/>
      <w:r w:rsidR="00A97133" w:rsidRPr="00A97133">
        <w:rPr>
          <w:rtl/>
          <w:lang w:bidi="he-IL"/>
        </w:rPr>
        <w:t xml:space="preserve"> שלי בשתי ידיים בקבר הזה ונשבעתי </w:t>
      </w:r>
      <w:proofErr w:type="spellStart"/>
      <w:r w:rsidR="00A97133" w:rsidRPr="00A97133">
        <w:rPr>
          <w:rtl/>
          <w:lang w:bidi="he-IL"/>
        </w:rPr>
        <w:t>לאמא</w:t>
      </w:r>
      <w:proofErr w:type="spellEnd"/>
      <w:r w:rsidR="00A97133" w:rsidRPr="00A97133">
        <w:rPr>
          <w:rtl/>
          <w:lang w:bidi="he-IL"/>
        </w:rPr>
        <w:t xml:space="preserve"> שלי שאני פעם אנקום בד"ר מנגלה</w:t>
      </w:r>
      <w:r w:rsidR="00A97133">
        <w:rPr>
          <w:rFonts w:hint="cs"/>
          <w:rtl/>
          <w:lang w:bidi="he-IL"/>
        </w:rPr>
        <w:t>,</w:t>
      </w:r>
      <w:r w:rsidR="00A97133" w:rsidRPr="00A97133">
        <w:rPr>
          <w:rtl/>
          <w:lang w:bidi="he-IL"/>
        </w:rPr>
        <w:t xml:space="preserve"> ואם אתה שומע אותי, אם אתה רואה אותי תדע לך שאני קצינה ואני נהייתי אחות ראשית, ואתה יכול להיות גאה בי שאני לא נשברתי שם".</w:t>
      </w:r>
    </w:p>
    <w:p w:rsidR="0072701B" w:rsidRDefault="0072701B" w:rsidP="001C10E3">
      <w:pPr>
        <w:tabs>
          <w:tab w:val="left" w:pos="800"/>
        </w:tabs>
        <w:overflowPunct w:val="0"/>
        <w:autoSpaceDE w:val="0"/>
        <w:autoSpaceDN w:val="0"/>
        <w:adjustRightInd w:val="0"/>
        <w:textAlignment w:val="baseline"/>
        <w:rPr>
          <w:rtl/>
          <w:lang w:bidi="he-IL"/>
        </w:rPr>
      </w:pPr>
    </w:p>
    <w:p w:rsidR="00256685" w:rsidRDefault="00214F22" w:rsidP="004B7CC0">
      <w:pPr>
        <w:tabs>
          <w:tab w:val="left" w:pos="800"/>
        </w:tabs>
        <w:overflowPunct w:val="0"/>
        <w:autoSpaceDE w:val="0"/>
        <w:autoSpaceDN w:val="0"/>
        <w:adjustRightInd w:val="0"/>
        <w:textAlignment w:val="baseline"/>
        <w:rPr>
          <w:rtl/>
          <w:lang w:bidi="he-IL"/>
        </w:rPr>
      </w:pPr>
      <w:r>
        <w:rPr>
          <w:rtl/>
          <w:lang w:bidi="he-IL"/>
        </w:rPr>
        <w:tab/>
      </w:r>
      <w:r>
        <w:rPr>
          <w:rFonts w:hint="cs"/>
          <w:rtl/>
          <w:lang w:bidi="he-IL"/>
        </w:rPr>
        <w:t>הדוגמה המובהקת ביותר להמחשת הטענה כי ההליך נתן לניצולים מרחב בטוח ומצמיח לספר את סיפור היש</w:t>
      </w:r>
      <w:r w:rsidR="00B44451">
        <w:rPr>
          <w:rFonts w:hint="cs"/>
          <w:rtl/>
          <w:lang w:bidi="he-IL"/>
        </w:rPr>
        <w:t>רדותם נמצאת בעדות האחרונה</w:t>
      </w:r>
      <w:r>
        <w:rPr>
          <w:rFonts w:hint="cs"/>
          <w:rtl/>
          <w:lang w:bidi="he-IL"/>
        </w:rPr>
        <w:t xml:space="preserve">, של העדה רות אליעז. </w:t>
      </w:r>
      <w:r w:rsidR="00180D9D">
        <w:rPr>
          <w:rFonts w:hint="cs"/>
          <w:rtl/>
          <w:lang w:bidi="he-IL"/>
        </w:rPr>
        <w:t>בקול שקט אך יציב, בשפה רהוטה וקולחת, פרשה אליעז בפני קהל המאזינים את עדותה המצמררת</w:t>
      </w:r>
      <w:r w:rsidR="00B44451">
        <w:rPr>
          <w:rFonts w:hint="cs"/>
          <w:rtl/>
          <w:lang w:bidi="he-IL"/>
        </w:rPr>
        <w:t>. היא סיפרה</w:t>
      </w:r>
      <w:r w:rsidR="00180D9D">
        <w:rPr>
          <w:rFonts w:hint="cs"/>
          <w:rtl/>
          <w:lang w:bidi="he-IL"/>
        </w:rPr>
        <w:t xml:space="preserve"> על לידת בתה התינוקת במחנה הנשים באושוויץ, ועל הפקודה ש</w:t>
      </w:r>
      <w:r w:rsidR="004B7CC0">
        <w:rPr>
          <w:rFonts w:hint="cs"/>
          <w:rtl/>
          <w:lang w:bidi="he-IL"/>
        </w:rPr>
        <w:t>פקד מנגלה על הבלוק-</w:t>
      </w:r>
      <w:proofErr w:type="spellStart"/>
      <w:r w:rsidR="004B7CC0">
        <w:rPr>
          <w:rFonts w:hint="cs"/>
          <w:rtl/>
          <w:lang w:bidi="he-IL"/>
        </w:rPr>
        <w:t>אלטסטה</w:t>
      </w:r>
      <w:proofErr w:type="spellEnd"/>
      <w:r w:rsidR="004B7CC0">
        <w:rPr>
          <w:rFonts w:hint="cs"/>
          <w:rtl/>
          <w:lang w:bidi="he-IL"/>
        </w:rPr>
        <w:t xml:space="preserve"> לכרוך רצועת בד סביב חזה ולמנוע ממנה להניק את התינוקת</w:t>
      </w:r>
      <w:r w:rsidR="00180D9D">
        <w:rPr>
          <w:rFonts w:hint="cs"/>
          <w:rtl/>
          <w:lang w:bidi="he-IL"/>
        </w:rPr>
        <w:t xml:space="preserve">, על מנת </w:t>
      </w:r>
      <w:r w:rsidR="004B7CC0">
        <w:rPr>
          <w:rFonts w:hint="cs"/>
          <w:rtl/>
          <w:lang w:bidi="he-IL"/>
        </w:rPr>
        <w:t xml:space="preserve">לערוך ניסוי מהו פרק הזמן שיעבור עד </w:t>
      </w:r>
      <w:r w:rsidR="00180D9D">
        <w:rPr>
          <w:rFonts w:hint="cs"/>
          <w:rtl/>
          <w:lang w:bidi="he-IL"/>
        </w:rPr>
        <w:t xml:space="preserve">שתגווע ברעב. </w:t>
      </w:r>
      <w:r w:rsidR="004B7CC0">
        <w:rPr>
          <w:rFonts w:hint="cs"/>
          <w:rtl/>
          <w:lang w:bidi="he-IL"/>
        </w:rPr>
        <w:t>אליעז סיפרה כי כעבור ש</w:t>
      </w:r>
      <w:r w:rsidR="00B44451">
        <w:rPr>
          <w:rFonts w:hint="cs"/>
          <w:rtl/>
          <w:lang w:bidi="he-IL"/>
        </w:rPr>
        <w:t>י</w:t>
      </w:r>
      <w:r w:rsidR="004B7CC0">
        <w:rPr>
          <w:rFonts w:hint="cs"/>
          <w:rtl/>
          <w:lang w:bidi="he-IL"/>
        </w:rPr>
        <w:t xml:space="preserve">שה או שבעה ימים נחלשה התינוקת עד כדי כך שלא נותר בה עוד כוח לבכות, ומנגלה הודיע שלמחרת היום תישלחנה היא ובתה לתאי הגזים. היא פרצה בבכי מרורים, ורופאה </w:t>
      </w:r>
      <w:proofErr w:type="spellStart"/>
      <w:r w:rsidR="004B7CC0">
        <w:rPr>
          <w:rFonts w:hint="cs"/>
          <w:rtl/>
          <w:lang w:bidi="he-IL"/>
        </w:rPr>
        <w:t>יהודיה</w:t>
      </w:r>
      <w:proofErr w:type="spellEnd"/>
      <w:r w:rsidR="004B7CC0">
        <w:rPr>
          <w:rFonts w:hint="cs"/>
          <w:rtl/>
          <w:lang w:bidi="he-IL"/>
        </w:rPr>
        <w:t xml:space="preserve"> </w:t>
      </w:r>
      <w:proofErr w:type="spellStart"/>
      <w:r w:rsidR="004B7CC0">
        <w:rPr>
          <w:rFonts w:hint="cs"/>
          <w:rtl/>
          <w:lang w:bidi="he-IL"/>
        </w:rPr>
        <w:t>שהיתה</w:t>
      </w:r>
      <w:proofErr w:type="spellEnd"/>
      <w:r w:rsidR="004B7CC0">
        <w:rPr>
          <w:rFonts w:hint="cs"/>
          <w:rtl/>
          <w:lang w:bidi="he-IL"/>
        </w:rPr>
        <w:t xml:space="preserve"> אסירה עמה בבלוק נחלצה לעזרתה. במה שנדמה כרגע השיא של עדותה, סיפרה:</w:t>
      </w:r>
    </w:p>
    <w:p w:rsidR="004B7CC0" w:rsidRPr="00E509FC" w:rsidRDefault="004B7CC0" w:rsidP="00E509FC">
      <w:pPr>
        <w:pStyle w:val="IQ"/>
        <w:suppressAutoHyphens/>
        <w:ind w:left="862" w:right="431"/>
        <w:jc w:val="both"/>
        <w:rPr>
          <w:szCs w:val="24"/>
          <w:rtl/>
          <w:lang w:bidi="he-IL"/>
        </w:rPr>
      </w:pPr>
      <w:r w:rsidRPr="00E509FC">
        <w:rPr>
          <w:szCs w:val="24"/>
        </w:rPr>
        <w:t>"After the lights went off, she came back with a syringe in her hand. She told me to give it to my child. I asked what it was and she said it was morphine. It will kill my child, it cannot live anymore. She told me that I was young and that she had taken the Hippocratic Oath. She said that she must save my life but that my child would not last. She talked and talked and talked until I did it. I murdered my own child. In the morning, Mengele arrived. I was prepared to go, but he didn't want me, he only wanted my child. He couldn't find the corpse in piles of corpses. He came back to me, telling me that I was lucky and that I would be leaving Auschwitz on the next transport".</w:t>
      </w:r>
    </w:p>
    <w:p w:rsidR="00E509FC" w:rsidRDefault="00E509FC" w:rsidP="00E46F56">
      <w:pPr>
        <w:tabs>
          <w:tab w:val="left" w:pos="800"/>
        </w:tabs>
        <w:overflowPunct w:val="0"/>
        <w:autoSpaceDE w:val="0"/>
        <w:autoSpaceDN w:val="0"/>
        <w:adjustRightInd w:val="0"/>
        <w:textAlignment w:val="baseline"/>
        <w:rPr>
          <w:rtl/>
          <w:lang w:bidi="he-IL"/>
        </w:rPr>
      </w:pPr>
    </w:p>
    <w:p w:rsidR="00E46F56" w:rsidRDefault="00E46F56" w:rsidP="00E46F56">
      <w:pPr>
        <w:tabs>
          <w:tab w:val="left" w:pos="800"/>
        </w:tabs>
        <w:overflowPunct w:val="0"/>
        <w:autoSpaceDE w:val="0"/>
        <w:autoSpaceDN w:val="0"/>
        <w:adjustRightInd w:val="0"/>
        <w:textAlignment w:val="baseline"/>
        <w:rPr>
          <w:rtl/>
          <w:lang w:bidi="he-IL"/>
        </w:rPr>
      </w:pPr>
      <w:r>
        <w:rPr>
          <w:rFonts w:hint="cs"/>
          <w:rtl/>
          <w:lang w:bidi="he-IL"/>
        </w:rPr>
        <w:t xml:space="preserve">אליעז הוסיפה וסיפרה בקצרה את קורותיה עד תום המלחמה, וכאשר נשאלה על ידי טרלו: "את נשואה? יש לך ילדים?" השיבה בחיוב, וביקשה "לספר משהו שלא קשור </w:t>
      </w:r>
      <w:proofErr w:type="spellStart"/>
      <w:r>
        <w:rPr>
          <w:rFonts w:hint="cs"/>
          <w:rtl/>
          <w:lang w:bidi="he-IL"/>
        </w:rPr>
        <w:t>למנגלה</w:t>
      </w:r>
      <w:proofErr w:type="spellEnd"/>
      <w:r>
        <w:rPr>
          <w:rFonts w:hint="cs"/>
          <w:rtl/>
          <w:lang w:bidi="he-IL"/>
        </w:rPr>
        <w:t>". וכך אמרה:</w:t>
      </w:r>
    </w:p>
    <w:p w:rsidR="004B7CC0" w:rsidRPr="00E509FC" w:rsidRDefault="00E46F56" w:rsidP="00B44451">
      <w:pPr>
        <w:pStyle w:val="IQ"/>
        <w:suppressAutoHyphens/>
        <w:ind w:left="862" w:right="431"/>
        <w:jc w:val="both"/>
        <w:rPr>
          <w:szCs w:val="24"/>
          <w:rtl/>
          <w:lang w:bidi="he-IL"/>
        </w:rPr>
      </w:pPr>
      <w:r w:rsidRPr="00E509FC">
        <w:rPr>
          <w:szCs w:val="24"/>
        </w:rPr>
        <w:t>"</w:t>
      </w:r>
      <w:r w:rsidR="004B7CC0" w:rsidRPr="00E509FC">
        <w:rPr>
          <w:szCs w:val="24"/>
        </w:rPr>
        <w:t>I had only one wish</w:t>
      </w:r>
      <w:r w:rsidRPr="00E509FC">
        <w:rPr>
          <w:szCs w:val="24"/>
        </w:rPr>
        <w:t>,</w:t>
      </w:r>
      <w:r w:rsidR="004B7CC0" w:rsidRPr="00E509FC">
        <w:rPr>
          <w:szCs w:val="24"/>
        </w:rPr>
        <w:t xml:space="preserve"> to leave Europe where I had this terrible trauma. My only wish was to go to Israel. Among those survivors </w:t>
      </w:r>
      <w:r w:rsidR="00B44451">
        <w:rPr>
          <w:szCs w:val="24"/>
        </w:rPr>
        <w:t>…</w:t>
      </w:r>
      <w:r w:rsidR="004B7CC0" w:rsidRPr="00E509FC">
        <w:rPr>
          <w:szCs w:val="24"/>
        </w:rPr>
        <w:t xml:space="preserve"> was my present husband who also lost a wife and child. We went together to Israel and I am very proud that I have the honor to be in Israel where I was able to raise a new family with roots in my very beloved country</w:t>
      </w:r>
      <w:r w:rsidRPr="00E509FC">
        <w:rPr>
          <w:szCs w:val="24"/>
        </w:rPr>
        <w:t>"</w:t>
      </w:r>
      <w:r w:rsidR="004B7CC0" w:rsidRPr="00E509FC">
        <w:rPr>
          <w:szCs w:val="24"/>
        </w:rPr>
        <w:t>.</w:t>
      </w:r>
    </w:p>
    <w:p w:rsidR="00E509FC" w:rsidRDefault="00E509FC" w:rsidP="002F3255">
      <w:pPr>
        <w:tabs>
          <w:tab w:val="left" w:pos="800"/>
        </w:tabs>
        <w:overflowPunct w:val="0"/>
        <w:autoSpaceDE w:val="0"/>
        <w:autoSpaceDN w:val="0"/>
        <w:adjustRightInd w:val="0"/>
        <w:textAlignment w:val="baseline"/>
        <w:rPr>
          <w:rtl/>
          <w:lang w:bidi="he-IL"/>
        </w:rPr>
      </w:pPr>
    </w:p>
    <w:p w:rsidR="004B7CC0" w:rsidRDefault="008E4E59" w:rsidP="004D3692">
      <w:pPr>
        <w:tabs>
          <w:tab w:val="left" w:pos="800"/>
        </w:tabs>
        <w:overflowPunct w:val="0"/>
        <w:autoSpaceDE w:val="0"/>
        <w:autoSpaceDN w:val="0"/>
        <w:adjustRightInd w:val="0"/>
        <w:textAlignment w:val="baseline"/>
        <w:rPr>
          <w:rtl/>
          <w:lang w:bidi="he-IL"/>
        </w:rPr>
      </w:pPr>
      <w:r>
        <w:rPr>
          <w:rFonts w:hint="cs"/>
          <w:rtl/>
          <w:lang w:bidi="he-IL"/>
        </w:rPr>
        <w:t xml:space="preserve">לא בכדי נבחרה אליעז לחתום את מסכת העדויות במשפט, כפי שמעידה בין היתר </w:t>
      </w:r>
      <w:r w:rsidR="00EA6AA8">
        <w:rPr>
          <w:rFonts w:hint="cs"/>
          <w:rtl/>
          <w:lang w:bidi="he-IL"/>
        </w:rPr>
        <w:t xml:space="preserve">העובדה שהתבקשה על ידי טרלו </w:t>
      </w:r>
      <w:r w:rsidR="00CD0A67">
        <w:rPr>
          <w:rFonts w:hint="cs"/>
          <w:rtl/>
          <w:lang w:bidi="he-IL"/>
        </w:rPr>
        <w:t>למסור את עדותה</w:t>
      </w:r>
      <w:r w:rsidR="00591F12">
        <w:rPr>
          <w:rFonts w:hint="cs"/>
          <w:rtl/>
          <w:lang w:bidi="he-IL"/>
        </w:rPr>
        <w:t xml:space="preserve"> באנגלית</w:t>
      </w:r>
      <w:r w:rsidR="00EA6AA8">
        <w:rPr>
          <w:rFonts w:hint="cs"/>
          <w:rtl/>
          <w:lang w:bidi="he-IL"/>
        </w:rPr>
        <w:t>.</w:t>
      </w:r>
      <w:r w:rsidR="00CD0A67">
        <w:rPr>
          <w:rFonts w:hint="cs"/>
          <w:rtl/>
          <w:lang w:bidi="he-IL"/>
        </w:rPr>
        <w:t xml:space="preserve"> ניכר היטב מעדותה כי </w:t>
      </w:r>
      <w:r w:rsidR="00591F12">
        <w:rPr>
          <w:rFonts w:hint="cs"/>
          <w:rtl/>
          <w:lang w:bidi="he-IL"/>
        </w:rPr>
        <w:t xml:space="preserve">לא </w:t>
      </w:r>
      <w:proofErr w:type="spellStart"/>
      <w:r w:rsidR="00591F12">
        <w:rPr>
          <w:rFonts w:hint="cs"/>
          <w:rtl/>
          <w:lang w:bidi="he-IL"/>
        </w:rPr>
        <w:t>היתה</w:t>
      </w:r>
      <w:proofErr w:type="spellEnd"/>
      <w:r w:rsidR="00CD0A67">
        <w:rPr>
          <w:rFonts w:hint="cs"/>
          <w:rtl/>
          <w:lang w:bidi="he-IL"/>
        </w:rPr>
        <w:t xml:space="preserve"> זו הפעם</w:t>
      </w:r>
      <w:r w:rsidR="007F4E39">
        <w:rPr>
          <w:rFonts w:hint="cs"/>
          <w:rtl/>
          <w:lang w:bidi="he-IL"/>
        </w:rPr>
        <w:t xml:space="preserve"> הראשונה</w:t>
      </w:r>
      <w:r w:rsidR="00CD0A67">
        <w:rPr>
          <w:rFonts w:hint="cs"/>
          <w:rtl/>
          <w:lang w:bidi="he-IL"/>
        </w:rPr>
        <w:t xml:space="preserve"> שבה </w:t>
      </w:r>
      <w:r w:rsidR="00591F12">
        <w:rPr>
          <w:rFonts w:hint="cs"/>
          <w:rtl/>
          <w:lang w:bidi="he-IL"/>
        </w:rPr>
        <w:t>מסרה</w:t>
      </w:r>
      <w:r w:rsidR="00CD0A67">
        <w:rPr>
          <w:rFonts w:hint="cs"/>
          <w:rtl/>
          <w:lang w:bidi="he-IL"/>
        </w:rPr>
        <w:t xml:space="preserve"> עדות בפני קהל. למעשה, אליעז </w:t>
      </w:r>
      <w:proofErr w:type="spellStart"/>
      <w:r w:rsidR="00CD0A67">
        <w:rPr>
          <w:rFonts w:hint="cs"/>
          <w:rtl/>
          <w:lang w:bidi="he-IL"/>
        </w:rPr>
        <w:t>הי</w:t>
      </w:r>
      <w:r w:rsidR="004D3692">
        <w:rPr>
          <w:rFonts w:hint="cs"/>
          <w:rtl/>
          <w:lang w:bidi="he-IL"/>
        </w:rPr>
        <w:t>תה</w:t>
      </w:r>
      <w:proofErr w:type="spellEnd"/>
      <w:r w:rsidR="00CD0A67">
        <w:rPr>
          <w:rFonts w:hint="cs"/>
          <w:rtl/>
          <w:lang w:bidi="he-IL"/>
        </w:rPr>
        <w:t xml:space="preserve"> אשת עדות ותיקה שמסרה את עדותה בבמות שונות בישראל ובגרמניה.</w:t>
      </w:r>
      <w:r w:rsidR="004D3692">
        <w:rPr>
          <w:rStyle w:val="FootnoteReference"/>
          <w:rtl/>
          <w:lang w:bidi="he-IL"/>
        </w:rPr>
        <w:footnoteReference w:id="30"/>
      </w:r>
      <w:r w:rsidR="00CD0A67">
        <w:rPr>
          <w:rFonts w:hint="cs"/>
          <w:rtl/>
          <w:lang w:bidi="he-IL"/>
        </w:rPr>
        <w:t xml:space="preserve"> בשנת 2004, כמעט </w:t>
      </w:r>
      <w:r w:rsidR="004D3692">
        <w:rPr>
          <w:rFonts w:hint="cs"/>
          <w:rtl/>
          <w:lang w:bidi="he-IL"/>
        </w:rPr>
        <w:t xml:space="preserve">שני </w:t>
      </w:r>
      <w:r w:rsidR="00CD0A67">
        <w:rPr>
          <w:rFonts w:hint="cs"/>
          <w:rtl/>
          <w:lang w:bidi="he-IL"/>
        </w:rPr>
        <w:t>עשור</w:t>
      </w:r>
      <w:r w:rsidR="004D3692">
        <w:rPr>
          <w:rFonts w:hint="cs"/>
          <w:rtl/>
          <w:lang w:bidi="he-IL"/>
        </w:rPr>
        <w:t>ים</w:t>
      </w:r>
      <w:r w:rsidR="00CD0A67">
        <w:rPr>
          <w:rFonts w:hint="cs"/>
          <w:rtl/>
          <w:lang w:bidi="he-IL"/>
        </w:rPr>
        <w:t xml:space="preserve"> לאחר עדותה במשפט מנגלה, היא אף נבחרה לשאת דברים כנציגת הניצולים בעצרת הממלכתית </w:t>
      </w:r>
      <w:r w:rsidR="004D3692">
        <w:rPr>
          <w:rFonts w:hint="cs"/>
          <w:rtl/>
          <w:lang w:bidi="he-IL"/>
        </w:rPr>
        <w:t xml:space="preserve">של </w:t>
      </w:r>
      <w:r w:rsidR="00CD0A67">
        <w:rPr>
          <w:rFonts w:hint="cs"/>
          <w:rtl/>
          <w:lang w:bidi="he-IL"/>
        </w:rPr>
        <w:t>יום הזיכרון לשואה ולגבורה ביד ושם.</w:t>
      </w:r>
      <w:r w:rsidR="004D3692">
        <w:rPr>
          <w:rStyle w:val="FootnoteReference"/>
          <w:rtl/>
          <w:lang w:bidi="he-IL"/>
        </w:rPr>
        <w:footnoteReference w:id="31"/>
      </w:r>
      <w:r w:rsidR="00CD0A67">
        <w:rPr>
          <w:rFonts w:hint="cs"/>
          <w:rtl/>
          <w:lang w:bidi="he-IL"/>
        </w:rPr>
        <w:t xml:space="preserve"> במובנים רבים היא נחשבת ל"עדה מקצועית" (</w:t>
      </w:r>
      <w:r w:rsidR="00CD0A67">
        <w:rPr>
          <w:lang w:bidi="he-IL"/>
        </w:rPr>
        <w:t>professional witness</w:t>
      </w:r>
      <w:r w:rsidR="00CD0A67">
        <w:rPr>
          <w:rFonts w:hint="cs"/>
          <w:rtl/>
          <w:lang w:bidi="he-IL"/>
        </w:rPr>
        <w:t>)</w:t>
      </w:r>
      <w:r w:rsidR="00EA6AA8" w:rsidRPr="00EA6AA8">
        <w:rPr>
          <w:rtl/>
        </w:rPr>
        <w:t>.</w:t>
      </w:r>
      <w:r w:rsidR="00EA6AA8" w:rsidRPr="00EA6AA8">
        <w:rPr>
          <w:vertAlign w:val="superscript"/>
          <w:rtl/>
        </w:rPr>
        <w:footnoteReference w:id="32"/>
      </w:r>
      <w:r w:rsidR="00CD0A67">
        <w:rPr>
          <w:rFonts w:hint="cs"/>
          <w:rtl/>
          <w:lang w:bidi="he-IL"/>
        </w:rPr>
        <w:t xml:space="preserve"> מצד אחד, עדותה הגשימה היטב את המטרות שנתלו בה ובקודמותיה: היא הציגה תשתית ראייתית מוצקה להעמדתו של מנגלה </w:t>
      </w:r>
      <w:r w:rsidR="004D3692">
        <w:rPr>
          <w:rFonts w:hint="cs"/>
          <w:rtl/>
          <w:lang w:bidi="he-IL"/>
        </w:rPr>
        <w:t xml:space="preserve">לדין </w:t>
      </w:r>
      <w:r w:rsidR="00CD0A67">
        <w:rPr>
          <w:rFonts w:hint="cs"/>
          <w:rtl/>
          <w:lang w:bidi="he-IL"/>
        </w:rPr>
        <w:t>באשמת רצח והתעללות, בהתבסס על עדות הקרבן; היא המחישה את החשיבות בתיעוד הזוועות; ו</w:t>
      </w:r>
      <w:r w:rsidR="002F3255">
        <w:rPr>
          <w:rFonts w:hint="cs"/>
          <w:rtl/>
          <w:lang w:bidi="he-IL"/>
        </w:rPr>
        <w:t xml:space="preserve">בהיותה קונקרטית, מדויקת וקשה מנשוא </w:t>
      </w:r>
      <w:r w:rsidR="002F3255">
        <w:rPr>
          <w:rtl/>
          <w:lang w:bidi="he-IL"/>
        </w:rPr>
        <w:t>–</w:t>
      </w:r>
      <w:r w:rsidR="002F3255">
        <w:rPr>
          <w:rFonts w:hint="cs"/>
          <w:rtl/>
          <w:lang w:bidi="he-IL"/>
        </w:rPr>
        <w:t xml:space="preserve"> הדגישה את המסרים הנוספים הנלווים למעמד. יחד עם זאת, מצד אחר, העדות נתנה גם לעדה עצמה במה ייחודית לספר בה את סיפורה בשטף</w:t>
      </w:r>
      <w:r w:rsidR="00360210">
        <w:rPr>
          <w:rFonts w:hint="cs"/>
          <w:rtl/>
          <w:lang w:bidi="he-IL"/>
        </w:rPr>
        <w:t>,</w:t>
      </w:r>
      <w:r w:rsidR="002F3255">
        <w:rPr>
          <w:rFonts w:hint="cs"/>
          <w:rtl/>
          <w:lang w:bidi="he-IL"/>
        </w:rPr>
        <w:t xml:space="preserve"> ובאמצעות "הסוף" שבחרה, להעניק לו את הפרשנות הרצויה בעיניה.</w:t>
      </w:r>
    </w:p>
    <w:p w:rsidR="00CD0A67" w:rsidRDefault="00CD0A67" w:rsidP="001C10E3">
      <w:pPr>
        <w:tabs>
          <w:tab w:val="left" w:pos="800"/>
        </w:tabs>
        <w:overflowPunct w:val="0"/>
        <w:autoSpaceDE w:val="0"/>
        <w:autoSpaceDN w:val="0"/>
        <w:adjustRightInd w:val="0"/>
        <w:textAlignment w:val="baseline"/>
        <w:rPr>
          <w:rtl/>
          <w:lang w:bidi="he-IL"/>
        </w:rPr>
      </w:pPr>
    </w:p>
    <w:p w:rsidR="00E05929" w:rsidRDefault="00796FDD" w:rsidP="00360210">
      <w:pPr>
        <w:tabs>
          <w:tab w:val="left" w:pos="800"/>
        </w:tabs>
        <w:overflowPunct w:val="0"/>
        <w:autoSpaceDE w:val="0"/>
        <w:autoSpaceDN w:val="0"/>
        <w:adjustRightInd w:val="0"/>
        <w:textAlignment w:val="baseline"/>
        <w:rPr>
          <w:rtl/>
          <w:lang w:bidi="he-IL"/>
        </w:rPr>
      </w:pPr>
      <w:r>
        <w:rPr>
          <w:rtl/>
          <w:lang w:bidi="he-IL"/>
        </w:rPr>
        <w:tab/>
      </w:r>
      <w:r w:rsidR="00E21CF2">
        <w:rPr>
          <w:rFonts w:hint="cs"/>
          <w:rtl/>
          <w:lang w:bidi="he-IL"/>
        </w:rPr>
        <w:t>אלמנט נוסף שהעניק</w:t>
      </w:r>
      <w:r>
        <w:rPr>
          <w:rFonts w:hint="cs"/>
          <w:rtl/>
          <w:lang w:bidi="he-IL"/>
        </w:rPr>
        <w:t xml:space="preserve"> </w:t>
      </w:r>
      <w:proofErr w:type="spellStart"/>
      <w:r>
        <w:rPr>
          <w:rFonts w:hint="cs"/>
          <w:rtl/>
          <w:lang w:bidi="he-IL"/>
        </w:rPr>
        <w:t>מימד</w:t>
      </w:r>
      <w:proofErr w:type="spellEnd"/>
      <w:r>
        <w:rPr>
          <w:rFonts w:hint="cs"/>
          <w:rtl/>
          <w:lang w:bidi="he-IL"/>
        </w:rPr>
        <w:t xml:space="preserve"> של כבוד והערכה כנה לע</w:t>
      </w:r>
      <w:r w:rsidR="00360210">
        <w:rPr>
          <w:rFonts w:hint="cs"/>
          <w:rtl/>
          <w:lang w:bidi="he-IL"/>
        </w:rPr>
        <w:t>ו</w:t>
      </w:r>
      <w:r>
        <w:rPr>
          <w:rFonts w:hint="cs"/>
          <w:rtl/>
          <w:lang w:bidi="he-IL"/>
        </w:rPr>
        <w:t xml:space="preserve">ז רוחם של העדים הניצולים </w:t>
      </w:r>
      <w:r>
        <w:rPr>
          <w:rtl/>
          <w:lang w:bidi="he-IL"/>
        </w:rPr>
        <w:t>–</w:t>
      </w:r>
      <w:r>
        <w:rPr>
          <w:rFonts w:hint="cs"/>
          <w:rtl/>
          <w:lang w:bidi="he-IL"/>
        </w:rPr>
        <w:t xml:space="preserve"> באופן המבדיל את המסגרת הנוכחית של מסי</w:t>
      </w:r>
      <w:r w:rsidR="00E21CF2">
        <w:rPr>
          <w:rFonts w:hint="cs"/>
          <w:rtl/>
          <w:lang w:bidi="he-IL"/>
        </w:rPr>
        <w:t xml:space="preserve">רת עדותם לעומת עדות בבית המשפט </w:t>
      </w:r>
      <w:r w:rsidR="00E21CF2">
        <w:rPr>
          <w:rtl/>
          <w:lang w:bidi="he-IL"/>
        </w:rPr>
        <w:t>–</w:t>
      </w:r>
      <w:r w:rsidR="00E21CF2">
        <w:rPr>
          <w:rFonts w:hint="cs"/>
          <w:rtl/>
          <w:lang w:bidi="he-IL"/>
        </w:rPr>
        <w:t xml:space="preserve"> היה </w:t>
      </w:r>
      <w:r w:rsidR="003D363A">
        <w:rPr>
          <w:rFonts w:hint="cs"/>
          <w:rtl/>
          <w:lang w:bidi="he-IL"/>
        </w:rPr>
        <w:t xml:space="preserve">מחיאות </w:t>
      </w:r>
      <w:r w:rsidR="00A6345E">
        <w:rPr>
          <w:rFonts w:hint="cs"/>
          <w:rtl/>
          <w:lang w:bidi="he-IL"/>
        </w:rPr>
        <w:t>ה</w:t>
      </w:r>
      <w:r w:rsidR="003D363A">
        <w:rPr>
          <w:rFonts w:hint="cs"/>
          <w:rtl/>
          <w:lang w:bidi="he-IL"/>
        </w:rPr>
        <w:t>כפיים</w:t>
      </w:r>
      <w:r w:rsidR="00A6345E">
        <w:rPr>
          <w:rFonts w:hint="cs"/>
          <w:rtl/>
          <w:lang w:bidi="he-IL"/>
        </w:rPr>
        <w:t xml:space="preserve"> שנשמעו בתום חלק מהעדויות, שהיו מרגשות במיוחד. בין אלו ניתן למנות את </w:t>
      </w:r>
      <w:r w:rsidR="00BA3824">
        <w:rPr>
          <w:rFonts w:hint="cs"/>
          <w:rtl/>
          <w:lang w:bidi="he-IL"/>
        </w:rPr>
        <w:t xml:space="preserve">עדותו של עזריאל נאמן </w:t>
      </w:r>
      <w:proofErr w:type="spellStart"/>
      <w:r w:rsidR="00360210" w:rsidRPr="00360210">
        <w:rPr>
          <w:lang w:bidi="he-IL"/>
        </w:rPr>
        <w:t>Azriel</w:t>
      </w:r>
      <w:proofErr w:type="spellEnd"/>
      <w:r w:rsidR="00360210" w:rsidRPr="00360210">
        <w:rPr>
          <w:lang w:bidi="he-IL"/>
        </w:rPr>
        <w:t xml:space="preserve"> </w:t>
      </w:r>
      <w:proofErr w:type="spellStart"/>
      <w:r w:rsidR="00360210" w:rsidRPr="00360210">
        <w:rPr>
          <w:lang w:bidi="he-IL"/>
        </w:rPr>
        <w:t>Neeman</w:t>
      </w:r>
      <w:proofErr w:type="spellEnd"/>
      <w:r w:rsidR="00360210">
        <w:rPr>
          <w:rFonts w:hint="cs"/>
          <w:rtl/>
          <w:lang w:bidi="he-IL"/>
        </w:rPr>
        <w:t>, שהיה רופא באושוויץ, וצבי שפיגל</w:t>
      </w:r>
      <w:r w:rsidR="00BA3824">
        <w:rPr>
          <w:rFonts w:hint="cs"/>
          <w:rtl/>
          <w:lang w:bidi="he-IL"/>
        </w:rPr>
        <w:t xml:space="preserve"> </w:t>
      </w:r>
      <w:proofErr w:type="spellStart"/>
      <w:r w:rsidR="00360210" w:rsidRPr="00360210">
        <w:rPr>
          <w:lang w:bidi="he-IL"/>
        </w:rPr>
        <w:t>Zvi</w:t>
      </w:r>
      <w:proofErr w:type="spellEnd"/>
      <w:r w:rsidR="00360210" w:rsidRPr="00360210">
        <w:rPr>
          <w:lang w:bidi="he-IL"/>
        </w:rPr>
        <w:t xml:space="preserve"> Spiegel</w:t>
      </w:r>
      <w:r w:rsidR="00360210">
        <w:rPr>
          <w:rFonts w:hint="cs"/>
          <w:rtl/>
          <w:lang w:bidi="he-IL"/>
        </w:rPr>
        <w:t xml:space="preserve">, </w:t>
      </w:r>
      <w:r w:rsidR="00BA3824">
        <w:rPr>
          <w:rFonts w:hint="cs"/>
          <w:rtl/>
          <w:lang w:bidi="he-IL"/>
        </w:rPr>
        <w:t>אח תאום בעצמו, שמונה על ידי מנגלה להיות אחראי על ילדים תאומים, דאג כמיטב יכולתו לרווחתם ואף הציל חלק מהם משליח</w:t>
      </w:r>
      <w:r w:rsidR="00360210">
        <w:rPr>
          <w:rFonts w:hint="cs"/>
          <w:rtl/>
          <w:lang w:bidi="he-IL"/>
        </w:rPr>
        <w:t>ה</w:t>
      </w:r>
      <w:r w:rsidR="00BA3824">
        <w:rPr>
          <w:rFonts w:hint="cs"/>
          <w:rtl/>
          <w:lang w:bidi="he-IL"/>
        </w:rPr>
        <w:t xml:space="preserve"> לתאי הגזים. בתום עדותו, ובתיווכו של טרלו, זוהה שפיגל על ידי חלק מהיושבים בקהל, שהיו בזמן המלחמה ילדים</w:t>
      </w:r>
      <w:r w:rsidR="00360210">
        <w:rPr>
          <w:rFonts w:hint="cs"/>
          <w:rtl/>
          <w:lang w:bidi="he-IL"/>
        </w:rPr>
        <w:t xml:space="preserve"> ונערים</w:t>
      </w:r>
      <w:r w:rsidR="00BA3824">
        <w:rPr>
          <w:rFonts w:hint="cs"/>
          <w:rtl/>
          <w:lang w:bidi="he-IL"/>
        </w:rPr>
        <w:t xml:space="preserve"> הנתונים לחסותו באושוויץ. עוד יש להזכיר את מחיאות הכפיים שהדהדו לאחר עדותה המרגשת של אליעז שתוארה לעיל, ולאחר עדותה של גברת ברוך, </w:t>
      </w:r>
      <w:proofErr w:type="spellStart"/>
      <w:r w:rsidR="00BA3824">
        <w:rPr>
          <w:rFonts w:hint="cs"/>
          <w:rtl/>
          <w:lang w:bidi="he-IL"/>
        </w:rPr>
        <w:t>שבהיותה</w:t>
      </w:r>
      <w:proofErr w:type="spellEnd"/>
      <w:r w:rsidR="00BA3824">
        <w:rPr>
          <w:rFonts w:hint="cs"/>
          <w:rtl/>
          <w:lang w:bidi="he-IL"/>
        </w:rPr>
        <w:t xml:space="preserve"> נערה בת 15 במחנה א</w:t>
      </w:r>
      <w:r w:rsidR="00360210">
        <w:rPr>
          <w:rFonts w:hint="cs"/>
          <w:rtl/>
          <w:lang w:bidi="he-IL"/>
        </w:rPr>
        <w:t>ו</w:t>
      </w:r>
      <w:r w:rsidR="00BA3824">
        <w:rPr>
          <w:rFonts w:hint="cs"/>
          <w:rtl/>
          <w:lang w:bidi="he-IL"/>
        </w:rPr>
        <w:t>לצה לעבור הקרנות וניתוח מסכן חיים בבטנה</w:t>
      </w:r>
      <w:r w:rsidR="00360210">
        <w:rPr>
          <w:rFonts w:hint="cs"/>
          <w:rtl/>
          <w:lang w:bidi="he-IL"/>
        </w:rPr>
        <w:t>,</w:t>
      </w:r>
      <w:r w:rsidR="00BA3824">
        <w:rPr>
          <w:rFonts w:hint="cs"/>
          <w:rtl/>
          <w:lang w:bidi="he-IL"/>
        </w:rPr>
        <w:t xml:space="preserve"> שלאחריו חשבה שלא תוכל עוד ללדת. בשני ההקשרים האחרונים, נדמה כי מחיאות הכפיים כוונו לכך </w:t>
      </w:r>
      <w:r w:rsidR="00E05929">
        <w:rPr>
          <w:rFonts w:hint="cs"/>
          <w:rtl/>
          <w:lang w:bidi="he-IL"/>
        </w:rPr>
        <w:t xml:space="preserve">שסיפוריהן של הנשים שימשו סמל לניצחון והמשכיות העם היהודי, על אף </w:t>
      </w:r>
      <w:proofErr w:type="spellStart"/>
      <w:r w:rsidR="00E05929">
        <w:rPr>
          <w:rFonts w:hint="cs"/>
          <w:rtl/>
          <w:lang w:bidi="he-IL"/>
        </w:rPr>
        <w:t>הנסיון</w:t>
      </w:r>
      <w:proofErr w:type="spellEnd"/>
      <w:r w:rsidR="00E05929">
        <w:rPr>
          <w:rFonts w:hint="cs"/>
          <w:rtl/>
          <w:lang w:bidi="he-IL"/>
        </w:rPr>
        <w:t xml:space="preserve"> להשמידו, מעין הגשמה חיה של התיאור המקראי "וכאשר יענה אותו כן ירבה וכן יפרוץ".</w:t>
      </w:r>
      <w:r w:rsidR="00E05929">
        <w:rPr>
          <w:rStyle w:val="FootnoteReference"/>
          <w:rtl/>
          <w:lang w:bidi="he-IL"/>
        </w:rPr>
        <w:footnoteReference w:id="33"/>
      </w:r>
      <w:r w:rsidR="00E21CF2">
        <w:rPr>
          <w:rFonts w:hint="cs"/>
          <w:rtl/>
          <w:lang w:bidi="he-IL"/>
        </w:rPr>
        <w:t xml:space="preserve"> </w:t>
      </w:r>
    </w:p>
    <w:p w:rsidR="00A6345E" w:rsidRDefault="00A6345E" w:rsidP="001C10E3">
      <w:pPr>
        <w:tabs>
          <w:tab w:val="left" w:pos="800"/>
        </w:tabs>
        <w:overflowPunct w:val="0"/>
        <w:autoSpaceDE w:val="0"/>
        <w:autoSpaceDN w:val="0"/>
        <w:adjustRightInd w:val="0"/>
        <w:textAlignment w:val="baseline"/>
        <w:rPr>
          <w:rtl/>
          <w:lang w:bidi="he-IL"/>
        </w:rPr>
      </w:pPr>
    </w:p>
    <w:p w:rsidR="009D458C" w:rsidRPr="00D82A88" w:rsidRDefault="00375FD0" w:rsidP="00A952A2">
      <w:pPr>
        <w:ind w:firstLine="720"/>
        <w:rPr>
          <w:color w:val="7030A0"/>
          <w:rtl/>
          <w:lang w:bidi="he-IL"/>
        </w:rPr>
      </w:pPr>
      <w:bookmarkStart w:id="2" w:name="_GoBack"/>
      <w:r w:rsidRPr="00D82A88">
        <w:rPr>
          <w:rFonts w:hint="cs"/>
          <w:color w:val="7030A0"/>
          <w:rtl/>
          <w:lang w:bidi="he-IL"/>
        </w:rPr>
        <w:lastRenderedPageBreak/>
        <w:t>בסיכומו של דבר, הרושם העיקרי שנותר מצפי</w:t>
      </w:r>
      <w:r w:rsidR="00B21659" w:rsidRPr="00D82A88">
        <w:rPr>
          <w:rFonts w:hint="cs"/>
          <w:color w:val="7030A0"/>
          <w:rtl/>
          <w:lang w:bidi="he-IL"/>
        </w:rPr>
        <w:t xml:space="preserve">ה בתיעוד החזותי של המשפט הוא המקום </w:t>
      </w:r>
      <w:r w:rsidR="00D5461E" w:rsidRPr="00D82A88">
        <w:rPr>
          <w:rFonts w:hint="cs"/>
          <w:color w:val="7030A0"/>
          <w:rtl/>
          <w:lang w:bidi="he-IL"/>
        </w:rPr>
        <w:t xml:space="preserve">המרכזי שניתן </w:t>
      </w:r>
      <w:r w:rsidR="00B21659" w:rsidRPr="00D82A88">
        <w:rPr>
          <w:rFonts w:hint="cs"/>
          <w:color w:val="7030A0"/>
          <w:rtl/>
          <w:lang w:bidi="he-IL"/>
        </w:rPr>
        <w:t>לניצולים לספר את</w:t>
      </w:r>
      <w:r w:rsidR="00D5461E" w:rsidRPr="00D82A88">
        <w:rPr>
          <w:rFonts w:hint="cs"/>
          <w:color w:val="7030A0"/>
          <w:rtl/>
          <w:lang w:bidi="he-IL"/>
        </w:rPr>
        <w:t xml:space="preserve"> סיפורם.</w:t>
      </w:r>
      <w:r w:rsidR="00B21659" w:rsidRPr="00D82A88">
        <w:rPr>
          <w:rFonts w:hint="cs"/>
          <w:color w:val="7030A0"/>
          <w:rtl/>
          <w:lang w:bidi="he-IL"/>
        </w:rPr>
        <w:t xml:space="preserve"> אך יותר מהסיפור</w:t>
      </w:r>
      <w:r w:rsidR="00D5461E" w:rsidRPr="00D82A88">
        <w:rPr>
          <w:rFonts w:hint="cs"/>
          <w:color w:val="7030A0"/>
          <w:rtl/>
          <w:lang w:bidi="he-IL"/>
        </w:rPr>
        <w:t>ים עצמם</w:t>
      </w:r>
      <w:r w:rsidR="00B21659" w:rsidRPr="00D82A88">
        <w:rPr>
          <w:rFonts w:hint="cs"/>
          <w:color w:val="7030A0"/>
          <w:rtl/>
          <w:lang w:bidi="he-IL"/>
        </w:rPr>
        <w:t>, הכולל</w:t>
      </w:r>
      <w:r w:rsidR="00D5461E" w:rsidRPr="00D82A88">
        <w:rPr>
          <w:rFonts w:hint="cs"/>
          <w:color w:val="7030A0"/>
          <w:rtl/>
          <w:lang w:bidi="he-IL"/>
        </w:rPr>
        <w:t>ים</w:t>
      </w:r>
      <w:r w:rsidR="00B21659" w:rsidRPr="00D82A88">
        <w:rPr>
          <w:rFonts w:hint="cs"/>
          <w:color w:val="7030A0"/>
          <w:rtl/>
          <w:lang w:bidi="he-IL"/>
        </w:rPr>
        <w:t xml:space="preserve"> עובדות, תאריכים, </w:t>
      </w:r>
      <w:r w:rsidR="00D5461E" w:rsidRPr="00D82A88">
        <w:rPr>
          <w:rFonts w:hint="cs"/>
          <w:color w:val="7030A0"/>
          <w:rtl/>
          <w:lang w:bidi="he-IL"/>
        </w:rPr>
        <w:t>ו</w:t>
      </w:r>
      <w:r w:rsidR="00B21659" w:rsidRPr="00D82A88">
        <w:rPr>
          <w:rFonts w:hint="cs"/>
          <w:color w:val="7030A0"/>
          <w:rtl/>
          <w:lang w:bidi="he-IL"/>
        </w:rPr>
        <w:t xml:space="preserve">מקומות, </w:t>
      </w:r>
      <w:proofErr w:type="spellStart"/>
      <w:r w:rsidR="00B21659" w:rsidRPr="00D82A88">
        <w:rPr>
          <w:rFonts w:hint="cs"/>
          <w:color w:val="7030A0"/>
          <w:rtl/>
          <w:lang w:bidi="he-IL"/>
        </w:rPr>
        <w:t>איפשרה</w:t>
      </w:r>
      <w:proofErr w:type="spellEnd"/>
      <w:r w:rsidR="00B21659" w:rsidRPr="00D82A88">
        <w:rPr>
          <w:rFonts w:hint="cs"/>
          <w:color w:val="7030A0"/>
          <w:rtl/>
          <w:lang w:bidi="he-IL"/>
        </w:rPr>
        <w:t xml:space="preserve"> הבמה הזו של מסירת העדות גם ביטוי למנעד של רגשות מצד העדים: החל מצער, אבדן, כעס, נקם, וכלה בגאווה אישית ולאומית ותחושת ניצחון.</w:t>
      </w:r>
      <w:r w:rsidR="005E5F6A" w:rsidRPr="00D82A88">
        <w:rPr>
          <w:rStyle w:val="FootnoteReference"/>
          <w:color w:val="7030A0"/>
          <w:rtl/>
          <w:lang w:bidi="he-IL"/>
        </w:rPr>
        <w:footnoteReference w:id="34"/>
      </w:r>
      <w:r w:rsidR="00B21659" w:rsidRPr="00D82A88">
        <w:rPr>
          <w:rFonts w:hint="cs"/>
          <w:color w:val="7030A0"/>
          <w:rtl/>
          <w:lang w:bidi="he-IL"/>
        </w:rPr>
        <w:t xml:space="preserve"> </w:t>
      </w:r>
      <w:proofErr w:type="spellStart"/>
      <w:r w:rsidR="00B21659" w:rsidRPr="00D82A88">
        <w:rPr>
          <w:rFonts w:hint="cs"/>
          <w:color w:val="7030A0"/>
          <w:rtl/>
          <w:lang w:bidi="he-IL"/>
        </w:rPr>
        <w:t>המימד</w:t>
      </w:r>
      <w:proofErr w:type="spellEnd"/>
      <w:r w:rsidR="00B21659" w:rsidRPr="00D82A88">
        <w:rPr>
          <w:rFonts w:hint="cs"/>
          <w:color w:val="7030A0"/>
          <w:rtl/>
          <w:lang w:bidi="he-IL"/>
        </w:rPr>
        <w:t xml:space="preserve"> הרגשי הזה הפך את </w:t>
      </w:r>
      <w:r w:rsidR="00A952A2" w:rsidRPr="00D82A88">
        <w:rPr>
          <w:rFonts w:hint="cs"/>
          <w:color w:val="7030A0"/>
          <w:rtl/>
          <w:lang w:bidi="he-IL"/>
        </w:rPr>
        <w:t>תיאור הזוועות</w:t>
      </w:r>
      <w:r w:rsidR="00B21659" w:rsidRPr="00D82A88">
        <w:rPr>
          <w:rFonts w:hint="cs"/>
          <w:color w:val="7030A0"/>
          <w:rtl/>
          <w:lang w:bidi="he-IL"/>
        </w:rPr>
        <w:t xml:space="preserve"> למובן ונגיש יותר עבור קהל השומעים והעמיק את תחושת ההזדהות עם סבלם של הקרבנות. חש</w:t>
      </w:r>
      <w:r w:rsidR="00D5461E" w:rsidRPr="00D82A88">
        <w:rPr>
          <w:rFonts w:hint="cs"/>
          <w:color w:val="7030A0"/>
          <w:rtl/>
          <w:lang w:bidi="he-IL"/>
        </w:rPr>
        <w:t xml:space="preserve">וב מכך, </w:t>
      </w:r>
      <w:r w:rsidR="00A952A2" w:rsidRPr="00D82A88">
        <w:rPr>
          <w:rFonts w:hint="cs"/>
          <w:color w:val="7030A0"/>
          <w:rtl/>
          <w:lang w:bidi="he-IL"/>
        </w:rPr>
        <w:t>מסירת העדויות במשפט שימשה עבור הניצולים</w:t>
      </w:r>
      <w:r w:rsidR="00D5461E" w:rsidRPr="00D82A88">
        <w:rPr>
          <w:rFonts w:hint="cs"/>
          <w:color w:val="7030A0"/>
          <w:rtl/>
          <w:lang w:bidi="he-IL"/>
        </w:rPr>
        <w:t xml:space="preserve"> מעין הליך תרפי.</w:t>
      </w:r>
      <w:r w:rsidR="00A952A2" w:rsidRPr="00D82A88">
        <w:rPr>
          <w:rFonts w:hint="cs"/>
          <w:color w:val="7030A0"/>
          <w:rtl/>
          <w:lang w:bidi="he-IL"/>
        </w:rPr>
        <w:t xml:space="preserve"> קולם נשמע.</w:t>
      </w:r>
      <w:r w:rsidR="00D5461E" w:rsidRPr="00D82A88">
        <w:rPr>
          <w:rFonts w:hint="cs"/>
          <w:color w:val="7030A0"/>
          <w:rtl/>
          <w:lang w:bidi="he-IL"/>
        </w:rPr>
        <w:t xml:space="preserve"> </w:t>
      </w:r>
      <w:r w:rsidRPr="00D82A88">
        <w:rPr>
          <w:rFonts w:hint="cs"/>
          <w:color w:val="7030A0"/>
          <w:rtl/>
          <w:lang w:bidi="he-IL"/>
        </w:rPr>
        <w:t xml:space="preserve">העדים לא </w:t>
      </w:r>
      <w:r w:rsidR="00D5461E" w:rsidRPr="00D82A88">
        <w:rPr>
          <w:rFonts w:hint="cs"/>
          <w:color w:val="7030A0"/>
          <w:rtl/>
          <w:lang w:bidi="he-IL"/>
        </w:rPr>
        <w:t>שימשו רק בתפקיד של</w:t>
      </w:r>
      <w:r w:rsidR="009D458C" w:rsidRPr="00D82A88">
        <w:rPr>
          <w:rFonts w:hint="cs"/>
          <w:color w:val="7030A0"/>
          <w:rtl/>
          <w:lang w:bidi="he-IL"/>
        </w:rPr>
        <w:t xml:space="preserve"> עדי תביעה אלא ה</w:t>
      </w:r>
      <w:r w:rsidR="00D5461E" w:rsidRPr="00D82A88">
        <w:rPr>
          <w:rFonts w:hint="cs"/>
          <w:color w:val="7030A0"/>
          <w:rtl/>
          <w:lang w:bidi="he-IL"/>
        </w:rPr>
        <w:t>פכו</w:t>
      </w:r>
      <w:r w:rsidR="009D458C" w:rsidRPr="00D82A88">
        <w:rPr>
          <w:rFonts w:hint="cs"/>
          <w:color w:val="7030A0"/>
          <w:rtl/>
          <w:lang w:bidi="he-IL"/>
        </w:rPr>
        <w:t xml:space="preserve"> לשותפים פעילים במשפט</w:t>
      </w:r>
      <w:r w:rsidR="00D5461E" w:rsidRPr="00D82A88">
        <w:rPr>
          <w:rFonts w:hint="cs"/>
          <w:color w:val="7030A0"/>
          <w:rtl/>
          <w:lang w:bidi="he-IL"/>
        </w:rPr>
        <w:t>. ההליך אמנם התמקד בנאשם ובפשעים שביצע, אך העדים הניצולים וסיפורם האישי הם שתפסו את מרכז הבמה. במובן זה, יותר משעשה ההליך צדק עם הנאשם עצמו, הוא עשה צדק עם קרבנות הפשעים.</w:t>
      </w:r>
    </w:p>
    <w:p w:rsidR="00771B1D" w:rsidRPr="00D82A88" w:rsidRDefault="00771B1D" w:rsidP="009508FC">
      <w:pPr>
        <w:rPr>
          <w:color w:val="7030A0"/>
          <w:rtl/>
          <w:lang w:bidi="he-IL"/>
        </w:rPr>
      </w:pPr>
    </w:p>
    <w:p w:rsidR="003D363A" w:rsidRPr="00D82A88" w:rsidRDefault="003D363A" w:rsidP="009508FC">
      <w:pPr>
        <w:rPr>
          <w:b/>
          <w:bCs/>
          <w:color w:val="7030A0"/>
          <w:rtl/>
          <w:lang w:bidi="he-IL"/>
        </w:rPr>
      </w:pPr>
      <w:r w:rsidRPr="00D82A88">
        <w:rPr>
          <w:rFonts w:hint="cs"/>
          <w:b/>
          <w:bCs/>
          <w:color w:val="7030A0"/>
          <w:rtl/>
          <w:lang w:bidi="he-IL"/>
        </w:rPr>
        <w:t>סיכום</w:t>
      </w:r>
    </w:p>
    <w:p w:rsidR="002F61CA" w:rsidRPr="00D82A88" w:rsidRDefault="002F61CA" w:rsidP="00F65363">
      <w:pPr>
        <w:tabs>
          <w:tab w:val="left" w:pos="800"/>
        </w:tabs>
        <w:overflowPunct w:val="0"/>
        <w:autoSpaceDE w:val="0"/>
        <w:autoSpaceDN w:val="0"/>
        <w:adjustRightInd w:val="0"/>
        <w:textAlignment w:val="baseline"/>
        <w:rPr>
          <w:color w:val="7030A0"/>
          <w:rtl/>
          <w:lang w:bidi="he-IL"/>
        </w:rPr>
      </w:pPr>
    </w:p>
    <w:p w:rsidR="00DF191A" w:rsidRPr="00D82A88" w:rsidRDefault="00DF191A" w:rsidP="00DF191A">
      <w:pPr>
        <w:tabs>
          <w:tab w:val="left" w:pos="800"/>
        </w:tabs>
        <w:overflowPunct w:val="0"/>
        <w:autoSpaceDE w:val="0"/>
        <w:autoSpaceDN w:val="0"/>
        <w:adjustRightInd w:val="0"/>
        <w:textAlignment w:val="baseline"/>
        <w:rPr>
          <w:color w:val="7030A0"/>
          <w:rtl/>
          <w:lang w:bidi="he-IL"/>
        </w:rPr>
      </w:pPr>
      <w:r w:rsidRPr="00D82A88">
        <w:rPr>
          <w:color w:val="7030A0"/>
          <w:rtl/>
          <w:lang w:bidi="he-IL"/>
        </w:rPr>
        <w:tab/>
      </w:r>
      <w:r w:rsidRPr="00D82A88">
        <w:rPr>
          <w:rFonts w:hint="cs"/>
          <w:color w:val="7030A0"/>
          <w:rtl/>
          <w:lang w:bidi="he-IL"/>
        </w:rPr>
        <w:t xml:space="preserve">סיפורו של </w:t>
      </w:r>
      <w:r w:rsidR="002F61CA" w:rsidRPr="00D82A88">
        <w:rPr>
          <w:color w:val="7030A0"/>
          <w:rtl/>
          <w:lang w:bidi="he-IL"/>
        </w:rPr>
        <w:t>משפט מנגלה מזמן לנו הזדמנות טובה לדון בתפקידה של העדות בהליכים משפטיים ו</w:t>
      </w:r>
      <w:r w:rsidRPr="00D82A88">
        <w:rPr>
          <w:color w:val="7030A0"/>
          <w:rtl/>
          <w:lang w:bidi="he-IL"/>
        </w:rPr>
        <w:t>מעין</w:t>
      </w:r>
      <w:r w:rsidRPr="00D82A88">
        <w:rPr>
          <w:rFonts w:hint="cs"/>
          <w:color w:val="7030A0"/>
          <w:rtl/>
          <w:lang w:bidi="he-IL"/>
        </w:rPr>
        <w:t>-</w:t>
      </w:r>
      <w:r w:rsidR="002F61CA" w:rsidRPr="00D82A88">
        <w:rPr>
          <w:color w:val="7030A0"/>
          <w:rtl/>
          <w:lang w:bidi="he-IL"/>
        </w:rPr>
        <w:t>משפטיים שבהם נדונים פשעי זוועה</w:t>
      </w:r>
      <w:r w:rsidRPr="00D82A88">
        <w:rPr>
          <w:rFonts w:hint="cs"/>
          <w:color w:val="7030A0"/>
          <w:rtl/>
          <w:lang w:bidi="he-IL"/>
        </w:rPr>
        <w:t xml:space="preserve"> ואלימות המונית (</w:t>
      </w:r>
      <w:r w:rsidRPr="00D82A88">
        <w:rPr>
          <w:color w:val="7030A0"/>
          <w:lang w:bidi="he-IL"/>
        </w:rPr>
        <w:t>mass atrocity</w:t>
      </w:r>
      <w:r w:rsidRPr="00D82A88">
        <w:rPr>
          <w:rFonts w:hint="cs"/>
          <w:color w:val="7030A0"/>
          <w:rtl/>
          <w:lang w:bidi="he-IL"/>
        </w:rPr>
        <w:t>)</w:t>
      </w:r>
      <w:r w:rsidR="002F61CA" w:rsidRPr="00D82A88">
        <w:rPr>
          <w:color w:val="7030A0"/>
          <w:rtl/>
          <w:lang w:bidi="he-IL"/>
        </w:rPr>
        <w:t xml:space="preserve">. זאת, מכיוון </w:t>
      </w:r>
      <w:r w:rsidRPr="00D82A88">
        <w:rPr>
          <w:rFonts w:hint="cs"/>
          <w:color w:val="7030A0"/>
          <w:rtl/>
          <w:lang w:bidi="he-IL"/>
        </w:rPr>
        <w:t xml:space="preserve">שהמשפט הציבורי שנערך </w:t>
      </w:r>
      <w:proofErr w:type="spellStart"/>
      <w:r w:rsidRPr="00D82A88">
        <w:rPr>
          <w:rFonts w:hint="cs"/>
          <w:color w:val="7030A0"/>
          <w:rtl/>
          <w:lang w:bidi="he-IL"/>
        </w:rPr>
        <w:t>למנגלה</w:t>
      </w:r>
      <w:proofErr w:type="spellEnd"/>
      <w:r w:rsidRPr="00D82A88">
        <w:rPr>
          <w:rFonts w:hint="cs"/>
          <w:color w:val="7030A0"/>
          <w:rtl/>
          <w:lang w:bidi="he-IL"/>
        </w:rPr>
        <w:t xml:space="preserve"> סבב סביב </w:t>
      </w:r>
      <w:r w:rsidR="002F61CA" w:rsidRPr="00D82A88">
        <w:rPr>
          <w:color w:val="7030A0"/>
          <w:rtl/>
          <w:lang w:bidi="he-IL"/>
        </w:rPr>
        <w:t>עדויות הניצולים, ולמעשה, מלבדם לא היה בו דבר.</w:t>
      </w:r>
      <w:r w:rsidR="002F61CA" w:rsidRPr="00D82A88">
        <w:rPr>
          <w:rFonts w:hint="cs"/>
          <w:color w:val="7030A0"/>
          <w:rtl/>
          <w:lang w:bidi="he-IL"/>
        </w:rPr>
        <w:t xml:space="preserve"> </w:t>
      </w:r>
      <w:r w:rsidR="002F61CA" w:rsidRPr="00D82A88">
        <w:rPr>
          <w:color w:val="7030A0"/>
          <w:rtl/>
          <w:lang w:bidi="he-IL"/>
        </w:rPr>
        <w:t xml:space="preserve">אם מסתכלים על משפט מנגלה כהליך שבמרכזו עמדו העדים והעדויות, ניתן לייחס לו, גם אם </w:t>
      </w:r>
      <w:r w:rsidRPr="00D82A88">
        <w:rPr>
          <w:color w:val="7030A0"/>
          <w:rtl/>
          <w:lang w:bidi="he-IL"/>
        </w:rPr>
        <w:t>בדיעבד, תפיסות של צדק אלטרנטיבי</w:t>
      </w:r>
      <w:r w:rsidR="002F61CA" w:rsidRPr="00D82A88">
        <w:rPr>
          <w:color w:val="7030A0"/>
          <w:rtl/>
          <w:lang w:bidi="he-IL"/>
        </w:rPr>
        <w:t xml:space="preserve">. </w:t>
      </w:r>
      <w:r w:rsidRPr="00D82A88">
        <w:rPr>
          <w:rFonts w:hint="cs"/>
          <w:color w:val="7030A0"/>
          <w:rtl/>
          <w:lang w:bidi="he-IL"/>
        </w:rPr>
        <w:t>למעשה, ניתן לראות את משפט מנגלה כ</w:t>
      </w:r>
      <w:r w:rsidRPr="00D82A88">
        <w:rPr>
          <w:color w:val="7030A0"/>
          <w:rtl/>
          <w:lang w:bidi="he-IL"/>
        </w:rPr>
        <w:t>הליך של צדק מעברי שהקדים את זמנו</w:t>
      </w:r>
      <w:r w:rsidRPr="00D82A88">
        <w:rPr>
          <w:rFonts w:hint="cs"/>
          <w:color w:val="7030A0"/>
          <w:rtl/>
          <w:lang w:bidi="he-IL"/>
        </w:rPr>
        <w:t>.</w:t>
      </w:r>
      <w:r w:rsidRPr="00D82A88">
        <w:rPr>
          <w:rStyle w:val="FootnoteReference"/>
          <w:color w:val="7030A0"/>
          <w:rtl/>
          <w:lang w:bidi="he-IL"/>
        </w:rPr>
        <w:footnoteReference w:id="35"/>
      </w:r>
      <w:r w:rsidRPr="00D82A88">
        <w:rPr>
          <w:rFonts w:hint="cs"/>
          <w:color w:val="7030A0"/>
          <w:rtl/>
          <w:lang w:bidi="he-IL"/>
        </w:rPr>
        <w:t xml:space="preserve"> אפשר</w:t>
      </w:r>
      <w:r w:rsidR="002F61CA" w:rsidRPr="00D82A88">
        <w:rPr>
          <w:color w:val="7030A0"/>
          <w:rtl/>
          <w:lang w:bidi="he-IL"/>
        </w:rPr>
        <w:t xml:space="preserve"> לזהות בו קווי דמיון רבים להליכים של צדק </w:t>
      </w:r>
      <w:r w:rsidR="00D0575F" w:rsidRPr="00D82A88">
        <w:rPr>
          <w:rFonts w:hint="cs"/>
          <w:color w:val="7030A0"/>
          <w:rtl/>
          <w:lang w:bidi="he-IL"/>
        </w:rPr>
        <w:t>מאחה (</w:t>
      </w:r>
      <w:proofErr w:type="spellStart"/>
      <w:r w:rsidR="00D0575F" w:rsidRPr="00D82A88">
        <w:rPr>
          <w:rFonts w:hint="cs"/>
          <w:color w:val="7030A0"/>
          <w:rtl/>
          <w:lang w:bidi="he-IL"/>
        </w:rPr>
        <w:t>רסטרוטיבי</w:t>
      </w:r>
      <w:proofErr w:type="spellEnd"/>
      <w:r w:rsidR="00D0575F" w:rsidRPr="00D82A88">
        <w:rPr>
          <w:rFonts w:hint="cs"/>
          <w:color w:val="7030A0"/>
          <w:rtl/>
          <w:lang w:bidi="he-IL"/>
        </w:rPr>
        <w:t>)</w:t>
      </w:r>
      <w:r w:rsidR="00900A59" w:rsidRPr="00D82A88">
        <w:rPr>
          <w:color w:val="7030A0"/>
          <w:rtl/>
          <w:lang w:bidi="he-IL"/>
        </w:rPr>
        <w:t>,</w:t>
      </w:r>
      <w:r w:rsidR="00174F5C" w:rsidRPr="00D82A88">
        <w:rPr>
          <w:rFonts w:hint="cs"/>
          <w:color w:val="7030A0"/>
          <w:rtl/>
          <w:lang w:bidi="he-IL"/>
        </w:rPr>
        <w:t xml:space="preserve"> המעמידים במוקד את הקרבן ואת סבלו, להבדיל מצדק פלילי-גמולי,</w:t>
      </w:r>
      <w:r w:rsidR="00D0575F" w:rsidRPr="00D82A88">
        <w:rPr>
          <w:rFonts w:hint="cs"/>
          <w:color w:val="7030A0"/>
          <w:rtl/>
          <w:lang w:bidi="he-IL"/>
        </w:rPr>
        <w:t xml:space="preserve"> המתמקד בקביעת אשמתם של הנאשמים.</w:t>
      </w:r>
      <w:r w:rsidR="00D5461E" w:rsidRPr="00D82A88">
        <w:rPr>
          <w:rStyle w:val="FootnoteReference"/>
          <w:color w:val="7030A0"/>
          <w:rtl/>
          <w:lang w:bidi="he-IL"/>
        </w:rPr>
        <w:footnoteReference w:id="36"/>
      </w:r>
      <w:r w:rsidR="00D0575F" w:rsidRPr="00D82A88">
        <w:rPr>
          <w:rFonts w:hint="cs"/>
          <w:color w:val="7030A0"/>
          <w:rtl/>
          <w:lang w:bidi="he-IL"/>
        </w:rPr>
        <w:t xml:space="preserve"> </w:t>
      </w:r>
    </w:p>
    <w:p w:rsidR="00DF191A" w:rsidRPr="00D82A88" w:rsidRDefault="00DF191A" w:rsidP="00DF191A">
      <w:pPr>
        <w:tabs>
          <w:tab w:val="left" w:pos="800"/>
        </w:tabs>
        <w:overflowPunct w:val="0"/>
        <w:autoSpaceDE w:val="0"/>
        <w:autoSpaceDN w:val="0"/>
        <w:adjustRightInd w:val="0"/>
        <w:textAlignment w:val="baseline"/>
        <w:rPr>
          <w:color w:val="7030A0"/>
          <w:rtl/>
          <w:lang w:bidi="he-IL"/>
        </w:rPr>
      </w:pPr>
    </w:p>
    <w:p w:rsidR="00DF191A" w:rsidRPr="00D82A88" w:rsidRDefault="00DF191A" w:rsidP="001423DB">
      <w:pPr>
        <w:tabs>
          <w:tab w:val="left" w:pos="800"/>
        </w:tabs>
        <w:overflowPunct w:val="0"/>
        <w:autoSpaceDE w:val="0"/>
        <w:autoSpaceDN w:val="0"/>
        <w:adjustRightInd w:val="0"/>
        <w:textAlignment w:val="baseline"/>
        <w:rPr>
          <w:color w:val="7030A0"/>
          <w:rtl/>
          <w:lang w:bidi="he-IL"/>
        </w:rPr>
      </w:pPr>
      <w:r w:rsidRPr="00D82A88">
        <w:rPr>
          <w:color w:val="7030A0"/>
          <w:rtl/>
          <w:lang w:bidi="he-IL"/>
        </w:rPr>
        <w:tab/>
      </w:r>
      <w:r w:rsidR="00D0575F" w:rsidRPr="00D82A88">
        <w:rPr>
          <w:rFonts w:hint="cs"/>
          <w:color w:val="7030A0"/>
          <w:rtl/>
          <w:lang w:bidi="he-IL"/>
        </w:rPr>
        <w:t xml:space="preserve">השימוש בהליכים של צדק מאחה כדי להתמודד עם פשעי זוועה ואלימות המונית החל רווח בשלהי המאה הקודמת, על רקע הקשיים הטמונים </w:t>
      </w:r>
      <w:r w:rsidR="00A952A2" w:rsidRPr="00D82A88">
        <w:rPr>
          <w:rFonts w:hint="cs"/>
          <w:color w:val="7030A0"/>
          <w:rtl/>
          <w:lang w:bidi="he-IL"/>
        </w:rPr>
        <w:t>ביכולת של</w:t>
      </w:r>
      <w:r w:rsidR="00D0575F" w:rsidRPr="00D82A88">
        <w:rPr>
          <w:rFonts w:hint="cs"/>
          <w:color w:val="7030A0"/>
          <w:rtl/>
          <w:lang w:bidi="he-IL"/>
        </w:rPr>
        <w:t xml:space="preserve"> המשפט הפלילי המדינתי והבינלאומי </w:t>
      </w:r>
      <w:r w:rsidR="00A952A2" w:rsidRPr="00D82A88">
        <w:rPr>
          <w:rFonts w:hint="cs"/>
          <w:color w:val="7030A0"/>
          <w:rtl/>
          <w:lang w:bidi="he-IL"/>
        </w:rPr>
        <w:t>להתמודד</w:t>
      </w:r>
      <w:r w:rsidR="00D0575F" w:rsidRPr="00D82A88">
        <w:rPr>
          <w:rFonts w:hint="cs"/>
          <w:color w:val="7030A0"/>
          <w:rtl/>
          <w:lang w:bidi="he-IL"/>
        </w:rPr>
        <w:t xml:space="preserve"> עם טראומות קולקטיביות.</w:t>
      </w:r>
      <w:r w:rsidR="00900A59" w:rsidRPr="00D82A88">
        <w:rPr>
          <w:color w:val="7030A0"/>
          <w:rtl/>
          <w:lang w:bidi="he-IL"/>
        </w:rPr>
        <w:t xml:space="preserve"> דוגמ</w:t>
      </w:r>
      <w:r w:rsidR="00D0575F" w:rsidRPr="00D82A88">
        <w:rPr>
          <w:rFonts w:hint="cs"/>
          <w:color w:val="7030A0"/>
          <w:rtl/>
          <w:lang w:bidi="he-IL"/>
        </w:rPr>
        <w:t>ה טובה לכך היא</w:t>
      </w:r>
      <w:r w:rsidR="00900A59" w:rsidRPr="00D82A88">
        <w:rPr>
          <w:color w:val="7030A0"/>
          <w:rtl/>
          <w:lang w:bidi="he-IL"/>
        </w:rPr>
        <w:t xml:space="preserve"> ועדות האמת והפיוס</w:t>
      </w:r>
      <w:r w:rsidR="00900A59" w:rsidRPr="00D82A88">
        <w:rPr>
          <w:rFonts w:hint="cs"/>
          <w:color w:val="7030A0"/>
          <w:rtl/>
          <w:lang w:bidi="he-IL"/>
        </w:rPr>
        <w:t xml:space="preserve"> שנערכו בדרום אפריקה החל ממחצית שנות התשעים של המאה הקודמת. המטרה העיקרית של ועדות אלה </w:t>
      </w:r>
      <w:proofErr w:type="spellStart"/>
      <w:r w:rsidR="00900A59" w:rsidRPr="00D82A88">
        <w:rPr>
          <w:rFonts w:hint="cs"/>
          <w:color w:val="7030A0"/>
          <w:rtl/>
          <w:lang w:bidi="he-IL"/>
        </w:rPr>
        <w:t>היתה</w:t>
      </w:r>
      <w:proofErr w:type="spellEnd"/>
      <w:r w:rsidR="00900A59" w:rsidRPr="00D82A88">
        <w:rPr>
          <w:rFonts w:hint="cs"/>
          <w:color w:val="7030A0"/>
          <w:rtl/>
          <w:lang w:bidi="he-IL"/>
        </w:rPr>
        <w:t xml:space="preserve"> בירור האמת ההיסטורית, שאינה זהה תמיד לאמת המשפטית, על-ידי מתן במה מרכזית לעדויותיהם של קרבנות הפשעים, ועל חשבון ויתור על ענישתם של הפושעים.</w:t>
      </w:r>
      <w:r w:rsidR="001423DB" w:rsidRPr="00D82A88">
        <w:rPr>
          <w:rFonts w:hint="cs"/>
          <w:color w:val="7030A0"/>
          <w:rtl/>
          <w:lang w:bidi="he-IL"/>
        </w:rPr>
        <w:t xml:space="preserve"> </w:t>
      </w:r>
      <w:r w:rsidR="00E4747B" w:rsidRPr="00D82A88">
        <w:rPr>
          <w:rFonts w:hint="cs"/>
          <w:color w:val="7030A0"/>
          <w:rtl/>
          <w:lang w:bidi="he-IL"/>
        </w:rPr>
        <w:t xml:space="preserve">אחת מתתי הוועדות </w:t>
      </w:r>
      <w:r w:rsidR="00E4747B" w:rsidRPr="00D82A88">
        <w:rPr>
          <w:color w:val="7030A0"/>
          <w:rtl/>
          <w:lang w:bidi="he-IL"/>
        </w:rPr>
        <w:t>–</w:t>
      </w:r>
      <w:r w:rsidR="00E4747B" w:rsidRPr="00D82A88">
        <w:rPr>
          <w:rFonts w:hint="cs"/>
          <w:color w:val="7030A0"/>
          <w:rtl/>
          <w:lang w:bidi="he-IL"/>
        </w:rPr>
        <w:t xml:space="preserve"> זו שעסקה בעדויות הקרבנות, וכונתה "הוועדה להפרות של זכויות אדם" </w:t>
      </w:r>
      <w:r w:rsidR="00E4747B" w:rsidRPr="00D82A88">
        <w:rPr>
          <w:color w:val="7030A0"/>
          <w:rtl/>
          <w:lang w:bidi="he-IL"/>
        </w:rPr>
        <w:t>–</w:t>
      </w:r>
      <w:r w:rsidR="00E4747B" w:rsidRPr="00D82A88">
        <w:rPr>
          <w:rFonts w:hint="cs"/>
          <w:color w:val="7030A0"/>
          <w:rtl/>
          <w:lang w:bidi="he-IL"/>
        </w:rPr>
        <w:t xml:space="preserve"> לא </w:t>
      </w:r>
      <w:proofErr w:type="spellStart"/>
      <w:r w:rsidR="00E4747B" w:rsidRPr="00D82A88">
        <w:rPr>
          <w:rFonts w:hint="cs"/>
          <w:color w:val="7030A0"/>
          <w:rtl/>
          <w:lang w:bidi="he-IL"/>
        </w:rPr>
        <w:t>היתה</w:t>
      </w:r>
      <w:proofErr w:type="spellEnd"/>
      <w:r w:rsidR="00E4747B" w:rsidRPr="00D82A88">
        <w:rPr>
          <w:rFonts w:hint="cs"/>
          <w:color w:val="7030A0"/>
          <w:rtl/>
          <w:lang w:bidi="he-IL"/>
        </w:rPr>
        <w:t xml:space="preserve"> כפופה לכללים ולפרוצדורות של המשפט הפלילי, ובעת השימועים הציבוריים שערכה היא אפשרה לקרבנות למסור את עדותם ללא חקירה נגדית. עדויותיהם של הקרבנות עברו אפוא טרנספורמציה: הן לא שימשו עוד ראיה קבילה להוכחת אשמתו של הנאשם העומד לדין, כמקובל במשפט פלילי</w:t>
      </w:r>
      <w:r w:rsidR="00FB512A" w:rsidRPr="00D82A88">
        <w:rPr>
          <w:rFonts w:hint="cs"/>
          <w:color w:val="7030A0"/>
          <w:rtl/>
          <w:lang w:bidi="he-IL"/>
        </w:rPr>
        <w:t xml:space="preserve">, </w:t>
      </w:r>
      <w:r w:rsidR="00FB512A" w:rsidRPr="00D82A88">
        <w:rPr>
          <w:rFonts w:hint="cs"/>
          <w:color w:val="7030A0"/>
          <w:rtl/>
          <w:lang w:bidi="he-IL"/>
        </w:rPr>
        <w:lastRenderedPageBreak/>
        <w:t xml:space="preserve">אלא מטרתן </w:t>
      </w:r>
      <w:proofErr w:type="spellStart"/>
      <w:r w:rsidR="00FB512A" w:rsidRPr="00D82A88">
        <w:rPr>
          <w:rFonts w:hint="cs"/>
          <w:color w:val="7030A0"/>
          <w:rtl/>
          <w:lang w:bidi="he-IL"/>
        </w:rPr>
        <w:t>היתה</w:t>
      </w:r>
      <w:proofErr w:type="spellEnd"/>
      <w:r w:rsidR="00FB512A" w:rsidRPr="00D82A88">
        <w:rPr>
          <w:rFonts w:hint="cs"/>
          <w:color w:val="7030A0"/>
          <w:rtl/>
          <w:lang w:bidi="he-IL"/>
        </w:rPr>
        <w:t xml:space="preserve"> מתן הכרה במעמדם</w:t>
      </w:r>
      <w:r w:rsidR="00E4747B" w:rsidRPr="00D82A88">
        <w:rPr>
          <w:rFonts w:hint="cs"/>
          <w:color w:val="7030A0"/>
          <w:rtl/>
          <w:lang w:bidi="he-IL"/>
        </w:rPr>
        <w:t xml:space="preserve"> של מוסר</w:t>
      </w:r>
      <w:r w:rsidR="00FB512A" w:rsidRPr="00D82A88">
        <w:rPr>
          <w:rFonts w:hint="cs"/>
          <w:color w:val="7030A0"/>
          <w:rtl/>
          <w:lang w:bidi="he-IL"/>
        </w:rPr>
        <w:t>י</w:t>
      </w:r>
      <w:r w:rsidR="00E4747B" w:rsidRPr="00D82A88">
        <w:rPr>
          <w:rFonts w:hint="cs"/>
          <w:color w:val="7030A0"/>
          <w:rtl/>
          <w:lang w:bidi="he-IL"/>
        </w:rPr>
        <w:t xml:space="preserve"> העדו</w:t>
      </w:r>
      <w:r w:rsidR="00FB512A" w:rsidRPr="00D82A88">
        <w:rPr>
          <w:rFonts w:hint="cs"/>
          <w:color w:val="7030A0"/>
          <w:rtl/>
          <w:lang w:bidi="he-IL"/>
        </w:rPr>
        <w:t>יות כקרבנות</w:t>
      </w:r>
      <w:r w:rsidR="00E4747B" w:rsidRPr="00D82A88">
        <w:rPr>
          <w:rFonts w:hint="cs"/>
          <w:color w:val="7030A0"/>
          <w:rtl/>
          <w:lang w:bidi="he-IL"/>
        </w:rPr>
        <w:t xml:space="preserve">, </w:t>
      </w:r>
      <w:r w:rsidR="00FB512A" w:rsidRPr="00D82A88">
        <w:rPr>
          <w:rFonts w:hint="cs"/>
          <w:color w:val="7030A0"/>
          <w:rtl/>
          <w:lang w:bidi="he-IL"/>
        </w:rPr>
        <w:t>כחלק מ</w:t>
      </w:r>
      <w:r w:rsidR="004913CD" w:rsidRPr="00D82A88">
        <w:rPr>
          <w:rFonts w:hint="cs"/>
          <w:color w:val="7030A0"/>
          <w:rtl/>
          <w:lang w:bidi="he-IL"/>
        </w:rPr>
        <w:t>תהליך של ריפוי</w:t>
      </w:r>
      <w:r w:rsidR="00A952A2" w:rsidRPr="00D82A88">
        <w:rPr>
          <w:rFonts w:hint="cs"/>
          <w:color w:val="7030A0"/>
          <w:rtl/>
          <w:lang w:bidi="he-IL"/>
        </w:rPr>
        <w:t xml:space="preserve"> והתמודדות עם פוסט-טראומה</w:t>
      </w:r>
      <w:r w:rsidR="004913CD" w:rsidRPr="00D82A88">
        <w:rPr>
          <w:rFonts w:hint="cs"/>
          <w:color w:val="7030A0"/>
          <w:rtl/>
          <w:lang w:bidi="he-IL"/>
        </w:rPr>
        <w:t>.</w:t>
      </w:r>
      <w:r w:rsidR="004913CD" w:rsidRPr="00D82A88">
        <w:rPr>
          <w:rStyle w:val="FootnoteReference"/>
          <w:color w:val="7030A0"/>
          <w:rtl/>
          <w:lang w:bidi="he-IL"/>
        </w:rPr>
        <w:footnoteReference w:id="37"/>
      </w:r>
    </w:p>
    <w:p w:rsidR="002F61CA" w:rsidRPr="00D82A88" w:rsidRDefault="002F61CA" w:rsidP="002F61CA">
      <w:pPr>
        <w:tabs>
          <w:tab w:val="left" w:pos="800"/>
        </w:tabs>
        <w:overflowPunct w:val="0"/>
        <w:autoSpaceDE w:val="0"/>
        <w:autoSpaceDN w:val="0"/>
        <w:adjustRightInd w:val="0"/>
        <w:textAlignment w:val="baseline"/>
        <w:rPr>
          <w:color w:val="7030A0"/>
          <w:rtl/>
          <w:lang w:bidi="he-IL"/>
        </w:rPr>
      </w:pPr>
    </w:p>
    <w:p w:rsidR="002F61CA" w:rsidRPr="00D82A88" w:rsidRDefault="002F61CA" w:rsidP="00124CA7">
      <w:pPr>
        <w:tabs>
          <w:tab w:val="left" w:pos="800"/>
        </w:tabs>
        <w:overflowPunct w:val="0"/>
        <w:autoSpaceDE w:val="0"/>
        <w:autoSpaceDN w:val="0"/>
        <w:adjustRightInd w:val="0"/>
        <w:textAlignment w:val="baseline"/>
        <w:rPr>
          <w:color w:val="7030A0"/>
          <w:rtl/>
          <w:lang w:bidi="he-IL"/>
        </w:rPr>
      </w:pPr>
      <w:r w:rsidRPr="00D82A88">
        <w:rPr>
          <w:color w:val="7030A0"/>
          <w:rtl/>
          <w:lang w:bidi="he-IL"/>
        </w:rPr>
        <w:tab/>
        <w:t xml:space="preserve">ברור כי לעדויות שנשמעו </w:t>
      </w:r>
      <w:r w:rsidR="004913CD" w:rsidRPr="00D82A88">
        <w:rPr>
          <w:rFonts w:hint="cs"/>
          <w:color w:val="7030A0"/>
          <w:rtl/>
          <w:lang w:bidi="he-IL"/>
        </w:rPr>
        <w:t>במשפט מנגלה</w:t>
      </w:r>
      <w:r w:rsidRPr="00D82A88">
        <w:rPr>
          <w:color w:val="7030A0"/>
          <w:rtl/>
          <w:lang w:bidi="he-IL"/>
        </w:rPr>
        <w:t xml:space="preserve"> </w:t>
      </w:r>
      <w:r w:rsidR="00124CA7" w:rsidRPr="00D82A88">
        <w:rPr>
          <w:rFonts w:hint="cs"/>
          <w:color w:val="7030A0"/>
          <w:rtl/>
          <w:lang w:bidi="he-IL"/>
        </w:rPr>
        <w:t>לא היה</w:t>
      </w:r>
      <w:r w:rsidR="00124CA7" w:rsidRPr="00D82A88">
        <w:rPr>
          <w:color w:val="7030A0"/>
          <w:rtl/>
          <w:lang w:bidi="he-IL"/>
        </w:rPr>
        <w:t xml:space="preserve"> ערך ראייתי</w:t>
      </w:r>
      <w:r w:rsidR="00124CA7" w:rsidRPr="00D82A88">
        <w:rPr>
          <w:rFonts w:hint="cs"/>
          <w:color w:val="7030A0"/>
          <w:rtl/>
          <w:lang w:bidi="he-IL"/>
        </w:rPr>
        <w:t>. לא זו בלבד שעדויות אלו לא עמדו במבחן של חקירה נגדית</w:t>
      </w:r>
      <w:r w:rsidRPr="00D82A88">
        <w:rPr>
          <w:color w:val="7030A0"/>
          <w:rtl/>
          <w:lang w:bidi="he-IL"/>
        </w:rPr>
        <w:t xml:space="preserve">, </w:t>
      </w:r>
      <w:r w:rsidR="00124CA7" w:rsidRPr="00D82A88">
        <w:rPr>
          <w:rFonts w:hint="cs"/>
          <w:color w:val="7030A0"/>
          <w:rtl/>
          <w:lang w:bidi="he-IL"/>
        </w:rPr>
        <w:t xml:space="preserve">אלא </w:t>
      </w:r>
      <w:proofErr w:type="spellStart"/>
      <w:r w:rsidR="00124CA7" w:rsidRPr="00D82A88">
        <w:rPr>
          <w:rFonts w:hint="cs"/>
          <w:color w:val="7030A0"/>
          <w:rtl/>
          <w:lang w:bidi="he-IL"/>
        </w:rPr>
        <w:t>שה"נאשם</w:t>
      </w:r>
      <w:proofErr w:type="spellEnd"/>
      <w:r w:rsidR="00124CA7" w:rsidRPr="00D82A88">
        <w:rPr>
          <w:rFonts w:hint="cs"/>
          <w:color w:val="7030A0"/>
          <w:rtl/>
          <w:lang w:bidi="he-IL"/>
        </w:rPr>
        <w:t xml:space="preserve">" כלל </w:t>
      </w:r>
      <w:r w:rsidRPr="00D82A88">
        <w:rPr>
          <w:color w:val="7030A0"/>
          <w:rtl/>
          <w:lang w:bidi="he-IL"/>
        </w:rPr>
        <w:t xml:space="preserve">לא היה מיוצג באותו הליך, </w:t>
      </w:r>
      <w:r w:rsidR="00124CA7" w:rsidRPr="00D82A88">
        <w:rPr>
          <w:rFonts w:hint="cs"/>
          <w:color w:val="7030A0"/>
          <w:rtl/>
          <w:lang w:bidi="he-IL"/>
        </w:rPr>
        <w:t>ולמעשה כלל</w:t>
      </w:r>
      <w:r w:rsidRPr="00D82A88">
        <w:rPr>
          <w:color w:val="7030A0"/>
          <w:rtl/>
          <w:lang w:bidi="he-IL"/>
        </w:rPr>
        <w:t xml:space="preserve"> לא נכח בו. מה היה אם כן ערכן של אותן עדויות, מעבר לערך של תיעוד היסטורי? במאמר</w:t>
      </w:r>
      <w:r w:rsidR="00DA0432" w:rsidRPr="00D82A88">
        <w:rPr>
          <w:rFonts w:hint="cs"/>
          <w:color w:val="7030A0"/>
          <w:rtl/>
          <w:lang w:bidi="he-IL"/>
        </w:rPr>
        <w:t>ה</w:t>
      </w:r>
      <w:r w:rsidRPr="00D82A88">
        <w:rPr>
          <w:color w:val="7030A0"/>
          <w:rtl/>
          <w:lang w:bidi="he-IL"/>
        </w:rPr>
        <w:t xml:space="preserve"> </w:t>
      </w:r>
      <w:r w:rsidR="00DA0432" w:rsidRPr="00D82A88">
        <w:rPr>
          <w:color w:val="7030A0"/>
          <w:rtl/>
          <w:lang w:bidi="he-IL"/>
        </w:rPr>
        <w:t>"על רגשות, שפה וצדק: בין משפט אייכמן לוועדות האמת והפיוס בדרום אפריקה",</w:t>
      </w:r>
      <w:r w:rsidR="00DA0432" w:rsidRPr="00D82A88">
        <w:rPr>
          <w:rFonts w:hint="cs"/>
          <w:color w:val="7030A0"/>
          <w:rtl/>
          <w:lang w:bidi="he-IL"/>
        </w:rPr>
        <w:t xml:space="preserve"> מציעה </w:t>
      </w:r>
      <w:r w:rsidRPr="00D82A88">
        <w:rPr>
          <w:color w:val="7030A0"/>
          <w:rtl/>
          <w:lang w:bidi="he-IL"/>
        </w:rPr>
        <w:t xml:space="preserve">ליאורה </w:t>
      </w:r>
      <w:proofErr w:type="spellStart"/>
      <w:r w:rsidRPr="00D82A88">
        <w:rPr>
          <w:color w:val="7030A0"/>
          <w:rtl/>
          <w:lang w:bidi="he-IL"/>
        </w:rPr>
        <w:t>בילסקי</w:t>
      </w:r>
      <w:proofErr w:type="spellEnd"/>
      <w:r w:rsidRPr="00D82A88">
        <w:rPr>
          <w:color w:val="7030A0"/>
          <w:rtl/>
          <w:lang w:bidi="he-IL"/>
        </w:rPr>
        <w:t xml:space="preserve"> מודל חדש </w:t>
      </w:r>
      <w:r w:rsidR="00DA0432" w:rsidRPr="00D82A88">
        <w:rPr>
          <w:color w:val="7030A0"/>
          <w:rtl/>
          <w:lang w:bidi="he-IL"/>
        </w:rPr>
        <w:t>לעדות הקרבן ב</w:t>
      </w:r>
      <w:r w:rsidR="00DA0432" w:rsidRPr="00D82A88">
        <w:rPr>
          <w:rFonts w:hint="cs"/>
          <w:color w:val="7030A0"/>
          <w:rtl/>
          <w:lang w:bidi="he-IL"/>
        </w:rPr>
        <w:t>הליך משפטי העוסק בפשעי זוועה ואלימות המונית</w:t>
      </w:r>
      <w:r w:rsidRPr="00D82A88">
        <w:rPr>
          <w:color w:val="7030A0"/>
          <w:rtl/>
          <w:lang w:bidi="he-IL"/>
        </w:rPr>
        <w:t>: מעבר מ</w:t>
      </w:r>
      <w:r w:rsidR="00DA0432" w:rsidRPr="00D82A88">
        <w:rPr>
          <w:rFonts w:hint="cs"/>
          <w:color w:val="7030A0"/>
          <w:rtl/>
          <w:lang w:bidi="he-IL"/>
        </w:rPr>
        <w:t>"</w:t>
      </w:r>
      <w:r w:rsidRPr="00D82A88">
        <w:rPr>
          <w:color w:val="7030A0"/>
          <w:rtl/>
          <w:lang w:bidi="he-IL"/>
        </w:rPr>
        <w:t>עדות משפטית</w:t>
      </w:r>
      <w:r w:rsidR="00DA0432" w:rsidRPr="00D82A88">
        <w:rPr>
          <w:rFonts w:hint="cs"/>
          <w:color w:val="7030A0"/>
          <w:rtl/>
          <w:lang w:bidi="he-IL"/>
        </w:rPr>
        <w:t>"</w:t>
      </w:r>
      <w:r w:rsidRPr="00D82A88">
        <w:rPr>
          <w:color w:val="7030A0"/>
          <w:rtl/>
          <w:lang w:bidi="he-IL"/>
        </w:rPr>
        <w:t xml:space="preserve"> של עד ראייה (הנמדדת לפי תוכן האמת שלה) ל</w:t>
      </w:r>
      <w:r w:rsidR="00DA0432" w:rsidRPr="00D82A88">
        <w:rPr>
          <w:rFonts w:hint="cs"/>
          <w:color w:val="7030A0"/>
          <w:rtl/>
          <w:lang w:bidi="he-IL"/>
        </w:rPr>
        <w:t>"</w:t>
      </w:r>
      <w:r w:rsidRPr="00D82A88">
        <w:rPr>
          <w:color w:val="7030A0"/>
          <w:rtl/>
          <w:lang w:bidi="he-IL"/>
        </w:rPr>
        <w:t>עדות אתית</w:t>
      </w:r>
      <w:r w:rsidR="00DA0432" w:rsidRPr="00D82A88">
        <w:rPr>
          <w:rFonts w:hint="cs"/>
          <w:color w:val="7030A0"/>
          <w:rtl/>
          <w:lang w:bidi="he-IL"/>
        </w:rPr>
        <w:t xml:space="preserve">" </w:t>
      </w:r>
      <w:r w:rsidR="00DA0432" w:rsidRPr="00D82A88">
        <w:rPr>
          <w:color w:val="7030A0"/>
          <w:rtl/>
          <w:lang w:bidi="he-IL"/>
        </w:rPr>
        <w:t>–</w:t>
      </w:r>
      <w:r w:rsidRPr="00D82A88">
        <w:rPr>
          <w:color w:val="7030A0"/>
          <w:rtl/>
          <w:lang w:bidi="he-IL"/>
        </w:rPr>
        <w:t xml:space="preserve"> המקיימת חובה מוסרית של הני</w:t>
      </w:r>
      <w:r w:rsidR="00DA0432" w:rsidRPr="00D82A88">
        <w:rPr>
          <w:color w:val="7030A0"/>
          <w:rtl/>
          <w:lang w:bidi="he-IL"/>
        </w:rPr>
        <w:t xml:space="preserve">צולים לשמר את סיפורם של המתים. </w:t>
      </w:r>
      <w:proofErr w:type="spellStart"/>
      <w:r w:rsidR="00DA0432" w:rsidRPr="00D82A88">
        <w:rPr>
          <w:rFonts w:hint="cs"/>
          <w:color w:val="7030A0"/>
          <w:rtl/>
          <w:lang w:bidi="he-IL"/>
        </w:rPr>
        <w:t>בילסקי</w:t>
      </w:r>
      <w:proofErr w:type="spellEnd"/>
      <w:r w:rsidRPr="00D82A88">
        <w:rPr>
          <w:color w:val="7030A0"/>
          <w:rtl/>
          <w:lang w:bidi="he-IL"/>
        </w:rPr>
        <w:t xml:space="preserve"> מציעה לראות את העדות </w:t>
      </w:r>
      <w:r w:rsidR="00DA0432" w:rsidRPr="00D82A88">
        <w:rPr>
          <w:rFonts w:hint="cs"/>
          <w:color w:val="7030A0"/>
          <w:rtl/>
          <w:lang w:bidi="he-IL"/>
        </w:rPr>
        <w:t>כדו-ראשית: המספר והמאזין. העדות אמנם</w:t>
      </w:r>
      <w:r w:rsidRPr="00D82A88">
        <w:rPr>
          <w:color w:val="7030A0"/>
          <w:rtl/>
          <w:lang w:bidi="he-IL"/>
        </w:rPr>
        <w:t xml:space="preserve"> נמסרת מפי העד, </w:t>
      </w:r>
      <w:r w:rsidR="00DA0432" w:rsidRPr="00D82A88">
        <w:rPr>
          <w:rFonts w:hint="cs"/>
          <w:color w:val="7030A0"/>
          <w:rtl/>
          <w:lang w:bidi="he-IL"/>
        </w:rPr>
        <w:t>אך</w:t>
      </w:r>
      <w:r w:rsidRPr="00D82A88">
        <w:rPr>
          <w:color w:val="7030A0"/>
          <w:rtl/>
          <w:lang w:bidi="he-IL"/>
        </w:rPr>
        <w:t xml:space="preserve"> היא דורשת השלמה, </w:t>
      </w:r>
      <w:r w:rsidR="00DA0432" w:rsidRPr="00D82A88">
        <w:rPr>
          <w:rFonts w:hint="cs"/>
          <w:color w:val="7030A0"/>
          <w:rtl/>
          <w:lang w:bidi="he-IL"/>
        </w:rPr>
        <w:t xml:space="preserve">במובן זה </w:t>
      </w:r>
      <w:r w:rsidR="00DA0432" w:rsidRPr="00D82A88">
        <w:rPr>
          <w:color w:val="7030A0"/>
          <w:rtl/>
          <w:lang w:bidi="he-IL"/>
        </w:rPr>
        <w:t>שיהיה מ</w:t>
      </w:r>
      <w:r w:rsidR="00DA0432" w:rsidRPr="00D82A88">
        <w:rPr>
          <w:rFonts w:hint="cs"/>
          <w:color w:val="7030A0"/>
          <w:rtl/>
          <w:lang w:bidi="he-IL"/>
        </w:rPr>
        <w:t>אזין אמפ</w:t>
      </w:r>
      <w:r w:rsidR="00A952A2" w:rsidRPr="00D82A88">
        <w:rPr>
          <w:rFonts w:hint="cs"/>
          <w:color w:val="7030A0"/>
          <w:rtl/>
          <w:lang w:bidi="he-IL"/>
        </w:rPr>
        <w:t>ת</w:t>
      </w:r>
      <w:r w:rsidR="00DA0432" w:rsidRPr="00D82A88">
        <w:rPr>
          <w:rFonts w:hint="cs"/>
          <w:color w:val="7030A0"/>
          <w:rtl/>
          <w:lang w:bidi="he-IL"/>
        </w:rPr>
        <w:t>י</w:t>
      </w:r>
      <w:r w:rsidRPr="00D82A88">
        <w:rPr>
          <w:color w:val="7030A0"/>
          <w:rtl/>
          <w:lang w:bidi="he-IL"/>
        </w:rPr>
        <w:t xml:space="preserve"> שיקבל את העדו</w:t>
      </w:r>
      <w:r w:rsidR="00DA0432" w:rsidRPr="00D82A88">
        <w:rPr>
          <w:color w:val="7030A0"/>
          <w:rtl/>
          <w:lang w:bidi="he-IL"/>
        </w:rPr>
        <w:t>ת.</w:t>
      </w:r>
      <w:r w:rsidR="00A952A2" w:rsidRPr="00D82A88">
        <w:rPr>
          <w:rStyle w:val="FootnoteReference"/>
          <w:color w:val="7030A0"/>
          <w:rtl/>
          <w:lang w:bidi="he-IL"/>
        </w:rPr>
        <w:footnoteReference w:id="38"/>
      </w:r>
      <w:r w:rsidR="00DA0432" w:rsidRPr="00D82A88">
        <w:rPr>
          <w:color w:val="7030A0"/>
          <w:rtl/>
          <w:lang w:bidi="he-IL"/>
        </w:rPr>
        <w:t xml:space="preserve"> </w:t>
      </w:r>
      <w:r w:rsidRPr="00D82A88">
        <w:rPr>
          <w:color w:val="7030A0"/>
          <w:rtl/>
          <w:lang w:bidi="he-IL"/>
        </w:rPr>
        <w:t>קריאה זו של העדויות הולכת צעד אחד קדימה מהמודל שהיה קיים עד כה במחקר וראה בקהל המאזינים לע</w:t>
      </w:r>
      <w:r w:rsidR="00DA0432" w:rsidRPr="00D82A88">
        <w:rPr>
          <w:color w:val="7030A0"/>
          <w:rtl/>
          <w:lang w:bidi="he-IL"/>
        </w:rPr>
        <w:t>דות במשפטי שואה "עדים של העדים"</w:t>
      </w:r>
      <w:r w:rsidR="00F75910" w:rsidRPr="00D82A88">
        <w:rPr>
          <w:rFonts w:hint="cs"/>
          <w:color w:val="7030A0"/>
          <w:rtl/>
          <w:lang w:bidi="he-IL"/>
        </w:rPr>
        <w:t xml:space="preserve"> (</w:t>
      </w:r>
      <w:r w:rsidR="00131288" w:rsidRPr="00D82A88">
        <w:rPr>
          <w:color w:val="7030A0"/>
          <w:lang w:bidi="he-IL"/>
        </w:rPr>
        <w:t>witnesses of the witnesses</w:t>
      </w:r>
      <w:r w:rsidR="00131288" w:rsidRPr="00D82A88">
        <w:rPr>
          <w:rFonts w:hint="cs"/>
          <w:color w:val="7030A0"/>
          <w:rtl/>
          <w:lang w:bidi="he-IL"/>
        </w:rPr>
        <w:t xml:space="preserve">), כלומר כאלו </w:t>
      </w:r>
      <w:r w:rsidR="00131288" w:rsidRPr="00D82A88">
        <w:rPr>
          <w:color w:val="7030A0"/>
          <w:rtl/>
          <w:lang w:bidi="he-IL"/>
        </w:rPr>
        <w:t>שיעבירו את זיכרון המאורעות, דרך המסננת של זיכרון הניצולים שהעידו במשפט, גם לדורות הבאים</w:t>
      </w:r>
      <w:r w:rsidR="00131288" w:rsidRPr="00D82A88">
        <w:rPr>
          <w:rFonts w:hint="cs"/>
          <w:color w:val="7030A0"/>
          <w:rtl/>
          <w:lang w:bidi="he-IL"/>
        </w:rPr>
        <w:t>.</w:t>
      </w:r>
      <w:r w:rsidR="00FB512A" w:rsidRPr="00D82A88">
        <w:rPr>
          <w:rStyle w:val="FootnoteReference"/>
          <w:color w:val="7030A0"/>
          <w:rtl/>
          <w:lang w:bidi="he-IL"/>
        </w:rPr>
        <w:footnoteReference w:id="39"/>
      </w:r>
      <w:r w:rsidRPr="00D82A88">
        <w:rPr>
          <w:color w:val="7030A0"/>
          <w:rtl/>
          <w:lang w:bidi="he-IL"/>
        </w:rPr>
        <w:t xml:space="preserve"> לפי תפיסה זו, הערך במסירת העדות במסגרות משפטיות ומעין</w:t>
      </w:r>
      <w:r w:rsidR="00DA0432" w:rsidRPr="00D82A88">
        <w:rPr>
          <w:color w:val="7030A0"/>
          <w:rtl/>
          <w:lang w:bidi="he-IL"/>
        </w:rPr>
        <w:t xml:space="preserve"> משפטיות אינו </w:t>
      </w:r>
      <w:r w:rsidR="00FB512A" w:rsidRPr="00D82A88">
        <w:rPr>
          <w:rFonts w:hint="cs"/>
          <w:color w:val="7030A0"/>
          <w:rtl/>
          <w:lang w:bidi="he-IL"/>
        </w:rPr>
        <w:t xml:space="preserve">עוד </w:t>
      </w:r>
      <w:r w:rsidR="00DA0432" w:rsidRPr="00D82A88">
        <w:rPr>
          <w:color w:val="7030A0"/>
          <w:rtl/>
          <w:lang w:bidi="he-IL"/>
        </w:rPr>
        <w:t xml:space="preserve">משפטי </w:t>
      </w:r>
      <w:r w:rsidR="00DA0432" w:rsidRPr="00D82A88">
        <w:rPr>
          <w:rFonts w:hint="cs"/>
          <w:color w:val="7030A0"/>
          <w:rtl/>
          <w:lang w:bidi="he-IL"/>
        </w:rPr>
        <w:t>"</w:t>
      </w:r>
      <w:r w:rsidR="00DA0432" w:rsidRPr="00D82A88">
        <w:rPr>
          <w:color w:val="7030A0"/>
          <w:rtl/>
          <w:lang w:bidi="he-IL"/>
        </w:rPr>
        <w:t>טהור</w:t>
      </w:r>
      <w:r w:rsidR="00DA0432" w:rsidRPr="00D82A88">
        <w:rPr>
          <w:rFonts w:hint="cs"/>
          <w:color w:val="7030A0"/>
          <w:rtl/>
          <w:lang w:bidi="he-IL"/>
        </w:rPr>
        <w:t>"</w:t>
      </w:r>
      <w:r w:rsidR="00FB512A" w:rsidRPr="00D82A88">
        <w:rPr>
          <w:rFonts w:hint="cs"/>
          <w:color w:val="7030A0"/>
          <w:rtl/>
          <w:lang w:bidi="he-IL"/>
        </w:rPr>
        <w:t xml:space="preserve">. </w:t>
      </w:r>
      <w:r w:rsidRPr="00D82A88">
        <w:rPr>
          <w:color w:val="7030A0"/>
          <w:rtl/>
          <w:lang w:bidi="he-IL"/>
        </w:rPr>
        <w:t>מטרתן של ה</w:t>
      </w:r>
      <w:r w:rsidR="00DA0432" w:rsidRPr="00D82A88">
        <w:rPr>
          <w:color w:val="7030A0"/>
          <w:rtl/>
          <w:lang w:bidi="he-IL"/>
        </w:rPr>
        <w:t>עדויות אינ</w:t>
      </w:r>
      <w:r w:rsidR="00DA0432" w:rsidRPr="00D82A88">
        <w:rPr>
          <w:rFonts w:hint="cs"/>
          <w:color w:val="7030A0"/>
          <w:rtl/>
          <w:lang w:bidi="he-IL"/>
        </w:rPr>
        <w:t>ה מתמצית בביסוס</w:t>
      </w:r>
      <w:r w:rsidR="00DA0432" w:rsidRPr="00D82A88">
        <w:rPr>
          <w:color w:val="7030A0"/>
          <w:rtl/>
          <w:lang w:bidi="he-IL"/>
        </w:rPr>
        <w:t xml:space="preserve"> תשתית ראייתית </w:t>
      </w:r>
      <w:r w:rsidR="00FB512A" w:rsidRPr="00D82A88">
        <w:rPr>
          <w:rFonts w:hint="cs"/>
          <w:color w:val="7030A0"/>
          <w:rtl/>
          <w:lang w:bidi="he-IL"/>
        </w:rPr>
        <w:t>שבכוחה להרשיע את הנאשם ולהענישו על הפשעים שביצע</w:t>
      </w:r>
      <w:r w:rsidR="00DA0432" w:rsidRPr="00D82A88">
        <w:rPr>
          <w:rFonts w:hint="cs"/>
          <w:color w:val="7030A0"/>
          <w:rtl/>
          <w:lang w:bidi="he-IL"/>
        </w:rPr>
        <w:t>.</w:t>
      </w:r>
      <w:r w:rsidRPr="00D82A88">
        <w:rPr>
          <w:color w:val="7030A0"/>
          <w:rtl/>
          <w:lang w:bidi="he-IL"/>
        </w:rPr>
        <w:t xml:space="preserve"> </w:t>
      </w:r>
      <w:r w:rsidR="00DA0432" w:rsidRPr="00D82A88">
        <w:rPr>
          <w:rFonts w:hint="cs"/>
          <w:color w:val="7030A0"/>
          <w:rtl/>
          <w:lang w:bidi="he-IL"/>
        </w:rPr>
        <w:t xml:space="preserve">תכלית </w:t>
      </w:r>
      <w:r w:rsidR="00FB512A" w:rsidRPr="00D82A88">
        <w:rPr>
          <w:rFonts w:hint="cs"/>
          <w:color w:val="7030A0"/>
          <w:rtl/>
          <w:lang w:bidi="he-IL"/>
        </w:rPr>
        <w:t>עצמאית ו</w:t>
      </w:r>
      <w:r w:rsidR="00DA0432" w:rsidRPr="00D82A88">
        <w:rPr>
          <w:rFonts w:hint="cs"/>
          <w:color w:val="7030A0"/>
          <w:rtl/>
          <w:lang w:bidi="he-IL"/>
        </w:rPr>
        <w:t>חשובה לא פחות היא מתן</w:t>
      </w:r>
      <w:r w:rsidRPr="00D82A88">
        <w:rPr>
          <w:color w:val="7030A0"/>
          <w:rtl/>
          <w:lang w:bidi="he-IL"/>
        </w:rPr>
        <w:t xml:space="preserve"> קול ובמה לסיפורי הקורבנות. </w:t>
      </w:r>
    </w:p>
    <w:p w:rsidR="002F61CA" w:rsidRPr="00D82A88" w:rsidRDefault="002F61CA" w:rsidP="002F61CA">
      <w:pPr>
        <w:tabs>
          <w:tab w:val="left" w:pos="800"/>
        </w:tabs>
        <w:overflowPunct w:val="0"/>
        <w:autoSpaceDE w:val="0"/>
        <w:autoSpaceDN w:val="0"/>
        <w:adjustRightInd w:val="0"/>
        <w:textAlignment w:val="baseline"/>
        <w:rPr>
          <w:color w:val="7030A0"/>
          <w:rtl/>
        </w:rPr>
      </w:pPr>
    </w:p>
    <w:p w:rsidR="002F61CA" w:rsidRPr="00D82A88" w:rsidRDefault="002F61CA" w:rsidP="00BD3708">
      <w:pPr>
        <w:tabs>
          <w:tab w:val="left" w:pos="800"/>
        </w:tabs>
        <w:overflowPunct w:val="0"/>
        <w:autoSpaceDE w:val="0"/>
        <w:autoSpaceDN w:val="0"/>
        <w:adjustRightInd w:val="0"/>
        <w:textAlignment w:val="baseline"/>
        <w:rPr>
          <w:color w:val="7030A0"/>
          <w:rtl/>
          <w:lang w:bidi="he-IL"/>
        </w:rPr>
      </w:pPr>
      <w:r w:rsidRPr="00D82A88">
        <w:rPr>
          <w:color w:val="7030A0"/>
          <w:rtl/>
          <w:lang w:bidi="he-IL"/>
        </w:rPr>
        <w:tab/>
        <w:t>אם מסתכלים על התפקיד הזה של העדויות כ</w:t>
      </w:r>
      <w:r w:rsidR="00FC7C51" w:rsidRPr="00D82A88">
        <w:rPr>
          <w:rFonts w:hint="cs"/>
          <w:color w:val="7030A0"/>
          <w:rtl/>
          <w:lang w:bidi="he-IL"/>
        </w:rPr>
        <w:t>מאפיין</w:t>
      </w:r>
      <w:r w:rsidRPr="00D82A88">
        <w:rPr>
          <w:color w:val="7030A0"/>
          <w:rtl/>
          <w:lang w:bidi="he-IL"/>
        </w:rPr>
        <w:t xml:space="preserve"> מרכזי, אנו נדרשים להוסיף ולשאול את </w:t>
      </w:r>
      <w:r w:rsidR="00FC7C51" w:rsidRPr="00D82A88">
        <w:rPr>
          <w:color w:val="7030A0"/>
          <w:rtl/>
          <w:lang w:bidi="he-IL"/>
        </w:rPr>
        <w:t>השאלה הקשה</w:t>
      </w:r>
      <w:r w:rsidR="00FC7C51" w:rsidRPr="00D82A88">
        <w:rPr>
          <w:rFonts w:hint="cs"/>
          <w:color w:val="7030A0"/>
          <w:rtl/>
          <w:lang w:bidi="he-IL"/>
        </w:rPr>
        <w:t xml:space="preserve"> </w:t>
      </w:r>
      <w:r w:rsidR="00FC7C51" w:rsidRPr="00D82A88">
        <w:rPr>
          <w:color w:val="7030A0"/>
          <w:rtl/>
          <w:lang w:bidi="he-IL"/>
        </w:rPr>
        <w:t>–</w:t>
      </w:r>
      <w:r w:rsidR="00FC7C51" w:rsidRPr="00D82A88">
        <w:rPr>
          <w:rFonts w:hint="cs"/>
          <w:color w:val="7030A0"/>
          <w:rtl/>
          <w:lang w:bidi="he-IL"/>
        </w:rPr>
        <w:t xml:space="preserve"> </w:t>
      </w:r>
      <w:r w:rsidRPr="00D82A88">
        <w:rPr>
          <w:color w:val="7030A0"/>
          <w:rtl/>
          <w:lang w:bidi="he-IL"/>
        </w:rPr>
        <w:t xml:space="preserve">האם הדרך להעניק </w:t>
      </w:r>
      <w:r w:rsidR="00FC7C51" w:rsidRPr="00D82A88">
        <w:rPr>
          <w:rFonts w:hint="cs"/>
          <w:color w:val="7030A0"/>
          <w:rtl/>
          <w:lang w:bidi="he-IL"/>
        </w:rPr>
        <w:t>קול ל</w:t>
      </w:r>
      <w:r w:rsidRPr="00D82A88">
        <w:rPr>
          <w:color w:val="7030A0"/>
          <w:rtl/>
          <w:lang w:bidi="he-IL"/>
        </w:rPr>
        <w:t xml:space="preserve">קורבנות עוברת דרך ויתור על </w:t>
      </w:r>
      <w:r w:rsidR="00FC7C51" w:rsidRPr="00D82A88">
        <w:rPr>
          <w:color w:val="7030A0"/>
          <w:rtl/>
          <w:lang w:bidi="he-IL"/>
        </w:rPr>
        <w:t>כללי הפרוצדורה של המשפט הפלילי</w:t>
      </w:r>
      <w:r w:rsidR="00FC7C51" w:rsidRPr="00D82A88">
        <w:rPr>
          <w:rFonts w:hint="cs"/>
          <w:color w:val="7030A0"/>
          <w:rtl/>
          <w:lang w:bidi="he-IL"/>
        </w:rPr>
        <w:t xml:space="preserve"> הרגיל</w:t>
      </w:r>
      <w:r w:rsidR="00FC7C51" w:rsidRPr="00D82A88">
        <w:rPr>
          <w:color w:val="7030A0"/>
          <w:rtl/>
          <w:lang w:bidi="he-IL"/>
        </w:rPr>
        <w:t xml:space="preserve">? שאלה </w:t>
      </w:r>
      <w:r w:rsidRPr="00D82A88">
        <w:rPr>
          <w:color w:val="7030A0"/>
          <w:rtl/>
          <w:lang w:bidi="he-IL"/>
        </w:rPr>
        <w:t xml:space="preserve">זו אולי כבר לא </w:t>
      </w:r>
      <w:r w:rsidR="00FC7C51" w:rsidRPr="00D82A88">
        <w:rPr>
          <w:rFonts w:hint="cs"/>
          <w:color w:val="7030A0"/>
          <w:rtl/>
          <w:lang w:bidi="he-IL"/>
        </w:rPr>
        <w:t>כל כך</w:t>
      </w:r>
      <w:r w:rsidRPr="00D82A88">
        <w:rPr>
          <w:color w:val="7030A0"/>
          <w:rtl/>
          <w:lang w:bidi="he-IL"/>
        </w:rPr>
        <w:t xml:space="preserve"> רלוונטית למשפטי שואה, בוודאי לא במדינת ישראל, אבל היא יכולה להיות רלוונטית לדיון רחב יותר בעיסוק בפשעי זוועה</w:t>
      </w:r>
      <w:r w:rsidR="00A952A2" w:rsidRPr="00D82A88">
        <w:rPr>
          <w:rFonts w:hint="cs"/>
          <w:color w:val="7030A0"/>
          <w:rtl/>
          <w:lang w:bidi="he-IL"/>
        </w:rPr>
        <w:t xml:space="preserve"> ואלימות המונית</w:t>
      </w:r>
      <w:r w:rsidRPr="00D82A88">
        <w:rPr>
          <w:color w:val="7030A0"/>
          <w:rtl/>
          <w:lang w:bidi="he-IL"/>
        </w:rPr>
        <w:t xml:space="preserve"> בין כתלי בית המשפט. </w:t>
      </w:r>
      <w:r w:rsidR="00124CA7" w:rsidRPr="00D82A88">
        <w:rPr>
          <w:rFonts w:hint="cs"/>
          <w:color w:val="7030A0"/>
          <w:rtl/>
          <w:lang w:bidi="he-IL"/>
        </w:rPr>
        <w:t>אינני מתיימרת להציע תשובה חד-משמעית ל</w:t>
      </w:r>
      <w:r w:rsidR="00BD3708" w:rsidRPr="00D82A88">
        <w:rPr>
          <w:rFonts w:hint="cs"/>
          <w:color w:val="7030A0"/>
          <w:rtl/>
          <w:lang w:bidi="he-IL"/>
        </w:rPr>
        <w:t xml:space="preserve">שאלה מורכבת זו, ואסתפק בכך שאצביע על שני היבטים חשובים. </w:t>
      </w:r>
      <w:r w:rsidR="00FC7C51" w:rsidRPr="00D82A88">
        <w:rPr>
          <w:rFonts w:hint="cs"/>
          <w:color w:val="7030A0"/>
          <w:rtl/>
          <w:lang w:bidi="he-IL"/>
        </w:rPr>
        <w:t>מצד אחד,</w:t>
      </w:r>
      <w:r w:rsidR="00FB512A" w:rsidRPr="00D82A88">
        <w:rPr>
          <w:color w:val="7030A0"/>
          <w:rtl/>
          <w:lang w:bidi="he-IL"/>
        </w:rPr>
        <w:t xml:space="preserve"> אם </w:t>
      </w:r>
      <w:r w:rsidR="00FB512A" w:rsidRPr="00D82A88">
        <w:rPr>
          <w:rFonts w:hint="cs"/>
          <w:color w:val="7030A0"/>
          <w:rtl/>
          <w:lang w:bidi="he-IL"/>
        </w:rPr>
        <w:t>נוותר על הערך הראייתי של העדויות</w:t>
      </w:r>
      <w:r w:rsidRPr="00D82A88">
        <w:rPr>
          <w:color w:val="7030A0"/>
          <w:rtl/>
          <w:lang w:bidi="he-IL"/>
        </w:rPr>
        <w:t xml:space="preserve">, </w:t>
      </w:r>
      <w:r w:rsidR="00FB512A" w:rsidRPr="00D82A88">
        <w:rPr>
          <w:rFonts w:hint="cs"/>
          <w:color w:val="7030A0"/>
          <w:rtl/>
          <w:lang w:bidi="he-IL"/>
        </w:rPr>
        <w:t>נוכל לאפשר</w:t>
      </w:r>
      <w:r w:rsidRPr="00D82A88">
        <w:rPr>
          <w:color w:val="7030A0"/>
          <w:rtl/>
          <w:lang w:bidi="he-IL"/>
        </w:rPr>
        <w:t xml:space="preserve"> ל</w:t>
      </w:r>
      <w:r w:rsidR="00FB512A" w:rsidRPr="00D82A88">
        <w:rPr>
          <w:rFonts w:hint="cs"/>
          <w:color w:val="7030A0"/>
          <w:rtl/>
          <w:lang w:bidi="he-IL"/>
        </w:rPr>
        <w:t>קרבנות</w:t>
      </w:r>
      <w:r w:rsidRPr="00D82A88">
        <w:rPr>
          <w:color w:val="7030A0"/>
          <w:rtl/>
          <w:lang w:bidi="he-IL"/>
        </w:rPr>
        <w:t xml:space="preserve"> לספר סיפור </w:t>
      </w:r>
      <w:r w:rsidR="00FC7C51" w:rsidRPr="00D82A88">
        <w:rPr>
          <w:rFonts w:hint="cs"/>
          <w:color w:val="7030A0"/>
          <w:rtl/>
          <w:lang w:bidi="he-IL"/>
        </w:rPr>
        <w:t>אישי מנקודת מבטם, מ</w:t>
      </w:r>
      <w:r w:rsidRPr="00D82A88">
        <w:rPr>
          <w:color w:val="7030A0"/>
          <w:rtl/>
          <w:lang w:bidi="he-IL"/>
        </w:rPr>
        <w:t xml:space="preserve">בלי שיצטרכו להוכיח אמינות לפי קנה המידה הנהוג במשפט פלילי. </w:t>
      </w:r>
      <w:r w:rsidR="00A952A2" w:rsidRPr="00D82A88">
        <w:rPr>
          <w:rFonts w:hint="cs"/>
          <w:color w:val="7030A0"/>
          <w:rtl/>
          <w:lang w:bidi="he-IL"/>
        </w:rPr>
        <w:t xml:space="preserve">אך </w:t>
      </w:r>
      <w:r w:rsidR="00FC7C51" w:rsidRPr="00D82A88">
        <w:rPr>
          <w:rFonts w:hint="cs"/>
          <w:color w:val="7030A0"/>
          <w:rtl/>
          <w:lang w:bidi="he-IL"/>
        </w:rPr>
        <w:t>מצד אחר</w:t>
      </w:r>
      <w:r w:rsidRPr="00D82A88">
        <w:rPr>
          <w:color w:val="7030A0"/>
          <w:rtl/>
          <w:lang w:bidi="he-IL"/>
        </w:rPr>
        <w:t xml:space="preserve">, </w:t>
      </w:r>
      <w:r w:rsidR="00FC7C51" w:rsidRPr="00D82A88">
        <w:rPr>
          <w:rFonts w:hint="cs"/>
          <w:color w:val="7030A0"/>
          <w:rtl/>
          <w:lang w:bidi="he-IL"/>
        </w:rPr>
        <w:t>התוקף וההכרה במהימנות העדויות שואבים את כוחם</w:t>
      </w:r>
      <w:r w:rsidR="00BD3708" w:rsidRPr="00D82A88">
        <w:rPr>
          <w:rFonts w:hint="cs"/>
          <w:color w:val="7030A0"/>
          <w:rtl/>
          <w:lang w:bidi="he-IL"/>
        </w:rPr>
        <w:t>, במידה רבה,</w:t>
      </w:r>
      <w:r w:rsidR="00FC7C51" w:rsidRPr="00D82A88">
        <w:rPr>
          <w:rFonts w:hint="cs"/>
          <w:color w:val="7030A0"/>
          <w:rtl/>
          <w:lang w:bidi="he-IL"/>
        </w:rPr>
        <w:t xml:space="preserve"> מהלגיטימציה של ההליך המשפטי. </w:t>
      </w:r>
      <w:r w:rsidR="00167D51" w:rsidRPr="00D82A88">
        <w:rPr>
          <w:rFonts w:hint="cs"/>
          <w:color w:val="7030A0"/>
          <w:rtl/>
          <w:lang w:bidi="he-IL"/>
        </w:rPr>
        <w:t xml:space="preserve">משפט מנגלה מדגים זאת היטב: </w:t>
      </w:r>
      <w:r w:rsidR="00167D51" w:rsidRPr="00D82A88">
        <w:rPr>
          <w:color w:val="7030A0"/>
          <w:rtl/>
          <w:lang w:bidi="he-IL"/>
        </w:rPr>
        <w:t xml:space="preserve">אין ספק שהוא לא הגשים את המטרה הראשית שיוחסה לו – לאסוף ראיות לקראת המשפט </w:t>
      </w:r>
      <w:proofErr w:type="spellStart"/>
      <w:r w:rsidR="00167D51" w:rsidRPr="00D82A88">
        <w:rPr>
          <w:color w:val="7030A0"/>
          <w:rtl/>
          <w:lang w:bidi="he-IL"/>
        </w:rPr>
        <w:t>האמיתי</w:t>
      </w:r>
      <w:proofErr w:type="spellEnd"/>
      <w:r w:rsidR="00167D51" w:rsidRPr="00D82A88">
        <w:rPr>
          <w:color w:val="7030A0"/>
          <w:rtl/>
          <w:lang w:bidi="he-IL"/>
        </w:rPr>
        <w:t xml:space="preserve"> – שכן מנגלה מעולם לא הובא לדין. </w:t>
      </w:r>
      <w:r w:rsidR="00167D51" w:rsidRPr="00D82A88">
        <w:rPr>
          <w:rFonts w:hint="cs"/>
          <w:color w:val="7030A0"/>
          <w:rtl/>
          <w:lang w:bidi="he-IL"/>
        </w:rPr>
        <w:t xml:space="preserve">אך יותר מכך, </w:t>
      </w:r>
      <w:r w:rsidRPr="00D82A88">
        <w:rPr>
          <w:color w:val="7030A0"/>
          <w:rtl/>
          <w:lang w:bidi="he-IL"/>
        </w:rPr>
        <w:t xml:space="preserve">בסופו של דבר, ועל אף התהודה </w:t>
      </w:r>
      <w:proofErr w:type="spellStart"/>
      <w:r w:rsidRPr="00D82A88">
        <w:rPr>
          <w:color w:val="7030A0"/>
          <w:rtl/>
          <w:lang w:bidi="he-IL"/>
        </w:rPr>
        <w:t>שהיתה</w:t>
      </w:r>
      <w:proofErr w:type="spellEnd"/>
      <w:r w:rsidRPr="00D82A88">
        <w:rPr>
          <w:color w:val="7030A0"/>
          <w:rtl/>
          <w:lang w:bidi="he-IL"/>
        </w:rPr>
        <w:t xml:space="preserve"> לו בזמן אמת, נשכח המשפט הפומבי מן התודעה הציבורית </w:t>
      </w:r>
      <w:r w:rsidR="00167D51" w:rsidRPr="00D82A88">
        <w:rPr>
          <w:rFonts w:hint="cs"/>
          <w:color w:val="7030A0"/>
          <w:rtl/>
          <w:lang w:bidi="he-IL"/>
        </w:rPr>
        <w:t>ומקומו נפקד גם</w:t>
      </w:r>
      <w:r w:rsidRPr="00D82A88">
        <w:rPr>
          <w:color w:val="7030A0"/>
          <w:rtl/>
          <w:lang w:bidi="he-IL"/>
        </w:rPr>
        <w:t xml:space="preserve"> מן המחקר ההיסטורי. </w:t>
      </w:r>
      <w:r w:rsidR="00167D51" w:rsidRPr="00D82A88">
        <w:rPr>
          <w:rFonts w:hint="cs"/>
          <w:color w:val="7030A0"/>
          <w:rtl/>
          <w:lang w:bidi="he-IL"/>
        </w:rPr>
        <w:t>בפרספקטיבה היסטורית</w:t>
      </w:r>
      <w:r w:rsidRPr="00D82A88">
        <w:rPr>
          <w:color w:val="7030A0"/>
          <w:rtl/>
          <w:lang w:bidi="he-IL"/>
        </w:rPr>
        <w:t xml:space="preserve">, לא ניתן </w:t>
      </w:r>
      <w:r w:rsidR="00525FB1" w:rsidRPr="00D82A88">
        <w:rPr>
          <w:rFonts w:hint="cs"/>
          <w:color w:val="7030A0"/>
          <w:rtl/>
          <w:lang w:bidi="he-IL"/>
        </w:rPr>
        <w:t xml:space="preserve">אפוא </w:t>
      </w:r>
      <w:r w:rsidRPr="00D82A88">
        <w:rPr>
          <w:color w:val="7030A0"/>
          <w:rtl/>
          <w:lang w:bidi="he-IL"/>
        </w:rPr>
        <w:t xml:space="preserve">לומר שגם המטרות הנוספות, החינוכיות והתיעודיות שלו, הוגשמו בצורה מלאה. </w:t>
      </w:r>
      <w:r w:rsidR="00525FB1" w:rsidRPr="00D82A88">
        <w:rPr>
          <w:rFonts w:hint="cs"/>
          <w:color w:val="7030A0"/>
          <w:rtl/>
          <w:lang w:bidi="he-IL"/>
        </w:rPr>
        <w:t>מסקנה</w:t>
      </w:r>
      <w:r w:rsidRPr="00D82A88">
        <w:rPr>
          <w:color w:val="7030A0"/>
          <w:rtl/>
          <w:lang w:bidi="he-IL"/>
        </w:rPr>
        <w:t xml:space="preserve"> זו מעוררת את השאלה</w:t>
      </w:r>
      <w:r w:rsidR="00FB512A" w:rsidRPr="00D82A88">
        <w:rPr>
          <w:rFonts w:hint="cs"/>
          <w:color w:val="7030A0"/>
          <w:rtl/>
          <w:lang w:bidi="he-IL"/>
        </w:rPr>
        <w:t>,</w:t>
      </w:r>
      <w:r w:rsidRPr="00D82A88">
        <w:rPr>
          <w:color w:val="7030A0"/>
          <w:rtl/>
          <w:lang w:bidi="he-IL"/>
        </w:rPr>
        <w:t xml:space="preserve"> האם רק ההילה הציבורית של הבמה המשפטית</w:t>
      </w:r>
      <w:r w:rsidR="00525FB1" w:rsidRPr="00D82A88">
        <w:rPr>
          <w:rFonts w:hint="cs"/>
          <w:color w:val="7030A0"/>
          <w:rtl/>
          <w:lang w:bidi="he-IL"/>
        </w:rPr>
        <w:t xml:space="preserve"> המסורתית,</w:t>
      </w:r>
      <w:r w:rsidRPr="00D82A88">
        <w:rPr>
          <w:color w:val="7030A0"/>
          <w:rtl/>
          <w:lang w:bidi="he-IL"/>
        </w:rPr>
        <w:t xml:space="preserve"> היא </w:t>
      </w:r>
      <w:r w:rsidR="00167D51" w:rsidRPr="00D82A88">
        <w:rPr>
          <w:rFonts w:hint="cs"/>
          <w:color w:val="7030A0"/>
          <w:rtl/>
          <w:lang w:bidi="he-IL"/>
        </w:rPr>
        <w:t>לבדה בעלת הפוטנציאל לקבע</w:t>
      </w:r>
      <w:r w:rsidRPr="00D82A88">
        <w:rPr>
          <w:color w:val="7030A0"/>
          <w:rtl/>
          <w:lang w:bidi="he-IL"/>
        </w:rPr>
        <w:t xml:space="preserve"> את המשפט והעדויות שניתנו בו בזיכרון הקולקטיבי. </w:t>
      </w:r>
    </w:p>
    <w:p w:rsidR="002F61CA" w:rsidRPr="00D82A88" w:rsidRDefault="002F61CA" w:rsidP="00F65363">
      <w:pPr>
        <w:tabs>
          <w:tab w:val="left" w:pos="800"/>
        </w:tabs>
        <w:overflowPunct w:val="0"/>
        <w:autoSpaceDE w:val="0"/>
        <w:autoSpaceDN w:val="0"/>
        <w:adjustRightInd w:val="0"/>
        <w:textAlignment w:val="baseline"/>
        <w:rPr>
          <w:color w:val="7030A0"/>
          <w:rtl/>
        </w:rPr>
      </w:pPr>
    </w:p>
    <w:bookmarkEnd w:id="2"/>
    <w:p w:rsidR="00F65363" w:rsidRPr="00D82A88" w:rsidRDefault="00F65363" w:rsidP="00DD6205">
      <w:pPr>
        <w:rPr>
          <w:color w:val="7030A0"/>
          <w:rtl/>
          <w:lang w:bidi="he-IL"/>
        </w:rPr>
      </w:pPr>
    </w:p>
    <w:sectPr w:rsidR="00F65363" w:rsidRPr="00D82A88" w:rsidSect="00E670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B9C" w:rsidRDefault="00471B9C" w:rsidP="00F75186">
      <w:pPr>
        <w:spacing w:line="240" w:lineRule="auto"/>
      </w:pPr>
      <w:r>
        <w:separator/>
      </w:r>
    </w:p>
  </w:endnote>
  <w:endnote w:type="continuationSeparator" w:id="0">
    <w:p w:rsidR="00471B9C" w:rsidRDefault="00471B9C" w:rsidP="00F75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B9C" w:rsidRDefault="00471B9C" w:rsidP="00F75186">
      <w:pPr>
        <w:spacing w:line="240" w:lineRule="auto"/>
      </w:pPr>
      <w:r>
        <w:separator/>
      </w:r>
    </w:p>
  </w:footnote>
  <w:footnote w:type="continuationSeparator" w:id="0">
    <w:p w:rsidR="00471B9C" w:rsidRDefault="00471B9C" w:rsidP="00F75186">
      <w:pPr>
        <w:spacing w:line="240" w:lineRule="auto"/>
      </w:pPr>
      <w:r>
        <w:continuationSeparator/>
      </w:r>
    </w:p>
  </w:footnote>
  <w:footnote w:id="1">
    <w:p w:rsidR="00D72BFC" w:rsidRDefault="00D72BFC" w:rsidP="007C5FDF">
      <w:pPr>
        <w:pStyle w:val="FootnoteText"/>
      </w:pPr>
      <w:r>
        <w:rPr>
          <w:rStyle w:val="FootnoteReference"/>
        </w:rPr>
        <w:footnoteRef/>
      </w:r>
      <w:r>
        <w:rPr>
          <w:rFonts w:cs="Times New Roman"/>
          <w:rtl/>
        </w:rPr>
        <w:t xml:space="preserve"> </w:t>
      </w:r>
      <w:r w:rsidRPr="007C5FDF">
        <w:t xml:space="preserve">Michael A. </w:t>
      </w:r>
      <w:proofErr w:type="spellStart"/>
      <w:r w:rsidRPr="007C5FDF">
        <w:t>Grodin</w:t>
      </w:r>
      <w:proofErr w:type="spellEnd"/>
      <w:r w:rsidRPr="007C5FDF">
        <w:t xml:space="preserve">, Eva </w:t>
      </w:r>
      <w:proofErr w:type="spellStart"/>
      <w:r w:rsidRPr="007C5FDF">
        <w:t>Mozes</w:t>
      </w:r>
      <w:proofErr w:type="spellEnd"/>
      <w:r w:rsidRPr="007C5FDF">
        <w:t xml:space="preserve"> </w:t>
      </w:r>
      <w:proofErr w:type="spellStart"/>
      <w:r w:rsidRPr="007C5FDF">
        <w:t>Kor</w:t>
      </w:r>
      <w:proofErr w:type="spellEnd"/>
      <w:r w:rsidRPr="007C5FDF">
        <w:t xml:space="preserve"> &amp; Susan Benedict, The Trial That Never Happened: Josef Mengele and the Twins of Auschwitz, 5 WAR Crimes GENOCIDE &amp; Crimes against HUMAN. 3 (2011).</w:t>
      </w:r>
    </w:p>
  </w:footnote>
  <w:footnote w:id="2">
    <w:p w:rsidR="00D72BFC" w:rsidRDefault="00D72BFC" w:rsidP="00E152AE">
      <w:pPr>
        <w:pStyle w:val="FootnoteText"/>
        <w:rPr>
          <w:rtl/>
          <w:lang w:bidi="he-IL"/>
        </w:rPr>
      </w:pPr>
      <w:r>
        <w:rPr>
          <w:rStyle w:val="FootnoteReference"/>
        </w:rPr>
        <w:footnoteRef/>
      </w:r>
      <w:r>
        <w:rPr>
          <w:rFonts w:cs="Times New Roman"/>
          <w:rtl/>
        </w:rPr>
        <w:t xml:space="preserve"> </w:t>
      </w:r>
      <w:r>
        <w:rPr>
          <w:rFonts w:cs="Times New Roman" w:hint="cs"/>
          <w:rtl/>
          <w:lang w:bidi="he-IL"/>
        </w:rPr>
        <w:t xml:space="preserve">הציטוט לקוח </w:t>
      </w:r>
      <w:r>
        <w:rPr>
          <w:rFonts w:hint="cs"/>
          <w:rtl/>
          <w:lang w:bidi="he-IL"/>
        </w:rPr>
        <w:t>מתוך דברי הפתיחה למשפט שנשא יו"ר הנהלת יד ושם, ד"ר יצחק ארד.</w:t>
      </w:r>
    </w:p>
  </w:footnote>
  <w:footnote w:id="3">
    <w:p w:rsidR="00D72BFC" w:rsidRDefault="00D72BFC" w:rsidP="00F751FF">
      <w:pPr>
        <w:pStyle w:val="FootnoteText"/>
        <w:rPr>
          <w:rtl/>
          <w:lang w:bidi="he-IL"/>
        </w:rPr>
      </w:pPr>
      <w:r>
        <w:rPr>
          <w:rStyle w:val="FootnoteReference"/>
        </w:rPr>
        <w:footnoteRef/>
      </w:r>
      <w:r>
        <w:rPr>
          <w:rFonts w:cs="Times New Roman"/>
          <w:rtl/>
        </w:rPr>
        <w:t xml:space="preserve"> </w:t>
      </w:r>
      <w:r>
        <w:t>Posner, Gerald L. and Ware, John, Mengele: The Complete Story</w:t>
      </w:r>
      <w:r w:rsidRPr="00E152AE">
        <w:t xml:space="preserve"> </w:t>
      </w:r>
      <w:r>
        <w:t>(</w:t>
      </w:r>
      <w:r w:rsidRPr="00E152AE">
        <w:t>New York: McGraw-Hill</w:t>
      </w:r>
      <w:r>
        <w:t>, 1986)</w:t>
      </w:r>
      <w:r>
        <w:t>;</w:t>
      </w:r>
      <w:r w:rsidRPr="00F751FF">
        <w:t xml:space="preserve"> </w:t>
      </w:r>
      <w:proofErr w:type="spellStart"/>
      <w:r w:rsidRPr="00F751FF">
        <w:t>Marwell</w:t>
      </w:r>
      <w:proofErr w:type="spellEnd"/>
      <w:r w:rsidRPr="00F751FF">
        <w:t>, David G.</w:t>
      </w:r>
      <w:r>
        <w:t>,</w:t>
      </w:r>
      <w:r w:rsidRPr="00F751FF">
        <w:t xml:space="preserve"> Mengele: Unmasking the</w:t>
      </w:r>
      <w:r>
        <w:t xml:space="preserve"> "Angel of Death",</w:t>
      </w:r>
      <w:r w:rsidRPr="00F751FF">
        <w:t xml:space="preserve"> WW Norton &amp; Company, 2020</w:t>
      </w:r>
      <w:r>
        <w:t>.</w:t>
      </w:r>
    </w:p>
  </w:footnote>
  <w:footnote w:id="4">
    <w:p w:rsidR="00D72BFC" w:rsidRDefault="00D72BFC" w:rsidP="00511C54">
      <w:pPr>
        <w:pStyle w:val="FootnoteText"/>
        <w:rPr>
          <w:rtl/>
          <w:lang w:bidi="he-IL"/>
        </w:rPr>
      </w:pPr>
      <w:r>
        <w:rPr>
          <w:rStyle w:val="FootnoteReference"/>
        </w:rPr>
        <w:footnoteRef/>
      </w:r>
      <w:r>
        <w:rPr>
          <w:rtl/>
        </w:rPr>
        <w:t xml:space="preserve"> </w:t>
      </w:r>
      <w:r>
        <w:rPr>
          <w:rFonts w:hint="cs"/>
          <w:rtl/>
          <w:lang w:bidi="he-IL"/>
        </w:rPr>
        <w:t xml:space="preserve">יוסף </w:t>
      </w:r>
      <w:r>
        <w:rPr>
          <w:rFonts w:hint="cs"/>
          <w:rtl/>
        </w:rPr>
        <w:t>(</w:t>
      </w:r>
      <w:r>
        <w:rPr>
          <w:rFonts w:hint="cs"/>
          <w:rtl/>
          <w:lang w:bidi="he-IL"/>
        </w:rPr>
        <w:t>יוסי</w:t>
      </w:r>
      <w:r>
        <w:rPr>
          <w:rFonts w:hint="cs"/>
          <w:rtl/>
        </w:rPr>
        <w:t xml:space="preserve">) </w:t>
      </w:r>
      <w:r>
        <w:rPr>
          <w:rFonts w:hint="cs"/>
          <w:rtl/>
          <w:lang w:bidi="he-IL"/>
        </w:rPr>
        <w:t>חן</w:t>
      </w:r>
      <w:r>
        <w:rPr>
          <w:rFonts w:hint="cs"/>
          <w:rtl/>
        </w:rPr>
        <w:t xml:space="preserve">, </w:t>
      </w:r>
      <w:r>
        <w:rPr>
          <w:rFonts w:hint="cs"/>
          <w:rtl/>
          <w:lang w:bidi="he-IL"/>
        </w:rPr>
        <w:t>חיפוש המחט בערמת השחת</w:t>
      </w:r>
      <w:r>
        <w:rPr>
          <w:rFonts w:hint="cs"/>
          <w:rtl/>
        </w:rPr>
        <w:t xml:space="preserve">: </w:t>
      </w:r>
      <w:r>
        <w:rPr>
          <w:rFonts w:hint="cs"/>
          <w:rtl/>
          <w:lang w:bidi="he-IL"/>
        </w:rPr>
        <w:t xml:space="preserve">בעקבות </w:t>
      </w:r>
      <w:r>
        <w:rPr>
          <w:rFonts w:hint="cs"/>
          <w:rtl/>
        </w:rPr>
        <w:t>'</w:t>
      </w:r>
      <w:r>
        <w:rPr>
          <w:rFonts w:hint="cs"/>
          <w:rtl/>
          <w:lang w:bidi="he-IL"/>
        </w:rPr>
        <w:t>רופא המוות</w:t>
      </w:r>
      <w:r>
        <w:rPr>
          <w:rFonts w:hint="cs"/>
          <w:rtl/>
        </w:rPr>
        <w:t xml:space="preserve">' </w:t>
      </w:r>
      <w:r>
        <w:rPr>
          <w:rFonts w:hint="cs"/>
          <w:rtl/>
          <w:lang w:bidi="he-IL"/>
        </w:rPr>
        <w:t xml:space="preserve">מאושוויץ - יוזף מנגלה </w:t>
      </w:r>
      <w:r>
        <w:rPr>
          <w:rFonts w:hint="cs"/>
          <w:rtl/>
        </w:rPr>
        <w:t>(2007)</w:t>
      </w:r>
    </w:p>
  </w:footnote>
  <w:footnote w:id="5">
    <w:p w:rsidR="00D72BFC" w:rsidRDefault="00D72BFC" w:rsidP="005751B7">
      <w:pPr>
        <w:pStyle w:val="FootnoteText"/>
        <w:rPr>
          <w:lang w:bidi="he-IL"/>
        </w:rPr>
      </w:pPr>
      <w:r>
        <w:rPr>
          <w:rStyle w:val="FootnoteReference"/>
        </w:rPr>
        <w:footnoteRef/>
      </w:r>
      <w:r>
        <w:rPr>
          <w:rFonts w:cs="Times New Roman"/>
          <w:rtl/>
        </w:rPr>
        <w:t xml:space="preserve"> </w:t>
      </w:r>
      <w:r>
        <w:t>"</w:t>
      </w:r>
      <w:r w:rsidRPr="005751B7">
        <w:t>In the Matter of Josef Mengele: A Report to the Attorney General of the United States"</w:t>
      </w:r>
      <w:r>
        <w:t xml:space="preserve">, </w:t>
      </w:r>
      <w:r w:rsidRPr="005751B7">
        <w:t>US Department of Justice, Office of Special Investigations Criminal Division. October 1992. p. 206</w:t>
      </w:r>
    </w:p>
  </w:footnote>
  <w:footnote w:id="6">
    <w:p w:rsidR="00D72BFC" w:rsidRDefault="00D72BFC" w:rsidP="00E2304C">
      <w:pPr>
        <w:pStyle w:val="FootnoteText"/>
        <w:rPr>
          <w:rtl/>
          <w:lang w:bidi="he-IL"/>
        </w:rPr>
      </w:pPr>
      <w:r>
        <w:rPr>
          <w:rStyle w:val="FootnoteReference"/>
        </w:rPr>
        <w:footnoteRef/>
      </w:r>
      <w:r>
        <w:rPr>
          <w:rFonts w:cs="Times New Roman"/>
          <w:rtl/>
        </w:rPr>
        <w:t xml:space="preserve"> </w:t>
      </w:r>
      <w:r w:rsidRPr="00411ECA">
        <w:rPr>
          <w:rtl/>
          <w:lang w:bidi="he-IL"/>
        </w:rPr>
        <w:t>יוסף חן</w:t>
      </w:r>
      <w:r w:rsidRPr="00411ECA">
        <w:rPr>
          <w:rtl/>
        </w:rPr>
        <w:t xml:space="preserve">, </w:t>
      </w:r>
      <w:r w:rsidRPr="00411ECA">
        <w:rPr>
          <w:b/>
          <w:bCs/>
          <w:rtl/>
          <w:lang w:bidi="he-IL"/>
        </w:rPr>
        <w:t>המרדף אחר פושעי מלחמה נאצים</w:t>
      </w:r>
      <w:r w:rsidRPr="00411ECA">
        <w:rPr>
          <w:rFonts w:hint="cs"/>
          <w:b/>
          <w:bCs/>
          <w:rtl/>
          <w:lang w:bidi="he-IL"/>
        </w:rPr>
        <w:t>—</w:t>
      </w:r>
      <w:r w:rsidRPr="00411ECA">
        <w:rPr>
          <w:b/>
          <w:bCs/>
          <w:rtl/>
          <w:lang w:bidi="he-IL"/>
        </w:rPr>
        <w:t xml:space="preserve">היערכות המטה </w:t>
      </w:r>
      <w:r w:rsidRPr="00411ECA">
        <w:rPr>
          <w:b/>
          <w:bCs/>
          <w:rtl/>
        </w:rPr>
        <w:t>"</w:t>
      </w:r>
      <w:r w:rsidRPr="00411ECA">
        <w:rPr>
          <w:b/>
          <w:bCs/>
          <w:rtl/>
          <w:lang w:bidi="he-IL"/>
        </w:rPr>
        <w:t>עמל</w:t>
      </w:r>
      <w:r w:rsidRPr="00411ECA">
        <w:rPr>
          <w:b/>
          <w:bCs/>
          <w:rtl/>
        </w:rPr>
        <w:t>", "</w:t>
      </w:r>
      <w:r w:rsidRPr="00411ECA">
        <w:rPr>
          <w:b/>
          <w:bCs/>
          <w:rtl/>
          <w:lang w:bidi="he-IL"/>
        </w:rPr>
        <w:t>מסר"</w:t>
      </w:r>
      <w:r w:rsidRPr="00411ECA">
        <w:rPr>
          <w:b/>
          <w:bCs/>
          <w:rtl/>
        </w:rPr>
        <w:t xml:space="preserve">, </w:t>
      </w:r>
      <w:r w:rsidRPr="00411ECA">
        <w:rPr>
          <w:b/>
          <w:bCs/>
          <w:rtl/>
          <w:lang w:bidi="he-IL"/>
        </w:rPr>
        <w:t>ו</w:t>
      </w:r>
      <w:r w:rsidRPr="00411ECA">
        <w:rPr>
          <w:b/>
          <w:bCs/>
          <w:rtl/>
        </w:rPr>
        <w:t>"</w:t>
      </w:r>
      <w:r w:rsidRPr="00411ECA">
        <w:rPr>
          <w:b/>
          <w:bCs/>
          <w:rtl/>
          <w:lang w:bidi="he-IL"/>
        </w:rPr>
        <w:t>עמל מסר</w:t>
      </w:r>
      <w:r w:rsidRPr="00411ECA">
        <w:rPr>
          <w:b/>
          <w:bCs/>
          <w:rtl/>
        </w:rPr>
        <w:t>"</w:t>
      </w:r>
      <w:r w:rsidRPr="00411ECA">
        <w:rPr>
          <w:rtl/>
        </w:rPr>
        <w:t xml:space="preserve">, </w:t>
      </w:r>
      <w:r w:rsidRPr="00411ECA">
        <w:rPr>
          <w:rtl/>
          <w:lang w:bidi="he-IL"/>
        </w:rPr>
        <w:t>מחקר של המוסד למודיעין ולתפקידים מיוחדים</w:t>
      </w:r>
      <w:r w:rsidRPr="00411ECA">
        <w:rPr>
          <w:rtl/>
        </w:rPr>
        <w:t xml:space="preserve">, </w:t>
      </w:r>
      <w:r w:rsidRPr="00411ECA">
        <w:rPr>
          <w:rtl/>
          <w:lang w:bidi="he-IL"/>
        </w:rPr>
        <w:t>מחלקת היסטוריה</w:t>
      </w:r>
      <w:r w:rsidRPr="00411ECA">
        <w:rPr>
          <w:rFonts w:hint="cs"/>
          <w:rtl/>
          <w:lang w:bidi="he-IL"/>
        </w:rPr>
        <w:t>, עמ'</w:t>
      </w:r>
      <w:r w:rsidRPr="00411ECA">
        <w:rPr>
          <w:rtl/>
          <w:lang w:bidi="he-IL"/>
        </w:rPr>
        <w:t xml:space="preserve"> </w:t>
      </w:r>
      <w:r w:rsidRPr="00411ECA">
        <w:rPr>
          <w:rtl/>
        </w:rPr>
        <w:t>31</w:t>
      </w:r>
      <w:r w:rsidRPr="00411ECA">
        <w:rPr>
          <w:rtl/>
          <w:lang w:bidi="he-IL"/>
        </w:rPr>
        <w:t>, 40</w:t>
      </w:r>
      <w:r>
        <w:rPr>
          <w:rFonts w:hint="cs"/>
          <w:rtl/>
          <w:lang w:bidi="he-IL"/>
        </w:rPr>
        <w:t>, 51, 134.</w:t>
      </w:r>
      <w:r w:rsidRPr="00411ECA">
        <w:rPr>
          <w:rtl/>
        </w:rPr>
        <w:t xml:space="preserve"> </w:t>
      </w:r>
      <w:r w:rsidRPr="00411ECA">
        <w:rPr>
          <w:rtl/>
          <w:lang w:bidi="he-IL"/>
        </w:rPr>
        <w:t xml:space="preserve">זמין באתר </w:t>
      </w:r>
      <w:r w:rsidRPr="00411ECA">
        <w:rPr>
          <w:rtl/>
        </w:rPr>
        <w:t>"</w:t>
      </w:r>
      <w:r w:rsidRPr="00411ECA">
        <w:rPr>
          <w:rtl/>
          <w:lang w:bidi="he-IL"/>
        </w:rPr>
        <w:t>יד ושם</w:t>
      </w:r>
      <w:r w:rsidRPr="00411ECA">
        <w:rPr>
          <w:rtl/>
        </w:rPr>
        <w:t xml:space="preserve">": </w:t>
      </w:r>
      <w:hyperlink r:id="rId1" w:history="1">
        <w:r w:rsidRPr="00411ECA">
          <w:rPr>
            <w:rStyle w:val="Hyperlink"/>
          </w:rPr>
          <w:t>http://www.yadvashem.org/he/archive/about/our-collections/mossad-documents</w:t>
        </w:r>
      </w:hyperlink>
      <w:r w:rsidRPr="00411ECA">
        <w:rPr>
          <w:rtl/>
        </w:rPr>
        <w:t>.</w:t>
      </w:r>
      <w:r>
        <w:rPr>
          <w:rFonts w:hint="cs"/>
          <w:rtl/>
          <w:lang w:bidi="he-IL"/>
        </w:rPr>
        <w:t xml:space="preserve"> </w:t>
      </w:r>
    </w:p>
  </w:footnote>
  <w:footnote w:id="7">
    <w:p w:rsidR="00D72BFC" w:rsidRDefault="00D72BFC" w:rsidP="008B2671">
      <w:pPr>
        <w:pStyle w:val="FootnoteText"/>
        <w:rPr>
          <w:rtl/>
        </w:rPr>
      </w:pPr>
      <w:r>
        <w:rPr>
          <w:rStyle w:val="FootnoteReference"/>
        </w:rPr>
        <w:footnoteRef/>
      </w:r>
      <w:r>
        <w:rPr>
          <w:rFonts w:cs="Times New Roman"/>
          <w:rtl/>
        </w:rPr>
        <w:t xml:space="preserve"> </w:t>
      </w:r>
      <w:r w:rsidRPr="008B2671">
        <w:t>Yehudit D</w:t>
      </w:r>
      <w:r w:rsidR="00360E1D">
        <w:t xml:space="preserve">ori </w:t>
      </w:r>
      <w:proofErr w:type="spellStart"/>
      <w:r w:rsidR="00360E1D">
        <w:t>Deston</w:t>
      </w:r>
      <w:proofErr w:type="spellEnd"/>
      <w:r w:rsidR="00360E1D">
        <w:t xml:space="preserve">, “The </w:t>
      </w:r>
      <w:proofErr w:type="spellStart"/>
      <w:r w:rsidR="00360E1D">
        <w:t>Demjanjuk</w:t>
      </w:r>
      <w:proofErr w:type="spellEnd"/>
      <w:r w:rsidRPr="008B2671">
        <w:t xml:space="preserve"> Trial: The End of Nazi Prosecution in Israel” (Ph.D. diss., Hebrew University of Jerusalem, 2017), </w:t>
      </w:r>
      <w:r>
        <w:t>86-80</w:t>
      </w:r>
      <w:r w:rsidRPr="008B2671">
        <w:t xml:space="preserve"> (Hebrew)</w:t>
      </w:r>
      <w:r>
        <w:rPr>
          <w:rFonts w:cs="Times New Roman" w:hint="cs"/>
          <w:rtl/>
          <w:lang w:bidi="he-IL"/>
        </w:rPr>
        <w:t xml:space="preserve">; </w:t>
      </w:r>
      <w:r w:rsidRPr="00411ECA">
        <w:rPr>
          <w:rtl/>
          <w:lang w:bidi="he-IL"/>
        </w:rPr>
        <w:t>דניס גולדמן</w:t>
      </w:r>
      <w:r w:rsidRPr="00411ECA">
        <w:rPr>
          <w:rtl/>
        </w:rPr>
        <w:t xml:space="preserve">, </w:t>
      </w:r>
      <w:r w:rsidRPr="00411ECA">
        <w:rPr>
          <w:b/>
          <w:bCs/>
          <w:rtl/>
          <w:lang w:bidi="he-IL"/>
        </w:rPr>
        <w:t>התחדשות הפעילות המשפטית נגד פושעים נאצים</w:t>
      </w:r>
      <w:r w:rsidRPr="00411ECA">
        <w:rPr>
          <w:rtl/>
          <w:lang w:bidi="he-IL"/>
        </w:rPr>
        <w:t xml:space="preserve"> </w:t>
      </w:r>
      <w:r w:rsidRPr="00411ECA">
        <w:rPr>
          <w:rtl/>
        </w:rPr>
        <w:t xml:space="preserve">(1987), </w:t>
      </w:r>
      <w:r>
        <w:rPr>
          <w:rFonts w:hint="cs"/>
          <w:rtl/>
          <w:lang w:bidi="he-IL"/>
        </w:rPr>
        <w:t xml:space="preserve">עמ' 13, </w:t>
      </w:r>
      <w:r w:rsidRPr="00411ECA">
        <w:rPr>
          <w:rtl/>
          <w:lang w:bidi="he-IL"/>
        </w:rPr>
        <w:t>עותק בידי המחברת</w:t>
      </w:r>
      <w:r w:rsidRPr="00411ECA">
        <w:rPr>
          <w:rtl/>
        </w:rPr>
        <w:t>.</w:t>
      </w:r>
      <w:r w:rsidRPr="00411ECA">
        <w:rPr>
          <w:color w:val="000000"/>
          <w:u w:color="000000"/>
          <w:rtl/>
          <w:lang w:bidi="he-IL"/>
        </w:rPr>
        <w:t xml:space="preserve"> לדברי גולדמן</w:t>
      </w:r>
      <w:r w:rsidRPr="00411ECA">
        <w:rPr>
          <w:color w:val="000000"/>
          <w:u w:color="000000"/>
          <w:rtl/>
        </w:rPr>
        <w:t xml:space="preserve">, </w:t>
      </w:r>
      <w:r w:rsidRPr="00411ECA">
        <w:rPr>
          <w:color w:val="000000"/>
          <w:u w:color="000000"/>
          <w:rtl/>
          <w:lang w:bidi="he-IL"/>
        </w:rPr>
        <w:t>שמסר לי עותק של המאמר</w:t>
      </w:r>
      <w:r w:rsidRPr="00411ECA">
        <w:rPr>
          <w:color w:val="000000"/>
          <w:u w:color="000000"/>
          <w:rtl/>
        </w:rPr>
        <w:t xml:space="preserve">, </w:t>
      </w:r>
      <w:r w:rsidRPr="00411ECA">
        <w:rPr>
          <w:color w:val="000000"/>
          <w:u w:color="000000"/>
          <w:rtl/>
          <w:lang w:bidi="he-IL"/>
        </w:rPr>
        <w:t xml:space="preserve">פורסם המאמר בעיתון צבאי בשנת </w:t>
      </w:r>
      <w:r w:rsidRPr="00411ECA">
        <w:rPr>
          <w:color w:val="000000"/>
          <w:u w:color="000000"/>
          <w:rtl/>
        </w:rPr>
        <w:t xml:space="preserve">1987. </w:t>
      </w:r>
      <w:r w:rsidRPr="00411ECA">
        <w:rPr>
          <w:color w:val="000000"/>
          <w:u w:color="000000"/>
          <w:rtl/>
          <w:lang w:bidi="he-IL"/>
        </w:rPr>
        <w:t>לא הצלחתי לאתר את הבמה שבה פורסם המאמר</w:t>
      </w:r>
      <w:r w:rsidRPr="00411ECA">
        <w:rPr>
          <w:color w:val="000000"/>
          <w:u w:color="000000"/>
          <w:rtl/>
        </w:rPr>
        <w:t>.</w:t>
      </w:r>
    </w:p>
  </w:footnote>
  <w:footnote w:id="8">
    <w:p w:rsidR="00D72BFC" w:rsidRPr="008B2671" w:rsidRDefault="00D72BFC" w:rsidP="008B2671">
      <w:pPr>
        <w:pStyle w:val="FootnoteText"/>
        <w:rPr>
          <w:rtl/>
          <w:lang w:bidi="he-IL"/>
        </w:rPr>
      </w:pPr>
      <w:r w:rsidRPr="00411ECA">
        <w:rPr>
          <w:rStyle w:val="FootnoteReference"/>
        </w:rPr>
        <w:footnoteRef/>
      </w:r>
      <w:r w:rsidRPr="00411ECA">
        <w:rPr>
          <w:rtl/>
          <w:lang w:bidi="he-IL"/>
        </w:rPr>
        <w:t xml:space="preserve"> </w:t>
      </w:r>
      <w:r>
        <w:rPr>
          <w:rFonts w:hint="cs"/>
          <w:rtl/>
          <w:lang w:bidi="he-IL"/>
        </w:rPr>
        <w:t>תום שגב</w:t>
      </w:r>
      <w:r>
        <w:rPr>
          <w:rFonts w:hint="cs"/>
          <w:rtl/>
        </w:rPr>
        <w:t xml:space="preserve">, </w:t>
      </w:r>
      <w:r>
        <w:rPr>
          <w:rFonts w:hint="cs"/>
          <w:rtl/>
          <w:lang w:bidi="he-IL"/>
        </w:rPr>
        <w:t>המיליון השביעי</w:t>
      </w:r>
      <w:r>
        <w:rPr>
          <w:rFonts w:hint="cs"/>
          <w:rtl/>
        </w:rPr>
        <w:t xml:space="preserve">: </w:t>
      </w:r>
      <w:r>
        <w:rPr>
          <w:rFonts w:hint="cs"/>
          <w:rtl/>
          <w:lang w:bidi="he-IL"/>
        </w:rPr>
        <w:t>הישראלים והשואה</w:t>
      </w:r>
      <w:r>
        <w:rPr>
          <w:rFonts w:hint="cs"/>
          <w:rtl/>
        </w:rPr>
        <w:t xml:space="preserve">, </w:t>
      </w:r>
      <w:proofErr w:type="spellStart"/>
      <w:r>
        <w:rPr>
          <w:rFonts w:hint="cs"/>
          <w:rtl/>
          <w:lang w:bidi="he-IL"/>
        </w:rPr>
        <w:t>עמ</w:t>
      </w:r>
      <w:proofErr w:type="spellEnd"/>
      <w:r>
        <w:rPr>
          <w:rFonts w:hint="cs"/>
          <w:rtl/>
        </w:rPr>
        <w:t>' 429</w:t>
      </w:r>
      <w:r>
        <w:rPr>
          <w:rFonts w:hint="cs"/>
          <w:rtl/>
          <w:lang w:bidi="he-IL"/>
        </w:rPr>
        <w:t xml:space="preserve">. </w:t>
      </w:r>
      <w:r w:rsidRPr="00641AA2">
        <w:rPr>
          <w:color w:val="000000"/>
          <w:u w:color="000000"/>
          <w:rtl/>
          <w:lang w:bidi="he-IL"/>
        </w:rPr>
        <w:t xml:space="preserve">גם שמעון </w:t>
      </w:r>
      <w:proofErr w:type="spellStart"/>
      <w:r w:rsidRPr="00641AA2">
        <w:rPr>
          <w:color w:val="000000"/>
          <w:u w:color="000000"/>
          <w:rtl/>
          <w:lang w:bidi="he-IL"/>
        </w:rPr>
        <w:t>ויזנטל</w:t>
      </w:r>
      <w:proofErr w:type="spellEnd"/>
      <w:r w:rsidRPr="00641AA2">
        <w:rPr>
          <w:color w:val="000000"/>
          <w:u w:color="000000"/>
          <w:rtl/>
          <w:lang w:bidi="he-IL"/>
        </w:rPr>
        <w:t xml:space="preserve"> הציע פרס בסך 100,000 דולר למי שיספק מידע שיביא ללכידתו של מנגלה. ראו: תום שגב, </w:t>
      </w:r>
      <w:proofErr w:type="spellStart"/>
      <w:r w:rsidRPr="00641AA2">
        <w:rPr>
          <w:color w:val="000000"/>
          <w:u w:color="000000"/>
          <w:rtl/>
          <w:lang w:bidi="he-IL"/>
        </w:rPr>
        <w:t>ויזנטל</w:t>
      </w:r>
      <w:proofErr w:type="spellEnd"/>
      <w:r w:rsidRPr="00641AA2">
        <w:rPr>
          <w:color w:val="000000"/>
          <w:u w:color="000000"/>
          <w:rtl/>
          <w:lang w:bidi="he-IL"/>
        </w:rPr>
        <w:t>: הביוגרפיה, עמ' 350</w:t>
      </w:r>
      <w:r>
        <w:rPr>
          <w:rFonts w:hint="cs"/>
          <w:rtl/>
          <w:lang w:bidi="he-IL"/>
        </w:rPr>
        <w:t>.</w:t>
      </w:r>
    </w:p>
  </w:footnote>
  <w:footnote w:id="9">
    <w:p w:rsidR="00D72BFC" w:rsidRDefault="00D72BFC" w:rsidP="00B750E6">
      <w:pPr>
        <w:pStyle w:val="FootnoteText"/>
        <w:rPr>
          <w:rtl/>
          <w:lang w:bidi="he-IL"/>
        </w:rPr>
      </w:pPr>
      <w:r>
        <w:rPr>
          <w:rStyle w:val="FootnoteReference"/>
        </w:rPr>
        <w:footnoteRef/>
      </w:r>
      <w:r>
        <w:rPr>
          <w:rFonts w:cs="Times New Roman"/>
          <w:rtl/>
        </w:rPr>
        <w:t xml:space="preserve"> </w:t>
      </w:r>
      <w:r>
        <w:rPr>
          <w:rFonts w:cs="Times New Roman" w:hint="cs"/>
          <w:rtl/>
          <w:lang w:bidi="he-IL"/>
        </w:rPr>
        <w:t xml:space="preserve">כך למשל, כאשר נשמעו הערות מהקהל לגבי האופן שבו נקטעו חלק מהעדויות, הבהיר </w:t>
      </w:r>
      <w:proofErr w:type="spellStart"/>
      <w:r>
        <w:rPr>
          <w:rFonts w:cs="Times New Roman" w:hint="cs"/>
          <w:rtl/>
          <w:lang w:bidi="he-IL"/>
        </w:rPr>
        <w:t>האוזנר</w:t>
      </w:r>
      <w:proofErr w:type="spellEnd"/>
      <w:r>
        <w:rPr>
          <w:rFonts w:cs="Times New Roman" w:hint="cs"/>
          <w:rtl/>
          <w:lang w:bidi="he-IL"/>
        </w:rPr>
        <w:t xml:space="preserve">: </w:t>
      </w:r>
      <w:r>
        <w:rPr>
          <w:rFonts w:hint="cs"/>
          <w:rtl/>
          <w:lang w:bidi="he-IL"/>
        </w:rPr>
        <w:t>"</w:t>
      </w:r>
      <w:r w:rsidRPr="00B750E6">
        <w:rPr>
          <w:rtl/>
          <w:lang w:bidi="he-IL"/>
        </w:rPr>
        <w:t>יש לנו 30 עדים לשמוע. זה לא משפט או שימוע על השואה</w:t>
      </w:r>
      <w:r>
        <w:rPr>
          <w:rFonts w:hint="cs"/>
          <w:rtl/>
          <w:lang w:bidi="he-IL"/>
        </w:rPr>
        <w:t xml:space="preserve"> [להבדיל ממשפט על פשעיו של מנגלה בלבד]</w:t>
      </w:r>
      <w:r w:rsidRPr="00B750E6">
        <w:rPr>
          <w:rtl/>
          <w:lang w:bidi="he-IL"/>
        </w:rPr>
        <w:t xml:space="preserve">. לכן כל אחד מהעדים נבחר לתאר חלק ספציפי </w:t>
      </w:r>
      <w:r>
        <w:rPr>
          <w:rtl/>
          <w:lang w:bidi="he-IL"/>
        </w:rPr>
        <w:t>בלבד ואז הוא מסיים את עדותו. ז</w:t>
      </w:r>
      <w:r>
        <w:rPr>
          <w:rFonts w:hint="cs"/>
          <w:rtl/>
          <w:lang w:bidi="he-IL"/>
        </w:rPr>
        <w:t xml:space="preserve">את </w:t>
      </w:r>
      <w:r w:rsidRPr="00B750E6">
        <w:rPr>
          <w:rtl/>
          <w:lang w:bidi="he-IL"/>
        </w:rPr>
        <w:t>הדרך שלנו לנהל זאת</w:t>
      </w:r>
      <w:r>
        <w:rPr>
          <w:rFonts w:hint="cs"/>
          <w:rtl/>
          <w:lang w:bidi="he-IL"/>
        </w:rPr>
        <w:t>"</w:t>
      </w:r>
      <w:r w:rsidRPr="00B750E6">
        <w:rPr>
          <w:rtl/>
          <w:lang w:bidi="he-IL"/>
        </w:rPr>
        <w:t>.</w:t>
      </w:r>
      <w:r>
        <w:rPr>
          <w:rFonts w:hint="cs"/>
          <w:rtl/>
          <w:lang w:bidi="he-IL"/>
        </w:rPr>
        <w:t xml:space="preserve"> בהזדמנות אחרת, לאחר שנשמעו דברי סיכום של אחד מחברי הוועדה והקהל מחא כפיים, הבהיר </w:t>
      </w:r>
      <w:proofErr w:type="spellStart"/>
      <w:r>
        <w:rPr>
          <w:rFonts w:hint="cs"/>
          <w:rtl/>
          <w:lang w:bidi="he-IL"/>
        </w:rPr>
        <w:t>האוזנר</w:t>
      </w:r>
      <w:proofErr w:type="spellEnd"/>
      <w:r>
        <w:rPr>
          <w:rFonts w:hint="cs"/>
          <w:rtl/>
          <w:lang w:bidi="he-IL"/>
        </w:rPr>
        <w:t>: "</w:t>
      </w:r>
      <w:r w:rsidRPr="00B750E6">
        <w:rPr>
          <w:rtl/>
          <w:lang w:bidi="he-IL"/>
        </w:rPr>
        <w:t>אנו לא נוהגים למחוא כפיים בהזדמנויות אלה</w:t>
      </w:r>
      <w:r>
        <w:rPr>
          <w:rFonts w:hint="cs"/>
          <w:rtl/>
          <w:lang w:bidi="he-IL"/>
        </w:rPr>
        <w:t>"</w:t>
      </w:r>
      <w:r w:rsidRPr="00B750E6">
        <w:rPr>
          <w:rtl/>
          <w:lang w:bidi="he-IL"/>
        </w:rPr>
        <w:t>.</w:t>
      </w:r>
    </w:p>
  </w:footnote>
  <w:footnote w:id="10">
    <w:p w:rsidR="00D72BFC" w:rsidRPr="00360E1D" w:rsidRDefault="00D72BFC" w:rsidP="00360E1D">
      <w:pPr>
        <w:pStyle w:val="FootnoteText"/>
        <w:rPr>
          <w:rtl/>
          <w:lang w:bidi="he-IL"/>
        </w:rPr>
      </w:pPr>
      <w:r>
        <w:rPr>
          <w:rStyle w:val="FootnoteReference"/>
        </w:rPr>
        <w:footnoteRef/>
      </w:r>
      <w:r>
        <w:rPr>
          <w:rFonts w:cs="Times New Roman"/>
          <w:rtl/>
        </w:rPr>
        <w:t xml:space="preserve"> </w:t>
      </w:r>
      <w:r w:rsidR="00360E1D" w:rsidRPr="00360E1D">
        <w:rPr>
          <w:lang w:bidi="he-IL"/>
        </w:rPr>
        <w:t xml:space="preserve">Dori </w:t>
      </w:r>
      <w:proofErr w:type="spellStart"/>
      <w:r w:rsidR="00360E1D" w:rsidRPr="00360E1D">
        <w:rPr>
          <w:lang w:bidi="he-IL"/>
        </w:rPr>
        <w:t>Deston</w:t>
      </w:r>
      <w:proofErr w:type="spellEnd"/>
      <w:r w:rsidR="00360E1D" w:rsidRPr="00360E1D">
        <w:rPr>
          <w:lang w:bidi="he-IL"/>
        </w:rPr>
        <w:t xml:space="preserve">, “The </w:t>
      </w:r>
      <w:proofErr w:type="spellStart"/>
      <w:r w:rsidR="00360E1D" w:rsidRPr="00360E1D">
        <w:rPr>
          <w:lang w:bidi="he-IL"/>
        </w:rPr>
        <w:t>Demjanjuk</w:t>
      </w:r>
      <w:proofErr w:type="spellEnd"/>
      <w:r w:rsidR="00360E1D" w:rsidRPr="00360E1D">
        <w:rPr>
          <w:lang w:bidi="he-IL"/>
        </w:rPr>
        <w:t xml:space="preserve"> Trial</w:t>
      </w:r>
      <w:r w:rsidR="00360E1D">
        <w:rPr>
          <w:lang w:bidi="he-IL"/>
        </w:rPr>
        <w:t>", 184-182</w:t>
      </w:r>
    </w:p>
  </w:footnote>
  <w:footnote w:id="11">
    <w:p w:rsidR="00D72BFC" w:rsidRDefault="00D72BFC" w:rsidP="00F93C56">
      <w:pPr>
        <w:pStyle w:val="FootnoteText"/>
        <w:rPr>
          <w:rtl/>
        </w:rPr>
      </w:pPr>
      <w:r>
        <w:rPr>
          <w:rStyle w:val="FootnoteReference"/>
        </w:rPr>
        <w:footnoteRef/>
      </w:r>
      <w:r>
        <w:rPr>
          <w:rFonts w:cs="Times New Roman"/>
          <w:rtl/>
        </w:rPr>
        <w:t xml:space="preserve"> </w:t>
      </w:r>
      <w:r w:rsidR="00F93C56">
        <w:rPr>
          <w:rFonts w:cs="Times New Roman" w:hint="cs"/>
          <w:rtl/>
          <w:lang w:bidi="he-IL"/>
        </w:rPr>
        <w:t xml:space="preserve">לעדותו של </w:t>
      </w:r>
      <w:proofErr w:type="spellStart"/>
      <w:r w:rsidR="00F93C56">
        <w:rPr>
          <w:rFonts w:cs="Times New Roman" w:hint="cs"/>
          <w:rtl/>
          <w:lang w:bidi="he-IL"/>
        </w:rPr>
        <w:t>לורנצי</w:t>
      </w:r>
      <w:proofErr w:type="spellEnd"/>
      <w:r w:rsidR="00F93C56">
        <w:rPr>
          <w:rFonts w:cs="Times New Roman" w:hint="cs"/>
          <w:rtl/>
          <w:lang w:bidi="he-IL"/>
        </w:rPr>
        <w:t xml:space="preserve">, </w:t>
      </w:r>
      <w:r>
        <w:rPr>
          <w:rFonts w:hint="cs"/>
          <w:rtl/>
          <w:lang w:bidi="he-IL"/>
        </w:rPr>
        <w:t>ראו</w:t>
      </w:r>
      <w:r w:rsidRPr="00DE5005">
        <w:rPr>
          <w:rtl/>
          <w:lang w:bidi="he-IL"/>
        </w:rPr>
        <w:t xml:space="preserve"> ארכיון יד ושם </w:t>
      </w:r>
      <w:r>
        <w:rPr>
          <w:rFonts w:hint="cs"/>
          <w:rtl/>
          <w:lang w:bidi="he-IL"/>
        </w:rPr>
        <w:t xml:space="preserve">0.3/5129, </w:t>
      </w:r>
      <w:r w:rsidR="00F93C56">
        <w:rPr>
          <w:rFonts w:hint="cs"/>
          <w:rtl/>
          <w:lang w:bidi="he-IL"/>
        </w:rPr>
        <w:t>מס' פריט 3559066 (לבדוק)</w:t>
      </w:r>
    </w:p>
  </w:footnote>
  <w:footnote w:id="12">
    <w:p w:rsidR="00D72BFC" w:rsidRDefault="00D72BFC" w:rsidP="00965348">
      <w:pPr>
        <w:pStyle w:val="FootnoteText"/>
        <w:rPr>
          <w:rtl/>
          <w:lang w:bidi="he-IL"/>
        </w:rPr>
      </w:pPr>
      <w:r>
        <w:rPr>
          <w:rStyle w:val="FootnoteReference"/>
        </w:rPr>
        <w:footnoteRef/>
      </w:r>
      <w:r>
        <w:rPr>
          <w:rFonts w:cs="Times New Roman"/>
          <w:rtl/>
        </w:rPr>
        <w:t xml:space="preserve"> </w:t>
      </w:r>
      <w:r w:rsidR="002C5C8B">
        <w:rPr>
          <w:rFonts w:cs="Times New Roman" w:hint="cs"/>
          <w:rtl/>
          <w:lang w:bidi="he-IL"/>
        </w:rPr>
        <w:t>ראו: עדותם</w:t>
      </w:r>
      <w:r>
        <w:rPr>
          <w:rFonts w:cs="Times New Roman" w:hint="cs"/>
          <w:rtl/>
          <w:lang w:bidi="he-IL"/>
        </w:rPr>
        <w:t xml:space="preserve"> של יעקב </w:t>
      </w:r>
      <w:proofErr w:type="spellStart"/>
      <w:r>
        <w:rPr>
          <w:rFonts w:cs="Times New Roman" w:hint="cs"/>
          <w:rtl/>
          <w:lang w:bidi="he-IL"/>
        </w:rPr>
        <w:t>פיירמרק</w:t>
      </w:r>
      <w:proofErr w:type="spellEnd"/>
      <w:r w:rsidR="00965348">
        <w:rPr>
          <w:rFonts w:cs="Times New Roman" w:hint="cs"/>
          <w:rtl/>
          <w:lang w:bidi="he-IL"/>
        </w:rPr>
        <w:t xml:space="preserve"> </w:t>
      </w:r>
      <w:proofErr w:type="spellStart"/>
      <w:r w:rsidR="00965348" w:rsidRPr="00965348">
        <w:rPr>
          <w:rFonts w:cs="Times New Roman"/>
          <w:lang w:bidi="he-IL"/>
        </w:rPr>
        <w:t>Yakov</w:t>
      </w:r>
      <w:proofErr w:type="spellEnd"/>
      <w:r w:rsidR="00965348" w:rsidRPr="00965348">
        <w:rPr>
          <w:rFonts w:cs="Times New Roman"/>
          <w:lang w:bidi="he-IL"/>
        </w:rPr>
        <w:t xml:space="preserve"> </w:t>
      </w:r>
      <w:proofErr w:type="spellStart"/>
      <w:r w:rsidR="00965348" w:rsidRPr="00965348">
        <w:rPr>
          <w:rFonts w:cs="Times New Roman"/>
          <w:lang w:bidi="he-IL"/>
        </w:rPr>
        <w:t>Freimarch</w:t>
      </w:r>
      <w:proofErr w:type="spellEnd"/>
      <w:r>
        <w:rPr>
          <w:rFonts w:cs="Times New Roman" w:hint="cs"/>
          <w:rtl/>
          <w:lang w:bidi="he-IL"/>
        </w:rPr>
        <w:t xml:space="preserve"> </w:t>
      </w:r>
      <w:r w:rsidR="00965348">
        <w:rPr>
          <w:rFonts w:cs="Times New Roman" w:hint="cs"/>
          <w:rtl/>
          <w:lang w:bidi="he-IL"/>
        </w:rPr>
        <w:t>ו</w:t>
      </w:r>
      <w:r>
        <w:rPr>
          <w:rFonts w:cs="Times New Roman" w:hint="cs"/>
          <w:rtl/>
          <w:lang w:bidi="he-IL"/>
        </w:rPr>
        <w:t xml:space="preserve">אליזבת </w:t>
      </w:r>
      <w:proofErr w:type="spellStart"/>
      <w:r>
        <w:rPr>
          <w:rFonts w:cs="Times New Roman" w:hint="cs"/>
          <w:rtl/>
          <w:lang w:bidi="he-IL"/>
        </w:rPr>
        <w:t>מוסקוביץ</w:t>
      </w:r>
      <w:proofErr w:type="spellEnd"/>
      <w:r w:rsidR="00317B9D">
        <w:rPr>
          <w:rFonts w:cs="Times New Roman" w:hint="cs"/>
          <w:rtl/>
          <w:lang w:bidi="he-IL"/>
        </w:rPr>
        <w:t xml:space="preserve"> </w:t>
      </w:r>
      <w:r w:rsidR="00317B9D" w:rsidRPr="00317B9D">
        <w:rPr>
          <w:lang w:bidi="he-IL"/>
        </w:rPr>
        <w:t xml:space="preserve">Elizabeth </w:t>
      </w:r>
      <w:proofErr w:type="spellStart"/>
      <w:r w:rsidR="00317B9D" w:rsidRPr="00317B9D">
        <w:rPr>
          <w:lang w:bidi="he-IL"/>
        </w:rPr>
        <w:t>Moshkovitz</w:t>
      </w:r>
      <w:proofErr w:type="spellEnd"/>
    </w:p>
  </w:footnote>
  <w:footnote w:id="13">
    <w:p w:rsidR="00E406B9" w:rsidRDefault="00E406B9" w:rsidP="00965348">
      <w:pPr>
        <w:pStyle w:val="FootnoteText"/>
        <w:rPr>
          <w:rtl/>
        </w:rPr>
      </w:pPr>
      <w:r>
        <w:rPr>
          <w:rStyle w:val="FootnoteReference"/>
        </w:rPr>
        <w:footnoteRef/>
      </w:r>
      <w:r w:rsidR="00965348">
        <w:rPr>
          <w:rFonts w:cs="Times New Roman" w:hint="cs"/>
          <w:rtl/>
          <w:lang w:bidi="he-IL"/>
        </w:rPr>
        <w:t xml:space="preserve"> ראו: עדותה של </w:t>
      </w:r>
      <w:r w:rsidR="00965348" w:rsidRPr="00965348">
        <w:rPr>
          <w:rFonts w:cs="Times New Roman"/>
        </w:rPr>
        <w:t xml:space="preserve">Helena </w:t>
      </w:r>
      <w:proofErr w:type="spellStart"/>
      <w:r w:rsidR="00965348" w:rsidRPr="00965348">
        <w:rPr>
          <w:rFonts w:cs="Times New Roman"/>
        </w:rPr>
        <w:t>Mamermish</w:t>
      </w:r>
      <w:proofErr w:type="spellEnd"/>
      <w:r w:rsidR="00965348">
        <w:rPr>
          <w:rFonts w:cs="Times New Roman" w:hint="cs"/>
          <w:rtl/>
          <w:lang w:bidi="he-IL"/>
        </w:rPr>
        <w:t xml:space="preserve">. להרחבה בנושא משפט בלזן הראשון, המכונה </w:t>
      </w:r>
      <w:r w:rsidR="00965348">
        <w:rPr>
          <w:rFonts w:cs="Times New Roman"/>
          <w:lang w:bidi="he-IL"/>
        </w:rPr>
        <w:t xml:space="preserve">"the </w:t>
      </w:r>
      <w:r w:rsidR="00965348" w:rsidRPr="00965348">
        <w:rPr>
          <w:rFonts w:cs="Times New Roman"/>
          <w:lang w:bidi="he-IL"/>
        </w:rPr>
        <w:t>Trial of Josef Kramer and 44 others</w:t>
      </w:r>
      <w:r w:rsidR="00965348">
        <w:rPr>
          <w:rFonts w:cs="Times New Roman"/>
          <w:lang w:bidi="he-IL"/>
        </w:rPr>
        <w:t>"</w:t>
      </w:r>
      <w:r w:rsidR="00965348" w:rsidRPr="00965348">
        <w:rPr>
          <w:rFonts w:cs="Times New Roman" w:hint="cs"/>
          <w:rtl/>
          <w:lang w:bidi="he-IL"/>
        </w:rPr>
        <w:t xml:space="preserve"> </w:t>
      </w:r>
      <w:r w:rsidR="00965348">
        <w:rPr>
          <w:rFonts w:cs="Times New Roman" w:hint="cs"/>
          <w:rtl/>
          <w:lang w:bidi="he-IL"/>
        </w:rPr>
        <w:t>ועדויות הניצולים במשפט זה, ראו:</w:t>
      </w:r>
      <w:r>
        <w:rPr>
          <w:rFonts w:cs="Times New Roman"/>
          <w:rtl/>
        </w:rPr>
        <w:t xml:space="preserve"> </w:t>
      </w:r>
      <w:r w:rsidR="00965348">
        <w:rPr>
          <w:rFonts w:ascii="Arial" w:hAnsi="Arial" w:cs="Arial"/>
          <w:color w:val="222222"/>
          <w:shd w:val="clear" w:color="auto" w:fill="FFFFFF"/>
        </w:rPr>
        <w:t xml:space="preserve">Beresford, N. C. H. "The </w:t>
      </w:r>
      <w:proofErr w:type="spellStart"/>
      <w:r w:rsidR="00965348">
        <w:rPr>
          <w:rFonts w:ascii="Arial" w:hAnsi="Arial" w:cs="Arial"/>
          <w:color w:val="222222"/>
          <w:shd w:val="clear" w:color="auto" w:fill="FFFFFF"/>
        </w:rPr>
        <w:t>Belsen</w:t>
      </w:r>
      <w:proofErr w:type="spellEnd"/>
      <w:r w:rsidR="00965348">
        <w:rPr>
          <w:rFonts w:ascii="Arial" w:hAnsi="Arial" w:cs="Arial"/>
          <w:color w:val="222222"/>
          <w:shd w:val="clear" w:color="auto" w:fill="FFFFFF"/>
        </w:rPr>
        <w:t xml:space="preserve"> trials 1945-48, an investigation and analysis." (2009).</w:t>
      </w:r>
      <w:r w:rsidR="00965348">
        <w:rPr>
          <w:rFonts w:ascii="Arial" w:hAnsi="Arial" w:cs="Arial"/>
          <w:color w:val="222222"/>
          <w:shd w:val="clear" w:color="auto" w:fill="FFFFFF"/>
          <w:rtl/>
        </w:rPr>
        <w:t>‏</w:t>
      </w:r>
    </w:p>
  </w:footnote>
  <w:footnote w:id="14">
    <w:p w:rsidR="005B1E48" w:rsidRDefault="005B1E48" w:rsidP="005B1E48">
      <w:pPr>
        <w:pStyle w:val="FootnoteText"/>
        <w:rPr>
          <w:lang w:bidi="he-IL"/>
        </w:rPr>
      </w:pPr>
      <w:r>
        <w:rPr>
          <w:rStyle w:val="FootnoteReference"/>
        </w:rPr>
        <w:footnoteRef/>
      </w:r>
      <w:r>
        <w:rPr>
          <w:rFonts w:cs="Times New Roman"/>
          <w:rtl/>
        </w:rPr>
        <w:t xml:space="preserve"> </w:t>
      </w:r>
      <w:r>
        <w:rPr>
          <w:rFonts w:cs="Times New Roman" w:hint="cs"/>
          <w:rtl/>
          <w:lang w:bidi="he-IL"/>
        </w:rPr>
        <w:t xml:space="preserve">לחיבוריו של דוידסון ראו, למשל: </w:t>
      </w:r>
      <w:r>
        <w:rPr>
          <w:lang w:bidi="he-IL"/>
        </w:rPr>
        <w:t xml:space="preserve">Davidson, </w:t>
      </w:r>
      <w:proofErr w:type="spellStart"/>
      <w:r>
        <w:rPr>
          <w:lang w:bidi="he-IL"/>
        </w:rPr>
        <w:t>Shamai</w:t>
      </w:r>
      <w:proofErr w:type="spellEnd"/>
      <w:r>
        <w:rPr>
          <w:lang w:bidi="he-IL"/>
        </w:rPr>
        <w:t>,</w:t>
      </w:r>
      <w:r w:rsidRPr="005B1E48">
        <w:rPr>
          <w:lang w:bidi="he-IL"/>
        </w:rPr>
        <w:t xml:space="preserve"> "The clinical effects of massive psychic trauma in families of Holocaust survivors." Journal of Marital and Family Therapy 6.1 (1980): 11-21</w:t>
      </w:r>
      <w:r>
        <w:rPr>
          <w:lang w:bidi="he-IL"/>
        </w:rPr>
        <w:t>;</w:t>
      </w:r>
      <w:r w:rsidRPr="005B1E48">
        <w:t xml:space="preserve"> </w:t>
      </w:r>
      <w:r w:rsidRPr="005B1E48">
        <w:rPr>
          <w:lang w:bidi="he-IL"/>
        </w:rPr>
        <w:t xml:space="preserve">Davidson, </w:t>
      </w:r>
      <w:proofErr w:type="spellStart"/>
      <w:r w:rsidRPr="005B1E48">
        <w:rPr>
          <w:lang w:bidi="he-IL"/>
        </w:rPr>
        <w:t>Shamai</w:t>
      </w:r>
      <w:proofErr w:type="spellEnd"/>
      <w:r w:rsidRPr="005B1E48">
        <w:rPr>
          <w:lang w:bidi="he-IL"/>
        </w:rPr>
        <w:t xml:space="preserve">. "Human reciprocity among the Jewish prisoners in the Nazi concentration camps." Jerusalem </w:t>
      </w:r>
      <w:proofErr w:type="spellStart"/>
      <w:r w:rsidRPr="005B1E48">
        <w:rPr>
          <w:lang w:bidi="he-IL"/>
        </w:rPr>
        <w:t>Yad</w:t>
      </w:r>
      <w:proofErr w:type="spellEnd"/>
      <w:r w:rsidRPr="005B1E48">
        <w:rPr>
          <w:lang w:bidi="he-IL"/>
        </w:rPr>
        <w:t xml:space="preserve"> Vashem (1980): 555-572</w:t>
      </w:r>
      <w:r>
        <w:rPr>
          <w:lang w:bidi="he-IL"/>
        </w:rPr>
        <w:t>.</w:t>
      </w:r>
    </w:p>
  </w:footnote>
  <w:footnote w:id="15">
    <w:p w:rsidR="00D72BFC" w:rsidRDefault="00D72BFC" w:rsidP="00FA5F98">
      <w:pPr>
        <w:pStyle w:val="FootnoteText"/>
        <w:rPr>
          <w:lang w:bidi="he-IL"/>
        </w:rPr>
      </w:pPr>
      <w:r>
        <w:rPr>
          <w:rStyle w:val="FootnoteReference"/>
        </w:rPr>
        <w:footnoteRef/>
      </w:r>
      <w:r>
        <w:rPr>
          <w:rFonts w:cs="Times New Roman"/>
          <w:rtl/>
        </w:rPr>
        <w:t xml:space="preserve"> </w:t>
      </w:r>
      <w:r w:rsidR="00FA5F98">
        <w:rPr>
          <w:rFonts w:cs="Times New Roman" w:hint="cs"/>
          <w:rtl/>
          <w:lang w:bidi="he-IL"/>
        </w:rPr>
        <w:t xml:space="preserve">לנוסח הנאום ונסיבות כתיבתו, ראו: </w:t>
      </w:r>
      <w:r>
        <w:rPr>
          <w:rFonts w:hint="cs"/>
          <w:rtl/>
          <w:lang w:bidi="he-IL"/>
        </w:rPr>
        <w:t xml:space="preserve">גדעון </w:t>
      </w:r>
      <w:proofErr w:type="spellStart"/>
      <w:r>
        <w:rPr>
          <w:rFonts w:hint="cs"/>
          <w:rtl/>
          <w:lang w:bidi="he-IL"/>
        </w:rPr>
        <w:t>האוזנר</w:t>
      </w:r>
      <w:proofErr w:type="spellEnd"/>
      <w:r>
        <w:rPr>
          <w:rFonts w:hint="cs"/>
          <w:rtl/>
          <w:lang w:bidi="he-IL"/>
        </w:rPr>
        <w:t>, מש</w:t>
      </w:r>
      <w:r w:rsidR="00FA5F98">
        <w:rPr>
          <w:rFonts w:hint="cs"/>
          <w:rtl/>
          <w:lang w:bidi="he-IL"/>
        </w:rPr>
        <w:t>פט אייכמן בירושלים, עמ' 325-324 (2011);</w:t>
      </w:r>
      <w:r>
        <w:rPr>
          <w:rFonts w:hint="cs"/>
          <w:rtl/>
          <w:lang w:bidi="he-IL"/>
        </w:rPr>
        <w:t xml:space="preserve"> </w:t>
      </w:r>
      <w:r w:rsidR="00FA5F98">
        <w:rPr>
          <w:rFonts w:hint="cs"/>
          <w:rtl/>
          <w:lang w:bidi="he-IL"/>
        </w:rPr>
        <w:t xml:space="preserve">תמי </w:t>
      </w:r>
      <w:proofErr w:type="spellStart"/>
      <w:r w:rsidR="00FA5F98">
        <w:rPr>
          <w:rFonts w:hint="cs"/>
          <w:rtl/>
          <w:lang w:bidi="he-IL"/>
        </w:rPr>
        <w:t>האוזנר-רוה</w:t>
      </w:r>
      <w:proofErr w:type="spellEnd"/>
      <w:r w:rsidR="00FA5F98">
        <w:rPr>
          <w:rFonts w:hint="cs"/>
          <w:rtl/>
          <w:lang w:bidi="he-IL"/>
        </w:rPr>
        <w:t xml:space="preserve"> וטלי </w:t>
      </w:r>
      <w:proofErr w:type="spellStart"/>
      <w:r w:rsidR="00FA5F98">
        <w:rPr>
          <w:rFonts w:hint="cs"/>
          <w:rtl/>
          <w:lang w:bidi="he-IL"/>
        </w:rPr>
        <w:t>רוה</w:t>
      </w:r>
      <w:proofErr w:type="spellEnd"/>
      <w:r w:rsidR="00FA5F98">
        <w:rPr>
          <w:rFonts w:hint="cs"/>
          <w:rtl/>
          <w:lang w:bidi="he-IL"/>
        </w:rPr>
        <w:t>-רונן "</w:t>
      </w:r>
      <w:r w:rsidR="00FA5F98" w:rsidRPr="00FA5F98">
        <w:rPr>
          <w:rtl/>
          <w:lang w:bidi="he-IL"/>
        </w:rPr>
        <w:t>ת"פ 40/61 היועץ המשפטי לממשלה נגד אדולף אייכמן</w:t>
      </w:r>
      <w:r w:rsidR="00FA5F98">
        <w:rPr>
          <w:rFonts w:hint="cs"/>
          <w:rtl/>
          <w:lang w:bidi="he-IL"/>
        </w:rPr>
        <w:t xml:space="preserve">" 157 בתוך: שורשים במשפט (דינה זילבר, עורכת, 2020). </w:t>
      </w:r>
    </w:p>
  </w:footnote>
  <w:footnote w:id="16">
    <w:p w:rsidR="00D72BFC" w:rsidRDefault="00D72BFC" w:rsidP="00D25539">
      <w:pPr>
        <w:pStyle w:val="FootnoteText"/>
        <w:rPr>
          <w:lang w:bidi="he-IL"/>
        </w:rPr>
      </w:pPr>
      <w:r>
        <w:rPr>
          <w:rStyle w:val="FootnoteReference"/>
        </w:rPr>
        <w:footnoteRef/>
      </w:r>
      <w:r>
        <w:rPr>
          <w:rFonts w:cs="Times New Roman"/>
          <w:rtl/>
        </w:rPr>
        <w:t xml:space="preserve"> </w:t>
      </w:r>
      <w:r w:rsidR="007F3204">
        <w:rPr>
          <w:rFonts w:hint="cs"/>
          <w:rtl/>
          <w:lang w:bidi="he-IL"/>
        </w:rPr>
        <w:t xml:space="preserve">ראו דבריו של די-נור: </w:t>
      </w:r>
      <w:r>
        <w:rPr>
          <w:rFonts w:hint="cs"/>
          <w:rtl/>
          <w:lang w:bidi="he-IL"/>
        </w:rPr>
        <w:t>"</w:t>
      </w:r>
      <w:r w:rsidRPr="00672022">
        <w:rPr>
          <w:rtl/>
          <w:lang w:bidi="he-IL"/>
        </w:rPr>
        <w:t xml:space="preserve">אין הזמן שם כפי שהוא כאן, על-פני כדור הארץ. כל שבר </w:t>
      </w:r>
      <w:r>
        <w:rPr>
          <w:rtl/>
          <w:lang w:bidi="he-IL"/>
        </w:rPr>
        <w:t xml:space="preserve">רגע הולך שם על גלגל זמן אחר. </w:t>
      </w:r>
      <w:r w:rsidRPr="00672022">
        <w:rPr>
          <w:rtl/>
          <w:lang w:bidi="he-IL"/>
        </w:rPr>
        <w:t>לתושבי פלנטה זו לא היו שֵמות. לא היו להם הורים ולא היו להם ילדים. הם לא לבשו כדרך שלובשים</w:t>
      </w:r>
      <w:r>
        <w:rPr>
          <w:rtl/>
          <w:lang w:bidi="he-IL"/>
        </w:rPr>
        <w:t xml:space="preserve"> כאן. הם לא נולדו שם ולא הולי</w:t>
      </w:r>
      <w:r>
        <w:rPr>
          <w:rFonts w:hint="cs"/>
          <w:rtl/>
          <w:lang w:bidi="he-IL"/>
        </w:rPr>
        <w:t>דו. נשמו לפי חוקי טבע אחרים.</w:t>
      </w:r>
      <w:r w:rsidRPr="00672022">
        <w:rPr>
          <w:rtl/>
          <w:lang w:bidi="he-IL"/>
        </w:rPr>
        <w:t xml:space="preserve"> הם לא חיו </w:t>
      </w:r>
      <w:r>
        <w:rPr>
          <w:rFonts w:hint="cs"/>
          <w:rtl/>
          <w:lang w:bidi="he-IL"/>
        </w:rPr>
        <w:t>כ</w:t>
      </w:r>
      <w:r>
        <w:rPr>
          <w:rtl/>
          <w:lang w:bidi="he-IL"/>
        </w:rPr>
        <w:t>פי החוקים של העולם כאן ולא מתו</w:t>
      </w:r>
      <w:r>
        <w:rPr>
          <w:rFonts w:hint="cs"/>
          <w:rtl/>
          <w:lang w:bidi="he-IL"/>
        </w:rPr>
        <w:t xml:space="preserve">". </w:t>
      </w:r>
      <w:proofErr w:type="spellStart"/>
      <w:r w:rsidR="00870DC0" w:rsidRPr="00A65FB0">
        <w:rPr>
          <w:rtl/>
          <w:lang w:bidi="he-IL"/>
        </w:rPr>
        <w:t>ל</w:t>
      </w:r>
      <w:r w:rsidR="00870DC0">
        <w:rPr>
          <w:rFonts w:hint="cs"/>
          <w:rtl/>
          <w:lang w:bidi="he-IL"/>
        </w:rPr>
        <w:t>צפיה</w:t>
      </w:r>
      <w:proofErr w:type="spellEnd"/>
      <w:r w:rsidR="00870DC0">
        <w:rPr>
          <w:rFonts w:hint="cs"/>
          <w:rtl/>
          <w:lang w:bidi="he-IL"/>
        </w:rPr>
        <w:t xml:space="preserve"> ב</w:t>
      </w:r>
      <w:r w:rsidR="00870DC0" w:rsidRPr="00A65FB0">
        <w:rPr>
          <w:rtl/>
          <w:lang w:bidi="he-IL"/>
        </w:rPr>
        <w:t>עדותו של די</w:t>
      </w:r>
      <w:r w:rsidR="00870DC0" w:rsidRPr="00A65FB0">
        <w:rPr>
          <w:rtl/>
        </w:rPr>
        <w:t>-</w:t>
      </w:r>
      <w:r w:rsidR="00870DC0" w:rsidRPr="00A65FB0">
        <w:rPr>
          <w:rtl/>
          <w:lang w:bidi="he-IL"/>
        </w:rPr>
        <w:t>נור במשפט אייכמן</w:t>
      </w:r>
      <w:r w:rsidR="00870DC0" w:rsidRPr="00A65FB0">
        <w:rPr>
          <w:rtl/>
        </w:rPr>
        <w:t xml:space="preserve">, </w:t>
      </w:r>
      <w:r w:rsidR="00870DC0" w:rsidRPr="00A65FB0">
        <w:rPr>
          <w:rtl/>
          <w:lang w:bidi="he-IL"/>
        </w:rPr>
        <w:t>ראה</w:t>
      </w:r>
      <w:r w:rsidR="00870DC0" w:rsidRPr="00A65FB0">
        <w:rPr>
          <w:rtl/>
        </w:rPr>
        <w:t xml:space="preserve">: </w:t>
      </w:r>
      <w:hyperlink r:id="rId2" w:history="1">
        <w:r w:rsidR="00870DC0" w:rsidRPr="00A65FB0">
          <w:rPr>
            <w:rStyle w:val="Hyperlink"/>
          </w:rPr>
          <w:t>https://www.youtube.com/watch?v=rfpDN0JNDTg</w:t>
        </w:r>
      </w:hyperlink>
      <w:r w:rsidR="00870DC0" w:rsidRPr="00A65FB0">
        <w:t xml:space="preserve"> </w:t>
      </w:r>
      <w:r w:rsidR="00870DC0" w:rsidRPr="00A65FB0">
        <w:rPr>
          <w:rtl/>
        </w:rPr>
        <w:t>.</w:t>
      </w:r>
      <w:r w:rsidR="007F3204">
        <w:rPr>
          <w:rFonts w:hint="cs"/>
          <w:rtl/>
          <w:lang w:bidi="he-IL"/>
        </w:rPr>
        <w:t xml:space="preserve"> להרחבה על עדותו של די-נור, ראו: חנה </w:t>
      </w:r>
      <w:proofErr w:type="spellStart"/>
      <w:r w:rsidR="007F3204">
        <w:rPr>
          <w:rFonts w:hint="cs"/>
          <w:rtl/>
          <w:lang w:bidi="he-IL"/>
        </w:rPr>
        <w:t>יבלונקה</w:t>
      </w:r>
      <w:proofErr w:type="spellEnd"/>
      <w:r w:rsidR="007F3204">
        <w:rPr>
          <w:rFonts w:hint="cs"/>
          <w:rtl/>
          <w:lang w:bidi="he-IL"/>
        </w:rPr>
        <w:t>, מדינת ישראל נ' אדולף אייכמן 128-126 (2001).</w:t>
      </w:r>
      <w:r w:rsidR="00D25539">
        <w:rPr>
          <w:lang w:bidi="he-IL"/>
        </w:rPr>
        <w:t xml:space="preserve"> </w:t>
      </w:r>
      <w:r w:rsidR="00D25539">
        <w:rPr>
          <w:rFonts w:hint="cs"/>
          <w:highlight w:val="yellow"/>
          <w:rtl/>
          <w:lang w:bidi="he-IL"/>
        </w:rPr>
        <w:t>להפנות ל</w:t>
      </w:r>
      <w:r w:rsidR="007F3204" w:rsidRPr="007F3204">
        <w:rPr>
          <w:rFonts w:hint="cs"/>
          <w:highlight w:val="yellow"/>
          <w:rtl/>
          <w:lang w:bidi="he-IL"/>
        </w:rPr>
        <w:t>מאמר של רננה</w:t>
      </w:r>
      <w:r w:rsidR="007F3204">
        <w:rPr>
          <w:rFonts w:hint="cs"/>
          <w:rtl/>
          <w:lang w:bidi="he-IL"/>
        </w:rPr>
        <w:t xml:space="preserve"> </w:t>
      </w:r>
    </w:p>
  </w:footnote>
  <w:footnote w:id="17">
    <w:p w:rsidR="00D72BFC" w:rsidRDefault="00D72BFC" w:rsidP="003374E4">
      <w:pPr>
        <w:pStyle w:val="FootnoteText"/>
        <w:rPr>
          <w:rtl/>
          <w:lang w:bidi="he-IL"/>
        </w:rPr>
      </w:pPr>
      <w:r>
        <w:rPr>
          <w:rStyle w:val="FootnoteReference"/>
        </w:rPr>
        <w:footnoteRef/>
      </w:r>
      <w:r>
        <w:rPr>
          <w:rFonts w:cs="Times New Roman"/>
          <w:rtl/>
        </w:rPr>
        <w:t xml:space="preserve"> </w:t>
      </w:r>
      <w:r w:rsidR="004B3F32">
        <w:rPr>
          <w:rFonts w:hint="cs"/>
          <w:rtl/>
          <w:lang w:bidi="he-IL"/>
        </w:rPr>
        <w:t xml:space="preserve">להרחבה ראו: </w:t>
      </w:r>
      <w:r>
        <w:rPr>
          <w:rFonts w:hint="cs"/>
          <w:rtl/>
          <w:lang w:bidi="he-IL"/>
        </w:rPr>
        <w:t xml:space="preserve">דן מירון, </w:t>
      </w:r>
      <w:r w:rsidRPr="003374E4">
        <w:rPr>
          <w:rtl/>
          <w:lang w:bidi="he-IL"/>
        </w:rPr>
        <w:t>שלו</w:t>
      </w:r>
      <w:r>
        <w:rPr>
          <w:rtl/>
          <w:lang w:bidi="he-IL"/>
        </w:rPr>
        <w:t>שה אזורי משמעות ב"רחובות הנהר"</w:t>
      </w:r>
      <w:r>
        <w:rPr>
          <w:rFonts w:hint="cs"/>
          <w:rtl/>
          <w:lang w:bidi="he-IL"/>
        </w:rPr>
        <w:t xml:space="preserve">: </w:t>
      </w:r>
      <w:r w:rsidRPr="003374E4">
        <w:rPr>
          <w:rtl/>
          <w:lang w:bidi="he-IL"/>
        </w:rPr>
        <w:t xml:space="preserve">שבעים שנה </w:t>
      </w:r>
      <w:r>
        <w:rPr>
          <w:rFonts w:hint="cs"/>
          <w:rtl/>
          <w:lang w:bidi="he-IL"/>
        </w:rPr>
        <w:t>(</w:t>
      </w:r>
      <w:r>
        <w:rPr>
          <w:rtl/>
          <w:lang w:bidi="he-IL"/>
        </w:rPr>
        <w:t>1951—2021</w:t>
      </w:r>
      <w:r>
        <w:rPr>
          <w:rFonts w:hint="cs"/>
          <w:rtl/>
          <w:lang w:bidi="he-IL"/>
        </w:rPr>
        <w:t xml:space="preserve">) </w:t>
      </w:r>
      <w:r w:rsidRPr="003374E4">
        <w:rPr>
          <w:rtl/>
          <w:lang w:bidi="he-IL"/>
        </w:rPr>
        <w:t>להופעת</w:t>
      </w:r>
      <w:r>
        <w:rPr>
          <w:rtl/>
          <w:lang w:bidi="he-IL"/>
        </w:rPr>
        <w:t xml:space="preserve"> ספר הקינות של אורי צבי גרינברג</w:t>
      </w:r>
      <w:r>
        <w:rPr>
          <w:rFonts w:hint="cs"/>
          <w:rtl/>
          <w:lang w:bidi="he-IL"/>
        </w:rPr>
        <w:t xml:space="preserve">, האקדמיה הלאומית למדעים, הרצאות החברים החדשים </w:t>
      </w:r>
      <w:proofErr w:type="spellStart"/>
      <w:r>
        <w:rPr>
          <w:rFonts w:hint="cs"/>
          <w:rtl/>
          <w:lang w:bidi="he-IL"/>
        </w:rPr>
        <w:t>לתשפ"א</w:t>
      </w:r>
      <w:proofErr w:type="spellEnd"/>
      <w:r>
        <w:rPr>
          <w:rFonts w:hint="cs"/>
          <w:rtl/>
          <w:lang w:bidi="he-IL"/>
        </w:rPr>
        <w:t xml:space="preserve">, גיליון 43, נובמבר 2021, עמ' 11-5. </w:t>
      </w:r>
    </w:p>
  </w:footnote>
  <w:footnote w:id="18">
    <w:p w:rsidR="00D72BFC" w:rsidRDefault="00D72BFC" w:rsidP="0078074D">
      <w:pPr>
        <w:pStyle w:val="FootnoteText"/>
        <w:rPr>
          <w:rtl/>
          <w:lang w:bidi="he-IL"/>
        </w:rPr>
      </w:pPr>
      <w:r>
        <w:rPr>
          <w:rStyle w:val="FootnoteReference"/>
        </w:rPr>
        <w:footnoteRef/>
      </w:r>
      <w:r>
        <w:rPr>
          <w:rFonts w:cs="Times New Roman"/>
          <w:rtl/>
        </w:rPr>
        <w:t xml:space="preserve"> </w:t>
      </w:r>
      <w:r w:rsidR="0078074D" w:rsidRPr="0078074D">
        <w:rPr>
          <w:rFonts w:hint="cs"/>
          <w:highlight w:val="yellow"/>
          <w:rtl/>
          <w:lang w:bidi="he-IL"/>
        </w:rPr>
        <w:t>הערה: צריך לציין כאן את ההבדל בין הנוסח העברי לנוסח האנגלי</w:t>
      </w:r>
      <w:r w:rsidRPr="009F4C67">
        <w:rPr>
          <w:rtl/>
          <w:lang w:bidi="he-IL"/>
        </w:rPr>
        <w:t xml:space="preserve"> </w:t>
      </w:r>
    </w:p>
  </w:footnote>
  <w:footnote w:id="19">
    <w:p w:rsidR="00D72BFC" w:rsidRDefault="00D72BFC" w:rsidP="00433B44">
      <w:pPr>
        <w:pStyle w:val="FootnoteText"/>
        <w:rPr>
          <w:rtl/>
        </w:rPr>
      </w:pPr>
      <w:r>
        <w:rPr>
          <w:rStyle w:val="FootnoteReference"/>
        </w:rPr>
        <w:footnoteRef/>
      </w:r>
      <w:r>
        <w:rPr>
          <w:rFonts w:cs="Times New Roman"/>
          <w:rtl/>
        </w:rPr>
        <w:t xml:space="preserve"> </w:t>
      </w:r>
      <w:r w:rsidR="00433B44">
        <w:rPr>
          <w:rFonts w:hint="cs"/>
          <w:rtl/>
          <w:lang w:bidi="he-IL"/>
        </w:rPr>
        <w:t xml:space="preserve">ציטוט מתוך דברי הסיכום של יו"ר הוועדה, גדעון </w:t>
      </w:r>
      <w:proofErr w:type="spellStart"/>
      <w:r w:rsidR="00433B44">
        <w:rPr>
          <w:rFonts w:hint="cs"/>
          <w:rtl/>
          <w:lang w:bidi="he-IL"/>
        </w:rPr>
        <w:t>האוזנר</w:t>
      </w:r>
      <w:proofErr w:type="spellEnd"/>
    </w:p>
  </w:footnote>
  <w:footnote w:id="20">
    <w:p w:rsidR="00D72BFC" w:rsidRPr="00187719" w:rsidRDefault="00D72BFC" w:rsidP="008A7781">
      <w:pPr>
        <w:pStyle w:val="FootnoteText"/>
        <w:rPr>
          <w:rtl/>
          <w:lang w:bidi="he-IL"/>
        </w:rPr>
      </w:pPr>
      <w:r>
        <w:rPr>
          <w:rStyle w:val="FootnoteReference"/>
        </w:rPr>
        <w:footnoteRef/>
      </w:r>
      <w:r>
        <w:rPr>
          <w:rFonts w:cs="Times New Roman"/>
          <w:rtl/>
        </w:rPr>
        <w:t xml:space="preserve"> </w:t>
      </w:r>
      <w:r w:rsidR="00187719">
        <w:rPr>
          <w:rFonts w:cs="Times New Roman" w:hint="cs"/>
          <w:rtl/>
          <w:lang w:bidi="he-IL"/>
        </w:rPr>
        <w:t xml:space="preserve">ראו עדותה של רות אליעז </w:t>
      </w:r>
      <w:r w:rsidR="00187719" w:rsidRPr="00187719">
        <w:rPr>
          <w:lang w:bidi="he-IL"/>
        </w:rPr>
        <w:t>Ruth Elias</w:t>
      </w:r>
      <w:r w:rsidR="00187719">
        <w:rPr>
          <w:rFonts w:hint="cs"/>
          <w:rtl/>
          <w:lang w:bidi="he-IL"/>
        </w:rPr>
        <w:t>, שתידון בהמשך</w:t>
      </w:r>
      <w:r w:rsidR="008A7781">
        <w:rPr>
          <w:rFonts w:hint="cs"/>
          <w:rtl/>
          <w:lang w:bidi="he-IL"/>
        </w:rPr>
        <w:t xml:space="preserve"> המאמר.</w:t>
      </w:r>
      <w:r w:rsidR="00187719">
        <w:rPr>
          <w:rFonts w:hint="cs"/>
          <w:rtl/>
          <w:lang w:bidi="he-IL"/>
        </w:rPr>
        <w:t xml:space="preserve"> </w:t>
      </w:r>
    </w:p>
  </w:footnote>
  <w:footnote w:id="21">
    <w:p w:rsidR="00D72BFC" w:rsidRPr="008A7781" w:rsidRDefault="00D72BFC" w:rsidP="008A7781">
      <w:pPr>
        <w:pStyle w:val="FootnoteText"/>
        <w:rPr>
          <w:rtl/>
          <w:lang w:bidi="he-IL"/>
        </w:rPr>
      </w:pPr>
      <w:r>
        <w:rPr>
          <w:rStyle w:val="FootnoteReference"/>
        </w:rPr>
        <w:footnoteRef/>
      </w:r>
      <w:r>
        <w:rPr>
          <w:rFonts w:cs="Times New Roman"/>
          <w:rtl/>
        </w:rPr>
        <w:t xml:space="preserve"> </w:t>
      </w:r>
      <w:r w:rsidR="008A7781" w:rsidRPr="008A7781">
        <w:rPr>
          <w:lang w:bidi="he-IL"/>
        </w:rPr>
        <w:t xml:space="preserve">Dori </w:t>
      </w:r>
      <w:proofErr w:type="spellStart"/>
      <w:r w:rsidR="008A7781" w:rsidRPr="008A7781">
        <w:rPr>
          <w:lang w:bidi="he-IL"/>
        </w:rPr>
        <w:t>Deston</w:t>
      </w:r>
      <w:proofErr w:type="spellEnd"/>
      <w:r w:rsidR="008A7781" w:rsidRPr="008A7781">
        <w:rPr>
          <w:lang w:bidi="he-IL"/>
        </w:rPr>
        <w:t xml:space="preserve">, “The </w:t>
      </w:r>
      <w:proofErr w:type="spellStart"/>
      <w:r w:rsidR="008A7781" w:rsidRPr="008A7781">
        <w:rPr>
          <w:lang w:bidi="he-IL"/>
        </w:rPr>
        <w:t>Demjanjuk</w:t>
      </w:r>
      <w:proofErr w:type="spellEnd"/>
      <w:r w:rsidR="008A7781" w:rsidRPr="008A7781">
        <w:rPr>
          <w:lang w:bidi="he-IL"/>
        </w:rPr>
        <w:t xml:space="preserve"> Trial", </w:t>
      </w:r>
      <w:r w:rsidR="008A7781">
        <w:rPr>
          <w:lang w:bidi="he-IL"/>
        </w:rPr>
        <w:t>93-86</w:t>
      </w:r>
    </w:p>
  </w:footnote>
  <w:footnote w:id="22">
    <w:p w:rsidR="00D72BFC" w:rsidRPr="00411ECA" w:rsidRDefault="00D72BFC" w:rsidP="007D6BA2">
      <w:pPr>
        <w:pStyle w:val="FootnoteText"/>
        <w:contextualSpacing/>
      </w:pPr>
      <w:r w:rsidRPr="00411ECA">
        <w:rPr>
          <w:vertAlign w:val="superscript"/>
          <w:rtl/>
          <w:lang w:val="he-IL"/>
        </w:rPr>
        <w:footnoteRef/>
      </w:r>
      <w:r w:rsidRPr="00411ECA">
        <w:rPr>
          <w:rtl/>
          <w:lang w:val="he-IL" w:bidi="he-IL"/>
        </w:rPr>
        <w:t xml:space="preserve"> </w:t>
      </w:r>
      <w:r w:rsidR="007D6BA2">
        <w:rPr>
          <w:rFonts w:hint="cs"/>
          <w:rtl/>
          <w:lang w:val="he-IL" w:bidi="he-IL"/>
        </w:rPr>
        <w:t xml:space="preserve">בביטוי זה השתמש </w:t>
      </w:r>
      <w:r>
        <w:rPr>
          <w:rFonts w:hint="cs"/>
          <w:rtl/>
          <w:lang w:val="he-IL" w:bidi="he-IL"/>
        </w:rPr>
        <w:t xml:space="preserve">עו"ד </w:t>
      </w:r>
      <w:r w:rsidRPr="00411ECA">
        <w:rPr>
          <w:rtl/>
          <w:lang w:val="he-IL" w:bidi="he-IL"/>
        </w:rPr>
        <w:t>דניס גולדמן</w:t>
      </w:r>
      <w:r>
        <w:rPr>
          <w:rFonts w:hint="cs"/>
          <w:rtl/>
          <w:lang w:val="he-IL" w:bidi="he-IL"/>
        </w:rPr>
        <w:t>, מנהל המחלקה הבינלאומית בפרקליטות המדינה,</w:t>
      </w:r>
      <w:r w:rsidRPr="00411ECA">
        <w:rPr>
          <w:rtl/>
          <w:lang w:val="he-IL" w:bidi="he-IL"/>
        </w:rPr>
        <w:t xml:space="preserve"> </w:t>
      </w:r>
      <w:r w:rsidR="007D6BA2">
        <w:rPr>
          <w:rFonts w:hint="cs"/>
          <w:rtl/>
          <w:lang w:val="he-IL" w:bidi="he-IL"/>
        </w:rPr>
        <w:t xml:space="preserve">במכתבו </w:t>
      </w:r>
      <w:r w:rsidRPr="00411ECA">
        <w:rPr>
          <w:rtl/>
          <w:lang w:val="he-IL" w:bidi="he-IL"/>
        </w:rPr>
        <w:t>למשה גלבוע</w:t>
      </w:r>
      <w:r>
        <w:rPr>
          <w:rFonts w:hint="cs"/>
          <w:rtl/>
          <w:lang w:val="he-IL" w:bidi="he-IL"/>
        </w:rPr>
        <w:t>,</w:t>
      </w:r>
      <w:r w:rsidRPr="00411ECA">
        <w:rPr>
          <w:rtl/>
          <w:lang w:val="he-IL" w:bidi="he-IL"/>
        </w:rPr>
        <w:t xml:space="preserve"> מנהל אגף תפוצות במשרד החוץ</w:t>
      </w:r>
      <w:r w:rsidRPr="00411ECA">
        <w:rPr>
          <w:rtl/>
          <w:lang w:val="he-IL"/>
        </w:rPr>
        <w:t xml:space="preserve">, </w:t>
      </w:r>
      <w:r w:rsidRPr="00411ECA">
        <w:rPr>
          <w:rtl/>
          <w:lang w:val="he-IL" w:bidi="he-IL"/>
        </w:rPr>
        <w:t xml:space="preserve">מיום </w:t>
      </w:r>
      <w:r>
        <w:rPr>
          <w:rtl/>
          <w:lang w:val="he-IL"/>
        </w:rPr>
        <w:t>8.9.198</w:t>
      </w:r>
      <w:r w:rsidR="007D6BA2">
        <w:rPr>
          <w:rFonts w:hint="cs"/>
          <w:rtl/>
          <w:lang w:val="he-IL" w:bidi="he-IL"/>
        </w:rPr>
        <w:t>6. ראו:</w:t>
      </w:r>
      <w:r>
        <w:rPr>
          <w:rFonts w:hint="cs"/>
          <w:rtl/>
          <w:lang w:val="he-IL" w:bidi="he-IL"/>
        </w:rPr>
        <w:t xml:space="preserve"> </w:t>
      </w:r>
      <w:r>
        <w:rPr>
          <w:rFonts w:hint="cs"/>
          <w:rtl/>
          <w:lang w:bidi="he-IL"/>
        </w:rPr>
        <w:t xml:space="preserve">ארכיון המדינה, </w:t>
      </w:r>
      <w:r w:rsidR="007D6BA2">
        <w:rPr>
          <w:rFonts w:hint="cs"/>
          <w:rtl/>
          <w:lang w:bidi="he-IL"/>
        </w:rPr>
        <w:t xml:space="preserve">משפט </w:t>
      </w:r>
      <w:proofErr w:type="spellStart"/>
      <w:r w:rsidR="007D6BA2">
        <w:rPr>
          <w:rFonts w:hint="cs"/>
          <w:rtl/>
          <w:lang w:bidi="he-IL"/>
        </w:rPr>
        <w:t>דמיאניוק</w:t>
      </w:r>
      <w:proofErr w:type="spellEnd"/>
      <w:r w:rsidR="007D6BA2">
        <w:rPr>
          <w:rFonts w:hint="cs"/>
          <w:rtl/>
          <w:lang w:bidi="he-IL"/>
        </w:rPr>
        <w:t xml:space="preserve">, </w:t>
      </w:r>
      <w:r>
        <w:rPr>
          <w:rFonts w:hint="cs"/>
          <w:rtl/>
          <w:lang w:bidi="he-IL"/>
        </w:rPr>
        <w:t xml:space="preserve">תיקי משרד המשפטים, קלסר "משפט </w:t>
      </w:r>
      <w:proofErr w:type="spellStart"/>
      <w:r>
        <w:rPr>
          <w:rFonts w:hint="cs"/>
          <w:rtl/>
          <w:lang w:bidi="he-IL"/>
        </w:rPr>
        <w:t>דמיאניוק</w:t>
      </w:r>
      <w:proofErr w:type="spellEnd"/>
      <w:r>
        <w:rPr>
          <w:rFonts w:hint="cs"/>
          <w:rtl/>
          <w:lang w:bidi="he-IL"/>
        </w:rPr>
        <w:t xml:space="preserve"> שוטף 1 הסגרה" גל-21598/2. </w:t>
      </w:r>
    </w:p>
  </w:footnote>
  <w:footnote w:id="23">
    <w:p w:rsidR="00D72BFC" w:rsidRPr="00411ECA" w:rsidRDefault="00D72BFC" w:rsidP="007D6BA2">
      <w:pPr>
        <w:pStyle w:val="FootnoteText"/>
      </w:pPr>
      <w:r w:rsidRPr="00411ECA">
        <w:rPr>
          <w:rStyle w:val="FootnoteReference"/>
        </w:rPr>
        <w:footnoteRef/>
      </w:r>
      <w:r w:rsidRPr="00411ECA">
        <w:rPr>
          <w:rtl/>
          <w:lang w:bidi="he-IL"/>
        </w:rPr>
        <w:t xml:space="preserve"> </w:t>
      </w:r>
      <w:r w:rsidR="007D6BA2">
        <w:rPr>
          <w:rFonts w:hint="cs"/>
          <w:rtl/>
          <w:lang w:bidi="he-IL"/>
        </w:rPr>
        <w:t xml:space="preserve">לתיאור הקריטריונים הנזכרים ראו </w:t>
      </w:r>
      <w:r w:rsidRPr="007D6BA2">
        <w:rPr>
          <w:rFonts w:hint="cs"/>
          <w:b/>
          <w:bCs/>
          <w:rtl/>
          <w:lang w:bidi="he-IL"/>
        </w:rPr>
        <w:t>שם</w:t>
      </w:r>
      <w:r w:rsidRPr="00411ECA">
        <w:rPr>
          <w:rtl/>
        </w:rPr>
        <w:t xml:space="preserve">, </w:t>
      </w:r>
      <w:r w:rsidR="007D6BA2">
        <w:rPr>
          <w:rFonts w:hint="cs"/>
          <w:rtl/>
          <w:lang w:bidi="he-IL"/>
        </w:rPr>
        <w:t>וראו</w:t>
      </w:r>
      <w:r>
        <w:rPr>
          <w:rFonts w:hint="cs"/>
          <w:rtl/>
          <w:lang w:bidi="he-IL"/>
        </w:rPr>
        <w:t xml:space="preserve"> גם: </w:t>
      </w:r>
      <w:r w:rsidRPr="00411ECA">
        <w:rPr>
          <w:rtl/>
          <w:lang w:bidi="he-IL"/>
        </w:rPr>
        <w:t xml:space="preserve">מכתבו של גולדמן אל </w:t>
      </w:r>
      <w:r>
        <w:rPr>
          <w:rFonts w:hint="cs"/>
          <w:rtl/>
          <w:lang w:bidi="he-IL"/>
        </w:rPr>
        <w:t xml:space="preserve">משה ניסים, </w:t>
      </w:r>
      <w:r w:rsidRPr="00411ECA">
        <w:rPr>
          <w:rtl/>
          <w:lang w:bidi="he-IL"/>
        </w:rPr>
        <w:t>שר המשפטים</w:t>
      </w:r>
      <w:r>
        <w:rPr>
          <w:rFonts w:hint="cs"/>
          <w:rtl/>
          <w:lang w:bidi="he-IL"/>
        </w:rPr>
        <w:t>,</w:t>
      </w:r>
      <w:r w:rsidRPr="00411ECA">
        <w:rPr>
          <w:rtl/>
          <w:lang w:bidi="he-IL"/>
        </w:rPr>
        <w:t xml:space="preserve"> מיום </w:t>
      </w:r>
      <w:r w:rsidRPr="00411ECA">
        <w:rPr>
          <w:rtl/>
        </w:rPr>
        <w:t>20.3.1986.</w:t>
      </w:r>
      <w:r>
        <w:rPr>
          <w:rFonts w:hint="cs"/>
          <w:rtl/>
          <w:lang w:bidi="he-IL"/>
        </w:rPr>
        <w:t xml:space="preserve"> ארכיון המדינה, </w:t>
      </w:r>
      <w:r w:rsidR="007D6BA2">
        <w:rPr>
          <w:rFonts w:hint="cs"/>
          <w:rtl/>
          <w:lang w:bidi="he-IL"/>
        </w:rPr>
        <w:t xml:space="preserve">משפט </w:t>
      </w:r>
      <w:proofErr w:type="spellStart"/>
      <w:r w:rsidR="007D6BA2">
        <w:rPr>
          <w:rFonts w:hint="cs"/>
          <w:rtl/>
          <w:lang w:bidi="he-IL"/>
        </w:rPr>
        <w:t>דמיאניוק</w:t>
      </w:r>
      <w:proofErr w:type="spellEnd"/>
      <w:r w:rsidR="007D6BA2">
        <w:rPr>
          <w:rFonts w:hint="cs"/>
          <w:rtl/>
          <w:lang w:bidi="he-IL"/>
        </w:rPr>
        <w:t xml:space="preserve">, </w:t>
      </w:r>
      <w:r w:rsidRPr="00411ECA">
        <w:rPr>
          <w:rFonts w:hint="cs"/>
          <w:rtl/>
          <w:lang w:bidi="he-IL"/>
        </w:rPr>
        <w:t>תיקי</w:t>
      </w:r>
      <w:r w:rsidRPr="00411ECA">
        <w:rPr>
          <w:rtl/>
        </w:rPr>
        <w:t xml:space="preserve"> </w:t>
      </w:r>
      <w:r w:rsidRPr="00411ECA">
        <w:rPr>
          <w:rtl/>
          <w:lang w:bidi="he-IL"/>
        </w:rPr>
        <w:t>משרד המשפטים</w:t>
      </w:r>
      <w:r w:rsidRPr="00411ECA">
        <w:rPr>
          <w:rtl/>
        </w:rPr>
        <w:t xml:space="preserve">, </w:t>
      </w:r>
      <w:r w:rsidRPr="00411ECA">
        <w:rPr>
          <w:rtl/>
          <w:lang w:bidi="he-IL"/>
        </w:rPr>
        <w:t xml:space="preserve">קלסר </w:t>
      </w:r>
      <w:r w:rsidRPr="00411ECA">
        <w:rPr>
          <w:rtl/>
        </w:rPr>
        <w:t>"</w:t>
      </w:r>
      <w:proofErr w:type="spellStart"/>
      <w:r w:rsidRPr="00411ECA">
        <w:rPr>
          <w:rtl/>
          <w:lang w:bidi="he-IL"/>
        </w:rPr>
        <w:t>בימ</w:t>
      </w:r>
      <w:proofErr w:type="spellEnd"/>
      <w:r w:rsidRPr="00411ECA">
        <w:rPr>
          <w:rtl/>
        </w:rPr>
        <w:t>"</w:t>
      </w:r>
      <w:r w:rsidRPr="00411ECA">
        <w:rPr>
          <w:rtl/>
          <w:lang w:bidi="he-IL"/>
        </w:rPr>
        <w:t xml:space="preserve">ש מחוזי </w:t>
      </w:r>
      <w:r w:rsidRPr="00411ECA">
        <w:rPr>
          <w:rtl/>
        </w:rPr>
        <w:t xml:space="preserve">1986 </w:t>
      </w:r>
      <w:r w:rsidRPr="00411ECA">
        <w:rPr>
          <w:rtl/>
          <w:lang w:bidi="he-IL"/>
        </w:rPr>
        <w:t xml:space="preserve">שוטף </w:t>
      </w:r>
      <w:r w:rsidRPr="00411ECA">
        <w:rPr>
          <w:rtl/>
        </w:rPr>
        <w:t xml:space="preserve">2", </w:t>
      </w:r>
      <w:r w:rsidRPr="00411ECA">
        <w:rPr>
          <w:rtl/>
          <w:lang w:bidi="he-IL"/>
        </w:rPr>
        <w:t>גל</w:t>
      </w:r>
      <w:r w:rsidRPr="00411ECA">
        <w:rPr>
          <w:rFonts w:hint="cs"/>
          <w:rtl/>
          <w:lang w:bidi="he-IL"/>
        </w:rPr>
        <w:t>-</w:t>
      </w:r>
      <w:r w:rsidRPr="00411ECA">
        <w:rPr>
          <w:rtl/>
        </w:rPr>
        <w:t>21598/3.</w:t>
      </w:r>
    </w:p>
  </w:footnote>
  <w:footnote w:id="24">
    <w:p w:rsidR="00D72BFC" w:rsidRDefault="00D72BFC">
      <w:pPr>
        <w:pStyle w:val="FootnoteText"/>
        <w:rPr>
          <w:rtl/>
          <w:lang w:bidi="he-IL"/>
        </w:rPr>
      </w:pPr>
      <w:r>
        <w:rPr>
          <w:rStyle w:val="FootnoteReference"/>
        </w:rPr>
        <w:footnoteRef/>
      </w:r>
      <w:r>
        <w:rPr>
          <w:rFonts w:cs="Times New Roman"/>
          <w:rtl/>
        </w:rPr>
        <w:t xml:space="preserve"> </w:t>
      </w:r>
      <w:r w:rsidRPr="00866449">
        <w:rPr>
          <w:rFonts w:hint="cs"/>
          <w:highlight w:val="yellow"/>
          <w:rtl/>
          <w:lang w:bidi="he-IL"/>
        </w:rPr>
        <w:t>להפנות</w:t>
      </w:r>
    </w:p>
  </w:footnote>
  <w:footnote w:id="25">
    <w:p w:rsidR="00D72BFC" w:rsidRDefault="00D72BFC" w:rsidP="0036798C">
      <w:pPr>
        <w:pStyle w:val="FootnoteText"/>
        <w:rPr>
          <w:rtl/>
          <w:lang w:bidi="he-IL"/>
        </w:rPr>
      </w:pPr>
      <w:r>
        <w:rPr>
          <w:rStyle w:val="FootnoteReference"/>
        </w:rPr>
        <w:footnoteRef/>
      </w:r>
      <w:r>
        <w:rPr>
          <w:rFonts w:cs="Times New Roman"/>
          <w:rtl/>
        </w:rPr>
        <w:t xml:space="preserve"> </w:t>
      </w:r>
      <w:r w:rsidR="0036798C">
        <w:rPr>
          <w:rFonts w:cs="Times New Roman" w:hint="cs"/>
          <w:rtl/>
          <w:lang w:bidi="he-IL"/>
        </w:rPr>
        <w:t xml:space="preserve">ראו: </w:t>
      </w:r>
      <w:r w:rsidR="0036798C" w:rsidRPr="0036798C">
        <w:rPr>
          <w:rtl/>
          <w:lang w:bidi="he-IL"/>
        </w:rPr>
        <w:t xml:space="preserve">רוני </w:t>
      </w:r>
      <w:proofErr w:type="spellStart"/>
      <w:r w:rsidR="0036798C" w:rsidRPr="0036798C">
        <w:rPr>
          <w:rtl/>
          <w:lang w:bidi="he-IL"/>
        </w:rPr>
        <w:t>שטאובר</w:t>
      </w:r>
      <w:proofErr w:type="spellEnd"/>
      <w:r w:rsidR="0036798C" w:rsidRPr="0036798C">
        <w:rPr>
          <w:rtl/>
          <w:lang w:bidi="he-IL"/>
        </w:rPr>
        <w:t>, הלקח לדור: שואה וגבורה במחשבה הציבורית בארץ בשנות החמישים</w:t>
      </w:r>
      <w:r w:rsidR="0036798C">
        <w:rPr>
          <w:lang w:bidi="he-IL"/>
        </w:rPr>
        <w:t xml:space="preserve"> </w:t>
      </w:r>
      <w:r w:rsidR="0036798C" w:rsidRPr="0036798C">
        <w:rPr>
          <w:rtl/>
          <w:lang w:bidi="he-IL"/>
        </w:rPr>
        <w:t xml:space="preserve">(ירושלים, יד בן-צבי והמרכז למורשת בן-גוריון, 2000), </w:t>
      </w:r>
      <w:r w:rsidR="0036798C">
        <w:rPr>
          <w:rFonts w:hint="cs"/>
          <w:rtl/>
          <w:lang w:bidi="he-IL"/>
        </w:rPr>
        <w:t xml:space="preserve">עמ' 60-48; </w:t>
      </w:r>
      <w:r w:rsidR="0036798C" w:rsidRPr="0036798C">
        <w:rPr>
          <w:lang w:bidi="he-IL"/>
        </w:rPr>
        <w:t>James Young, “When a Day Remembers: A Performative History of Yom</w:t>
      </w:r>
      <w:r w:rsidR="0036798C" w:rsidRPr="0036798C">
        <w:t xml:space="preserve"> </w:t>
      </w:r>
      <w:r w:rsidR="0036798C" w:rsidRPr="0036798C">
        <w:rPr>
          <w:lang w:bidi="he-IL"/>
        </w:rPr>
        <w:t>ha-</w:t>
      </w:r>
      <w:proofErr w:type="spellStart"/>
      <w:r w:rsidR="0036798C" w:rsidRPr="0036798C">
        <w:rPr>
          <w:lang w:bidi="he-IL"/>
        </w:rPr>
        <w:t>Shoa</w:t>
      </w:r>
      <w:proofErr w:type="spellEnd"/>
      <w:r w:rsidR="0036798C" w:rsidRPr="0036798C">
        <w:rPr>
          <w:lang w:bidi="he-IL"/>
        </w:rPr>
        <w:t>”, History and Memory, Vol. 2, 2, 1990, pp. 54-75</w:t>
      </w:r>
      <w:r w:rsidR="0036798C">
        <w:rPr>
          <w:lang w:bidi="he-IL"/>
        </w:rPr>
        <w:t xml:space="preserve">; </w:t>
      </w:r>
      <w:r w:rsidR="0036798C">
        <w:rPr>
          <w:rFonts w:hint="cs"/>
          <w:rtl/>
          <w:lang w:bidi="he-IL"/>
        </w:rPr>
        <w:t xml:space="preserve"> </w:t>
      </w:r>
      <w:r w:rsidR="0036798C" w:rsidRPr="0036798C">
        <w:rPr>
          <w:rFonts w:hint="cs"/>
          <w:highlight w:val="yellow"/>
          <w:rtl/>
          <w:lang w:bidi="he-IL"/>
        </w:rPr>
        <w:t xml:space="preserve">לחפש הפניה רלוונטית של ורד </w:t>
      </w:r>
      <w:proofErr w:type="spellStart"/>
      <w:r w:rsidR="0036798C" w:rsidRPr="0036798C">
        <w:rPr>
          <w:rFonts w:hint="cs"/>
          <w:highlight w:val="yellow"/>
          <w:rtl/>
          <w:lang w:bidi="he-IL"/>
        </w:rPr>
        <w:t>ויניצקי</w:t>
      </w:r>
      <w:proofErr w:type="spellEnd"/>
      <w:r w:rsidR="0036798C" w:rsidRPr="0036798C">
        <w:rPr>
          <w:rFonts w:hint="cs"/>
          <w:highlight w:val="yellow"/>
          <w:rtl/>
          <w:lang w:bidi="he-IL"/>
        </w:rPr>
        <w:t xml:space="preserve"> סרוסי</w:t>
      </w:r>
    </w:p>
  </w:footnote>
  <w:footnote w:id="26">
    <w:p w:rsidR="00D72BFC" w:rsidRDefault="00D72BFC" w:rsidP="00AE7DF7">
      <w:pPr>
        <w:pStyle w:val="FootnoteText"/>
        <w:rPr>
          <w:rtl/>
          <w:lang w:bidi="he-IL"/>
        </w:rPr>
      </w:pPr>
      <w:r>
        <w:rPr>
          <w:rStyle w:val="FootnoteReference"/>
        </w:rPr>
        <w:footnoteRef/>
      </w:r>
      <w:r>
        <w:rPr>
          <w:rFonts w:cs="Times New Roman"/>
          <w:rtl/>
        </w:rPr>
        <w:t xml:space="preserve"> </w:t>
      </w:r>
      <w:r>
        <w:rPr>
          <w:rFonts w:hint="cs"/>
          <w:rtl/>
          <w:lang w:bidi="he-IL"/>
        </w:rPr>
        <w:t xml:space="preserve">בדברים אחרונים אלו התייחס </w:t>
      </w:r>
      <w:proofErr w:type="spellStart"/>
      <w:r>
        <w:rPr>
          <w:rFonts w:hint="cs"/>
          <w:rtl/>
          <w:lang w:bidi="he-IL"/>
        </w:rPr>
        <w:t>האוזנר</w:t>
      </w:r>
      <w:proofErr w:type="spellEnd"/>
      <w:r>
        <w:rPr>
          <w:rFonts w:hint="cs"/>
          <w:rtl/>
          <w:lang w:bidi="he-IL"/>
        </w:rPr>
        <w:t xml:space="preserve"> ל"מבצע משה" להעלאת יהודי אתיופיה לישראל, שנערך בין </w:t>
      </w:r>
      <w:r w:rsidRPr="00AE7DF7">
        <w:rPr>
          <w:rtl/>
          <w:lang w:bidi="he-IL"/>
        </w:rPr>
        <w:t xml:space="preserve">21 בנובמבר 1984 </w:t>
      </w:r>
      <w:r>
        <w:rPr>
          <w:rFonts w:hint="cs"/>
          <w:rtl/>
          <w:lang w:bidi="he-IL"/>
        </w:rPr>
        <w:t>ל-</w:t>
      </w:r>
      <w:r w:rsidRPr="00AE7DF7">
        <w:rPr>
          <w:rtl/>
          <w:lang w:bidi="he-IL"/>
        </w:rPr>
        <w:t xml:space="preserve"> 5 בינואר 1985) להעלאת יהודי אתיופיה לישראל, </w:t>
      </w:r>
      <w:r>
        <w:rPr>
          <w:rFonts w:hint="cs"/>
          <w:rtl/>
          <w:lang w:bidi="he-IL"/>
        </w:rPr>
        <w:t>ו</w:t>
      </w:r>
      <w:r w:rsidRPr="00AE7DF7">
        <w:rPr>
          <w:rtl/>
          <w:lang w:bidi="he-IL"/>
        </w:rPr>
        <w:t xml:space="preserve">במהלכו </w:t>
      </w:r>
      <w:r>
        <w:rPr>
          <w:rFonts w:hint="cs"/>
          <w:rtl/>
          <w:lang w:bidi="he-IL"/>
        </w:rPr>
        <w:t xml:space="preserve">הועברו כ-6,364 יהודים </w:t>
      </w:r>
      <w:r w:rsidRPr="00AE7DF7">
        <w:rPr>
          <w:rtl/>
          <w:lang w:bidi="he-IL"/>
        </w:rPr>
        <w:t xml:space="preserve">ממחנות הפליטים בסודאן לבלגיה ומשם </w:t>
      </w:r>
      <w:r>
        <w:rPr>
          <w:rFonts w:hint="cs"/>
          <w:rtl/>
          <w:lang w:bidi="he-IL"/>
        </w:rPr>
        <w:t xml:space="preserve">הוטסו </w:t>
      </w:r>
      <w:r>
        <w:rPr>
          <w:rtl/>
          <w:lang w:bidi="he-IL"/>
        </w:rPr>
        <w:t>לישראל</w:t>
      </w:r>
      <w:r>
        <w:rPr>
          <w:rFonts w:hint="cs"/>
          <w:rtl/>
          <w:lang w:bidi="he-IL"/>
        </w:rPr>
        <w:t xml:space="preserve">. להרחבה ראו: </w:t>
      </w:r>
      <w:r w:rsidRPr="001A48A2">
        <w:rPr>
          <w:rFonts w:hint="cs"/>
          <w:highlight w:val="yellow"/>
          <w:rtl/>
          <w:lang w:bidi="he-IL"/>
        </w:rPr>
        <w:t>(להפנות)</w:t>
      </w:r>
    </w:p>
  </w:footnote>
  <w:footnote w:id="27">
    <w:p w:rsidR="00D72BFC" w:rsidRDefault="00D72BFC" w:rsidP="001A48A2">
      <w:pPr>
        <w:pStyle w:val="FootnoteText"/>
        <w:rPr>
          <w:lang w:bidi="he-IL"/>
        </w:rPr>
      </w:pPr>
      <w:r>
        <w:rPr>
          <w:rStyle w:val="FootnoteReference"/>
        </w:rPr>
        <w:footnoteRef/>
      </w:r>
      <w:r>
        <w:rPr>
          <w:rFonts w:cs="Times New Roman"/>
          <w:rtl/>
        </w:rPr>
        <w:t xml:space="preserve"> </w:t>
      </w:r>
      <w:r w:rsidR="001A48A2">
        <w:rPr>
          <w:rFonts w:cs="Times New Roman" w:hint="cs"/>
          <w:rtl/>
          <w:lang w:bidi="he-IL"/>
        </w:rPr>
        <w:t>הציטוט מתוך</w:t>
      </w:r>
      <w:r>
        <w:rPr>
          <w:rFonts w:cs="Times New Roman" w:hint="cs"/>
          <w:rtl/>
          <w:lang w:bidi="he-IL"/>
        </w:rPr>
        <w:t xml:space="preserve"> עדותו של ד"ר עזריאל נאמן</w:t>
      </w:r>
      <w:r w:rsidR="001A48A2">
        <w:rPr>
          <w:rFonts w:cs="Times New Roman" w:hint="cs"/>
          <w:rtl/>
          <w:lang w:bidi="he-IL"/>
        </w:rPr>
        <w:t xml:space="preserve"> </w:t>
      </w:r>
      <w:proofErr w:type="spellStart"/>
      <w:r w:rsidR="001A48A2" w:rsidRPr="001A48A2">
        <w:rPr>
          <w:rFonts w:cs="Times New Roman"/>
          <w:lang w:bidi="he-IL"/>
        </w:rPr>
        <w:t>Azriel</w:t>
      </w:r>
      <w:proofErr w:type="spellEnd"/>
      <w:r w:rsidR="001A48A2" w:rsidRPr="001A48A2">
        <w:rPr>
          <w:rFonts w:cs="Times New Roman"/>
          <w:lang w:bidi="he-IL"/>
        </w:rPr>
        <w:t xml:space="preserve"> </w:t>
      </w:r>
      <w:proofErr w:type="spellStart"/>
      <w:r w:rsidR="001A48A2" w:rsidRPr="001A48A2">
        <w:rPr>
          <w:rFonts w:cs="Times New Roman"/>
          <w:lang w:bidi="he-IL"/>
        </w:rPr>
        <w:t>Neeman</w:t>
      </w:r>
      <w:proofErr w:type="spellEnd"/>
      <w:r>
        <w:rPr>
          <w:rFonts w:cs="Times New Roman" w:hint="cs"/>
          <w:rtl/>
          <w:lang w:bidi="he-IL"/>
        </w:rPr>
        <w:t xml:space="preserve">, ראו גם עדותה של רות אליעז. </w:t>
      </w:r>
    </w:p>
  </w:footnote>
  <w:footnote w:id="28">
    <w:p w:rsidR="00D72BFC" w:rsidRDefault="00D72BFC" w:rsidP="003D363A">
      <w:pPr>
        <w:pStyle w:val="FootnoteText"/>
        <w:rPr>
          <w:rtl/>
          <w:lang w:bidi="he-IL"/>
        </w:rPr>
      </w:pPr>
      <w:r>
        <w:rPr>
          <w:rStyle w:val="FootnoteReference"/>
        </w:rPr>
        <w:footnoteRef/>
      </w:r>
      <w:r>
        <w:rPr>
          <w:rFonts w:cs="Times New Roman"/>
          <w:rtl/>
        </w:rPr>
        <w:t xml:space="preserve"> </w:t>
      </w:r>
      <w:r w:rsidR="004D05F9">
        <w:rPr>
          <w:rFonts w:hint="cs"/>
          <w:rtl/>
          <w:lang w:bidi="he-IL"/>
        </w:rPr>
        <w:t xml:space="preserve">הציטוט לקוח </w:t>
      </w:r>
      <w:r>
        <w:rPr>
          <w:rFonts w:hint="cs"/>
          <w:rtl/>
          <w:lang w:bidi="he-IL"/>
        </w:rPr>
        <w:t>מתוך עדותה של גב' סרס</w:t>
      </w:r>
    </w:p>
  </w:footnote>
  <w:footnote w:id="29">
    <w:p w:rsidR="00D72BFC" w:rsidRDefault="00D72BFC" w:rsidP="00D8290A">
      <w:pPr>
        <w:pStyle w:val="FootnoteText"/>
        <w:rPr>
          <w:rtl/>
          <w:lang w:bidi="he-IL"/>
        </w:rPr>
      </w:pPr>
      <w:r>
        <w:rPr>
          <w:rStyle w:val="FootnoteReference"/>
        </w:rPr>
        <w:footnoteRef/>
      </w:r>
      <w:r>
        <w:rPr>
          <w:rtl/>
        </w:rPr>
        <w:t xml:space="preserve"> </w:t>
      </w:r>
      <w:r>
        <w:rPr>
          <w:rFonts w:hint="cs"/>
          <w:rtl/>
          <w:lang w:bidi="he-IL"/>
        </w:rPr>
        <w:t>שגב</w:t>
      </w:r>
      <w:r>
        <w:rPr>
          <w:rFonts w:hint="cs"/>
          <w:rtl/>
        </w:rPr>
        <w:t xml:space="preserve">, </w:t>
      </w:r>
      <w:proofErr w:type="spellStart"/>
      <w:r>
        <w:rPr>
          <w:rFonts w:hint="cs"/>
          <w:rtl/>
          <w:lang w:bidi="he-IL"/>
        </w:rPr>
        <w:t>ויזנטל</w:t>
      </w:r>
      <w:proofErr w:type="spellEnd"/>
      <w:r>
        <w:rPr>
          <w:rFonts w:hint="cs"/>
          <w:rtl/>
        </w:rPr>
        <w:t xml:space="preserve">, </w:t>
      </w:r>
      <w:proofErr w:type="spellStart"/>
      <w:r>
        <w:rPr>
          <w:rFonts w:hint="cs"/>
          <w:rtl/>
          <w:lang w:bidi="he-IL"/>
        </w:rPr>
        <w:t>בעמ</w:t>
      </w:r>
      <w:proofErr w:type="spellEnd"/>
      <w:r>
        <w:rPr>
          <w:rFonts w:hint="cs"/>
          <w:rtl/>
        </w:rPr>
        <w:t>' 356</w:t>
      </w:r>
      <w:r>
        <w:rPr>
          <w:rFonts w:hint="cs"/>
          <w:rtl/>
          <w:lang w:bidi="he-IL"/>
        </w:rPr>
        <w:t xml:space="preserve">; </w:t>
      </w:r>
      <w:proofErr w:type="spellStart"/>
      <w:r>
        <w:rPr>
          <w:lang w:bidi="he-IL"/>
        </w:rPr>
        <w:t>verhallen</w:t>
      </w:r>
      <w:proofErr w:type="spellEnd"/>
      <w:r>
        <w:rPr>
          <w:lang w:bidi="he-IL"/>
        </w:rPr>
        <w:t xml:space="preserve"> </w:t>
      </w:r>
      <w:proofErr w:type="spellStart"/>
      <w:r>
        <w:rPr>
          <w:lang w:bidi="he-IL"/>
        </w:rPr>
        <w:t>nie</w:t>
      </w:r>
      <w:proofErr w:type="spellEnd"/>
      <w:r>
        <w:rPr>
          <w:lang w:bidi="he-IL"/>
        </w:rPr>
        <w:t xml:space="preserve"> die </w:t>
      </w:r>
      <w:proofErr w:type="spellStart"/>
      <w:r>
        <w:rPr>
          <w:lang w:bidi="he-IL"/>
        </w:rPr>
        <w:t>Schreie</w:t>
      </w:r>
      <w:proofErr w:type="spellEnd"/>
      <w:r>
        <w:rPr>
          <w:lang w:bidi="he-IL"/>
        </w:rPr>
        <w:t>" Der Stern, 1985, no. 18 “, Davis Helen</w:t>
      </w:r>
      <w:r>
        <w:rPr>
          <w:rtl/>
          <w:lang w:bidi="he-IL"/>
        </w:rPr>
        <w:t>מזכירה את ורה אלכסנדר ומשה עופר</w:t>
      </w:r>
    </w:p>
    <w:p w:rsidR="00D72BFC" w:rsidRDefault="00D72BFC" w:rsidP="00D8290A">
      <w:pPr>
        <w:pStyle w:val="FootnoteText"/>
        <w:rPr>
          <w:lang w:bidi="he-IL"/>
        </w:rPr>
      </w:pPr>
      <w:r>
        <w:rPr>
          <w:lang w:bidi="he-IL"/>
        </w:rPr>
        <w:t>Jerusalem Post, February 1, 1985</w:t>
      </w:r>
    </w:p>
  </w:footnote>
  <w:footnote w:id="30">
    <w:p w:rsidR="004D3692" w:rsidRDefault="004D3692">
      <w:pPr>
        <w:pStyle w:val="FootnoteText"/>
        <w:rPr>
          <w:lang w:bidi="he-IL"/>
        </w:rPr>
      </w:pPr>
      <w:r>
        <w:rPr>
          <w:rStyle w:val="FootnoteReference"/>
        </w:rPr>
        <w:footnoteRef/>
      </w:r>
      <w:r>
        <w:rPr>
          <w:rFonts w:cs="Times New Roman"/>
          <w:rtl/>
        </w:rPr>
        <w:t xml:space="preserve"> </w:t>
      </w:r>
      <w:r>
        <w:rPr>
          <w:rFonts w:cs="Times New Roman" w:hint="cs"/>
          <w:rtl/>
          <w:lang w:bidi="he-IL"/>
        </w:rPr>
        <w:t xml:space="preserve">לספרה האוטוביוגרפי ראו: רות אליעז, רוח חיים (ספריית פועלים, 1990). </w:t>
      </w:r>
    </w:p>
  </w:footnote>
  <w:footnote w:id="31">
    <w:p w:rsidR="004D3692" w:rsidRPr="004D3692" w:rsidRDefault="004D3692">
      <w:pPr>
        <w:pStyle w:val="FootnoteText"/>
        <w:rPr>
          <w:rtl/>
          <w:lang w:bidi="he-IL"/>
        </w:rPr>
      </w:pPr>
      <w:r>
        <w:rPr>
          <w:rStyle w:val="FootnoteReference"/>
        </w:rPr>
        <w:footnoteRef/>
      </w:r>
      <w:r>
        <w:rPr>
          <w:rFonts w:cs="Times New Roman"/>
          <w:rtl/>
        </w:rPr>
        <w:t xml:space="preserve"> </w:t>
      </w:r>
      <w:r>
        <w:rPr>
          <w:rFonts w:hint="cs"/>
          <w:rtl/>
          <w:lang w:bidi="he-IL"/>
        </w:rPr>
        <w:t xml:space="preserve">לנאום שנשאה באותו מעמד, ראו באתר "יד ושם": </w:t>
      </w:r>
      <w:r w:rsidRPr="004D3692">
        <w:rPr>
          <w:lang w:bidi="he-IL"/>
        </w:rPr>
        <w:t>https://www.yadvashem.org/he/remembrance/archive/address-on-behalf-of-the-survivors/ruth-elias.html</w:t>
      </w:r>
    </w:p>
  </w:footnote>
  <w:footnote w:id="32">
    <w:p w:rsidR="00D72BFC" w:rsidRPr="00411ECA" w:rsidRDefault="00D72BFC" w:rsidP="00EA6AA8">
      <w:pPr>
        <w:pStyle w:val="FootnoteText"/>
        <w:rPr>
          <w:rtl/>
        </w:rPr>
      </w:pPr>
      <w:r w:rsidRPr="00411ECA">
        <w:rPr>
          <w:rStyle w:val="FootnoteReference"/>
        </w:rPr>
        <w:footnoteRef/>
      </w:r>
      <w:r w:rsidRPr="00411ECA">
        <w:rPr>
          <w:rtl/>
        </w:rPr>
        <w:t xml:space="preserve"> </w:t>
      </w:r>
      <w:r w:rsidRPr="00411ECA">
        <w:rPr>
          <w:rtl/>
          <w:lang w:bidi="he-IL"/>
        </w:rPr>
        <w:t xml:space="preserve">להרחבה בנושא </w:t>
      </w:r>
      <w:r w:rsidRPr="00411ECA">
        <w:rPr>
          <w:rtl/>
        </w:rPr>
        <w:t>"</w:t>
      </w:r>
      <w:r w:rsidRPr="00411ECA">
        <w:rPr>
          <w:rtl/>
          <w:lang w:bidi="he-IL"/>
        </w:rPr>
        <w:t>העד המקצועי</w:t>
      </w:r>
      <w:r w:rsidRPr="00411ECA">
        <w:rPr>
          <w:rtl/>
        </w:rPr>
        <w:t xml:space="preserve">" </w:t>
      </w:r>
      <w:r w:rsidRPr="00411ECA">
        <w:rPr>
          <w:rtl/>
          <w:lang w:bidi="he-IL"/>
        </w:rPr>
        <w:t xml:space="preserve">ראו </w:t>
      </w:r>
      <w:r w:rsidRPr="00411ECA">
        <w:t xml:space="preserve">Anna </w:t>
      </w:r>
      <w:proofErr w:type="spellStart"/>
      <w:r w:rsidRPr="00411ECA">
        <w:t>Sheftel</w:t>
      </w:r>
      <w:proofErr w:type="spellEnd"/>
      <w:r w:rsidRPr="00411ECA">
        <w:t xml:space="preserve"> and Stacey </w:t>
      </w:r>
      <w:proofErr w:type="spellStart"/>
      <w:r w:rsidRPr="00411ECA">
        <w:t>Zembrzycki</w:t>
      </w:r>
      <w:proofErr w:type="spellEnd"/>
      <w:r w:rsidRPr="00411ECA">
        <w:t xml:space="preserve">, "Professionalizing Survival: The Politics of Public Memory Among Holocaust Survivor-educators in Montreal", </w:t>
      </w:r>
      <w:r w:rsidRPr="00411ECA">
        <w:rPr>
          <w:i/>
          <w:iCs/>
        </w:rPr>
        <w:t xml:space="preserve">Journal of Modern Jewish Studies </w:t>
      </w:r>
      <w:r w:rsidRPr="00411ECA">
        <w:t>12(2) (2013), pp. 210–231</w:t>
      </w:r>
      <w:r w:rsidRPr="00411ECA">
        <w:rPr>
          <w:rtl/>
          <w:lang w:bidi="he-IL"/>
        </w:rPr>
        <w:t>.</w:t>
      </w:r>
      <w:r w:rsidRPr="00411ECA">
        <w:t xml:space="preserve"> </w:t>
      </w:r>
    </w:p>
  </w:footnote>
  <w:footnote w:id="33">
    <w:p w:rsidR="00D72BFC" w:rsidRDefault="00D72BFC">
      <w:pPr>
        <w:pStyle w:val="FootnoteText"/>
        <w:rPr>
          <w:lang w:bidi="he-IL"/>
        </w:rPr>
      </w:pPr>
      <w:r>
        <w:rPr>
          <w:rStyle w:val="FootnoteReference"/>
        </w:rPr>
        <w:footnoteRef/>
      </w:r>
      <w:r>
        <w:rPr>
          <w:rFonts w:cs="Times New Roman"/>
          <w:rtl/>
        </w:rPr>
        <w:t xml:space="preserve"> </w:t>
      </w:r>
      <w:r>
        <w:rPr>
          <w:rFonts w:cs="Times New Roman" w:hint="cs"/>
          <w:rtl/>
          <w:lang w:bidi="he-IL"/>
        </w:rPr>
        <w:t xml:space="preserve">שמות א', </w:t>
      </w:r>
      <w:proofErr w:type="spellStart"/>
      <w:r>
        <w:rPr>
          <w:rFonts w:cs="Times New Roman" w:hint="cs"/>
          <w:rtl/>
          <w:lang w:bidi="he-IL"/>
        </w:rPr>
        <w:t>יב</w:t>
      </w:r>
      <w:proofErr w:type="spellEnd"/>
      <w:r>
        <w:rPr>
          <w:rFonts w:cs="Times New Roman" w:hint="cs"/>
          <w:rtl/>
          <w:lang w:bidi="he-IL"/>
        </w:rPr>
        <w:t>.</w:t>
      </w:r>
    </w:p>
  </w:footnote>
  <w:footnote w:id="34">
    <w:p w:rsidR="005E5F6A" w:rsidRDefault="005E5F6A" w:rsidP="001423DB">
      <w:pPr>
        <w:pStyle w:val="FootnoteText"/>
        <w:rPr>
          <w:rtl/>
          <w:lang w:bidi="he-IL"/>
        </w:rPr>
      </w:pPr>
      <w:r>
        <w:rPr>
          <w:rStyle w:val="FootnoteReference"/>
        </w:rPr>
        <w:footnoteRef/>
      </w:r>
      <w:r>
        <w:rPr>
          <w:rFonts w:cs="Times New Roman"/>
          <w:rtl/>
        </w:rPr>
        <w:t xml:space="preserve"> </w:t>
      </w:r>
      <w:r>
        <w:rPr>
          <w:rFonts w:cs="Times New Roman" w:hint="cs"/>
          <w:rtl/>
          <w:lang w:bidi="he-IL"/>
        </w:rPr>
        <w:t>לדיון במקומם של ביטויי רגשות במסגרת עדויות במשפטים של פשעי זוועה ואלימות המונית (</w:t>
      </w:r>
      <w:r>
        <w:rPr>
          <w:rFonts w:cs="Times New Roman"/>
          <w:lang w:bidi="he-IL"/>
        </w:rPr>
        <w:t>mass atrocity</w:t>
      </w:r>
      <w:r>
        <w:rPr>
          <w:rFonts w:cs="Times New Roman" w:hint="cs"/>
          <w:rtl/>
          <w:lang w:bidi="he-IL"/>
        </w:rPr>
        <w:t xml:space="preserve">), ראו: </w:t>
      </w:r>
      <w:r w:rsidR="008103DD">
        <w:rPr>
          <w:rFonts w:cs="Times New Roman"/>
          <w:lang w:bidi="he-IL"/>
        </w:rPr>
        <w:t xml:space="preserve">Leora </w:t>
      </w:r>
      <w:proofErr w:type="spellStart"/>
      <w:r w:rsidR="008103DD">
        <w:rPr>
          <w:rFonts w:cs="Times New Roman"/>
          <w:lang w:bidi="he-IL"/>
        </w:rPr>
        <w:t>Bilsky</w:t>
      </w:r>
      <w:proofErr w:type="spellEnd"/>
      <w:r w:rsidR="008103DD">
        <w:rPr>
          <w:rFonts w:cs="Times New Roman"/>
          <w:lang w:bidi="he-IL"/>
        </w:rPr>
        <w:t xml:space="preserve">, Beyond Vengeance and Forgiveness: Victims' Testimonies in the Eichmann Trial and South Africa's Truth and </w:t>
      </w:r>
      <w:r w:rsidR="001423DB">
        <w:rPr>
          <w:rFonts w:cs="Times New Roman"/>
          <w:lang w:bidi="he-IL"/>
        </w:rPr>
        <w:t>Reconciliation Committees", in:</w:t>
      </w:r>
      <w:r w:rsidR="001423DB" w:rsidRPr="001423DB">
        <w:t xml:space="preserve"> </w:t>
      </w:r>
      <w:r w:rsidR="001423DB" w:rsidRPr="001423DB">
        <w:rPr>
          <w:rFonts w:cs="Times New Roman"/>
          <w:lang w:bidi="he-IL"/>
        </w:rPr>
        <w:t>Law &amp; Emotions</w:t>
      </w:r>
      <w:r w:rsidR="001423DB">
        <w:rPr>
          <w:rFonts w:cs="Times New Roman"/>
          <w:lang w:bidi="he-IL"/>
        </w:rPr>
        <w:t xml:space="preserve"> (</w:t>
      </w:r>
      <w:r w:rsidR="001423DB" w:rsidRPr="001423DB">
        <w:rPr>
          <w:rFonts w:cs="Times New Roman"/>
          <w:lang w:bidi="he-IL"/>
        </w:rPr>
        <w:t xml:space="preserve">Orit </w:t>
      </w:r>
      <w:proofErr w:type="spellStart"/>
      <w:r w:rsidR="001423DB" w:rsidRPr="001423DB">
        <w:rPr>
          <w:rFonts w:cs="Times New Roman"/>
          <w:lang w:bidi="he-IL"/>
        </w:rPr>
        <w:t>Rozin</w:t>
      </w:r>
      <w:proofErr w:type="spellEnd"/>
      <w:r w:rsidR="001423DB" w:rsidRPr="001423DB">
        <w:rPr>
          <w:rFonts w:cs="Times New Roman"/>
          <w:lang w:bidi="he-IL"/>
        </w:rPr>
        <w:t xml:space="preserve">, Yoram </w:t>
      </w:r>
      <w:proofErr w:type="spellStart"/>
      <w:r w:rsidR="001423DB" w:rsidRPr="001423DB">
        <w:rPr>
          <w:rFonts w:cs="Times New Roman"/>
          <w:lang w:bidi="he-IL"/>
        </w:rPr>
        <w:t>Shachar</w:t>
      </w:r>
      <w:proofErr w:type="spellEnd"/>
      <w:r w:rsidR="001423DB">
        <w:rPr>
          <w:rFonts w:cs="Times New Roman"/>
          <w:lang w:bidi="he-IL"/>
        </w:rPr>
        <w:t xml:space="preserve">, eds., 2020) 335-81. </w:t>
      </w:r>
    </w:p>
  </w:footnote>
  <w:footnote w:id="35">
    <w:p w:rsidR="00DF191A" w:rsidRPr="001423DB" w:rsidRDefault="00DF191A" w:rsidP="001423DB">
      <w:pPr>
        <w:pStyle w:val="FootnoteText"/>
        <w:rPr>
          <w:rtl/>
          <w:lang w:bidi="he-IL"/>
        </w:rPr>
      </w:pPr>
      <w:r>
        <w:rPr>
          <w:rStyle w:val="FootnoteReference"/>
        </w:rPr>
        <w:footnoteRef/>
      </w:r>
      <w:r>
        <w:rPr>
          <w:rFonts w:cs="Times New Roman"/>
          <w:rtl/>
        </w:rPr>
        <w:t xml:space="preserve"> </w:t>
      </w:r>
      <w:r>
        <w:rPr>
          <w:rFonts w:hint="cs"/>
          <w:rtl/>
          <w:lang w:bidi="he-IL"/>
        </w:rPr>
        <w:t xml:space="preserve">לשם השוואה, יש מי שטוען כי משפט אייכמן, שנערך למעלה מעשרים שנה קודם לכן, </w:t>
      </w:r>
      <w:r w:rsidR="0063245C">
        <w:rPr>
          <w:rFonts w:hint="cs"/>
          <w:rtl/>
          <w:lang w:bidi="he-IL"/>
        </w:rPr>
        <w:t xml:space="preserve">הטרים הליכים של צדק מעברי, משום שהעלה על נס את מעמדו של הקרבן. </w:t>
      </w:r>
      <w:r>
        <w:rPr>
          <w:rFonts w:hint="cs"/>
          <w:rtl/>
          <w:lang w:bidi="he-IL"/>
        </w:rPr>
        <w:t xml:space="preserve">ראו: </w:t>
      </w:r>
      <w:proofErr w:type="spellStart"/>
      <w:r>
        <w:rPr>
          <w:lang w:bidi="he-IL"/>
        </w:rPr>
        <w:t>Sonali</w:t>
      </w:r>
      <w:proofErr w:type="spellEnd"/>
      <w:r w:rsidRPr="00900A59">
        <w:t xml:space="preserve"> </w:t>
      </w:r>
      <w:proofErr w:type="spellStart"/>
      <w:r>
        <w:rPr>
          <w:lang w:bidi="he-IL"/>
        </w:rPr>
        <w:t>Chakravarti</w:t>
      </w:r>
      <w:proofErr w:type="spellEnd"/>
      <w:r>
        <w:rPr>
          <w:lang w:bidi="he-IL"/>
        </w:rPr>
        <w:t xml:space="preserve"> "</w:t>
      </w:r>
      <w:r w:rsidRPr="000505E3">
        <w:rPr>
          <w:lang w:bidi="he-IL"/>
        </w:rPr>
        <w:t>Sing the rage: Listening to anger after mass violen</w:t>
      </w:r>
      <w:r>
        <w:rPr>
          <w:lang w:bidi="he-IL"/>
        </w:rPr>
        <w:t>ce 49</w:t>
      </w:r>
      <w:r w:rsidRPr="000505E3">
        <w:rPr>
          <w:lang w:bidi="he-IL"/>
        </w:rPr>
        <w:t xml:space="preserve"> </w:t>
      </w:r>
      <w:r>
        <w:rPr>
          <w:lang w:bidi="he-IL"/>
        </w:rPr>
        <w:t>(</w:t>
      </w:r>
      <w:r w:rsidRPr="000505E3">
        <w:rPr>
          <w:lang w:bidi="he-IL"/>
        </w:rPr>
        <w:t>University of Chicago Press,</w:t>
      </w:r>
      <w:r>
        <w:rPr>
          <w:lang w:bidi="he-IL"/>
        </w:rPr>
        <w:t xml:space="preserve"> 2014);</w:t>
      </w:r>
      <w:r w:rsidR="0063245C">
        <w:rPr>
          <w:rFonts w:hint="cs"/>
          <w:rtl/>
          <w:lang w:bidi="he-IL"/>
        </w:rPr>
        <w:t xml:space="preserve">; </w:t>
      </w:r>
      <w:proofErr w:type="spellStart"/>
      <w:r w:rsidR="001423DB" w:rsidRPr="001423DB">
        <w:rPr>
          <w:lang w:bidi="he-IL"/>
        </w:rPr>
        <w:t>Bilsky</w:t>
      </w:r>
      <w:proofErr w:type="spellEnd"/>
      <w:r w:rsidR="001423DB" w:rsidRPr="001423DB">
        <w:rPr>
          <w:lang w:bidi="he-IL"/>
        </w:rPr>
        <w:t>, Beyond Vengeance and Forgiveness</w:t>
      </w:r>
      <w:r w:rsidR="001423DB">
        <w:rPr>
          <w:lang w:bidi="he-IL"/>
        </w:rPr>
        <w:t>, p.63</w:t>
      </w:r>
      <w:r w:rsidR="001423DB">
        <w:rPr>
          <w:rFonts w:hint="cs"/>
          <w:rtl/>
          <w:lang w:bidi="he-IL"/>
        </w:rPr>
        <w:t>.</w:t>
      </w:r>
    </w:p>
  </w:footnote>
  <w:footnote w:id="36">
    <w:p w:rsidR="00D5461E" w:rsidRDefault="00D5461E" w:rsidP="00131288">
      <w:pPr>
        <w:pStyle w:val="FootnoteText"/>
        <w:rPr>
          <w:lang w:bidi="he-IL"/>
        </w:rPr>
      </w:pPr>
      <w:r>
        <w:rPr>
          <w:rStyle w:val="FootnoteReference"/>
        </w:rPr>
        <w:footnoteRef/>
      </w:r>
      <w:r>
        <w:rPr>
          <w:rFonts w:cs="Times New Roman"/>
          <w:rtl/>
        </w:rPr>
        <w:t xml:space="preserve"> </w:t>
      </w:r>
      <w:r>
        <w:rPr>
          <w:lang w:bidi="he-IL"/>
        </w:rPr>
        <w:t>Sara Kendall and Sarah Nouwen</w:t>
      </w:r>
      <w:r w:rsidRPr="009D458C">
        <w:rPr>
          <w:lang w:bidi="he-IL"/>
        </w:rPr>
        <w:t xml:space="preserve"> "Representational practices at the International Criminal Court: The gap between </w:t>
      </w:r>
      <w:proofErr w:type="spellStart"/>
      <w:r w:rsidRPr="009D458C">
        <w:rPr>
          <w:lang w:bidi="he-IL"/>
        </w:rPr>
        <w:t>juridified</w:t>
      </w:r>
      <w:proofErr w:type="spellEnd"/>
      <w:r w:rsidRPr="009D458C">
        <w:rPr>
          <w:lang w:bidi="he-IL"/>
        </w:rPr>
        <w:t xml:space="preserve"> </w:t>
      </w:r>
      <w:r>
        <w:rPr>
          <w:lang w:bidi="he-IL"/>
        </w:rPr>
        <w:t>and abstract victimhood</w:t>
      </w:r>
      <w:r w:rsidRPr="009D458C">
        <w:rPr>
          <w:lang w:bidi="he-IL"/>
        </w:rPr>
        <w:t xml:space="preserve">" </w:t>
      </w:r>
      <w:r>
        <w:rPr>
          <w:lang w:bidi="he-IL"/>
        </w:rPr>
        <w:t>Law &amp; Contemp. Probs. 76,</w:t>
      </w:r>
      <w:r w:rsidRPr="009D458C">
        <w:rPr>
          <w:lang w:bidi="he-IL"/>
        </w:rPr>
        <w:t xml:space="preserve"> 235</w:t>
      </w:r>
      <w:r>
        <w:rPr>
          <w:lang w:bidi="he-IL"/>
        </w:rPr>
        <w:t>, 238-262 (2013)</w:t>
      </w:r>
      <w:r w:rsidR="00131288">
        <w:rPr>
          <w:lang w:bidi="he-IL"/>
        </w:rPr>
        <w:t>;</w:t>
      </w:r>
      <w:r w:rsidRPr="00D5461E">
        <w:rPr>
          <w:lang w:bidi="he-IL"/>
        </w:rPr>
        <w:t xml:space="preserve">Leora </w:t>
      </w:r>
      <w:proofErr w:type="spellStart"/>
      <w:r w:rsidRPr="00D5461E">
        <w:rPr>
          <w:lang w:bidi="he-IL"/>
        </w:rPr>
        <w:t>Bilsky</w:t>
      </w:r>
      <w:proofErr w:type="spellEnd"/>
      <w:r w:rsidRPr="00D5461E">
        <w:rPr>
          <w:lang w:bidi="he-IL"/>
        </w:rPr>
        <w:t xml:space="preserve"> "Transformative Justice: Israeli identity on trial 114 (University of Michigan Press, 2009)</w:t>
      </w:r>
      <w:r w:rsidR="0063245C">
        <w:rPr>
          <w:rtl/>
          <w:lang w:bidi="he-IL"/>
        </w:rPr>
        <w:t xml:space="preserve">. </w:t>
      </w:r>
    </w:p>
  </w:footnote>
  <w:footnote w:id="37">
    <w:p w:rsidR="004913CD" w:rsidRPr="0017244E" w:rsidRDefault="004913CD" w:rsidP="0017244E">
      <w:pPr>
        <w:pStyle w:val="FootnoteText"/>
        <w:rPr>
          <w:rtl/>
          <w:lang w:bidi="he-IL"/>
        </w:rPr>
      </w:pPr>
      <w:r>
        <w:rPr>
          <w:rStyle w:val="FootnoteReference"/>
        </w:rPr>
        <w:footnoteRef/>
      </w:r>
      <w:r>
        <w:rPr>
          <w:rFonts w:cs="Times New Roman"/>
          <w:rtl/>
        </w:rPr>
        <w:t xml:space="preserve"> </w:t>
      </w:r>
      <w:proofErr w:type="spellStart"/>
      <w:r w:rsidR="0017244E" w:rsidRPr="0017244E">
        <w:rPr>
          <w:rFonts w:cs="Times New Roman"/>
          <w:lang w:bidi="he-IL"/>
        </w:rPr>
        <w:t>Bilsky</w:t>
      </w:r>
      <w:proofErr w:type="spellEnd"/>
      <w:r w:rsidR="0017244E" w:rsidRPr="0017244E">
        <w:rPr>
          <w:rFonts w:cs="Times New Roman"/>
          <w:lang w:bidi="he-IL"/>
        </w:rPr>
        <w:t>, Beyond Vengeance and Forgiveness</w:t>
      </w:r>
      <w:r w:rsidR="0017244E">
        <w:rPr>
          <w:lang w:bidi="he-IL"/>
        </w:rPr>
        <w:t>, 65-63</w:t>
      </w:r>
    </w:p>
  </w:footnote>
  <w:footnote w:id="38">
    <w:p w:rsidR="00A952A2" w:rsidRDefault="00A952A2" w:rsidP="0017244E">
      <w:pPr>
        <w:pStyle w:val="FootnoteText"/>
        <w:rPr>
          <w:rtl/>
          <w:lang w:bidi="he-IL"/>
        </w:rPr>
      </w:pPr>
      <w:r>
        <w:rPr>
          <w:rStyle w:val="FootnoteReference"/>
        </w:rPr>
        <w:footnoteRef/>
      </w:r>
      <w:r>
        <w:rPr>
          <w:rFonts w:cs="Times New Roman"/>
          <w:rtl/>
        </w:rPr>
        <w:t xml:space="preserve"> </w:t>
      </w:r>
      <w:r w:rsidR="0017244E">
        <w:rPr>
          <w:rFonts w:cs="Times New Roman"/>
          <w:lang w:bidi="he-IL"/>
        </w:rPr>
        <w:t>Ibid, p. 81-80</w:t>
      </w:r>
    </w:p>
  </w:footnote>
  <w:footnote w:id="39">
    <w:p w:rsidR="00FB512A" w:rsidRDefault="00FB512A" w:rsidP="00131288">
      <w:pPr>
        <w:pStyle w:val="FootnoteText"/>
        <w:rPr>
          <w:lang w:bidi="he-IL"/>
        </w:rPr>
      </w:pPr>
      <w:r>
        <w:rPr>
          <w:rStyle w:val="FootnoteReference"/>
        </w:rPr>
        <w:footnoteRef/>
      </w:r>
      <w:r>
        <w:rPr>
          <w:rFonts w:cs="Times New Roman"/>
          <w:rtl/>
        </w:rPr>
        <w:t xml:space="preserve"> </w:t>
      </w:r>
      <w:r w:rsidR="00F75910" w:rsidRPr="005A4E54">
        <w:rPr>
          <w:smallCaps/>
        </w:rPr>
        <w:t xml:space="preserve">Lawrence Douglas, the memory of judgment: Making law and history in the trials of the Holocaust </w:t>
      </w:r>
      <w:r w:rsidR="00F75910" w:rsidRPr="005A4E54">
        <w:t>3, 258 (</w:t>
      </w:r>
      <w:r w:rsidR="00F75910">
        <w:t>2001</w:t>
      </w:r>
      <w:r w:rsidR="00F75910" w:rsidRPr="005A4E54">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4A"/>
    <w:rsid w:val="00002F17"/>
    <w:rsid w:val="00042259"/>
    <w:rsid w:val="000505E3"/>
    <w:rsid w:val="00055FEE"/>
    <w:rsid w:val="0007071B"/>
    <w:rsid w:val="000A0AE8"/>
    <w:rsid w:val="000D5E85"/>
    <w:rsid w:val="00115668"/>
    <w:rsid w:val="00124CA7"/>
    <w:rsid w:val="00131288"/>
    <w:rsid w:val="001423DB"/>
    <w:rsid w:val="00150D0C"/>
    <w:rsid w:val="00167D51"/>
    <w:rsid w:val="0017244E"/>
    <w:rsid w:val="00174F5C"/>
    <w:rsid w:val="001771A0"/>
    <w:rsid w:val="00180D9D"/>
    <w:rsid w:val="00187719"/>
    <w:rsid w:val="00187F3B"/>
    <w:rsid w:val="001902C9"/>
    <w:rsid w:val="0019332C"/>
    <w:rsid w:val="00195939"/>
    <w:rsid w:val="001A1987"/>
    <w:rsid w:val="001A48A2"/>
    <w:rsid w:val="001B6832"/>
    <w:rsid w:val="001B72F4"/>
    <w:rsid w:val="001C10E3"/>
    <w:rsid w:val="001C1223"/>
    <w:rsid w:val="001C6309"/>
    <w:rsid w:val="001D587A"/>
    <w:rsid w:val="001F08B2"/>
    <w:rsid w:val="00201683"/>
    <w:rsid w:val="0020736A"/>
    <w:rsid w:val="002134BF"/>
    <w:rsid w:val="00214F22"/>
    <w:rsid w:val="00216CF5"/>
    <w:rsid w:val="00240BD0"/>
    <w:rsid w:val="00241090"/>
    <w:rsid w:val="0025212E"/>
    <w:rsid w:val="00256685"/>
    <w:rsid w:val="00267770"/>
    <w:rsid w:val="002C24F7"/>
    <w:rsid w:val="002C2614"/>
    <w:rsid w:val="002C5C8B"/>
    <w:rsid w:val="002F3255"/>
    <w:rsid w:val="002F61CA"/>
    <w:rsid w:val="00302A2D"/>
    <w:rsid w:val="00312C95"/>
    <w:rsid w:val="00317B9D"/>
    <w:rsid w:val="0032172B"/>
    <w:rsid w:val="00321AD8"/>
    <w:rsid w:val="003301E4"/>
    <w:rsid w:val="00330F28"/>
    <w:rsid w:val="003374E4"/>
    <w:rsid w:val="00341EAE"/>
    <w:rsid w:val="00352A62"/>
    <w:rsid w:val="00352C4A"/>
    <w:rsid w:val="00360210"/>
    <w:rsid w:val="00360E1D"/>
    <w:rsid w:val="00365475"/>
    <w:rsid w:val="0036798C"/>
    <w:rsid w:val="00375FD0"/>
    <w:rsid w:val="00382E26"/>
    <w:rsid w:val="00387689"/>
    <w:rsid w:val="003A2B87"/>
    <w:rsid w:val="003C14A3"/>
    <w:rsid w:val="003D363A"/>
    <w:rsid w:val="003E220F"/>
    <w:rsid w:val="003E656B"/>
    <w:rsid w:val="003F24C0"/>
    <w:rsid w:val="00433B44"/>
    <w:rsid w:val="00434EAB"/>
    <w:rsid w:val="00440718"/>
    <w:rsid w:val="00453AE8"/>
    <w:rsid w:val="00471B9C"/>
    <w:rsid w:val="00477E70"/>
    <w:rsid w:val="00490ECF"/>
    <w:rsid w:val="004913CD"/>
    <w:rsid w:val="004B3F32"/>
    <w:rsid w:val="004B798F"/>
    <w:rsid w:val="004B7B82"/>
    <w:rsid w:val="004B7CC0"/>
    <w:rsid w:val="004C7336"/>
    <w:rsid w:val="004D05F9"/>
    <w:rsid w:val="004D3692"/>
    <w:rsid w:val="004E6120"/>
    <w:rsid w:val="00502109"/>
    <w:rsid w:val="00502900"/>
    <w:rsid w:val="00511C54"/>
    <w:rsid w:val="00525FB1"/>
    <w:rsid w:val="0053258A"/>
    <w:rsid w:val="00542901"/>
    <w:rsid w:val="00570244"/>
    <w:rsid w:val="00572266"/>
    <w:rsid w:val="005751B7"/>
    <w:rsid w:val="005822EE"/>
    <w:rsid w:val="00591F12"/>
    <w:rsid w:val="00597E98"/>
    <w:rsid w:val="005A52C2"/>
    <w:rsid w:val="005B1E48"/>
    <w:rsid w:val="005D4B55"/>
    <w:rsid w:val="005D747E"/>
    <w:rsid w:val="005E4EA2"/>
    <w:rsid w:val="005E5F6A"/>
    <w:rsid w:val="005F4F77"/>
    <w:rsid w:val="00601DCB"/>
    <w:rsid w:val="00624DB1"/>
    <w:rsid w:val="0063245C"/>
    <w:rsid w:val="0064037A"/>
    <w:rsid w:val="00641AA2"/>
    <w:rsid w:val="00642C0B"/>
    <w:rsid w:val="00672022"/>
    <w:rsid w:val="006922D7"/>
    <w:rsid w:val="006A7576"/>
    <w:rsid w:val="006B2AAD"/>
    <w:rsid w:val="006B32FB"/>
    <w:rsid w:val="006B5658"/>
    <w:rsid w:val="006D24D6"/>
    <w:rsid w:val="006F1F94"/>
    <w:rsid w:val="0072701B"/>
    <w:rsid w:val="0073303F"/>
    <w:rsid w:val="0073384B"/>
    <w:rsid w:val="00771B1D"/>
    <w:rsid w:val="0078074D"/>
    <w:rsid w:val="00796FDD"/>
    <w:rsid w:val="007C04B8"/>
    <w:rsid w:val="007C5FDF"/>
    <w:rsid w:val="007D6BA2"/>
    <w:rsid w:val="007F0CED"/>
    <w:rsid w:val="007F3204"/>
    <w:rsid w:val="007F3F6E"/>
    <w:rsid w:val="007F4E39"/>
    <w:rsid w:val="007F5376"/>
    <w:rsid w:val="008103DD"/>
    <w:rsid w:val="00831347"/>
    <w:rsid w:val="00837C63"/>
    <w:rsid w:val="008465E3"/>
    <w:rsid w:val="00866449"/>
    <w:rsid w:val="00870DC0"/>
    <w:rsid w:val="00875E20"/>
    <w:rsid w:val="008935CC"/>
    <w:rsid w:val="00893EA8"/>
    <w:rsid w:val="008941BB"/>
    <w:rsid w:val="008978DA"/>
    <w:rsid w:val="008A6E89"/>
    <w:rsid w:val="008A7781"/>
    <w:rsid w:val="008B2671"/>
    <w:rsid w:val="008B754F"/>
    <w:rsid w:val="008E35E3"/>
    <w:rsid w:val="008E4E59"/>
    <w:rsid w:val="008E6F7D"/>
    <w:rsid w:val="008F1BC5"/>
    <w:rsid w:val="008F3AA9"/>
    <w:rsid w:val="00900A59"/>
    <w:rsid w:val="00904E17"/>
    <w:rsid w:val="00915EE6"/>
    <w:rsid w:val="00941F63"/>
    <w:rsid w:val="009508FC"/>
    <w:rsid w:val="00955AF2"/>
    <w:rsid w:val="00965348"/>
    <w:rsid w:val="009733FA"/>
    <w:rsid w:val="0098601D"/>
    <w:rsid w:val="00987D53"/>
    <w:rsid w:val="00993CE3"/>
    <w:rsid w:val="009B27F5"/>
    <w:rsid w:val="009B291B"/>
    <w:rsid w:val="009D458C"/>
    <w:rsid w:val="009E600F"/>
    <w:rsid w:val="009F4C67"/>
    <w:rsid w:val="009F597F"/>
    <w:rsid w:val="00A05E96"/>
    <w:rsid w:val="00A27604"/>
    <w:rsid w:val="00A30DE6"/>
    <w:rsid w:val="00A3539C"/>
    <w:rsid w:val="00A37E5F"/>
    <w:rsid w:val="00A44BED"/>
    <w:rsid w:val="00A6345E"/>
    <w:rsid w:val="00A800EF"/>
    <w:rsid w:val="00A90BC7"/>
    <w:rsid w:val="00A952A2"/>
    <w:rsid w:val="00A97133"/>
    <w:rsid w:val="00AA7AD6"/>
    <w:rsid w:val="00AB0EE9"/>
    <w:rsid w:val="00AB113C"/>
    <w:rsid w:val="00AC0285"/>
    <w:rsid w:val="00AE64F4"/>
    <w:rsid w:val="00AE7DF7"/>
    <w:rsid w:val="00B0003F"/>
    <w:rsid w:val="00B21659"/>
    <w:rsid w:val="00B3313C"/>
    <w:rsid w:val="00B35C56"/>
    <w:rsid w:val="00B44451"/>
    <w:rsid w:val="00B61B1E"/>
    <w:rsid w:val="00B719C4"/>
    <w:rsid w:val="00B750E6"/>
    <w:rsid w:val="00B960FD"/>
    <w:rsid w:val="00B96725"/>
    <w:rsid w:val="00BA3824"/>
    <w:rsid w:val="00BC4D73"/>
    <w:rsid w:val="00BD3708"/>
    <w:rsid w:val="00BD5C2F"/>
    <w:rsid w:val="00C15132"/>
    <w:rsid w:val="00C23777"/>
    <w:rsid w:val="00C345D8"/>
    <w:rsid w:val="00C51D7A"/>
    <w:rsid w:val="00C52CC6"/>
    <w:rsid w:val="00C67C6C"/>
    <w:rsid w:val="00C70CD2"/>
    <w:rsid w:val="00C74298"/>
    <w:rsid w:val="00C857A3"/>
    <w:rsid w:val="00CB3223"/>
    <w:rsid w:val="00CB60A6"/>
    <w:rsid w:val="00CD0A67"/>
    <w:rsid w:val="00CD5449"/>
    <w:rsid w:val="00CF2A51"/>
    <w:rsid w:val="00D01E1E"/>
    <w:rsid w:val="00D0575F"/>
    <w:rsid w:val="00D25539"/>
    <w:rsid w:val="00D359AE"/>
    <w:rsid w:val="00D5461E"/>
    <w:rsid w:val="00D65335"/>
    <w:rsid w:val="00D7116B"/>
    <w:rsid w:val="00D72BFC"/>
    <w:rsid w:val="00D8290A"/>
    <w:rsid w:val="00D82A88"/>
    <w:rsid w:val="00D90E48"/>
    <w:rsid w:val="00D91EB5"/>
    <w:rsid w:val="00D969DD"/>
    <w:rsid w:val="00D97392"/>
    <w:rsid w:val="00DA0432"/>
    <w:rsid w:val="00DA56F5"/>
    <w:rsid w:val="00DD432C"/>
    <w:rsid w:val="00DD6205"/>
    <w:rsid w:val="00DE5005"/>
    <w:rsid w:val="00DE691B"/>
    <w:rsid w:val="00DF191A"/>
    <w:rsid w:val="00DF635B"/>
    <w:rsid w:val="00E05929"/>
    <w:rsid w:val="00E152AE"/>
    <w:rsid w:val="00E15E55"/>
    <w:rsid w:val="00E21CF2"/>
    <w:rsid w:val="00E2304C"/>
    <w:rsid w:val="00E24110"/>
    <w:rsid w:val="00E406B9"/>
    <w:rsid w:val="00E444DD"/>
    <w:rsid w:val="00E46F56"/>
    <w:rsid w:val="00E4747B"/>
    <w:rsid w:val="00E509FC"/>
    <w:rsid w:val="00E67019"/>
    <w:rsid w:val="00E83A34"/>
    <w:rsid w:val="00E860CB"/>
    <w:rsid w:val="00EA1A8A"/>
    <w:rsid w:val="00EA2802"/>
    <w:rsid w:val="00EA32DD"/>
    <w:rsid w:val="00EA6AA8"/>
    <w:rsid w:val="00EC03C3"/>
    <w:rsid w:val="00F0620E"/>
    <w:rsid w:val="00F11C41"/>
    <w:rsid w:val="00F255C9"/>
    <w:rsid w:val="00F3562E"/>
    <w:rsid w:val="00F52DBB"/>
    <w:rsid w:val="00F617E1"/>
    <w:rsid w:val="00F65363"/>
    <w:rsid w:val="00F67151"/>
    <w:rsid w:val="00F75186"/>
    <w:rsid w:val="00F751FF"/>
    <w:rsid w:val="00F75910"/>
    <w:rsid w:val="00F92E17"/>
    <w:rsid w:val="00F93C56"/>
    <w:rsid w:val="00FA43A2"/>
    <w:rsid w:val="00FA5F98"/>
    <w:rsid w:val="00FB512A"/>
    <w:rsid w:val="00FC281D"/>
    <w:rsid w:val="00FC7C51"/>
    <w:rsid w:val="00FE1D29"/>
    <w:rsid w:val="00FE7F81"/>
    <w:rsid w:val="00FF2A5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D5708-8E27-4184-B7BA-CA0F2320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rial Unicode MS"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EB5"/>
    <w:pPr>
      <w:bidi/>
      <w:spacing w:after="0" w:line="360" w:lineRule="auto"/>
      <w:jc w:val="both"/>
    </w:pPr>
    <w:rPr>
      <w:rFonts w:ascii="David" w:hAnsi="David" w:cs="David"/>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EB5"/>
    <w:pPr>
      <w:spacing w:line="240" w:lineRule="auto"/>
    </w:pPr>
    <w:rPr>
      <w:sz w:val="20"/>
      <w:szCs w:val="20"/>
    </w:rPr>
  </w:style>
  <w:style w:type="character" w:customStyle="1" w:styleId="FootnoteTextChar">
    <w:name w:val="Footnote Text Char"/>
    <w:basedOn w:val="DefaultParagraphFont"/>
    <w:link w:val="FootnoteText"/>
    <w:uiPriority w:val="99"/>
    <w:rsid w:val="00D91EB5"/>
    <w:rPr>
      <w:rFonts w:cs="David"/>
      <w:sz w:val="20"/>
      <w:szCs w:val="20"/>
    </w:rPr>
  </w:style>
  <w:style w:type="character" w:styleId="FootnoteReference">
    <w:name w:val="footnote reference"/>
    <w:basedOn w:val="DefaultParagraphFont"/>
    <w:uiPriority w:val="99"/>
    <w:unhideWhenUsed/>
    <w:rsid w:val="00D91EB5"/>
    <w:rPr>
      <w:rFonts w:ascii="David" w:hAnsi="David" w:cs="David"/>
      <w:vertAlign w:val="superscript"/>
    </w:rPr>
  </w:style>
  <w:style w:type="character" w:styleId="Hyperlink">
    <w:name w:val="Hyperlink"/>
    <w:basedOn w:val="DefaultParagraphFont"/>
    <w:uiPriority w:val="99"/>
    <w:unhideWhenUsed/>
    <w:rsid w:val="00641AA2"/>
    <w:rPr>
      <w:color w:val="0563C1" w:themeColor="hyperlink"/>
      <w:u w:val="single"/>
    </w:rPr>
  </w:style>
  <w:style w:type="paragraph" w:customStyle="1" w:styleId="IQ">
    <w:name w:val="IQ"/>
    <w:basedOn w:val="Normal"/>
    <w:rsid w:val="00E509FC"/>
    <w:pPr>
      <w:bidi w:val="0"/>
      <w:spacing w:before="120" w:after="120" w:line="240" w:lineRule="auto"/>
      <w:ind w:left="864" w:right="432"/>
      <w:jc w:val="left"/>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24110"/>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24110"/>
    <w:rPr>
      <w:rFonts w:ascii="Tahoma" w:hAnsi="Tahoma" w:cs="Tahoma"/>
      <w:sz w:val="18"/>
      <w:szCs w:val="18"/>
      <w:lang w:bidi="ar-SA"/>
    </w:rPr>
  </w:style>
  <w:style w:type="paragraph" w:styleId="NormalWeb">
    <w:name w:val="Normal (Web)"/>
    <w:basedOn w:val="Normal"/>
    <w:uiPriority w:val="99"/>
    <w:semiHidden/>
    <w:unhideWhenUsed/>
    <w:rsid w:val="003679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rfpDN0JNDTg" TargetMode="External"/><Relationship Id="rId1" Type="http://schemas.openxmlformats.org/officeDocument/2006/relationships/hyperlink" Target="http://www.yadvashem.org/he/archive/about/our-collections/mossad-document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76C9-AB44-4AEC-BBBA-2C2F1062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6233</Words>
  <Characters>31292</Characters>
  <Application>Microsoft Office Word</Application>
  <DocSecurity>0</DocSecurity>
  <Lines>453</Lines>
  <Paragraphs>96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יהודית דורי דסטון</dc:creator>
  <cp:keywords/>
  <dc:description/>
  <cp:lastModifiedBy>Susan</cp:lastModifiedBy>
  <cp:revision>2</cp:revision>
  <dcterms:created xsi:type="dcterms:W3CDTF">2022-09-09T14:15:00Z</dcterms:created>
  <dcterms:modified xsi:type="dcterms:W3CDTF">2022-09-09T14:15:00Z</dcterms:modified>
</cp:coreProperties>
</file>