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AF7F" w14:textId="77777777" w:rsidR="009244BC" w:rsidRDefault="009244BC" w:rsidP="0011705B">
      <w:pPr>
        <w:pStyle w:val="MDPI11articletype"/>
      </w:pPr>
    </w:p>
    <w:p w14:paraId="22131D37" w14:textId="77777777" w:rsidR="007D497F" w:rsidRDefault="007D497F" w:rsidP="0011705B">
      <w:pPr>
        <w:pStyle w:val="MDPI11articletype"/>
      </w:pPr>
    </w:p>
    <w:p w14:paraId="6B8C7D2C" w14:textId="465E1331" w:rsidR="0011705B" w:rsidRPr="006453D9" w:rsidRDefault="009C5381" w:rsidP="0011705B">
      <w:pPr>
        <w:pStyle w:val="MDPI11articletype"/>
      </w:pPr>
      <w:r>
        <w:t>Article</w:t>
      </w:r>
    </w:p>
    <w:p w14:paraId="51E0D92A" w14:textId="77777777" w:rsidR="006C192E" w:rsidRPr="006C192E" w:rsidRDefault="006C192E" w:rsidP="006C192E">
      <w:pPr>
        <w:rPr>
          <w:rFonts w:eastAsia="Calibri" w:cs="David"/>
          <w:b/>
          <w:bCs/>
          <w:sz w:val="36"/>
          <w:szCs w:val="36"/>
        </w:rPr>
      </w:pPr>
      <w:r w:rsidRPr="006C192E">
        <w:rPr>
          <w:rFonts w:eastAsia="Calibri" w:cs="David"/>
          <w:b/>
          <w:bCs/>
          <w:sz w:val="36"/>
          <w:szCs w:val="36"/>
        </w:rPr>
        <w:t>The Genealogy of Obedience in the Sources of Jewish Culture</w:t>
      </w:r>
    </w:p>
    <w:p w14:paraId="07AAE2B2" w14:textId="4BC62003" w:rsidR="0011705B" w:rsidRPr="003B1AF1" w:rsidRDefault="0011705B" w:rsidP="0011705B">
      <w:pPr>
        <w:pStyle w:val="MDPI12title"/>
      </w:pPr>
    </w:p>
    <w:p w14:paraId="1E0903D3" w14:textId="77777777" w:rsidR="006C192E" w:rsidRDefault="006C192E" w:rsidP="006C192E">
      <w:pPr>
        <w:rPr>
          <w:rFonts w:ascii="Times New Roman" w:eastAsia="Calibri" w:hAnsi="Times New Roman" w:cs="David"/>
          <w:b/>
          <w:bCs/>
        </w:rPr>
      </w:pPr>
      <w:r w:rsidRPr="006C192E">
        <w:rPr>
          <w:rFonts w:eastAsia="Calibri" w:cs="David"/>
          <w:b/>
          <w:bCs/>
        </w:rPr>
        <w:t>Bina Nir</w:t>
      </w:r>
      <w:r>
        <w:rPr>
          <w:rFonts w:ascii="Times New Roman" w:eastAsia="Calibri" w:hAnsi="Times New Roman" w:cs="David"/>
          <w:b/>
          <w:bCs/>
        </w:rPr>
        <w:t xml:space="preserve"> </w:t>
      </w:r>
    </w:p>
    <w:p w14:paraId="17D6EC21" w14:textId="77777777" w:rsidR="006C192E" w:rsidRPr="006C192E" w:rsidRDefault="006C192E" w:rsidP="006C192E">
      <w:pPr>
        <w:rPr>
          <w:rFonts w:ascii="Times New Roman" w:eastAsia="Calibri" w:hAnsi="Times New Roman" w:cs="David"/>
          <w:b/>
          <w:bCs/>
          <w:sz w:val="16"/>
          <w:szCs w:val="16"/>
        </w:rPr>
      </w:pPr>
      <w:r w:rsidRPr="006C192E">
        <w:rPr>
          <w:rFonts w:ascii="Times New Roman" w:eastAsia="Calibri" w:hAnsi="Times New Roman" w:cs="David"/>
          <w:b/>
          <w:bCs/>
          <w:sz w:val="16"/>
          <w:szCs w:val="16"/>
        </w:rPr>
        <w:t>Head, Department of Multidisciplinary Studies</w:t>
      </w:r>
    </w:p>
    <w:p w14:paraId="46641B2A" w14:textId="6B60C493" w:rsidR="00DC7CDB" w:rsidRPr="00DC7CDB" w:rsidRDefault="006C192E" w:rsidP="00DC7CDB">
      <w:pPr>
        <w:rPr>
          <w:rFonts w:ascii="Times New Roman" w:eastAsia="Calibri" w:hAnsi="Times New Roman" w:cs="David"/>
          <w:b/>
          <w:bCs/>
          <w:sz w:val="16"/>
          <w:szCs w:val="16"/>
        </w:rPr>
      </w:pPr>
      <w:r w:rsidRPr="006C192E">
        <w:rPr>
          <w:rFonts w:ascii="Times New Roman" w:eastAsia="Calibri" w:hAnsi="Times New Roman" w:cs="David"/>
          <w:b/>
          <w:bCs/>
          <w:sz w:val="16"/>
          <w:szCs w:val="16"/>
        </w:rPr>
        <w:t>The Academic College of Emek Yezreel, Jezreel Valley, Israel</w:t>
      </w:r>
      <w:r w:rsidR="00DC7CDB">
        <w:rPr>
          <w:rFonts w:ascii="Times New Roman" w:eastAsia="Calibri" w:hAnsi="Times New Roman" w:cs="David"/>
          <w:b/>
          <w:bCs/>
          <w:sz w:val="16"/>
          <w:szCs w:val="16"/>
        </w:rPr>
        <w:br/>
      </w:r>
      <w:r w:rsidR="00DC7CDB" w:rsidRPr="00DC7CDB">
        <w:rPr>
          <w:rFonts w:ascii="Times New Roman" w:eastAsia="Calibri" w:hAnsi="Times New Roman" w:cs="David"/>
          <w:b/>
          <w:bCs/>
          <w:sz w:val="16"/>
          <w:szCs w:val="16"/>
        </w:rPr>
        <w:t xml:space="preserve">Correspondence: Email: </w:t>
      </w:r>
      <w:hyperlink r:id="rId7" w:history="1">
        <w:r w:rsidR="00DC7CDB" w:rsidRPr="00DC7CDB">
          <w:rPr>
            <w:rStyle w:val="Hyperlink"/>
            <w:rFonts w:ascii="Times New Roman" w:eastAsia="Calibri" w:hAnsi="Times New Roman" w:cs="David"/>
            <w:b/>
            <w:bCs/>
            <w:sz w:val="16"/>
            <w:szCs w:val="16"/>
          </w:rPr>
          <w:t>binan@yvc.ac.il</w:t>
        </w:r>
      </w:hyperlink>
      <w:r w:rsidR="00DC7CDB" w:rsidRPr="00DC7CDB">
        <w:rPr>
          <w:rStyle w:val="Hyperlink"/>
          <w:rFonts w:ascii="Times New Roman" w:eastAsia="Calibri" w:hAnsi="Times New Roman" w:cs="David"/>
          <w:b/>
          <w:bCs/>
          <w:sz w:val="16"/>
          <w:szCs w:val="16"/>
        </w:rPr>
        <w:t>; Tel</w:t>
      </w:r>
      <w:r w:rsidR="00DC7CDB" w:rsidRPr="00E055F9">
        <w:rPr>
          <w:rStyle w:val="Hyperlink"/>
          <w:rFonts w:ascii="Times New Roman" w:eastAsia="Calibri" w:hAnsi="Times New Roman" w:cs="David"/>
          <w:b/>
          <w:bCs/>
          <w:sz w:val="16"/>
          <w:szCs w:val="16"/>
        </w:rPr>
        <w:t>.</w:t>
      </w:r>
      <w:r w:rsidR="00E055F9" w:rsidRPr="00E055F9">
        <w:rPr>
          <w:u w:val="single"/>
        </w:rPr>
        <w:t xml:space="preserve"> </w:t>
      </w:r>
      <w:r w:rsidR="00E055F9" w:rsidRPr="00E055F9">
        <w:rPr>
          <w:rStyle w:val="Hyperlink"/>
          <w:rFonts w:ascii="Times New Roman" w:eastAsia="Calibri" w:hAnsi="Times New Roman" w:cs="David"/>
          <w:b/>
          <w:bCs/>
          <w:sz w:val="16"/>
          <w:szCs w:val="16"/>
        </w:rPr>
        <w:t>+972-50-649898</w:t>
      </w:r>
    </w:p>
    <w:p w14:paraId="6E02B195" w14:textId="0972E843" w:rsidR="00DC7CDB" w:rsidRPr="006C192E" w:rsidRDefault="00DC7CDB" w:rsidP="006C192E">
      <w:pPr>
        <w:rPr>
          <w:rFonts w:ascii="Times New Roman" w:eastAsia="Calibri" w:hAnsi="Times New Roman" w:cs="David"/>
          <w:b/>
          <w:bCs/>
          <w:sz w:val="16"/>
          <w:szCs w:val="16"/>
        </w:rPr>
      </w:pPr>
    </w:p>
    <w:p w14:paraId="60DF26EB" w14:textId="2BCA3A17" w:rsidR="0011705B" w:rsidRPr="00DC7CDB" w:rsidRDefault="00DC7CDB" w:rsidP="00DC7CDB">
      <w:pPr>
        <w:pStyle w:val="MDPI17abstract"/>
        <w:ind w:left="0"/>
        <w:rPr>
          <w:sz w:val="20"/>
          <w:szCs w:val="20"/>
        </w:rPr>
      </w:pPr>
      <w:r w:rsidRPr="00DC7CDB">
        <w:rPr>
          <w:rFonts w:eastAsia="Calibri" w:cs="David"/>
          <w:b/>
          <w:bCs/>
          <w:sz w:val="20"/>
          <w:szCs w:val="20"/>
        </w:rPr>
        <w:t>Abstract</w:t>
      </w:r>
      <w:r w:rsidRPr="00DC7CDB">
        <w:rPr>
          <w:rFonts w:eastAsia="Calibri" w:cs="David"/>
          <w:sz w:val="20"/>
          <w:szCs w:val="20"/>
        </w:rPr>
        <w:t xml:space="preserve">: In the past two years, against the backdrop of the Covid-19 epidemic, civil disobedience has been on the rise in Israeli society. While civil disobedience preserves the boundaries of discourse and democracy, it also poses a real danger to society’s existence. Attitudes toward civil disobedience reflect the core values of a particular culture. Thus, attitudes toward obedience or disobedience in Israeli society must be examined with respect to the religious roots of Jewish culture. This article examines attitudes toward the issue of obedience in the formative texts of Jewish culture. Revealing the religious past of the culture enables a reevaluation of values and stances. To understand the sources of the values relevant to obedience in Israeli society today, I will analyze religious texts using the genealogical method. The subject area of genealogy is the past, yet its purpose is to understand and critique contemporary reality. The main finding is that obedience and disobedience do not appear to be in a dialectical relationship </w:t>
      </w:r>
      <w:proofErr w:type="gramStart"/>
      <w:r w:rsidRPr="00DC7CDB">
        <w:rPr>
          <w:rFonts w:eastAsia="Calibri" w:cs="David"/>
          <w:sz w:val="20"/>
          <w:szCs w:val="20"/>
        </w:rPr>
        <w:t>in today’s society</w:t>
      </w:r>
      <w:proofErr w:type="gramEnd"/>
      <w:r w:rsidRPr="00DC7CDB">
        <w:rPr>
          <w:rFonts w:eastAsia="Calibri" w:cs="David"/>
          <w:sz w:val="20"/>
          <w:szCs w:val="20"/>
        </w:rPr>
        <w:t xml:space="preserve">. </w:t>
      </w:r>
      <w:proofErr w:type="gramStart"/>
      <w:r w:rsidRPr="00DC7CDB">
        <w:rPr>
          <w:rFonts w:eastAsia="Calibri" w:cs="David"/>
          <w:sz w:val="20"/>
          <w:szCs w:val="20"/>
        </w:rPr>
        <w:t>Despite the fact that</w:t>
      </w:r>
      <w:proofErr w:type="gramEnd"/>
      <w:r w:rsidRPr="00DC7CDB">
        <w:rPr>
          <w:rFonts w:eastAsia="Calibri" w:cs="David"/>
          <w:sz w:val="20"/>
          <w:szCs w:val="20"/>
        </w:rPr>
        <w:t xml:space="preserve"> controversy is welcome and prevalent in Judaism, obedience and disobedience do not manifest as contentious or as two sides of a single issue</w:t>
      </w:r>
      <w:r w:rsidR="002E62E4" w:rsidRPr="00DC7CDB">
        <w:rPr>
          <w:sz w:val="20"/>
          <w:szCs w:val="20"/>
        </w:rPr>
        <w:t>.</w:t>
      </w:r>
    </w:p>
    <w:p w14:paraId="108BC106" w14:textId="77777777" w:rsidR="00DC7CDB" w:rsidRPr="00DC7CDB" w:rsidRDefault="0011705B" w:rsidP="00DC7CDB">
      <w:pPr>
        <w:spacing w:line="480" w:lineRule="auto"/>
        <w:rPr>
          <w:rFonts w:eastAsia="Calibri" w:cs="David"/>
        </w:rPr>
      </w:pPr>
      <w:r w:rsidRPr="00DC7CDB">
        <w:rPr>
          <w:b/>
          <w:szCs w:val="18"/>
        </w:rPr>
        <w:t xml:space="preserve">Keywords: </w:t>
      </w:r>
      <w:r w:rsidR="00DC7CDB" w:rsidRPr="00DC7CDB">
        <w:rPr>
          <w:rFonts w:eastAsia="Calibri" w:cs="David"/>
        </w:rPr>
        <w:t>Chosenness; civil disobedience; disobedience; genealogy; separateness</w:t>
      </w:r>
    </w:p>
    <w:p w14:paraId="6E6BC095" w14:textId="29324C14" w:rsidR="00DC7CDB" w:rsidRPr="0006723B" w:rsidRDefault="0011705B" w:rsidP="0006723B">
      <w:pPr>
        <w:pStyle w:val="MDPI21heading1"/>
        <w:numPr>
          <w:ilvl w:val="0"/>
          <w:numId w:val="26"/>
        </w:numPr>
        <w:rPr>
          <w:szCs w:val="20"/>
          <w:lang w:eastAsia="zh-CN"/>
        </w:rPr>
      </w:pPr>
      <w:r w:rsidRPr="00DC7CDB">
        <w:rPr>
          <w:szCs w:val="20"/>
          <w:lang w:eastAsia="zh-CN"/>
        </w:rPr>
        <w:t>Introduction</w:t>
      </w:r>
    </w:p>
    <w:p w14:paraId="15B472AA" w14:textId="1EDFB0AD" w:rsidR="00DC7CDB" w:rsidRPr="00DC7CDB" w:rsidRDefault="00DC7CDB" w:rsidP="00DC7CD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 xml:space="preserve">As we witnessed the spread of the COVID-19 virus in Israel and the world, we also saw the subject of disobedience and its place in society surface on public and media agendas. The spread of the virus, by all accounts, was attributed to public disobedience to government-mandated safety rules such as lockdowns, prohibition of public gatherings, the wearing of masks, and most recently, vaccinations. On the other hand, disobedience has also been taking the form of demonstrations and </w:t>
      </w:r>
      <w:proofErr w:type="gramStart"/>
      <w:r w:rsidRPr="00DC7CDB">
        <w:rPr>
          <w:rFonts w:ascii="Palatino Linotype" w:hAnsi="Palatino Linotype"/>
          <w:sz w:val="20"/>
          <w:szCs w:val="20"/>
        </w:rPr>
        <w:t>protests against</w:t>
      </w:r>
      <w:proofErr w:type="gramEnd"/>
      <w:r w:rsidRPr="00DC7CDB">
        <w:rPr>
          <w:rFonts w:ascii="Palatino Linotype" w:hAnsi="Palatino Linotype"/>
          <w:sz w:val="20"/>
          <w:szCs w:val="20"/>
        </w:rPr>
        <w:t xml:space="preserve"> the strict regulations, with protesters claiming that, on multiple occasions, the decision to institute a nationwide lockdown was tainted by personal and political motivations. Research about public conduct during the pandemic in Israel has shown a decrease in the level of trust that the public feels toward the resolutions passed by the government and its institutions (Ayalon 2021; Kimchi et al. 2020).</w:t>
      </w:r>
      <w:r w:rsidRPr="00DC7CDB">
        <w:rPr>
          <w:rFonts w:ascii="Palatino Linotype" w:hAnsi="Palatino Linotype"/>
          <w:sz w:val="20"/>
          <w:szCs w:val="20"/>
        </w:rPr>
        <w:br/>
      </w:r>
      <w:r w:rsidRPr="00DC7CDB">
        <w:rPr>
          <w:rFonts w:ascii="Palatino Linotype" w:hAnsi="Palatino Linotype"/>
          <w:sz w:val="20"/>
          <w:szCs w:val="20"/>
        </w:rPr>
        <w:tab/>
        <w:t>As with any social and political phenomenon, the current unrest stems from an accumulation of many different factors, all of which have come to a head and erupted violently at this point in time, catalyzed by the pandemic. Israeli society is segmented along many lines of divisions and the conflicts stemming from these divisions hinder its social solidarity and impede its function as a democratic society (</w:t>
      </w:r>
      <w:proofErr w:type="spellStart"/>
      <w:r w:rsidRPr="00DC7CDB">
        <w:rPr>
          <w:rFonts w:ascii="Palatino Linotype" w:hAnsi="Palatino Linotype"/>
          <w:sz w:val="20"/>
          <w:szCs w:val="20"/>
        </w:rPr>
        <w:t>Lisk</w:t>
      </w:r>
      <w:proofErr w:type="spellEnd"/>
      <w:r w:rsidRPr="00DC7CDB">
        <w:rPr>
          <w:rFonts w:ascii="Palatino Linotype" w:hAnsi="Palatino Linotype"/>
          <w:sz w:val="20"/>
          <w:szCs w:val="20"/>
        </w:rPr>
        <w:t xml:space="preserve"> and Horowitz 1990: 9–39). The pandemic era, according to Friedman (2020), has demonstrated that Israeli tribalism, in as much as it divides Israel into separate communities with disparate values, leads to an inability to actualize public </w:t>
      </w:r>
      <w:r w:rsidRPr="00DC7CDB">
        <w:rPr>
          <w:rFonts w:ascii="Palatino Linotype" w:hAnsi="Palatino Linotype"/>
          <w:sz w:val="20"/>
          <w:szCs w:val="20"/>
        </w:rPr>
        <w:lastRenderedPageBreak/>
        <w:t>policy.</w:t>
      </w:r>
      <w:r w:rsidRPr="00DC7CDB">
        <w:rPr>
          <w:rFonts w:ascii="Palatino Linotype" w:hAnsi="Palatino Linotype"/>
          <w:sz w:val="20"/>
          <w:szCs w:val="20"/>
        </w:rPr>
        <w:br/>
      </w:r>
      <w:r w:rsidRPr="00DC7CDB">
        <w:rPr>
          <w:rFonts w:ascii="Palatino Linotype" w:hAnsi="Palatino Linotype"/>
          <w:sz w:val="20"/>
          <w:szCs w:val="20"/>
        </w:rPr>
        <w:tab/>
        <w:t xml:space="preserve">At the same time, the phenomena of obedience and disobedience in and of themselves are only partially dependent on specific political and social circumstances and have </w:t>
      </w:r>
      <w:proofErr w:type="gramStart"/>
      <w:r w:rsidRPr="00DC7CDB">
        <w:rPr>
          <w:rFonts w:ascii="Palatino Linotype" w:hAnsi="Palatino Linotype"/>
          <w:sz w:val="20"/>
          <w:szCs w:val="20"/>
        </w:rPr>
        <w:t>particular cultural</w:t>
      </w:r>
      <w:proofErr w:type="gramEnd"/>
      <w:r w:rsidRPr="00DC7CDB">
        <w:rPr>
          <w:rFonts w:ascii="Palatino Linotype" w:hAnsi="Palatino Linotype"/>
          <w:sz w:val="20"/>
          <w:szCs w:val="20"/>
        </w:rPr>
        <w:t xml:space="preserve"> attributes that differ from one people or nation to another. In this article, we shall employ the genealogical method to examine the subjects of obedience and its necessary antithesis – disobedience, as cultural issues independent of the circumstantial context of public misconduct during the pandemic. This method will allow us to examine the deep sources of Jewish culture and their attitudes toward obedience and disobedience. As such, we will mainly base ourselves on the biblical text, since the Hebrew Bible is a canonical and foundational text for Jewish culture in general, upon its many factions (Haran, 1995). The creation of the canonical version of the Old Testament probably began in the Hasmonean era with the purpose of forging a national identity that included, among other things, the Hebrew language, and the resulting collection formed the basis for what we now term the Jewish Bible, or the </w:t>
      </w:r>
      <w:r w:rsidRPr="00DC7CDB">
        <w:rPr>
          <w:rFonts w:ascii="Palatino Linotype" w:hAnsi="Palatino Linotype"/>
          <w:i/>
          <w:iCs/>
          <w:sz w:val="20"/>
          <w:szCs w:val="20"/>
        </w:rPr>
        <w:t>Tanach</w:t>
      </w:r>
      <w:r w:rsidRPr="00DC7CDB">
        <w:rPr>
          <w:rFonts w:ascii="Palatino Linotype" w:hAnsi="Palatino Linotype"/>
          <w:sz w:val="20"/>
          <w:szCs w:val="20"/>
        </w:rPr>
        <w:t xml:space="preserve"> (Davies 2010: 372).</w:t>
      </w:r>
      <w:r w:rsidRPr="00DC7CDB">
        <w:rPr>
          <w:rFonts w:ascii="Palatino Linotype" w:hAnsi="Palatino Linotype"/>
          <w:sz w:val="20"/>
          <w:szCs w:val="20"/>
        </w:rPr>
        <w:br/>
      </w:r>
      <w:r w:rsidRPr="00DC7CDB">
        <w:rPr>
          <w:rFonts w:ascii="Palatino Linotype" w:hAnsi="Palatino Linotype"/>
          <w:sz w:val="20"/>
          <w:szCs w:val="20"/>
        </w:rPr>
        <w:tab/>
        <w:t>Genealogy as a critical methodology is based on the ideas of Nietzsche and Foucault. Nietzsche is considered the father of genealogy, whereas Foucault implemented Nietzsche’s ideas and developed the critical method into what it is today (Deleuze 2006: 2). These thinkers posited that culture is governed by deep-seated basic assumptions, most of which remain invisible unless one looks at their roots in the distant past. Nevertheless, while genealogy deals with matters of the past, its purpose is to understand and critique contemporary reality. It allows for a re-examination of values and attitudes. Exposing the past thus reduces the control of necessity in our lives (Foucault 1977: 152).</w:t>
      </w:r>
      <w:r w:rsidRPr="00DC7CDB">
        <w:rPr>
          <w:rFonts w:ascii="Palatino Linotype" w:hAnsi="Palatino Linotype"/>
          <w:sz w:val="20"/>
          <w:szCs w:val="20"/>
        </w:rPr>
        <w:br/>
      </w:r>
      <w:r w:rsidRPr="00DC7CDB">
        <w:rPr>
          <w:rFonts w:ascii="Palatino Linotype" w:hAnsi="Palatino Linotype"/>
          <w:sz w:val="20"/>
          <w:szCs w:val="20"/>
        </w:rPr>
        <w:tab/>
        <w:t xml:space="preserve">In our attempt to understand the place of obedience in Israeli culture today, we must naturally turn first and foremost turn to the religious sources upon which this culture is founded. Religion is a dominant element of culture and is profoundly embedded in human beliefs,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 In Judaism, the observance of divine edicts, or </w:t>
      </w:r>
      <w:r w:rsidRPr="00DC7CDB">
        <w:rPr>
          <w:rFonts w:ascii="Palatino Linotype" w:hAnsi="Palatino Linotype"/>
          <w:i/>
          <w:iCs/>
          <w:sz w:val="20"/>
          <w:szCs w:val="20"/>
        </w:rPr>
        <w:t>mitzvoth</w:t>
      </w:r>
      <w:r w:rsidRPr="00DC7CDB">
        <w:rPr>
          <w:rFonts w:ascii="Palatino Linotype" w:hAnsi="Palatino Linotype"/>
          <w:sz w:val="20"/>
          <w:szCs w:val="20"/>
        </w:rPr>
        <w:t>, is central to the religion and viewed as highly important. As mentioned above, this research looks at the biblical sources of Jewish culture.</w:t>
      </w:r>
      <w:r w:rsidRPr="00DC7CDB">
        <w:rPr>
          <w:rStyle w:val="afb"/>
          <w:rFonts w:ascii="Palatino Linotype" w:hAnsi="Palatino Linotype"/>
          <w:sz w:val="20"/>
          <w:szCs w:val="20"/>
        </w:rPr>
        <w:footnoteReference w:id="1"/>
      </w:r>
      <w:r w:rsidRPr="00DC7CDB">
        <w:rPr>
          <w:rFonts w:ascii="Palatino Linotype" w:hAnsi="Palatino Linotype"/>
          <w:sz w:val="20"/>
          <w:szCs w:val="20"/>
        </w:rPr>
        <w:t xml:space="preserve"> The verse “If ye walk in my statutes, and keep my commandments [</w:t>
      </w:r>
      <w:r w:rsidRPr="00DC7CDB">
        <w:rPr>
          <w:rFonts w:ascii="Palatino Linotype" w:hAnsi="Palatino Linotype"/>
          <w:i/>
          <w:iCs/>
          <w:sz w:val="20"/>
          <w:szCs w:val="20"/>
        </w:rPr>
        <w:t>mitzvoth</w:t>
      </w:r>
      <w:r w:rsidRPr="00DC7CDB">
        <w:rPr>
          <w:rFonts w:ascii="Palatino Linotype" w:hAnsi="Palatino Linotype"/>
          <w:sz w:val="20"/>
          <w:szCs w:val="20"/>
        </w:rPr>
        <w:t xml:space="preserve">], and do them; then I will give you rain in due season, and the land shall yield her increase, and the trees of the field shall yield their fruit” (Leviticus 26:3–4) indicates that God expects the people of Israel to observe the Torah and uphold the </w:t>
      </w:r>
      <w:r w:rsidRPr="00DC7CDB">
        <w:rPr>
          <w:rFonts w:ascii="Palatino Linotype" w:hAnsi="Palatino Linotype"/>
          <w:i/>
          <w:iCs/>
          <w:sz w:val="20"/>
          <w:szCs w:val="20"/>
        </w:rPr>
        <w:t>mitzvoth</w:t>
      </w:r>
      <w:r w:rsidRPr="00DC7CDB">
        <w:rPr>
          <w:rFonts w:ascii="Palatino Linotype" w:hAnsi="Palatino Linotype"/>
          <w:sz w:val="20"/>
          <w:szCs w:val="20"/>
        </w:rPr>
        <w:t xml:space="preserve">. According to the doctrine of divine retribution, obedience to the divine decrees is rewarded, while disobedience is punished: “But my people would not hearken to my voice; and Israel would none of me. </w:t>
      </w:r>
      <w:proofErr w:type="gramStart"/>
      <w:r w:rsidRPr="00DC7CDB">
        <w:rPr>
          <w:rFonts w:ascii="Palatino Linotype" w:hAnsi="Palatino Linotype"/>
          <w:sz w:val="20"/>
          <w:szCs w:val="20"/>
        </w:rPr>
        <w:t>So</w:t>
      </w:r>
      <w:proofErr w:type="gramEnd"/>
      <w:r w:rsidRPr="00DC7CDB">
        <w:rPr>
          <w:rFonts w:ascii="Palatino Linotype" w:hAnsi="Palatino Linotype"/>
          <w:sz w:val="20"/>
          <w:szCs w:val="20"/>
        </w:rPr>
        <w:t xml:space="preserve"> I gave them up unto their own hearts’ lust: and they walked in their own counsels. </w:t>
      </w:r>
      <w:proofErr w:type="gramStart"/>
      <w:r w:rsidRPr="00DC7CDB">
        <w:rPr>
          <w:rFonts w:ascii="Palatino Linotype" w:hAnsi="Palatino Linotype"/>
          <w:sz w:val="20"/>
          <w:szCs w:val="20"/>
        </w:rPr>
        <w:t>Oh</w:t>
      </w:r>
      <w:proofErr w:type="gramEnd"/>
      <w:r w:rsidRPr="00DC7CDB">
        <w:rPr>
          <w:rFonts w:ascii="Palatino Linotype" w:hAnsi="Palatino Linotype"/>
          <w:sz w:val="20"/>
          <w:szCs w:val="20"/>
        </w:rPr>
        <w:t xml:space="preserve"> that my people had hearkened unto me, and Israel had walked in my ways! I should soon have subdued their enemies and turned my hand against their adversaries” (Psalms 81:11–14). Obedience is an important and very present value in the Old Testament, however, </w:t>
      </w:r>
      <w:r w:rsidRPr="00DC7CDB">
        <w:rPr>
          <w:rFonts w:ascii="Palatino Linotype" w:hAnsi="Palatino Linotype"/>
          <w:sz w:val="20"/>
          <w:szCs w:val="20"/>
        </w:rPr>
        <w:lastRenderedPageBreak/>
        <w:t>the same is true of disobedience, as we shall see further on.</w:t>
      </w:r>
      <w:r w:rsidRPr="00DC7CDB">
        <w:rPr>
          <w:rFonts w:ascii="Palatino Linotype" w:hAnsi="Palatino Linotype"/>
          <w:sz w:val="20"/>
          <w:szCs w:val="20"/>
        </w:rPr>
        <w:br/>
      </w:r>
      <w:r w:rsidRPr="00DC7CDB">
        <w:rPr>
          <w:rFonts w:ascii="Palatino Linotype" w:hAnsi="Palatino Linotype"/>
          <w:sz w:val="20"/>
          <w:szCs w:val="20"/>
        </w:rPr>
        <w:tab/>
        <w:t>When conducting a cultural interpretative analysis of religious texts, one may discover paradoxes arising from the fact that such an analysis does not distinguish between the sacred and the profane, a distinction that is almost trivial from the religious point of view. Religion, at its core, draws a line between this world and the next, between the earthly and the heavenly, the human and the divine (Otto 1958: 5–7). The divine monotheistic God is all-powerful, all-knowing, and infinite (Klein 2004: 42–43). A cultural understanding of a religious text is therefore problematic since the context that led to the composition and canonization of its words stems from the sacred aspect of the religion. Therefore, the cultural analysis of a religious text is always somewhat limited, as opposed to its interpretation by a believer, since the latter’s examination of the text is in search of a subject whose presence is presupposed (</w:t>
      </w:r>
      <w:proofErr w:type="spellStart"/>
      <w:r w:rsidRPr="00DC7CDB">
        <w:rPr>
          <w:rFonts w:ascii="Palatino Linotype" w:hAnsi="Palatino Linotype"/>
          <w:sz w:val="20"/>
          <w:szCs w:val="20"/>
        </w:rPr>
        <w:t>Ofir</w:t>
      </w:r>
      <w:proofErr w:type="spellEnd"/>
      <w:r w:rsidRPr="00DC7CDB">
        <w:rPr>
          <w:rFonts w:ascii="Palatino Linotype" w:hAnsi="Palatino Linotype"/>
          <w:sz w:val="20"/>
          <w:szCs w:val="20"/>
        </w:rPr>
        <w:t xml:space="preserve"> 2001: 127).</w:t>
      </w:r>
      <w:r w:rsidRPr="00DC7CDB">
        <w:rPr>
          <w:rFonts w:ascii="Palatino Linotype" w:hAnsi="Palatino Linotype"/>
          <w:sz w:val="20"/>
          <w:szCs w:val="20"/>
        </w:rPr>
        <w:br/>
      </w:r>
      <w:r w:rsidRPr="00DC7CDB">
        <w:rPr>
          <w:rFonts w:ascii="Palatino Linotype" w:hAnsi="Palatino Linotype"/>
          <w:sz w:val="20"/>
          <w:szCs w:val="20"/>
        </w:rPr>
        <w:tab/>
        <w:t xml:space="preserve">In this article, we will examine </w:t>
      </w:r>
      <w:proofErr w:type="gramStart"/>
      <w:r w:rsidRPr="00DC7CDB">
        <w:rPr>
          <w:rFonts w:ascii="Palatino Linotype" w:hAnsi="Palatino Linotype"/>
          <w:sz w:val="20"/>
          <w:szCs w:val="20"/>
        </w:rPr>
        <w:t>a number of</w:t>
      </w:r>
      <w:proofErr w:type="gramEnd"/>
      <w:r w:rsidRPr="00DC7CDB">
        <w:rPr>
          <w:rFonts w:ascii="Palatino Linotype" w:hAnsi="Palatino Linotype"/>
          <w:sz w:val="20"/>
          <w:szCs w:val="20"/>
        </w:rPr>
        <w:t xml:space="preserve"> ingrained cultural constructs that are religious in nature and require obedience. Conversely, we shall likewise examine deeply ingrained constructs regarding disobedience, which are culturally perceived as conflictual with the act of obedience. Some of our primary objectives will be to determine whether a culture founded on strict obedience of divine ordinances might find itself rebelling against human authority and whether there is a dialectical relationship between these structures of obedience and disobedience or whether they are not necessarily contradictory structures that exist within a broad and comprehensive system of understanding.</w:t>
      </w:r>
    </w:p>
    <w:p w14:paraId="469FA3F9" w14:textId="33A3F9AC" w:rsidR="00DC7CDB" w:rsidRPr="00DC7CDB" w:rsidRDefault="00DC7CDB" w:rsidP="00F440D9">
      <w:pPr>
        <w:pStyle w:val="Style1"/>
        <w:spacing w:line="240" w:lineRule="auto"/>
        <w:ind w:left="720" w:hanging="360"/>
        <w:rPr>
          <w:rFonts w:ascii="Palatino Linotype" w:hAnsi="Palatino Linotype"/>
          <w:b/>
          <w:bCs/>
          <w:sz w:val="20"/>
          <w:szCs w:val="20"/>
        </w:rPr>
      </w:pPr>
      <w:r w:rsidRPr="00DC7CDB">
        <w:rPr>
          <w:rFonts w:ascii="Palatino Linotype" w:hAnsi="Palatino Linotype"/>
          <w:b/>
          <w:bCs/>
          <w:sz w:val="20"/>
          <w:szCs w:val="20"/>
        </w:rPr>
        <w:t xml:space="preserve">2. </w:t>
      </w:r>
      <w:r w:rsidR="00F440D9">
        <w:rPr>
          <w:rFonts w:ascii="Palatino Linotype" w:hAnsi="Palatino Linotype"/>
          <w:b/>
          <w:bCs/>
          <w:sz w:val="20"/>
          <w:szCs w:val="20"/>
        </w:rPr>
        <w:tab/>
      </w:r>
      <w:r w:rsidRPr="00DC7CDB">
        <w:rPr>
          <w:rFonts w:ascii="Palatino Linotype" w:hAnsi="Palatino Linotype"/>
          <w:b/>
          <w:bCs/>
          <w:sz w:val="20"/>
          <w:szCs w:val="20"/>
        </w:rPr>
        <w:t>Disobedience from Genesis Onward</w:t>
      </w:r>
    </w:p>
    <w:p w14:paraId="7562547B" w14:textId="78A9C226"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 xml:space="preserve">For centuries, rulers, kings, </w:t>
      </w:r>
      <w:proofErr w:type="gramStart"/>
      <w:r w:rsidRPr="00DC7CDB">
        <w:rPr>
          <w:rFonts w:ascii="Palatino Linotype" w:hAnsi="Palatino Linotype"/>
          <w:sz w:val="20"/>
          <w:szCs w:val="20"/>
        </w:rPr>
        <w:t>priests</w:t>
      </w:r>
      <w:proofErr w:type="gramEnd"/>
      <w:r w:rsidRPr="00DC7CDB">
        <w:rPr>
          <w:rFonts w:ascii="Palatino Linotype" w:hAnsi="Palatino Linotype"/>
          <w:sz w:val="20"/>
          <w:szCs w:val="20"/>
        </w:rPr>
        <w:t xml:space="preserve"> and parents presented obedience as a virtue and disobedience as a sin. And yet, Western history, argues Erich Fromm, began with an act of disobedience in the story of the Garden of Eden and, conversely, may end with an act of obedience (Fromm 1981:1). Of course, Fromm does not hold that all disobedience is worthy and all obedience is a sin, but he makes a psychological distinction between a person who can only refuse – whom he calls a rebel rather than a revolutionary because they act out of anger and not out of conviction – on the one hand, and a person who can only obey and never refuses – whom he calls a slave – on the other (Fromm 1981:5). While this subject clearly has psychological aspects, it also involves religious-cultural elements that we shall examine below.</w:t>
      </w:r>
      <w:r w:rsidRPr="00DC7CDB">
        <w:rPr>
          <w:rFonts w:ascii="Palatino Linotype" w:hAnsi="Palatino Linotype"/>
          <w:sz w:val="20"/>
          <w:szCs w:val="20"/>
        </w:rPr>
        <w:br/>
      </w:r>
      <w:r w:rsidRPr="00DC7CDB">
        <w:rPr>
          <w:rFonts w:ascii="Palatino Linotype" w:hAnsi="Palatino Linotype"/>
          <w:sz w:val="20"/>
          <w:szCs w:val="20"/>
        </w:rPr>
        <w:tab/>
        <w:t xml:space="preserve">The first and greatest act of disobedience appears, of course, in the story of the Garden of Eden. The tale that culminates with the fall of man is a founding myth in Western society, mainly due to the central status it acquired in the Christian tradition. Man is expelled from Eden because he commits the original sin, the act that is the prototype of all sin to follow, and as a result, human beings are transformed into vulnerable individuals who must strive and compete with the other individuals around them </w:t>
      </w:r>
      <w:proofErr w:type="gramStart"/>
      <w:r w:rsidRPr="00DC7CDB">
        <w:rPr>
          <w:rFonts w:ascii="Palatino Linotype" w:hAnsi="Palatino Linotype"/>
          <w:sz w:val="20"/>
          <w:szCs w:val="20"/>
        </w:rPr>
        <w:t>in order to</w:t>
      </w:r>
      <w:proofErr w:type="gramEnd"/>
      <w:r w:rsidRPr="00DC7CDB">
        <w:rPr>
          <w:rFonts w:ascii="Palatino Linotype" w:hAnsi="Palatino Linotype"/>
          <w:sz w:val="20"/>
          <w:szCs w:val="20"/>
        </w:rPr>
        <w:t xml:space="preserve"> survive (</w:t>
      </w:r>
      <w:proofErr w:type="spellStart"/>
      <w:r w:rsidRPr="00DC7CDB">
        <w:rPr>
          <w:rFonts w:ascii="Palatino Linotype" w:hAnsi="Palatino Linotype"/>
          <w:sz w:val="20"/>
          <w:szCs w:val="20"/>
        </w:rPr>
        <w:t>Shoham</w:t>
      </w:r>
      <w:proofErr w:type="spellEnd"/>
      <w:r w:rsidRPr="00DC7CDB">
        <w:rPr>
          <w:rFonts w:ascii="Palatino Linotype" w:hAnsi="Palatino Linotype"/>
          <w:sz w:val="20"/>
          <w:szCs w:val="20"/>
        </w:rPr>
        <w:t xml:space="preserve"> 2003: 14–17). This one instance of disobedience brings a slew of punishments upon humanity, including: “I will greatly multiply thy sorrow and thy conception; in sorrow thou shalt bring forth children” (Genesis 3:16); “in the sweat of thy face shalt thou eat bread” (Genesis 3:19); and the worst punishment of all, “therefore the Lord God sent him forth from the Garden of Eden” (Genesis 3:23). One alternative approach to the story claims that the gravest infraction consists not of the act of disobeying God’s command or eating of the Tree of Knowledge – after all, anyone can make mistakes and break the rules from time to time – but in the humans’ failure to take responsibility for their actions and pointing accusatory fingers elsewhere (Zion 2002:107). Adam lays the blame for the action on Eve: “And the man said, the woman whom thou </w:t>
      </w:r>
      <w:proofErr w:type="spellStart"/>
      <w:r w:rsidRPr="00DC7CDB">
        <w:rPr>
          <w:rFonts w:ascii="Palatino Linotype" w:hAnsi="Palatino Linotype"/>
          <w:sz w:val="20"/>
          <w:szCs w:val="20"/>
        </w:rPr>
        <w:t>gavest</w:t>
      </w:r>
      <w:proofErr w:type="spellEnd"/>
      <w:r w:rsidRPr="00DC7CDB">
        <w:rPr>
          <w:rFonts w:ascii="Palatino Linotype" w:hAnsi="Palatino Linotype"/>
          <w:sz w:val="20"/>
          <w:szCs w:val="20"/>
        </w:rPr>
        <w:t xml:space="preserve"> to be with me, she gave me of the tree, and I did eat” (Genesis 3:12), while Eve, in turn, blames the snake: “And the woman said, the serpent beguiled me, and I did eat” (Genesis 3:13). As if disobedience was not bad enough in and of </w:t>
      </w:r>
      <w:r w:rsidRPr="00DC7CDB">
        <w:rPr>
          <w:rFonts w:ascii="Palatino Linotype" w:hAnsi="Palatino Linotype"/>
          <w:sz w:val="20"/>
          <w:szCs w:val="20"/>
        </w:rPr>
        <w:lastRenderedPageBreak/>
        <w:t>itself, the mother and father of humanity refuse to be held accountable for it.</w:t>
      </w:r>
      <w:r w:rsidRPr="00DC7CDB">
        <w:rPr>
          <w:rFonts w:ascii="Palatino Linotype" w:hAnsi="Palatino Linotype"/>
          <w:sz w:val="20"/>
          <w:szCs w:val="20"/>
        </w:rPr>
        <w:br/>
      </w:r>
      <w:r w:rsidRPr="00DC7CDB">
        <w:rPr>
          <w:rFonts w:ascii="Palatino Linotype" w:hAnsi="Palatino Linotype"/>
          <w:sz w:val="20"/>
          <w:szCs w:val="20"/>
        </w:rPr>
        <w:tab/>
        <w:t>Thus, we can agree with Fromm in arguing that the first human act is an act of rebellion against God’s supremacy (Fromm 1966: 21–22). The story of the Garden of Eden, however, can be interpreted from two different, and seemingly contradictory perspectives. On the one hand, the story can be read as a pagan tale: God has a tree with magical powers and, driven by jealousy and the desire to retain these powers exclusively to himself, he keeps it from man (Rosenberg 1985: 48–49). This motif is recurrent throughout Greek mythology but is best exemplified by its most well-known example – the myth of Prometheus. Prometheus embodies the character of a rebel who refuses to obey and symbolizes the titanic struggle against the gods. In the series of myths that shaped Western culture, Prometheus symbolizes the liberation of man and humanity (</w:t>
      </w:r>
      <w:proofErr w:type="spellStart"/>
      <w:r w:rsidRPr="00DC7CDB">
        <w:rPr>
          <w:rFonts w:ascii="Palatino Linotype" w:hAnsi="Palatino Linotype"/>
          <w:sz w:val="20"/>
          <w:szCs w:val="20"/>
        </w:rPr>
        <w:t>Ohana</w:t>
      </w:r>
      <w:proofErr w:type="spellEnd"/>
      <w:r w:rsidRPr="00DC7CDB">
        <w:rPr>
          <w:rFonts w:ascii="Palatino Linotype" w:hAnsi="Palatino Linotype"/>
          <w:sz w:val="20"/>
          <w:szCs w:val="20"/>
        </w:rPr>
        <w:t xml:space="preserve"> 2000: 3). The Greek myth of Prometheus sees human civilization as based on disobedience and, just like Adam and Eve, Prometheus is punished for 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“For God doth know that in the day ye eat thereof, then your eyes shall be opened, and ye shall be as gods, knowing good and evil” (Genesis 3:5). God’s intention is therefore not to prevent mankind from gaining power but to guard his creations from the suffering engendered by knowledge and to preserve the cosmic order, which ends up being disrupted through their act of disobedience.</w:t>
      </w:r>
      <w:r w:rsidRPr="00DC7CDB">
        <w:rPr>
          <w:rFonts w:ascii="Palatino Linotype" w:hAnsi="Palatino Linotype"/>
          <w:sz w:val="20"/>
          <w:szCs w:val="20"/>
        </w:rPr>
        <w:br/>
      </w:r>
      <w:r w:rsidRPr="00DC7CDB">
        <w:rPr>
          <w:rFonts w:ascii="Palatino Linotype" w:hAnsi="Palatino Linotype"/>
          <w:sz w:val="20"/>
          <w:szCs w:val="20"/>
        </w:rPr>
        <w:tab/>
        <w:t xml:space="preserve">Hazony (1998),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direst circumstances, the starkest of which is the binding of Isaac: “And he said, </w:t>
      </w:r>
      <w:proofErr w:type="gramStart"/>
      <w:r w:rsidRPr="00DC7CDB">
        <w:rPr>
          <w:rFonts w:ascii="Palatino Linotype" w:hAnsi="Palatino Linotype"/>
          <w:sz w:val="20"/>
          <w:szCs w:val="20"/>
        </w:rPr>
        <w:t>Lay</w:t>
      </w:r>
      <w:proofErr w:type="gramEnd"/>
      <w:r w:rsidRPr="00DC7CDB">
        <w:rPr>
          <w:rFonts w:ascii="Palatino Linotype" w:hAnsi="Palatino Linotype"/>
          <w:sz w:val="20"/>
          <w:szCs w:val="20"/>
        </w:rPr>
        <w:t xml:space="preserve"> not thine hand upon the lad… for now I know that thou </w:t>
      </w:r>
      <w:proofErr w:type="spellStart"/>
      <w:r w:rsidRPr="00DC7CDB">
        <w:rPr>
          <w:rFonts w:ascii="Palatino Linotype" w:hAnsi="Palatino Linotype"/>
          <w:sz w:val="20"/>
          <w:szCs w:val="20"/>
        </w:rPr>
        <w:t>fearest</w:t>
      </w:r>
      <w:proofErr w:type="spellEnd"/>
      <w:r w:rsidRPr="00DC7CDB">
        <w:rPr>
          <w:rFonts w:ascii="Palatino Linotype" w:hAnsi="Palatino Linotype"/>
          <w:sz w:val="20"/>
          <w:szCs w:val="20"/>
        </w:rPr>
        <w:t xml:space="preserve"> God, seeing thou hast not withheld thy son, thine only son from me” (Genesis 22:12). Disobedience to God, on the other hand, as we have seen in the tale of the fall, is met with severe punishment. And yet, Hazony maintains that the Bible also encourages disobedience based on the human conscience, which is instilled in us as the heart of moral independence, for biblical heroes are not ones to submit to orders, even when they come from God, and </w:t>
      </w:r>
      <w:proofErr w:type="gramStart"/>
      <w:r w:rsidRPr="00DC7CDB">
        <w:rPr>
          <w:rFonts w:ascii="Palatino Linotype" w:hAnsi="Palatino Linotype"/>
          <w:sz w:val="20"/>
          <w:szCs w:val="20"/>
        </w:rPr>
        <w:t>have a tendency to</w:t>
      </w:r>
      <w:proofErr w:type="gramEnd"/>
      <w:r w:rsidRPr="00DC7CDB">
        <w:rPr>
          <w:rFonts w:ascii="Palatino Linotype" w:hAnsi="Palatino Linotype"/>
          <w:sz w:val="20"/>
          <w:szCs w:val="20"/>
        </w:rPr>
        <w:t xml:space="preserve"> act upon their own moral instincts (Hazony 1998:25). One interesting argument in support of this claim is the very name “Israel” given to Jacob and to the Jewish </w:t>
      </w:r>
      <w:proofErr w:type="gramStart"/>
      <w:r w:rsidRPr="00DC7CDB">
        <w:rPr>
          <w:rFonts w:ascii="Palatino Linotype" w:hAnsi="Palatino Linotype"/>
          <w:sz w:val="20"/>
          <w:szCs w:val="20"/>
        </w:rPr>
        <w:t>people as a whole, which</w:t>
      </w:r>
      <w:proofErr w:type="gramEnd"/>
      <w:r w:rsidRPr="00DC7CDB">
        <w:rPr>
          <w:rFonts w:ascii="Palatino Linotype" w:hAnsi="Palatino Linotype"/>
          <w:sz w:val="20"/>
          <w:szCs w:val="20"/>
        </w:rPr>
        <w:t xml:space="preserve"> means “struggle with God”: “Thy name shall be called no more Jacob, but Israel: for as a prince hast thou power with God and with men, and hast prevailed” (Genesis 32:28). Hazony’s reasoning is in line with the distinction made by Fromm between heteronomous obedience to an institution or an authority, which is submission, and obedience to one’s conscience, </w:t>
      </w:r>
      <w:proofErr w:type="gramStart"/>
      <w:r w:rsidRPr="00DC7CDB">
        <w:rPr>
          <w:rFonts w:ascii="Palatino Linotype" w:hAnsi="Palatino Linotype"/>
          <w:sz w:val="20"/>
          <w:szCs w:val="20"/>
        </w:rPr>
        <w:t>reason</w:t>
      </w:r>
      <w:proofErr w:type="gramEnd"/>
      <w:r w:rsidRPr="00DC7CDB">
        <w:rPr>
          <w:rFonts w:ascii="Palatino Linotype" w:hAnsi="Palatino Linotype"/>
          <w:sz w:val="20"/>
          <w:szCs w:val="20"/>
        </w:rPr>
        <w:t xml:space="preserve"> and beliefs, which is autonomous obedience, expressive of affirmation rather than submission (Fromm 1981: 4–5).</w:t>
      </w:r>
      <w:r w:rsidRPr="00DC7CDB">
        <w:rPr>
          <w:rFonts w:ascii="Palatino Linotype" w:hAnsi="Palatino Linotype"/>
          <w:sz w:val="20"/>
          <w:szCs w:val="20"/>
        </w:rPr>
        <w:br/>
      </w:r>
      <w:r w:rsidRPr="00DC7CDB">
        <w:rPr>
          <w:rFonts w:ascii="Palatino Linotype" w:hAnsi="Palatino Linotype"/>
          <w:sz w:val="20"/>
          <w:szCs w:val="20"/>
        </w:rPr>
        <w:tab/>
        <w:t>That said, the degree to which our conscience is truly autonomous is also questionable. Human conscience may be essential for action and growth (Rotenberg 1997: 84), however, we often admit to acting in a way we think moral due to the urging of our conscience without this impulse undergoing critical evaluation or reflexive thinking. And of course, as we know, plenty of atrocities have been committed in the name of the human conscience (</w:t>
      </w:r>
      <w:proofErr w:type="spellStart"/>
      <w:r w:rsidRPr="00DC7CDB">
        <w:rPr>
          <w:rFonts w:ascii="Palatino Linotype" w:hAnsi="Palatino Linotype"/>
          <w:sz w:val="20"/>
          <w:szCs w:val="20"/>
        </w:rPr>
        <w:t>Sagi</w:t>
      </w:r>
      <w:proofErr w:type="spellEnd"/>
      <w:r w:rsidRPr="00DC7CDB">
        <w:rPr>
          <w:rFonts w:ascii="Palatino Linotype" w:hAnsi="Palatino Linotype"/>
          <w:sz w:val="20"/>
          <w:szCs w:val="20"/>
        </w:rPr>
        <w:t xml:space="preserve"> 2010: 362). Therefore, even while believing that we are acting out of the "humanistic conscience," which is the inner, autonomous voice of our humanity, we may, in fact, be acting out of an “authoritarian conscience,” which is the internalized voice of the authority we wish to please and are afraid to </w:t>
      </w:r>
      <w:r w:rsidRPr="00DC7CDB">
        <w:rPr>
          <w:rFonts w:ascii="Palatino Linotype" w:hAnsi="Palatino Linotype"/>
          <w:sz w:val="20"/>
          <w:szCs w:val="20"/>
        </w:rPr>
        <w:lastRenderedPageBreak/>
        <w:t>disappoint (Fromm 1981: 6). Freud (1961) argues that an excessive number of ordinances and prohibitions, and the subsequent development of guilt through religious institutional mechanisms, social pressure, parental pressure, and the pressure put upon us by our own superego creates a dominant “authoritarian conscience” and is therefore dangerous. By the same token, Freud (1961) warns us against culture, which in many cases, is something that is imposed on a refusing majority by a minority that has managed to seize means of force and coercion. When we are faced with an overabundance of rules, it is not always possible to distinguish between the voice of the “authoritarian conscience” and the voice of the “humanistic conscience.”</w:t>
      </w:r>
    </w:p>
    <w:p w14:paraId="584FE865" w14:textId="63CD7528" w:rsidR="00DC7CDB" w:rsidRPr="00DC7CDB" w:rsidRDefault="00DC7CDB" w:rsidP="00F440D9">
      <w:pPr>
        <w:pStyle w:val="Style1"/>
        <w:spacing w:line="240" w:lineRule="auto"/>
        <w:ind w:left="720" w:hanging="360"/>
        <w:rPr>
          <w:rFonts w:ascii="Palatino Linotype" w:hAnsi="Palatino Linotype"/>
          <w:b/>
          <w:bCs/>
          <w:sz w:val="20"/>
          <w:szCs w:val="20"/>
        </w:rPr>
      </w:pPr>
      <w:r w:rsidRPr="00DC7CDB">
        <w:rPr>
          <w:rFonts w:ascii="Palatino Linotype" w:hAnsi="Palatino Linotype"/>
          <w:b/>
          <w:bCs/>
          <w:sz w:val="20"/>
          <w:szCs w:val="20"/>
        </w:rPr>
        <w:t xml:space="preserve">3. </w:t>
      </w:r>
      <w:r w:rsidR="00F440D9">
        <w:rPr>
          <w:rFonts w:ascii="Palatino Linotype" w:hAnsi="Palatino Linotype"/>
          <w:b/>
          <w:bCs/>
          <w:sz w:val="20"/>
          <w:szCs w:val="20"/>
        </w:rPr>
        <w:tab/>
      </w:r>
      <w:r w:rsidRPr="00DC7CDB">
        <w:rPr>
          <w:rFonts w:ascii="Palatino Linotype" w:hAnsi="Palatino Linotype"/>
          <w:b/>
          <w:bCs/>
          <w:sz w:val="20"/>
          <w:szCs w:val="20"/>
        </w:rPr>
        <w:t>“All of Israel Are Responsible One for the Other:” Between Obedience and Separateness</w:t>
      </w:r>
    </w:p>
    <w:p w14:paraId="0AC9CF49" w14:textId="2B11F6C7"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Obedience is linked, among other things, to a sense of conformity, cohesion, shared responsibility, belonging and unity. The actions of the individual, for better or worse, affect the rest of the community. In Judaism, by realizing that they are not separate individuals but part of a group, people feel less lonely and combative, and more prone to sympathy for those “others” to whom they in fact belong (Emmanuel 2012). When a person obeys the precepts of a religion, the rules of a group, or public opinion they feel protected and safe but in return they risk, of course, losing their autonomy (Fromm 1981: 8).</w:t>
      </w:r>
      <w:r w:rsidRPr="00DC7CDB">
        <w:rPr>
          <w:rFonts w:ascii="Palatino Linotype" w:hAnsi="Palatino Linotype"/>
          <w:sz w:val="20"/>
          <w:szCs w:val="20"/>
        </w:rPr>
        <w:br/>
      </w:r>
      <w:r w:rsidRPr="00DC7CDB">
        <w:rPr>
          <w:rFonts w:ascii="Palatino Linotype" w:hAnsi="Palatino Linotype"/>
          <w:sz w:val="20"/>
          <w:szCs w:val="20"/>
        </w:rPr>
        <w:tab/>
        <w:t xml:space="preserve">“All of Israel are responsible one for the other” is an expression coined by the Jewish sages. In the modern era, it is taken to mean that every Jew is responsible for the wellbeing and welfare of their fellow Jews, however, its original intention is that every Jew bears responsibility for every other Jew’s observance of the </w:t>
      </w:r>
      <w:r w:rsidRPr="00DC7CDB">
        <w:rPr>
          <w:rFonts w:ascii="Palatino Linotype" w:hAnsi="Palatino Linotype"/>
          <w:i/>
          <w:iCs/>
          <w:sz w:val="20"/>
          <w:szCs w:val="20"/>
        </w:rPr>
        <w:t>mitzvoth</w:t>
      </w:r>
      <w:r w:rsidRPr="00DC7CDB">
        <w:rPr>
          <w:rFonts w:ascii="Palatino Linotype" w:hAnsi="Palatino Linotype"/>
          <w:sz w:val="20"/>
          <w:szCs w:val="20"/>
        </w:rPr>
        <w:t xml:space="preserve">. The phrase comes from the </w:t>
      </w:r>
      <w:proofErr w:type="spellStart"/>
      <w:r w:rsidRPr="00DC7CDB">
        <w:rPr>
          <w:rFonts w:ascii="Palatino Linotype" w:hAnsi="Palatino Linotype"/>
          <w:sz w:val="20"/>
          <w:szCs w:val="20"/>
        </w:rPr>
        <w:t>Sifra</w:t>
      </w:r>
      <w:proofErr w:type="spellEnd"/>
      <w:r w:rsidRPr="00DC7CDB">
        <w:rPr>
          <w:rFonts w:ascii="Palatino Linotype" w:hAnsi="Palatino Linotype"/>
          <w:sz w:val="20"/>
          <w:szCs w:val="20"/>
        </w:rPr>
        <w:t xml:space="preserve"> </w:t>
      </w:r>
      <w:r w:rsidRPr="00DC7CDB">
        <w:rPr>
          <w:rFonts w:ascii="Palatino Linotype" w:hAnsi="Palatino Linotype"/>
          <w:i/>
          <w:iCs/>
          <w:sz w:val="20"/>
          <w:szCs w:val="20"/>
        </w:rPr>
        <w:t>midrash</w:t>
      </w:r>
      <w:r w:rsidRPr="00DC7CDB">
        <w:rPr>
          <w:rFonts w:ascii="Palatino Linotype" w:hAnsi="Palatino Linotype"/>
          <w:sz w:val="20"/>
          <w:szCs w:val="20"/>
        </w:rPr>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 (</w:t>
      </w:r>
      <w:proofErr w:type="spellStart"/>
      <w:r w:rsidRPr="00DC7CDB">
        <w:rPr>
          <w:rFonts w:ascii="Palatino Linotype" w:hAnsi="Palatino Linotype"/>
          <w:sz w:val="20"/>
          <w:szCs w:val="20"/>
        </w:rPr>
        <w:t>Sifra</w:t>
      </w:r>
      <w:proofErr w:type="spellEnd"/>
      <w:r w:rsidRPr="00DC7CDB">
        <w:rPr>
          <w:rFonts w:ascii="Palatino Linotype" w:hAnsi="Palatino Linotype"/>
          <w:sz w:val="20"/>
          <w:szCs w:val="20"/>
        </w:rPr>
        <w:t xml:space="preserve">, </w:t>
      </w:r>
      <w:proofErr w:type="spellStart"/>
      <w:r w:rsidRPr="00DC7CDB">
        <w:rPr>
          <w:rFonts w:ascii="Palatino Linotype" w:hAnsi="Palatino Linotype"/>
          <w:sz w:val="20"/>
          <w:szCs w:val="20"/>
        </w:rPr>
        <w:t>Bechukotai</w:t>
      </w:r>
      <w:proofErr w:type="spellEnd"/>
      <w:r w:rsidRPr="00DC7CDB">
        <w:rPr>
          <w:rFonts w:ascii="Palatino Linotype" w:hAnsi="Palatino Linotype"/>
          <w:sz w:val="20"/>
          <w:szCs w:val="20"/>
        </w:rPr>
        <w:t xml:space="preserve"> 7:5). In his commentary of this verse, </w:t>
      </w:r>
      <w:proofErr w:type="spellStart"/>
      <w:r w:rsidRPr="00DC7CDB">
        <w:rPr>
          <w:rFonts w:ascii="Palatino Linotype" w:hAnsi="Palatino Linotype"/>
          <w:sz w:val="20"/>
          <w:szCs w:val="20"/>
        </w:rPr>
        <w:t>Rashi</w:t>
      </w:r>
      <w:proofErr w:type="spellEnd"/>
      <w:r w:rsidRPr="00DC7CDB">
        <w:rPr>
          <w:rFonts w:ascii="Palatino Linotype" w:hAnsi="Palatino Linotype"/>
          <w:sz w:val="20"/>
          <w:szCs w:val="20"/>
        </w:rPr>
        <w:t xml:space="preserve"> repeats this sentiment, in slightly different wording: “A Midrashic explanation </w:t>
      </w:r>
      <w:proofErr w:type="gramStart"/>
      <w:r w:rsidRPr="00DC7CDB">
        <w:rPr>
          <w:rFonts w:ascii="Palatino Linotype" w:hAnsi="Palatino Linotype"/>
          <w:sz w:val="20"/>
          <w:szCs w:val="20"/>
        </w:rPr>
        <w:t>is:</w:t>
      </w:r>
      <w:proofErr w:type="gramEnd"/>
      <w:r w:rsidRPr="00DC7CDB">
        <w:rPr>
          <w:rFonts w:ascii="Palatino Linotype" w:hAnsi="Palatino Linotype"/>
          <w:sz w:val="20"/>
          <w:szCs w:val="20"/>
        </w:rPr>
        <w:t xml:space="preserve"> one will stumble on account of the other, for all Israelites are held responsible for one another.” Being responsible for one another conveys a strong sense of unity and accountability to one’s peers: an individual who disobeys the </w:t>
      </w:r>
      <w:r w:rsidRPr="00DC7CDB">
        <w:rPr>
          <w:rFonts w:ascii="Palatino Linotype" w:hAnsi="Palatino Linotype"/>
          <w:i/>
          <w:iCs/>
          <w:sz w:val="20"/>
          <w:szCs w:val="20"/>
        </w:rPr>
        <w:t>mitzvoth</w:t>
      </w:r>
      <w:r w:rsidRPr="00DC7CDB">
        <w:rPr>
          <w:rFonts w:ascii="Palatino Linotype" w:hAnsi="Palatino Linotype"/>
          <w:sz w:val="20"/>
          <w:szCs w:val="20"/>
        </w:rPr>
        <w:t xml:space="preserve"> brings woe onto others.</w:t>
      </w:r>
      <w:r w:rsidRPr="00DC7CDB">
        <w:rPr>
          <w:rFonts w:ascii="Palatino Linotype" w:hAnsi="Palatino Linotype"/>
          <w:sz w:val="20"/>
          <w:szCs w:val="20"/>
        </w:rPr>
        <w:br/>
      </w:r>
      <w:r w:rsidRPr="00DC7CDB">
        <w:rPr>
          <w:rFonts w:ascii="Palatino Linotype" w:hAnsi="Palatino Linotype"/>
          <w:sz w:val="20"/>
          <w:szCs w:val="20"/>
        </w:rPr>
        <w:tab/>
        <w:t>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ruler or a king, for instance. There are also instances when the entire people are punished due to the actions of one of their midst (Weiss 1987).</w:t>
      </w:r>
      <w:r w:rsidRPr="00DC7CDB">
        <w:rPr>
          <w:rFonts w:ascii="Palatino Linotype" w:hAnsi="Palatino Linotype"/>
          <w:sz w:val="20"/>
          <w:szCs w:val="20"/>
        </w:rPr>
        <w:br/>
      </w:r>
      <w:r w:rsidRPr="00DC7CDB">
        <w:rPr>
          <w:rFonts w:ascii="Palatino Linotype" w:hAnsi="Palatino Linotype"/>
          <w:sz w:val="20"/>
          <w:szCs w:val="20"/>
        </w:rPr>
        <w:tab/>
        <w:t>There is, however, in Judaism a deep-seated construct that, to my mind, often finds itself in direct conflict with the principle of obedience to group and community rules out of mutual accountability – and that is the sense of separateness. On the one hand, Jewish culture ordains collective responsibility and love of the other, yet on the other hand, it places great emphasis on the separation between “us” and “them.” The Jewish sources contain hierarchic orders of peoples and nations, as well as internal hierarchies between different Jewish tribes and factions. It is therefore easy to see how certain groups might be perceived as “other” and “different,” and therefore become excluded from the principles of mutual accountability and shared community.</w:t>
      </w:r>
      <w:r w:rsidRPr="00DC7CDB">
        <w:rPr>
          <w:rFonts w:ascii="Palatino Linotype" w:hAnsi="Palatino Linotype"/>
          <w:sz w:val="20"/>
          <w:szCs w:val="20"/>
        </w:rPr>
        <w:br/>
      </w:r>
      <w:r w:rsidRPr="00DC7CDB">
        <w:rPr>
          <w:rFonts w:ascii="Palatino Linotype" w:hAnsi="Palatino Linotype"/>
          <w:sz w:val="20"/>
          <w:szCs w:val="20"/>
        </w:rPr>
        <w:tab/>
        <w:t xml:space="preserve">The famous decree “love thy neighbor as thyself” (Leviticus 19:18) is a very important notion in the Bible, what Rabbi </w:t>
      </w:r>
      <w:proofErr w:type="spellStart"/>
      <w:r w:rsidRPr="00DC7CDB">
        <w:rPr>
          <w:rFonts w:ascii="Palatino Linotype" w:hAnsi="Palatino Linotype"/>
          <w:sz w:val="20"/>
          <w:szCs w:val="20"/>
        </w:rPr>
        <w:t>Akiva</w:t>
      </w:r>
      <w:proofErr w:type="spellEnd"/>
      <w:r w:rsidRPr="00DC7CDB">
        <w:rPr>
          <w:rFonts w:ascii="Palatino Linotype" w:hAnsi="Palatino Linotype"/>
          <w:sz w:val="20"/>
          <w:szCs w:val="20"/>
        </w:rPr>
        <w:t xml:space="preserve"> considers “the greatest principle of the Torah” (Jerusalem Talmud, </w:t>
      </w:r>
      <w:proofErr w:type="spellStart"/>
      <w:r w:rsidRPr="00DC7CDB">
        <w:rPr>
          <w:rFonts w:ascii="Palatino Linotype" w:hAnsi="Palatino Linotype"/>
          <w:sz w:val="20"/>
          <w:szCs w:val="20"/>
        </w:rPr>
        <w:t>Nedarim</w:t>
      </w:r>
      <w:proofErr w:type="spellEnd"/>
      <w:r w:rsidRPr="00DC7CDB">
        <w:rPr>
          <w:rFonts w:ascii="Palatino Linotype" w:hAnsi="Palatino Linotype"/>
          <w:sz w:val="20"/>
          <w:szCs w:val="20"/>
        </w:rPr>
        <w:t xml:space="preserve"> 30b).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w:t>
      </w:r>
      <w:proofErr w:type="gramStart"/>
      <w:r w:rsidRPr="00DC7CDB">
        <w:rPr>
          <w:rFonts w:ascii="Palatino Linotype" w:hAnsi="Palatino Linotype"/>
          <w:sz w:val="20"/>
          <w:szCs w:val="20"/>
        </w:rPr>
        <w:t>The</w:t>
      </w:r>
      <w:proofErr w:type="gramEnd"/>
      <w:r w:rsidRPr="00DC7CDB">
        <w:rPr>
          <w:rFonts w:ascii="Palatino Linotype" w:hAnsi="Palatino Linotype"/>
          <w:sz w:val="20"/>
          <w:szCs w:val="20"/>
        </w:rPr>
        <w:t xml:space="preserve"> first of all the commandments is, Hear, O </w:t>
      </w:r>
      <w:r w:rsidRPr="00DC7CDB">
        <w:rPr>
          <w:rFonts w:ascii="Palatino Linotype" w:hAnsi="Palatino Linotype"/>
          <w:sz w:val="20"/>
          <w:szCs w:val="20"/>
        </w:rPr>
        <w:lastRenderedPageBreak/>
        <w:t xml:space="preserve">Israel; The Lord our God is one Lord… And the second is like, namely this, </w:t>
      </w:r>
      <w:proofErr w:type="gramStart"/>
      <w:r w:rsidRPr="00DC7CDB">
        <w:rPr>
          <w:rFonts w:ascii="Palatino Linotype" w:hAnsi="Palatino Linotype"/>
          <w:sz w:val="20"/>
          <w:szCs w:val="20"/>
        </w:rPr>
        <w:t>Thou</w:t>
      </w:r>
      <w:proofErr w:type="gramEnd"/>
      <w:r w:rsidRPr="00DC7CDB">
        <w:rPr>
          <w:rFonts w:ascii="Palatino Linotype" w:hAnsi="Palatino Linotype"/>
          <w:sz w:val="20"/>
          <w:szCs w:val="20"/>
        </w:rPr>
        <w:t xml:space="preserve"> shalt love thy neighbor as thyself. There is none other commandment greater than these” (Mark 12:29–31).</w:t>
      </w:r>
      <w:r w:rsidRPr="00DC7CDB">
        <w:rPr>
          <w:rFonts w:ascii="Palatino Linotype" w:hAnsi="Palatino Linotype"/>
          <w:sz w:val="20"/>
          <w:szCs w:val="20"/>
        </w:rPr>
        <w:br/>
      </w:r>
      <w:r w:rsidRPr="00DC7CDB">
        <w:rPr>
          <w:rFonts w:ascii="Palatino Linotype" w:hAnsi="Palatino Linotype"/>
          <w:sz w:val="20"/>
          <w:szCs w:val="20"/>
        </w:rPr>
        <w:tab/>
        <w:t>And yet, a closer look at the full verse, as it appears in Leviticus – “Thou shalt not avenge, nor bear any grudge against the children of thy people, but thou shalt love thy neighbor as thyself: I am the Lord” (Leviticus 19:18) – tells us that the commandment to love “thy neighbor” actually refers to members of “thy people”. This is not an ordinance of universal love, but of the love of Israel, commanding the people of Israel to love one another. As Maimonides decrees: “It is a positive commandment for each man to love each Israelite as himself, as the verse says: ‘Thy shalt love thy neighbor as thyself’” (Maimonides 1983:44). According to this cultural conception, there can be no identification, merging, acceptance, or unity with the “other.”</w:t>
      </w:r>
      <w:r w:rsidR="0006723B">
        <w:rPr>
          <w:rFonts w:ascii="Palatino Linotype" w:hAnsi="Palatino Linotype"/>
          <w:sz w:val="20"/>
          <w:szCs w:val="20"/>
        </w:rPr>
        <w:br/>
      </w:r>
      <w:r w:rsidRPr="00DC7CDB">
        <w:rPr>
          <w:rFonts w:ascii="Palatino Linotype" w:hAnsi="Palatino Linotype"/>
          <w:sz w:val="20"/>
          <w:szCs w:val="20"/>
        </w:rPr>
        <w:t>As mentioned above, the Old Testament presents a clear and distinct hierarchy between peoples, groups, and even individuals. A relatively significant portion of the biblical discourse is allotted to ranking, separating, and distinguishing (Nir 2016). This very deep-seated element in Judaism can often go against the principle of mutual accountability and obedience for the sake of the group. The idea of “the chosen people,” for instance, appears many times in the biblical text: “I give waters in the wilderness, and rivers in the desert, to give drink to my people, my chosen” (Isaiah 43:20); “the Lord thy God hath chosen thee to be a special people unto himself, above all people that are upon the face of the earth” (Deuteronomy 7:6); “it is he that hath made us, and not we ourselves; we are his people” (Psalms 100:3). The concept of a “chosen people” is, of course, diametrically opposed to the idea of a universal God. At the very basis of the notion of being “chosen” is the idea of being singled out from the others, of separateness, and comparison.</w:t>
      </w:r>
      <w:r w:rsidRPr="00DC7CDB">
        <w:rPr>
          <w:rFonts w:ascii="Palatino Linotype" w:hAnsi="Palatino Linotype"/>
          <w:sz w:val="20"/>
          <w:szCs w:val="20"/>
        </w:rPr>
        <w:br/>
      </w:r>
      <w:r w:rsidRPr="00DC7CDB">
        <w:rPr>
          <w:rFonts w:ascii="Palatino Linotype" w:hAnsi="Palatino Linotype"/>
          <w:sz w:val="20"/>
          <w:szCs w:val="20"/>
        </w:rPr>
        <w:tab/>
        <w:t xml:space="preserve">The idea of being “chosen” in the Bible, as mentioned previously, is not exclusive to a people, but can also apply to tribes or groups. Among the twelve Israelite tribes, God sets the Levi tribe apart from the others: “And I, behold, I have taken the Levites from among the children of Israel…therefore the Levites shall be mine” (Numbers 3:12). And out of the Levi tribe, God selects the </w:t>
      </w:r>
      <w:r w:rsidRPr="00DC7CDB">
        <w:rPr>
          <w:rFonts w:ascii="Palatino Linotype" w:hAnsi="Palatino Linotype"/>
          <w:i/>
          <w:iCs/>
          <w:sz w:val="20"/>
          <w:szCs w:val="20"/>
        </w:rPr>
        <w:t>Cohanim</w:t>
      </w:r>
      <w:r w:rsidRPr="00DC7CDB">
        <w:rPr>
          <w:rFonts w:ascii="Palatino Linotype" w:hAnsi="Palatino Linotype"/>
          <w:sz w:val="20"/>
          <w:szCs w:val="20"/>
        </w:rPr>
        <w:t xml:space="preserve"> (the priestly caste): “Take the sum of the sons of Kohath from among the sons of Levi” (Numbers 4:2). </w:t>
      </w:r>
      <w:proofErr w:type="spellStart"/>
      <w:r w:rsidRPr="00DC7CDB">
        <w:rPr>
          <w:rFonts w:ascii="Palatino Linotype" w:hAnsi="Palatino Linotype"/>
          <w:sz w:val="20"/>
          <w:szCs w:val="20"/>
        </w:rPr>
        <w:t>Aharon</w:t>
      </w:r>
      <w:proofErr w:type="spellEnd"/>
      <w:r w:rsidRPr="00DC7CDB">
        <w:rPr>
          <w:rFonts w:ascii="Palatino Linotype" w:hAnsi="Palatino Linotype"/>
          <w:sz w:val="20"/>
          <w:szCs w:val="20"/>
        </w:rPr>
        <w:t xml:space="preserve"> the priest, who is the progenitor of all the priests of Israel, is the son of Amram son of Kohath, and Kohath is the second son of Levi, son of Jacob. Their chosen status bestows onto them the duty “to do the work in the tabernacle of the congregation. This shall be the service of the sons of Kohath in the tabernacle of the congregation about the most holy things” (Numbers 4:3–4).</w:t>
      </w:r>
      <w:r w:rsidRPr="00DC7CDB">
        <w:rPr>
          <w:rFonts w:ascii="Palatino Linotype" w:hAnsi="Palatino Linotype"/>
          <w:sz w:val="20"/>
          <w:szCs w:val="20"/>
        </w:rPr>
        <w:br/>
      </w:r>
      <w:r w:rsidRPr="00DC7CDB">
        <w:rPr>
          <w:rFonts w:ascii="Palatino Linotype" w:hAnsi="Palatino Linotype"/>
          <w:sz w:val="20"/>
          <w:szCs w:val="20"/>
        </w:rPr>
        <w:tab/>
        <w:t xml:space="preserve">The selection of the chosen people from among all other peoples and of one tribe from among the twelve can form the cultural basis for a comparative perception of various groups – a tribal, sectarian, differentiating and non-unifying outlook. Obedience to the idea that ​​“all of Israel are responsible one for the other "remains an important value in Judaism, but mostly when it comes to the </w:t>
      </w:r>
      <w:r w:rsidRPr="00DC7CDB">
        <w:rPr>
          <w:rFonts w:ascii="Palatino Linotype" w:hAnsi="Palatino Linotype"/>
          <w:i/>
          <w:iCs/>
          <w:sz w:val="20"/>
          <w:szCs w:val="20"/>
        </w:rPr>
        <w:t>mitzvoth</w:t>
      </w:r>
      <w:r w:rsidRPr="00DC7CDB">
        <w:rPr>
          <w:rFonts w:ascii="Palatino Linotype" w:hAnsi="Palatino Linotype"/>
          <w:sz w:val="20"/>
          <w:szCs w:val="20"/>
        </w:rPr>
        <w:t xml:space="preserve"> between man and God. In the </w:t>
      </w:r>
      <w:r w:rsidRPr="00DC7CDB">
        <w:rPr>
          <w:rFonts w:ascii="Palatino Linotype" w:hAnsi="Palatino Linotype"/>
          <w:i/>
          <w:iCs/>
          <w:sz w:val="20"/>
          <w:szCs w:val="20"/>
        </w:rPr>
        <w:t>mitzvoth</w:t>
      </w:r>
      <w:r w:rsidRPr="00DC7CDB">
        <w:rPr>
          <w:rFonts w:ascii="Palatino Linotype" w:hAnsi="Palatino Linotype"/>
          <w:sz w:val="20"/>
          <w:szCs w:val="20"/>
        </w:rPr>
        <w:t xml:space="preserve"> between man and his peers, this value is only salient within the boundaries of the peer group and, therefore, it may lose its broad societal impact. This is a built-in conflict that does not necessarily engender a dialectical relationship between internal obedience within the community to which we belong, out of mutual accountability, and the external disobedience toward the “others” – as those within the community might perceive those outside it.</w:t>
      </w:r>
    </w:p>
    <w:p w14:paraId="2FE1FBBE" w14:textId="25B3056D" w:rsidR="0006723B" w:rsidRDefault="00DC7CDB" w:rsidP="00F440D9">
      <w:pPr>
        <w:pStyle w:val="Style1"/>
        <w:spacing w:line="240" w:lineRule="auto"/>
        <w:ind w:left="720" w:hanging="360"/>
        <w:rPr>
          <w:rFonts w:ascii="Palatino Linotype" w:hAnsi="Palatino Linotype"/>
          <w:b/>
          <w:bCs/>
          <w:sz w:val="20"/>
          <w:szCs w:val="20"/>
        </w:rPr>
      </w:pPr>
      <w:r w:rsidRPr="00DC7CDB">
        <w:rPr>
          <w:rFonts w:ascii="Palatino Linotype" w:hAnsi="Palatino Linotype"/>
          <w:b/>
          <w:bCs/>
          <w:sz w:val="20"/>
          <w:szCs w:val="20"/>
        </w:rPr>
        <w:t xml:space="preserve">4. </w:t>
      </w:r>
      <w:r w:rsidR="00F440D9">
        <w:rPr>
          <w:rFonts w:ascii="Palatino Linotype" w:hAnsi="Palatino Linotype"/>
          <w:b/>
          <w:bCs/>
          <w:sz w:val="20"/>
          <w:szCs w:val="20"/>
        </w:rPr>
        <w:tab/>
      </w:r>
      <w:r w:rsidRPr="00DC7CDB">
        <w:rPr>
          <w:rFonts w:ascii="Palatino Linotype" w:hAnsi="Palatino Linotype"/>
          <w:b/>
          <w:bCs/>
          <w:sz w:val="20"/>
          <w:szCs w:val="20"/>
        </w:rPr>
        <w:t>“We Will Do and Be Obedient” – Between Obedience and a “Stiff-necked People”</w:t>
      </w:r>
    </w:p>
    <w:p w14:paraId="5D897790" w14:textId="61590A03" w:rsidR="00DC7CDB" w:rsidRPr="0006723B" w:rsidRDefault="00DC7CDB" w:rsidP="0006723B">
      <w:pPr>
        <w:pStyle w:val="Style1"/>
        <w:spacing w:line="240" w:lineRule="auto"/>
        <w:ind w:left="720" w:firstLine="300"/>
        <w:rPr>
          <w:rFonts w:ascii="Palatino Linotype" w:hAnsi="Palatino Linotype"/>
          <w:b/>
          <w:bCs/>
          <w:sz w:val="20"/>
          <w:szCs w:val="20"/>
        </w:rPr>
      </w:pPr>
      <w:r w:rsidRPr="0006723B">
        <w:rPr>
          <w:rFonts w:ascii="Palatino Linotype" w:hAnsi="Palatino Linotype"/>
          <w:sz w:val="20"/>
          <w:szCs w:val="20"/>
        </w:rPr>
        <w:t xml:space="preserve">In the biblical account of the reception of the Torah on Mount Sinai, the Israelites are quoted as saying only that they will do as the Lord says: “And Moses came and called for the elders of the </w:t>
      </w:r>
      <w:proofErr w:type="gramStart"/>
      <w:r w:rsidRPr="0006723B">
        <w:rPr>
          <w:rFonts w:ascii="Palatino Linotype" w:hAnsi="Palatino Linotype"/>
          <w:sz w:val="20"/>
          <w:szCs w:val="20"/>
        </w:rPr>
        <w:t>people, and</w:t>
      </w:r>
      <w:proofErr w:type="gramEnd"/>
      <w:r w:rsidRPr="0006723B">
        <w:rPr>
          <w:rFonts w:ascii="Palatino Linotype" w:hAnsi="Palatino Linotype"/>
          <w:sz w:val="20"/>
          <w:szCs w:val="20"/>
        </w:rPr>
        <w:t xml:space="preserve"> laid before their faces all these words which the Lord commanded him. And all the people answered together, and </w:t>
      </w:r>
      <w:r w:rsidRPr="0006723B">
        <w:rPr>
          <w:rFonts w:ascii="Palatino Linotype" w:hAnsi="Palatino Linotype"/>
          <w:sz w:val="20"/>
          <w:szCs w:val="20"/>
        </w:rPr>
        <w:lastRenderedPageBreak/>
        <w:t xml:space="preserve">said, </w:t>
      </w:r>
      <w:proofErr w:type="gramStart"/>
      <w:r w:rsidRPr="0006723B">
        <w:rPr>
          <w:rFonts w:ascii="Palatino Linotype" w:hAnsi="Palatino Linotype"/>
          <w:sz w:val="20"/>
          <w:szCs w:val="20"/>
        </w:rPr>
        <w:t>All</w:t>
      </w:r>
      <w:proofErr w:type="gramEnd"/>
      <w:r w:rsidRPr="0006723B">
        <w:rPr>
          <w:rFonts w:ascii="Palatino Linotype" w:hAnsi="Palatino Linotype"/>
          <w:sz w:val="20"/>
          <w:szCs w:val="20"/>
        </w:rPr>
        <w:t xml:space="preserve"> that the Lord hath spoken we will do” (Exodus 19:7–8). The combination of “we will do and be obedient” appears only later: “And he took the book of the </w:t>
      </w:r>
      <w:proofErr w:type="gramStart"/>
      <w:r w:rsidRPr="0006723B">
        <w:rPr>
          <w:rFonts w:ascii="Palatino Linotype" w:hAnsi="Palatino Linotype"/>
          <w:sz w:val="20"/>
          <w:szCs w:val="20"/>
        </w:rPr>
        <w:t>covenant, and</w:t>
      </w:r>
      <w:proofErr w:type="gramEnd"/>
      <w:r w:rsidRPr="0006723B">
        <w:rPr>
          <w:rFonts w:ascii="Palatino Linotype" w:hAnsi="Palatino Linotype"/>
          <w:sz w:val="20"/>
          <w:szCs w:val="20"/>
        </w:rPr>
        <w:t xml:space="preserve"> read in the audience of the people: and they said, All that the Lord hath said will we do, and be obedient” (Exodus 24:7). The accepted interpretation of the verse sees this phrase as an expression of the symbiotic relationship between the recognition of the burden of the </w:t>
      </w:r>
      <w:r w:rsidRPr="0006723B">
        <w:rPr>
          <w:rFonts w:ascii="Palatino Linotype" w:hAnsi="Palatino Linotype"/>
          <w:i/>
          <w:iCs/>
          <w:sz w:val="20"/>
          <w:szCs w:val="20"/>
        </w:rPr>
        <w:t>mitzvoth</w:t>
      </w:r>
      <w:r w:rsidRPr="0006723B">
        <w:rPr>
          <w:rFonts w:ascii="Palatino Linotype" w:hAnsi="Palatino Linotype"/>
          <w:sz w:val="20"/>
          <w:szCs w:val="20"/>
        </w:rPr>
        <w:t xml:space="preserve"> and the recognition of the Divine Power. In the writings of the sages, the expression “we will do and be obedient” becomes a distinct symbol of faith-based obedience that signifies an unconditional acceptance of the Torah: “Rabbi </w:t>
      </w:r>
      <w:proofErr w:type="spellStart"/>
      <w:r w:rsidRPr="0006723B">
        <w:rPr>
          <w:rFonts w:ascii="Palatino Linotype" w:hAnsi="Palatino Linotype"/>
          <w:sz w:val="20"/>
          <w:szCs w:val="20"/>
        </w:rPr>
        <w:t>Simai</w:t>
      </w:r>
      <w:proofErr w:type="spellEnd"/>
      <w:r w:rsidRPr="0006723B">
        <w:rPr>
          <w:rFonts w:ascii="Palatino Linotype" w:hAnsi="Palatino Linotype"/>
          <w:sz w:val="20"/>
          <w:szCs w:val="20"/>
        </w:rPr>
        <w:t xml:space="preserve"> taught: When Israel accorded precedence to the declaration ‘We will do’ over the declaration ‘We will obey,’ 600,000 ministering angels came and tied two crowns to each and every member of the Jewish people, one corresponding to ‘We will do’ and one corresponding to ‘We will obey’” (Babylonian Talmud, Shabbat 88a). There is, however, another interpretation which states that God had forced the people of Israel to accept the burden of the divine Power out of apprehension that they would be too terrified by the revelation on Mount Sinai: “The Almighty held the mountain over them like a barrel - even though they had already said ‘We will do and we will obey,’ perhaps they retracted when they saw the great fire [on the mountain] that caused their souls to depart” (Babylonian Talmud, </w:t>
      </w:r>
      <w:proofErr w:type="spellStart"/>
      <w:r w:rsidRPr="0006723B">
        <w:rPr>
          <w:rFonts w:ascii="Palatino Linotype" w:hAnsi="Palatino Linotype"/>
          <w:sz w:val="20"/>
          <w:szCs w:val="20"/>
        </w:rPr>
        <w:t>Tosafot</w:t>
      </w:r>
      <w:proofErr w:type="spellEnd"/>
      <w:r w:rsidRPr="0006723B">
        <w:rPr>
          <w:rFonts w:ascii="Palatino Linotype" w:hAnsi="Palatino Linotype"/>
          <w:sz w:val="20"/>
          <w:szCs w:val="20"/>
        </w:rPr>
        <w:t xml:space="preserve"> Shabbat 88a:5).</w:t>
      </w:r>
      <w:r w:rsidRPr="0006723B">
        <w:rPr>
          <w:rFonts w:ascii="Palatino Linotype" w:hAnsi="Palatino Linotype"/>
          <w:sz w:val="20"/>
          <w:szCs w:val="20"/>
        </w:rPr>
        <w:br/>
      </w:r>
      <w:r w:rsidRPr="0006723B">
        <w:rPr>
          <w:rFonts w:ascii="Palatino Linotype" w:hAnsi="Palatino Linotype"/>
          <w:sz w:val="20"/>
          <w:szCs w:val="20"/>
        </w:rPr>
        <w:tab/>
        <w:t>Absolute obedience and the unconditional acceptance of the Torah are also implicated in the doctrine of divine retribution. Jewish ethics are based on a reward/punishment dialectic between man, the community and God. The nation and the individual determine their fate by their actions (</w:t>
      </w:r>
      <w:proofErr w:type="spellStart"/>
      <w:r w:rsidRPr="0006723B">
        <w:rPr>
          <w:rFonts w:ascii="Palatino Linotype" w:hAnsi="Palatino Linotype"/>
          <w:sz w:val="20"/>
          <w:szCs w:val="20"/>
        </w:rPr>
        <w:t>Yakobson</w:t>
      </w:r>
      <w:proofErr w:type="spellEnd"/>
      <w:r w:rsidRPr="0006723B">
        <w:rPr>
          <w:rFonts w:ascii="Palatino Linotype" w:hAnsi="Palatino Linotype"/>
          <w:sz w:val="20"/>
          <w:szCs w:val="20"/>
        </w:rPr>
        <w:t xml:space="preserve"> 1959). The designation of Israel as the chosen people confers upon them the duty to serve as an example to all other nations and </w:t>
      </w:r>
      <w:proofErr w:type="gramStart"/>
      <w:r w:rsidRPr="0006723B">
        <w:rPr>
          <w:rFonts w:ascii="Palatino Linotype" w:hAnsi="Palatino Linotype"/>
          <w:sz w:val="20"/>
          <w:szCs w:val="20"/>
        </w:rPr>
        <w:t>therefore</w:t>
      </w:r>
      <w:proofErr w:type="gramEnd"/>
      <w:r w:rsidRPr="0006723B">
        <w:rPr>
          <w:rFonts w:ascii="Palatino Linotype" w:hAnsi="Palatino Linotype"/>
          <w:sz w:val="20"/>
          <w:szCs w:val="20"/>
        </w:rPr>
        <w:t xml:space="preserve"> they are punished severely for any infraction against God’s decrees and </w:t>
      </w:r>
      <w:r w:rsidRPr="0006723B">
        <w:rPr>
          <w:rFonts w:ascii="Palatino Linotype" w:hAnsi="Palatino Linotype"/>
          <w:i/>
          <w:iCs/>
          <w:sz w:val="20"/>
          <w:szCs w:val="20"/>
        </w:rPr>
        <w:t>mitzvoth</w:t>
      </w:r>
      <w:r w:rsidRPr="0006723B">
        <w:rPr>
          <w:rFonts w:ascii="Palatino Linotype" w:hAnsi="Palatino Linotype"/>
          <w:sz w:val="20"/>
          <w:szCs w:val="20"/>
        </w:rPr>
        <w:t xml:space="preserve">: “You only have I known of all the families of the earth: therefore I will punish you for all your iniquities” (Amos 3:2). In the divine court of judgment, a man is rewarded and punished not only based on his own actions but based on those of his fathers. And the repercussions do not stop there, for the whole nation is implicated in the act of sin. Roughly three thousand people participated in the fabrication of the golden calf (Exodus 32:28) and yet the entire nation of Israel is punished for it: “And the Lord plagued the people because they made the calf, which Aaron made” (Exodus 32:35). Just as obedience and strict observance of the </w:t>
      </w:r>
      <w:r w:rsidRPr="0006723B">
        <w:rPr>
          <w:rFonts w:ascii="Palatino Linotype" w:hAnsi="Palatino Linotype"/>
          <w:i/>
          <w:iCs/>
          <w:sz w:val="20"/>
          <w:szCs w:val="20"/>
        </w:rPr>
        <w:t>mitzvoth</w:t>
      </w:r>
      <w:r w:rsidRPr="0006723B">
        <w:rPr>
          <w:rFonts w:ascii="Palatino Linotype" w:hAnsi="Palatino Linotype"/>
          <w:sz w:val="20"/>
          <w:szCs w:val="20"/>
        </w:rPr>
        <w:t xml:space="preserve"> come with the promise of palpable reward, disobedience entails truly dreadful penalties:</w:t>
      </w:r>
    </w:p>
    <w:p w14:paraId="7DBCC59F" w14:textId="77777777" w:rsidR="00DC7CDB" w:rsidRPr="00DC7CDB" w:rsidRDefault="00DC7CDB" w:rsidP="0006723B">
      <w:pPr>
        <w:pStyle w:val="blockquote"/>
        <w:spacing w:line="240" w:lineRule="auto"/>
        <w:ind w:left="1530"/>
        <w:rPr>
          <w:rFonts w:ascii="Palatino Linotype" w:hAnsi="Palatino Linotype"/>
          <w:sz w:val="20"/>
          <w:szCs w:val="20"/>
        </w:rPr>
      </w:pPr>
      <w:r w:rsidRPr="00DC7CDB">
        <w:rPr>
          <w:rFonts w:ascii="Palatino Linotype" w:hAnsi="Palatino Linotype"/>
          <w:sz w:val="20"/>
          <w:szCs w:val="20"/>
        </w:rPr>
        <w:t>If thou wilt not hearken unto the voice of the Lord thy God, to observe to do all his commandments and his statutes…all these curses shall come upon thee, and overtake thee: cursed shalt thou be in the city, and cursed shalt thou be in the field… cursed shall be the fruit of thy body, and the fruit of thy land… and thou shalt not prosper in thy ways: and thou shalt be only oppressed and spoiled evermore, and no man shall save thee” (Deuteronomy 28:15–29)</w:t>
      </w:r>
    </w:p>
    <w:p w14:paraId="4DF65DB2" w14:textId="04788305" w:rsidR="00DC7CDB" w:rsidRPr="00DC7CDB" w:rsidRDefault="00DC7CDB" w:rsidP="0006723B">
      <w:pPr>
        <w:pStyle w:val="Style1"/>
        <w:spacing w:line="240" w:lineRule="auto"/>
        <w:ind w:left="720" w:firstLine="30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 xml:space="preserve">The absolute obedience inferred from “we will do and be obedient” is at odds with the biblical description of the people as “stiff-necked,” or obstinate: “And the Lord said unto Moses, I have seen this people, and behold, it is a stiff-necked people” (Exodus 32:9); “they would not hear, but hardened their necks, like to the neck of their fathers, that did not believe in the Lord their God” (2 Kings 17:14). The biblical story reveals that it is because the chosen people is “stiff-necked” that they have a hard time obeying the Lord their God, as well as its own leaders. In the Book of Numbers, the people disobey the laws of the Hebrew God and choose Moabite gods and women over him: “And Israel abode in Shittim, and the people began to commit </w:t>
      </w:r>
      <w:proofErr w:type="gramStart"/>
      <w:r w:rsidRPr="00DC7CDB">
        <w:rPr>
          <w:rFonts w:ascii="Palatino Linotype" w:hAnsi="Palatino Linotype"/>
          <w:sz w:val="20"/>
          <w:szCs w:val="20"/>
          <w:shd w:val="clear" w:color="auto" w:fill="FFFFFF"/>
        </w:rPr>
        <w:t>whoredom</w:t>
      </w:r>
      <w:proofErr w:type="gramEnd"/>
      <w:r w:rsidRPr="00DC7CDB">
        <w:rPr>
          <w:rFonts w:ascii="Palatino Linotype" w:hAnsi="Palatino Linotype"/>
          <w:sz w:val="20"/>
          <w:szCs w:val="20"/>
          <w:shd w:val="clear" w:color="auto" w:fill="FFFFFF"/>
        </w:rPr>
        <w:t xml:space="preserve"> with the daughters of Moab. And they called the people unto the sacrifices of their gods: and the people did </w:t>
      </w:r>
      <w:proofErr w:type="gramStart"/>
      <w:r w:rsidRPr="00DC7CDB">
        <w:rPr>
          <w:rFonts w:ascii="Palatino Linotype" w:hAnsi="Palatino Linotype"/>
          <w:sz w:val="20"/>
          <w:szCs w:val="20"/>
          <w:shd w:val="clear" w:color="auto" w:fill="FFFFFF"/>
        </w:rPr>
        <w:t>eat, and</w:t>
      </w:r>
      <w:proofErr w:type="gramEnd"/>
      <w:r w:rsidRPr="00DC7CDB">
        <w:rPr>
          <w:rFonts w:ascii="Palatino Linotype" w:hAnsi="Palatino Linotype"/>
          <w:sz w:val="20"/>
          <w:szCs w:val="20"/>
          <w:shd w:val="clear" w:color="auto" w:fill="FFFFFF"/>
        </w:rPr>
        <w:t xml:space="preserve"> bowed down to their gods” (Numbers 25:1). In the Book of Judges, the people once again disobey and </w:t>
      </w:r>
      <w:r w:rsidRPr="00DC7CDB">
        <w:rPr>
          <w:rFonts w:ascii="Palatino Linotype" w:hAnsi="Palatino Linotype"/>
          <w:sz w:val="20"/>
          <w:szCs w:val="20"/>
          <w:shd w:val="clear" w:color="auto" w:fill="FFFFFF"/>
        </w:rPr>
        <w:lastRenderedPageBreak/>
        <w:t xml:space="preserve">sin by worshipping foreign gods: “And the children of Israel did evil again in the sight of the Lord and served </w:t>
      </w:r>
      <w:proofErr w:type="spellStart"/>
      <w:r w:rsidRPr="00DC7CDB">
        <w:rPr>
          <w:rFonts w:ascii="Palatino Linotype" w:hAnsi="Palatino Linotype"/>
          <w:sz w:val="20"/>
          <w:szCs w:val="20"/>
          <w:shd w:val="clear" w:color="auto" w:fill="FFFFFF"/>
        </w:rPr>
        <w:t>Baalim</w:t>
      </w:r>
      <w:proofErr w:type="spellEnd"/>
      <w:r w:rsidRPr="00DC7CDB">
        <w:rPr>
          <w:rFonts w:ascii="Palatino Linotype" w:hAnsi="Palatino Linotype"/>
          <w:sz w:val="20"/>
          <w:szCs w:val="20"/>
          <w:shd w:val="clear" w:color="auto" w:fill="FFFFFF"/>
        </w:rPr>
        <w:t xml:space="preserve">, and Ashtaroth, and the gods of Syria, and the gods of </w:t>
      </w:r>
      <w:proofErr w:type="spellStart"/>
      <w:r w:rsidRPr="00DC7CDB">
        <w:rPr>
          <w:rFonts w:ascii="Palatino Linotype" w:hAnsi="Palatino Linotype"/>
          <w:sz w:val="20"/>
          <w:szCs w:val="20"/>
          <w:shd w:val="clear" w:color="auto" w:fill="FFFFFF"/>
        </w:rPr>
        <w:t>Zidon</w:t>
      </w:r>
      <w:proofErr w:type="spellEnd"/>
      <w:r w:rsidRPr="00DC7CDB">
        <w:rPr>
          <w:rFonts w:ascii="Palatino Linotype" w:hAnsi="Palatino Linotype"/>
          <w:sz w:val="20"/>
          <w:szCs w:val="20"/>
          <w:shd w:val="clear" w:color="auto" w:fill="FFFFFF"/>
        </w:rPr>
        <w:t>, and the gods of Moab, and the gods of the children of Ammon, and the gods of the Philistines, and forsook the Lord, and served not him” (Judges 10:6).</w:t>
      </w:r>
      <w:r w:rsidRPr="00DC7CDB">
        <w:rPr>
          <w:rFonts w:ascii="Palatino Linotype" w:hAnsi="Palatino Linotype"/>
          <w:sz w:val="20"/>
          <w:szCs w:val="20"/>
          <w:shd w:val="clear" w:color="auto" w:fill="FFFFFF"/>
        </w:rPr>
        <w:br/>
      </w:r>
      <w:r w:rsidRPr="00DC7CDB">
        <w:rPr>
          <w:rFonts w:ascii="Palatino Linotype" w:hAnsi="Palatino Linotype"/>
          <w:sz w:val="20"/>
          <w:szCs w:val="20"/>
          <w:shd w:val="clear" w:color="auto" w:fill="FFFFFF"/>
        </w:rPr>
        <w:tab/>
        <w:t xml:space="preserve">The people are not the only ones depicted as “stiff-necked”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“thou shalt not covet thy neighbor's wife” (Exodus 20:17). King Solomon goes against the rules God lays out for the future kings of Israel: “Neither shall he multiply wives to himself, that his heart turn not away: neither shall he greatly multiply to himself silver and gold” (Deuteronomy 17:17). Jeroboam sins by worshipping false gods: “Whereupon the king took counsel, and made two calves of gold, and said unto them, </w:t>
      </w:r>
      <w:proofErr w:type="gramStart"/>
      <w:r w:rsidRPr="00DC7CDB">
        <w:rPr>
          <w:rFonts w:ascii="Palatino Linotype" w:hAnsi="Palatino Linotype"/>
          <w:sz w:val="20"/>
          <w:szCs w:val="20"/>
          <w:shd w:val="clear" w:color="auto" w:fill="FFFFFF"/>
        </w:rPr>
        <w:t>It</w:t>
      </w:r>
      <w:proofErr w:type="gramEnd"/>
      <w:r w:rsidRPr="00DC7CDB">
        <w:rPr>
          <w:rFonts w:ascii="Palatino Linotype" w:hAnsi="Palatino Linotype"/>
          <w:sz w:val="20"/>
          <w:szCs w:val="20"/>
          <w:shd w:val="clear" w:color="auto" w:fill="FFFFFF"/>
        </w:rPr>
        <w:t xml:space="preserve"> is too much for you to go up to Jerusalem: behold thy gods, O Israel, which brought thee up out of the land of Egypt…</w:t>
      </w:r>
      <w:r w:rsidRPr="00DC7CDB">
        <w:rPr>
          <w:rFonts w:ascii="Palatino Linotype" w:hAnsi="Palatino Linotype"/>
          <w:sz w:val="20"/>
          <w:szCs w:val="20"/>
        </w:rPr>
        <w:t xml:space="preserve"> </w:t>
      </w:r>
      <w:r w:rsidRPr="00DC7CDB">
        <w:rPr>
          <w:rFonts w:ascii="Palatino Linotype" w:hAnsi="Palatino Linotype"/>
          <w:sz w:val="20"/>
          <w:szCs w:val="20"/>
          <w:shd w:val="clear" w:color="auto" w:fill="FFFFFF"/>
        </w:rPr>
        <w:t>And this thing became a sin” (1 Kings 12:28–30). In fact, there is a whole dynasty of rulers described in the First Book of Kings who do evil in the sight of God:</w:t>
      </w:r>
    </w:p>
    <w:p w14:paraId="7F755618" w14:textId="77777777" w:rsidR="00DC7CDB" w:rsidRPr="00DC7CDB" w:rsidRDefault="00DC7CDB" w:rsidP="0006723B">
      <w:pPr>
        <w:pStyle w:val="blockquote"/>
        <w:spacing w:line="240" w:lineRule="auto"/>
        <w:ind w:left="153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And Nadab the son of Jeroboam began to reign over Israel…And he did evil in the sight of the Lord, and walked in the way of his father, and in his sin wherewith he made Israel to sin…</w:t>
      </w:r>
      <w:r w:rsidRPr="00DC7CDB">
        <w:rPr>
          <w:rFonts w:ascii="Palatino Linotype" w:hAnsi="Palatino Linotype"/>
          <w:sz w:val="20"/>
          <w:szCs w:val="20"/>
        </w:rPr>
        <w:t xml:space="preserve"> </w:t>
      </w:r>
      <w:r w:rsidRPr="00DC7CDB">
        <w:rPr>
          <w:rFonts w:ascii="Palatino Linotype" w:hAnsi="Palatino Linotype"/>
          <w:sz w:val="20"/>
          <w:szCs w:val="20"/>
          <w:shd w:val="clear" w:color="auto" w:fill="FFFFFF"/>
        </w:rPr>
        <w:t xml:space="preserve">In the third year of Asa king of Judah began </w:t>
      </w:r>
      <w:proofErr w:type="spellStart"/>
      <w:r w:rsidRPr="00DC7CDB">
        <w:rPr>
          <w:rFonts w:ascii="Palatino Linotype" w:hAnsi="Palatino Linotype"/>
          <w:sz w:val="20"/>
          <w:szCs w:val="20"/>
          <w:shd w:val="clear" w:color="auto" w:fill="FFFFFF"/>
        </w:rPr>
        <w:t>Baasha</w:t>
      </w:r>
      <w:proofErr w:type="spellEnd"/>
      <w:r w:rsidRPr="00DC7CDB">
        <w:rPr>
          <w:rFonts w:ascii="Palatino Linotype" w:hAnsi="Palatino Linotype"/>
          <w:sz w:val="20"/>
          <w:szCs w:val="20"/>
          <w:shd w:val="clear" w:color="auto" w:fill="FFFFFF"/>
        </w:rPr>
        <w:t xml:space="preserve"> the son of </w:t>
      </w:r>
      <w:proofErr w:type="spellStart"/>
      <w:r w:rsidRPr="00DC7CDB">
        <w:rPr>
          <w:rFonts w:ascii="Palatino Linotype" w:hAnsi="Palatino Linotype"/>
          <w:sz w:val="20"/>
          <w:szCs w:val="20"/>
          <w:shd w:val="clear" w:color="auto" w:fill="FFFFFF"/>
        </w:rPr>
        <w:t>Ahijah</w:t>
      </w:r>
      <w:proofErr w:type="spellEnd"/>
      <w:r w:rsidRPr="00DC7CDB">
        <w:rPr>
          <w:rFonts w:ascii="Palatino Linotype" w:hAnsi="Palatino Linotype"/>
          <w:sz w:val="20"/>
          <w:szCs w:val="20"/>
          <w:shd w:val="clear" w:color="auto" w:fill="FFFFFF"/>
        </w:rPr>
        <w:t xml:space="preserve"> to reign over all Israel…And he did evil in the sight of the Lord, and walked in the way of Jeroboam, and in his sin wherewith he made Israel to sin. (1 Kings 15:25–34)</w:t>
      </w:r>
    </w:p>
    <w:p w14:paraId="5374CE27" w14:textId="46A01801" w:rsidR="00DC7CDB" w:rsidRPr="00DC7CDB" w:rsidRDefault="00DC7CDB" w:rsidP="0006723B">
      <w:pPr>
        <w:pStyle w:val="Style1"/>
        <w:spacing w:line="240" w:lineRule="auto"/>
        <w:ind w:left="720" w:firstLine="30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In the Second Book of Kings, we find a description of King Zedekiah’s disobedience: “Zedekiah was twenty and one years old when he began to reign… And he did that which was evil in the sight of the Lord… For through the anger of the Lord it came to pass in Jerusalem and Judah, until he had cast them out from his presence, that Zedekiah rebelled against the king of Babylon” (2 Kings 24:18–20). The punishment for a particular king’s acts of disobedience happens to be the destruction of the First 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r w:rsidRPr="00DC7CDB">
        <w:rPr>
          <w:rFonts w:ascii="Palatino Linotype" w:hAnsi="Palatino Linotype"/>
          <w:sz w:val="20"/>
          <w:szCs w:val="20"/>
          <w:shd w:val="clear" w:color="auto" w:fill="FFFFFF"/>
        </w:rPr>
        <w:br/>
      </w:r>
      <w:r w:rsidRPr="00DC7CDB">
        <w:rPr>
          <w:rFonts w:ascii="Palatino Linotype" w:hAnsi="Palatino Linotype"/>
          <w:sz w:val="20"/>
          <w:szCs w:val="20"/>
          <w:shd w:val="clear" w:color="auto" w:fill="FFFFFF"/>
        </w:rPr>
        <w:tab/>
        <w:t>In his dialogical interpretation of the biblical text, regarding the disobedience of leaders, the Jewish philosopher Martin Buber argues that the Bible came to teach us that the path of truth lies not in the realm of achievement but in the depth of human failure (Buber 2002:36). The biblical author presents repeated acts of disobedience and sins to emphasize the gap between man and God. Looking at the text through the eyes of cultural interpretation, which see the text as a constitutive literary work, we find that disobedience to God – as expressed in the many stories involving leaders and rulers – is not revolutionary, in the sense that it does not attempt to produce change or create something new. It is simply a recurring motif of rebellion derived from the failure to gain ultimate authority.</w:t>
      </w:r>
    </w:p>
    <w:p w14:paraId="43159CB0" w14:textId="27186560" w:rsidR="00DC7CDB" w:rsidRPr="00DC7CDB" w:rsidRDefault="00DC7CDB" w:rsidP="00F440D9">
      <w:pPr>
        <w:pStyle w:val="Style1"/>
        <w:spacing w:line="240" w:lineRule="auto"/>
        <w:ind w:left="720" w:hanging="360"/>
        <w:rPr>
          <w:rFonts w:ascii="Palatino Linotype" w:hAnsi="Palatino Linotype"/>
          <w:b/>
          <w:bCs/>
          <w:sz w:val="20"/>
          <w:szCs w:val="20"/>
          <w:shd w:val="clear" w:color="auto" w:fill="FFFFFF"/>
        </w:rPr>
      </w:pPr>
      <w:r w:rsidRPr="00DC7CDB">
        <w:rPr>
          <w:rFonts w:ascii="Palatino Linotype" w:hAnsi="Palatino Linotype"/>
          <w:b/>
          <w:bCs/>
          <w:sz w:val="20"/>
          <w:szCs w:val="20"/>
          <w:shd w:val="clear" w:color="auto" w:fill="FFFFFF"/>
        </w:rPr>
        <w:t xml:space="preserve">5. </w:t>
      </w:r>
      <w:r w:rsidR="00F440D9">
        <w:rPr>
          <w:rFonts w:ascii="Palatino Linotype" w:hAnsi="Palatino Linotype"/>
          <w:b/>
          <w:bCs/>
          <w:sz w:val="20"/>
          <w:szCs w:val="20"/>
          <w:shd w:val="clear" w:color="auto" w:fill="FFFFFF"/>
        </w:rPr>
        <w:tab/>
      </w:r>
      <w:r w:rsidRPr="00DC7CDB">
        <w:rPr>
          <w:rFonts w:ascii="Palatino Linotype" w:hAnsi="Palatino Linotype"/>
          <w:b/>
          <w:bCs/>
          <w:sz w:val="20"/>
          <w:szCs w:val="20"/>
          <w:shd w:val="clear" w:color="auto" w:fill="FFFFFF"/>
        </w:rPr>
        <w:t>Obedience Driven by the “Authoritarian Conscience”</w:t>
      </w:r>
    </w:p>
    <w:p w14:paraId="2F28E2B5" w14:textId="0114F475" w:rsidR="00DC7CDB" w:rsidRPr="00DC7CDB" w:rsidRDefault="00DC7CDB" w:rsidP="0006723B">
      <w:pPr>
        <w:pStyle w:val="Style1"/>
        <w:spacing w:line="240" w:lineRule="auto"/>
        <w:ind w:left="720" w:firstLine="300"/>
        <w:rPr>
          <w:rFonts w:ascii="Palatino Linotype" w:hAnsi="Palatino Linotype"/>
          <w:sz w:val="20"/>
          <w:szCs w:val="20"/>
          <w:shd w:val="clear" w:color="auto" w:fill="FFFFFF"/>
        </w:rPr>
      </w:pPr>
      <w:r w:rsidRPr="00DC7CDB">
        <w:rPr>
          <w:rFonts w:ascii="Palatino Linotype" w:hAnsi="Palatino Linotype"/>
          <w:sz w:val="20"/>
          <w:szCs w:val="20"/>
          <w:shd w:val="clear" w:color="auto" w:fill="FFFFFF"/>
        </w:rPr>
        <w:t xml:space="preserve">As mentioned previously, Fromm distinguishes between obedience driven by the “authoritarian conscience” that is the internalized voice of authority and obedience driven by the “humanistic conscience” that is the internal, </w:t>
      </w:r>
      <w:proofErr w:type="gramStart"/>
      <w:r w:rsidRPr="00DC7CDB">
        <w:rPr>
          <w:rFonts w:ascii="Palatino Linotype" w:hAnsi="Palatino Linotype"/>
          <w:sz w:val="20"/>
          <w:szCs w:val="20"/>
          <w:shd w:val="clear" w:color="auto" w:fill="FFFFFF"/>
        </w:rPr>
        <w:t>autonomous</w:t>
      </w:r>
      <w:proofErr w:type="gramEnd"/>
      <w:r w:rsidRPr="00DC7CDB">
        <w:rPr>
          <w:rFonts w:ascii="Palatino Linotype" w:hAnsi="Palatino Linotype"/>
          <w:sz w:val="20"/>
          <w:szCs w:val="20"/>
          <w:shd w:val="clear" w:color="auto" w:fill="FFFFFF"/>
        </w:rPr>
        <w:t xml:space="preserve"> and authentic voice that calls us back to our humanity (Fromm 1981: 6). Though </w:t>
      </w:r>
      <w:r w:rsidRPr="00DC7CDB">
        <w:rPr>
          <w:rFonts w:ascii="Palatino Linotype" w:hAnsi="Palatino Linotype"/>
          <w:sz w:val="20"/>
          <w:szCs w:val="20"/>
          <w:shd w:val="clear" w:color="auto" w:fill="FFFFFF"/>
        </w:rPr>
        <w:lastRenderedPageBreak/>
        <w:t>the ordinance itself may be humanist in nature, such as charity, for example, the desire to fulfill it can still be driven by the “authoritarian conscience,” thereby preventing the person from exercising their reflexive awareness and seeking out the deeper meaning behind the act. Freud (1961), as mentioned previously, also believed that excessive obedience out of the “authoritarian conscience” may distance us from humanistic reason and autonomy of thought.</w:t>
      </w:r>
    </w:p>
    <w:p w14:paraId="4E8DFA44" w14:textId="2CE5F61F"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shd w:val="clear" w:color="auto" w:fill="FFFFFF"/>
        </w:rPr>
        <w:t>In Judaism, on the other hand, though intention remains important, there is greater attention paid to the external appearance of conduct, to the visible manifestation of one’s obedience. For example, when the Talmud defines the term “</w:t>
      </w:r>
      <w:proofErr w:type="spellStart"/>
      <w:r w:rsidRPr="00DC7CDB">
        <w:rPr>
          <w:rFonts w:ascii="Palatino Linotype" w:hAnsi="Palatino Linotype"/>
          <w:i/>
          <w:iCs/>
          <w:sz w:val="20"/>
          <w:szCs w:val="20"/>
          <w:shd w:val="clear" w:color="auto" w:fill="FFFFFF"/>
        </w:rPr>
        <w:t>talmid</w:t>
      </w:r>
      <w:proofErr w:type="spellEnd"/>
      <w:r w:rsidRPr="00DC7CDB">
        <w:rPr>
          <w:rFonts w:ascii="Palatino Linotype" w:hAnsi="Palatino Linotype"/>
          <w:i/>
          <w:iCs/>
          <w:sz w:val="20"/>
          <w:szCs w:val="20"/>
          <w:shd w:val="clear" w:color="auto" w:fill="FFFFFF"/>
        </w:rPr>
        <w:t xml:space="preserve"> </w:t>
      </w:r>
      <w:proofErr w:type="spellStart"/>
      <w:r w:rsidRPr="00DC7CDB">
        <w:rPr>
          <w:rFonts w:ascii="Palatino Linotype" w:hAnsi="Palatino Linotype"/>
          <w:i/>
          <w:iCs/>
          <w:sz w:val="20"/>
          <w:szCs w:val="20"/>
          <w:shd w:val="clear" w:color="auto" w:fill="FFFFFF"/>
        </w:rPr>
        <w:t>chakham</w:t>
      </w:r>
      <w:proofErr w:type="spellEnd"/>
      <w:r w:rsidRPr="00DC7CDB">
        <w:rPr>
          <w:rFonts w:ascii="Palatino Linotype" w:hAnsi="Palatino Linotype"/>
          <w:sz w:val="20"/>
          <w:szCs w:val="20"/>
          <w:shd w:val="clear" w:color="auto" w:fill="FFFFFF"/>
        </w:rPr>
        <w:t xml:space="preserve">” (“Torah scholar”), it describes the clothing of one pretending to this title, among other attributes: “And Rabbi </w:t>
      </w:r>
      <w:proofErr w:type="spellStart"/>
      <w:r w:rsidRPr="00DC7CDB">
        <w:rPr>
          <w:rFonts w:ascii="Cambria" w:hAnsi="Cambria" w:cs="Cambria"/>
          <w:sz w:val="20"/>
          <w:szCs w:val="20"/>
          <w:shd w:val="clear" w:color="auto" w:fill="FFFFFF"/>
        </w:rPr>
        <w:t>Ḥ</w:t>
      </w:r>
      <w:r w:rsidRPr="00DC7CDB">
        <w:rPr>
          <w:rFonts w:ascii="Palatino Linotype" w:hAnsi="Palatino Linotype"/>
          <w:sz w:val="20"/>
          <w:szCs w:val="20"/>
          <w:shd w:val="clear" w:color="auto" w:fill="FFFFFF"/>
        </w:rPr>
        <w:t>iyya</w:t>
      </w:r>
      <w:proofErr w:type="spellEnd"/>
      <w:r w:rsidRPr="00DC7CDB">
        <w:rPr>
          <w:rFonts w:ascii="Palatino Linotype" w:hAnsi="Palatino Linotype"/>
          <w:sz w:val="20"/>
          <w:szCs w:val="20"/>
          <w:shd w:val="clear" w:color="auto" w:fill="FFFFFF"/>
        </w:rPr>
        <w:t xml:space="preserve"> bar Abba said that Rabbi </w:t>
      </w:r>
      <w:proofErr w:type="spellStart"/>
      <w:r w:rsidRPr="00DC7CDB">
        <w:rPr>
          <w:rFonts w:ascii="Palatino Linotype" w:hAnsi="Palatino Linotype"/>
          <w:sz w:val="20"/>
          <w:szCs w:val="20"/>
          <w:shd w:val="clear" w:color="auto" w:fill="FFFFFF"/>
        </w:rPr>
        <w:t>Yo</w:t>
      </w:r>
      <w:r w:rsidRPr="00DC7CDB">
        <w:rPr>
          <w:rFonts w:ascii="Cambria" w:hAnsi="Cambria" w:cs="Cambria"/>
          <w:sz w:val="20"/>
          <w:szCs w:val="20"/>
          <w:shd w:val="clear" w:color="auto" w:fill="FFFFFF"/>
        </w:rPr>
        <w:t>ḥ</w:t>
      </w:r>
      <w:r w:rsidRPr="00DC7CDB">
        <w:rPr>
          <w:rFonts w:ascii="Palatino Linotype" w:hAnsi="Palatino Linotype"/>
          <w:sz w:val="20"/>
          <w:szCs w:val="20"/>
          <w:shd w:val="clear" w:color="auto" w:fill="FFFFFF"/>
        </w:rPr>
        <w:t>anan</w:t>
      </w:r>
      <w:proofErr w:type="spellEnd"/>
      <w:r w:rsidRPr="00DC7CDB">
        <w:rPr>
          <w:rFonts w:ascii="Palatino Linotype" w:hAnsi="Palatino Linotype"/>
          <w:sz w:val="20"/>
          <w:szCs w:val="20"/>
          <w:shd w:val="clear" w:color="auto" w:fill="FFFFFF"/>
        </w:rPr>
        <w:t xml:space="preserve"> said: a Torah scholar on whose clothes a fat stain is found is liable to receive the death penalty” (Babylonian Talmud, Shabbat 114a).</w:t>
      </w:r>
      <w:r w:rsidRPr="00DC7CDB">
        <w:rPr>
          <w:rFonts w:ascii="Palatino Linotype" w:hAnsi="Palatino Linotype"/>
          <w:sz w:val="20"/>
          <w:szCs w:val="20"/>
        </w:rPr>
        <w:t xml:space="preserve"> </w:t>
      </w:r>
      <w:r w:rsidRPr="00DC7CDB">
        <w:rPr>
          <w:rFonts w:ascii="Palatino Linotype" w:hAnsi="Palatino Linotype"/>
          <w:sz w:val="20"/>
          <w:szCs w:val="20"/>
          <w:shd w:val="clear" w:color="auto" w:fill="FFFFFF"/>
        </w:rPr>
        <w:t xml:space="preserve">The main reason for this Halakha is that dirty clothing causes blasphemy. However, there is also a broader interpretation which states that the visible stain on the garment is an external projection of the </w:t>
      </w:r>
      <w:proofErr w:type="spellStart"/>
      <w:r w:rsidRPr="00DC7CDB">
        <w:rPr>
          <w:rFonts w:ascii="Palatino Linotype" w:hAnsi="Palatino Linotype"/>
          <w:i/>
          <w:iCs/>
          <w:sz w:val="20"/>
          <w:szCs w:val="20"/>
          <w:shd w:val="clear" w:color="auto" w:fill="FFFFFF"/>
        </w:rPr>
        <w:t>talmid</w:t>
      </w:r>
      <w:proofErr w:type="spellEnd"/>
      <w:r w:rsidRPr="00DC7CDB">
        <w:rPr>
          <w:rFonts w:ascii="Palatino Linotype" w:hAnsi="Palatino Linotype"/>
          <w:i/>
          <w:iCs/>
          <w:sz w:val="20"/>
          <w:szCs w:val="20"/>
          <w:shd w:val="clear" w:color="auto" w:fill="FFFFFF"/>
        </w:rPr>
        <w:t xml:space="preserve"> </w:t>
      </w:r>
      <w:proofErr w:type="spellStart"/>
      <w:r w:rsidRPr="00DC7CDB">
        <w:rPr>
          <w:rFonts w:ascii="Palatino Linotype" w:hAnsi="Palatino Linotype"/>
          <w:i/>
          <w:iCs/>
          <w:sz w:val="20"/>
          <w:szCs w:val="20"/>
          <w:shd w:val="clear" w:color="auto" w:fill="FFFFFF"/>
        </w:rPr>
        <w:t>chakham</w:t>
      </w:r>
      <w:r w:rsidRPr="00DC7CDB">
        <w:rPr>
          <w:rFonts w:ascii="Palatino Linotype" w:hAnsi="Palatino Linotype"/>
          <w:sz w:val="20"/>
          <w:szCs w:val="20"/>
          <w:shd w:val="clear" w:color="auto" w:fill="FFFFFF"/>
        </w:rPr>
        <w:t>’s</w:t>
      </w:r>
      <w:proofErr w:type="spellEnd"/>
      <w:r w:rsidRPr="00DC7CDB">
        <w:rPr>
          <w:rFonts w:ascii="Palatino Linotype" w:hAnsi="Palatino Linotype"/>
          <w:sz w:val="20"/>
          <w:szCs w:val="20"/>
          <w:shd w:val="clear" w:color="auto" w:fill="FFFFFF"/>
        </w:rPr>
        <w:t xml:space="preserve"> inner state. The Jewish Halakha also promotes the concept of </w:t>
      </w:r>
      <w:proofErr w:type="spellStart"/>
      <w:r w:rsidRPr="00DC7CDB">
        <w:rPr>
          <w:rFonts w:ascii="Palatino Linotype" w:hAnsi="Palatino Linotype"/>
          <w:i/>
          <w:iCs/>
          <w:sz w:val="20"/>
          <w:szCs w:val="20"/>
          <w:shd w:val="clear" w:color="auto" w:fill="FFFFFF"/>
        </w:rPr>
        <w:t>mar’it</w:t>
      </w:r>
      <w:proofErr w:type="spellEnd"/>
      <w:r w:rsidRPr="00DC7CDB">
        <w:rPr>
          <w:rFonts w:ascii="Palatino Linotype" w:hAnsi="Palatino Linotype"/>
          <w:i/>
          <w:iCs/>
          <w:sz w:val="20"/>
          <w:szCs w:val="20"/>
          <w:shd w:val="clear" w:color="auto" w:fill="FFFFFF"/>
        </w:rPr>
        <w:t xml:space="preserve"> ayin</w:t>
      </w:r>
      <w:r w:rsidRPr="00DC7CDB">
        <w:rPr>
          <w:rFonts w:ascii="Palatino Linotype" w:hAnsi="Palatino Linotype"/>
          <w:sz w:val="20"/>
          <w:szCs w:val="20"/>
          <w:shd w:val="clear" w:color="auto" w:fill="FFFFFF"/>
        </w:rPr>
        <w:t xml:space="preserve"> (literally translated as “appearances”) which prohibits actions that are not sinful in and of themselves but may appear to be sinful. The source of the prohibition is found in the Babylonian Talmud, where there is a prohibition on consuming fish blood even though there is no explicit injunction against it in the Torah since fish are not considered meat. The ban is based entirely on appearances, since onlookers may think that it is the forbidden blood of a land animal: “</w:t>
      </w:r>
      <w:proofErr w:type="spellStart"/>
      <w:r w:rsidRPr="00DC7CDB">
        <w:rPr>
          <w:rFonts w:ascii="Palatino Linotype" w:hAnsi="Palatino Linotype"/>
          <w:sz w:val="20"/>
          <w:szCs w:val="20"/>
          <w:shd w:val="clear" w:color="auto" w:fill="FFFFFF"/>
        </w:rPr>
        <w:t>Rav</w:t>
      </w:r>
      <w:proofErr w:type="spellEnd"/>
      <w:r w:rsidRPr="00DC7CDB">
        <w:rPr>
          <w:rFonts w:ascii="Palatino Linotype" w:hAnsi="Palatino Linotype"/>
          <w:sz w:val="20"/>
          <w:szCs w:val="20"/>
          <w:shd w:val="clear" w:color="auto" w:fill="FFFFFF"/>
        </w:rPr>
        <w:t xml:space="preserve"> says: Fish blood that one collected in a receptacle is prohibited for consumption because it would look as though one is consuming the blood of an animal or bird” (Babylonian Talmud, </w:t>
      </w:r>
      <w:proofErr w:type="spellStart"/>
      <w:r w:rsidRPr="00DC7CDB">
        <w:rPr>
          <w:rFonts w:ascii="Palatino Linotype" w:hAnsi="Palatino Linotype"/>
          <w:sz w:val="20"/>
          <w:szCs w:val="20"/>
          <w:shd w:val="clear" w:color="auto" w:fill="FFFFFF"/>
        </w:rPr>
        <w:t>Keritot</w:t>
      </w:r>
      <w:proofErr w:type="spellEnd"/>
      <w:r w:rsidRPr="00DC7CDB">
        <w:rPr>
          <w:rFonts w:ascii="Palatino Linotype" w:hAnsi="Palatino Linotype"/>
          <w:sz w:val="20"/>
          <w:szCs w:val="20"/>
          <w:shd w:val="clear" w:color="auto" w:fill="FFFFFF"/>
        </w:rPr>
        <w:t xml:space="preserve"> 21b).</w:t>
      </w:r>
      <w:r w:rsidRPr="00DC7CDB">
        <w:rPr>
          <w:rFonts w:ascii="Palatino Linotype" w:hAnsi="Palatino Linotype"/>
          <w:sz w:val="20"/>
          <w:szCs w:val="20"/>
          <w:shd w:val="clear" w:color="auto" w:fill="FFFFFF"/>
        </w:rPr>
        <w:br/>
      </w:r>
      <w:r w:rsidRPr="00DC7CDB">
        <w:rPr>
          <w:rFonts w:ascii="Palatino Linotype" w:hAnsi="Palatino Linotype"/>
          <w:sz w:val="20"/>
          <w:szCs w:val="20"/>
          <w:shd w:val="clear" w:color="auto" w:fill="FFFFFF"/>
        </w:rPr>
        <w:tab/>
        <w:t xml:space="preserve">The ancient Jewish view judged a person according to their deeds only. On the matter of intent, there was a dispute between the Hillel and the Shammai schools of thought. The House of Shammai maintained that a person should be evaluated based on their actions. By contrast, the House of Hillel emphasized the value of intention as a factor in assessing one’s virtue. An example that clarifies the difference between the two houses </w:t>
      </w:r>
      <w:proofErr w:type="gramStart"/>
      <w:r w:rsidRPr="00DC7CDB">
        <w:rPr>
          <w:rFonts w:ascii="Palatino Linotype" w:hAnsi="Palatino Linotype"/>
          <w:sz w:val="20"/>
          <w:szCs w:val="20"/>
          <w:shd w:val="clear" w:color="auto" w:fill="FFFFFF"/>
        </w:rPr>
        <w:t>on the subject of intention</w:t>
      </w:r>
      <w:proofErr w:type="gramEnd"/>
      <w:r w:rsidRPr="00DC7CDB">
        <w:rPr>
          <w:rFonts w:ascii="Palatino Linotype" w:hAnsi="Palatino Linotype"/>
          <w:sz w:val="20"/>
          <w:szCs w:val="20"/>
          <w:shd w:val="clear" w:color="auto" w:fill="FFFFFF"/>
        </w:rPr>
        <w:t xml:space="preserve"> can be seen in the </w:t>
      </w:r>
      <w:proofErr w:type="spellStart"/>
      <w:r w:rsidRPr="00DC7CDB">
        <w:rPr>
          <w:rFonts w:ascii="Palatino Linotype" w:hAnsi="Palatino Linotype"/>
          <w:sz w:val="20"/>
          <w:szCs w:val="20"/>
          <w:shd w:val="clear" w:color="auto" w:fill="FFFFFF"/>
        </w:rPr>
        <w:t>Keritot</w:t>
      </w:r>
      <w:proofErr w:type="spellEnd"/>
      <w:r w:rsidRPr="00DC7CDB">
        <w:rPr>
          <w:rFonts w:ascii="Palatino Linotype" w:hAnsi="Palatino Linotype"/>
          <w:sz w:val="20"/>
          <w:szCs w:val="20"/>
          <w:shd w:val="clear" w:color="auto" w:fill="FFFFFF"/>
        </w:rPr>
        <w:t xml:space="preserve"> tractate of the Mishnah: “Rabbi Judah said: even if he intended to pick figs and he picked grapes, or grapes and he picked figs, white [grapes] and he picked black ones, or black and he picked white ones Rabbi Eliezer declares him liable to a </w:t>
      </w:r>
      <w:proofErr w:type="spellStart"/>
      <w:r w:rsidRPr="00DC7CDB">
        <w:rPr>
          <w:rFonts w:ascii="Palatino Linotype" w:hAnsi="Palatino Linotype"/>
          <w:sz w:val="20"/>
          <w:szCs w:val="20"/>
          <w:shd w:val="clear" w:color="auto" w:fill="FFFFFF"/>
        </w:rPr>
        <w:t>hatat</w:t>
      </w:r>
      <w:proofErr w:type="spellEnd"/>
      <w:r w:rsidRPr="00DC7CDB">
        <w:rPr>
          <w:rFonts w:ascii="Palatino Linotype" w:hAnsi="Palatino Linotype"/>
          <w:sz w:val="20"/>
          <w:szCs w:val="20"/>
          <w:shd w:val="clear" w:color="auto" w:fill="FFFFFF"/>
        </w:rPr>
        <w:t>.</w:t>
      </w:r>
      <w:r w:rsidRPr="00DC7CDB">
        <w:rPr>
          <w:rFonts w:ascii="Palatino Linotype" w:hAnsi="Palatino Linotype"/>
          <w:sz w:val="20"/>
          <w:szCs w:val="20"/>
        </w:rPr>
        <w:t xml:space="preserve"> And Rabbi Joshua declares him exempt” (Mishnah, </w:t>
      </w:r>
      <w:proofErr w:type="spellStart"/>
      <w:r w:rsidRPr="00DC7CDB">
        <w:rPr>
          <w:rFonts w:ascii="Palatino Linotype" w:hAnsi="Palatino Linotype"/>
          <w:sz w:val="20"/>
          <w:szCs w:val="20"/>
        </w:rPr>
        <w:t>Keritot</w:t>
      </w:r>
      <w:proofErr w:type="spellEnd"/>
      <w:r w:rsidRPr="00DC7CDB">
        <w:rPr>
          <w:rFonts w:ascii="Palatino Linotype" w:hAnsi="Palatino Linotype"/>
          <w:sz w:val="20"/>
          <w:szCs w:val="20"/>
        </w:rPr>
        <w:t xml:space="preserve"> 4:3). In this passage, there is a dispute between Rabbi Joshua Ben Hananiah of House Hillel and Rabbi Eliezer Ben </w:t>
      </w:r>
      <w:proofErr w:type="spellStart"/>
      <w:r w:rsidRPr="00DC7CDB">
        <w:rPr>
          <w:rFonts w:ascii="Palatino Linotype" w:hAnsi="Palatino Linotype"/>
          <w:sz w:val="20"/>
          <w:szCs w:val="20"/>
        </w:rPr>
        <w:t>Hurkanus</w:t>
      </w:r>
      <w:proofErr w:type="spellEnd"/>
      <w:r w:rsidRPr="00DC7CDB">
        <w:rPr>
          <w:rFonts w:ascii="Palatino Linotype" w:hAnsi="Palatino Linotype"/>
          <w:sz w:val="20"/>
          <w:szCs w:val="20"/>
        </w:rPr>
        <w:t xml:space="preserve"> of House Shammai regarding the fitting judgment for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w:t>
      </w:r>
      <w:r w:rsidRPr="00DC7CDB">
        <w:rPr>
          <w:rFonts w:ascii="Palatino Linotype" w:hAnsi="Palatino Linotype"/>
          <w:sz w:val="20"/>
          <w:szCs w:val="20"/>
        </w:rPr>
        <w:br/>
      </w:r>
      <w:r w:rsidRPr="00DC7CDB">
        <w:rPr>
          <w:rFonts w:ascii="Palatino Linotype" w:hAnsi="Palatino Linotype"/>
          <w:sz w:val="20"/>
          <w:szCs w:val="20"/>
        </w:rPr>
        <w:tab/>
        <w:t xml:space="preserve">The matter of intention and obedience based on the humanistic as opposed to the authoritarian conscience is evoked in the context of confession on Yom Kippur. In Judaism, confession must be general and exclude names, </w:t>
      </w:r>
      <w:proofErr w:type="gramStart"/>
      <w:r w:rsidRPr="00DC7CDB">
        <w:rPr>
          <w:rFonts w:ascii="Palatino Linotype" w:hAnsi="Palatino Linotype"/>
          <w:sz w:val="20"/>
          <w:szCs w:val="20"/>
        </w:rPr>
        <w:t>times</w:t>
      </w:r>
      <w:proofErr w:type="gramEnd"/>
      <w:r w:rsidRPr="00DC7CDB">
        <w:rPr>
          <w:rFonts w:ascii="Palatino Linotype" w:hAnsi="Palatino Linotype"/>
          <w:sz w:val="20"/>
          <w:szCs w:val="20"/>
        </w:rPr>
        <w:t xml:space="preserve"> and places. The confession is made in the first-person plural, without pointing to the transgressive individual: “We have trespassed; we have betrayed; we have stolen; we have slandered; we have caused others to sin; we have caused others to commit sins for which they are called wicked” (Machzor Yom Kippur Ashkenaz, The Morning Prayers, Amidah). The plea for forgiveness is likewise collective: “And so may it be Your will … that You pardon us for all our careless sins, and that You forgive us for all our deliberate sins, and that You grant us atonement for all our rebellious sins” (Machzor Yom Kippur Ashkenaz, The Morning Prayers, Amidah). However, it is also very detailed, </w:t>
      </w:r>
      <w:proofErr w:type="gramStart"/>
      <w:r w:rsidRPr="00DC7CDB">
        <w:rPr>
          <w:rFonts w:ascii="Palatino Linotype" w:hAnsi="Palatino Linotype"/>
          <w:sz w:val="20"/>
          <w:szCs w:val="20"/>
        </w:rPr>
        <w:t>so as to</w:t>
      </w:r>
      <w:proofErr w:type="gramEnd"/>
      <w:r w:rsidRPr="00DC7CDB">
        <w:rPr>
          <w:rFonts w:ascii="Palatino Linotype" w:hAnsi="Palatino Linotype"/>
          <w:sz w:val="20"/>
          <w:szCs w:val="20"/>
        </w:rPr>
        <w:t xml:space="preserve"> include everyone: “for the sin we committed </w:t>
      </w:r>
      <w:r w:rsidRPr="00DC7CDB">
        <w:rPr>
          <w:rFonts w:ascii="Palatino Linotype" w:hAnsi="Palatino Linotype"/>
          <w:sz w:val="20"/>
          <w:szCs w:val="20"/>
        </w:rPr>
        <w:lastRenderedPageBreak/>
        <w:t>before You with an utterance of the lips… with knowledge and with deceit… by improper thoughts… by joining in a lewd gathering… by desecrating the divine Name… by cheating a fellow-man” etc. (Machzor Yom Kippur Ashkenaz, The Morning Prayers, Amidah). Confession is therefore not personal, but collective and spoken aloud in front of the congregation.</w:t>
      </w:r>
      <w:r w:rsidRPr="00DC7CDB">
        <w:rPr>
          <w:rFonts w:ascii="Palatino Linotype" w:hAnsi="Palatino Linotype"/>
          <w:sz w:val="20"/>
          <w:szCs w:val="20"/>
        </w:rPr>
        <w:br/>
      </w:r>
      <w:r w:rsidRPr="00DC7CDB">
        <w:rPr>
          <w:rFonts w:ascii="Palatino Linotype" w:hAnsi="Palatino Linotype"/>
          <w:sz w:val="20"/>
          <w:szCs w:val="20"/>
        </w:rPr>
        <w:tab/>
        <w:t>There is no private sin that is not part of the collective moral state, and there is no moment in the collective’s condition that is not affected by the sins of the individuals of whom it is comprised (</w:t>
      </w:r>
      <w:proofErr w:type="spellStart"/>
      <w:r w:rsidRPr="00DC7CDB">
        <w:rPr>
          <w:rFonts w:ascii="Palatino Linotype" w:hAnsi="Palatino Linotype"/>
          <w:sz w:val="20"/>
          <w:szCs w:val="20"/>
        </w:rPr>
        <w:t>Ofir</w:t>
      </w:r>
      <w:proofErr w:type="spellEnd"/>
      <w:r w:rsidRPr="00DC7CDB">
        <w:rPr>
          <w:rFonts w:ascii="Palatino Linotype" w:hAnsi="Palatino Linotype"/>
          <w:sz w:val="20"/>
          <w:szCs w:val="20"/>
        </w:rPr>
        <w:t xml:space="preserve"> 2001:134). In Judaism, the personal confession is whispered internally, without sharing it with the public, on all days of the year and before one’s death (</w:t>
      </w:r>
      <w:proofErr w:type="spellStart"/>
      <w:r w:rsidRPr="00DC7CDB">
        <w:rPr>
          <w:rFonts w:ascii="Palatino Linotype" w:hAnsi="Palatino Linotype"/>
          <w:sz w:val="20"/>
          <w:szCs w:val="20"/>
        </w:rPr>
        <w:t>Casutto</w:t>
      </w:r>
      <w:proofErr w:type="spellEnd"/>
      <w:r w:rsidRPr="00DC7CDB">
        <w:rPr>
          <w:rFonts w:ascii="Palatino Linotype" w:hAnsi="Palatino Linotype"/>
          <w:sz w:val="20"/>
          <w:szCs w:val="20"/>
        </w:rPr>
        <w:t xml:space="preserve"> 1973). In terms of confessing the details of the sin, there is some disagreement on the matter: “Some rule that one must name the specifics of the sin…for the sake of shame…so that the sinner is ashamed of his sins…and some are of the opinion…that the specifics of the sin need not be disclosed, he can speak the sin in the alphabetical order, even out loud, for this is not specific since everyone speaks it equally” (</w:t>
      </w:r>
      <w:proofErr w:type="spellStart"/>
      <w:r w:rsidRPr="00DC7CDB">
        <w:rPr>
          <w:rFonts w:ascii="Palatino Linotype" w:hAnsi="Palatino Linotype"/>
          <w:sz w:val="20"/>
          <w:szCs w:val="20"/>
        </w:rPr>
        <w:t>Zevin</w:t>
      </w:r>
      <w:proofErr w:type="spellEnd"/>
      <w:r w:rsidRPr="00DC7CDB">
        <w:rPr>
          <w:rFonts w:ascii="Palatino Linotype" w:hAnsi="Palatino Linotype"/>
          <w:sz w:val="20"/>
          <w:szCs w:val="20"/>
        </w:rPr>
        <w:t xml:space="preserve"> 1965: 412–455). When there is one day in the year dedicated specifically to atonement and when the confession of sins is done publicly, in the first-person plural, according to a readymade list of sins, we might consider this an impingement on the personal responsibility required to atone for misdoings internally, with intention.</w:t>
      </w:r>
      <w:r w:rsidRPr="00DC7CDB">
        <w:rPr>
          <w:rFonts w:ascii="Palatino Linotype" w:hAnsi="Palatino Linotype"/>
          <w:sz w:val="20"/>
          <w:szCs w:val="20"/>
        </w:rPr>
        <w:br/>
      </w:r>
      <w:r w:rsidRPr="00DC7CDB">
        <w:rPr>
          <w:rFonts w:ascii="Palatino Linotype" w:hAnsi="Palatino Linotype"/>
          <w:sz w:val="20"/>
          <w:szCs w:val="20"/>
        </w:rPr>
        <w:tab/>
        <w:t>Intention is no less important when it comes to acts of disobedience. In the humanistic sense, Fromm (1981) maintains, disobedience is an action aimed not against something, but for something – most often for one’s right to see, to say what it is they see, and to refuse to say that which they do not see. Such a form of disobedience is existentialist at its core since it is performed out of choice and responsibility (Fromm 1981: 24). In this context, Fromm describes the prophets who remained unimpressed by might, in the sense of a ruling power, and spoke the truth even if it meant disobedience, imprisonment, banishment, or death. They reacted because they felt a responsibility to do so (ibid.: 15). In the words of the prophet Amos, “The lion hath roared, who will not fear? the Lord God hath spoken, who can but prophesy?” (Amos 3:8).</w:t>
      </w:r>
    </w:p>
    <w:p w14:paraId="37C6EB9B" w14:textId="4F766127" w:rsidR="00DC7CDB" w:rsidRPr="00DC7CDB" w:rsidRDefault="00DC7CDB" w:rsidP="00F440D9">
      <w:pPr>
        <w:pStyle w:val="Style1"/>
        <w:spacing w:line="240" w:lineRule="auto"/>
        <w:ind w:left="720" w:hanging="360"/>
        <w:rPr>
          <w:rFonts w:ascii="Palatino Linotype" w:hAnsi="Palatino Linotype"/>
          <w:b/>
          <w:bCs/>
          <w:sz w:val="20"/>
          <w:szCs w:val="20"/>
        </w:rPr>
      </w:pPr>
      <w:r w:rsidRPr="00DC7CDB">
        <w:rPr>
          <w:rFonts w:ascii="Palatino Linotype" w:hAnsi="Palatino Linotype"/>
          <w:b/>
          <w:bCs/>
          <w:sz w:val="20"/>
          <w:szCs w:val="20"/>
        </w:rPr>
        <w:t xml:space="preserve">6. </w:t>
      </w:r>
      <w:r w:rsidR="00F440D9">
        <w:rPr>
          <w:rFonts w:ascii="Palatino Linotype" w:hAnsi="Palatino Linotype"/>
          <w:b/>
          <w:bCs/>
          <w:sz w:val="20"/>
          <w:szCs w:val="20"/>
        </w:rPr>
        <w:tab/>
      </w:r>
      <w:r w:rsidRPr="00DC7CDB">
        <w:rPr>
          <w:rFonts w:ascii="Palatino Linotype" w:hAnsi="Palatino Linotype"/>
          <w:b/>
          <w:bCs/>
          <w:sz w:val="20"/>
          <w:szCs w:val="20"/>
        </w:rPr>
        <w:t>Conclusion</w:t>
      </w:r>
      <w:r w:rsidRPr="00DC7CDB" w:rsidDel="007D02DF">
        <w:rPr>
          <w:rFonts w:ascii="Palatino Linotype" w:hAnsi="Palatino Linotype"/>
          <w:b/>
          <w:bCs/>
          <w:sz w:val="20"/>
          <w:szCs w:val="20"/>
        </w:rPr>
        <w:t xml:space="preserve"> </w:t>
      </w:r>
    </w:p>
    <w:p w14:paraId="6549582C" w14:textId="334559AA" w:rsidR="00DC7CDB" w:rsidRPr="00DC7CDB" w:rsidRDefault="00DC7CDB" w:rsidP="0006723B">
      <w:pPr>
        <w:pStyle w:val="Style1"/>
        <w:spacing w:line="240" w:lineRule="auto"/>
        <w:ind w:left="720" w:firstLine="300"/>
        <w:rPr>
          <w:rFonts w:ascii="Palatino Linotype" w:hAnsi="Palatino Linotype"/>
          <w:sz w:val="20"/>
          <w:szCs w:val="20"/>
        </w:rPr>
      </w:pPr>
      <w:r w:rsidRPr="00DC7CDB">
        <w:rPr>
          <w:rFonts w:ascii="Palatino Linotype" w:hAnsi="Palatino Linotype"/>
          <w:sz w:val="20"/>
          <w:szCs w:val="20"/>
        </w:rPr>
        <w:t>Biblical law includes civil and criminal laws, moral and social laws, religious and ritual laws, all embedded within historical narratives. The biblical text contains many laws that constitute the central values of Judaism. Obedience to these laws is highly rewarded, while disobedience entails harsh punishment (Weiss 1987). Nevertheless, as we have seen, the biblical narrative is replete with stories of disobedience, from Genesis onward. The message that emerges from the narrative sequence, whether it takes place in the Land of Israel or in exile, is that human laws are only binding when they are just (Hazony 1998: 34) and any person can break the boundaries of the law.</w:t>
      </w:r>
      <w:r w:rsidRPr="00DC7CDB">
        <w:rPr>
          <w:rFonts w:ascii="Palatino Linotype" w:hAnsi="Palatino Linotype"/>
          <w:sz w:val="20"/>
          <w:szCs w:val="20"/>
        </w:rPr>
        <w:br/>
      </w:r>
      <w:r w:rsidRPr="00DC7CDB">
        <w:rPr>
          <w:rFonts w:ascii="Palatino Linotype" w:hAnsi="Palatino Linotype"/>
          <w:sz w:val="20"/>
          <w:szCs w:val="20"/>
        </w:rPr>
        <w:tab/>
        <w:t xml:space="preserve">As mentioned previous, Fromm distinguishes between the authoritative conscience, which is the internalized voice of external authority – the consciousness that develops man’s obedience, and the humanistic conscience championed by Fromm, which is an intuitive voice humans inherently possess, one that helps us decide what is human and what is not. It is easier to act out of the authoritative conscience as opposed to the humanistic conscience since most people living in societies marked by Western culture tend to listen to all voices and all people (Fromm 1981: 51). Moreover, the inner conscience tends to speak to us indirectly and covertly, so that often we are not even aware of hearing our conscience’s voice. The two kinds of conscience – authoritative and humanistic – are present in </w:t>
      </w:r>
      <w:proofErr w:type="gramStart"/>
      <w:r w:rsidRPr="00DC7CDB">
        <w:rPr>
          <w:rFonts w:ascii="Palatino Linotype" w:hAnsi="Palatino Linotype"/>
          <w:sz w:val="20"/>
          <w:szCs w:val="20"/>
        </w:rPr>
        <w:t>each and every</w:t>
      </w:r>
      <w:proofErr w:type="gramEnd"/>
      <w:r w:rsidRPr="00DC7CDB">
        <w:rPr>
          <w:rFonts w:ascii="Palatino Linotype" w:hAnsi="Palatino Linotype"/>
          <w:sz w:val="20"/>
          <w:szCs w:val="20"/>
        </w:rPr>
        <w:t xml:space="preserve"> one of us, sometimes juxtaposing or even blending with each other, and it is up to the individual person to observe the power balance between the two and make choices accordingly.</w:t>
      </w:r>
      <w:r w:rsidRPr="00DC7CDB">
        <w:rPr>
          <w:rFonts w:ascii="Palatino Linotype" w:hAnsi="Palatino Linotype"/>
          <w:sz w:val="20"/>
          <w:szCs w:val="20"/>
        </w:rPr>
        <w:br/>
      </w:r>
      <w:r w:rsidRPr="00DC7CDB">
        <w:rPr>
          <w:rFonts w:ascii="Palatino Linotype" w:hAnsi="Palatino Linotype"/>
          <w:sz w:val="20"/>
          <w:szCs w:val="20"/>
        </w:rPr>
        <w:lastRenderedPageBreak/>
        <w:tab/>
        <w:t xml:space="preserve">The father of logotherapy, Victor Frankl (2014), also defines the humanistic conscience as man’s inherent capacity to reveal the significance of a given situation. Besides being intuitive, this conscience is active, and at times may direct a person to do something that goes against society’s prescriptions. Our conscience has the power to reveal the meanings that conflict with accepted values, and according to Frankl, in such instances, one must act according to one’s conscience (Frankl 2014: 37–42). Similarly to Fromm and Frankl, Rabbi </w:t>
      </w:r>
      <w:proofErr w:type="spellStart"/>
      <w:r w:rsidRPr="00DC7CDB">
        <w:rPr>
          <w:rFonts w:ascii="Palatino Linotype" w:hAnsi="Palatino Linotype"/>
          <w:sz w:val="20"/>
          <w:szCs w:val="20"/>
        </w:rPr>
        <w:t>Schulweis</w:t>
      </w:r>
      <w:proofErr w:type="spellEnd"/>
      <w:r w:rsidRPr="00DC7CDB">
        <w:rPr>
          <w:rFonts w:ascii="Palatino Linotype" w:hAnsi="Palatino Linotype"/>
          <w:sz w:val="20"/>
          <w:szCs w:val="20"/>
        </w:rPr>
        <w:t xml:space="preserve"> (2010) claims that one can view the conscience as an inner compass guiding our lives, a compass that we must seek out and look to time and time again in resistance to the oppressive culture of unquestioning obedience.</w:t>
      </w:r>
      <w:r w:rsidRPr="00DC7CDB">
        <w:rPr>
          <w:rFonts w:ascii="Palatino Linotype" w:hAnsi="Palatino Linotype"/>
          <w:sz w:val="20"/>
          <w:szCs w:val="20"/>
        </w:rPr>
        <w:br/>
      </w:r>
      <w:r w:rsidRPr="00DC7CDB">
        <w:rPr>
          <w:rFonts w:ascii="Palatino Linotype" w:hAnsi="Palatino Linotype"/>
          <w:sz w:val="20"/>
          <w:szCs w:val="20"/>
        </w:rPr>
        <w:tab/>
        <w:t xml:space="preserve">In Jewish culture, while authoritative obedience is a supreme value, as derived from the “we will do and be obedient” verse, humanistic disobedience remains present and dominant. Obedience is a supreme value in reference to the laws of the Torah given to Moses, as divine law. Disobedience, on the other hand, is sanctioned in the context of human laws and regimes. As we have seen in the biblical story, disobedience crosses all strata of the people - individuals, families, </w:t>
      </w:r>
      <w:proofErr w:type="gramStart"/>
      <w:r w:rsidRPr="00DC7CDB">
        <w:rPr>
          <w:rFonts w:ascii="Palatino Linotype" w:hAnsi="Palatino Linotype"/>
          <w:sz w:val="20"/>
          <w:szCs w:val="20"/>
        </w:rPr>
        <w:t>judges</w:t>
      </w:r>
      <w:proofErr w:type="gramEnd"/>
      <w:r w:rsidRPr="00DC7CDB">
        <w:rPr>
          <w:rFonts w:ascii="Palatino Linotype" w:hAnsi="Palatino Linotype"/>
          <w:sz w:val="20"/>
          <w:szCs w:val="20"/>
        </w:rPr>
        <w:t xml:space="preserve"> and kings. The latter fail to obey the divine law and their punishment is therefore severe.</w:t>
      </w:r>
      <w:r w:rsidRPr="00DC7CDB">
        <w:rPr>
          <w:rFonts w:ascii="Palatino Linotype" w:hAnsi="Palatino Linotype"/>
          <w:sz w:val="20"/>
          <w:szCs w:val="20"/>
        </w:rPr>
        <w:br/>
      </w:r>
      <w:r w:rsidRPr="00DC7CDB">
        <w:rPr>
          <w:rFonts w:ascii="Palatino Linotype" w:hAnsi="Palatino Linotype"/>
          <w:sz w:val="20"/>
          <w:szCs w:val="20"/>
        </w:rPr>
        <w:tab/>
        <w:t xml:space="preserve">Disobedience is an important component of democratic existence since blind obedience can pose a danger. It seems that in Jewish culture over the ages, and especially in the Israeli experience, which is based on tribal-like loyalties to the many and varied groups and cultural divisions in Israeli society, the obedience described in the phrase “all of Israel are responsible one for the other” remains limited to one’s peers, as argued by Maimonides. On the contrary, Israeli society is becoming increasingly polarized in terms of beliefs and opinions, </w:t>
      </w:r>
      <w:proofErr w:type="gramStart"/>
      <w:r w:rsidRPr="00DC7CDB">
        <w:rPr>
          <w:rFonts w:ascii="Palatino Linotype" w:hAnsi="Palatino Linotype"/>
          <w:sz w:val="20"/>
          <w:szCs w:val="20"/>
        </w:rPr>
        <w:t>ideologies</w:t>
      </w:r>
      <w:proofErr w:type="gramEnd"/>
      <w:r w:rsidRPr="00DC7CDB">
        <w:rPr>
          <w:rFonts w:ascii="Palatino Linotype" w:hAnsi="Palatino Linotype"/>
          <w:sz w:val="20"/>
          <w:szCs w:val="20"/>
        </w:rPr>
        <w:t xml:space="preserve"> and socioeconomic disparities. At times, civil disobedience can preserve the boundaries of discourse, </w:t>
      </w:r>
      <w:proofErr w:type="gramStart"/>
      <w:r w:rsidRPr="00DC7CDB">
        <w:rPr>
          <w:rFonts w:ascii="Palatino Linotype" w:hAnsi="Palatino Linotype"/>
          <w:sz w:val="20"/>
          <w:szCs w:val="20"/>
        </w:rPr>
        <w:t>democracy</w:t>
      </w:r>
      <w:proofErr w:type="gramEnd"/>
      <w:r w:rsidRPr="00DC7CDB">
        <w:rPr>
          <w:rFonts w:ascii="Palatino Linotype" w:hAnsi="Palatino Linotype"/>
          <w:sz w:val="20"/>
          <w:szCs w:val="20"/>
        </w:rPr>
        <w:t xml:space="preserve"> and the mutual guarantee. At other times, however, it poses a real danger to society's existence. Civil disobedience is justified when it is employed as a political action that addresses the majority's sense of injustice </w:t>
      </w:r>
      <w:proofErr w:type="gramStart"/>
      <w:r w:rsidRPr="00DC7CDB">
        <w:rPr>
          <w:rFonts w:ascii="Palatino Linotype" w:hAnsi="Palatino Linotype"/>
          <w:sz w:val="20"/>
          <w:szCs w:val="20"/>
        </w:rPr>
        <w:t>in order to</w:t>
      </w:r>
      <w:proofErr w:type="gramEnd"/>
      <w:r w:rsidRPr="00DC7CDB">
        <w:rPr>
          <w:rFonts w:ascii="Palatino Linotype" w:hAnsi="Palatino Linotype"/>
          <w:sz w:val="20"/>
          <w:szCs w:val="20"/>
        </w:rPr>
        <w:t xml:space="preserve"> provoke a renewed discussion of the protested measures and to raise an alert about instances of governmental or legislative action passed without cooperation (Rawls 1968: 240). The Covid-19 pandemic, Friedman (2020) claims, has brought us back to the time of Judges. The virus will eventually recede, but Israeli tribalism will remain steadfast, and if Israeli society cannot find a federalizing common denominator for its existence in the State of Israel, it may end up crumbling.</w:t>
      </w:r>
      <w:r w:rsidRPr="00DC7CDB">
        <w:rPr>
          <w:rFonts w:ascii="Palatino Linotype" w:hAnsi="Palatino Linotype"/>
          <w:sz w:val="20"/>
          <w:szCs w:val="20"/>
        </w:rPr>
        <w:br/>
      </w:r>
      <w:r w:rsidRPr="00DC7CDB">
        <w:rPr>
          <w:rFonts w:ascii="Palatino Linotype" w:hAnsi="Palatino Linotype"/>
          <w:sz w:val="20"/>
          <w:szCs w:val="20"/>
        </w:rPr>
        <w:tab/>
        <w:t xml:space="preserve">Of course, not all disobedience is a virtue, and not all obedience a vice. Such a worldview ignores the dialectical relationship between obedience and disobedience (Fromm 1981: 4). The biblical narratives we have examined in the confines of the present articles do not always attest to a dialectical relationship between obedience and disobedience – they are not always necessarily in conflict and are not depicted as opposite sides of the same coin. Disagreements in Judaism are a desirable and common thing – “every dispute that is for the sake of Heaven, is destined to endure” (Mishnah, </w:t>
      </w:r>
      <w:proofErr w:type="spellStart"/>
      <w:r w:rsidRPr="00DC7CDB">
        <w:rPr>
          <w:rFonts w:ascii="Palatino Linotype" w:hAnsi="Palatino Linotype"/>
          <w:sz w:val="20"/>
          <w:szCs w:val="20"/>
        </w:rPr>
        <w:t>Pirkey</w:t>
      </w:r>
      <w:proofErr w:type="spellEnd"/>
      <w:r w:rsidRPr="00DC7CDB">
        <w:rPr>
          <w:rFonts w:ascii="Palatino Linotype" w:hAnsi="Palatino Linotype"/>
          <w:sz w:val="20"/>
          <w:szCs w:val="20"/>
        </w:rPr>
        <w:t xml:space="preserve"> Avot 5:17) – and dialectical understanding has the role of presenting two contradictory sides within one great truth. Both obedience and disobedience out of belief, ideology, or internal and authentic moral rules, are important to the existence of a free society since a society, in general, tends to “normalize” its members (Arendt 2013: 40). Perpetual rebellion and non-acceptance of authority as a way of life or, alternatively, blind obedience </w:t>
      </w:r>
      <w:proofErr w:type="gramStart"/>
      <w:r w:rsidRPr="00DC7CDB">
        <w:rPr>
          <w:rFonts w:ascii="Palatino Linotype" w:hAnsi="Palatino Linotype"/>
          <w:sz w:val="20"/>
          <w:szCs w:val="20"/>
        </w:rPr>
        <w:t>are</w:t>
      </w:r>
      <w:proofErr w:type="gramEnd"/>
      <w:r w:rsidRPr="00DC7CDB">
        <w:rPr>
          <w:rFonts w:ascii="Palatino Linotype" w:hAnsi="Palatino Linotype"/>
          <w:sz w:val="20"/>
          <w:szCs w:val="20"/>
        </w:rPr>
        <w:t xml:space="preserve"> equally a danger and therefore the dialectic between obedience and disobedience is important. The conclusion that emerges here is therefore that a culture in which authoritarian obedience to divine commandments is a central, </w:t>
      </w:r>
      <w:proofErr w:type="gramStart"/>
      <w:r w:rsidRPr="00DC7CDB">
        <w:rPr>
          <w:rFonts w:ascii="Palatino Linotype" w:hAnsi="Palatino Linotype"/>
          <w:sz w:val="20"/>
          <w:szCs w:val="20"/>
        </w:rPr>
        <w:t>important</w:t>
      </w:r>
      <w:proofErr w:type="gramEnd"/>
      <w:r w:rsidRPr="00DC7CDB">
        <w:rPr>
          <w:rFonts w:ascii="Palatino Linotype" w:hAnsi="Palatino Linotype"/>
          <w:sz w:val="20"/>
          <w:szCs w:val="20"/>
        </w:rPr>
        <w:t xml:space="preserve"> and sublime value may find itself rebelling against human authority with greater vigor because these are two separate systems of authority that are neither opposed nor correlated to each other.</w:t>
      </w:r>
    </w:p>
    <w:p w14:paraId="2795D2E2" w14:textId="00F6A597" w:rsidR="00A86085" w:rsidRDefault="00A86085" w:rsidP="00AC7729">
      <w:pPr>
        <w:adjustRightInd w:val="0"/>
        <w:snapToGrid w:val="0"/>
        <w:spacing w:after="60" w:line="228" w:lineRule="auto"/>
        <w:ind w:left="2608"/>
      </w:pPr>
    </w:p>
    <w:p w14:paraId="113B55AB" w14:textId="3484287C" w:rsidR="00E055F9" w:rsidRDefault="00E055F9" w:rsidP="00AC7729">
      <w:pPr>
        <w:adjustRightInd w:val="0"/>
        <w:snapToGrid w:val="0"/>
        <w:spacing w:after="60" w:line="228" w:lineRule="auto"/>
        <w:ind w:left="2608"/>
      </w:pPr>
    </w:p>
    <w:p w14:paraId="4D11E73A" w14:textId="77777777" w:rsidR="00E055F9" w:rsidRPr="00110930" w:rsidRDefault="00E055F9" w:rsidP="00AC7729">
      <w:pPr>
        <w:adjustRightInd w:val="0"/>
        <w:snapToGrid w:val="0"/>
        <w:spacing w:after="60" w:line="228" w:lineRule="auto"/>
        <w:ind w:left="2608"/>
      </w:pPr>
    </w:p>
    <w:p w14:paraId="39C7DCDA" w14:textId="1681E07B" w:rsidR="0011705B" w:rsidRPr="00AC7729" w:rsidRDefault="0011705B" w:rsidP="00AC7729">
      <w:pPr>
        <w:pStyle w:val="MDPI21heading1"/>
        <w:ind w:left="210" w:firstLine="510"/>
        <w:rPr>
          <w:szCs w:val="20"/>
        </w:rPr>
      </w:pPr>
      <w:r w:rsidRPr="00AC7729">
        <w:rPr>
          <w:szCs w:val="20"/>
        </w:rPr>
        <w:t>References</w:t>
      </w:r>
    </w:p>
    <w:p w14:paraId="7FABDC26" w14:textId="609BC7C1" w:rsidR="00110930"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(Arendt [1958] </w:t>
      </w:r>
      <w:r w:rsidR="00954E0A">
        <w:rPr>
          <w:rFonts w:ascii="Palatino Linotype" w:hAnsi="Palatino Linotype"/>
          <w:sz w:val="20"/>
          <w:szCs w:val="20"/>
        </w:rPr>
        <w:t>2013</w:t>
      </w:r>
      <w:r w:rsidRPr="00AC7729">
        <w:rPr>
          <w:rFonts w:ascii="Palatino Linotype" w:hAnsi="Palatino Linotype"/>
          <w:sz w:val="20"/>
          <w:szCs w:val="20"/>
        </w:rPr>
        <w:t xml:space="preserve">) Arendt, Hannah. </w:t>
      </w:r>
      <w:r w:rsidR="00E055F9">
        <w:rPr>
          <w:rFonts w:ascii="Palatino Linotype" w:hAnsi="Palatino Linotype"/>
          <w:sz w:val="20"/>
          <w:szCs w:val="20"/>
        </w:rPr>
        <w:t>2013</w:t>
      </w:r>
      <w:r w:rsidRPr="00AC7729">
        <w:rPr>
          <w:rFonts w:ascii="Palatino Linotype" w:hAnsi="Palatino Linotype"/>
          <w:sz w:val="20"/>
          <w:szCs w:val="20"/>
        </w:rPr>
        <w:t xml:space="preserve">. </w:t>
      </w:r>
      <w:r w:rsidRPr="00AC7729">
        <w:rPr>
          <w:rFonts w:ascii="Palatino Linotype" w:hAnsi="Palatino Linotype"/>
          <w:i/>
          <w:iCs/>
          <w:sz w:val="20"/>
          <w:szCs w:val="20"/>
        </w:rPr>
        <w:t>The Human Condition</w:t>
      </w:r>
      <w:r w:rsidRPr="00AC7729">
        <w:rPr>
          <w:rFonts w:ascii="Palatino Linotype" w:hAnsi="Palatino Linotype"/>
          <w:sz w:val="20"/>
          <w:szCs w:val="20"/>
        </w:rPr>
        <w:t>. Chicago: University of Chicago Press. First</w:t>
      </w:r>
      <w:r w:rsidR="00110930">
        <w:rPr>
          <w:rFonts w:ascii="Palatino Linotype" w:hAnsi="Palatino Linotype"/>
          <w:sz w:val="20"/>
          <w:szCs w:val="20"/>
        </w:rPr>
        <w:br/>
        <w:t xml:space="preserve">   </w:t>
      </w:r>
      <w:r w:rsidRPr="00AC7729">
        <w:rPr>
          <w:rFonts w:ascii="Palatino Linotype" w:hAnsi="Palatino Linotype"/>
          <w:sz w:val="20"/>
          <w:szCs w:val="20"/>
        </w:rPr>
        <w:t>published 1958.</w:t>
      </w:r>
    </w:p>
    <w:p w14:paraId="577D50BD" w14:textId="68A8DEB7"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(Ayalon 2021) Ayalon, </w:t>
      </w:r>
      <w:proofErr w:type="spellStart"/>
      <w:r w:rsidRPr="00AC7729">
        <w:rPr>
          <w:rFonts w:ascii="Palatino Linotype" w:hAnsi="Palatino Linotype"/>
          <w:sz w:val="20"/>
          <w:szCs w:val="20"/>
        </w:rPr>
        <w:t>Liat</w:t>
      </w:r>
      <w:proofErr w:type="spellEnd"/>
      <w:r w:rsidRPr="00AC7729">
        <w:rPr>
          <w:rFonts w:ascii="Palatino Linotype" w:hAnsi="Palatino Linotype"/>
          <w:sz w:val="20"/>
          <w:szCs w:val="20"/>
        </w:rPr>
        <w:t>. 2021. Trust and Compliance with COVID-19: preventive behaviors during the</w:t>
      </w:r>
      <w:r w:rsidR="00110930">
        <w:rPr>
          <w:rFonts w:ascii="Palatino Linotype" w:hAnsi="Palatino Linotype"/>
          <w:sz w:val="20"/>
          <w:szCs w:val="20"/>
        </w:rPr>
        <w:br/>
      </w:r>
      <w:r w:rsidRPr="00AC7729">
        <w:rPr>
          <w:rFonts w:ascii="Palatino Linotype" w:hAnsi="Palatino Linotype"/>
          <w:sz w:val="20"/>
          <w:szCs w:val="20"/>
        </w:rPr>
        <w:t xml:space="preserve"> </w:t>
      </w:r>
      <w:r w:rsidR="00110930">
        <w:rPr>
          <w:rFonts w:ascii="Palatino Linotype" w:hAnsi="Palatino Linotype"/>
          <w:sz w:val="20"/>
          <w:szCs w:val="20"/>
        </w:rPr>
        <w:t xml:space="preserve">  </w:t>
      </w:r>
      <w:r w:rsidRPr="00AC7729">
        <w:rPr>
          <w:rFonts w:ascii="Palatino Linotype" w:hAnsi="Palatino Linotype"/>
          <w:sz w:val="20"/>
          <w:szCs w:val="20"/>
        </w:rPr>
        <w:t xml:space="preserve">pandemic. </w:t>
      </w:r>
      <w:r w:rsidRPr="00AC7729">
        <w:rPr>
          <w:rFonts w:ascii="Palatino Linotype" w:hAnsi="Palatino Linotype"/>
          <w:i/>
          <w:iCs/>
          <w:sz w:val="20"/>
          <w:szCs w:val="20"/>
        </w:rPr>
        <w:t>Public Health</w:t>
      </w:r>
      <w:r w:rsidRPr="00AC7729">
        <w:rPr>
          <w:rFonts w:ascii="Palatino Linotype" w:hAnsi="Palatino Linotype"/>
          <w:sz w:val="20"/>
          <w:szCs w:val="20"/>
        </w:rPr>
        <w:t xml:space="preserve"> 18 (5): 2643. </w:t>
      </w:r>
      <w:hyperlink r:id="rId8" w:history="1">
        <w:r w:rsidRPr="00AC7729">
          <w:rPr>
            <w:rStyle w:val="Hyperlink"/>
            <w:rFonts w:ascii="Palatino Linotype" w:hAnsi="Palatino Linotype"/>
            <w:sz w:val="20"/>
            <w:szCs w:val="20"/>
          </w:rPr>
          <w:t>https://doi.org/10.3390/ijerph18052643</w:t>
        </w:r>
      </w:hyperlink>
      <w:r w:rsidRPr="00AC7729">
        <w:rPr>
          <w:rFonts w:ascii="Palatino Linotype" w:hAnsi="Palatino Linotype"/>
          <w:sz w:val="20"/>
          <w:szCs w:val="20"/>
        </w:rPr>
        <w:t>.</w:t>
      </w:r>
    </w:p>
    <w:p w14:paraId="7D8F3886" w14:textId="3D7AC17B"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(Babylonian Talmud 2020) Babylonian Talmud. </w:t>
      </w:r>
      <w:r w:rsidRPr="00AC7729">
        <w:rPr>
          <w:rFonts w:ascii="Palatino Linotype" w:hAnsi="Palatino Linotype"/>
          <w:sz w:val="20"/>
          <w:szCs w:val="20"/>
          <w:lang w:val="es-ES"/>
        </w:rPr>
        <w:t xml:space="preserve">2020. Sefaria. </w:t>
      </w:r>
      <w:hyperlink r:id="rId9" w:history="1">
        <w:r w:rsidRPr="00AC7729">
          <w:rPr>
            <w:rStyle w:val="Hyperlink"/>
            <w:rFonts w:ascii="Palatino Linotype" w:hAnsi="Palatino Linotype"/>
            <w:sz w:val="20"/>
            <w:szCs w:val="20"/>
            <w:lang w:val="es-ES"/>
          </w:rPr>
          <w:t>https://www.sefaria.org/texts/Talmud/Bavli</w:t>
        </w:r>
      </w:hyperlink>
      <w:r w:rsidRPr="00AC7729">
        <w:rPr>
          <w:rFonts w:ascii="Palatino Linotype" w:hAnsi="Palatino Linotype"/>
          <w:sz w:val="20"/>
          <w:szCs w:val="20"/>
          <w:lang w:val="es-ES"/>
        </w:rPr>
        <w:t>.</w:t>
      </w:r>
      <w:r w:rsidR="00110930">
        <w:rPr>
          <w:rFonts w:ascii="Palatino Linotype" w:hAnsi="Palatino Linotype"/>
          <w:sz w:val="20"/>
          <w:szCs w:val="20"/>
          <w:lang w:val="es-ES"/>
        </w:rPr>
        <w:br/>
      </w:r>
      <w:r w:rsidRPr="00AC7729">
        <w:rPr>
          <w:rFonts w:ascii="Palatino Linotype" w:hAnsi="Palatino Linotype"/>
          <w:sz w:val="20"/>
          <w:szCs w:val="20"/>
          <w:lang w:val="es-ES"/>
        </w:rPr>
        <w:t xml:space="preserve"> </w:t>
      </w:r>
      <w:r w:rsidR="00110930">
        <w:rPr>
          <w:rFonts w:ascii="Palatino Linotype" w:hAnsi="Palatino Linotype"/>
          <w:sz w:val="20"/>
          <w:szCs w:val="20"/>
          <w:lang w:val="es-ES"/>
        </w:rPr>
        <w:t xml:space="preserve">  </w:t>
      </w:r>
      <w:r w:rsidRPr="00AC7729">
        <w:rPr>
          <w:rFonts w:ascii="Palatino Linotype" w:hAnsi="Palatino Linotype"/>
          <w:sz w:val="20"/>
          <w:szCs w:val="20"/>
        </w:rPr>
        <w:t>Accessed October 28, 2020.</w:t>
      </w:r>
    </w:p>
    <w:p w14:paraId="7A787306" w14:textId="1C3857D2"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(Buber 2002) Buber, Martin. 2002. Biblical leadership. In </w:t>
      </w:r>
      <w:r w:rsidRPr="00AC7729">
        <w:rPr>
          <w:rFonts w:ascii="Palatino Linotype" w:hAnsi="Palatino Linotype"/>
          <w:i/>
          <w:iCs/>
          <w:sz w:val="20"/>
          <w:szCs w:val="20"/>
        </w:rPr>
        <w:t>The Martin Buber Reader: Essential Writings</w:t>
      </w:r>
      <w:r w:rsidRPr="00AC7729">
        <w:rPr>
          <w:rFonts w:ascii="Palatino Linotype" w:hAnsi="Palatino Linotype"/>
          <w:sz w:val="20"/>
          <w:szCs w:val="20"/>
        </w:rPr>
        <w:t>. Edited by</w:t>
      </w:r>
      <w:r w:rsidR="00110930">
        <w:rPr>
          <w:rFonts w:ascii="Palatino Linotype" w:hAnsi="Palatino Linotype"/>
          <w:sz w:val="20"/>
          <w:szCs w:val="20"/>
        </w:rPr>
        <w:br/>
        <w:t xml:space="preserve">  </w:t>
      </w:r>
      <w:r w:rsidRPr="00AC7729">
        <w:rPr>
          <w:rFonts w:ascii="Palatino Linotype" w:hAnsi="Palatino Linotype"/>
          <w:sz w:val="20"/>
          <w:szCs w:val="20"/>
        </w:rPr>
        <w:t xml:space="preserve"> Asher D. </w:t>
      </w:r>
      <w:proofErr w:type="spellStart"/>
      <w:r w:rsidRPr="00AC7729">
        <w:rPr>
          <w:rFonts w:ascii="Palatino Linotype" w:hAnsi="Palatino Linotype"/>
          <w:sz w:val="20"/>
          <w:szCs w:val="20"/>
        </w:rPr>
        <w:t>Biemann</w:t>
      </w:r>
      <w:proofErr w:type="spellEnd"/>
      <w:r w:rsidRPr="00AC7729">
        <w:rPr>
          <w:rFonts w:ascii="Palatino Linotype" w:hAnsi="Palatino Linotype"/>
          <w:sz w:val="20"/>
          <w:szCs w:val="20"/>
        </w:rPr>
        <w:t>. New York: Palgrave McMillan, pp. 33–42.</w:t>
      </w:r>
    </w:p>
    <w:p w14:paraId="79E1A13E" w14:textId="67D1EA99"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(Cassuto 1973) Cassuto, Umberto, 1973. Confession. In </w:t>
      </w:r>
      <w:r w:rsidRPr="00AC7729">
        <w:rPr>
          <w:rFonts w:ascii="Palatino Linotype" w:hAnsi="Palatino Linotype"/>
          <w:i/>
          <w:iCs/>
          <w:sz w:val="20"/>
          <w:szCs w:val="20"/>
        </w:rPr>
        <w:t>Biblical Encyclopedia</w:t>
      </w:r>
      <w:r w:rsidRPr="00AC7729">
        <w:rPr>
          <w:rFonts w:ascii="Palatino Linotype" w:hAnsi="Palatino Linotype"/>
          <w:sz w:val="20"/>
          <w:szCs w:val="20"/>
        </w:rPr>
        <w:t>, vol. II. Edited by Umberto</w:t>
      </w:r>
      <w:r w:rsidR="00110930">
        <w:rPr>
          <w:rFonts w:ascii="Palatino Linotype" w:hAnsi="Palatino Linotype"/>
          <w:sz w:val="20"/>
          <w:szCs w:val="20"/>
        </w:rPr>
        <w:br/>
        <w:t xml:space="preserve">   Cass</w:t>
      </w:r>
      <w:r w:rsidRPr="00AC7729">
        <w:rPr>
          <w:rFonts w:ascii="Palatino Linotype" w:hAnsi="Palatino Linotype"/>
          <w:sz w:val="20"/>
          <w:szCs w:val="20"/>
        </w:rPr>
        <w:t>uto. Jerusalem: Bialik Institute, pp. 874–878. In Hebrew.</w:t>
      </w:r>
    </w:p>
    <w:p w14:paraId="5FF3AF4C" w14:textId="033BEFE8" w:rsidR="00AC7729" w:rsidRPr="00AC7729" w:rsidRDefault="00AC7729" w:rsidP="00110930">
      <w:pPr>
        <w:pStyle w:val="Bibliography1"/>
        <w:spacing w:line="240" w:lineRule="auto"/>
        <w:ind w:firstLine="0"/>
        <w:rPr>
          <w:rFonts w:ascii="Palatino Linotype" w:hAnsi="Palatino Linotype"/>
          <w:sz w:val="20"/>
          <w:szCs w:val="20"/>
          <w:lang w:val="de-DE"/>
        </w:rPr>
      </w:pPr>
      <w:r w:rsidRPr="00AC7729">
        <w:rPr>
          <w:rFonts w:ascii="Palatino Linotype" w:hAnsi="Palatino Linotype"/>
          <w:sz w:val="20"/>
          <w:szCs w:val="20"/>
        </w:rPr>
        <w:t xml:space="preserve">(Davies 2010) Davies, Philip R. 2010. The “nationalization” of the Jewish canon. </w:t>
      </w:r>
      <w:r w:rsidRPr="00AC7729">
        <w:rPr>
          <w:rFonts w:ascii="Palatino Linotype" w:hAnsi="Palatino Linotype"/>
          <w:i/>
          <w:iCs/>
          <w:sz w:val="20"/>
          <w:szCs w:val="20"/>
          <w:lang w:val="de-DE"/>
        </w:rPr>
        <w:t>Cahiers du Centre Gustave Glotz</w:t>
      </w:r>
      <w:r w:rsidR="00110930">
        <w:rPr>
          <w:rFonts w:ascii="Palatino Linotype" w:hAnsi="Palatino Linotype"/>
          <w:i/>
          <w:iCs/>
          <w:sz w:val="20"/>
          <w:szCs w:val="20"/>
          <w:lang w:val="de-DE"/>
        </w:rPr>
        <w:br/>
      </w:r>
      <w:r w:rsidR="00110930">
        <w:rPr>
          <w:rFonts w:ascii="Palatino Linotype" w:hAnsi="Palatino Linotype"/>
          <w:sz w:val="20"/>
          <w:szCs w:val="20"/>
          <w:lang w:val="de-DE"/>
        </w:rPr>
        <w:t xml:space="preserve">  </w:t>
      </w:r>
      <w:r w:rsidRPr="00AC7729">
        <w:rPr>
          <w:rFonts w:ascii="Palatino Linotype" w:hAnsi="Palatino Linotype"/>
          <w:sz w:val="20"/>
          <w:szCs w:val="20"/>
          <w:lang w:val="de-DE"/>
        </w:rPr>
        <w:t xml:space="preserve"> 21: 371–383.</w:t>
      </w:r>
    </w:p>
    <w:p w14:paraId="2298E67B" w14:textId="495FCB32" w:rsidR="00AC7729" w:rsidRPr="00AC7729" w:rsidRDefault="00AC7729" w:rsidP="00110930">
      <w:pPr>
        <w:pStyle w:val="Bibliography1"/>
        <w:spacing w:line="240" w:lineRule="auto"/>
        <w:ind w:firstLine="0"/>
        <w:rPr>
          <w:rFonts w:ascii="Palatino Linotype" w:eastAsia="MS Mincho" w:hAnsi="Palatino Linotype"/>
          <w:sz w:val="20"/>
          <w:szCs w:val="20"/>
          <w:lang w:eastAsia="zh-TW" w:bidi="ar-SA"/>
        </w:rPr>
      </w:pPr>
      <w:r w:rsidRPr="00AC7729">
        <w:rPr>
          <w:rFonts w:ascii="Palatino Linotype" w:eastAsia="MS Mincho" w:hAnsi="Palatino Linotype"/>
          <w:sz w:val="20"/>
          <w:szCs w:val="20"/>
          <w:lang w:val="de-DE" w:eastAsia="zh-TW" w:bidi="ar-SA"/>
        </w:rPr>
        <w:t xml:space="preserve">(Deleuze 2006) Deleuze, Gilles. 2006. </w:t>
      </w:r>
      <w:r w:rsidRPr="00AC7729">
        <w:rPr>
          <w:rFonts w:ascii="Palatino Linotype" w:eastAsia="MS Mincho" w:hAnsi="Palatino Linotype"/>
          <w:i/>
          <w:iCs/>
          <w:sz w:val="20"/>
          <w:szCs w:val="20"/>
          <w:lang w:val="de-DE" w:eastAsia="zh-TW" w:bidi="ar-SA"/>
        </w:rPr>
        <w:t>Nietzsche and Philosophy</w:t>
      </w:r>
      <w:r w:rsidRPr="00AC7729">
        <w:rPr>
          <w:rFonts w:ascii="Palatino Linotype" w:eastAsia="MS Mincho" w:hAnsi="Palatino Linotype"/>
          <w:sz w:val="20"/>
          <w:szCs w:val="20"/>
          <w:lang w:val="de-DE" w:eastAsia="zh-TW" w:bidi="ar-SA"/>
        </w:rPr>
        <w:t xml:space="preserve">. </w:t>
      </w:r>
      <w:r w:rsidRPr="00AC7729">
        <w:rPr>
          <w:rFonts w:ascii="Palatino Linotype" w:eastAsia="MS Mincho" w:hAnsi="Palatino Linotype"/>
          <w:sz w:val="20"/>
          <w:szCs w:val="20"/>
          <w:lang w:eastAsia="zh-TW" w:bidi="ar-SA"/>
        </w:rPr>
        <w:t>Trans. Hugh Tomlinson. New York: Columbia</w:t>
      </w:r>
      <w:r w:rsidR="00110930">
        <w:rPr>
          <w:rFonts w:ascii="Palatino Linotype" w:eastAsia="MS Mincho" w:hAnsi="Palatino Linotype"/>
          <w:sz w:val="20"/>
          <w:szCs w:val="20"/>
          <w:lang w:eastAsia="zh-TW" w:bidi="ar-SA"/>
        </w:rPr>
        <w:br/>
        <w:t xml:space="preserve">  </w:t>
      </w:r>
      <w:r w:rsidRPr="00AC7729">
        <w:rPr>
          <w:rFonts w:ascii="Palatino Linotype" w:eastAsia="MS Mincho" w:hAnsi="Palatino Linotype"/>
          <w:sz w:val="20"/>
          <w:szCs w:val="20"/>
          <w:lang w:eastAsia="zh-TW" w:bidi="ar-SA"/>
        </w:rPr>
        <w:t xml:space="preserve"> University Press.</w:t>
      </w:r>
    </w:p>
    <w:p w14:paraId="5ECEB76D" w14:textId="63008C8F" w:rsidR="00AC7729" w:rsidRPr="00AC7729" w:rsidRDefault="00AC7729" w:rsidP="00110930">
      <w:pPr>
        <w:pStyle w:val="Bibliography1"/>
        <w:spacing w:line="240" w:lineRule="auto"/>
        <w:ind w:firstLine="0"/>
        <w:rPr>
          <w:rFonts w:ascii="Palatino Linotype" w:eastAsia="Times New Roman" w:hAnsi="Palatino Linotype"/>
          <w:sz w:val="20"/>
          <w:szCs w:val="20"/>
        </w:rPr>
      </w:pPr>
      <w:r w:rsidRPr="00AC7729">
        <w:rPr>
          <w:rFonts w:ascii="Palatino Linotype" w:eastAsia="Times New Roman" w:hAnsi="Palatino Linotype"/>
          <w:sz w:val="20"/>
          <w:szCs w:val="20"/>
        </w:rPr>
        <w:t xml:space="preserve">(Durkheim 1971) Durkheim, Émile. 1971. </w:t>
      </w:r>
      <w:r w:rsidRPr="00AC7729">
        <w:rPr>
          <w:rFonts w:ascii="Palatino Linotype" w:eastAsia="Times New Roman" w:hAnsi="Palatino Linotype"/>
          <w:i/>
          <w:iCs/>
          <w:sz w:val="20"/>
          <w:szCs w:val="20"/>
        </w:rPr>
        <w:t>The Elementary Forms of the Religious Life</w:t>
      </w:r>
      <w:r w:rsidRPr="00AC7729">
        <w:rPr>
          <w:rFonts w:ascii="Palatino Linotype" w:eastAsia="Times New Roman" w:hAnsi="Palatino Linotype"/>
          <w:sz w:val="20"/>
          <w:szCs w:val="20"/>
        </w:rPr>
        <w:t>. London: George Allen &amp;</w:t>
      </w:r>
      <w:r w:rsidRPr="00AC7729">
        <w:rPr>
          <w:rFonts w:ascii="Palatino Linotype" w:hAnsi="Palatino Linotype"/>
          <w:sz w:val="20"/>
          <w:szCs w:val="20"/>
        </w:rPr>
        <w:t xml:space="preserve"> </w:t>
      </w:r>
      <w:r w:rsidR="00110930">
        <w:rPr>
          <w:rFonts w:ascii="Palatino Linotype" w:hAnsi="Palatino Linotype"/>
          <w:sz w:val="20"/>
          <w:szCs w:val="20"/>
        </w:rPr>
        <w:br/>
        <w:t xml:space="preserve">   </w:t>
      </w:r>
      <w:r w:rsidRPr="00AC7729">
        <w:rPr>
          <w:rFonts w:ascii="Palatino Linotype" w:eastAsia="Times New Roman" w:hAnsi="Palatino Linotype"/>
          <w:sz w:val="20"/>
          <w:szCs w:val="20"/>
        </w:rPr>
        <w:t>Unwin.</w:t>
      </w:r>
    </w:p>
    <w:p w14:paraId="3B5FBA06" w14:textId="23EE5E9D" w:rsidR="00AC7729" w:rsidRPr="00AC7729" w:rsidRDefault="00AC7729" w:rsidP="00110930">
      <w:pPr>
        <w:pStyle w:val="Bibliography1"/>
        <w:spacing w:line="240" w:lineRule="auto"/>
        <w:ind w:firstLine="0"/>
        <w:rPr>
          <w:rFonts w:ascii="Palatino Linotype" w:eastAsia="MS Mincho" w:hAnsi="Palatino Linotype"/>
          <w:sz w:val="20"/>
          <w:szCs w:val="20"/>
          <w:lang w:eastAsia="zh-TW" w:bidi="ar-SA"/>
        </w:rPr>
      </w:pPr>
      <w:r w:rsidRPr="00AC7729">
        <w:rPr>
          <w:rFonts w:ascii="Palatino Linotype" w:hAnsi="Palatino Linotype"/>
          <w:sz w:val="20"/>
          <w:szCs w:val="20"/>
        </w:rPr>
        <w:t xml:space="preserve">(Foucault 1977) </w:t>
      </w:r>
      <w:r w:rsidRPr="00AC7729">
        <w:rPr>
          <w:rFonts w:ascii="Palatino Linotype" w:eastAsia="MS Mincho" w:hAnsi="Palatino Linotype"/>
          <w:sz w:val="20"/>
          <w:szCs w:val="20"/>
          <w:lang w:eastAsia="zh-TW" w:bidi="ar-SA"/>
        </w:rPr>
        <w:t xml:space="preserve">Foucault, Michel. 1977. Nietzsche, genealogy, history. In </w:t>
      </w:r>
      <w:r w:rsidRPr="00AC7729">
        <w:rPr>
          <w:rFonts w:ascii="Palatino Linotype" w:eastAsia="MS Mincho" w:hAnsi="Palatino Linotype"/>
          <w:i/>
          <w:iCs/>
          <w:sz w:val="20"/>
          <w:szCs w:val="20"/>
          <w:lang w:eastAsia="zh-TW" w:bidi="ar-SA"/>
        </w:rPr>
        <w:t>Language, Counter-memory, Practice</w:t>
      </w:r>
      <w:r w:rsidRPr="00AC7729">
        <w:rPr>
          <w:rFonts w:ascii="Palatino Linotype" w:eastAsia="MS Mincho" w:hAnsi="Palatino Linotype"/>
          <w:sz w:val="20"/>
          <w:szCs w:val="20"/>
          <w:lang w:eastAsia="zh-TW" w:bidi="ar-SA"/>
        </w:rPr>
        <w:t xml:space="preserve">. </w:t>
      </w:r>
      <w:r w:rsidR="00110930">
        <w:rPr>
          <w:rFonts w:ascii="Palatino Linotype" w:eastAsia="MS Mincho" w:hAnsi="Palatino Linotype"/>
          <w:sz w:val="20"/>
          <w:szCs w:val="20"/>
          <w:lang w:eastAsia="zh-TW" w:bidi="ar-SA"/>
        </w:rPr>
        <w:br/>
        <w:t xml:space="preserve">   </w:t>
      </w:r>
      <w:r w:rsidRPr="00AC7729">
        <w:rPr>
          <w:rFonts w:ascii="Palatino Linotype" w:eastAsia="MS Mincho" w:hAnsi="Palatino Linotype"/>
          <w:sz w:val="20"/>
          <w:szCs w:val="20"/>
          <w:lang w:eastAsia="zh-TW" w:bidi="ar-SA"/>
        </w:rPr>
        <w:t>Edited by Donald F. Bouchard. Ithaca: Cornell University Press, pp. 139–164.</w:t>
      </w:r>
    </w:p>
    <w:p w14:paraId="62704175" w14:textId="77777777" w:rsidR="00AC7729" w:rsidRPr="00AC7729" w:rsidRDefault="00AC7729" w:rsidP="00110930">
      <w:pPr>
        <w:pStyle w:val="Bibliography1"/>
        <w:spacing w:line="240" w:lineRule="auto"/>
        <w:ind w:firstLine="0"/>
        <w:rPr>
          <w:rFonts w:ascii="Palatino Linotype" w:eastAsia="MS Mincho" w:hAnsi="Palatino Linotype"/>
          <w:sz w:val="20"/>
          <w:szCs w:val="20"/>
          <w:lang w:eastAsia="zh-TW" w:bidi="ar-SA"/>
        </w:rPr>
      </w:pPr>
      <w:r w:rsidRPr="00AC7729">
        <w:rPr>
          <w:rFonts w:ascii="Palatino Linotype" w:eastAsia="MS Mincho" w:hAnsi="Palatino Linotype"/>
          <w:sz w:val="20"/>
          <w:szCs w:val="20"/>
          <w:lang w:eastAsia="zh-TW" w:bidi="ar-SA"/>
        </w:rPr>
        <w:t xml:space="preserve">(Frankl 2014) Frankl, Victor. 2014. </w:t>
      </w:r>
      <w:r w:rsidRPr="00AC7729">
        <w:rPr>
          <w:rFonts w:ascii="Palatino Linotype" w:eastAsia="MS Mincho" w:hAnsi="Palatino Linotype"/>
          <w:i/>
          <w:iCs/>
          <w:sz w:val="20"/>
          <w:szCs w:val="20"/>
          <w:lang w:eastAsia="zh-TW" w:bidi="ar-SA"/>
        </w:rPr>
        <w:t>The Will to Meaning</w:t>
      </w:r>
      <w:r w:rsidRPr="00AC7729">
        <w:rPr>
          <w:rFonts w:ascii="Palatino Linotype" w:eastAsia="MS Mincho" w:hAnsi="Palatino Linotype"/>
          <w:sz w:val="20"/>
          <w:szCs w:val="20"/>
          <w:lang w:eastAsia="zh-TW" w:bidi="ar-SA"/>
        </w:rPr>
        <w:t>. New York: Plume (Penguin).</w:t>
      </w:r>
    </w:p>
    <w:p w14:paraId="078C1813" w14:textId="2561C347"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(Freud 1961) Freud, Sigmund. 1961. </w:t>
      </w:r>
      <w:r w:rsidRPr="00AC7729">
        <w:rPr>
          <w:rFonts w:ascii="Palatino Linotype" w:hAnsi="Palatino Linotype"/>
          <w:i/>
          <w:iCs/>
          <w:sz w:val="20"/>
          <w:szCs w:val="20"/>
        </w:rPr>
        <w:t>The Future of an Illusion</w:t>
      </w:r>
      <w:r w:rsidRPr="00AC7729">
        <w:rPr>
          <w:rFonts w:ascii="Palatino Linotype" w:hAnsi="Palatino Linotype"/>
          <w:sz w:val="20"/>
          <w:szCs w:val="20"/>
        </w:rPr>
        <w:t xml:space="preserve">. Trans. and ed. James Strachey. New York: W. W. </w:t>
      </w:r>
      <w:r w:rsidR="00110930">
        <w:rPr>
          <w:rFonts w:ascii="Palatino Linotype" w:hAnsi="Palatino Linotype"/>
          <w:sz w:val="20"/>
          <w:szCs w:val="20"/>
        </w:rPr>
        <w:br/>
        <w:t xml:space="preserve">   </w:t>
      </w:r>
      <w:r w:rsidRPr="00AC7729">
        <w:rPr>
          <w:rFonts w:ascii="Palatino Linotype" w:hAnsi="Palatino Linotype"/>
          <w:sz w:val="20"/>
          <w:szCs w:val="20"/>
        </w:rPr>
        <w:t>Norton and Company.</w:t>
      </w:r>
    </w:p>
    <w:p w14:paraId="248439F7" w14:textId="33FF802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(Friedman 2020) Friedman, </w:t>
      </w:r>
      <w:proofErr w:type="spellStart"/>
      <w:r w:rsidRPr="00AC7729">
        <w:rPr>
          <w:rFonts w:ascii="Palatino Linotype" w:hAnsi="Palatino Linotype"/>
          <w:sz w:val="20"/>
          <w:szCs w:val="20"/>
        </w:rPr>
        <w:t>Shuki</w:t>
      </w:r>
      <w:proofErr w:type="spellEnd"/>
      <w:r w:rsidRPr="00AC7729">
        <w:rPr>
          <w:rFonts w:ascii="Palatino Linotype" w:hAnsi="Palatino Linotype"/>
          <w:sz w:val="20"/>
          <w:szCs w:val="20"/>
        </w:rPr>
        <w:t xml:space="preserve">. 2020. </w:t>
      </w:r>
      <w:r w:rsidRPr="00AC7729">
        <w:rPr>
          <w:rFonts w:ascii="Palatino Linotype" w:hAnsi="Palatino Linotype"/>
          <w:i/>
          <w:iCs/>
          <w:sz w:val="20"/>
          <w:szCs w:val="20"/>
        </w:rPr>
        <w:t>The Discourse of Autonomy is Dangerous to our Existence as a Society</w:t>
      </w:r>
      <w:r w:rsidRPr="00AC7729">
        <w:rPr>
          <w:rFonts w:ascii="Palatino Linotype" w:hAnsi="Palatino Linotype"/>
          <w:sz w:val="20"/>
          <w:szCs w:val="20"/>
        </w:rPr>
        <w:t xml:space="preserve">. </w:t>
      </w:r>
      <w:r w:rsidR="00110930">
        <w:rPr>
          <w:rFonts w:ascii="Palatino Linotype" w:hAnsi="Palatino Linotype"/>
          <w:sz w:val="20"/>
          <w:szCs w:val="20"/>
        </w:rPr>
        <w:br/>
        <w:t xml:space="preserve">   </w:t>
      </w:r>
      <w:r w:rsidRPr="00AC7729">
        <w:rPr>
          <w:rFonts w:ascii="Palatino Linotype" w:hAnsi="Palatino Linotype"/>
          <w:sz w:val="20"/>
          <w:szCs w:val="20"/>
        </w:rPr>
        <w:t>Jerusalem: The Israel Democracy Institute. In Hebrew.</w:t>
      </w:r>
    </w:p>
    <w:p w14:paraId="7FB080E2" w14:textId="12F9F4D4"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(Fromm 1966) Fromm, Erich. 1966. </w:t>
      </w:r>
      <w:r w:rsidRPr="00AC7729">
        <w:rPr>
          <w:rFonts w:ascii="Palatino Linotype" w:hAnsi="Palatino Linotype"/>
          <w:i/>
          <w:iCs/>
          <w:sz w:val="20"/>
          <w:szCs w:val="20"/>
        </w:rPr>
        <w:t>You Shall be as Gods: A Radical Interpretation of the Old Testament and its</w:t>
      </w:r>
      <w:r w:rsidR="00110930">
        <w:rPr>
          <w:rFonts w:ascii="Palatino Linotype" w:hAnsi="Palatino Linotype"/>
          <w:i/>
          <w:iCs/>
          <w:sz w:val="20"/>
          <w:szCs w:val="20"/>
        </w:rPr>
        <w:br/>
        <w:t xml:space="preserve">   Trad</w:t>
      </w:r>
      <w:r w:rsidRPr="00AC7729">
        <w:rPr>
          <w:rFonts w:ascii="Palatino Linotype" w:hAnsi="Palatino Linotype"/>
          <w:i/>
          <w:iCs/>
          <w:sz w:val="20"/>
          <w:szCs w:val="20"/>
        </w:rPr>
        <w:t>ition</w:t>
      </w:r>
      <w:r w:rsidRPr="00AC7729">
        <w:rPr>
          <w:rFonts w:ascii="Palatino Linotype" w:hAnsi="Palatino Linotype"/>
          <w:sz w:val="20"/>
          <w:szCs w:val="20"/>
        </w:rPr>
        <w:t>. New York: Fawcett Premier.</w:t>
      </w:r>
    </w:p>
    <w:p w14:paraId="314D5B3C" w14:textId="2F192D74"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(Fromm 1981) Fromm, Erich. 1981. </w:t>
      </w:r>
      <w:r w:rsidRPr="00AC7729">
        <w:rPr>
          <w:rFonts w:ascii="Palatino Linotype" w:hAnsi="Palatino Linotype"/>
          <w:i/>
          <w:iCs/>
          <w:sz w:val="20"/>
          <w:szCs w:val="20"/>
        </w:rPr>
        <w:t>On Disobedience: Why Freedom Means Saying “No” to Power</w:t>
      </w:r>
      <w:r w:rsidRPr="00AC7729">
        <w:rPr>
          <w:rFonts w:ascii="Palatino Linotype" w:hAnsi="Palatino Linotype"/>
          <w:sz w:val="20"/>
          <w:szCs w:val="20"/>
        </w:rPr>
        <w:t xml:space="preserve">. London: Harper </w:t>
      </w:r>
      <w:r w:rsidR="00110930">
        <w:rPr>
          <w:rFonts w:ascii="Palatino Linotype" w:hAnsi="Palatino Linotype"/>
          <w:sz w:val="20"/>
          <w:szCs w:val="20"/>
        </w:rPr>
        <w:br/>
        <w:t xml:space="preserve">   </w:t>
      </w:r>
      <w:r w:rsidRPr="00AC7729">
        <w:rPr>
          <w:rFonts w:ascii="Palatino Linotype" w:hAnsi="Palatino Linotype"/>
          <w:sz w:val="20"/>
          <w:szCs w:val="20"/>
        </w:rPr>
        <w:t>Collins.</w:t>
      </w:r>
    </w:p>
    <w:p w14:paraId="7FB1CD75" w14:textId="1B0DE49E"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(Haran 1995) Haran, Menachem. 1995. </w:t>
      </w:r>
      <w:r w:rsidRPr="00AC7729">
        <w:rPr>
          <w:rFonts w:ascii="Palatino Linotype" w:hAnsi="Palatino Linotype"/>
          <w:i/>
          <w:iCs/>
          <w:sz w:val="20"/>
          <w:szCs w:val="20"/>
        </w:rPr>
        <w:t>The Canon and the Canonization of the Old Testament and Other Collections</w:t>
      </w:r>
      <w:r w:rsidRPr="00AC7729">
        <w:rPr>
          <w:rFonts w:ascii="Palatino Linotype" w:hAnsi="Palatino Linotype"/>
          <w:sz w:val="20"/>
          <w:szCs w:val="20"/>
        </w:rPr>
        <w:t xml:space="preserve">. </w:t>
      </w:r>
      <w:r w:rsidR="00110930">
        <w:rPr>
          <w:rFonts w:ascii="Palatino Linotype" w:hAnsi="Palatino Linotype"/>
          <w:sz w:val="20"/>
          <w:szCs w:val="20"/>
        </w:rPr>
        <w:br/>
        <w:t xml:space="preserve">   </w:t>
      </w:r>
      <w:r w:rsidRPr="00AC7729">
        <w:rPr>
          <w:rFonts w:ascii="Palatino Linotype" w:hAnsi="Palatino Linotype"/>
          <w:sz w:val="20"/>
          <w:szCs w:val="20"/>
        </w:rPr>
        <w:t xml:space="preserve">Jerusalem: The Bialik Institute, via the </w:t>
      </w:r>
      <w:proofErr w:type="spellStart"/>
      <w:r w:rsidRPr="00AC7729">
        <w:rPr>
          <w:rFonts w:ascii="Palatino Linotype" w:hAnsi="Palatino Linotype"/>
          <w:sz w:val="20"/>
          <w:szCs w:val="20"/>
        </w:rPr>
        <w:t>Mikra</w:t>
      </w:r>
      <w:proofErr w:type="spellEnd"/>
      <w:r w:rsidRPr="00AC7729">
        <w:rPr>
          <w:rFonts w:ascii="Palatino Linotype" w:hAnsi="Palatino Linotype"/>
          <w:sz w:val="20"/>
          <w:szCs w:val="20"/>
        </w:rPr>
        <w:t>-net archive. In Hebrew.</w:t>
      </w:r>
    </w:p>
    <w:p w14:paraId="6323F857" w14:textId="35FAB47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lastRenderedPageBreak/>
        <w:t xml:space="preserve">(Hazony 1998) Hazony, Yoram. 1998. Jewish origins of disobedience in the west. In </w:t>
      </w:r>
      <w:r w:rsidRPr="00AC7729">
        <w:rPr>
          <w:rFonts w:ascii="Palatino Linotype" w:hAnsi="Palatino Linotype"/>
          <w:i/>
          <w:iCs/>
          <w:sz w:val="20"/>
          <w:szCs w:val="20"/>
        </w:rPr>
        <w:t>Disobedience and</w:t>
      </w:r>
      <w:r w:rsidR="00110930">
        <w:rPr>
          <w:rFonts w:ascii="Palatino Linotype" w:hAnsi="Palatino Linotype"/>
          <w:i/>
          <w:iCs/>
          <w:sz w:val="20"/>
          <w:szCs w:val="20"/>
        </w:rPr>
        <w:br/>
        <w:t xml:space="preserve">  Democr</w:t>
      </w:r>
      <w:r w:rsidRPr="00AC7729">
        <w:rPr>
          <w:rFonts w:ascii="Palatino Linotype" w:hAnsi="Palatino Linotype"/>
          <w:i/>
          <w:iCs/>
          <w:sz w:val="20"/>
          <w:szCs w:val="20"/>
        </w:rPr>
        <w:t>acy</w:t>
      </w:r>
      <w:r w:rsidRPr="00AC7729">
        <w:rPr>
          <w:rFonts w:ascii="Palatino Linotype" w:hAnsi="Palatino Linotype"/>
          <w:sz w:val="20"/>
          <w:szCs w:val="20"/>
        </w:rPr>
        <w:t xml:space="preserve">. Edited by Yehoshua Weinstein. Jerusalem: </w:t>
      </w:r>
      <w:proofErr w:type="spellStart"/>
      <w:r w:rsidRPr="00AC7729">
        <w:rPr>
          <w:rFonts w:ascii="Palatino Linotype" w:hAnsi="Palatino Linotype"/>
          <w:sz w:val="20"/>
          <w:szCs w:val="20"/>
        </w:rPr>
        <w:t>Shalem</w:t>
      </w:r>
      <w:proofErr w:type="spellEnd"/>
      <w:r w:rsidRPr="00AC7729">
        <w:rPr>
          <w:rFonts w:ascii="Palatino Linotype" w:hAnsi="Palatino Linotype"/>
          <w:sz w:val="20"/>
          <w:szCs w:val="20"/>
        </w:rPr>
        <w:t xml:space="preserve"> Press, pp. 13–67. In Hebrew.</w:t>
      </w:r>
    </w:p>
    <w:p w14:paraId="75FAFEBD" w14:textId="47566F8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(James [1902] 2002) James, William. 2002. </w:t>
      </w:r>
      <w:r w:rsidRPr="00AC7729">
        <w:rPr>
          <w:rFonts w:ascii="Palatino Linotype" w:hAnsi="Palatino Linotype"/>
          <w:i/>
          <w:iCs/>
          <w:sz w:val="20"/>
          <w:szCs w:val="20"/>
        </w:rPr>
        <w:t>The Varieties of Religious Experience</w:t>
      </w:r>
      <w:r w:rsidRPr="00AC7729">
        <w:rPr>
          <w:rFonts w:ascii="Palatino Linotype" w:hAnsi="Palatino Linotype"/>
          <w:sz w:val="20"/>
          <w:szCs w:val="20"/>
        </w:rPr>
        <w:t xml:space="preserve">. London, New York: Routledge. </w:t>
      </w:r>
      <w:r w:rsidR="00110930">
        <w:rPr>
          <w:rFonts w:ascii="Palatino Linotype" w:hAnsi="Palatino Linotype"/>
          <w:sz w:val="20"/>
          <w:szCs w:val="20"/>
        </w:rPr>
        <w:br/>
        <w:t xml:space="preserve">   </w:t>
      </w:r>
      <w:r w:rsidRPr="00AC7729">
        <w:rPr>
          <w:rFonts w:ascii="Palatino Linotype" w:hAnsi="Palatino Linotype"/>
          <w:sz w:val="20"/>
          <w:szCs w:val="20"/>
        </w:rPr>
        <w:t>First published 1902.</w:t>
      </w:r>
    </w:p>
    <w:p w14:paraId="390B9065" w14:textId="3C1C068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(Jerusalem Talmud 2020) Jerusalem Talmud. </w:t>
      </w:r>
      <w:r w:rsidRPr="00AC7729">
        <w:rPr>
          <w:rFonts w:ascii="Palatino Linotype" w:hAnsi="Palatino Linotype"/>
          <w:sz w:val="20"/>
          <w:szCs w:val="20"/>
          <w:lang w:val="es-ES"/>
        </w:rPr>
        <w:t xml:space="preserve">2020. Sefaria. </w:t>
      </w:r>
      <w:hyperlink r:id="rId10" w:history="1">
        <w:r w:rsidRPr="00AC7729">
          <w:rPr>
            <w:rStyle w:val="Hyperlink"/>
            <w:rFonts w:ascii="Palatino Linotype" w:hAnsi="Palatino Linotype"/>
            <w:sz w:val="20"/>
            <w:szCs w:val="20"/>
            <w:lang w:val="es-ES"/>
          </w:rPr>
          <w:t>https://www.sefaria.org/texts/Talmud/Yerushalmi</w:t>
        </w:r>
      </w:hyperlink>
      <w:r w:rsidRPr="00AC7729">
        <w:rPr>
          <w:rFonts w:ascii="Palatino Linotype" w:hAnsi="Palatino Linotype"/>
          <w:sz w:val="20"/>
          <w:szCs w:val="20"/>
          <w:lang w:val="es-ES"/>
        </w:rPr>
        <w:t xml:space="preserve">. </w:t>
      </w:r>
      <w:r w:rsidR="00110930">
        <w:rPr>
          <w:rFonts w:ascii="Palatino Linotype" w:hAnsi="Palatino Linotype"/>
          <w:sz w:val="20"/>
          <w:szCs w:val="20"/>
          <w:lang w:val="es-ES"/>
        </w:rPr>
        <w:br/>
        <w:t xml:space="preserve">   </w:t>
      </w:r>
      <w:r w:rsidRPr="00AC7729">
        <w:rPr>
          <w:rFonts w:ascii="Palatino Linotype" w:hAnsi="Palatino Linotype"/>
          <w:sz w:val="20"/>
          <w:szCs w:val="20"/>
        </w:rPr>
        <w:t>Accessed October 28, 2020.</w:t>
      </w:r>
    </w:p>
    <w:p w14:paraId="0BAF56B9" w14:textId="7A3C5BC3"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(Jung 1949) Jung, Carl Gustav. 1949. </w:t>
      </w:r>
      <w:r w:rsidRPr="00AC7729">
        <w:rPr>
          <w:rFonts w:ascii="Palatino Linotype" w:eastAsiaTheme="minorHAnsi" w:hAnsi="Palatino Linotype" w:cstheme="majorBidi"/>
          <w:i/>
          <w:iCs/>
          <w:sz w:val="20"/>
          <w:szCs w:val="20"/>
        </w:rPr>
        <w:t>Psychology of the Unconscious</w:t>
      </w:r>
      <w:r w:rsidRPr="00AC7729">
        <w:rPr>
          <w:rFonts w:ascii="Palatino Linotype" w:eastAsiaTheme="minorHAnsi" w:hAnsi="Palatino Linotype" w:cstheme="majorBidi"/>
          <w:sz w:val="20"/>
          <w:szCs w:val="20"/>
        </w:rPr>
        <w:t xml:space="preserve">. Trans. Beatrice M. Hinkle. New York: Dodd, </w:t>
      </w:r>
      <w:r w:rsidR="00110930">
        <w:rPr>
          <w:rFonts w:ascii="Palatino Linotype" w:eastAsiaTheme="minorHAnsi" w:hAnsi="Palatino Linotype" w:cstheme="majorBidi"/>
          <w:sz w:val="20"/>
          <w:szCs w:val="20"/>
        </w:rPr>
        <w:br/>
        <w:t xml:space="preserve">   </w:t>
      </w:r>
      <w:r w:rsidRPr="00AC7729">
        <w:rPr>
          <w:rFonts w:ascii="Palatino Linotype" w:eastAsiaTheme="minorHAnsi" w:hAnsi="Palatino Linotype" w:cstheme="majorBidi"/>
          <w:sz w:val="20"/>
          <w:szCs w:val="20"/>
        </w:rPr>
        <w:t>Mead and Company.</w:t>
      </w:r>
    </w:p>
    <w:p w14:paraId="609EBD7D" w14:textId="6018628E" w:rsidR="00AC7729" w:rsidRPr="00AC7729" w:rsidRDefault="00AC7729" w:rsidP="00110930">
      <w:pPr>
        <w:pStyle w:val="Bibliography1"/>
        <w:spacing w:line="240" w:lineRule="auto"/>
        <w:ind w:firstLine="0"/>
        <w:rPr>
          <w:rFonts w:ascii="Palatino Linotype" w:hAnsi="Palatino Linotype" w:cstheme="majorBidi"/>
          <w:sz w:val="20"/>
          <w:szCs w:val="20"/>
        </w:rPr>
      </w:pPr>
      <w:r w:rsidRPr="00AC7729">
        <w:rPr>
          <w:rFonts w:ascii="Palatino Linotype" w:hAnsi="Palatino Linotype" w:cstheme="majorBidi"/>
          <w:sz w:val="20"/>
          <w:szCs w:val="20"/>
          <w:lang w:val="es-ES"/>
        </w:rPr>
        <w:t xml:space="preserve">(Kimhi et al. 2020) Kimhi, Shaul, Hadas Marciano, Yohanan Eshel, and Bruria Adini. </w:t>
      </w:r>
      <w:r w:rsidRPr="001C132D">
        <w:rPr>
          <w:rFonts w:ascii="Palatino Linotype" w:hAnsi="Palatino Linotype" w:cstheme="majorBidi"/>
          <w:sz w:val="20"/>
          <w:szCs w:val="20"/>
        </w:rPr>
        <w:t xml:space="preserve">2020. </w:t>
      </w:r>
      <w:r w:rsidRPr="00AC7729">
        <w:rPr>
          <w:rFonts w:ascii="Palatino Linotype" w:hAnsi="Palatino Linotype" w:cstheme="majorBidi"/>
          <w:sz w:val="20"/>
          <w:szCs w:val="20"/>
        </w:rPr>
        <w:t xml:space="preserve">Recovery from the </w:t>
      </w:r>
      <w:r w:rsidR="00110930">
        <w:rPr>
          <w:rFonts w:ascii="Palatino Linotype" w:hAnsi="Palatino Linotype" w:cstheme="majorBidi"/>
          <w:sz w:val="20"/>
          <w:szCs w:val="20"/>
        </w:rPr>
        <w:br/>
        <w:t xml:space="preserve">   </w:t>
      </w:r>
      <w:r w:rsidRPr="00AC7729">
        <w:rPr>
          <w:rFonts w:ascii="Palatino Linotype" w:hAnsi="Palatino Linotype" w:cstheme="majorBidi"/>
          <w:sz w:val="20"/>
          <w:szCs w:val="20"/>
        </w:rPr>
        <w:t xml:space="preserve">COVID-19 pandemic: distress and resilience. </w:t>
      </w:r>
      <w:r w:rsidRPr="00AC7729">
        <w:rPr>
          <w:rFonts w:ascii="Palatino Linotype" w:hAnsi="Palatino Linotype" w:cstheme="majorBidi"/>
          <w:i/>
          <w:iCs/>
          <w:sz w:val="20"/>
          <w:szCs w:val="20"/>
        </w:rPr>
        <w:t>International Journal of Disaster Risk Reduction</w:t>
      </w:r>
      <w:r w:rsidRPr="00AC7729">
        <w:rPr>
          <w:rFonts w:ascii="Palatino Linotype" w:hAnsi="Palatino Linotype" w:cstheme="majorBidi"/>
          <w:sz w:val="20"/>
          <w:szCs w:val="20"/>
        </w:rPr>
        <w:t xml:space="preserve"> 50: 101843.</w:t>
      </w:r>
    </w:p>
    <w:p w14:paraId="44D84CC9" w14:textId="75C5BB79"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(King James 2020) King James Bible. 2020. Bible Gateway. </w:t>
      </w:r>
      <w:r w:rsidR="00110930">
        <w:rPr>
          <w:rFonts w:ascii="Palatino Linotype" w:hAnsi="Palatino Linotype"/>
          <w:sz w:val="20"/>
          <w:szCs w:val="20"/>
        </w:rPr>
        <w:fldChar w:fldCharType="begin"/>
      </w:r>
      <w:r w:rsidR="00110930" w:rsidRPr="00110930">
        <w:rPr>
          <w:rFonts w:ascii="Palatino Linotype" w:hAnsi="Palatino Linotype"/>
          <w:sz w:val="20"/>
          <w:szCs w:val="20"/>
        </w:rPr>
        <w:instrText>https://www.biblegateway.com/versions/King-</w:instrText>
      </w:r>
      <w:r w:rsidR="00110930" w:rsidRPr="00110930">
        <w:rPr>
          <w:rFonts w:ascii="Palatino Linotype" w:hAnsi="Palatino Linotype"/>
          <w:sz w:val="20"/>
          <w:szCs w:val="20"/>
        </w:rPr>
        <w:br/>
        <w:instrText xml:space="preserve">   James-Version-KJV-Bible. Accessed October 28</w:instrText>
      </w:r>
      <w:r w:rsidR="00110930">
        <w:rPr>
          <w:rFonts w:ascii="Palatino Linotype" w:hAnsi="Palatino Linotype"/>
          <w:sz w:val="20"/>
          <w:szCs w:val="20"/>
        </w:rPr>
        <w:fldChar w:fldCharType="separate"/>
      </w:r>
      <w:r w:rsidR="00110930" w:rsidRPr="00C7701B">
        <w:rPr>
          <w:rStyle w:val="Hyperlink"/>
          <w:rFonts w:ascii="Palatino Linotype" w:hAnsi="Palatino Linotype"/>
          <w:sz w:val="20"/>
          <w:szCs w:val="20"/>
        </w:rPr>
        <w:t>https://www.biblegateway.com/versions/King-</w:t>
      </w:r>
      <w:r w:rsidR="00110930" w:rsidRPr="00C7701B">
        <w:rPr>
          <w:rStyle w:val="Hyperlink"/>
          <w:rFonts w:ascii="Palatino Linotype" w:hAnsi="Palatino Linotype"/>
          <w:sz w:val="20"/>
          <w:szCs w:val="20"/>
        </w:rPr>
        <w:br/>
        <w:t xml:space="preserve">   James-Version-KJV-Bible. Accessed October 28</w:t>
      </w:r>
      <w:r w:rsidR="00110930">
        <w:rPr>
          <w:rFonts w:ascii="Palatino Linotype" w:hAnsi="Palatino Linotype"/>
          <w:sz w:val="20"/>
          <w:szCs w:val="20"/>
        </w:rPr>
        <w:fldChar w:fldCharType="end"/>
      </w:r>
      <w:r w:rsidRPr="00AC7729">
        <w:rPr>
          <w:rFonts w:ascii="Palatino Linotype" w:hAnsi="Palatino Linotype"/>
          <w:sz w:val="20"/>
          <w:szCs w:val="20"/>
        </w:rPr>
        <w:t>, 2020.</w:t>
      </w:r>
    </w:p>
    <w:p w14:paraId="390695D5" w14:textId="5B817749"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(King 1964) King, Martin Luther Jr. 1964. Letter from a Birmingham jail. In </w:t>
      </w:r>
      <w:r w:rsidRPr="00AC7729">
        <w:rPr>
          <w:rFonts w:ascii="Palatino Linotype" w:eastAsiaTheme="minorHAnsi" w:hAnsi="Palatino Linotype" w:cstheme="majorBidi"/>
          <w:i/>
          <w:iCs/>
          <w:sz w:val="20"/>
          <w:szCs w:val="20"/>
        </w:rPr>
        <w:t xml:space="preserve">Letter </w:t>
      </w:r>
      <w:proofErr w:type="gramStart"/>
      <w:r w:rsidRPr="00AC7729">
        <w:rPr>
          <w:rFonts w:ascii="Palatino Linotype" w:eastAsiaTheme="minorHAnsi" w:hAnsi="Palatino Linotype" w:cstheme="majorBidi"/>
          <w:i/>
          <w:iCs/>
          <w:sz w:val="20"/>
          <w:szCs w:val="20"/>
        </w:rPr>
        <w:t>From</w:t>
      </w:r>
      <w:proofErr w:type="gramEnd"/>
      <w:r w:rsidRPr="00AC7729">
        <w:rPr>
          <w:rFonts w:ascii="Palatino Linotype" w:eastAsiaTheme="minorHAnsi" w:hAnsi="Palatino Linotype" w:cstheme="majorBidi"/>
          <w:i/>
          <w:iCs/>
          <w:sz w:val="20"/>
          <w:szCs w:val="20"/>
        </w:rPr>
        <w:t xml:space="preserve"> a Birmingham Jail</w:t>
      </w:r>
      <w:r w:rsidRPr="00AC7729">
        <w:rPr>
          <w:rFonts w:ascii="Palatino Linotype" w:eastAsiaTheme="minorHAnsi" w:hAnsi="Palatino Linotype" w:cstheme="majorBidi"/>
          <w:sz w:val="20"/>
          <w:szCs w:val="20"/>
        </w:rPr>
        <w:t>.</w:t>
      </w:r>
      <w:r w:rsidR="00110930">
        <w:rPr>
          <w:rFonts w:ascii="Palatino Linotype" w:eastAsiaTheme="minorHAnsi" w:hAnsi="Palatino Linotype" w:cstheme="majorBidi"/>
          <w:sz w:val="20"/>
          <w:szCs w:val="20"/>
        </w:rPr>
        <w:br/>
        <w:t xml:space="preserve">   Lond</w:t>
      </w:r>
      <w:r w:rsidRPr="00AC7729">
        <w:rPr>
          <w:rFonts w:ascii="Palatino Linotype" w:eastAsiaTheme="minorHAnsi" w:hAnsi="Palatino Linotype" w:cstheme="majorBidi"/>
          <w:sz w:val="20"/>
          <w:szCs w:val="20"/>
        </w:rPr>
        <w:t>on, New York: Penguin Random House, pp. 1–30.</w:t>
      </w:r>
    </w:p>
    <w:p w14:paraId="4CAEEBE9" w14:textId="1D42ED6D"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(Klein 2004) Klein, Yitzhak. 2004. </w:t>
      </w:r>
      <w:r w:rsidRPr="00AC7729">
        <w:rPr>
          <w:rFonts w:ascii="Palatino Linotype" w:eastAsiaTheme="minorHAnsi" w:hAnsi="Palatino Linotype" w:cstheme="majorBidi"/>
          <w:i/>
          <w:iCs/>
          <w:sz w:val="20"/>
          <w:szCs w:val="20"/>
        </w:rPr>
        <w:t>Religion as a Philosophical Problem</w:t>
      </w:r>
      <w:r w:rsidRPr="00AC7729">
        <w:rPr>
          <w:rFonts w:ascii="Palatino Linotype" w:eastAsiaTheme="minorHAnsi" w:hAnsi="Palatino Linotype" w:cstheme="majorBidi"/>
          <w:sz w:val="20"/>
          <w:szCs w:val="20"/>
        </w:rPr>
        <w:t>. Jerusalem: The Bialik Institute, Haifa</w:t>
      </w:r>
      <w:r w:rsidR="00110930">
        <w:rPr>
          <w:rFonts w:ascii="Palatino Linotype" w:eastAsiaTheme="minorHAnsi" w:hAnsi="Palatino Linotype" w:cstheme="majorBidi"/>
          <w:sz w:val="20"/>
          <w:szCs w:val="20"/>
        </w:rPr>
        <w:br/>
        <w:t xml:space="preserve">   Univ</w:t>
      </w:r>
      <w:r w:rsidRPr="00AC7729">
        <w:rPr>
          <w:rFonts w:ascii="Palatino Linotype" w:eastAsiaTheme="minorHAnsi" w:hAnsi="Palatino Linotype" w:cstheme="majorBidi"/>
          <w:sz w:val="20"/>
          <w:szCs w:val="20"/>
        </w:rPr>
        <w:t>ersity Press. In Hebrew.</w:t>
      </w:r>
    </w:p>
    <w:p w14:paraId="6D9D3A2F" w14:textId="57D40B51"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w:t>
      </w:r>
      <w:proofErr w:type="spellStart"/>
      <w:r w:rsidRPr="00AC7729">
        <w:rPr>
          <w:rFonts w:ascii="Palatino Linotype" w:eastAsiaTheme="minorHAnsi" w:hAnsi="Palatino Linotype" w:cstheme="majorBidi"/>
          <w:sz w:val="20"/>
          <w:szCs w:val="20"/>
        </w:rPr>
        <w:t>Lisk</w:t>
      </w:r>
      <w:proofErr w:type="spellEnd"/>
      <w:r w:rsidRPr="00AC7729">
        <w:rPr>
          <w:rFonts w:ascii="Palatino Linotype" w:eastAsiaTheme="minorHAnsi" w:hAnsi="Palatino Linotype" w:cstheme="majorBidi"/>
          <w:sz w:val="20"/>
          <w:szCs w:val="20"/>
        </w:rPr>
        <w:t xml:space="preserve"> and Horowitz 1990) </w:t>
      </w:r>
      <w:proofErr w:type="spellStart"/>
      <w:r w:rsidRPr="00AC7729">
        <w:rPr>
          <w:rFonts w:ascii="Palatino Linotype" w:eastAsiaTheme="minorHAnsi" w:hAnsi="Palatino Linotype" w:cstheme="majorBidi"/>
          <w:sz w:val="20"/>
          <w:szCs w:val="20"/>
        </w:rPr>
        <w:t>Lisk</w:t>
      </w:r>
      <w:proofErr w:type="spellEnd"/>
      <w:r w:rsidRPr="00AC7729">
        <w:rPr>
          <w:rFonts w:ascii="Palatino Linotype" w:eastAsiaTheme="minorHAnsi" w:hAnsi="Palatino Linotype" w:cstheme="majorBidi"/>
          <w:sz w:val="20"/>
          <w:szCs w:val="20"/>
        </w:rPr>
        <w:t xml:space="preserve">, Moshe and Dan Horowitz. 1990. </w:t>
      </w:r>
      <w:r w:rsidRPr="00AC7729">
        <w:rPr>
          <w:rFonts w:ascii="Palatino Linotype" w:eastAsiaTheme="minorHAnsi" w:hAnsi="Palatino Linotype" w:cstheme="majorBidi"/>
          <w:i/>
          <w:iCs/>
          <w:sz w:val="20"/>
          <w:szCs w:val="20"/>
        </w:rPr>
        <w:t>Trouble in Utopia: Israel – A Society in Overload</w:t>
      </w:r>
      <w:r w:rsidRPr="00AC7729">
        <w:rPr>
          <w:rFonts w:ascii="Palatino Linotype" w:eastAsiaTheme="minorHAnsi" w:hAnsi="Palatino Linotype" w:cstheme="majorBidi"/>
          <w:sz w:val="20"/>
          <w:szCs w:val="20"/>
        </w:rPr>
        <w:t xml:space="preserve">. </w:t>
      </w:r>
      <w:r w:rsidR="00110930">
        <w:rPr>
          <w:rFonts w:ascii="Palatino Linotype" w:eastAsiaTheme="minorHAnsi" w:hAnsi="Palatino Linotype" w:cstheme="majorBidi"/>
          <w:sz w:val="20"/>
          <w:szCs w:val="20"/>
        </w:rPr>
        <w:br/>
        <w:t xml:space="preserve">   </w:t>
      </w:r>
      <w:r w:rsidRPr="00AC7729">
        <w:rPr>
          <w:rFonts w:ascii="Palatino Linotype" w:eastAsiaTheme="minorHAnsi" w:hAnsi="Palatino Linotype" w:cstheme="majorBidi"/>
          <w:sz w:val="20"/>
          <w:szCs w:val="20"/>
        </w:rPr>
        <w:t>Tel Aviv: Am Oved Press. In Hebrew.</w:t>
      </w:r>
    </w:p>
    <w:p w14:paraId="43CE1688" w14:textId="6392A923"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hAnsi="Palatino Linotype"/>
          <w:sz w:val="20"/>
          <w:szCs w:val="20"/>
        </w:rPr>
        <w:t xml:space="preserve">(Machzor 2020) Machzor Yom Kippur Ashkenaz Linear. </w:t>
      </w:r>
      <w:r w:rsidRPr="00110930">
        <w:rPr>
          <w:rFonts w:ascii="Palatino Linotype" w:hAnsi="Palatino Linotype"/>
          <w:sz w:val="20"/>
          <w:szCs w:val="20"/>
        </w:rPr>
        <w:t xml:space="preserve">2020. </w:t>
      </w:r>
      <w:proofErr w:type="spellStart"/>
      <w:r w:rsidRPr="00110930">
        <w:rPr>
          <w:rFonts w:ascii="Palatino Linotype" w:hAnsi="Palatino Linotype"/>
          <w:sz w:val="20"/>
          <w:szCs w:val="20"/>
        </w:rPr>
        <w:t>Sefaria</w:t>
      </w:r>
      <w:proofErr w:type="spellEnd"/>
      <w:r w:rsidRPr="00110930">
        <w:rPr>
          <w:rFonts w:ascii="Palatino Linotype" w:hAnsi="Palatino Linotype"/>
          <w:sz w:val="20"/>
          <w:szCs w:val="20"/>
        </w:rPr>
        <w:t xml:space="preserve">. </w:t>
      </w:r>
      <w:hyperlink r:id="rId11" w:history="1">
        <w:r w:rsidR="00110930" w:rsidRPr="00C7701B">
          <w:rPr>
            <w:rStyle w:val="Hyperlink"/>
            <w:rFonts w:ascii="Palatino Linotype" w:hAnsi="Palatino Linotype"/>
            <w:sz w:val="20"/>
            <w:szCs w:val="20"/>
          </w:rPr>
          <w:t>https://www.sefaria.org/Machz</w:t>
        </w:r>
        <w:r w:rsidR="00110930" w:rsidRPr="00C7701B">
          <w:rPr>
            <w:rStyle w:val="Hyperlink"/>
            <w:rFonts w:ascii="Palatino Linotype" w:hAnsi="Palatino Linotype"/>
            <w:sz w:val="20"/>
            <w:szCs w:val="20"/>
          </w:rPr>
          <w:br/>
          <w:t xml:space="preserve">   </w:t>
        </w:r>
        <w:proofErr w:type="spellStart"/>
        <w:r w:rsidR="00110930" w:rsidRPr="00C7701B">
          <w:rPr>
            <w:rStyle w:val="Hyperlink"/>
            <w:rFonts w:ascii="Palatino Linotype" w:hAnsi="Palatino Linotype"/>
            <w:sz w:val="20"/>
            <w:szCs w:val="20"/>
          </w:rPr>
          <w:t>or_Yom_Kippur_Ashkenaz_Linear?lang</w:t>
        </w:r>
        <w:proofErr w:type="spellEnd"/>
        <w:r w:rsidR="00110930" w:rsidRPr="00C7701B">
          <w:rPr>
            <w:rStyle w:val="Hyperlink"/>
            <w:rFonts w:ascii="Palatino Linotype" w:hAnsi="Palatino Linotype"/>
            <w:sz w:val="20"/>
            <w:szCs w:val="20"/>
          </w:rPr>
          <w:t>=bi</w:t>
        </w:r>
      </w:hyperlink>
      <w:r w:rsidRPr="00AC7729">
        <w:rPr>
          <w:rFonts w:ascii="Palatino Linotype" w:hAnsi="Palatino Linotype"/>
          <w:sz w:val="20"/>
          <w:szCs w:val="20"/>
        </w:rPr>
        <w:t>. Accessed October 28</w:t>
      </w:r>
      <w:r w:rsidR="00110930">
        <w:rPr>
          <w:rFonts w:ascii="Palatino Linotype" w:hAnsi="Palatino Linotype"/>
          <w:sz w:val="20"/>
          <w:szCs w:val="20"/>
        </w:rPr>
        <w:t>,</w:t>
      </w:r>
      <w:r w:rsidRPr="00AC7729">
        <w:rPr>
          <w:rFonts w:ascii="Palatino Linotype" w:hAnsi="Palatino Linotype"/>
          <w:sz w:val="20"/>
          <w:szCs w:val="20"/>
        </w:rPr>
        <w:t xml:space="preserve"> 2020.</w:t>
      </w:r>
    </w:p>
    <w:p w14:paraId="54434A2E" w14:textId="0776C39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(Maimonides 1983) Maimonides, Moses. 1983. </w:t>
      </w:r>
      <w:r w:rsidRPr="00AC7729">
        <w:rPr>
          <w:rFonts w:ascii="Palatino Linotype" w:hAnsi="Palatino Linotype"/>
          <w:i/>
          <w:iCs/>
          <w:sz w:val="20"/>
          <w:szCs w:val="20"/>
        </w:rPr>
        <w:t>The Book of Knowledge</w:t>
      </w:r>
      <w:r w:rsidRPr="00AC7729">
        <w:rPr>
          <w:rFonts w:ascii="Palatino Linotype" w:hAnsi="Palatino Linotype"/>
          <w:sz w:val="20"/>
          <w:szCs w:val="20"/>
        </w:rPr>
        <w:t xml:space="preserve">. Trans. H. M. Russell and J. Weinberg. </w:t>
      </w:r>
      <w:r w:rsidR="00110930">
        <w:rPr>
          <w:rFonts w:ascii="Palatino Linotype" w:hAnsi="Palatino Linotype"/>
          <w:sz w:val="20"/>
          <w:szCs w:val="20"/>
        </w:rPr>
        <w:br/>
        <w:t xml:space="preserve">   </w:t>
      </w:r>
      <w:r w:rsidRPr="00AC7729">
        <w:rPr>
          <w:rFonts w:ascii="Palatino Linotype" w:hAnsi="Palatino Linotype"/>
          <w:sz w:val="20"/>
          <w:szCs w:val="20"/>
        </w:rPr>
        <w:t xml:space="preserve">New York: </w:t>
      </w:r>
      <w:proofErr w:type="spellStart"/>
      <w:r w:rsidRPr="00AC7729">
        <w:rPr>
          <w:rFonts w:ascii="Palatino Linotype" w:hAnsi="Palatino Linotype"/>
          <w:sz w:val="20"/>
          <w:szCs w:val="20"/>
        </w:rPr>
        <w:t>Ktav</w:t>
      </w:r>
      <w:proofErr w:type="spellEnd"/>
      <w:r w:rsidRPr="00AC7729">
        <w:rPr>
          <w:rFonts w:ascii="Palatino Linotype" w:hAnsi="Palatino Linotype"/>
          <w:sz w:val="20"/>
          <w:szCs w:val="20"/>
        </w:rPr>
        <w:t xml:space="preserve"> Publishing House.</w:t>
      </w:r>
    </w:p>
    <w:p w14:paraId="34819A55" w14:textId="08B1BCE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(Midrash 2020) Midrash </w:t>
      </w:r>
      <w:proofErr w:type="spellStart"/>
      <w:r w:rsidRPr="00AC7729">
        <w:rPr>
          <w:rFonts w:ascii="Palatino Linotype" w:hAnsi="Palatino Linotype"/>
          <w:sz w:val="20"/>
          <w:szCs w:val="20"/>
        </w:rPr>
        <w:t>Sifra</w:t>
      </w:r>
      <w:proofErr w:type="spellEnd"/>
      <w:r w:rsidRPr="00AC7729">
        <w:rPr>
          <w:rFonts w:ascii="Palatino Linotype" w:hAnsi="Palatino Linotype"/>
          <w:sz w:val="20"/>
          <w:szCs w:val="20"/>
        </w:rPr>
        <w:t xml:space="preserve">. 2020. </w:t>
      </w:r>
      <w:proofErr w:type="spellStart"/>
      <w:r w:rsidRPr="00AC7729">
        <w:rPr>
          <w:rFonts w:ascii="Palatino Linotype" w:hAnsi="Palatino Linotype"/>
          <w:sz w:val="20"/>
          <w:szCs w:val="20"/>
        </w:rPr>
        <w:t>Sefaria</w:t>
      </w:r>
      <w:proofErr w:type="spellEnd"/>
      <w:r w:rsidRPr="00AC7729">
        <w:rPr>
          <w:rFonts w:ascii="Palatino Linotype" w:hAnsi="Palatino Linotype"/>
          <w:sz w:val="20"/>
          <w:szCs w:val="20"/>
        </w:rPr>
        <w:t xml:space="preserve">. </w:t>
      </w:r>
      <w:hyperlink r:id="rId12" w:history="1">
        <w:r w:rsidR="00110930" w:rsidRPr="00C7701B">
          <w:rPr>
            <w:rStyle w:val="Hyperlink"/>
            <w:rFonts w:ascii="Palatino Linotype" w:hAnsi="Palatino Linotype"/>
            <w:sz w:val="20"/>
            <w:szCs w:val="20"/>
          </w:rPr>
          <w:t>https://www.sefaria.org/Sifra%2C_Braita_d'Rabbi_Yishm</w:t>
        </w:r>
        <w:r w:rsidR="00110930" w:rsidRPr="00C7701B">
          <w:rPr>
            <w:rStyle w:val="Hyperlink"/>
            <w:rFonts w:ascii="Palatino Linotype" w:hAnsi="Palatino Linotype"/>
            <w:sz w:val="20"/>
            <w:szCs w:val="20"/>
          </w:rPr>
          <w:br/>
          <w:t xml:space="preserve">   </w:t>
        </w:r>
        <w:proofErr w:type="spellStart"/>
        <w:r w:rsidR="00110930" w:rsidRPr="00C7701B">
          <w:rPr>
            <w:rStyle w:val="Hyperlink"/>
            <w:rFonts w:ascii="Palatino Linotype" w:hAnsi="Palatino Linotype"/>
            <w:sz w:val="20"/>
            <w:szCs w:val="20"/>
          </w:rPr>
          <w:t>ael?lang</w:t>
        </w:r>
        <w:proofErr w:type="spellEnd"/>
        <w:r w:rsidR="00110930" w:rsidRPr="00C7701B">
          <w:rPr>
            <w:rStyle w:val="Hyperlink"/>
            <w:rFonts w:ascii="Palatino Linotype" w:hAnsi="Palatino Linotype"/>
            <w:sz w:val="20"/>
            <w:szCs w:val="20"/>
          </w:rPr>
          <w:t>=bi</w:t>
        </w:r>
      </w:hyperlink>
      <w:r w:rsidRPr="00AC7729">
        <w:rPr>
          <w:rFonts w:ascii="Palatino Linotype" w:hAnsi="Palatino Linotype"/>
          <w:sz w:val="20"/>
          <w:szCs w:val="20"/>
        </w:rPr>
        <w:t>. Accessed October 28, 2020.</w:t>
      </w:r>
    </w:p>
    <w:p w14:paraId="6B0A7DA0" w14:textId="77777777"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(Mishnah 2020) Mishnah. 2020. </w:t>
      </w:r>
      <w:proofErr w:type="spellStart"/>
      <w:r w:rsidRPr="00AC7729">
        <w:rPr>
          <w:rFonts w:ascii="Palatino Linotype" w:hAnsi="Palatino Linotype"/>
          <w:sz w:val="20"/>
          <w:szCs w:val="20"/>
        </w:rPr>
        <w:t>Sefaria</w:t>
      </w:r>
      <w:proofErr w:type="spellEnd"/>
      <w:r w:rsidRPr="00AC7729">
        <w:rPr>
          <w:rFonts w:ascii="Palatino Linotype" w:hAnsi="Palatino Linotype"/>
          <w:sz w:val="20"/>
          <w:szCs w:val="20"/>
        </w:rPr>
        <w:t xml:space="preserve">. </w:t>
      </w:r>
      <w:hyperlink r:id="rId13" w:history="1">
        <w:r w:rsidRPr="00AC7729">
          <w:rPr>
            <w:rStyle w:val="Hyperlink"/>
            <w:rFonts w:ascii="Palatino Linotype" w:hAnsi="Palatino Linotype"/>
            <w:sz w:val="20"/>
            <w:szCs w:val="20"/>
          </w:rPr>
          <w:t>https://www.sefaria.org/texts/Mishnah</w:t>
        </w:r>
      </w:hyperlink>
      <w:r w:rsidRPr="00AC7729">
        <w:rPr>
          <w:rFonts w:ascii="Palatino Linotype" w:hAnsi="Palatino Linotype"/>
          <w:sz w:val="20"/>
          <w:szCs w:val="20"/>
        </w:rPr>
        <w:t>. Accessed October 28, 2020.</w:t>
      </w:r>
    </w:p>
    <w:p w14:paraId="0C825FA9" w14:textId="77777777"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 xml:space="preserve">(Nir 2016) Nir, Bina. 2016. </w:t>
      </w:r>
      <w:r w:rsidRPr="00AC7729">
        <w:rPr>
          <w:rFonts w:ascii="Palatino Linotype" w:eastAsiaTheme="minorHAnsi" w:hAnsi="Palatino Linotype" w:cstheme="majorBidi"/>
          <w:i/>
          <w:iCs/>
          <w:sz w:val="20"/>
          <w:szCs w:val="20"/>
        </w:rPr>
        <w:t>The Failure of Success</w:t>
      </w:r>
      <w:r w:rsidRPr="00AC7729">
        <w:rPr>
          <w:rFonts w:ascii="Palatino Linotype" w:eastAsiaTheme="minorHAnsi" w:hAnsi="Palatino Linotype" w:cstheme="majorBidi"/>
          <w:sz w:val="20"/>
          <w:szCs w:val="20"/>
        </w:rPr>
        <w:t xml:space="preserve">. Tel Aviv: </w:t>
      </w:r>
      <w:proofErr w:type="spellStart"/>
      <w:r w:rsidRPr="00AC7729">
        <w:rPr>
          <w:rFonts w:ascii="Palatino Linotype" w:eastAsiaTheme="minorHAnsi" w:hAnsi="Palatino Linotype" w:cstheme="majorBidi"/>
          <w:sz w:val="20"/>
          <w:szCs w:val="20"/>
        </w:rPr>
        <w:t>Resling</w:t>
      </w:r>
      <w:proofErr w:type="spellEnd"/>
      <w:r w:rsidRPr="00AC7729">
        <w:rPr>
          <w:rFonts w:ascii="Palatino Linotype" w:eastAsiaTheme="minorHAnsi" w:hAnsi="Palatino Linotype" w:cstheme="majorBidi"/>
          <w:sz w:val="20"/>
          <w:szCs w:val="20"/>
        </w:rPr>
        <w:t xml:space="preserve"> Press. In Hebrew.</w:t>
      </w:r>
    </w:p>
    <w:p w14:paraId="009C85AE" w14:textId="5B6B2E05"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w:t>
      </w:r>
      <w:proofErr w:type="spellStart"/>
      <w:r w:rsidRPr="00AC7729">
        <w:rPr>
          <w:rFonts w:ascii="Palatino Linotype" w:hAnsi="Palatino Linotype"/>
          <w:sz w:val="20"/>
          <w:szCs w:val="20"/>
        </w:rPr>
        <w:t>Ofir</w:t>
      </w:r>
      <w:proofErr w:type="spellEnd"/>
      <w:r w:rsidRPr="00AC7729">
        <w:rPr>
          <w:rFonts w:ascii="Palatino Linotype" w:hAnsi="Palatino Linotype"/>
          <w:sz w:val="20"/>
          <w:szCs w:val="20"/>
        </w:rPr>
        <w:t xml:space="preserve"> 2000) </w:t>
      </w:r>
      <w:proofErr w:type="spellStart"/>
      <w:r w:rsidRPr="00AC7729">
        <w:rPr>
          <w:rFonts w:ascii="Palatino Linotype" w:hAnsi="Palatino Linotype"/>
          <w:sz w:val="20"/>
          <w:szCs w:val="20"/>
        </w:rPr>
        <w:t>Ofir</w:t>
      </w:r>
      <w:proofErr w:type="spellEnd"/>
      <w:r w:rsidRPr="00AC7729">
        <w:rPr>
          <w:rFonts w:ascii="Palatino Linotype" w:hAnsi="Palatino Linotype"/>
          <w:sz w:val="20"/>
          <w:szCs w:val="20"/>
        </w:rPr>
        <w:t xml:space="preserve">, Adi. 2000. </w:t>
      </w:r>
      <w:r w:rsidRPr="00AC7729">
        <w:rPr>
          <w:rFonts w:ascii="Palatino Linotype" w:hAnsi="Palatino Linotype"/>
          <w:i/>
          <w:iCs/>
          <w:sz w:val="20"/>
          <w:szCs w:val="20"/>
        </w:rPr>
        <w:t>Worshipping the Present: Treatises on Israeli Culture in our Times.</w:t>
      </w:r>
      <w:r w:rsidRPr="00AC7729">
        <w:rPr>
          <w:rFonts w:ascii="Palatino Linotype" w:hAnsi="Palatino Linotype"/>
          <w:sz w:val="20"/>
          <w:szCs w:val="20"/>
        </w:rPr>
        <w:t xml:space="preserve"> Tel Aviv: </w:t>
      </w:r>
      <w:proofErr w:type="spellStart"/>
      <w:r w:rsidRPr="00AC7729">
        <w:rPr>
          <w:rFonts w:ascii="Palatino Linotype" w:hAnsi="Palatino Linotype"/>
          <w:sz w:val="20"/>
          <w:szCs w:val="20"/>
        </w:rPr>
        <w:t>HaKibbutz</w:t>
      </w:r>
      <w:proofErr w:type="spellEnd"/>
      <w:r w:rsidRPr="00AC7729">
        <w:rPr>
          <w:rFonts w:ascii="Palatino Linotype" w:hAnsi="Palatino Linotype"/>
          <w:sz w:val="20"/>
          <w:szCs w:val="20"/>
        </w:rPr>
        <w:t xml:space="preserve"> </w:t>
      </w:r>
      <w:r w:rsidR="00110930">
        <w:rPr>
          <w:rFonts w:ascii="Palatino Linotype" w:hAnsi="Palatino Linotype"/>
          <w:sz w:val="20"/>
          <w:szCs w:val="20"/>
        </w:rPr>
        <w:br/>
        <w:t xml:space="preserve">   </w:t>
      </w:r>
      <w:proofErr w:type="spellStart"/>
      <w:r w:rsidRPr="00AC7729">
        <w:rPr>
          <w:rFonts w:ascii="Palatino Linotype" w:hAnsi="Palatino Linotype"/>
          <w:sz w:val="20"/>
          <w:szCs w:val="20"/>
        </w:rPr>
        <w:t>HaMeuhad</w:t>
      </w:r>
      <w:proofErr w:type="spellEnd"/>
      <w:r w:rsidRPr="00AC7729">
        <w:rPr>
          <w:rFonts w:ascii="Palatino Linotype" w:hAnsi="Palatino Linotype"/>
          <w:sz w:val="20"/>
          <w:szCs w:val="20"/>
        </w:rPr>
        <w:t xml:space="preserve"> Press. In Hebrew.</w:t>
      </w:r>
    </w:p>
    <w:p w14:paraId="0FC108EE" w14:textId="4689C742"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w:t>
      </w:r>
      <w:proofErr w:type="spellStart"/>
      <w:r w:rsidRPr="00AC7729">
        <w:rPr>
          <w:rFonts w:ascii="Palatino Linotype" w:hAnsi="Palatino Linotype"/>
          <w:sz w:val="20"/>
          <w:szCs w:val="20"/>
        </w:rPr>
        <w:t>Ohana</w:t>
      </w:r>
      <w:proofErr w:type="spellEnd"/>
      <w:r w:rsidRPr="00AC7729">
        <w:rPr>
          <w:rFonts w:ascii="Palatino Linotype" w:hAnsi="Palatino Linotype"/>
          <w:sz w:val="20"/>
          <w:szCs w:val="20"/>
        </w:rPr>
        <w:t xml:space="preserve"> 2000) </w:t>
      </w:r>
      <w:proofErr w:type="spellStart"/>
      <w:r w:rsidRPr="00AC7729">
        <w:rPr>
          <w:rFonts w:ascii="Palatino Linotype" w:hAnsi="Palatino Linotype"/>
          <w:sz w:val="20"/>
          <w:szCs w:val="20"/>
        </w:rPr>
        <w:t>Ohana</w:t>
      </w:r>
      <w:proofErr w:type="spellEnd"/>
      <w:r w:rsidRPr="00AC7729">
        <w:rPr>
          <w:rFonts w:ascii="Palatino Linotype" w:hAnsi="Palatino Linotype"/>
          <w:sz w:val="20"/>
          <w:szCs w:val="20"/>
        </w:rPr>
        <w:t xml:space="preserve">, David. 2000. </w:t>
      </w:r>
      <w:r w:rsidRPr="00AC7729">
        <w:rPr>
          <w:rFonts w:ascii="Palatino Linotype" w:hAnsi="Palatino Linotype"/>
          <w:i/>
          <w:iCs/>
          <w:sz w:val="20"/>
          <w:szCs w:val="20"/>
        </w:rPr>
        <w:t xml:space="preserve">Promethean Passion: Intellectual Origins of the Twentieth Century from Rousseau </w:t>
      </w:r>
      <w:r w:rsidR="00110930">
        <w:rPr>
          <w:rFonts w:ascii="Palatino Linotype" w:hAnsi="Palatino Linotype"/>
          <w:i/>
          <w:iCs/>
          <w:sz w:val="20"/>
          <w:szCs w:val="20"/>
        </w:rPr>
        <w:br/>
        <w:t xml:space="preserve">   </w:t>
      </w:r>
      <w:r w:rsidRPr="00AC7729">
        <w:rPr>
          <w:rFonts w:ascii="Palatino Linotype" w:hAnsi="Palatino Linotype"/>
          <w:i/>
          <w:iCs/>
          <w:sz w:val="20"/>
          <w:szCs w:val="20"/>
        </w:rPr>
        <w:t>to Foucault</w:t>
      </w:r>
      <w:r w:rsidRPr="00AC7729">
        <w:rPr>
          <w:rFonts w:ascii="Palatino Linotype" w:hAnsi="Palatino Linotype"/>
          <w:sz w:val="20"/>
          <w:szCs w:val="20"/>
        </w:rPr>
        <w:t>. Jerusalem: Bialik Institute. In Hebrew.</w:t>
      </w:r>
    </w:p>
    <w:p w14:paraId="7B804616" w14:textId="503212A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w:t>
      </w:r>
      <w:proofErr w:type="spellStart"/>
      <w:r w:rsidRPr="00AC7729">
        <w:rPr>
          <w:rFonts w:ascii="Palatino Linotype" w:hAnsi="Palatino Linotype"/>
          <w:sz w:val="20"/>
          <w:szCs w:val="20"/>
        </w:rPr>
        <w:t>Rashi</w:t>
      </w:r>
      <w:proofErr w:type="spellEnd"/>
      <w:r w:rsidRPr="00AC7729">
        <w:rPr>
          <w:rFonts w:ascii="Palatino Linotype" w:hAnsi="Palatino Linotype"/>
          <w:sz w:val="20"/>
          <w:szCs w:val="20"/>
        </w:rPr>
        <w:t xml:space="preserve"> 2020) </w:t>
      </w:r>
      <w:proofErr w:type="spellStart"/>
      <w:r w:rsidRPr="00AC7729">
        <w:rPr>
          <w:rFonts w:ascii="Palatino Linotype" w:hAnsi="Palatino Linotype"/>
          <w:sz w:val="20"/>
          <w:szCs w:val="20"/>
        </w:rPr>
        <w:t>Rashi</w:t>
      </w:r>
      <w:proofErr w:type="spellEnd"/>
      <w:r w:rsidRPr="00AC7729">
        <w:rPr>
          <w:rFonts w:ascii="Palatino Linotype" w:hAnsi="Palatino Linotype"/>
          <w:sz w:val="20"/>
          <w:szCs w:val="20"/>
        </w:rPr>
        <w:t xml:space="preserve">. </w:t>
      </w:r>
      <w:proofErr w:type="spellStart"/>
      <w:r w:rsidRPr="00AC7729">
        <w:rPr>
          <w:rFonts w:ascii="Palatino Linotype" w:hAnsi="Palatino Linotype"/>
          <w:sz w:val="20"/>
          <w:szCs w:val="20"/>
        </w:rPr>
        <w:t>Rashi</w:t>
      </w:r>
      <w:proofErr w:type="spellEnd"/>
      <w:r w:rsidRPr="00AC7729">
        <w:rPr>
          <w:rFonts w:ascii="Palatino Linotype" w:hAnsi="Palatino Linotype"/>
          <w:sz w:val="20"/>
          <w:szCs w:val="20"/>
        </w:rPr>
        <w:t xml:space="preserve"> on Leviticus. </w:t>
      </w:r>
      <w:r w:rsidRPr="00AC7729">
        <w:rPr>
          <w:rFonts w:ascii="Palatino Linotype" w:hAnsi="Palatino Linotype"/>
          <w:sz w:val="20"/>
          <w:szCs w:val="20"/>
          <w:lang w:val="es-ES"/>
        </w:rPr>
        <w:t xml:space="preserve">2020. Sefaria. </w:t>
      </w:r>
      <w:hyperlink r:id="rId14" w:history="1">
        <w:r w:rsidRPr="001C132D">
          <w:rPr>
            <w:rStyle w:val="Hyperlink"/>
            <w:rFonts w:ascii="Palatino Linotype" w:hAnsi="Palatino Linotype"/>
            <w:sz w:val="20"/>
            <w:szCs w:val="20"/>
            <w:lang w:val="es-ES"/>
          </w:rPr>
          <w:t>https://www.sefaria.org/Rashi_on_Leviticus?lang=bi</w:t>
        </w:r>
      </w:hyperlink>
      <w:r w:rsidRPr="001C132D">
        <w:rPr>
          <w:rFonts w:ascii="Palatino Linotype" w:hAnsi="Palatino Linotype"/>
          <w:sz w:val="20"/>
          <w:szCs w:val="20"/>
          <w:lang w:val="es-ES"/>
        </w:rPr>
        <w:t xml:space="preserve">. </w:t>
      </w:r>
      <w:r w:rsidR="00110930" w:rsidRPr="001C132D">
        <w:rPr>
          <w:rFonts w:ascii="Palatino Linotype" w:hAnsi="Palatino Linotype"/>
          <w:sz w:val="20"/>
          <w:szCs w:val="20"/>
          <w:lang w:val="es-ES"/>
        </w:rPr>
        <w:br/>
        <w:t xml:space="preserve">   </w:t>
      </w:r>
      <w:r w:rsidRPr="00AC7729">
        <w:rPr>
          <w:rFonts w:ascii="Palatino Linotype" w:hAnsi="Palatino Linotype"/>
          <w:sz w:val="20"/>
          <w:szCs w:val="20"/>
        </w:rPr>
        <w:t>Accessed October 28, 2020.</w:t>
      </w:r>
    </w:p>
    <w:p w14:paraId="030DA51B" w14:textId="77777777" w:rsidR="00AC7729" w:rsidRPr="00AC7729" w:rsidRDefault="00AC7729" w:rsidP="00110930">
      <w:pPr>
        <w:pStyle w:val="Bibliography1"/>
        <w:spacing w:line="240" w:lineRule="auto"/>
        <w:ind w:firstLine="0"/>
        <w:rPr>
          <w:rFonts w:ascii="Palatino Linotype" w:hAnsi="Palatino Linotype"/>
          <w:sz w:val="20"/>
          <w:szCs w:val="20"/>
          <w:rtl/>
        </w:rPr>
      </w:pPr>
      <w:r w:rsidRPr="00AC7729">
        <w:rPr>
          <w:rFonts w:ascii="Palatino Linotype" w:hAnsi="Palatino Linotype"/>
          <w:sz w:val="20"/>
          <w:szCs w:val="20"/>
        </w:rPr>
        <w:t xml:space="preserve">(Rawls 1968) Rawls, John. 1968. </w:t>
      </w:r>
      <w:r w:rsidRPr="00AC7729">
        <w:rPr>
          <w:rFonts w:ascii="Palatino Linotype" w:hAnsi="Palatino Linotype"/>
          <w:i/>
          <w:iCs/>
          <w:sz w:val="20"/>
          <w:szCs w:val="20"/>
        </w:rPr>
        <w:t>Civil Disobedience: Theory and Practice</w:t>
      </w:r>
      <w:r w:rsidRPr="00AC7729">
        <w:rPr>
          <w:rFonts w:ascii="Palatino Linotype" w:hAnsi="Palatino Linotype"/>
          <w:sz w:val="20"/>
          <w:szCs w:val="20"/>
        </w:rPr>
        <w:t>. Ed. Hugo Adam. New York: Pegasus.</w:t>
      </w:r>
    </w:p>
    <w:p w14:paraId="3D83B647" w14:textId="0F4EDCFA"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lastRenderedPageBreak/>
        <w:t xml:space="preserve">(Rosenberg 1985) Rosenberg, Shalom. 1985. </w:t>
      </w:r>
      <w:r w:rsidRPr="00AC7729">
        <w:rPr>
          <w:rFonts w:ascii="Palatino Linotype" w:hAnsi="Palatino Linotype"/>
          <w:i/>
          <w:iCs/>
          <w:sz w:val="20"/>
          <w:szCs w:val="20"/>
        </w:rPr>
        <w:t>Good and Evil in Jewish Thought.</w:t>
      </w:r>
      <w:r w:rsidRPr="00AC7729">
        <w:rPr>
          <w:rFonts w:ascii="Palatino Linotype" w:hAnsi="Palatino Linotype"/>
          <w:sz w:val="20"/>
          <w:szCs w:val="20"/>
        </w:rPr>
        <w:t xml:space="preserve"> Tel Aviv: Ministry of Defense </w:t>
      </w:r>
      <w:r w:rsidR="00110930">
        <w:rPr>
          <w:rFonts w:ascii="Palatino Linotype" w:hAnsi="Palatino Linotype"/>
          <w:sz w:val="20"/>
          <w:szCs w:val="20"/>
        </w:rPr>
        <w:br/>
        <w:t xml:space="preserve">   </w:t>
      </w:r>
      <w:r w:rsidRPr="00AC7729">
        <w:rPr>
          <w:rFonts w:ascii="Palatino Linotype" w:hAnsi="Palatino Linotype"/>
          <w:sz w:val="20"/>
          <w:szCs w:val="20"/>
        </w:rPr>
        <w:t>Press. In Hebrew.</w:t>
      </w:r>
    </w:p>
    <w:p w14:paraId="00F4A7DA" w14:textId="7915F3C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(Rotenberg 1997) Rotenberg, Mordechai. 1997. </w:t>
      </w:r>
      <w:r w:rsidRPr="00AC7729">
        <w:rPr>
          <w:rFonts w:ascii="Palatino Linotype" w:hAnsi="Palatino Linotype"/>
          <w:i/>
          <w:iCs/>
          <w:sz w:val="20"/>
          <w:szCs w:val="20"/>
        </w:rPr>
        <w:t>Jewish Psychology and Hassidism</w:t>
      </w:r>
      <w:r w:rsidRPr="00AC7729">
        <w:rPr>
          <w:rFonts w:ascii="Palatino Linotype" w:hAnsi="Palatino Linotype"/>
          <w:sz w:val="20"/>
          <w:szCs w:val="20"/>
        </w:rPr>
        <w:t xml:space="preserve">. Tel Aviv: Ministry of Defense </w:t>
      </w:r>
      <w:r w:rsidR="00110930">
        <w:rPr>
          <w:rFonts w:ascii="Palatino Linotype" w:hAnsi="Palatino Linotype"/>
          <w:sz w:val="20"/>
          <w:szCs w:val="20"/>
        </w:rPr>
        <w:br/>
        <w:t xml:space="preserve">   </w:t>
      </w:r>
      <w:r w:rsidRPr="00AC7729">
        <w:rPr>
          <w:rFonts w:ascii="Palatino Linotype" w:hAnsi="Palatino Linotype"/>
          <w:sz w:val="20"/>
          <w:szCs w:val="20"/>
        </w:rPr>
        <w:t>Press. In Hebrew.</w:t>
      </w:r>
    </w:p>
    <w:p w14:paraId="44D80972" w14:textId="3133FDEF"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w:t>
      </w:r>
      <w:proofErr w:type="spellStart"/>
      <w:r w:rsidRPr="00AC7729">
        <w:rPr>
          <w:rFonts w:ascii="Palatino Linotype" w:hAnsi="Palatino Linotype"/>
          <w:sz w:val="20"/>
          <w:szCs w:val="20"/>
        </w:rPr>
        <w:t>Sagi</w:t>
      </w:r>
      <w:proofErr w:type="spellEnd"/>
      <w:r w:rsidRPr="00AC7729">
        <w:rPr>
          <w:rFonts w:ascii="Palatino Linotype" w:hAnsi="Palatino Linotype"/>
          <w:sz w:val="20"/>
          <w:szCs w:val="20"/>
        </w:rPr>
        <w:t xml:space="preserve"> 2010) </w:t>
      </w:r>
      <w:proofErr w:type="spellStart"/>
      <w:r w:rsidRPr="00AC7729">
        <w:rPr>
          <w:rFonts w:ascii="Palatino Linotype" w:hAnsi="Palatino Linotype"/>
          <w:sz w:val="20"/>
          <w:szCs w:val="20"/>
        </w:rPr>
        <w:t>Sagi</w:t>
      </w:r>
      <w:proofErr w:type="spellEnd"/>
      <w:r w:rsidRPr="00AC7729">
        <w:rPr>
          <w:rFonts w:ascii="Palatino Linotype" w:hAnsi="Palatino Linotype"/>
          <w:sz w:val="20"/>
          <w:szCs w:val="20"/>
        </w:rPr>
        <w:t xml:space="preserve">, </w:t>
      </w:r>
      <w:proofErr w:type="spellStart"/>
      <w:r w:rsidRPr="00AC7729">
        <w:rPr>
          <w:rFonts w:ascii="Palatino Linotype" w:hAnsi="Palatino Linotype"/>
          <w:sz w:val="20"/>
          <w:szCs w:val="20"/>
        </w:rPr>
        <w:t>Avi</w:t>
      </w:r>
      <w:proofErr w:type="spellEnd"/>
      <w:r w:rsidRPr="00AC7729">
        <w:rPr>
          <w:rFonts w:ascii="Palatino Linotype" w:hAnsi="Palatino Linotype"/>
          <w:sz w:val="20"/>
          <w:szCs w:val="20"/>
        </w:rPr>
        <w:t xml:space="preserve">. 2010. Conscientious objection and its standing in Jewish tradition. In </w:t>
      </w:r>
      <w:r w:rsidRPr="00AC7729">
        <w:rPr>
          <w:rFonts w:ascii="Palatino Linotype" w:hAnsi="Palatino Linotype"/>
          <w:i/>
          <w:iCs/>
          <w:sz w:val="20"/>
          <w:szCs w:val="20"/>
        </w:rPr>
        <w:t>Jewish Political</w:t>
      </w:r>
      <w:r w:rsidR="00110930">
        <w:rPr>
          <w:rFonts w:ascii="Palatino Linotype" w:hAnsi="Palatino Linotype"/>
          <w:i/>
          <w:iCs/>
          <w:sz w:val="20"/>
          <w:szCs w:val="20"/>
        </w:rPr>
        <w:br/>
        <w:t xml:space="preserve">   Trad</w:t>
      </w:r>
      <w:r w:rsidRPr="00AC7729">
        <w:rPr>
          <w:rFonts w:ascii="Palatino Linotype" w:hAnsi="Palatino Linotype"/>
          <w:i/>
          <w:iCs/>
          <w:sz w:val="20"/>
          <w:szCs w:val="20"/>
        </w:rPr>
        <w:t xml:space="preserve">ition Throughout the Ages. </w:t>
      </w:r>
      <w:r w:rsidRPr="00AC7729">
        <w:rPr>
          <w:rFonts w:ascii="Palatino Linotype" w:hAnsi="Palatino Linotype"/>
          <w:sz w:val="20"/>
          <w:szCs w:val="20"/>
        </w:rPr>
        <w:t>Edited by</w:t>
      </w:r>
      <w:r w:rsidRPr="00AC7729">
        <w:rPr>
          <w:rFonts w:ascii="Palatino Linotype" w:hAnsi="Palatino Linotype"/>
          <w:i/>
          <w:iCs/>
          <w:sz w:val="20"/>
          <w:szCs w:val="20"/>
        </w:rPr>
        <w:t xml:space="preserve"> </w:t>
      </w:r>
      <w:r w:rsidRPr="00AC7729">
        <w:rPr>
          <w:rFonts w:ascii="Palatino Linotype" w:hAnsi="Palatino Linotype"/>
          <w:sz w:val="20"/>
          <w:szCs w:val="20"/>
        </w:rPr>
        <w:t xml:space="preserve">Moshe </w:t>
      </w:r>
      <w:proofErr w:type="spellStart"/>
      <w:r w:rsidRPr="00AC7729">
        <w:rPr>
          <w:rFonts w:ascii="Palatino Linotype" w:hAnsi="Palatino Linotype"/>
          <w:sz w:val="20"/>
          <w:szCs w:val="20"/>
        </w:rPr>
        <w:t>Helinger</w:t>
      </w:r>
      <w:proofErr w:type="spellEnd"/>
      <w:r w:rsidRPr="00AC7729">
        <w:rPr>
          <w:rFonts w:ascii="Palatino Linotype" w:hAnsi="Palatino Linotype"/>
          <w:sz w:val="20"/>
          <w:szCs w:val="20"/>
        </w:rPr>
        <w:t>. Tel Aviv: Bar-</w:t>
      </w:r>
      <w:proofErr w:type="spellStart"/>
      <w:r w:rsidRPr="00AC7729">
        <w:rPr>
          <w:rFonts w:ascii="Palatino Linotype" w:hAnsi="Palatino Linotype"/>
          <w:sz w:val="20"/>
          <w:szCs w:val="20"/>
        </w:rPr>
        <w:t>Ilan</w:t>
      </w:r>
      <w:proofErr w:type="spellEnd"/>
      <w:r w:rsidRPr="00AC7729">
        <w:rPr>
          <w:rFonts w:ascii="Palatino Linotype" w:hAnsi="Palatino Linotype"/>
          <w:sz w:val="20"/>
          <w:szCs w:val="20"/>
        </w:rPr>
        <w:t xml:space="preserve"> University Press, pp. 359–389.</w:t>
      </w:r>
      <w:r w:rsidR="00110930">
        <w:rPr>
          <w:rFonts w:ascii="Palatino Linotype" w:hAnsi="Palatino Linotype"/>
          <w:sz w:val="20"/>
          <w:szCs w:val="20"/>
        </w:rPr>
        <w:br/>
      </w:r>
      <w:r w:rsidRPr="00AC7729">
        <w:rPr>
          <w:rFonts w:ascii="Palatino Linotype" w:hAnsi="Palatino Linotype"/>
          <w:sz w:val="20"/>
          <w:szCs w:val="20"/>
        </w:rPr>
        <w:t xml:space="preserve"> </w:t>
      </w:r>
      <w:r w:rsidR="00110930">
        <w:rPr>
          <w:rFonts w:ascii="Palatino Linotype" w:hAnsi="Palatino Linotype"/>
          <w:sz w:val="20"/>
          <w:szCs w:val="20"/>
        </w:rPr>
        <w:t xml:space="preserve">  </w:t>
      </w:r>
      <w:r w:rsidRPr="00AC7729">
        <w:rPr>
          <w:rFonts w:ascii="Palatino Linotype" w:hAnsi="Palatino Linotype"/>
          <w:sz w:val="20"/>
          <w:szCs w:val="20"/>
        </w:rPr>
        <w:t>In Hebrew.</w:t>
      </w:r>
    </w:p>
    <w:p w14:paraId="2EEF3D8C" w14:textId="6CB6DC2A" w:rsidR="00AC7729" w:rsidRPr="00AC7729" w:rsidRDefault="00AC7729" w:rsidP="00110930">
      <w:pPr>
        <w:pStyle w:val="Bibliography1"/>
        <w:spacing w:line="240" w:lineRule="auto"/>
        <w:ind w:firstLine="0"/>
        <w:rPr>
          <w:rFonts w:ascii="Palatino Linotype" w:eastAsia="Times New Roman" w:hAnsi="Palatino Linotype"/>
          <w:sz w:val="20"/>
          <w:szCs w:val="20"/>
        </w:rPr>
      </w:pPr>
      <w:r w:rsidRPr="00AC7729">
        <w:rPr>
          <w:rFonts w:ascii="Palatino Linotype" w:eastAsia="Times New Roman" w:hAnsi="Palatino Linotype"/>
          <w:sz w:val="20"/>
          <w:szCs w:val="20"/>
        </w:rPr>
        <w:t>(</w:t>
      </w:r>
      <w:proofErr w:type="spellStart"/>
      <w:r w:rsidRPr="00AC7729">
        <w:rPr>
          <w:rFonts w:ascii="Palatino Linotype" w:eastAsia="Times New Roman" w:hAnsi="Palatino Linotype"/>
          <w:sz w:val="20"/>
          <w:szCs w:val="20"/>
        </w:rPr>
        <w:t>Schulweis</w:t>
      </w:r>
      <w:proofErr w:type="spellEnd"/>
      <w:r w:rsidRPr="00AC7729">
        <w:rPr>
          <w:rFonts w:ascii="Palatino Linotype" w:eastAsia="Times New Roman" w:hAnsi="Palatino Linotype"/>
          <w:sz w:val="20"/>
          <w:szCs w:val="20"/>
        </w:rPr>
        <w:t xml:space="preserve"> 2010) </w:t>
      </w:r>
      <w:proofErr w:type="spellStart"/>
      <w:r w:rsidRPr="00AC7729">
        <w:rPr>
          <w:rFonts w:ascii="Palatino Linotype" w:eastAsia="Times New Roman" w:hAnsi="Palatino Linotype"/>
          <w:sz w:val="20"/>
          <w:szCs w:val="20"/>
        </w:rPr>
        <w:t>Schulweis</w:t>
      </w:r>
      <w:proofErr w:type="spellEnd"/>
      <w:r w:rsidRPr="00AC7729">
        <w:rPr>
          <w:rFonts w:ascii="Palatino Linotype" w:eastAsia="Times New Roman" w:hAnsi="Palatino Linotype"/>
          <w:sz w:val="20"/>
          <w:szCs w:val="20"/>
        </w:rPr>
        <w:t xml:space="preserve">, Harold M. 2010. </w:t>
      </w:r>
      <w:r w:rsidRPr="00AC7729">
        <w:rPr>
          <w:rFonts w:ascii="Palatino Linotype" w:eastAsia="Times New Roman" w:hAnsi="Palatino Linotype"/>
          <w:i/>
          <w:iCs/>
          <w:sz w:val="20"/>
          <w:szCs w:val="20"/>
        </w:rPr>
        <w:t>Conscience, the Duty to Obey and the Duty to Disobey</w:t>
      </w:r>
      <w:r w:rsidRPr="00AC7729">
        <w:rPr>
          <w:rFonts w:ascii="Palatino Linotype" w:eastAsia="Times New Roman" w:hAnsi="Palatino Linotype"/>
          <w:sz w:val="20"/>
          <w:szCs w:val="20"/>
        </w:rPr>
        <w:t xml:space="preserve">. Woodstock, </w:t>
      </w:r>
      <w:r w:rsidR="00110930">
        <w:rPr>
          <w:rFonts w:ascii="Palatino Linotype" w:eastAsia="Times New Roman" w:hAnsi="Palatino Linotype"/>
          <w:sz w:val="20"/>
          <w:szCs w:val="20"/>
        </w:rPr>
        <w:br/>
        <w:t xml:space="preserve">   </w:t>
      </w:r>
      <w:r w:rsidRPr="00AC7729">
        <w:rPr>
          <w:rFonts w:ascii="Palatino Linotype" w:eastAsia="Times New Roman" w:hAnsi="Palatino Linotype"/>
          <w:sz w:val="20"/>
          <w:szCs w:val="20"/>
        </w:rPr>
        <w:t>VT: Jewish Lights Publishing.</w:t>
      </w:r>
    </w:p>
    <w:p w14:paraId="2B18EEB7" w14:textId="77777777" w:rsidR="00AC7729" w:rsidRPr="00AC7729" w:rsidRDefault="00AC7729" w:rsidP="00110930">
      <w:pPr>
        <w:pStyle w:val="Bibliography1"/>
        <w:spacing w:line="240" w:lineRule="auto"/>
        <w:ind w:firstLine="0"/>
        <w:rPr>
          <w:rFonts w:ascii="Palatino Linotype" w:hAnsi="Palatino Linotype"/>
          <w:sz w:val="20"/>
          <w:szCs w:val="20"/>
          <w:lang w:val="en-GB"/>
        </w:rPr>
      </w:pPr>
      <w:r w:rsidRPr="00AC7729">
        <w:rPr>
          <w:rFonts w:ascii="Palatino Linotype" w:hAnsi="Palatino Linotype"/>
          <w:sz w:val="20"/>
          <w:szCs w:val="20"/>
          <w:lang w:val="en-GB"/>
        </w:rPr>
        <w:t xml:space="preserve">(Scruton 1999) Scruton, Roger. 1999. </w:t>
      </w:r>
      <w:r w:rsidRPr="00AC7729">
        <w:rPr>
          <w:rFonts w:ascii="Palatino Linotype" w:hAnsi="Palatino Linotype"/>
          <w:i/>
          <w:iCs/>
          <w:sz w:val="20"/>
          <w:szCs w:val="20"/>
          <w:lang w:val="en-GB"/>
        </w:rPr>
        <w:t>An Intelligent Person’s Guide to Modern Culture</w:t>
      </w:r>
      <w:r w:rsidRPr="00AC7729">
        <w:rPr>
          <w:rFonts w:ascii="Palatino Linotype" w:hAnsi="Palatino Linotype"/>
          <w:sz w:val="20"/>
          <w:szCs w:val="20"/>
          <w:lang w:val="en-GB"/>
        </w:rPr>
        <w:t>. New York: Penguin Books.</w:t>
      </w:r>
    </w:p>
    <w:p w14:paraId="768AA790" w14:textId="7B801DB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w:t>
      </w:r>
      <w:proofErr w:type="spellStart"/>
      <w:r w:rsidRPr="00AC7729">
        <w:rPr>
          <w:rFonts w:ascii="Palatino Linotype" w:hAnsi="Palatino Linotype"/>
          <w:sz w:val="20"/>
          <w:szCs w:val="20"/>
        </w:rPr>
        <w:t>Shoham</w:t>
      </w:r>
      <w:proofErr w:type="spellEnd"/>
      <w:r w:rsidRPr="00AC7729">
        <w:rPr>
          <w:rFonts w:ascii="Palatino Linotype" w:hAnsi="Palatino Linotype"/>
          <w:sz w:val="20"/>
          <w:szCs w:val="20"/>
        </w:rPr>
        <w:t xml:space="preserve"> 2003) </w:t>
      </w:r>
      <w:proofErr w:type="spellStart"/>
      <w:r w:rsidRPr="00AC7729">
        <w:rPr>
          <w:rFonts w:ascii="Palatino Linotype" w:hAnsi="Palatino Linotype"/>
          <w:sz w:val="20"/>
          <w:szCs w:val="20"/>
        </w:rPr>
        <w:t>Shoham</w:t>
      </w:r>
      <w:proofErr w:type="spellEnd"/>
      <w:r w:rsidRPr="00AC7729">
        <w:rPr>
          <w:rFonts w:ascii="Palatino Linotype" w:hAnsi="Palatino Linotype"/>
          <w:sz w:val="20"/>
          <w:szCs w:val="20"/>
        </w:rPr>
        <w:t xml:space="preserve">, </w:t>
      </w:r>
      <w:proofErr w:type="spellStart"/>
      <w:r w:rsidRPr="00AC7729">
        <w:rPr>
          <w:rFonts w:ascii="Palatino Linotype" w:hAnsi="Palatino Linotype"/>
          <w:sz w:val="20"/>
          <w:szCs w:val="20"/>
        </w:rPr>
        <w:t>Shlomo</w:t>
      </w:r>
      <w:proofErr w:type="spellEnd"/>
      <w:r w:rsidRPr="00AC7729">
        <w:rPr>
          <w:rFonts w:ascii="Palatino Linotype" w:hAnsi="Palatino Linotype"/>
          <w:sz w:val="20"/>
          <w:szCs w:val="20"/>
        </w:rPr>
        <w:t xml:space="preserve"> </w:t>
      </w:r>
      <w:proofErr w:type="spellStart"/>
      <w:r w:rsidRPr="00AC7729">
        <w:rPr>
          <w:rFonts w:ascii="Palatino Linotype" w:hAnsi="Palatino Linotype"/>
          <w:sz w:val="20"/>
          <w:szCs w:val="20"/>
        </w:rPr>
        <w:t>Giora</w:t>
      </w:r>
      <w:proofErr w:type="spellEnd"/>
      <w:r w:rsidRPr="00AC7729">
        <w:rPr>
          <w:rFonts w:ascii="Palatino Linotype" w:hAnsi="Palatino Linotype"/>
          <w:sz w:val="20"/>
          <w:szCs w:val="20"/>
        </w:rPr>
        <w:t xml:space="preserve">. 2003. Ensnaring lust: The myth of the original sin. </w:t>
      </w:r>
      <w:proofErr w:type="spellStart"/>
      <w:r w:rsidRPr="00AC7729">
        <w:rPr>
          <w:rFonts w:ascii="Palatino Linotype" w:hAnsi="Palatino Linotype"/>
          <w:i/>
          <w:iCs/>
          <w:sz w:val="20"/>
          <w:szCs w:val="20"/>
        </w:rPr>
        <w:t>Kaveret</w:t>
      </w:r>
      <w:proofErr w:type="spellEnd"/>
      <w:r w:rsidRPr="00AC7729">
        <w:rPr>
          <w:rFonts w:ascii="Palatino Linotype" w:hAnsi="Palatino Linotype"/>
          <w:sz w:val="20"/>
          <w:szCs w:val="20"/>
        </w:rPr>
        <w:t xml:space="preserve"> 7, 14–17. In </w:t>
      </w:r>
      <w:r w:rsidR="00110930">
        <w:rPr>
          <w:rFonts w:ascii="Palatino Linotype" w:hAnsi="Palatino Linotype"/>
          <w:sz w:val="20"/>
          <w:szCs w:val="20"/>
        </w:rPr>
        <w:br/>
        <w:t xml:space="preserve">   </w:t>
      </w:r>
      <w:r w:rsidRPr="00AC7729">
        <w:rPr>
          <w:rFonts w:ascii="Palatino Linotype" w:hAnsi="Palatino Linotype"/>
          <w:sz w:val="20"/>
          <w:szCs w:val="20"/>
        </w:rPr>
        <w:t>Hebrew.</w:t>
      </w:r>
    </w:p>
    <w:p w14:paraId="404B2B49" w14:textId="302596F9"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 xml:space="preserve">(Weiss 1987) Weiss, Meir. 1987. Some problems of retribution in the Bible. In </w:t>
      </w:r>
      <w:r w:rsidRPr="00AC7729">
        <w:rPr>
          <w:rFonts w:ascii="Palatino Linotype" w:hAnsi="Palatino Linotype"/>
          <w:i/>
          <w:iCs/>
          <w:sz w:val="20"/>
          <w:szCs w:val="20"/>
        </w:rPr>
        <w:t>Scripture and Meaning: A</w:t>
      </w:r>
      <w:r w:rsidR="00110930">
        <w:rPr>
          <w:rFonts w:ascii="Palatino Linotype" w:hAnsi="Palatino Linotype"/>
          <w:i/>
          <w:iCs/>
          <w:sz w:val="20"/>
          <w:szCs w:val="20"/>
        </w:rPr>
        <w:br/>
        <w:t xml:space="preserve">  Collect</w:t>
      </w:r>
      <w:r w:rsidRPr="00AC7729">
        <w:rPr>
          <w:rFonts w:ascii="Palatino Linotype" w:hAnsi="Palatino Linotype"/>
          <w:i/>
          <w:iCs/>
          <w:sz w:val="20"/>
          <w:szCs w:val="20"/>
        </w:rPr>
        <w:t>ion of Essays</w:t>
      </w:r>
      <w:r w:rsidRPr="00AC7729">
        <w:rPr>
          <w:rFonts w:ascii="Palatino Linotype" w:hAnsi="Palatino Linotype"/>
          <w:sz w:val="20"/>
          <w:szCs w:val="20"/>
        </w:rPr>
        <w:t>. Edited by Meir Weiss. Jerusalem: Bialik Institute, pp. 458–512. In Hebrew</w:t>
      </w:r>
    </w:p>
    <w:p w14:paraId="1EC85F9F" w14:textId="7684F9AB"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eastAsiaTheme="minorHAnsi" w:hAnsi="Palatino Linotype" w:cstheme="majorBidi"/>
          <w:sz w:val="20"/>
          <w:szCs w:val="20"/>
        </w:rPr>
        <w:t>(</w:t>
      </w:r>
      <w:proofErr w:type="spellStart"/>
      <w:r w:rsidRPr="00AC7729">
        <w:rPr>
          <w:rFonts w:ascii="Palatino Linotype" w:eastAsiaTheme="minorHAnsi" w:hAnsi="Palatino Linotype" w:cstheme="majorBidi"/>
          <w:sz w:val="20"/>
          <w:szCs w:val="20"/>
        </w:rPr>
        <w:t>Yakobson</w:t>
      </w:r>
      <w:proofErr w:type="spellEnd"/>
      <w:r w:rsidRPr="00AC7729">
        <w:rPr>
          <w:rFonts w:ascii="Palatino Linotype" w:eastAsiaTheme="minorHAnsi" w:hAnsi="Palatino Linotype" w:cstheme="majorBidi"/>
          <w:sz w:val="20"/>
          <w:szCs w:val="20"/>
        </w:rPr>
        <w:t xml:space="preserve"> 1959) </w:t>
      </w:r>
      <w:proofErr w:type="spellStart"/>
      <w:r w:rsidRPr="00AC7729">
        <w:rPr>
          <w:rFonts w:ascii="Palatino Linotype" w:eastAsiaTheme="minorHAnsi" w:hAnsi="Palatino Linotype" w:cstheme="majorBidi"/>
          <w:sz w:val="20"/>
          <w:szCs w:val="20"/>
        </w:rPr>
        <w:t>Yakobson</w:t>
      </w:r>
      <w:proofErr w:type="spellEnd"/>
      <w:r w:rsidRPr="00AC7729">
        <w:rPr>
          <w:rFonts w:ascii="Palatino Linotype" w:eastAsiaTheme="minorHAnsi" w:hAnsi="Palatino Linotype" w:cstheme="majorBidi"/>
          <w:sz w:val="20"/>
          <w:szCs w:val="20"/>
        </w:rPr>
        <w:t xml:space="preserve">, </w:t>
      </w:r>
      <w:proofErr w:type="spellStart"/>
      <w:r w:rsidRPr="00AC7729">
        <w:rPr>
          <w:rFonts w:ascii="Palatino Linotype" w:eastAsiaTheme="minorHAnsi" w:hAnsi="Palatino Linotype" w:cstheme="majorBidi"/>
          <w:sz w:val="20"/>
          <w:szCs w:val="20"/>
        </w:rPr>
        <w:t>Yissaschar</w:t>
      </w:r>
      <w:proofErr w:type="spellEnd"/>
      <w:r w:rsidRPr="00AC7729">
        <w:rPr>
          <w:rFonts w:ascii="Palatino Linotype" w:eastAsiaTheme="minorHAnsi" w:hAnsi="Palatino Linotype" w:cstheme="majorBidi"/>
          <w:sz w:val="20"/>
          <w:szCs w:val="20"/>
        </w:rPr>
        <w:t xml:space="preserve">. 1959. </w:t>
      </w:r>
      <w:r w:rsidRPr="00AC7729">
        <w:rPr>
          <w:rFonts w:ascii="Palatino Linotype" w:eastAsiaTheme="minorHAnsi" w:hAnsi="Palatino Linotype" w:cstheme="majorBidi"/>
          <w:i/>
          <w:iCs/>
          <w:sz w:val="20"/>
          <w:szCs w:val="20"/>
        </w:rPr>
        <w:t>The Problem of Retribution in the Bible</w:t>
      </w:r>
      <w:r w:rsidRPr="00AC7729">
        <w:rPr>
          <w:rFonts w:ascii="Palatino Linotype" w:eastAsiaTheme="minorHAnsi" w:hAnsi="Palatino Linotype" w:cstheme="majorBidi"/>
          <w:sz w:val="20"/>
          <w:szCs w:val="20"/>
        </w:rPr>
        <w:t xml:space="preserve">. Tel Aviv: Sinai Press. In </w:t>
      </w:r>
      <w:r w:rsidR="00110930">
        <w:rPr>
          <w:rFonts w:ascii="Palatino Linotype" w:eastAsiaTheme="minorHAnsi" w:hAnsi="Palatino Linotype" w:cstheme="majorBidi"/>
          <w:sz w:val="20"/>
          <w:szCs w:val="20"/>
        </w:rPr>
        <w:br/>
        <w:t xml:space="preserve">   </w:t>
      </w:r>
      <w:r w:rsidRPr="00AC7729">
        <w:rPr>
          <w:rFonts w:ascii="Palatino Linotype" w:eastAsiaTheme="minorHAnsi" w:hAnsi="Palatino Linotype" w:cstheme="majorBidi"/>
          <w:sz w:val="20"/>
          <w:szCs w:val="20"/>
        </w:rPr>
        <w:t>Hebrew.</w:t>
      </w:r>
    </w:p>
    <w:p w14:paraId="080910E9" w14:textId="410266DD" w:rsidR="00AC7729" w:rsidRPr="00AC7729" w:rsidRDefault="00AC7729" w:rsidP="00110930">
      <w:pPr>
        <w:pStyle w:val="Bibliography1"/>
        <w:spacing w:line="240" w:lineRule="auto"/>
        <w:ind w:firstLine="0"/>
        <w:rPr>
          <w:rFonts w:ascii="Palatino Linotype" w:eastAsiaTheme="minorHAnsi" w:hAnsi="Palatino Linotype" w:cstheme="majorBidi"/>
          <w:sz w:val="20"/>
          <w:szCs w:val="20"/>
        </w:rPr>
      </w:pPr>
      <w:r w:rsidRPr="00AC7729">
        <w:rPr>
          <w:rFonts w:ascii="Palatino Linotype" w:hAnsi="Palatino Linotype"/>
          <w:sz w:val="20"/>
          <w:szCs w:val="20"/>
        </w:rPr>
        <w:t xml:space="preserve">(Yigal 2012) Emmanuel, Yigal. 2012. Dukkha, </w:t>
      </w:r>
      <w:proofErr w:type="spellStart"/>
      <w:r w:rsidRPr="00AC7729">
        <w:rPr>
          <w:rFonts w:ascii="Palatino Linotype" w:hAnsi="Palatino Linotype"/>
          <w:sz w:val="20"/>
          <w:szCs w:val="20"/>
        </w:rPr>
        <w:t>Anicca</w:t>
      </w:r>
      <w:proofErr w:type="spellEnd"/>
      <w:r w:rsidRPr="00AC7729">
        <w:rPr>
          <w:rFonts w:ascii="Palatino Linotype" w:hAnsi="Palatino Linotype"/>
          <w:sz w:val="20"/>
          <w:szCs w:val="20"/>
        </w:rPr>
        <w:t xml:space="preserve">, anatta, and </w:t>
      </w:r>
      <w:proofErr w:type="spellStart"/>
      <w:r w:rsidRPr="00AC7729">
        <w:rPr>
          <w:rFonts w:ascii="Palatino Linotype" w:hAnsi="Palatino Linotype"/>
          <w:sz w:val="20"/>
          <w:szCs w:val="20"/>
        </w:rPr>
        <w:t>paticca-samuppada</w:t>
      </w:r>
      <w:proofErr w:type="spellEnd"/>
      <w:r w:rsidRPr="00AC7729">
        <w:rPr>
          <w:rFonts w:ascii="Palatino Linotype" w:hAnsi="Palatino Linotype"/>
          <w:sz w:val="20"/>
          <w:szCs w:val="20"/>
        </w:rPr>
        <w:t>: Suffering in the</w:t>
      </w:r>
      <w:r w:rsidR="00110930">
        <w:rPr>
          <w:rFonts w:ascii="Palatino Linotype" w:hAnsi="Palatino Linotype"/>
          <w:sz w:val="20"/>
          <w:szCs w:val="20"/>
        </w:rPr>
        <w:br/>
        <w:t xml:space="preserve">   Budd</w:t>
      </w:r>
      <w:r w:rsidRPr="00AC7729">
        <w:rPr>
          <w:rFonts w:ascii="Palatino Linotype" w:hAnsi="Palatino Linotype"/>
          <w:sz w:val="20"/>
          <w:szCs w:val="20"/>
        </w:rPr>
        <w:t xml:space="preserve">hist tradition. </w:t>
      </w:r>
      <w:r w:rsidRPr="00AC7729">
        <w:rPr>
          <w:rFonts w:ascii="Palatino Linotype" w:hAnsi="Palatino Linotype"/>
          <w:i/>
          <w:iCs/>
          <w:sz w:val="20"/>
          <w:szCs w:val="20"/>
        </w:rPr>
        <w:t>Professional Journal of Psychotherapy</w:t>
      </w:r>
      <w:r w:rsidRPr="00AC7729">
        <w:rPr>
          <w:rFonts w:ascii="Palatino Linotype" w:hAnsi="Palatino Linotype"/>
          <w:sz w:val="20"/>
          <w:szCs w:val="20"/>
        </w:rPr>
        <w:t xml:space="preserve"> 17 (37): 1–18. In Hebrew.</w:t>
      </w:r>
    </w:p>
    <w:p w14:paraId="5EDA6C52" w14:textId="5FD672A8" w:rsidR="00AC7729" w:rsidRPr="00AC7729" w:rsidRDefault="00AC7729" w:rsidP="00110930">
      <w:pPr>
        <w:pStyle w:val="Bibliography1"/>
        <w:spacing w:line="240" w:lineRule="auto"/>
        <w:ind w:firstLine="0"/>
        <w:rPr>
          <w:rFonts w:ascii="Palatino Linotype" w:hAnsi="Palatino Linotype"/>
          <w:sz w:val="20"/>
          <w:szCs w:val="20"/>
        </w:rPr>
      </w:pPr>
      <w:r w:rsidRPr="00AC7729">
        <w:rPr>
          <w:rFonts w:ascii="Palatino Linotype" w:hAnsi="Palatino Linotype"/>
          <w:sz w:val="20"/>
          <w:szCs w:val="20"/>
        </w:rPr>
        <w:t>(</w:t>
      </w:r>
      <w:proofErr w:type="spellStart"/>
      <w:r w:rsidRPr="00AC7729">
        <w:rPr>
          <w:rFonts w:ascii="Palatino Linotype" w:hAnsi="Palatino Linotype"/>
          <w:sz w:val="20"/>
          <w:szCs w:val="20"/>
        </w:rPr>
        <w:t>Zevin</w:t>
      </w:r>
      <w:proofErr w:type="spellEnd"/>
      <w:r w:rsidRPr="00AC7729">
        <w:rPr>
          <w:rFonts w:ascii="Palatino Linotype" w:hAnsi="Palatino Linotype"/>
          <w:sz w:val="20"/>
          <w:szCs w:val="20"/>
        </w:rPr>
        <w:t xml:space="preserve"> 1965) </w:t>
      </w:r>
      <w:proofErr w:type="spellStart"/>
      <w:r w:rsidRPr="00AC7729">
        <w:rPr>
          <w:rFonts w:ascii="Palatino Linotype" w:hAnsi="Palatino Linotype"/>
          <w:sz w:val="20"/>
          <w:szCs w:val="20"/>
        </w:rPr>
        <w:t>Zevin</w:t>
      </w:r>
      <w:proofErr w:type="spellEnd"/>
      <w:r w:rsidRPr="00AC7729">
        <w:rPr>
          <w:rFonts w:ascii="Palatino Linotype" w:hAnsi="Palatino Linotype"/>
          <w:sz w:val="20"/>
          <w:szCs w:val="20"/>
        </w:rPr>
        <w:t xml:space="preserve">, Yosef </w:t>
      </w:r>
      <w:proofErr w:type="spellStart"/>
      <w:r w:rsidRPr="00AC7729">
        <w:rPr>
          <w:rFonts w:ascii="Palatino Linotype" w:hAnsi="Palatino Linotype"/>
          <w:sz w:val="20"/>
          <w:szCs w:val="20"/>
        </w:rPr>
        <w:t>Shlomo</w:t>
      </w:r>
      <w:proofErr w:type="spellEnd"/>
      <w:r w:rsidRPr="00AC7729">
        <w:rPr>
          <w:rFonts w:ascii="Palatino Linotype" w:hAnsi="Palatino Linotype"/>
          <w:sz w:val="20"/>
          <w:szCs w:val="20"/>
        </w:rPr>
        <w:t xml:space="preserve">, ed. 1965. </w:t>
      </w:r>
      <w:r w:rsidRPr="00AC7729">
        <w:rPr>
          <w:rFonts w:ascii="Palatino Linotype" w:hAnsi="Palatino Linotype"/>
          <w:i/>
          <w:iCs/>
          <w:sz w:val="20"/>
          <w:szCs w:val="20"/>
        </w:rPr>
        <w:t xml:space="preserve">Encyclopedia </w:t>
      </w:r>
      <w:proofErr w:type="spellStart"/>
      <w:r w:rsidRPr="00AC7729">
        <w:rPr>
          <w:rFonts w:ascii="Palatino Linotype" w:hAnsi="Palatino Linotype"/>
          <w:i/>
          <w:iCs/>
          <w:sz w:val="20"/>
          <w:szCs w:val="20"/>
        </w:rPr>
        <w:t>Talmudit</w:t>
      </w:r>
      <w:proofErr w:type="spellEnd"/>
      <w:r w:rsidRPr="00AC7729">
        <w:rPr>
          <w:rFonts w:ascii="Palatino Linotype" w:hAnsi="Palatino Linotype"/>
          <w:sz w:val="20"/>
          <w:szCs w:val="20"/>
        </w:rPr>
        <w:t xml:space="preserve">, vol. 11. Jerusalem: Yad </w:t>
      </w:r>
      <w:proofErr w:type="spellStart"/>
      <w:r w:rsidRPr="00AC7729">
        <w:rPr>
          <w:rFonts w:ascii="Palatino Linotype" w:hAnsi="Palatino Linotype"/>
          <w:sz w:val="20"/>
          <w:szCs w:val="20"/>
        </w:rPr>
        <w:t>Harav</w:t>
      </w:r>
      <w:proofErr w:type="spellEnd"/>
      <w:r w:rsidRPr="00AC7729">
        <w:rPr>
          <w:rFonts w:ascii="Palatino Linotype" w:hAnsi="Palatino Linotype"/>
          <w:sz w:val="20"/>
          <w:szCs w:val="20"/>
        </w:rPr>
        <w:t xml:space="preserve"> Herzog. In </w:t>
      </w:r>
      <w:r w:rsidR="00110930">
        <w:rPr>
          <w:rFonts w:ascii="Palatino Linotype" w:hAnsi="Palatino Linotype"/>
          <w:sz w:val="20"/>
          <w:szCs w:val="20"/>
        </w:rPr>
        <w:br/>
        <w:t xml:space="preserve">   </w:t>
      </w:r>
      <w:r w:rsidRPr="00AC7729">
        <w:rPr>
          <w:rFonts w:ascii="Palatino Linotype" w:hAnsi="Palatino Linotype"/>
          <w:sz w:val="20"/>
          <w:szCs w:val="20"/>
        </w:rPr>
        <w:t>Hebrew.</w:t>
      </w:r>
    </w:p>
    <w:p w14:paraId="0F8D90D9" w14:textId="28AA4B88" w:rsidR="00AC7729" w:rsidRPr="00110930" w:rsidRDefault="00AC7729" w:rsidP="00110930">
      <w:pPr>
        <w:pStyle w:val="MDPI21heading1"/>
        <w:spacing w:line="240" w:lineRule="auto"/>
        <w:ind w:left="720"/>
        <w:rPr>
          <w:b w:val="0"/>
          <w:bCs/>
          <w:szCs w:val="20"/>
        </w:rPr>
      </w:pPr>
      <w:r w:rsidRPr="00110930">
        <w:rPr>
          <w:b w:val="0"/>
          <w:bCs/>
          <w:szCs w:val="20"/>
        </w:rPr>
        <w:t xml:space="preserve">(Zion 2002) Zion, Tania. 2002. </w:t>
      </w:r>
      <w:r w:rsidRPr="00110930">
        <w:rPr>
          <w:b w:val="0"/>
          <w:bCs/>
          <w:i/>
          <w:iCs/>
          <w:szCs w:val="20"/>
        </w:rPr>
        <w:t xml:space="preserve">Stories of the Beginning: A Discussion of Human Questions in the Book of </w:t>
      </w:r>
      <w:r w:rsidR="00110930" w:rsidRPr="00110930">
        <w:rPr>
          <w:b w:val="0"/>
          <w:bCs/>
          <w:i/>
          <w:iCs/>
          <w:szCs w:val="20"/>
        </w:rPr>
        <w:br/>
        <w:t xml:space="preserve">   </w:t>
      </w:r>
      <w:r w:rsidRPr="00110930">
        <w:rPr>
          <w:b w:val="0"/>
          <w:bCs/>
          <w:i/>
          <w:iCs/>
          <w:szCs w:val="20"/>
        </w:rPr>
        <w:t>Genesis</w:t>
      </w:r>
      <w:r w:rsidRPr="00110930">
        <w:rPr>
          <w:b w:val="0"/>
          <w:bCs/>
          <w:szCs w:val="20"/>
        </w:rPr>
        <w:t>. Tel Aviv: Yediot Aharonot Press. In Hebrew.</w:t>
      </w:r>
    </w:p>
    <w:p w14:paraId="0B52BFA6" w14:textId="0779499D" w:rsidR="00167CFD" w:rsidRPr="00AC7729" w:rsidRDefault="00167CFD" w:rsidP="00167CFD">
      <w:pPr>
        <w:pStyle w:val="MDPI71References"/>
        <w:numPr>
          <w:ilvl w:val="0"/>
          <w:numId w:val="0"/>
        </w:numPr>
        <w:ind w:left="425" w:hanging="425"/>
        <w:rPr>
          <w:sz w:val="20"/>
        </w:rPr>
      </w:pPr>
    </w:p>
    <w:sectPr w:rsidR="00167CFD" w:rsidRPr="00AC7729" w:rsidSect="00BE7CE8">
      <w:headerReference w:type="even" r:id="rId15"/>
      <w:headerReference w:type="default" r:id="rId16"/>
      <w:footerReference w:type="default" r:id="rId17"/>
      <w:headerReference w:type="first" r:id="rId18"/>
      <w:footerReference w:type="first" r:id="rId19"/>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0EA7" w14:textId="77777777" w:rsidR="008D473B" w:rsidRDefault="008D473B">
      <w:pPr>
        <w:spacing w:line="240" w:lineRule="auto"/>
      </w:pPr>
      <w:r>
        <w:separator/>
      </w:r>
    </w:p>
  </w:endnote>
  <w:endnote w:type="continuationSeparator" w:id="0">
    <w:p w14:paraId="5244C4C3" w14:textId="77777777" w:rsidR="008D473B" w:rsidRDefault="008D4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267F" w14:textId="77777777" w:rsidR="00D73B44" w:rsidRPr="00E46B73" w:rsidRDefault="00D73B44" w:rsidP="00D73B44">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A37F" w14:textId="77777777" w:rsidR="000C6A96" w:rsidRDefault="000C6A96" w:rsidP="009C1C64">
    <w:pPr>
      <w:pBdr>
        <w:top w:val="single" w:sz="4" w:space="0" w:color="000000"/>
      </w:pBdr>
      <w:tabs>
        <w:tab w:val="right" w:pos="8844"/>
      </w:tabs>
      <w:adjustRightInd w:val="0"/>
      <w:snapToGrid w:val="0"/>
      <w:spacing w:before="480" w:line="100" w:lineRule="exact"/>
      <w:jc w:val="left"/>
      <w:rPr>
        <w:i/>
        <w:sz w:val="16"/>
        <w:szCs w:val="16"/>
      </w:rPr>
    </w:pPr>
  </w:p>
  <w:p w14:paraId="2F1CFE3A" w14:textId="77777777" w:rsidR="00D73B44" w:rsidRPr="00372FCD" w:rsidRDefault="00D73B44" w:rsidP="001C4023">
    <w:pPr>
      <w:tabs>
        <w:tab w:val="right" w:pos="10466"/>
      </w:tabs>
      <w:adjustRightInd w:val="0"/>
      <w:snapToGrid w:val="0"/>
      <w:spacing w:line="240" w:lineRule="auto"/>
      <w:rPr>
        <w:sz w:val="16"/>
        <w:szCs w:val="16"/>
        <w:lang w:val="fr-CH"/>
      </w:rPr>
    </w:pPr>
    <w:r w:rsidRPr="008864E0">
      <w:rPr>
        <w:i/>
        <w:sz w:val="16"/>
        <w:szCs w:val="16"/>
      </w:rPr>
      <w:t>Genealogy</w:t>
    </w:r>
    <w:r>
      <w:rPr>
        <w:i/>
        <w:sz w:val="16"/>
        <w:szCs w:val="16"/>
      </w:rPr>
      <w:t xml:space="preserve"> </w:t>
    </w:r>
    <w:r w:rsidR="00CF1982">
      <w:rPr>
        <w:b/>
        <w:bCs/>
        <w:iCs/>
        <w:sz w:val="16"/>
        <w:szCs w:val="16"/>
      </w:rPr>
      <w:t>2022</w:t>
    </w:r>
    <w:r w:rsidR="005039E6" w:rsidRPr="005039E6">
      <w:rPr>
        <w:bCs/>
        <w:iCs/>
        <w:sz w:val="16"/>
        <w:szCs w:val="16"/>
      </w:rPr>
      <w:t>,</w:t>
    </w:r>
    <w:r w:rsidR="00CF1982">
      <w:rPr>
        <w:bCs/>
        <w:i/>
        <w:iCs/>
        <w:sz w:val="16"/>
        <w:szCs w:val="16"/>
      </w:rPr>
      <w:t xml:space="preserve"> 6</w:t>
    </w:r>
    <w:r w:rsidR="005039E6" w:rsidRPr="005039E6">
      <w:rPr>
        <w:bCs/>
        <w:iCs/>
        <w:sz w:val="16"/>
        <w:szCs w:val="16"/>
      </w:rPr>
      <w:t xml:space="preserve">, </w:t>
    </w:r>
    <w:r w:rsidR="00DB06D5">
      <w:rPr>
        <w:bCs/>
        <w:iCs/>
        <w:sz w:val="16"/>
        <w:szCs w:val="16"/>
      </w:rPr>
      <w:t>x</w:t>
    </w:r>
    <w:r w:rsidR="000C6A96">
      <w:rPr>
        <w:bCs/>
        <w:iCs/>
        <w:sz w:val="16"/>
        <w:szCs w:val="16"/>
      </w:rPr>
      <w:t>. https://doi.org/10.3390/xxxxx</w:t>
    </w:r>
    <w:r w:rsidR="001C4023" w:rsidRPr="00372FCD">
      <w:rPr>
        <w:sz w:val="16"/>
        <w:szCs w:val="16"/>
        <w:lang w:val="fr-CH"/>
      </w:rPr>
      <w:tab/>
    </w:r>
    <w:r w:rsidRPr="00372FCD">
      <w:rPr>
        <w:sz w:val="16"/>
        <w:szCs w:val="16"/>
        <w:lang w:val="fr-CH"/>
      </w:rPr>
      <w:t>www.mdpi.com/journal/</w:t>
    </w:r>
    <w:r w:rsidRPr="008864E0">
      <w:rPr>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58D2" w14:textId="77777777" w:rsidR="008D473B" w:rsidRDefault="008D473B">
      <w:pPr>
        <w:spacing w:line="240" w:lineRule="auto"/>
      </w:pPr>
      <w:r>
        <w:separator/>
      </w:r>
    </w:p>
  </w:footnote>
  <w:footnote w:type="continuationSeparator" w:id="0">
    <w:p w14:paraId="10E9ED47" w14:textId="77777777" w:rsidR="008D473B" w:rsidRDefault="008D473B">
      <w:pPr>
        <w:spacing w:line="240" w:lineRule="auto"/>
      </w:pPr>
      <w:r>
        <w:continuationSeparator/>
      </w:r>
    </w:p>
  </w:footnote>
  <w:footnote w:id="1">
    <w:p w14:paraId="1430BDE3" w14:textId="77777777" w:rsidR="00DC7CDB" w:rsidRDefault="00DC7CDB" w:rsidP="00DC7CDB">
      <w:pPr>
        <w:pStyle w:val="af7"/>
      </w:pPr>
      <w:r w:rsidRPr="004B1BC4">
        <w:rPr>
          <w:rStyle w:val="afb"/>
          <w:sz w:val="18"/>
          <w:szCs w:val="18"/>
        </w:rPr>
        <w:footnoteRef/>
      </w:r>
      <w:r w:rsidRPr="004B1BC4">
        <w:rPr>
          <w:sz w:val="18"/>
          <w:szCs w:val="18"/>
          <w:rtl/>
        </w:rPr>
        <w:t xml:space="preserve"> </w:t>
      </w:r>
      <w:r w:rsidRPr="004B1BC4">
        <w:rPr>
          <w:sz w:val="18"/>
          <w:szCs w:val="18"/>
        </w:rPr>
        <w:t>The analysis</w:t>
      </w:r>
      <w:r>
        <w:rPr>
          <w:sz w:val="18"/>
          <w:szCs w:val="18"/>
        </w:rPr>
        <w:t xml:space="preserve"> presented</w:t>
      </w:r>
      <w:r w:rsidRPr="004B1BC4">
        <w:rPr>
          <w:sz w:val="18"/>
          <w:szCs w:val="18"/>
        </w:rPr>
        <w:t xml:space="preserve"> in this paper is based on the King James Version of the Bible since I feel it most accurately reflects the nuances of the original Hebrew.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F0C2" w14:textId="77777777" w:rsidR="00D73B44" w:rsidRDefault="00D73B44" w:rsidP="00D73B44">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1FF4" w14:textId="77777777" w:rsidR="000C6A96" w:rsidRDefault="00D73B44" w:rsidP="001C4023">
    <w:pPr>
      <w:tabs>
        <w:tab w:val="right" w:pos="10466"/>
      </w:tabs>
      <w:adjustRightInd w:val="0"/>
      <w:snapToGrid w:val="0"/>
      <w:spacing w:line="240" w:lineRule="auto"/>
      <w:rPr>
        <w:sz w:val="16"/>
      </w:rPr>
    </w:pPr>
    <w:r>
      <w:rPr>
        <w:i/>
        <w:sz w:val="16"/>
      </w:rPr>
      <w:t xml:space="preserve">Genealogy </w:t>
    </w:r>
    <w:r w:rsidR="00CF1982">
      <w:rPr>
        <w:b/>
        <w:sz w:val="16"/>
      </w:rPr>
      <w:t>2022</w:t>
    </w:r>
    <w:r w:rsidR="005039E6" w:rsidRPr="005039E6">
      <w:rPr>
        <w:sz w:val="16"/>
      </w:rPr>
      <w:t>,</w:t>
    </w:r>
    <w:r w:rsidR="00CF1982">
      <w:rPr>
        <w:i/>
        <w:sz w:val="16"/>
      </w:rPr>
      <w:t xml:space="preserve"> 6</w:t>
    </w:r>
    <w:r w:rsidR="00DB06D5">
      <w:rPr>
        <w:sz w:val="16"/>
      </w:rPr>
      <w:t>, x FOR PEER REVIEW</w:t>
    </w:r>
    <w:r w:rsidR="001C4023">
      <w:rPr>
        <w:sz w:val="16"/>
      </w:rPr>
      <w:tab/>
    </w:r>
    <w:r w:rsidR="00DB06D5">
      <w:rPr>
        <w:sz w:val="16"/>
      </w:rPr>
      <w:fldChar w:fldCharType="begin"/>
    </w:r>
    <w:r w:rsidR="00DB06D5">
      <w:rPr>
        <w:sz w:val="16"/>
      </w:rPr>
      <w:instrText xml:space="preserve"> PAGE   \* MERGEFORMAT </w:instrText>
    </w:r>
    <w:r w:rsidR="00DB06D5">
      <w:rPr>
        <w:sz w:val="16"/>
      </w:rPr>
      <w:fldChar w:fldCharType="separate"/>
    </w:r>
    <w:r w:rsidR="007F7DBA">
      <w:rPr>
        <w:sz w:val="16"/>
      </w:rPr>
      <w:t>2</w:t>
    </w:r>
    <w:r w:rsidR="00DB06D5">
      <w:rPr>
        <w:sz w:val="16"/>
      </w:rPr>
      <w:fldChar w:fldCharType="end"/>
    </w:r>
    <w:r w:rsidR="00DB06D5">
      <w:rPr>
        <w:sz w:val="16"/>
      </w:rPr>
      <w:t xml:space="preserve"> of </w:t>
    </w:r>
    <w:r w:rsidR="00DB06D5">
      <w:rPr>
        <w:sz w:val="16"/>
      </w:rPr>
      <w:fldChar w:fldCharType="begin"/>
    </w:r>
    <w:r w:rsidR="00DB06D5">
      <w:rPr>
        <w:sz w:val="16"/>
      </w:rPr>
      <w:instrText xml:space="preserve"> NUMPAGES   \* MERGEFORMAT </w:instrText>
    </w:r>
    <w:r w:rsidR="00DB06D5">
      <w:rPr>
        <w:sz w:val="16"/>
      </w:rPr>
      <w:fldChar w:fldCharType="separate"/>
    </w:r>
    <w:r w:rsidR="007F7DBA">
      <w:rPr>
        <w:sz w:val="16"/>
      </w:rPr>
      <w:t>5</w:t>
    </w:r>
    <w:r w:rsidR="00DB06D5">
      <w:rPr>
        <w:sz w:val="16"/>
      </w:rPr>
      <w:fldChar w:fldCharType="end"/>
    </w:r>
  </w:p>
  <w:p w14:paraId="07748E9D" w14:textId="77777777" w:rsidR="00D73B44" w:rsidRPr="002D645B" w:rsidRDefault="00D73B44" w:rsidP="009C1C6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C6A96" w:rsidRPr="001C4023" w14:paraId="1B56D0EC" w14:textId="77777777" w:rsidTr="006B014F">
      <w:trPr>
        <w:trHeight w:val="686"/>
      </w:trPr>
      <w:tc>
        <w:tcPr>
          <w:tcW w:w="3679" w:type="dxa"/>
          <w:shd w:val="clear" w:color="auto" w:fill="auto"/>
          <w:vAlign w:val="center"/>
        </w:tcPr>
        <w:p w14:paraId="7267D116" w14:textId="77777777" w:rsidR="000C6A96" w:rsidRPr="00B60A92" w:rsidRDefault="00FF4D76" w:rsidP="001C4023">
          <w:pPr>
            <w:pStyle w:val="a5"/>
            <w:pBdr>
              <w:bottom w:val="none" w:sz="0" w:space="0" w:color="auto"/>
            </w:pBdr>
            <w:jc w:val="left"/>
            <w:rPr>
              <w:rFonts w:eastAsia="DengXian"/>
              <w:b/>
              <w:bCs/>
            </w:rPr>
          </w:pPr>
          <w:r w:rsidRPr="00B60A92">
            <w:rPr>
              <w:rFonts w:eastAsia="DengXian"/>
              <w:b/>
              <w:bCs/>
            </w:rPr>
            <w:drawing>
              <wp:inline distT="0" distB="0" distL="0" distR="0" wp14:anchorId="31E43019" wp14:editId="1A15F212">
                <wp:extent cx="1669415" cy="429260"/>
                <wp:effectExtent l="0" t="0" r="0" b="0"/>
                <wp:docPr id="1"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29260"/>
                        </a:xfrm>
                        <a:prstGeom prst="rect">
                          <a:avLst/>
                        </a:prstGeom>
                        <a:noFill/>
                        <a:ln>
                          <a:noFill/>
                        </a:ln>
                      </pic:spPr>
                    </pic:pic>
                  </a:graphicData>
                </a:graphic>
              </wp:inline>
            </w:drawing>
          </w:r>
        </w:p>
      </w:tc>
      <w:tc>
        <w:tcPr>
          <w:tcW w:w="4535" w:type="dxa"/>
          <w:shd w:val="clear" w:color="auto" w:fill="auto"/>
          <w:vAlign w:val="center"/>
        </w:tcPr>
        <w:p w14:paraId="13CD366D" w14:textId="77777777" w:rsidR="000C6A96" w:rsidRPr="00B60A92" w:rsidRDefault="000C6A96" w:rsidP="001C4023">
          <w:pPr>
            <w:pStyle w:val="a5"/>
            <w:pBdr>
              <w:bottom w:val="none" w:sz="0" w:space="0" w:color="auto"/>
            </w:pBdr>
            <w:rPr>
              <w:rFonts w:eastAsia="DengXian"/>
              <w:b/>
              <w:bCs/>
            </w:rPr>
          </w:pPr>
        </w:p>
      </w:tc>
      <w:tc>
        <w:tcPr>
          <w:tcW w:w="2273" w:type="dxa"/>
          <w:shd w:val="clear" w:color="auto" w:fill="auto"/>
          <w:vAlign w:val="center"/>
        </w:tcPr>
        <w:p w14:paraId="42ADA9C5" w14:textId="77777777" w:rsidR="000C6A96" w:rsidRPr="00B60A92" w:rsidRDefault="006B014F" w:rsidP="006B014F">
          <w:pPr>
            <w:pStyle w:val="a5"/>
            <w:pBdr>
              <w:bottom w:val="none" w:sz="0" w:space="0" w:color="auto"/>
            </w:pBdr>
            <w:jc w:val="right"/>
            <w:rPr>
              <w:rFonts w:eastAsia="DengXian"/>
              <w:b/>
              <w:bCs/>
            </w:rPr>
          </w:pPr>
          <w:r>
            <w:rPr>
              <w:rFonts w:eastAsia="DengXian"/>
              <w:b/>
              <w:bCs/>
            </w:rPr>
            <w:drawing>
              <wp:inline distT="0" distB="0" distL="0" distR="0" wp14:anchorId="56F45ED9" wp14:editId="77E7A184">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C99A5DA" w14:textId="77777777" w:rsidR="00D73B44" w:rsidRPr="000C6A96" w:rsidRDefault="00D73B44" w:rsidP="009C1C6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47CE20D8"/>
    <w:lvl w:ilvl="0" w:tplc="289669E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EADE00B6"/>
    <w:lvl w:ilvl="0" w:tplc="8F064A3A">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D0024"/>
    <w:multiLevelType w:val="hybridMultilevel"/>
    <w:tmpl w:val="41A8298A"/>
    <w:lvl w:ilvl="0" w:tplc="76865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97B6160"/>
    <w:multiLevelType w:val="hybridMultilevel"/>
    <w:tmpl w:val="E2D0D418"/>
    <w:lvl w:ilvl="0" w:tplc="AEFEFC5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3ECB3C65"/>
    <w:multiLevelType w:val="hybridMultilevel"/>
    <w:tmpl w:val="4DC4F1B0"/>
    <w:lvl w:ilvl="0" w:tplc="44AE2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AAC4920"/>
    <w:multiLevelType w:val="hybridMultilevel"/>
    <w:tmpl w:val="48A8CADE"/>
    <w:lvl w:ilvl="0" w:tplc="28D27E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367119">
    <w:abstractNumId w:val="3"/>
  </w:num>
  <w:num w:numId="2" w16cid:durableId="1746343681">
    <w:abstractNumId w:val="6"/>
  </w:num>
  <w:num w:numId="3" w16cid:durableId="543634975">
    <w:abstractNumId w:val="2"/>
  </w:num>
  <w:num w:numId="4" w16cid:durableId="207381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868640">
    <w:abstractNumId w:val="4"/>
  </w:num>
  <w:num w:numId="6" w16cid:durableId="1077704681">
    <w:abstractNumId w:val="10"/>
  </w:num>
  <w:num w:numId="7" w16cid:durableId="914780225">
    <w:abstractNumId w:val="1"/>
  </w:num>
  <w:num w:numId="8" w16cid:durableId="356464602">
    <w:abstractNumId w:val="10"/>
  </w:num>
  <w:num w:numId="9" w16cid:durableId="1421488019">
    <w:abstractNumId w:val="1"/>
  </w:num>
  <w:num w:numId="10" w16cid:durableId="1398548305">
    <w:abstractNumId w:val="10"/>
  </w:num>
  <w:num w:numId="11" w16cid:durableId="919019657">
    <w:abstractNumId w:val="1"/>
  </w:num>
  <w:num w:numId="12" w16cid:durableId="1554997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007582">
    <w:abstractNumId w:val="12"/>
  </w:num>
  <w:num w:numId="14" w16cid:durableId="1905070177">
    <w:abstractNumId w:val="10"/>
  </w:num>
  <w:num w:numId="15" w16cid:durableId="661473449">
    <w:abstractNumId w:val="1"/>
  </w:num>
  <w:num w:numId="16" w16cid:durableId="1736852905">
    <w:abstractNumId w:val="0"/>
  </w:num>
  <w:num w:numId="17" w16cid:durableId="786585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550397">
    <w:abstractNumId w:val="9"/>
  </w:num>
  <w:num w:numId="19" w16cid:durableId="1644890597">
    <w:abstractNumId w:val="0"/>
  </w:num>
  <w:num w:numId="20" w16cid:durableId="600071093">
    <w:abstractNumId w:val="10"/>
  </w:num>
  <w:num w:numId="21" w16cid:durableId="1173496765">
    <w:abstractNumId w:val="1"/>
  </w:num>
  <w:num w:numId="22" w16cid:durableId="984503482">
    <w:abstractNumId w:val="0"/>
  </w:num>
  <w:num w:numId="23" w16cid:durableId="224990738">
    <w:abstractNumId w:val="7"/>
  </w:num>
  <w:num w:numId="24" w16cid:durableId="114713806">
    <w:abstractNumId w:val="11"/>
  </w:num>
  <w:num w:numId="25" w16cid:durableId="809860541">
    <w:abstractNumId w:val="8"/>
  </w:num>
  <w:num w:numId="26" w16cid:durableId="1386486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DAzsDQzNDY3NDJX0lEKTi0uzszPAykwrAUAxZsG2SwAAAA="/>
  </w:docVars>
  <w:rsids>
    <w:rsidRoot w:val="009C5381"/>
    <w:rsid w:val="00004B72"/>
    <w:rsid w:val="00015BC4"/>
    <w:rsid w:val="00023F06"/>
    <w:rsid w:val="00030A76"/>
    <w:rsid w:val="000433AE"/>
    <w:rsid w:val="000515E2"/>
    <w:rsid w:val="000550FC"/>
    <w:rsid w:val="0006723B"/>
    <w:rsid w:val="00085916"/>
    <w:rsid w:val="00085DAF"/>
    <w:rsid w:val="00094370"/>
    <w:rsid w:val="000B4DC5"/>
    <w:rsid w:val="000C6A96"/>
    <w:rsid w:val="000D4797"/>
    <w:rsid w:val="000E024F"/>
    <w:rsid w:val="0011081B"/>
    <w:rsid w:val="00110930"/>
    <w:rsid w:val="00110F23"/>
    <w:rsid w:val="0011705B"/>
    <w:rsid w:val="001307A2"/>
    <w:rsid w:val="00144C67"/>
    <w:rsid w:val="00144FC3"/>
    <w:rsid w:val="00145435"/>
    <w:rsid w:val="00147C0D"/>
    <w:rsid w:val="00151311"/>
    <w:rsid w:val="00167CFD"/>
    <w:rsid w:val="001864BE"/>
    <w:rsid w:val="001C132D"/>
    <w:rsid w:val="001C4023"/>
    <w:rsid w:val="001D466A"/>
    <w:rsid w:val="001E2AEB"/>
    <w:rsid w:val="001F0D9B"/>
    <w:rsid w:val="002216F3"/>
    <w:rsid w:val="00235159"/>
    <w:rsid w:val="00240C5A"/>
    <w:rsid w:val="00284262"/>
    <w:rsid w:val="002966C1"/>
    <w:rsid w:val="002A0433"/>
    <w:rsid w:val="002D04B2"/>
    <w:rsid w:val="002E62E4"/>
    <w:rsid w:val="002E672A"/>
    <w:rsid w:val="002F0DA4"/>
    <w:rsid w:val="00323AA2"/>
    <w:rsid w:val="00324637"/>
    <w:rsid w:val="00326141"/>
    <w:rsid w:val="00335C28"/>
    <w:rsid w:val="0035178B"/>
    <w:rsid w:val="0036109A"/>
    <w:rsid w:val="003652F1"/>
    <w:rsid w:val="003811FD"/>
    <w:rsid w:val="003A2017"/>
    <w:rsid w:val="003B0BCB"/>
    <w:rsid w:val="003B3E6E"/>
    <w:rsid w:val="003B7136"/>
    <w:rsid w:val="003C2B83"/>
    <w:rsid w:val="003E0309"/>
    <w:rsid w:val="00401D30"/>
    <w:rsid w:val="00434F24"/>
    <w:rsid w:val="00451390"/>
    <w:rsid w:val="0046106B"/>
    <w:rsid w:val="004629B4"/>
    <w:rsid w:val="004761F3"/>
    <w:rsid w:val="00482D32"/>
    <w:rsid w:val="00493894"/>
    <w:rsid w:val="004A29E5"/>
    <w:rsid w:val="004C49DC"/>
    <w:rsid w:val="004D0D95"/>
    <w:rsid w:val="005039E6"/>
    <w:rsid w:val="005059F5"/>
    <w:rsid w:val="00516695"/>
    <w:rsid w:val="00543D2A"/>
    <w:rsid w:val="0054483D"/>
    <w:rsid w:val="00582E55"/>
    <w:rsid w:val="0058351E"/>
    <w:rsid w:val="005C2C21"/>
    <w:rsid w:val="005D74E4"/>
    <w:rsid w:val="005E43ED"/>
    <w:rsid w:val="005F65E7"/>
    <w:rsid w:val="00605E60"/>
    <w:rsid w:val="00616E72"/>
    <w:rsid w:val="00636716"/>
    <w:rsid w:val="006469D3"/>
    <w:rsid w:val="00666E06"/>
    <w:rsid w:val="00670D70"/>
    <w:rsid w:val="0068762B"/>
    <w:rsid w:val="00692393"/>
    <w:rsid w:val="006972A0"/>
    <w:rsid w:val="006B014F"/>
    <w:rsid w:val="006C192E"/>
    <w:rsid w:val="006D172A"/>
    <w:rsid w:val="006E0082"/>
    <w:rsid w:val="006F370A"/>
    <w:rsid w:val="007074BD"/>
    <w:rsid w:val="00710248"/>
    <w:rsid w:val="0071621D"/>
    <w:rsid w:val="0073196A"/>
    <w:rsid w:val="00754C96"/>
    <w:rsid w:val="00757832"/>
    <w:rsid w:val="00757B97"/>
    <w:rsid w:val="00765B47"/>
    <w:rsid w:val="00774486"/>
    <w:rsid w:val="00791B75"/>
    <w:rsid w:val="007A6B73"/>
    <w:rsid w:val="007D497F"/>
    <w:rsid w:val="007E70C2"/>
    <w:rsid w:val="007F7DBA"/>
    <w:rsid w:val="008126C3"/>
    <w:rsid w:val="008213DB"/>
    <w:rsid w:val="008361BB"/>
    <w:rsid w:val="00875259"/>
    <w:rsid w:val="00895DAC"/>
    <w:rsid w:val="008A278F"/>
    <w:rsid w:val="008A781F"/>
    <w:rsid w:val="008D1894"/>
    <w:rsid w:val="008D473B"/>
    <w:rsid w:val="008D675B"/>
    <w:rsid w:val="008D6F68"/>
    <w:rsid w:val="008F3606"/>
    <w:rsid w:val="008F668E"/>
    <w:rsid w:val="00903385"/>
    <w:rsid w:val="0091066C"/>
    <w:rsid w:val="009244BC"/>
    <w:rsid w:val="00954E0A"/>
    <w:rsid w:val="009B0AFE"/>
    <w:rsid w:val="009B4954"/>
    <w:rsid w:val="009C1C64"/>
    <w:rsid w:val="009C5381"/>
    <w:rsid w:val="009F388A"/>
    <w:rsid w:val="009F6F41"/>
    <w:rsid w:val="009F70E6"/>
    <w:rsid w:val="00A13CF1"/>
    <w:rsid w:val="00A174EA"/>
    <w:rsid w:val="00A27CE8"/>
    <w:rsid w:val="00A40E76"/>
    <w:rsid w:val="00A46DA5"/>
    <w:rsid w:val="00A632BB"/>
    <w:rsid w:val="00A86085"/>
    <w:rsid w:val="00A871C6"/>
    <w:rsid w:val="00AB1842"/>
    <w:rsid w:val="00AC7729"/>
    <w:rsid w:val="00AF4B4F"/>
    <w:rsid w:val="00AF57B9"/>
    <w:rsid w:val="00B4391C"/>
    <w:rsid w:val="00B60A92"/>
    <w:rsid w:val="00B61732"/>
    <w:rsid w:val="00B75134"/>
    <w:rsid w:val="00BA0939"/>
    <w:rsid w:val="00BB3BA4"/>
    <w:rsid w:val="00BC4CE7"/>
    <w:rsid w:val="00BC536B"/>
    <w:rsid w:val="00BE29AE"/>
    <w:rsid w:val="00BE7A4A"/>
    <w:rsid w:val="00BE7CE8"/>
    <w:rsid w:val="00C350CF"/>
    <w:rsid w:val="00C45ACF"/>
    <w:rsid w:val="00C5682D"/>
    <w:rsid w:val="00C56AC4"/>
    <w:rsid w:val="00C6233D"/>
    <w:rsid w:val="00C74739"/>
    <w:rsid w:val="00C952D5"/>
    <w:rsid w:val="00CB26B8"/>
    <w:rsid w:val="00CF1982"/>
    <w:rsid w:val="00D30F23"/>
    <w:rsid w:val="00D33694"/>
    <w:rsid w:val="00D377C9"/>
    <w:rsid w:val="00D476A8"/>
    <w:rsid w:val="00D52CC6"/>
    <w:rsid w:val="00D57F75"/>
    <w:rsid w:val="00D67DAC"/>
    <w:rsid w:val="00D72DBA"/>
    <w:rsid w:val="00D73B44"/>
    <w:rsid w:val="00D95A6F"/>
    <w:rsid w:val="00D96DE2"/>
    <w:rsid w:val="00DB06D5"/>
    <w:rsid w:val="00DC7CDB"/>
    <w:rsid w:val="00DD773E"/>
    <w:rsid w:val="00DE0E94"/>
    <w:rsid w:val="00E0425F"/>
    <w:rsid w:val="00E055F9"/>
    <w:rsid w:val="00E103DB"/>
    <w:rsid w:val="00E1495D"/>
    <w:rsid w:val="00E158F0"/>
    <w:rsid w:val="00E32B2A"/>
    <w:rsid w:val="00E4046E"/>
    <w:rsid w:val="00E40571"/>
    <w:rsid w:val="00E502FD"/>
    <w:rsid w:val="00E511A6"/>
    <w:rsid w:val="00E71156"/>
    <w:rsid w:val="00EB007A"/>
    <w:rsid w:val="00F239F0"/>
    <w:rsid w:val="00F23BB6"/>
    <w:rsid w:val="00F440D9"/>
    <w:rsid w:val="00F45E65"/>
    <w:rsid w:val="00F73ACC"/>
    <w:rsid w:val="00F74B00"/>
    <w:rsid w:val="00FA0D0B"/>
    <w:rsid w:val="00FB15F2"/>
    <w:rsid w:val="00FB29B8"/>
    <w:rsid w:val="00FC52CE"/>
    <w:rsid w:val="00FD4A65"/>
    <w:rsid w:val="00FE0278"/>
    <w:rsid w:val="00FE30D7"/>
    <w:rsid w:val="00FF4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F3E7"/>
  <w15:chartTrackingRefBased/>
  <w15:docId w15:val="{261DBC17-CD03-5940-8833-EA5659E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05B"/>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11705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11705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11705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11705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1705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11705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11705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11705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a3">
    <w:name w:val="footer"/>
    <w:basedOn w:val="a"/>
    <w:link w:val="a4"/>
    <w:uiPriority w:val="99"/>
    <w:rsid w:val="0011705B"/>
    <w:pPr>
      <w:tabs>
        <w:tab w:val="center" w:pos="4153"/>
        <w:tab w:val="right" w:pos="8306"/>
      </w:tabs>
      <w:snapToGrid w:val="0"/>
      <w:spacing w:line="240" w:lineRule="atLeast"/>
    </w:pPr>
    <w:rPr>
      <w:szCs w:val="18"/>
    </w:rPr>
  </w:style>
  <w:style w:type="character" w:customStyle="1" w:styleId="a4">
    <w:name w:val="כותרת תחתונה תו"/>
    <w:link w:val="a3"/>
    <w:uiPriority w:val="99"/>
    <w:rsid w:val="0011705B"/>
    <w:rPr>
      <w:rFonts w:ascii="Palatino Linotype" w:hAnsi="Palatino Linotype"/>
      <w:noProof/>
      <w:color w:val="000000"/>
      <w:szCs w:val="18"/>
    </w:rPr>
  </w:style>
  <w:style w:type="paragraph" w:styleId="a5">
    <w:name w:val="header"/>
    <w:basedOn w:val="a"/>
    <w:link w:val="a6"/>
    <w:uiPriority w:val="99"/>
    <w:rsid w:val="0011705B"/>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כותרת עליונה תו"/>
    <w:link w:val="a5"/>
    <w:uiPriority w:val="99"/>
    <w:rsid w:val="0011705B"/>
    <w:rPr>
      <w:rFonts w:ascii="Palatino Linotype" w:hAnsi="Palatino Linotype"/>
      <w:noProof/>
      <w:color w:val="000000"/>
      <w:szCs w:val="18"/>
    </w:rPr>
  </w:style>
  <w:style w:type="paragraph" w:customStyle="1" w:styleId="MDPIheaderjournallogo">
    <w:name w:val="MDPI_header_journal_logo"/>
    <w:qFormat/>
    <w:rsid w:val="0011705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11705B"/>
    <w:pPr>
      <w:ind w:firstLine="0"/>
    </w:pPr>
  </w:style>
  <w:style w:type="paragraph" w:customStyle="1" w:styleId="MDPI31text">
    <w:name w:val="MDPI_3.1_text"/>
    <w:qFormat/>
    <w:rsid w:val="00085D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11705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11705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11705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11705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B014F"/>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B014F"/>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11705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11705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11705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11705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11705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11705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11705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11705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11705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11705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11705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23AA2"/>
    <w:pPr>
      <w:numPr>
        <w:numId w:val="24"/>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11705B"/>
    <w:rPr>
      <w:rFonts w:cs="Tahoma"/>
      <w:szCs w:val="18"/>
    </w:rPr>
  </w:style>
  <w:style w:type="character" w:customStyle="1" w:styleId="a8">
    <w:name w:val="טקסט בלונים תו"/>
    <w:link w:val="a7"/>
    <w:uiPriority w:val="99"/>
    <w:rsid w:val="0011705B"/>
    <w:rPr>
      <w:rFonts w:ascii="Palatino Linotype" w:hAnsi="Palatino Linotype" w:cs="Tahoma"/>
      <w:noProof/>
      <w:color w:val="000000"/>
      <w:szCs w:val="18"/>
    </w:rPr>
  </w:style>
  <w:style w:type="character" w:styleId="a9">
    <w:name w:val="line number"/>
    <w:uiPriority w:val="99"/>
    <w:rsid w:val="00BE7CE8"/>
    <w:rPr>
      <w:rFonts w:ascii="Palatino Linotype" w:hAnsi="Palatino Linotype"/>
      <w:sz w:val="16"/>
    </w:rPr>
  </w:style>
  <w:style w:type="table" w:customStyle="1" w:styleId="MDPI41threelinetable">
    <w:name w:val="MDPI_4.1_three_line_table"/>
    <w:basedOn w:val="a1"/>
    <w:uiPriority w:val="99"/>
    <w:rsid w:val="0011705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1705B"/>
    <w:rPr>
      <w:color w:val="0000FF"/>
      <w:u w:val="single"/>
    </w:rPr>
  </w:style>
  <w:style w:type="character" w:styleId="aa">
    <w:name w:val="Unresolved Mention"/>
    <w:uiPriority w:val="99"/>
    <w:semiHidden/>
    <w:unhideWhenUsed/>
    <w:rsid w:val="00FE0278"/>
    <w:rPr>
      <w:color w:val="605E5C"/>
      <w:shd w:val="clear" w:color="auto" w:fill="E1DFDD"/>
    </w:rPr>
  </w:style>
  <w:style w:type="table" w:styleId="ab">
    <w:name w:val="Table Grid"/>
    <w:basedOn w:val="a1"/>
    <w:uiPriority w:val="59"/>
    <w:rsid w:val="0011705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11705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11705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11705B"/>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F198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11705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11705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11705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1705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11705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11705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11705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11705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11705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11705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11705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11705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11705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11705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11705B"/>
  </w:style>
  <w:style w:type="paragraph" w:styleId="ac">
    <w:name w:val="Bibliography"/>
    <w:basedOn w:val="a"/>
    <w:next w:val="a"/>
    <w:uiPriority w:val="37"/>
    <w:semiHidden/>
    <w:unhideWhenUsed/>
    <w:rsid w:val="0011705B"/>
  </w:style>
  <w:style w:type="paragraph" w:styleId="ad">
    <w:name w:val="Body Text"/>
    <w:link w:val="ae"/>
    <w:rsid w:val="0011705B"/>
    <w:pPr>
      <w:spacing w:after="120" w:line="340" w:lineRule="atLeast"/>
      <w:jc w:val="both"/>
    </w:pPr>
    <w:rPr>
      <w:rFonts w:ascii="Palatino Linotype" w:hAnsi="Palatino Linotype"/>
      <w:color w:val="000000"/>
      <w:sz w:val="24"/>
      <w:lang w:eastAsia="de-DE"/>
    </w:rPr>
  </w:style>
  <w:style w:type="character" w:customStyle="1" w:styleId="ae">
    <w:name w:val="גוף טקסט תו"/>
    <w:link w:val="ad"/>
    <w:rsid w:val="0011705B"/>
    <w:rPr>
      <w:rFonts w:ascii="Palatino Linotype" w:hAnsi="Palatino Linotype"/>
      <w:color w:val="000000"/>
      <w:sz w:val="24"/>
      <w:lang w:eastAsia="de-DE"/>
    </w:rPr>
  </w:style>
  <w:style w:type="character" w:styleId="af">
    <w:name w:val="annotation reference"/>
    <w:uiPriority w:val="99"/>
    <w:rsid w:val="0011705B"/>
    <w:rPr>
      <w:sz w:val="21"/>
      <w:szCs w:val="21"/>
    </w:rPr>
  </w:style>
  <w:style w:type="paragraph" w:styleId="af0">
    <w:name w:val="annotation text"/>
    <w:basedOn w:val="a"/>
    <w:link w:val="af1"/>
    <w:uiPriority w:val="99"/>
    <w:rsid w:val="0011705B"/>
  </w:style>
  <w:style w:type="character" w:customStyle="1" w:styleId="af1">
    <w:name w:val="טקסט הערה תו"/>
    <w:link w:val="af0"/>
    <w:uiPriority w:val="99"/>
    <w:rsid w:val="0011705B"/>
    <w:rPr>
      <w:rFonts w:ascii="Palatino Linotype" w:hAnsi="Palatino Linotype"/>
      <w:noProof/>
      <w:color w:val="000000"/>
    </w:rPr>
  </w:style>
  <w:style w:type="paragraph" w:styleId="af2">
    <w:name w:val="annotation subject"/>
    <w:basedOn w:val="af0"/>
    <w:next w:val="af0"/>
    <w:link w:val="af3"/>
    <w:rsid w:val="0011705B"/>
    <w:rPr>
      <w:b/>
      <w:bCs/>
    </w:rPr>
  </w:style>
  <w:style w:type="character" w:customStyle="1" w:styleId="af3">
    <w:name w:val="נושא הערה תו"/>
    <w:link w:val="af2"/>
    <w:rsid w:val="0011705B"/>
    <w:rPr>
      <w:rFonts w:ascii="Palatino Linotype" w:hAnsi="Palatino Linotype"/>
      <w:b/>
      <w:bCs/>
      <w:noProof/>
      <w:color w:val="000000"/>
    </w:rPr>
  </w:style>
  <w:style w:type="character" w:styleId="af4">
    <w:name w:val="endnote reference"/>
    <w:rsid w:val="0011705B"/>
    <w:rPr>
      <w:vertAlign w:val="superscript"/>
    </w:rPr>
  </w:style>
  <w:style w:type="paragraph" w:styleId="af5">
    <w:name w:val="endnote text"/>
    <w:basedOn w:val="a"/>
    <w:link w:val="af6"/>
    <w:semiHidden/>
    <w:unhideWhenUsed/>
    <w:rsid w:val="0011705B"/>
    <w:pPr>
      <w:spacing w:line="240" w:lineRule="auto"/>
    </w:pPr>
  </w:style>
  <w:style w:type="character" w:customStyle="1" w:styleId="af6">
    <w:name w:val="טקסט הערת סיום תו"/>
    <w:link w:val="af5"/>
    <w:semiHidden/>
    <w:rsid w:val="0011705B"/>
    <w:rPr>
      <w:rFonts w:ascii="Palatino Linotype" w:hAnsi="Palatino Linotype"/>
      <w:noProof/>
      <w:color w:val="000000"/>
    </w:rPr>
  </w:style>
  <w:style w:type="character" w:styleId="FollowedHyperlink">
    <w:name w:val="FollowedHyperlink"/>
    <w:rsid w:val="0011705B"/>
    <w:rPr>
      <w:color w:val="954F72"/>
      <w:u w:val="single"/>
    </w:rPr>
  </w:style>
  <w:style w:type="paragraph" w:styleId="af7">
    <w:name w:val="footnote text"/>
    <w:basedOn w:val="a"/>
    <w:link w:val="af8"/>
    <w:semiHidden/>
    <w:unhideWhenUsed/>
    <w:rsid w:val="0011705B"/>
    <w:pPr>
      <w:spacing w:line="240" w:lineRule="auto"/>
    </w:pPr>
  </w:style>
  <w:style w:type="character" w:customStyle="1" w:styleId="af8">
    <w:name w:val="טקסט הערת שוליים תו"/>
    <w:link w:val="af7"/>
    <w:semiHidden/>
    <w:rsid w:val="0011705B"/>
    <w:rPr>
      <w:rFonts w:ascii="Palatino Linotype" w:hAnsi="Palatino Linotype"/>
      <w:noProof/>
      <w:color w:val="000000"/>
    </w:rPr>
  </w:style>
  <w:style w:type="paragraph" w:styleId="NormalWeb">
    <w:name w:val="Normal (Web)"/>
    <w:basedOn w:val="a"/>
    <w:uiPriority w:val="99"/>
    <w:rsid w:val="0011705B"/>
    <w:rPr>
      <w:szCs w:val="24"/>
    </w:rPr>
  </w:style>
  <w:style w:type="paragraph" w:customStyle="1" w:styleId="MsoFootnoteText0">
    <w:name w:val="MsoFootnoteText"/>
    <w:basedOn w:val="NormalWeb"/>
    <w:qFormat/>
    <w:rsid w:val="0011705B"/>
    <w:rPr>
      <w:rFonts w:ascii="Times New Roman" w:hAnsi="Times New Roman"/>
    </w:rPr>
  </w:style>
  <w:style w:type="character" w:styleId="af9">
    <w:name w:val="page number"/>
    <w:rsid w:val="0011705B"/>
  </w:style>
  <w:style w:type="character" w:styleId="afa">
    <w:name w:val="Placeholder Text"/>
    <w:uiPriority w:val="99"/>
    <w:semiHidden/>
    <w:rsid w:val="0011705B"/>
    <w:rPr>
      <w:color w:val="808080"/>
    </w:rPr>
  </w:style>
  <w:style w:type="paragraph" w:customStyle="1" w:styleId="MDPI71FootNotes">
    <w:name w:val="MDPI_7.1_FootNotes"/>
    <w:qFormat/>
    <w:rsid w:val="008F668E"/>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b">
    <w:name w:val="footnote reference"/>
    <w:basedOn w:val="a0"/>
    <w:semiHidden/>
    <w:rsid w:val="00DC7CDB"/>
    <w:rPr>
      <w:vertAlign w:val="superscript"/>
    </w:rPr>
  </w:style>
  <w:style w:type="paragraph" w:customStyle="1" w:styleId="Style1">
    <w:name w:val="Style1"/>
    <w:basedOn w:val="a"/>
    <w:link w:val="Style1Char"/>
    <w:qFormat/>
    <w:rsid w:val="00DC7CDB"/>
    <w:pPr>
      <w:spacing w:after="200" w:line="480" w:lineRule="auto"/>
      <w:jc w:val="left"/>
    </w:pPr>
    <w:rPr>
      <w:rFonts w:ascii="Times New Roman" w:eastAsia="Calibri" w:hAnsi="Times New Roman" w:cs="David"/>
      <w:noProof w:val="0"/>
      <w:color w:val="auto"/>
      <w:sz w:val="24"/>
      <w:szCs w:val="24"/>
      <w:lang w:eastAsia="en-US" w:bidi="he-IL"/>
    </w:rPr>
  </w:style>
  <w:style w:type="character" w:customStyle="1" w:styleId="Style1Char">
    <w:name w:val="Style1 Char"/>
    <w:basedOn w:val="a0"/>
    <w:link w:val="Style1"/>
    <w:rsid w:val="00DC7CDB"/>
    <w:rPr>
      <w:rFonts w:ascii="Times New Roman" w:eastAsia="Calibri" w:hAnsi="Times New Roman" w:cs="David"/>
      <w:sz w:val="24"/>
      <w:szCs w:val="24"/>
      <w:lang w:eastAsia="en-US" w:bidi="he-IL"/>
    </w:rPr>
  </w:style>
  <w:style w:type="paragraph" w:customStyle="1" w:styleId="blockquote">
    <w:name w:val="blockquote"/>
    <w:basedOn w:val="Style1"/>
    <w:link w:val="blockquoteChar"/>
    <w:qFormat/>
    <w:rsid w:val="00DC7CDB"/>
    <w:pPr>
      <w:ind w:left="720" w:right="1106"/>
      <w:jc w:val="both"/>
    </w:pPr>
  </w:style>
  <w:style w:type="character" w:customStyle="1" w:styleId="blockquoteChar">
    <w:name w:val="blockquote Char"/>
    <w:basedOn w:val="Style1Char"/>
    <w:link w:val="blockquote"/>
    <w:rsid w:val="00DC7CDB"/>
    <w:rPr>
      <w:rFonts w:ascii="Times New Roman" w:eastAsia="Calibri" w:hAnsi="Times New Roman" w:cs="David"/>
      <w:sz w:val="24"/>
      <w:szCs w:val="24"/>
      <w:lang w:eastAsia="en-US" w:bidi="he-IL"/>
    </w:rPr>
  </w:style>
  <w:style w:type="paragraph" w:styleId="afc">
    <w:name w:val="List Paragraph"/>
    <w:basedOn w:val="a"/>
    <w:uiPriority w:val="34"/>
    <w:qFormat/>
    <w:rsid w:val="00DC7CDB"/>
    <w:pPr>
      <w:ind w:left="720"/>
      <w:contextualSpacing/>
    </w:pPr>
  </w:style>
  <w:style w:type="paragraph" w:customStyle="1" w:styleId="Bibliography1">
    <w:name w:val="Bibliography1"/>
    <w:basedOn w:val="Style1"/>
    <w:link w:val="bibliographyChar"/>
    <w:qFormat/>
    <w:rsid w:val="00AC7729"/>
    <w:pPr>
      <w:ind w:left="720" w:hanging="720"/>
    </w:pPr>
  </w:style>
  <w:style w:type="character" w:customStyle="1" w:styleId="bibliographyChar">
    <w:name w:val="bibliography Char"/>
    <w:basedOn w:val="Style1Char"/>
    <w:link w:val="Bibliography1"/>
    <w:rsid w:val="00AC7729"/>
    <w:rPr>
      <w:rFonts w:ascii="Times New Roman" w:eastAsia="Calibri" w:hAnsi="Times New Roman" w:cs="David"/>
      <w:sz w:val="24"/>
      <w:szCs w:val="24"/>
      <w:lang w:eastAsia="en-US" w:bidi="he-IL"/>
    </w:rPr>
  </w:style>
  <w:style w:type="character" w:customStyle="1" w:styleId="Bibliography1Char">
    <w:name w:val="Bibliography1 Char"/>
    <w:basedOn w:val="a0"/>
    <w:rsid w:val="00AC7729"/>
    <w:rPr>
      <w:rFonts w:asciiTheme="majorBidi" w:hAnsiTheme="majorBidi" w:cstheme="majorBidi"/>
      <w:sz w:val="24"/>
      <w:szCs w:val="24"/>
      <w:lang w:val="fr-FR"/>
    </w:rPr>
  </w:style>
  <w:style w:type="paragraph" w:styleId="afd">
    <w:name w:val="Revision"/>
    <w:hidden/>
    <w:uiPriority w:val="99"/>
    <w:semiHidden/>
    <w:rsid w:val="000B4DC5"/>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8990">
      <w:bodyDiv w:val="1"/>
      <w:marLeft w:val="0"/>
      <w:marRight w:val="0"/>
      <w:marTop w:val="0"/>
      <w:marBottom w:val="0"/>
      <w:divBdr>
        <w:top w:val="none" w:sz="0" w:space="0" w:color="auto"/>
        <w:left w:val="none" w:sz="0" w:space="0" w:color="auto"/>
        <w:bottom w:val="none" w:sz="0" w:space="0" w:color="auto"/>
        <w:right w:val="none" w:sz="0" w:space="0" w:color="auto"/>
      </w:divBdr>
    </w:div>
    <w:div w:id="1564213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8052643" TargetMode="External"/><Relationship Id="rId13" Type="http://schemas.openxmlformats.org/officeDocument/2006/relationships/hyperlink" Target="https://www.sefaria.org/texts/Mishna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inan@yvc.ac.il" TargetMode="External"/><Relationship Id="rId12" Type="http://schemas.openxmlformats.org/officeDocument/2006/relationships/hyperlink" Target="https://www.sefaria.org/Sifra%2C_Braita_d'Rabbi_Yishm%20%20%20ael?lang=b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faria.org/Machz%20%20%20or_Yom_Kippur_Ashkenaz_Linear?lang=b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faria.org/texts/Talmud/Yerushalm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efaria.org/texts/Talmud/Bavli" TargetMode="External"/><Relationship Id="rId14" Type="http://schemas.openxmlformats.org/officeDocument/2006/relationships/hyperlink" Target="https://www.sefaria.org/Rashi_on_Leviticus?lang=b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8648</Words>
  <Characters>43244</Characters>
  <Application>Microsoft Office Word</Application>
  <DocSecurity>0</DocSecurity>
  <Lines>360</Lines>
  <Paragraphs>103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51789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Editor 3</dc:creator>
  <cp:keywords/>
  <dc:description/>
  <cp:lastModifiedBy>אורי נוף</cp:lastModifiedBy>
  <cp:revision>2</cp:revision>
  <dcterms:created xsi:type="dcterms:W3CDTF">2022-08-23T16:11:00Z</dcterms:created>
  <dcterms:modified xsi:type="dcterms:W3CDTF">2022-08-23T16:11:00Z</dcterms:modified>
</cp:coreProperties>
</file>