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39FC" w14:textId="5E3CAE8B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  <w:rtl/>
        </w:rPr>
        <w:t xml:space="preserve">פ' כהן וד' בנבנשתי, מורה דרך בארץ ישראל: למשוטט, למורה ולתיר, ירושלים, תרצ"ח. </w:t>
      </w:r>
    </w:p>
    <w:p w14:paraId="4C3AE29F" w14:textId="77777777" w:rsidR="00EE217A" w:rsidRDefault="00EE217A" w:rsidP="00EE217A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rtl/>
        </w:rPr>
      </w:pPr>
      <w:bookmarkStart w:id="0" w:name="_Hlk115418599"/>
    </w:p>
    <w:p w14:paraId="4E61B3E8" w14:textId="0FAF1EBD" w:rsidR="00EE217A" w:rsidRDefault="00EE217A" w:rsidP="00EE217A">
      <w:pPr>
        <w:pStyle w:val="NormalWeb"/>
        <w:bidi/>
        <w:spacing w:before="0" w:beforeAutospacing="0" w:after="0" w:afterAutospacing="0" w:line="360" w:lineRule="auto"/>
        <w:rPr>
          <w:rtl/>
          <w:lang w:bidi="he"/>
        </w:rPr>
      </w:pPr>
      <w:r w:rsidRPr="00CB361F">
        <w:rPr>
          <w:rFonts w:ascii="Arial" w:hAnsi="Arial" w:cs="Arial"/>
          <w:color w:val="000000"/>
          <w:sz w:val="20"/>
          <w:szCs w:val="20"/>
          <w:rtl/>
        </w:rPr>
        <w:t>מ' רינות, "החינוך בארץ ישראל, 1882–1918", מ' ליסק וג' כהן (עורכים), תולדות היישוב היהודי בארץ-ישראל מאז העלייה הראשונה: התקופה העות'מאנית, א', חלק ראשון</w:t>
      </w:r>
      <w:r w:rsidRPr="00CB361F">
        <w:rPr>
          <w:rFonts w:ascii="Arial" w:hAnsi="Arial" w:cs="Arial"/>
          <w:i/>
          <w:iCs/>
          <w:color w:val="000000"/>
          <w:sz w:val="20"/>
          <w:szCs w:val="20"/>
          <w:rtl/>
        </w:rPr>
        <w:t>, י</w:t>
      </w:r>
      <w:r w:rsidRPr="00CB361F">
        <w:rPr>
          <w:rFonts w:ascii="Arial" w:hAnsi="Arial" w:cs="Arial"/>
          <w:color w:val="000000"/>
          <w:sz w:val="20"/>
          <w:szCs w:val="20"/>
          <w:rtl/>
        </w:rPr>
        <w:t xml:space="preserve">רושלים: האקדמיה הלאומית הישראלית למדעים, </w:t>
      </w:r>
      <w:r w:rsidRPr="00CB361F">
        <w:rPr>
          <w:rFonts w:ascii="Arial" w:hAnsi="Arial" w:cs="Arial" w:hint="cs"/>
          <w:color w:val="000000"/>
          <w:sz w:val="20"/>
          <w:szCs w:val="20"/>
          <w:rtl/>
        </w:rPr>
        <w:t>1989</w:t>
      </w:r>
      <w:r w:rsidRPr="00CB361F"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bookmarkEnd w:id="0"/>
    </w:p>
    <w:p w14:paraId="25865469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148B6D48" w14:textId="7DCC668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  <w:r w:rsidRPr="0049034D">
        <w:rPr>
          <w:sz w:val="20"/>
          <w:szCs w:val="20"/>
          <w:rtl/>
        </w:rPr>
        <w:t>ט' תדמור-שמעוני, שיעור מולדת: חינוך לאומי וכינון מדינה 1954–1966, קריית שדה בוקר: מכון בן-גוריון לחקר ישראל והציונות - אוניברסיטת בן-גוריון בנגב, 2010</w:t>
      </w:r>
      <w:r w:rsidRPr="0049034D">
        <w:rPr>
          <w:rFonts w:hint="cs"/>
          <w:sz w:val="20"/>
          <w:szCs w:val="20"/>
          <w:rtl/>
        </w:rPr>
        <w:t xml:space="preserve">, </w:t>
      </w:r>
    </w:p>
    <w:p w14:paraId="0054340D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53B7EBE3" w14:textId="2D61144A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ח' בן-ישראל (עורכת), בשם האומה: מסות ומאמרים על לאומיות וציונות, באר שבע: הוצאת הספרים של אוניברסיטת בן-גוריון בנגב, 2004, </w:t>
      </w:r>
    </w:p>
    <w:p w14:paraId="556BCE1D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35E19BF6" w14:textId="395D900B" w:rsidR="00EE217A" w:rsidRP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>צ' לם, במערבולת האידיאולוגיות: יסודות החינוך במאה העשרים, ירושלים: מאגנס, 2002,</w:t>
      </w:r>
    </w:p>
    <w:p w14:paraId="586A1D95" w14:textId="77777777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</w:p>
    <w:p w14:paraId="491FA654" w14:textId="23CF07C7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  <w:r w:rsidRPr="00ED6765">
        <w:rPr>
          <w:sz w:val="20"/>
          <w:szCs w:val="20"/>
          <w:rtl/>
        </w:rPr>
        <w:t xml:space="preserve">י. זרובבל, א. וגולדשטיין (עורכים). תל חי, 2020-1920: בין היסטוריה לזיכרון. ירושלים: 2020, יד יצחק בן צבי; </w:t>
      </w:r>
    </w:p>
    <w:p w14:paraId="1480E3DB" w14:textId="77777777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</w:p>
    <w:p w14:paraId="650415E5" w14:textId="77777777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א"ד סמית, עמים נבחרים: מקורות מקודשים של זהות לאומית, תרגום: איה ברויאר, ירושלים: מוסד ביאליק, 2010, עמ' 164. </w:t>
      </w:r>
    </w:p>
    <w:p w14:paraId="7C7007BF" w14:textId="77777777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</w:p>
    <w:p w14:paraId="2B056F36" w14:textId="70E61229" w:rsidR="00EE217A" w:rsidRDefault="00EE217A" w:rsidP="00EE217A">
      <w:pPr>
        <w:autoSpaceDE w:val="0"/>
        <w:autoSpaceDN w:val="0"/>
        <w:bidi/>
        <w:adjustRightInd w:val="0"/>
        <w:spacing w:line="36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פ' נורה, "בין זיכרון להיסטוריה: על הבעיה של המקום", זמנים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  <w:rtl/>
        </w:rPr>
        <w:t>45 (1993)</w:t>
      </w:r>
    </w:p>
    <w:p w14:paraId="2E804CC7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35783147" w14:textId="45823035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>א' פראוור, "דרכו של הטיול לידיעת הארץ תרמ"ח–תרע"ח: ראשיתו של הטיול החינוכי בארץ ישראל על-רקע התפישות החינוכיות של בתי הספר הראשונים" (חיבור לשם קבלת התואר מוסמך אוניברסיטה, האוניברסיטה העברית, ירושלים, 1992).</w:t>
      </w:r>
    </w:p>
    <w:p w14:paraId="4BFB12EC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1E26A08E" w14:textId="3BF548EA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  <w:r>
        <w:rPr>
          <w:sz w:val="20"/>
          <w:szCs w:val="20"/>
          <w:rtl/>
        </w:rPr>
        <w:t>ע' אבישר, "תוכניות ידיעת הארץ, הסיור ותיירות השורשים מ</w:t>
      </w:r>
      <w:r>
        <w:rPr>
          <w:rFonts w:hint="cs"/>
          <w:sz w:val="20"/>
          <w:szCs w:val="20"/>
          <w:rtl/>
        </w:rPr>
        <w:t>1948</w:t>
      </w:r>
      <w:r>
        <w:rPr>
          <w:sz w:val="20"/>
          <w:szCs w:val="20"/>
          <w:rtl/>
        </w:rPr>
        <w:t xml:space="preserve">ועד </w:t>
      </w:r>
      <w:r>
        <w:rPr>
          <w:rFonts w:hint="cs"/>
          <w:sz w:val="20"/>
          <w:szCs w:val="20"/>
          <w:rtl/>
        </w:rPr>
        <w:t>1988</w:t>
      </w:r>
      <w:r>
        <w:rPr>
          <w:sz w:val="20"/>
          <w:szCs w:val="20"/>
          <w:rtl/>
        </w:rPr>
        <w:t>בחינוך הלאומי ציוני" (חיבור לשם קבלת התואר דוקטור לפילוסופיה, אוניברסיטת בר-אילן, רמת גן 2000).</w:t>
      </w:r>
      <w:r>
        <w:rPr>
          <w:rFonts w:hint="cs"/>
          <w:sz w:val="20"/>
          <w:szCs w:val="20"/>
          <w:rtl/>
        </w:rPr>
        <w:t xml:space="preserve"> </w:t>
      </w:r>
    </w:p>
    <w:p w14:paraId="160DF825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41C389F6" w14:textId="7A11C05F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>אלמוג,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  <w:rtl/>
        </w:rPr>
        <w:t>הצבר: דיוקן</w:t>
      </w:r>
      <w:r>
        <w:rPr>
          <w:sz w:val="20"/>
          <w:szCs w:val="20"/>
          <w:rtl/>
        </w:rPr>
        <w:t>, עמ' 265</w:t>
      </w:r>
      <w:r>
        <w:rPr>
          <w:color w:val="FF0000"/>
          <w:sz w:val="20"/>
          <w:szCs w:val="20"/>
        </w:rPr>
        <w:t>.</w:t>
      </w:r>
    </w:p>
    <w:p w14:paraId="532A97F8" w14:textId="77777777" w:rsidR="00EE217A" w:rsidRDefault="00EE217A" w:rsidP="00EE217A">
      <w:pPr>
        <w:bidi/>
        <w:spacing w:line="360" w:lineRule="auto"/>
        <w:rPr>
          <w:sz w:val="20"/>
          <w:szCs w:val="20"/>
          <w:rtl/>
        </w:rPr>
      </w:pPr>
    </w:p>
    <w:p w14:paraId="05906954" w14:textId="30F57231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>א' שפירא, חרב היונה: הציונות והכוח 1881–1948</w:t>
      </w:r>
      <w:r>
        <w:rPr>
          <w:i/>
          <w:sz w:val="20"/>
          <w:szCs w:val="20"/>
        </w:rPr>
        <w:t>,</w:t>
      </w:r>
      <w:r>
        <w:rPr>
          <w:sz w:val="20"/>
          <w:szCs w:val="20"/>
          <w:rtl/>
        </w:rPr>
        <w:t xml:space="preserve"> תל אביב: עם עובד, 1992, עמ' 352.</w:t>
      </w:r>
    </w:p>
    <w:p w14:paraId="4F128FFF" w14:textId="77777777" w:rsidR="00EE217A" w:rsidRDefault="00EE217A" w:rsidP="00EE217A">
      <w:pPr>
        <w:pStyle w:val="a3"/>
        <w:bidi/>
        <w:spacing w:line="360" w:lineRule="auto"/>
        <w:rPr>
          <w:rtl/>
          <w:lang w:bidi="he"/>
        </w:rPr>
      </w:pPr>
    </w:p>
    <w:p w14:paraId="4C5DC275" w14:textId="2414DA97" w:rsidR="00EE217A" w:rsidRDefault="00EE217A" w:rsidP="00EE217A">
      <w:pPr>
        <w:pStyle w:val="a3"/>
        <w:bidi/>
        <w:spacing w:line="360" w:lineRule="auto"/>
        <w:rPr>
          <w:rtl/>
          <w:lang w:bidi="he"/>
        </w:rPr>
      </w:pPr>
      <w:r>
        <w:rPr>
          <w:rFonts w:hint="cs"/>
          <w:rtl/>
          <w:lang w:bidi="he"/>
        </w:rPr>
        <w:t>ע' קדרי, עד שיבוא אליהו, דמותו של אליהו הנביא בספרות התנאים, האוניברסיטה העברית ירושלים,2021</w:t>
      </w:r>
    </w:p>
    <w:p w14:paraId="0C732283" w14:textId="77777777" w:rsidR="00EE217A" w:rsidRDefault="00EE217A" w:rsidP="00EE217A">
      <w:pPr>
        <w:pStyle w:val="a3"/>
        <w:bidi/>
        <w:spacing w:line="360" w:lineRule="auto"/>
        <w:rPr>
          <w:rtl/>
          <w:lang w:bidi="he"/>
        </w:rPr>
      </w:pPr>
    </w:p>
    <w:p w14:paraId="600F07FB" w14:textId="162B0BDF" w:rsidR="00EE217A" w:rsidRDefault="00EE217A" w:rsidP="00EE217A">
      <w:pPr>
        <w:pStyle w:val="a3"/>
        <w:bidi/>
        <w:spacing w:line="360" w:lineRule="auto"/>
        <w:rPr>
          <w:rtl/>
        </w:rPr>
      </w:pPr>
      <w:r>
        <w:rPr>
          <w:rFonts w:hint="cs"/>
          <w:rtl/>
          <w:lang w:bidi="he"/>
        </w:rPr>
        <w:t>א</w:t>
      </w:r>
      <w:r>
        <w:rPr>
          <w:rFonts w:hint="cs"/>
          <w:rtl/>
          <w:lang w:bidi="he"/>
        </w:rPr>
        <w:t xml:space="preserve">' זלצר (עורך) עמק יזרעאל וכל נתיבותיו, ירושלים: יד יצחק בן צבי, 2007, עמ' 70-59.  </w:t>
      </w:r>
      <w:r>
        <w:t xml:space="preserve"> </w:t>
      </w:r>
    </w:p>
    <w:p w14:paraId="66ACB3B1" w14:textId="77777777" w:rsidR="00EE217A" w:rsidRDefault="00EE217A" w:rsidP="00EE217A">
      <w:pPr>
        <w:bidi/>
        <w:spacing w:after="60" w:line="360" w:lineRule="auto"/>
        <w:rPr>
          <w:sz w:val="20"/>
          <w:szCs w:val="20"/>
          <w:rtl/>
        </w:rPr>
      </w:pPr>
    </w:p>
    <w:p w14:paraId="3BB201B9" w14:textId="37FFAD6B" w:rsidR="00EE217A" w:rsidRDefault="00EE217A" w:rsidP="00EE217A">
      <w:pPr>
        <w:bidi/>
        <w:spacing w:after="60" w:line="36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א' מירון (עורך), </w:t>
      </w:r>
      <w:r>
        <w:rPr>
          <w:b/>
          <w:sz w:val="20"/>
          <w:szCs w:val="20"/>
          <w:rtl/>
        </w:rPr>
        <w:t>הכנרת וכל נתיבותיה: לסייר עם יד בן-צבי</w:t>
      </w:r>
      <w:r>
        <w:rPr>
          <w:sz w:val="20"/>
          <w:szCs w:val="20"/>
          <w:rtl/>
        </w:rPr>
        <w:t xml:space="preserve">, ירושלים: יד יצחק בן-צבי, </w:t>
      </w:r>
      <w:r>
        <w:rPr>
          <w:rFonts w:hint="cs"/>
          <w:sz w:val="20"/>
          <w:szCs w:val="20"/>
          <w:rtl/>
        </w:rPr>
        <w:t>2010</w:t>
      </w:r>
      <w:r>
        <w:rPr>
          <w:sz w:val="20"/>
          <w:szCs w:val="20"/>
          <w:rtl/>
        </w:rPr>
        <w:t xml:space="preserve">, </w:t>
      </w:r>
    </w:p>
    <w:p w14:paraId="7D650A78" w14:textId="77777777" w:rsidR="00EE217A" w:rsidRDefault="00EE217A" w:rsidP="00EE217A">
      <w:pPr>
        <w:bidi/>
        <w:spacing w:after="60" w:line="360" w:lineRule="auto"/>
        <w:rPr>
          <w:sz w:val="20"/>
          <w:szCs w:val="20"/>
          <w:rtl/>
        </w:rPr>
      </w:pPr>
    </w:p>
    <w:p w14:paraId="36F8F25F" w14:textId="0A7674A1" w:rsidR="00EE217A" w:rsidRDefault="00EE217A" w:rsidP="00EE217A">
      <w:pPr>
        <w:bidi/>
        <w:spacing w:after="60" w:line="360" w:lineRule="auto"/>
        <w:rPr>
          <w:color w:val="222222"/>
          <w:sz w:val="20"/>
          <w:szCs w:val="20"/>
        </w:rPr>
      </w:pPr>
      <w:r>
        <w:rPr>
          <w:sz w:val="20"/>
          <w:szCs w:val="20"/>
          <w:rtl/>
        </w:rPr>
        <w:t xml:space="preserve">א' דוידסון (עורך), </w:t>
      </w:r>
      <w:r>
        <w:rPr>
          <w:b/>
          <w:sz w:val="20"/>
          <w:szCs w:val="20"/>
          <w:rtl/>
        </w:rPr>
        <w:t>לסייר עם המקורות בנתיבות השפלה והרי יהודה</w:t>
      </w:r>
      <w:r>
        <w:rPr>
          <w:sz w:val="20"/>
          <w:szCs w:val="20"/>
          <w:rtl/>
        </w:rPr>
        <w:t xml:space="preserve">, ירושלים: יד יצחק בן-צבי, </w:t>
      </w:r>
      <w:r>
        <w:rPr>
          <w:rFonts w:hint="cs"/>
          <w:sz w:val="20"/>
          <w:szCs w:val="20"/>
          <w:rtl/>
        </w:rPr>
        <w:t xml:space="preserve">2007, </w:t>
      </w:r>
      <w:r>
        <w:rPr>
          <w:sz w:val="20"/>
          <w:szCs w:val="20"/>
          <w:rtl/>
        </w:rPr>
        <w:t>.</w:t>
      </w:r>
    </w:p>
    <w:p w14:paraId="0AA7FA17" w14:textId="284F9076" w:rsidR="00EE217A" w:rsidRDefault="00EE217A" w:rsidP="00EE217A">
      <w:pPr>
        <w:bidi/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  <w:rtl/>
        </w:rPr>
        <w:lastRenderedPageBreak/>
        <w:t>ר. קנטור,</w:t>
      </w:r>
      <w:r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 xml:space="preserve">תרבות חזותית </w:t>
      </w:r>
      <w:r>
        <w:rPr>
          <w:rFonts w:hint="cs"/>
          <w:sz w:val="20"/>
          <w:szCs w:val="20"/>
          <w:rtl/>
        </w:rPr>
        <w:t>מיליטריסטי</w:t>
      </w:r>
      <w:r>
        <w:rPr>
          <w:rFonts w:hint="eastAsia"/>
          <w:sz w:val="20"/>
          <w:szCs w:val="20"/>
          <w:rtl/>
        </w:rPr>
        <w:t>ת</w:t>
      </w:r>
      <w:r>
        <w:rPr>
          <w:sz w:val="20"/>
          <w:szCs w:val="20"/>
          <w:rtl/>
        </w:rPr>
        <w:t xml:space="preserve">, בתוך: מיליטריזם בחינוך, חגית גור (עורכת), תל-אביב 2005, </w:t>
      </w:r>
    </w:p>
    <w:p w14:paraId="1A2E3A22" w14:textId="77777777" w:rsidR="00D15DFA" w:rsidRDefault="00D15DFA" w:rsidP="00EE217A">
      <w:pPr>
        <w:pBdr>
          <w:top w:val="nil"/>
          <w:left w:val="nil"/>
          <w:bottom w:val="nil"/>
          <w:right w:val="nil"/>
          <w:between w:val="nil"/>
        </w:pBdr>
        <w:bidi/>
        <w:spacing w:after="60" w:line="360" w:lineRule="auto"/>
        <w:rPr>
          <w:color w:val="000000"/>
          <w:sz w:val="20"/>
          <w:szCs w:val="20"/>
          <w:rtl/>
        </w:rPr>
      </w:pPr>
    </w:p>
    <w:p w14:paraId="3AA1D336" w14:textId="12F69E93" w:rsidR="00EE217A" w:rsidRDefault="00EE217A" w:rsidP="00D15DFA">
      <w:pPr>
        <w:pBdr>
          <w:top w:val="nil"/>
          <w:left w:val="nil"/>
          <w:bottom w:val="nil"/>
          <w:right w:val="nil"/>
          <w:between w:val="nil"/>
        </w:pBdr>
        <w:bidi/>
        <w:spacing w:after="60" w:line="360" w:lineRule="auto"/>
        <w:rPr>
          <w:sz w:val="20"/>
          <w:szCs w:val="20"/>
          <w:rtl/>
        </w:rPr>
      </w:pPr>
      <w:r>
        <w:rPr>
          <w:color w:val="000000"/>
          <w:sz w:val="20"/>
          <w:szCs w:val="20"/>
          <w:rtl/>
        </w:rPr>
        <w:t>שמיר, אנדרטאות בישראל.</w:t>
      </w:r>
      <w:r>
        <w:rPr>
          <w:rFonts w:hint="cs"/>
          <w:color w:val="000000"/>
          <w:sz w:val="20"/>
          <w:szCs w:val="20"/>
          <w:rtl/>
        </w:rPr>
        <w:t xml:space="preserve"> </w:t>
      </w:r>
    </w:p>
    <w:p w14:paraId="6F0AA887" w14:textId="77777777" w:rsidR="00D15DFA" w:rsidRDefault="00D15DFA" w:rsidP="00EE217A">
      <w:pPr>
        <w:bidi/>
        <w:spacing w:after="120" w:line="360" w:lineRule="auto"/>
        <w:rPr>
          <w:sz w:val="20"/>
          <w:szCs w:val="20"/>
          <w:rtl/>
        </w:rPr>
      </w:pPr>
    </w:p>
    <w:p w14:paraId="6C5B9272" w14:textId="454B2657" w:rsidR="00EE217A" w:rsidRDefault="00EE217A" w:rsidP="00D15DFA">
      <w:pPr>
        <w:bidi/>
        <w:spacing w:after="120" w:line="360" w:lineRule="auto"/>
        <w:rPr>
          <w:sz w:val="20"/>
          <w:szCs w:val="20"/>
          <w:rtl/>
        </w:rPr>
      </w:pPr>
      <w:r w:rsidRPr="00DA461C">
        <w:rPr>
          <w:rFonts w:hint="cs"/>
          <w:sz w:val="20"/>
          <w:szCs w:val="20"/>
          <w:rtl/>
        </w:rPr>
        <w:t xml:space="preserve">מ' פייגה, האנדרטה לאסון המסוקים ופרדוקס הפרטת ההנצחה של חללי הלאום, </w:t>
      </w:r>
      <w:r w:rsidRPr="00DA461C">
        <w:rPr>
          <w:rFonts w:hint="cs"/>
          <w:b/>
          <w:sz w:val="20"/>
          <w:szCs w:val="20"/>
          <w:rtl/>
        </w:rPr>
        <w:t>עיונים בתקומת ישראל</w:t>
      </w:r>
      <w:r w:rsidRPr="00DA461C">
        <w:rPr>
          <w:rFonts w:hint="cs"/>
          <w:sz w:val="20"/>
          <w:szCs w:val="20"/>
          <w:rtl/>
        </w:rPr>
        <w:t>, כרך 20 (2010)</w:t>
      </w:r>
    </w:p>
    <w:p w14:paraId="0585D885" w14:textId="38C7C6C4" w:rsidR="00EE217A" w:rsidRDefault="00EE217A" w:rsidP="00EE217A">
      <w:pPr>
        <w:bidi/>
        <w:spacing w:after="120" w:line="360" w:lineRule="auto"/>
        <w:rPr>
          <w:color w:val="222222"/>
          <w:sz w:val="20"/>
          <w:szCs w:val="20"/>
          <w:highlight w:val="white"/>
          <w:rtl/>
        </w:rPr>
      </w:pPr>
      <w:r>
        <w:rPr>
          <w:sz w:val="20"/>
          <w:szCs w:val="20"/>
          <w:rtl/>
        </w:rPr>
        <w:t xml:space="preserve">ג. יאיר, </w:t>
      </w:r>
      <w:r>
        <w:rPr>
          <w:i/>
          <w:sz w:val="20"/>
          <w:szCs w:val="20"/>
          <w:rtl/>
        </w:rPr>
        <w:t>מסע ישראלי חוויות: מפתחות לפדגוגיה ישראלית ולחינוך הערכי בישראל</w:t>
      </w:r>
      <w:r>
        <w:rPr>
          <w:b/>
          <w:i/>
          <w:sz w:val="20"/>
          <w:szCs w:val="20"/>
        </w:rPr>
        <w:t>,</w:t>
      </w:r>
      <w:r>
        <w:rPr>
          <w:sz w:val="20"/>
          <w:szCs w:val="20"/>
          <w:rtl/>
        </w:rPr>
        <w:t xml:space="preserve"> ראשון לציון, 2017, </w:t>
      </w:r>
    </w:p>
    <w:p w14:paraId="6AA28849" w14:textId="63212CE2" w:rsidR="00EE217A" w:rsidRDefault="00EE217A" w:rsidP="00EE217A">
      <w:pPr>
        <w:bidi/>
        <w:spacing w:after="120" w:line="360" w:lineRule="auto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  <w:rtl/>
        </w:rPr>
        <w:t xml:space="preserve">גרטל, דרך הטבע, </w:t>
      </w:r>
    </w:p>
    <w:p w14:paraId="792201C5" w14:textId="165896FC" w:rsidR="00EE217A" w:rsidRDefault="00EE217A" w:rsidP="00EE217A">
      <w:pPr>
        <w:bidi/>
        <w:spacing w:line="360" w:lineRule="auto"/>
        <w:rPr>
          <w:sz w:val="20"/>
          <w:szCs w:val="20"/>
        </w:rPr>
      </w:pPr>
      <w:r>
        <w:rPr>
          <w:sz w:val="20"/>
          <w:szCs w:val="20"/>
          <w:rtl/>
        </w:rPr>
        <w:t xml:space="preserve">מ' רוזמרין, "פמיניזם, פוסט-מודרניזם וחינוך", </w:t>
      </w:r>
      <w:r>
        <w:rPr>
          <w:i/>
          <w:sz w:val="20"/>
          <w:szCs w:val="20"/>
          <w:rtl/>
        </w:rPr>
        <w:t>הד החינו</w:t>
      </w:r>
      <w:r>
        <w:rPr>
          <w:b/>
          <w:i/>
          <w:sz w:val="20"/>
          <w:szCs w:val="20"/>
          <w:rtl/>
        </w:rPr>
        <w:t>ך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  <w:rtl/>
        </w:rPr>
        <w:t xml:space="preserve">פ"ב (6) (2008), </w:t>
      </w:r>
    </w:p>
    <w:p w14:paraId="75529C00" w14:textId="77777777" w:rsidR="00D80363" w:rsidRPr="00EE217A" w:rsidRDefault="00D80363" w:rsidP="00EE217A">
      <w:pPr>
        <w:spacing w:line="360" w:lineRule="auto"/>
        <w:rPr>
          <w:lang w:val="en-US"/>
        </w:rPr>
      </w:pPr>
    </w:p>
    <w:sectPr w:rsidR="00D80363" w:rsidRPr="00EE217A" w:rsidSect="005258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7A"/>
    <w:rsid w:val="00525820"/>
    <w:rsid w:val="00D15DFA"/>
    <w:rsid w:val="00D80363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D861"/>
  <w15:chartTrackingRefBased/>
  <w15:docId w15:val="{8CAED923-BC2A-41E4-ADD4-AC6B8174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7A"/>
    <w:pPr>
      <w:spacing w:after="0" w:line="276" w:lineRule="auto"/>
    </w:pPr>
    <w:rPr>
      <w:rFonts w:ascii="Arial" w:eastAsia="Arial" w:hAnsi="Arial" w:cs="Arial"/>
      <w:lang w:val="h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E217A"/>
    <w:rPr>
      <w:color w:val="0000FF"/>
      <w:u w:val="single"/>
    </w:rPr>
  </w:style>
  <w:style w:type="paragraph" w:styleId="a3">
    <w:name w:val="footnote text"/>
    <w:basedOn w:val="a"/>
    <w:link w:val="a4"/>
    <w:uiPriority w:val="99"/>
    <w:unhideWhenUsed/>
    <w:rsid w:val="00EE217A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EE217A"/>
    <w:rPr>
      <w:rFonts w:ascii="Arial" w:eastAsia="Arial" w:hAnsi="Arial" w:cs="Arial"/>
      <w:sz w:val="20"/>
      <w:szCs w:val="20"/>
      <w:lang w:val="he"/>
    </w:rPr>
  </w:style>
  <w:style w:type="character" w:styleId="a5">
    <w:name w:val="footnote reference"/>
    <w:basedOn w:val="a0"/>
    <w:uiPriority w:val="99"/>
    <w:semiHidden/>
    <w:unhideWhenUsed/>
    <w:rsid w:val="00EE217A"/>
    <w:rPr>
      <w:vertAlign w:val="superscript"/>
    </w:rPr>
  </w:style>
  <w:style w:type="paragraph" w:styleId="NormalWeb">
    <w:name w:val="Normal (Web)"/>
    <w:basedOn w:val="a"/>
    <w:uiPriority w:val="99"/>
    <w:unhideWhenUsed/>
    <w:rsid w:val="00EE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Cohen-hattab</dc:creator>
  <cp:keywords/>
  <dc:description/>
  <cp:lastModifiedBy>Kobi Cohen-hattab</cp:lastModifiedBy>
  <cp:revision>2</cp:revision>
  <dcterms:created xsi:type="dcterms:W3CDTF">2022-09-30T05:43:00Z</dcterms:created>
  <dcterms:modified xsi:type="dcterms:W3CDTF">2022-09-30T05:54:00Z</dcterms:modified>
</cp:coreProperties>
</file>