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6500" w14:textId="40D1B6DA" w:rsidR="000656F1" w:rsidRDefault="000656F1" w:rsidP="00E94C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EMERGENCY:</w:t>
      </w:r>
    </w:p>
    <w:p w14:paraId="29568944" w14:textId="5585600D" w:rsidR="000656F1" w:rsidRDefault="000656F1" w:rsidP="00E94C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LITERATURE</w:t>
      </w:r>
    </w:p>
    <w:p w14:paraId="77DCCE7D" w14:textId="2F6D37B3" w:rsidR="000656F1" w:rsidRDefault="000656F1" w:rsidP="00E94C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1990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5B90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6CEA9AFA" w14:textId="77777777" w:rsidR="000656F1" w:rsidRPr="008711B2" w:rsidRDefault="000656F1" w:rsidP="000656F1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48558A" w14:textId="2499A162" w:rsidR="000656F1" w:rsidRPr="008711B2" w:rsidRDefault="000656F1" w:rsidP="000656F1">
      <w:pPr>
        <w:spacing w:line="48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Kathlyn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E</w:t>
      </w:r>
      <w:r w:rsidR="00F27A5C">
        <w:rPr>
          <w:rFonts w:ascii="Times New Roman" w:eastAsia="Times New Roman" w:hAnsi="Times New Roman" w:cs="Times New Roman"/>
          <w:b/>
          <w:smallCaps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Elliott,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Katie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64658F">
        <w:rPr>
          <w:rFonts w:ascii="Times New Roman" w:eastAsia="Times New Roman" w:hAnsi="Times New Roman" w:cs="Times New Roman"/>
          <w:b/>
          <w:smallCaps/>
          <w:sz w:val="24"/>
          <w:szCs w:val="24"/>
        </w:rPr>
        <w:t>A.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Mathew,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Yiyun</w:t>
      </w:r>
      <w:proofErr w:type="spellEnd"/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Fan,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David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8711B2">
        <w:rPr>
          <w:rFonts w:ascii="Times New Roman" w:eastAsia="Times New Roman" w:hAnsi="Times New Roman" w:cs="Times New Roman"/>
          <w:b/>
          <w:smallCaps/>
          <w:sz w:val="24"/>
          <w:szCs w:val="24"/>
        </w:rPr>
        <w:t>Mattson</w:t>
      </w:r>
    </w:p>
    <w:p w14:paraId="758F70BF" w14:textId="77777777" w:rsidR="00842627" w:rsidRPr="00842627" w:rsidRDefault="00842627" w:rsidP="0084262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DDC806" w14:textId="0A65919A" w:rsidR="00842627" w:rsidRPr="008C3107" w:rsidRDefault="00842627" w:rsidP="0084262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1E4F8013" w14:textId="77777777" w:rsidR="00842627" w:rsidRDefault="00842627" w:rsidP="0084262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1270D" w14:textId="55E96300" w:rsidR="00842627" w:rsidRDefault="00842627" w:rsidP="0084262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empirical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primarily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reporting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Ebola,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HIV/AIDS,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efficacy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C0A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worldwide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crisis.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Torraco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conceptualize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analyzes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07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empirical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practitioner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Ebola,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widespread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illnesses.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high-level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themes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emerged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foundational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context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support;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equitable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age;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social-emotional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students;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adapting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pedagogy;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teachers;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shift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D7">
        <w:rPr>
          <w:rFonts w:ascii="Times New Roman" w:eastAsia="Times New Roman" w:hAnsi="Times New Roman" w:cs="Times New Roman"/>
          <w:sz w:val="24"/>
          <w:szCs w:val="24"/>
        </w:rPr>
        <w:t>education.</w:t>
      </w:r>
    </w:p>
    <w:p w14:paraId="407408DF" w14:textId="77777777" w:rsidR="00842627" w:rsidRDefault="00842627" w:rsidP="0084262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91147" w14:textId="77777777" w:rsidR="00300C0A" w:rsidRDefault="00300C0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81626" w14:textId="5F9966C9" w:rsidR="008F49C0" w:rsidRDefault="000656F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INTRODUCTION</w:t>
      </w:r>
    </w:p>
    <w:p w14:paraId="3F106F29" w14:textId="77777777" w:rsidR="000656F1" w:rsidRDefault="000656F1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69110" w14:textId="6C6922C3" w:rsidR="008F49C0" w:rsidRDefault="0046624C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disrupt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0677">
        <w:rPr>
          <w:rFonts w:ascii="Times New Roman" w:eastAsia="Times New Roman" w:hAnsi="Times New Roman" w:cs="Times New Roman"/>
          <w:sz w:val="24"/>
          <w:szCs w:val="24"/>
        </w:rPr>
        <w:t>globewide</w:t>
      </w:r>
      <w:proofErr w:type="spellEnd"/>
      <w:r w:rsidR="00EB61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countries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accustomed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delivering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(Hodges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Consequently,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worldwide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exploded,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749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9F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9F8">
        <w:rPr>
          <w:rFonts w:ascii="Times New Roman" w:eastAsia="Times New Roman" w:hAnsi="Times New Roman" w:cs="Times New Roman"/>
          <w:sz w:val="24"/>
          <w:szCs w:val="24"/>
        </w:rPr>
        <w:t>find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alternative</w:t>
      </w:r>
      <w:r w:rsidR="0064276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face-to-face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6F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5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mitigate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49F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C058B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isolated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15C">
        <w:rPr>
          <w:rFonts w:ascii="Times New Roman" w:eastAsia="Times New Roman" w:hAnsi="Times New Roman" w:cs="Times New Roman"/>
          <w:sz w:val="24"/>
          <w:szCs w:val="24"/>
        </w:rPr>
        <w:t>localized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15C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broad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A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677" w:rsidRPr="00D750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0677">
        <w:rPr>
          <w:rFonts w:ascii="Times New Roman" w:eastAsia="Times New Roman" w:hAnsi="Times New Roman" w:cs="Times New Roman"/>
          <w:sz w:val="24"/>
          <w:szCs w:val="24"/>
        </w:rPr>
        <w:t>chieved</w:t>
      </w:r>
      <w:r w:rsidR="00E8749F" w:rsidRPr="00D750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49F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effectively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 w:rsidRPr="002A1132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5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5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5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5">
        <w:rPr>
          <w:rFonts w:ascii="Times New Roman" w:eastAsia="Times New Roman" w:hAnsi="Times New Roman" w:cs="Times New Roman"/>
          <w:sz w:val="24"/>
          <w:szCs w:val="24"/>
        </w:rPr>
        <w:t>learned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132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132" w:rsidRPr="00305690">
        <w:rPr>
          <w:rFonts w:ascii="Times New Roman" w:eastAsia="Times New Roman" w:hAnsi="Times New Roman" w:cs="Times New Roman"/>
          <w:sz w:val="24"/>
          <w:szCs w:val="24"/>
        </w:rPr>
        <w:t>written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5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9A8">
        <w:rPr>
          <w:rFonts w:ascii="Times New Roman" w:eastAsia="Times New Roman" w:hAnsi="Times New Roman" w:cs="Times New Roman"/>
          <w:sz w:val="24"/>
          <w:szCs w:val="24"/>
        </w:rPr>
        <w:t>historic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pandemic.</w:t>
      </w:r>
      <w:r w:rsidR="003F4588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37E3CE" w14:textId="77777777" w:rsidR="008F49C0" w:rsidRDefault="008F49C0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36319" w14:textId="01196822" w:rsidR="00A44662" w:rsidRDefault="008629A8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outbreak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geographic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outbreak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(CDC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8F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771F7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1990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epidemics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world.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sudden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acute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respiratory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syndrome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(SARS)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4C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4C8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463">
        <w:rPr>
          <w:rFonts w:ascii="Times New Roman" w:eastAsia="Times New Roman" w:hAnsi="Times New Roman" w:cs="Times New Roman"/>
          <w:sz w:val="24"/>
          <w:szCs w:val="24"/>
        </w:rPr>
        <w:t>influenza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463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(H1N1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2009,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closures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spread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9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6F599E">
        <w:rPr>
          <w:rFonts w:ascii="Times New Roman" w:eastAsia="Times New Roman" w:hAnsi="Times New Roman" w:cs="Times New Roman"/>
          <w:sz w:val="24"/>
          <w:szCs w:val="24"/>
        </w:rPr>
        <w:t>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(Brown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2011;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Davis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46624C" w:rsidRPr="002E312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6624C" w:rsidRPr="002E312F">
        <w:rPr>
          <w:rFonts w:ascii="Times New Roman" w:eastAsia="Times New Roman" w:hAnsi="Times New Roman" w:cs="Times New Roman"/>
          <w:sz w:val="24"/>
          <w:szCs w:val="24"/>
          <w:lang w:val="en-US"/>
        </w:rPr>
        <w:t>Fox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6624C" w:rsidRPr="002E312F">
        <w:rPr>
          <w:rFonts w:ascii="Times New Roman" w:eastAsia="Times New Roman" w:hAnsi="Times New Roman" w:cs="Times New Roman"/>
          <w:sz w:val="24"/>
          <w:szCs w:val="24"/>
          <w:lang w:val="en-US"/>
        </w:rPr>
        <w:t>2004</w:t>
      </w:r>
      <w:r w:rsidR="00F311F1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HIV-AIDS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7C">
        <w:rPr>
          <w:rFonts w:ascii="Times New Roman" w:eastAsia="Times New Roman" w:hAnsi="Times New Roman" w:cs="Times New Roman"/>
          <w:sz w:val="24"/>
          <w:szCs w:val="24"/>
        </w:rPr>
        <w:t>began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7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7C">
        <w:rPr>
          <w:rFonts w:ascii="Times New Roman" w:eastAsia="Times New Roman" w:hAnsi="Times New Roman" w:cs="Times New Roman"/>
          <w:sz w:val="24"/>
          <w:szCs w:val="24"/>
        </w:rPr>
        <w:t>1981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7C">
        <w:rPr>
          <w:rFonts w:ascii="Times New Roman" w:eastAsia="Times New Roman" w:hAnsi="Times New Roman" w:cs="Times New Roman"/>
          <w:sz w:val="24"/>
          <w:szCs w:val="24"/>
        </w:rPr>
        <w:t>(CDC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7C">
        <w:rPr>
          <w:rFonts w:ascii="Times New Roman" w:eastAsia="Times New Roman" w:hAnsi="Times New Roman" w:cs="Times New Roman"/>
          <w:sz w:val="24"/>
          <w:szCs w:val="24"/>
        </w:rPr>
        <w:t>2021),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devastating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strain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7416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famil</w:t>
      </w:r>
      <w:r w:rsidR="007416F8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sub-Saharan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Africa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(Robson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92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Sylvester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2007;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Shaeffer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1994)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became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global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(Van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Rompay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2008).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contained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geographically,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threat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region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occur</w:t>
      </w:r>
      <w:r w:rsidR="006F599E">
        <w:rPr>
          <w:rFonts w:ascii="Times New Roman" w:eastAsia="Times New Roman" w:hAnsi="Times New Roman" w:cs="Times New Roman"/>
          <w:sz w:val="24"/>
          <w:szCs w:val="24"/>
        </w:rPr>
        <w:t>r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(Jalloh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92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662" w:rsidRPr="00A44662">
        <w:rPr>
          <w:rFonts w:ascii="Times New Roman" w:eastAsia="Times New Roman" w:hAnsi="Times New Roman" w:cs="Times New Roman"/>
          <w:sz w:val="24"/>
          <w:szCs w:val="24"/>
        </w:rPr>
        <w:t>Ras</w:t>
      </w:r>
      <w:r w:rsidR="00A44662" w:rsidRPr="009525FE">
        <w:rPr>
          <w:rFonts w:ascii="Times New Roman" w:eastAsia="Times New Roman" w:hAnsi="Times New Roman" w:cs="Times New Roman"/>
          <w:sz w:val="24"/>
          <w:szCs w:val="24"/>
        </w:rPr>
        <w:t>ch</w:t>
      </w:r>
      <w:r w:rsidR="00A44662" w:rsidRPr="00A44662">
        <w:rPr>
          <w:rFonts w:ascii="Times New Roman" w:eastAsia="Times New Roman" w:hAnsi="Times New Roman" w:cs="Times New Roman"/>
          <w:sz w:val="24"/>
          <w:szCs w:val="24"/>
        </w:rPr>
        <w:t>id</w:t>
      </w:r>
      <w:proofErr w:type="spellEnd"/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long-term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consequences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49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(Smith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negatively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affected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(Al-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Rabiaah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no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degree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6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global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9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9E">
        <w:rPr>
          <w:rFonts w:ascii="Times New Roman" w:eastAsia="Times New Roman" w:hAnsi="Times New Roman" w:cs="Times New Roman"/>
          <w:sz w:val="24"/>
          <w:szCs w:val="24"/>
        </w:rPr>
        <w:t>began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9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9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297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C9A2E4" w14:textId="77777777" w:rsidR="00A44662" w:rsidRDefault="00A44662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B639B" w14:textId="05C9F3E1" w:rsidR="008F49C0" w:rsidRDefault="002974C8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D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D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D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D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D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combination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emerging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COVID-19,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essential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disrupted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little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96">
        <w:rPr>
          <w:rFonts w:ascii="Times New Roman" w:eastAsia="Times New Roman" w:hAnsi="Times New Roman" w:cs="Times New Roman"/>
          <w:sz w:val="24"/>
          <w:szCs w:val="24"/>
        </w:rPr>
        <w:t>M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examined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addressed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underresourced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contexts,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foreign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projects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run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nongovernmental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NGOs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nited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agencies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universities,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governments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researched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6542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communities’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49F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BF4">
        <w:rPr>
          <w:rFonts w:ascii="Times New Roman" w:eastAsia="Times New Roman" w:hAnsi="Times New Roman" w:cs="Times New Roman"/>
          <w:sz w:val="24"/>
          <w:szCs w:val="24"/>
        </w:rPr>
        <w:t>well-resourced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countries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BF4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situations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significantly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thus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acknowledged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that,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insight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542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highlights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novelty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1F1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8D7E6" w14:textId="77777777" w:rsidR="008F49C0" w:rsidRDefault="008F49C0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09550" w14:textId="0F8F196D" w:rsidR="008F49C0" w:rsidRPr="0066643C" w:rsidRDefault="0046624C" w:rsidP="000656F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fundamental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articulated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Declaration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568AF" w:rsidRPr="008568AF">
        <w:rPr>
          <w:rFonts w:ascii="Times New Roman" w:eastAsia="Times New Roman" w:hAnsi="Times New Roman" w:cs="Times New Roman"/>
          <w:sz w:val="24"/>
          <w:szCs w:val="24"/>
        </w:rPr>
        <w:t xml:space="preserve">UNESCO IIEP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F33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3A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074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1C3">
        <w:rPr>
          <w:rFonts w:ascii="Times New Roman" w:eastAsia="Times New Roman" w:hAnsi="Times New Roman" w:cs="Times New Roman"/>
          <w:sz w:val="24"/>
          <w:szCs w:val="24"/>
        </w:rPr>
        <w:t>disaster,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outbreaks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771C3">
        <w:rPr>
          <w:rFonts w:ascii="Times New Roman" w:eastAsia="Times New Roman" w:hAnsi="Times New Roman" w:cs="Times New Roman"/>
          <w:sz w:val="24"/>
          <w:szCs w:val="24"/>
        </w:rPr>
        <w:t>Burde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1C3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1C3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1C3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quality,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coordinated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humanitarian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affected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disaster,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Inter-agency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9F8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96">
        <w:rPr>
          <w:rFonts w:ascii="Times New Roman" w:eastAsia="Times New Roman" w:hAnsi="Times New Roman" w:cs="Times New Roman"/>
          <w:sz w:val="24"/>
          <w:szCs w:val="24"/>
        </w:rPr>
        <w:t>(MSF)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EA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49F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96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CC01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8F">
        <w:rPr>
          <w:rFonts w:ascii="Times New Roman" w:eastAsia="Times New Roman" w:hAnsi="Times New Roman" w:cs="Times New Roman"/>
          <w:sz w:val="24"/>
          <w:szCs w:val="24"/>
        </w:rPr>
        <w:t>ba</w:t>
      </w:r>
      <w:r w:rsidR="007522ED" w:rsidRPr="0064658F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youth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situations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constraints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CA">
        <w:rPr>
          <w:rFonts w:ascii="Times New Roman" w:eastAsia="Times New Roman" w:hAnsi="Times New Roman" w:cs="Times New Roman"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CA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CA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96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FA1">
        <w:rPr>
          <w:rFonts w:ascii="Times New Roman" w:eastAsia="Times New Roman" w:hAnsi="Times New Roman" w:cs="Times New Roman"/>
          <w:sz w:val="24"/>
          <w:szCs w:val="24"/>
        </w:rPr>
        <w:t>glob</w:t>
      </w:r>
      <w:r w:rsidR="00E07463">
        <w:rPr>
          <w:rFonts w:ascii="Times New Roman" w:eastAsia="Times New Roman" w:hAnsi="Times New Roman" w:cs="Times New Roman"/>
          <w:sz w:val="24"/>
          <w:szCs w:val="24"/>
        </w:rPr>
        <w:t>ewide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43C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07CA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employed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96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463">
        <w:rPr>
          <w:rFonts w:ascii="Times New Roman" w:eastAsia="Times New Roman" w:hAnsi="Times New Roman" w:cs="Times New Roman"/>
          <w:sz w:val="24"/>
          <w:szCs w:val="24"/>
        </w:rPr>
        <w:t>map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 w:rsidRPr="00305690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 w:rsidR="008B7DDA">
        <w:rPr>
          <w:rFonts w:ascii="Times New Roman" w:eastAsia="Times New Roman" w:hAnsi="Times New Roman" w:cs="Times New Roman"/>
          <w:sz w:val="24"/>
          <w:szCs w:val="24"/>
        </w:rPr>
        <w:t>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0CCA1E" w14:textId="24F77AAC" w:rsidR="008F49C0" w:rsidRDefault="0046624C" w:rsidP="000656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8F">
        <w:rPr>
          <w:rFonts w:ascii="Times New Roman" w:eastAsia="Times New Roman" w:hAnsi="Times New Roman" w:cs="Times New Roman"/>
          <w:color w:val="000000"/>
          <w:sz w:val="24"/>
          <w:szCs w:val="24"/>
        </w:rPr>
        <w:t>affordances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4EA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4EA">
        <w:rPr>
          <w:rFonts w:ascii="Times New Roman" w:eastAsia="Times New Roman" w:hAnsi="Times New Roman" w:cs="Times New Roman"/>
          <w:color w:val="000000"/>
          <w:sz w:val="24"/>
          <w:szCs w:val="24"/>
        </w:rPr>
        <w:t>teachers,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4EA"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instructors,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4E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4EA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4EA">
        <w:rPr>
          <w:rFonts w:ascii="Times New Roman" w:eastAsia="Times New Roman" w:hAnsi="Times New Roman" w:cs="Times New Roman"/>
          <w:color w:val="000000"/>
          <w:sz w:val="24"/>
          <w:szCs w:val="24"/>
        </w:rPr>
        <w:t>leaders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emergencies?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B2D99C" w14:textId="7A14939E" w:rsidR="008F49C0" w:rsidRDefault="0046624C" w:rsidP="000656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pedagogical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equitable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contexts?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530C83" w14:textId="3307800B" w:rsidR="008F49C0" w:rsidRDefault="0046624C" w:rsidP="000656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lessons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previous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epidemics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F19">
        <w:rPr>
          <w:rFonts w:ascii="Times New Roman" w:eastAsia="Times New Roman" w:hAnsi="Times New Roman" w:cs="Times New Roman"/>
          <w:color w:val="000000"/>
          <w:sz w:val="24"/>
          <w:szCs w:val="24"/>
        </w:rPr>
        <w:t>applied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DDA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crisis?</w:t>
      </w:r>
    </w:p>
    <w:p w14:paraId="0413EB70" w14:textId="77777777" w:rsidR="008F49C0" w:rsidRDefault="008F49C0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BE61B" w14:textId="2FB191CC" w:rsidR="008F49C0" w:rsidRPr="0094592D" w:rsidRDefault="000656F1" w:rsidP="000656F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92D">
        <w:rPr>
          <w:rFonts w:ascii="Times New Roman" w:eastAsia="Times New Roman" w:hAnsi="Times New Roman" w:cs="Times New Roman"/>
          <w:b/>
          <w:bCs/>
          <w:sz w:val="24"/>
          <w:szCs w:val="24"/>
        </w:rPr>
        <w:t>ANALYTICAL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592D">
        <w:rPr>
          <w:rFonts w:ascii="Times New Roman" w:eastAsia="Times New Roman" w:hAnsi="Times New Roman" w:cs="Times New Roman"/>
          <w:b/>
          <w:bCs/>
          <w:sz w:val="24"/>
          <w:szCs w:val="24"/>
        </w:rPr>
        <w:t>FRAMEWORK</w:t>
      </w:r>
    </w:p>
    <w:p w14:paraId="0E1B6F30" w14:textId="77777777" w:rsidR="000656F1" w:rsidRDefault="000656F1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7590D" w14:textId="3EE0BFA3" w:rsidR="008F49C0" w:rsidRDefault="0046624C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17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D74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fully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D74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);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17D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ED8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ED8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9907B8" w:rsidRPr="00313E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5589" w:rsidRPr="009525FE"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89" w:rsidRPr="009525FE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313ED8" w:rsidRPr="009525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said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72C">
        <w:rPr>
          <w:rFonts w:ascii="Times New Roman" w:eastAsia="Times New Roman" w:hAnsi="Times New Roman" w:cs="Times New Roman"/>
          <w:sz w:val="24"/>
          <w:szCs w:val="24"/>
        </w:rPr>
        <w:t>crucial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(Jameson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Bromley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 w:rsidRPr="00201A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907B8" w:rsidRPr="0064658F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9907B8" w:rsidRPr="00201A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stress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t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7B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gave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example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stemmed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8F">
        <w:rPr>
          <w:rFonts w:ascii="Times New Roman" w:eastAsia="Times New Roman" w:hAnsi="Times New Roman" w:cs="Times New Roman"/>
          <w:sz w:val="24"/>
          <w:szCs w:val="24"/>
        </w:rPr>
        <w:t>high-touch,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8F">
        <w:rPr>
          <w:rFonts w:ascii="Times New Roman" w:eastAsia="Times New Roman" w:hAnsi="Times New Roman" w:cs="Times New Roman"/>
          <w:sz w:val="24"/>
          <w:szCs w:val="24"/>
        </w:rPr>
        <w:t>bidirectional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8F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447">
        <w:rPr>
          <w:rFonts w:ascii="Times New Roman" w:eastAsia="Times New Roman" w:hAnsi="Times New Roman" w:cs="Times New Roman"/>
          <w:sz w:val="24"/>
          <w:szCs w:val="24"/>
        </w:rPr>
        <w:t>frequent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447">
        <w:rPr>
          <w:rFonts w:ascii="Times New Roman" w:eastAsia="Times New Roman" w:hAnsi="Times New Roman" w:cs="Times New Roman"/>
          <w:sz w:val="24"/>
          <w:szCs w:val="24"/>
        </w:rPr>
        <w:t>trainings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44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4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2447">
        <w:rPr>
          <w:rFonts w:ascii="Times New Roman" w:eastAsia="Times New Roman" w:hAnsi="Times New Roman" w:cs="Times New Roman"/>
          <w:sz w:val="24"/>
          <w:szCs w:val="24"/>
        </w:rPr>
        <w:t>risk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447">
        <w:rPr>
          <w:rFonts w:ascii="Times New Roman" w:eastAsia="Times New Roman" w:hAnsi="Times New Roman" w:cs="Times New Roman"/>
          <w:sz w:val="24"/>
          <w:szCs w:val="24"/>
        </w:rPr>
        <w:t>populations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F8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F87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F87">
        <w:rPr>
          <w:rFonts w:ascii="Times New Roman" w:eastAsia="Times New Roman" w:hAnsi="Times New Roman" w:cs="Times New Roman"/>
          <w:sz w:val="24"/>
          <w:szCs w:val="24"/>
        </w:rPr>
        <w:t>partnerships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 w:rsidRPr="00132FF8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highlights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broadly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spaces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provided,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outbreaks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17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(INEE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2012)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outbreak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interpreted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primarily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22"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hygiene.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17D">
        <w:rPr>
          <w:rFonts w:ascii="Times New Roman" w:eastAsia="Times New Roman" w:hAnsi="Times New Roman" w:cs="Times New Roman"/>
          <w:sz w:val="24"/>
          <w:szCs w:val="24"/>
        </w:rPr>
        <w:t>pedagogy,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fruitful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offered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F87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F87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F87"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17D">
        <w:rPr>
          <w:rFonts w:ascii="Times New Roman" w:eastAsia="Times New Roman" w:hAnsi="Times New Roman" w:cs="Times New Roman"/>
          <w:sz w:val="24"/>
          <w:szCs w:val="24"/>
        </w:rPr>
        <w:t>pedagogy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ED8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99F">
        <w:rPr>
          <w:rFonts w:ascii="Times New Roman" w:eastAsia="Times New Roman" w:hAnsi="Times New Roman" w:cs="Times New Roman"/>
          <w:sz w:val="24"/>
          <w:szCs w:val="24"/>
        </w:rPr>
        <w:t>items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combined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recruitment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692D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D74">
        <w:rPr>
          <w:rFonts w:ascii="Times New Roman" w:eastAsia="Times New Roman" w:hAnsi="Times New Roman" w:cs="Times New Roman"/>
          <w:sz w:val="24"/>
          <w:szCs w:val="24"/>
        </w:rPr>
        <w:t>supervision,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F27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DC3860"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understood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D74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60" w:rsidRPr="00820078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captures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48226C" w14:textId="77777777" w:rsidR="00E717FB" w:rsidRPr="0094592D" w:rsidRDefault="00E717FB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2006E4" w14:textId="5FFEB817" w:rsidR="008F49C0" w:rsidRDefault="0046624C" w:rsidP="000656F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6F1">
        <w:rPr>
          <w:rFonts w:ascii="Times New Roman" w:eastAsia="Times New Roman" w:hAnsi="Times New Roman" w:cs="Times New Roman"/>
          <w:i/>
          <w:iCs/>
          <w:sz w:val="24"/>
          <w:szCs w:val="24"/>
        </w:rPr>
        <w:t>Figure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0656F1" w:rsidRPr="000656F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ECF" w:rsidRPr="000656F1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Findings</w:t>
      </w:r>
    </w:p>
    <w:p w14:paraId="43D6CEBE" w14:textId="21C57145" w:rsidR="0064658F" w:rsidRPr="0064658F" w:rsidRDefault="00305690" w:rsidP="003056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&lt;&lt;Figure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approximately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here&gt;&gt;</w:t>
      </w:r>
    </w:p>
    <w:p w14:paraId="079C3ADD" w14:textId="77777777" w:rsidR="0064658F" w:rsidRDefault="0064658F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6DB3B" w14:textId="3D4D5860" w:rsidR="008F49C0" w:rsidRDefault="0046624C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0B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 w:rsidR="00974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0B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0B">
        <w:rPr>
          <w:rFonts w:ascii="Times New Roman" w:eastAsia="Times New Roman" w:hAnsi="Times New Roman" w:cs="Times New Roman"/>
          <w:sz w:val="24"/>
          <w:szCs w:val="24"/>
        </w:rPr>
        <w:t>did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0B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0B">
        <w:rPr>
          <w:rFonts w:ascii="Times New Roman" w:eastAsia="Times New Roman" w:hAnsi="Times New Roman" w:cs="Times New Roman"/>
          <w:sz w:val="24"/>
          <w:szCs w:val="24"/>
        </w:rPr>
        <w:t>flesh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0B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0FD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0FD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92D">
        <w:rPr>
          <w:rFonts w:ascii="Times New Roman" w:eastAsia="Times New Roman" w:hAnsi="Times New Roman" w:cs="Times New Roman"/>
          <w:sz w:val="24"/>
          <w:szCs w:val="24"/>
        </w:rPr>
        <w:t>way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conceptualizes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 w:rsidRPr="009525FE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 w:rsidRPr="009525FE">
        <w:rPr>
          <w:rFonts w:ascii="Times New Roman" w:eastAsia="Times New Roman" w:hAnsi="Times New Roman" w:cs="Times New Roman"/>
          <w:sz w:val="24"/>
          <w:szCs w:val="24"/>
        </w:rPr>
        <w:t>area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 w:rsidRPr="00970C5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 w:rsidRPr="00970C57">
        <w:rPr>
          <w:rFonts w:ascii="Times New Roman" w:eastAsia="Times New Roman" w:hAnsi="Times New Roman" w:cs="Times New Roman"/>
          <w:sz w:val="24"/>
          <w:szCs w:val="24"/>
        </w:rPr>
        <w:t>understood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 w:rsidRPr="00970C5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 w:rsidRPr="00970C5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C57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C5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07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C57">
        <w:rPr>
          <w:rFonts w:ascii="Times New Roman" w:eastAsia="Times New Roman" w:hAnsi="Times New Roman" w:cs="Times New Roman"/>
          <w:sz w:val="24"/>
          <w:szCs w:val="24"/>
        </w:rPr>
        <w:t>publi</w:t>
      </w:r>
      <w:r w:rsidR="00970C57" w:rsidRPr="009525FE">
        <w:rPr>
          <w:rFonts w:ascii="Times New Roman" w:eastAsia="Times New Roman" w:hAnsi="Times New Roman" w:cs="Times New Roman"/>
          <w:sz w:val="24"/>
          <w:szCs w:val="24"/>
        </w:rPr>
        <w:t>shed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 w:rsidRPr="009525FE">
        <w:rPr>
          <w:rFonts w:ascii="Times New Roman" w:eastAsia="Times New Roman" w:hAnsi="Times New Roman" w:cs="Times New Roman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078">
        <w:rPr>
          <w:rFonts w:ascii="Times New Roman" w:eastAsia="Times New Roman" w:hAnsi="Times New Roman" w:cs="Times New Roman"/>
          <w:sz w:val="24"/>
          <w:szCs w:val="24"/>
        </w:rPr>
        <w:t>gaps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0C5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2021)</w:t>
      </w:r>
      <w:r w:rsidR="002C44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(World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</w:t>
      </w:r>
      <w:r w:rsidR="002C44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C5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(Chang-Bacon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Chabbott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Sinclair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1982C" w14:textId="77777777" w:rsidR="000A1B03" w:rsidRDefault="000A1B03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525E5" w14:textId="51BBA199" w:rsidR="008F49C0" w:rsidRDefault="000656F1" w:rsidP="000656F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METHODOLOGY</w:t>
      </w:r>
    </w:p>
    <w:p w14:paraId="1B6F6B65" w14:textId="77777777" w:rsidR="000656F1" w:rsidRDefault="000656F1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BBC9F" w14:textId="49ABA89B" w:rsidR="008F49C0" w:rsidRDefault="0046624C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Torraco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(2005)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argued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74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742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holistic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conceptualization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7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7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synthesis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1207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C2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1207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summarize</w:t>
      </w:r>
      <w:r w:rsidR="001207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commentary.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around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A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Ebola,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H1N1,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HIV/AIDS,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systematically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outbreaks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instead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combines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theoretical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(Snyder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2019).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guiding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framework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9459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55790" w14:textId="77777777" w:rsidR="006F33A5" w:rsidRDefault="006F33A5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01879" w14:textId="795AFB61" w:rsidR="008F49C0" w:rsidRPr="009525FE" w:rsidRDefault="0046624C" w:rsidP="000656F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BE2F8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enable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practitioners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given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r w:rsidR="002C44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 w:rsidRPr="00305690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7FB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ECF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leaves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D7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unacknowledged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65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C2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nseen.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limitation,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6364" w:rsidRPr="003056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E0269D" w:rsidRPr="00305690">
        <w:rPr>
          <w:rFonts w:ascii="Times New Roman" w:eastAsia="Times New Roman" w:hAnsi="Times New Roman" w:cs="Times New Roman"/>
          <w:sz w:val="24"/>
          <w:szCs w:val="24"/>
        </w:rPr>
        <w:t>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4D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C058B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marginalized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children,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ethnic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religious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minorities.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27A556" w14:textId="77777777" w:rsidR="008F49C0" w:rsidRDefault="008F49C0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EA3BE" w14:textId="14736BDD" w:rsidR="008F49C0" w:rsidRPr="009525FE" w:rsidRDefault="00E0269D" w:rsidP="000656F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undertook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stages</w:t>
      </w:r>
      <w:r w:rsidR="00617A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AA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AAB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AAB">
        <w:rPr>
          <w:rFonts w:ascii="Times New Roman" w:eastAsia="Times New Roman" w:hAnsi="Times New Roman" w:cs="Times New Roman"/>
          <w:sz w:val="24"/>
          <w:szCs w:val="24"/>
        </w:rPr>
        <w:t>starting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began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conducting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Google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Scholar,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ERIC</w:t>
      </w:r>
      <w:r w:rsidR="00F350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EBSCO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key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1).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beginning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1990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166B9D">
        <w:rPr>
          <w:rFonts w:ascii="Times New Roman" w:eastAsia="Times New Roman" w:hAnsi="Times New Roman" w:cs="Times New Roman"/>
          <w:sz w:val="24"/>
          <w:szCs w:val="24"/>
        </w:rPr>
        <w:t>1990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earlier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boundary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4D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inclu</w:t>
      </w:r>
      <w:r w:rsidR="002C44D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4D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HIV/AIDS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beginning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0E7C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at</w:t>
      </w:r>
      <w:r w:rsidR="000E7C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computers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134E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85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85">
        <w:rPr>
          <w:rFonts w:ascii="Times New Roman" w:eastAsia="Times New Roman" w:hAnsi="Times New Roman" w:cs="Times New Roman"/>
          <w:sz w:val="24"/>
          <w:szCs w:val="24"/>
        </w:rPr>
        <w:t>selected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DE2">
        <w:rPr>
          <w:rFonts w:ascii="Times New Roman" w:eastAsia="Times New Roman" w:hAnsi="Times New Roman" w:cs="Times New Roman"/>
          <w:sz w:val="24"/>
          <w:szCs w:val="24"/>
        </w:rPr>
        <w:t>enabled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85">
        <w:rPr>
          <w:rFonts w:ascii="Times New Roman" w:eastAsia="Times New Roman" w:hAnsi="Times New Roman" w:cs="Times New Roman"/>
          <w:sz w:val="24"/>
          <w:szCs w:val="24"/>
        </w:rPr>
        <w:t>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8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85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publications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stages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85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FF8E03" w14:textId="77777777" w:rsidR="006F33A5" w:rsidRDefault="006F33A5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64AA4" w14:textId="5E32A8D9" w:rsidR="0010279A" w:rsidRDefault="00F35085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primary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secondary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tertiary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C26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C2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</w:t>
      </w:r>
      <w:r w:rsidR="00A17C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1).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combination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designed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capture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epidemics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returned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empirical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studies,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practitioner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reports,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historical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accounts.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076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abstracts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search.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P-20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1C5">
        <w:rPr>
          <w:rFonts w:ascii="Times New Roman" w:eastAsia="Times New Roman" w:hAnsi="Times New Roman" w:cs="Times New Roman"/>
          <w:sz w:val="24"/>
          <w:szCs w:val="24"/>
        </w:rPr>
        <w:t>nonformal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administrators,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1C5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environments.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excluded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focused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medicine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medical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intended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medical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audience,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and/or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campaigns.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qualified,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deci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together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5F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inclusion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criteria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organized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emergent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themes: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health/hygiene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pedagogy,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equity,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leadership/administrators,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teachers/instructors,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wellbeing,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creativity.</w:t>
      </w:r>
    </w:p>
    <w:p w14:paraId="6893BABB" w14:textId="77777777" w:rsidR="00B63D87" w:rsidRDefault="00B63D87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9ADF3" w14:textId="06705309" w:rsidR="001A53FA" w:rsidRDefault="0046624C" w:rsidP="00B63D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87">
        <w:rPr>
          <w:rFonts w:ascii="Times New Roman" w:eastAsia="Times New Roman" w:hAnsi="Times New Roman" w:cs="Times New Roman"/>
          <w:i/>
          <w:iCs/>
          <w:sz w:val="24"/>
          <w:szCs w:val="24"/>
        </w:rPr>
        <w:t>Table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113F0" w:rsidRPr="00B63D87">
        <w:rPr>
          <w:rFonts w:ascii="Times New Roman" w:eastAsia="Times New Roman" w:hAnsi="Times New Roman" w:cs="Times New Roman"/>
          <w:i/>
          <w:iCs/>
          <w:sz w:val="24"/>
          <w:szCs w:val="24"/>
        </w:rPr>
        <w:t>1: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63D87">
        <w:rPr>
          <w:rFonts w:ascii="Times New Roman" w:eastAsia="Times New Roman" w:hAnsi="Times New Roman" w:cs="Times New Roman"/>
          <w:sz w:val="24"/>
          <w:szCs w:val="24"/>
        </w:rPr>
        <w:t>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3F0" w:rsidRPr="00B63D87">
        <w:rPr>
          <w:rFonts w:ascii="Times New Roman" w:eastAsia="Times New Roman" w:hAnsi="Times New Roman" w:cs="Times New Roman"/>
          <w:sz w:val="24"/>
          <w:szCs w:val="24"/>
        </w:rPr>
        <w:t>Terms</w:t>
      </w:r>
    </w:p>
    <w:p w14:paraId="40617D21" w14:textId="77777777" w:rsidR="00B63D87" w:rsidRPr="00B63D87" w:rsidRDefault="00B63D87" w:rsidP="009525FE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67"/>
        <w:gridCol w:w="2372"/>
        <w:gridCol w:w="2167"/>
      </w:tblGrid>
      <w:tr w:rsidR="008F49C0" w:rsidRPr="00B63D87" w14:paraId="5828D342" w14:textId="77777777" w:rsidTr="00B63D87">
        <w:trPr>
          <w:trHeight w:val="144"/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CE1A" w14:textId="5167295F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</w:t>
            </w:r>
            <w:r w:rsidR="0043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Search</w:t>
            </w:r>
            <w:r w:rsidR="0043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A7CA" w14:textId="756F8EDD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Secondary</w:t>
            </w:r>
            <w:r w:rsidR="0043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Search</w:t>
            </w:r>
            <w:r w:rsidR="0043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E33F" w14:textId="36AFAB58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Tertiary</w:t>
            </w:r>
            <w:r w:rsidR="0043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Search</w:t>
            </w:r>
            <w:r w:rsidR="0043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Terms</w:t>
            </w:r>
          </w:p>
        </w:tc>
      </w:tr>
      <w:tr w:rsidR="008F49C0" w:rsidRPr="00B63D87" w14:paraId="161D7A1A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700E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Ebola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A434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Pedagogy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0D92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P-20</w:t>
            </w:r>
          </w:p>
        </w:tc>
      </w:tr>
      <w:tr w:rsidR="008F49C0" w:rsidRPr="00B63D87" w14:paraId="32C54404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E5AE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SARS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FA76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Curriculum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47D2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8F49C0" w:rsidRPr="00B63D87" w14:paraId="1EADFE26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298A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MERS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760A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2E7C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Alternative</w:t>
            </w:r>
          </w:p>
        </w:tc>
      </w:tr>
      <w:tr w:rsidR="008F49C0" w:rsidRPr="00B63D87" w14:paraId="3064CF41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CD00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H1N1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40A2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5334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Remote</w:t>
            </w:r>
          </w:p>
        </w:tc>
      </w:tr>
      <w:tr w:rsidR="008F49C0" w:rsidRPr="00B63D87" w14:paraId="44FE69B5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B087" w14:textId="044C1F98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HIV/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Aids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290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Hygiene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07C8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</w:p>
        </w:tc>
      </w:tr>
      <w:tr w:rsidR="008F49C0" w:rsidRPr="00B63D87" w14:paraId="5B65DD87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2DBA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24C4" w14:textId="6FC27C57" w:rsidR="008F49C0" w:rsidRPr="00B63D87" w:rsidRDefault="001A53FA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Social-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Emotional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5823" w14:textId="79B65389" w:rsidR="008F49C0" w:rsidRPr="00B63D87" w:rsidRDefault="008F49C0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9C0" w:rsidRPr="00B63D87" w14:paraId="56340A57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6154" w14:textId="62AFA0F5" w:rsidR="008F49C0" w:rsidRPr="00B63D87" w:rsidRDefault="008F49C0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B2D3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Psychosocial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244A" w14:textId="06BED051" w:rsidR="008F49C0" w:rsidRPr="00B63D87" w:rsidRDefault="008F49C0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9C0" w:rsidRPr="00B63D87" w14:paraId="2B71B169" w14:textId="77777777" w:rsidTr="00B63D87">
        <w:trPr>
          <w:trHeight w:val="144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952E" w14:textId="614A69D2" w:rsidR="008F49C0" w:rsidRPr="00B63D87" w:rsidRDefault="008F49C0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DCED" w14:textId="77777777" w:rsidR="008F49C0" w:rsidRPr="00B63D87" w:rsidRDefault="0046624C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Access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5A6C" w14:textId="7ECA988B" w:rsidR="008F49C0" w:rsidRPr="00B63D87" w:rsidRDefault="008F49C0" w:rsidP="00B63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AFCA42" w14:textId="77777777" w:rsidR="008F49C0" w:rsidRPr="000656F1" w:rsidRDefault="008F49C0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E4CBF" w14:textId="39070BA7" w:rsidR="008F49C0" w:rsidRPr="000656F1" w:rsidRDefault="0046624C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6F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stage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review,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1C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1C5">
        <w:rPr>
          <w:rFonts w:ascii="Times New Roman" w:eastAsia="Times New Roman" w:hAnsi="Times New Roman" w:cs="Times New Roman"/>
          <w:sz w:val="24"/>
          <w:szCs w:val="24"/>
        </w:rPr>
        <w:t>researchers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>
        <w:rPr>
          <w:rFonts w:ascii="Times New Roman" w:eastAsia="Times New Roman" w:hAnsi="Times New Roman" w:cs="Times New Roman"/>
          <w:sz w:val="24"/>
          <w:szCs w:val="24"/>
        </w:rPr>
        <w:t>selected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depth.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ideas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coded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 w:rsidRPr="000656F1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domains</w:t>
      </w:r>
      <w:r w:rsidR="00C82967" w:rsidRPr="000656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>
        <w:rPr>
          <w:rFonts w:ascii="Times New Roman" w:eastAsia="Times New Roman" w:hAnsi="Times New Roman" w:cs="Times New Roman"/>
          <w:sz w:val="24"/>
          <w:szCs w:val="24"/>
        </w:rPr>
        <w:t>T</w:t>
      </w:r>
      <w:r w:rsidR="00C82967" w:rsidRPr="000656F1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goal</w:t>
      </w:r>
      <w:r w:rsidR="001A53FA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critically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analyze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320" w:rsidRPr="000656F1">
        <w:rPr>
          <w:rFonts w:ascii="Times New Roman" w:eastAsia="Times New Roman" w:hAnsi="Times New Roman" w:cs="Times New Roman"/>
          <w:sz w:val="24"/>
          <w:szCs w:val="24"/>
        </w:rPr>
        <w:t>concern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320" w:rsidRPr="000656F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body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best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gaps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served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(Snyder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2019).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total,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 w:rsidRPr="000656F1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3FA" w:rsidRPr="000656F1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(Table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2).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debated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adding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 w:rsidRPr="000656F1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best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discussing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6F1">
        <w:rPr>
          <w:rFonts w:ascii="Times New Roman" w:eastAsia="Times New Roman" w:hAnsi="Times New Roman" w:cs="Times New Roman"/>
          <w:sz w:val="24"/>
          <w:szCs w:val="24"/>
        </w:rPr>
        <w:t>depth</w:t>
      </w:r>
      <w:r w:rsidR="00C241C5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1C5">
        <w:rPr>
          <w:rFonts w:ascii="Times New Roman" w:eastAsia="Times New Roman" w:hAnsi="Times New Roman" w:cs="Times New Roman"/>
          <w:sz w:val="24"/>
          <w:szCs w:val="24"/>
        </w:rPr>
        <w:t>i</w:t>
      </w:r>
      <w:r w:rsidR="004C3A19" w:rsidRPr="0043233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 w:rsidRPr="009525FE">
        <w:rPr>
          <w:rFonts w:ascii="Times New Roman" w:eastAsia="Times New Roman" w:hAnsi="Times New Roman" w:cs="Times New Roman"/>
          <w:sz w:val="24"/>
          <w:szCs w:val="24"/>
        </w:rPr>
        <w:t>seemed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 w:rsidRPr="009525F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320" w:rsidRPr="00432338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8">
        <w:rPr>
          <w:rFonts w:ascii="Times New Roman" w:eastAsia="Times New Roman" w:hAnsi="Times New Roman" w:cs="Times New Roman"/>
          <w:sz w:val="24"/>
          <w:szCs w:val="24"/>
        </w:rPr>
        <w:t>eyes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best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fit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domains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fully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fleshed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theory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explained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seeing,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decided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against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adding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domain.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32338" w:rsidRPr="000656F1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 w:rsidRPr="000656F1">
        <w:rPr>
          <w:rFonts w:ascii="Times New Roman" w:eastAsia="Times New Roman" w:hAnsi="Times New Roman" w:cs="Times New Roman"/>
          <w:sz w:val="24"/>
          <w:szCs w:val="24"/>
        </w:rPr>
        <w:t>subsection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 w:rsidRPr="000656F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 w:rsidRPr="000656F1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338">
        <w:rPr>
          <w:rFonts w:ascii="Times New Roman" w:eastAsia="Times New Roman" w:hAnsi="Times New Roman" w:cs="Times New Roman"/>
          <w:sz w:val="24"/>
          <w:szCs w:val="24"/>
        </w:rPr>
        <w:t>discussed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D" w:rsidRPr="000656F1">
        <w:rPr>
          <w:rFonts w:ascii="Times New Roman" w:eastAsia="Times New Roman" w:hAnsi="Times New Roman" w:cs="Times New Roman"/>
          <w:sz w:val="24"/>
          <w:szCs w:val="24"/>
        </w:rPr>
        <w:t>conclusion.</w:t>
      </w:r>
    </w:p>
    <w:p w14:paraId="031885C5" w14:textId="77777777" w:rsidR="00E74730" w:rsidRPr="00B63D87" w:rsidRDefault="00E74730" w:rsidP="000656F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324BD" w14:textId="24EDADA0" w:rsidR="008F49C0" w:rsidRPr="00B63D87" w:rsidRDefault="0046624C" w:rsidP="009525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87">
        <w:rPr>
          <w:rFonts w:ascii="Times New Roman" w:eastAsia="Times New Roman" w:hAnsi="Times New Roman" w:cs="Times New Roman"/>
          <w:i/>
          <w:iCs/>
          <w:sz w:val="24"/>
          <w:szCs w:val="24"/>
        </w:rPr>
        <w:t>Table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63D87">
        <w:rPr>
          <w:rFonts w:ascii="Times New Roman" w:eastAsia="Times New Roman" w:hAnsi="Times New Roman" w:cs="Times New Roman"/>
          <w:i/>
          <w:iCs/>
          <w:sz w:val="24"/>
          <w:szCs w:val="24"/>
        </w:rPr>
        <w:t>2: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D87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D8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D87">
        <w:rPr>
          <w:rFonts w:ascii="Times New Roman" w:eastAsia="Times New Roman" w:hAnsi="Times New Roman" w:cs="Times New Roman"/>
          <w:sz w:val="24"/>
          <w:szCs w:val="24"/>
        </w:rPr>
        <w:t>Coding</w:t>
      </w:r>
    </w:p>
    <w:p w14:paraId="77D9EFFE" w14:textId="77777777" w:rsidR="00B63D87" w:rsidRPr="00B63D87" w:rsidRDefault="00B63D87" w:rsidP="00B63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827"/>
        <w:gridCol w:w="2450"/>
      </w:tblGrid>
      <w:tr w:rsidR="008F49C0" w:rsidRPr="00B63D87" w14:paraId="59B11E6E" w14:textId="77777777" w:rsidTr="00B63D87">
        <w:trPr>
          <w:trHeight w:val="288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28F9" w14:textId="75941B6E" w:rsidR="008F49C0" w:rsidRPr="00B63D87" w:rsidRDefault="000D5324" w:rsidP="00B63D8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Emergent</w:t>
            </w:r>
            <w:r w:rsidR="0043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CFB5" w14:textId="196A0EAA" w:rsidR="008F49C0" w:rsidRPr="00B63D87" w:rsidRDefault="0046624C" w:rsidP="00B63D8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="0043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="0043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Articles</w:t>
            </w:r>
            <w:r w:rsidR="0043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Coded</w:t>
            </w:r>
          </w:p>
        </w:tc>
      </w:tr>
      <w:tr w:rsidR="008F49C0" w:rsidRPr="00B63D87" w14:paraId="5D2BDE0D" w14:textId="77777777" w:rsidTr="00B63D87">
        <w:trPr>
          <w:trHeight w:val="288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4D54" w14:textId="5C5A7784" w:rsidR="008F49C0" w:rsidRPr="00B63D87" w:rsidRDefault="00CF670F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ontext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community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support</w:t>
            </w:r>
          </w:p>
          <w:p w14:paraId="63489AE1" w14:textId="571E5D0F" w:rsidR="008F49C0" w:rsidRPr="00B63D87" w:rsidRDefault="008F49C0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A43E" w14:textId="77777777" w:rsidR="008F49C0" w:rsidRPr="00B63D87" w:rsidRDefault="0046624C" w:rsidP="00B63D8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F49C0" w:rsidRPr="00B63D87" w14:paraId="46F8C860" w14:textId="77777777" w:rsidTr="00B63D87">
        <w:trPr>
          <w:trHeight w:val="288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788E" w14:textId="12438F11" w:rsidR="008F49C0" w:rsidRPr="00B63D87" w:rsidRDefault="0046624C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Access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equitable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  <w:p w14:paraId="4F07C5A3" w14:textId="641A27E9" w:rsidR="008F49C0" w:rsidRPr="00B63D87" w:rsidRDefault="008F49C0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E756" w14:textId="77777777" w:rsidR="008F49C0" w:rsidRPr="00B63D87" w:rsidRDefault="0046624C" w:rsidP="00B63D8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F49C0" w:rsidRPr="00B63D87" w14:paraId="51793349" w14:textId="77777777" w:rsidTr="00B63D87">
        <w:trPr>
          <w:trHeight w:val="288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E7B6" w14:textId="2422428D" w:rsidR="008F49C0" w:rsidRPr="00B63D87" w:rsidRDefault="0046624C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Soci</w:t>
            </w:r>
            <w:r w:rsidR="00151029">
              <w:rPr>
                <w:rFonts w:ascii="Times New Roman" w:eastAsia="Times New Roman" w:hAnsi="Times New Roman" w:cs="Times New Roman"/>
                <w:sz w:val="20"/>
                <w:szCs w:val="20"/>
              </w:rPr>
              <w:t>al-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emotional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psychosocial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wellbeing</w:t>
            </w:r>
          </w:p>
          <w:p w14:paraId="1C650CFB" w14:textId="17D600D1" w:rsidR="008F49C0" w:rsidRPr="00B63D87" w:rsidRDefault="008F49C0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C72E" w14:textId="77777777" w:rsidR="008F49C0" w:rsidRPr="00B63D87" w:rsidRDefault="0046624C" w:rsidP="00B63D8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F49C0" w:rsidRPr="00B63D87" w14:paraId="73116E6A" w14:textId="77777777" w:rsidTr="00B63D87">
        <w:trPr>
          <w:trHeight w:val="288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4FDC" w14:textId="20348FD3" w:rsidR="008F49C0" w:rsidRPr="00B63D87" w:rsidRDefault="00CF670F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eachers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professionals</w:t>
            </w:r>
          </w:p>
          <w:p w14:paraId="7A518AAD" w14:textId="07EA2121" w:rsidR="008F49C0" w:rsidRPr="00B63D87" w:rsidRDefault="008F49C0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144C" w14:textId="62EF411C" w:rsidR="008F49C0" w:rsidRPr="00B63D87" w:rsidRDefault="00CF670F" w:rsidP="00B63D8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F49C0" w:rsidRPr="00B63D87" w14:paraId="1B7B7815" w14:textId="77777777" w:rsidTr="00B63D87">
        <w:trPr>
          <w:trHeight w:val="288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4821" w14:textId="1A97D947" w:rsidR="008F49C0" w:rsidRPr="00B63D87" w:rsidRDefault="00CF670F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reative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shift</w:t>
            </w: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practices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43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624C"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policy</w:t>
            </w:r>
          </w:p>
          <w:p w14:paraId="6B2AC572" w14:textId="3C05A23D" w:rsidR="008F49C0" w:rsidRPr="00B63D87" w:rsidRDefault="008F49C0" w:rsidP="00B63D8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8DBD" w14:textId="77777777" w:rsidR="008F49C0" w:rsidRPr="00B63D87" w:rsidRDefault="0046624C" w:rsidP="00B63D8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D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6ABA9119" w14:textId="482E8058" w:rsidR="008F49C0" w:rsidRPr="009525FE" w:rsidRDefault="0046624C" w:rsidP="00E74730">
      <w:p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525FE">
        <w:rPr>
          <w:rFonts w:ascii="Times New Roman" w:eastAsia="Times New Roman" w:hAnsi="Times New Roman" w:cs="Times New Roman"/>
          <w:i/>
          <w:sz w:val="20"/>
          <w:szCs w:val="20"/>
        </w:rPr>
        <w:t>Note: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Forty-nine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articles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were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double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coded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and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are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reviewed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in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more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than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one</w:t>
      </w:r>
      <w:r w:rsidR="0043670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525FE">
        <w:rPr>
          <w:rFonts w:ascii="Times New Roman" w:eastAsia="Times New Roman" w:hAnsi="Times New Roman" w:cs="Times New Roman"/>
          <w:iCs/>
          <w:sz w:val="20"/>
          <w:szCs w:val="20"/>
        </w:rPr>
        <w:t>category.</w:t>
      </w:r>
    </w:p>
    <w:p w14:paraId="71590B1C" w14:textId="77777777" w:rsidR="00B63D87" w:rsidRPr="00B63D87" w:rsidRDefault="00B63D87" w:rsidP="00B63D8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46C974" w14:textId="77777777" w:rsidR="00166B9D" w:rsidRDefault="00166B9D" w:rsidP="000656F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94FB6" w14:textId="12AC4E5C" w:rsidR="008F49C0" w:rsidRDefault="000656F1" w:rsidP="000656F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FINDINGS</w:t>
      </w:r>
    </w:p>
    <w:p w14:paraId="7F8D685F" w14:textId="77777777" w:rsidR="000656F1" w:rsidRPr="000656F1" w:rsidRDefault="000656F1" w:rsidP="00AB55FC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33BD4E" w14:textId="4550D4DF" w:rsidR="008F49C0" w:rsidRDefault="00BF0A19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F1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</w:t>
      </w:r>
      <w:r w:rsidR="005B3F16">
        <w:rPr>
          <w:rFonts w:ascii="Times New Roman" w:eastAsia="Times New Roman" w:hAnsi="Times New Roman" w:cs="Times New Roman"/>
          <w:sz w:val="24"/>
          <w:szCs w:val="24"/>
        </w:rPr>
        <w:t>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F16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967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domains: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foundational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context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support,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equitable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age,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social-emotional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wellbeing,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adapting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pedagogy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3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313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support,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shift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policies.</w:t>
      </w:r>
    </w:p>
    <w:p w14:paraId="14F2180E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185D6" w14:textId="6725D9C2" w:rsidR="008F49C0" w:rsidRPr="00AB55FC" w:rsidRDefault="00443F00" w:rsidP="00AB55FC">
      <w:pPr>
        <w:spacing w:line="48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1: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704921"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C</w:t>
      </w:r>
      <w:r w:rsidR="0046624C"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ontext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C</w:t>
      </w:r>
      <w:r w:rsidR="0046624C"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ommunity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S</w:t>
      </w:r>
      <w:r w:rsidR="0046624C" w:rsidRPr="00357964">
        <w:rPr>
          <w:rFonts w:ascii="Times New Roman" w:eastAsia="Times New Roman" w:hAnsi="Times New Roman" w:cs="Times New Roman"/>
          <w:b/>
          <w:smallCaps/>
          <w:sz w:val="24"/>
          <w:szCs w:val="24"/>
        </w:rPr>
        <w:t>upport</w:t>
      </w:r>
    </w:p>
    <w:p w14:paraId="531058C2" w14:textId="77777777" w:rsid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837C9" w14:textId="3916B923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F69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F6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B9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J</w:t>
      </w:r>
      <w:r w:rsidR="00AE7D16" w:rsidRPr="003056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meson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0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DD0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emphasizes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B95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357964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01">
        <w:rPr>
          <w:rFonts w:ascii="Times New Roman" w:eastAsia="Times New Roman" w:hAnsi="Times New Roman" w:cs="Times New Roman"/>
          <w:sz w:val="24"/>
          <w:szCs w:val="24"/>
        </w:rPr>
        <w:t>however</w:t>
      </w:r>
      <w:r w:rsidR="003579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21380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01">
        <w:rPr>
          <w:rFonts w:ascii="Times New Roman" w:eastAsia="Times New Roman" w:hAnsi="Times New Roman" w:cs="Times New Roman"/>
          <w:sz w:val="24"/>
          <w:szCs w:val="24"/>
        </w:rPr>
        <w:t>lacking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01">
        <w:rPr>
          <w:rFonts w:ascii="Times New Roman" w:eastAsia="Times New Roman" w:hAnsi="Times New Roman" w:cs="Times New Roman"/>
          <w:sz w:val="24"/>
          <w:szCs w:val="24"/>
        </w:rPr>
        <w:t>(INEE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01">
        <w:rPr>
          <w:rFonts w:ascii="Times New Roman" w:eastAsia="Times New Roman" w:hAnsi="Times New Roman" w:cs="Times New Roman"/>
          <w:sz w:val="24"/>
          <w:szCs w:val="24"/>
        </w:rPr>
        <w:t>2012)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B8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understood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geographic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neighborhood)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belonging,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fulfill</w:t>
      </w:r>
      <w:r w:rsidR="00BC57A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McMillan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ED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Chavis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1986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964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few.</w:t>
      </w:r>
    </w:p>
    <w:p w14:paraId="1710FA15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A5DD" w14:textId="7BC7DBCC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empirical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(2014)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recommends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collaborate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influenza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context,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ealthy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community-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D7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transition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8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81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8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81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81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81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81">
        <w:rPr>
          <w:rFonts w:ascii="Times New Roman" w:eastAsia="Times New Roman" w:hAnsi="Times New Roman" w:cs="Times New Roman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outreach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(Valli</w:t>
      </w:r>
      <w:r w:rsidR="00323F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3FB3" w:rsidRPr="00AB55FC">
        <w:rPr>
          <w:rFonts w:ascii="Times New Roman" w:eastAsia="Times New Roman" w:hAnsi="Times New Roman" w:cs="Times New Roman"/>
          <w:sz w:val="24"/>
          <w:szCs w:val="24"/>
        </w:rPr>
        <w:t>Stefanski</w:t>
      </w:r>
      <w:proofErr w:type="spellEnd"/>
      <w:r w:rsidR="00323FB3" w:rsidRPr="00AB55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FB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FB3" w:rsidRPr="00AB55FC">
        <w:rPr>
          <w:rFonts w:ascii="Times New Roman" w:eastAsia="Times New Roman" w:hAnsi="Times New Roman" w:cs="Times New Roman"/>
          <w:sz w:val="24"/>
          <w:szCs w:val="24"/>
        </w:rPr>
        <w:t>Jacobson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Collaborative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preparedness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(Burke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contexts,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crises,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create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school-community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partnerships,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D7D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interrupting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normal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operation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institution-sponsored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39">
        <w:rPr>
          <w:rFonts w:ascii="Times New Roman" w:eastAsia="Times New Roman" w:hAnsi="Times New Roman" w:cs="Times New Roman"/>
          <w:sz w:val="24"/>
          <w:szCs w:val="24"/>
        </w:rPr>
        <w:t>schooling,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D0D">
        <w:rPr>
          <w:rFonts w:ascii="Times New Roman" w:eastAsia="Times New Roman" w:hAnsi="Times New Roman" w:cs="Times New Roman"/>
          <w:sz w:val="24"/>
          <w:szCs w:val="24"/>
        </w:rPr>
        <w:t>childcare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D0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D0D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D0D"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build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regional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EDF"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(Sutton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E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Tierney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1B">
        <w:rPr>
          <w:rFonts w:ascii="Times New Roman" w:eastAsia="Times New Roman" w:hAnsi="Times New Roman" w:cs="Times New Roman"/>
          <w:sz w:val="24"/>
          <w:szCs w:val="24"/>
        </w:rPr>
        <w:t>Saleh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1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371B">
        <w:rPr>
          <w:rFonts w:ascii="Times New Roman" w:eastAsia="Times New Roman" w:hAnsi="Times New Roman" w:cs="Times New Roman"/>
          <w:sz w:val="24"/>
          <w:szCs w:val="24"/>
        </w:rPr>
        <w:t>Mujahiddin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1B"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1B">
        <w:rPr>
          <w:rFonts w:ascii="Times New Roman" w:eastAsia="Times New Roman" w:hAnsi="Times New Roman" w:cs="Times New Roman"/>
          <w:sz w:val="24"/>
          <w:szCs w:val="24"/>
        </w:rPr>
        <w:t>argue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4D"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empowerment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1B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1B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Iyengar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5C588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DFBA" w14:textId="25912D6E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E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EF9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relationa</w:t>
      </w:r>
      <w:r w:rsidR="00674C8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educators’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concerns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maintaining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esearchers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DD0">
        <w:rPr>
          <w:rFonts w:ascii="Times New Roman" w:eastAsia="Times New Roman" w:hAnsi="Times New Roman" w:cs="Times New Roman"/>
          <w:sz w:val="24"/>
          <w:szCs w:val="24"/>
        </w:rPr>
        <w:t>engagement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7E6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belonging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Gares</w:t>
      </w:r>
      <w:proofErr w:type="spellEnd"/>
      <w:r w:rsidR="00323F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FB3">
        <w:rPr>
          <w:rFonts w:ascii="Times New Roman" w:eastAsia="Times New Roman" w:hAnsi="Times New Roman" w:cs="Times New Roman"/>
          <w:sz w:val="24"/>
          <w:szCs w:val="24"/>
        </w:rPr>
        <w:t>Kariuki,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FB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FB3">
        <w:rPr>
          <w:rFonts w:ascii="Times New Roman" w:eastAsia="Times New Roman" w:hAnsi="Times New Roman" w:cs="Times New Roman"/>
          <w:sz w:val="24"/>
          <w:szCs w:val="24"/>
        </w:rPr>
        <w:t>Rempel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pandemic,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nstitution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7E6F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0D49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(Fritz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Researchers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adopted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(CoP)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E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Wenger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E6F">
        <w:rPr>
          <w:rFonts w:ascii="Times New Roman" w:eastAsia="Times New Roman" w:hAnsi="Times New Roman" w:cs="Times New Roman"/>
          <w:sz w:val="24"/>
          <w:szCs w:val="24"/>
        </w:rPr>
        <w:t>enable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1D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1D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5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690">
        <w:rPr>
          <w:rFonts w:ascii="Times New Roman" w:eastAsia="Times New Roman" w:hAnsi="Times New Roman" w:cs="Times New Roman"/>
          <w:sz w:val="24"/>
          <w:szCs w:val="24"/>
        </w:rPr>
        <w:t>coconstruction</w:t>
      </w:r>
      <w:proofErr w:type="spellEnd"/>
      <w:r w:rsidR="00B156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apprenticeships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690">
        <w:rPr>
          <w:rFonts w:ascii="Times New Roman" w:eastAsia="Times New Roman" w:hAnsi="Times New Roman" w:cs="Times New Roman"/>
          <w:sz w:val="24"/>
          <w:szCs w:val="24"/>
        </w:rPr>
        <w:t>Bolisan</w:t>
      </w:r>
      <w:r w:rsidR="00FA3488" w:rsidRPr="003056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990" w:rsidRPr="00305690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990" w:rsidRPr="00305690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(2020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among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7C">
        <w:rPr>
          <w:rFonts w:ascii="Times New Roman" w:eastAsia="Times New Roman" w:hAnsi="Times New Roman" w:cs="Times New Roman"/>
          <w:sz w:val="24"/>
          <w:szCs w:val="24"/>
        </w:rPr>
        <w:t>Italian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r w:rsidR="00E9791D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pandemic,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7C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flexible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style,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levels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involvement,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self-organization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contexts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conceptualized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DD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cohesion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in-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134E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EC88B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084DE" w14:textId="3B893A38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7">
        <w:rPr>
          <w:rFonts w:ascii="Times New Roman" w:eastAsia="Times New Roman" w:hAnsi="Times New Roman" w:cs="Times New Roman"/>
          <w:sz w:val="24"/>
          <w:szCs w:val="24"/>
        </w:rPr>
        <w:t>interrupting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people’s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7">
        <w:rPr>
          <w:rFonts w:ascii="Times New Roman" w:eastAsia="Times New Roman" w:hAnsi="Times New Roman" w:cs="Times New Roman"/>
          <w:sz w:val="24"/>
          <w:szCs w:val="24"/>
        </w:rPr>
        <w:t>usual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990">
        <w:rPr>
          <w:rFonts w:ascii="Times New Roman" w:eastAsia="Times New Roman" w:hAnsi="Times New Roman" w:cs="Times New Roman"/>
          <w:sz w:val="24"/>
          <w:szCs w:val="24"/>
        </w:rPr>
        <w:t>relationships,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(UNESCO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99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n-person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disrupted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C0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distancing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place-based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compared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 w:rsidRPr="00305690">
        <w:rPr>
          <w:rFonts w:ascii="Times New Roman" w:eastAsia="Times New Roman" w:hAnsi="Times New Roman" w:cs="Times New Roman"/>
          <w:sz w:val="24"/>
          <w:szCs w:val="24"/>
        </w:rPr>
        <w:t>plethora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 w:rsidRPr="00305690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 w:rsidRPr="0030569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 w:rsidRPr="00305690">
        <w:rPr>
          <w:rFonts w:ascii="Times New Roman" w:eastAsia="Times New Roman" w:hAnsi="Times New Roman" w:cs="Times New Roman"/>
          <w:sz w:val="24"/>
          <w:szCs w:val="24"/>
        </w:rPr>
        <w:t>communities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Informal,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elf-direct</w:t>
      </w:r>
      <w:r w:rsidR="001B3186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alternative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F6C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communit</w:t>
      </w:r>
      <w:r w:rsidR="00FF6C02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Macia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E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Garcia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onset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pandemic,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DD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7C">
        <w:rPr>
          <w:rFonts w:ascii="Times New Roman" w:eastAsia="Times New Roman" w:hAnsi="Times New Roman" w:cs="Times New Roman"/>
          <w:sz w:val="24"/>
          <w:szCs w:val="24"/>
        </w:rPr>
        <w:t>administrators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05690">
        <w:rPr>
          <w:rFonts w:ascii="Times New Roman" w:eastAsia="Times New Roman" w:hAnsi="Times New Roman" w:cs="Times New Roman"/>
          <w:sz w:val="24"/>
          <w:szCs w:val="24"/>
        </w:rPr>
        <w:t>Wolfensberg</w:t>
      </w:r>
      <w:r w:rsidR="009168FE" w:rsidRPr="0030569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ED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0518" w:rsidRPr="00F2079A">
        <w:rPr>
          <w:rFonts w:ascii="Times New Roman" w:eastAsia="Times New Roman" w:hAnsi="Times New Roman" w:cs="Times New Roman"/>
          <w:sz w:val="24"/>
          <w:szCs w:val="24"/>
        </w:rPr>
        <w:t>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media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 w:rsidRPr="00F2079A">
        <w:rPr>
          <w:rFonts w:ascii="Times New Roman" w:eastAsia="Times New Roman" w:hAnsi="Times New Roman" w:cs="Times New Roman"/>
          <w:sz w:val="24"/>
          <w:szCs w:val="24"/>
        </w:rPr>
        <w:t>ha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increasingly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share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build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among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academics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(Greenhow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ED" w:rsidRPr="00F2079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Chapman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79A">
        <w:rPr>
          <w:rFonts w:ascii="Times New Roman" w:eastAsia="Times New Roman" w:hAnsi="Times New Roman" w:cs="Times New Roman"/>
          <w:sz w:val="24"/>
          <w:szCs w:val="24"/>
        </w:rPr>
        <w:t>Sobaih</w:t>
      </w:r>
      <w:proofErr w:type="spellEnd"/>
      <w:r w:rsidR="00E1551A" w:rsidRPr="00F207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551A" w:rsidRPr="00F2079A">
        <w:rPr>
          <w:rFonts w:ascii="Times New Roman" w:eastAsia="Times New Roman" w:hAnsi="Times New Roman" w:cs="Times New Roman"/>
          <w:sz w:val="24"/>
          <w:szCs w:val="24"/>
        </w:rPr>
        <w:t>Hasanein</w:t>
      </w:r>
      <w:proofErr w:type="spellEnd"/>
      <w:r w:rsidR="00E1551A" w:rsidRPr="00F207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 w:rsidRPr="00F2079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551A" w:rsidRPr="00F2079A">
        <w:rPr>
          <w:rFonts w:ascii="Times New Roman" w:eastAsia="Times New Roman" w:hAnsi="Times New Roman" w:cs="Times New Roman"/>
          <w:sz w:val="24"/>
          <w:szCs w:val="24"/>
        </w:rPr>
        <w:t>Elnasr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9A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553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553">
        <w:rPr>
          <w:rFonts w:ascii="Times New Roman" w:eastAsia="Times New Roman" w:hAnsi="Times New Roman" w:cs="Times New Roman"/>
          <w:sz w:val="24"/>
          <w:szCs w:val="24"/>
        </w:rPr>
        <w:t>despite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553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553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build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said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54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underutilized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518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B615C">
        <w:rPr>
          <w:rFonts w:ascii="Times New Roman" w:eastAsia="Times New Roman" w:hAnsi="Times New Roman" w:cs="Times New Roman"/>
          <w:sz w:val="24"/>
          <w:szCs w:val="24"/>
        </w:rPr>
        <w:t>Fan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15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15C">
        <w:rPr>
          <w:rFonts w:ascii="Times New Roman" w:eastAsia="Times New Roman" w:hAnsi="Times New Roman" w:cs="Times New Roman"/>
          <w:sz w:val="24"/>
          <w:szCs w:val="24"/>
        </w:rPr>
        <w:t>Elliott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2022).</w:t>
      </w:r>
    </w:p>
    <w:p w14:paraId="1272A933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1D521" w14:textId="47073A9E" w:rsidR="008F49C0" w:rsidRPr="00AB55FC" w:rsidRDefault="00443F00" w:rsidP="00AB55FC">
      <w:pPr>
        <w:spacing w:line="48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2: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E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quitable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E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ducation</w:t>
      </w:r>
    </w:p>
    <w:p w14:paraId="2608B661" w14:textId="77777777" w:rsid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A3765" w14:textId="4D1D839D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77E">
        <w:rPr>
          <w:rFonts w:ascii="Times New Roman" w:eastAsia="Times New Roman" w:hAnsi="Times New Roman" w:cs="Times New Roman"/>
          <w:sz w:val="24"/>
          <w:szCs w:val="24"/>
        </w:rPr>
        <w:t>greatest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77E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outbreaks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require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understood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affects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2F2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FC57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easier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7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hurdles.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Cutri</w:t>
      </w:r>
      <w:proofErr w:type="spellEnd"/>
      <w:r w:rsidR="00E15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551A">
        <w:rPr>
          <w:rFonts w:ascii="Times New Roman" w:eastAsia="Times New Roman" w:hAnsi="Times New Roman" w:cs="Times New Roman"/>
          <w:sz w:val="24"/>
          <w:szCs w:val="24"/>
        </w:rPr>
        <w:t>Juanjo</w:t>
      </w:r>
      <w:proofErr w:type="spellEnd"/>
      <w:r w:rsidR="00E15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Whiting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FC57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77E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77E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9AA">
        <w:rPr>
          <w:rFonts w:ascii="Times New Roman" w:eastAsia="Times New Roman" w:hAnsi="Times New Roman" w:cs="Times New Roman"/>
          <w:sz w:val="24"/>
          <w:szCs w:val="24"/>
        </w:rPr>
        <w:t>way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hide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researchers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affect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perception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measurement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equity.</w:t>
      </w:r>
    </w:p>
    <w:p w14:paraId="0DDB10CB" w14:textId="77777777" w:rsid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287A2" w14:textId="25B70545" w:rsidR="00215823" w:rsidRPr="00101B69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Hoadley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(2007)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HIV/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3507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77">
        <w:rPr>
          <w:rFonts w:ascii="Times New Roman" w:eastAsia="Times New Roman" w:hAnsi="Times New Roman" w:cs="Times New Roman"/>
          <w:sz w:val="24"/>
          <w:szCs w:val="24"/>
        </w:rPr>
        <w:t>arguing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crucial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schooling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accessible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HIV/AIDS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face-to-face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combination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 w:rsidRPr="00305690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 w:rsidRPr="0030569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6327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5324" w:rsidRPr="00305690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274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0D5324" w:rsidRPr="003056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274" w:rsidRPr="00166B9D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274" w:rsidRPr="00166B9D">
        <w:rPr>
          <w:rFonts w:ascii="Times New Roman" w:eastAsia="Times New Roman" w:hAnsi="Times New Roman" w:cs="Times New Roman"/>
          <w:bCs/>
          <w:sz w:val="24"/>
          <w:szCs w:val="24"/>
        </w:rPr>
        <w:t>known</w:t>
      </w:r>
      <w:r w:rsidR="00436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3274" w:rsidRPr="00166B9D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blended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82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823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raises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A54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synchronous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asynchronous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environments</w:t>
      </w:r>
      <w:r w:rsidR="00215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5823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7EA00" w14:textId="77777777" w:rsid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4404D" w14:textId="2B28E096" w:rsidR="007945EE" w:rsidRDefault="00215823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2F2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difficulties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234">
        <w:rPr>
          <w:rFonts w:ascii="Times New Roman" w:eastAsia="Times New Roman" w:hAnsi="Times New Roman" w:cs="Times New Roman"/>
          <w:sz w:val="24"/>
          <w:szCs w:val="24"/>
        </w:rPr>
        <w:t>supports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Jameson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find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closures,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27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279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279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designations,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autism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dyslexia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require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augmentative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alternative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communication,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qualify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Schwartzman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adds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platforms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adaptive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disabilities.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22F2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2F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concerned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adequate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transition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(Jameson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underresourced</w:t>
      </w:r>
      <w:proofErr w:type="spellEnd"/>
      <w:r w:rsidR="006F63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likely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suburban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urban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counterparts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computer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smartphone</w:t>
      </w:r>
      <w:r w:rsidR="00CD31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makes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harder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12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24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0D53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Moreover,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2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B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quantitative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Leone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Guinea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outbreak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Smith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(2021)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argues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likely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García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AE7D16">
        <w:rPr>
          <w:rFonts w:ascii="Times New Roman" w:eastAsia="Times New Roman" w:hAnsi="Times New Roman" w:cs="Times New Roman"/>
          <w:sz w:val="24"/>
          <w:szCs w:val="24"/>
        </w:rPr>
        <w:t>Weiss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AE7D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6624C" w:rsidRPr="00AE7D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exacerbated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9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gaps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wealthier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poorer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F552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food,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shelter,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car</w:t>
      </w:r>
      <w:r w:rsidR="00F552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D9" w:rsidRPr="00305690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45EE" w:rsidRPr="00305690">
        <w:rPr>
          <w:rFonts w:ascii="Times New Roman" w:eastAsia="Times New Roman" w:hAnsi="Times New Roman" w:cs="Times New Roman"/>
          <w:sz w:val="24"/>
          <w:szCs w:val="24"/>
        </w:rPr>
        <w:t>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</w:rPr>
        <w:t>U</w:t>
      </w:r>
      <w:r w:rsidR="00CD3120">
        <w:rPr>
          <w:rFonts w:ascii="Times New Roman" w:eastAsia="Times New Roman" w:hAnsi="Times New Roman" w:cs="Times New Roman"/>
          <w:sz w:val="24"/>
          <w:szCs w:val="24"/>
        </w:rPr>
        <w:t>nited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3120">
        <w:rPr>
          <w:rFonts w:ascii="Times New Roman" w:eastAsia="Times New Roman" w:hAnsi="Times New Roman" w:cs="Times New Roman"/>
          <w:sz w:val="24"/>
          <w:szCs w:val="24"/>
        </w:rPr>
        <w:t>tates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faced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barriers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success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courses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mostly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connectivity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struggled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housing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insecurity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greatest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non-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White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first-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generation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female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(Gillis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Krull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Kansas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7761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immigrant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4A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4AD">
        <w:rPr>
          <w:rFonts w:ascii="Times New Roman" w:eastAsia="Times New Roman" w:hAnsi="Times New Roman" w:cs="Times New Roman"/>
          <w:sz w:val="24"/>
          <w:szCs w:val="24"/>
        </w:rPr>
        <w:t>Kansas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face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native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language,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 w:rsidRPr="00101B6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B69" w:rsidRPr="00101B69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 w:rsidRPr="00101B69"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B69" w:rsidRPr="00101B69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 w:rsidRPr="00101B69">
        <w:rPr>
          <w:rFonts w:ascii="Times New Roman" w:eastAsia="Times New Roman" w:hAnsi="Times New Roman" w:cs="Times New Roman"/>
          <w:sz w:val="24"/>
          <w:szCs w:val="24"/>
        </w:rPr>
        <w:t>solutions,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D31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="00CD31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plans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multilingual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Disengagement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concern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largely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minoritized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9B4B5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leads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achievement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frequent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absence,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disruptive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behavior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945EE">
        <w:rPr>
          <w:rFonts w:ascii="Times New Roman" w:eastAsia="Times New Roman" w:hAnsi="Times New Roman" w:cs="Times New Roman"/>
          <w:sz w:val="24"/>
          <w:szCs w:val="24"/>
        </w:rPr>
        <w:t>Drane</w:t>
      </w:r>
      <w:proofErr w:type="spellEnd"/>
      <w:r w:rsidR="00E15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Vernon,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O’Shea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Roman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disengagement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extend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preservice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teachers,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9E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susceptible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disengaging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learning.</w:t>
      </w:r>
    </w:p>
    <w:p w14:paraId="1755512C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7B085" w14:textId="2D63F04C" w:rsidR="008F49C0" w:rsidRPr="009525FE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range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279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A10D3">
        <w:rPr>
          <w:rFonts w:ascii="Times New Roman" w:eastAsia="Times New Roman" w:hAnsi="Times New Roman" w:cs="Times New Roman"/>
          <w:sz w:val="24"/>
          <w:szCs w:val="24"/>
        </w:rPr>
        <w:t>García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Weiss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2020)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channels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Zealand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Portugal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562BC">
        <w:rPr>
          <w:rFonts w:ascii="Times New Roman" w:eastAsia="Times New Roman" w:hAnsi="Times New Roman" w:cs="Times New Roman"/>
          <w:sz w:val="24"/>
          <w:szCs w:val="24"/>
        </w:rPr>
        <w:t>nited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562BC">
        <w:rPr>
          <w:rFonts w:ascii="Times New Roman" w:eastAsia="Times New Roman" w:hAnsi="Times New Roman" w:cs="Times New Roman"/>
          <w:sz w:val="24"/>
          <w:szCs w:val="24"/>
        </w:rPr>
        <w:t>rab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562BC">
        <w:rPr>
          <w:rFonts w:ascii="Times New Roman" w:eastAsia="Times New Roman" w:hAnsi="Times New Roman" w:cs="Times New Roman"/>
          <w:sz w:val="24"/>
          <w:szCs w:val="24"/>
        </w:rPr>
        <w:t>mirates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eastAsia="Times New Roman" w:hAnsi="Times New Roman" w:cs="Times New Roman"/>
          <w:sz w:val="24"/>
          <w:szCs w:val="24"/>
        </w:rPr>
        <w:t>encountered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troubles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Drane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clear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pandemic,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l</w:t>
      </w:r>
      <w:r w:rsidR="000E5484" w:rsidRPr="009B6FE9">
        <w:rPr>
          <w:rFonts w:ascii="Times New Roman" w:eastAsia="Times New Roman" w:hAnsi="Times New Roman" w:cs="Times New Roman"/>
          <w:sz w:val="24"/>
          <w:szCs w:val="24"/>
        </w:rPr>
        <w:t>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 w:rsidRPr="009B6FE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 w:rsidRPr="009B6FE9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 w:rsidRPr="009B6FE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B53">
        <w:rPr>
          <w:rFonts w:ascii="Times New Roman" w:eastAsia="Times New Roman" w:hAnsi="Times New Roman" w:cs="Times New Roman"/>
          <w:sz w:val="24"/>
          <w:szCs w:val="24"/>
        </w:rPr>
        <w:t>technological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 w:rsidRPr="00305690">
        <w:rPr>
          <w:rFonts w:ascii="Times New Roman" w:eastAsia="Times New Roman" w:hAnsi="Times New Roman" w:cs="Times New Roman"/>
          <w:sz w:val="24"/>
          <w:szCs w:val="24"/>
        </w:rPr>
        <w:t>devices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 w:rsidRPr="009525FE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 w:rsidRPr="009525FE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 w:rsidRPr="009525F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Allier-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Gagneur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argue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taxes,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installment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connectivity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Rush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Wheeler,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Partridge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(2014)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1A">
        <w:rPr>
          <w:rFonts w:ascii="Times New Roman" w:eastAsia="Times New Roman" w:hAnsi="Times New Roman" w:cs="Times New Roman"/>
          <w:sz w:val="24"/>
          <w:szCs w:val="24"/>
        </w:rPr>
        <w:t>argue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technological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situations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 w:rsidRPr="00305690">
        <w:rPr>
          <w:rFonts w:ascii="Times New Roman" w:eastAsia="Times New Roman" w:hAnsi="Times New Roman" w:cs="Times New Roman"/>
          <w:sz w:val="24"/>
          <w:szCs w:val="24"/>
        </w:rPr>
        <w:t>depend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generosity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companies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C89" w:rsidRPr="00305690">
        <w:rPr>
          <w:rFonts w:ascii="Times New Roman" w:eastAsia="Times New Roman" w:hAnsi="Times New Roman" w:cs="Times New Roman"/>
          <w:sz w:val="24"/>
          <w:szCs w:val="24"/>
        </w:rPr>
        <w:t>Verizon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 w:rsidRPr="0084443A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 w:rsidRPr="0084443A">
        <w:rPr>
          <w:rFonts w:ascii="Times New Roman" w:eastAsia="Times New Roman" w:hAnsi="Times New Roman" w:cs="Times New Roman"/>
          <w:sz w:val="24"/>
          <w:szCs w:val="24"/>
        </w:rPr>
        <w:t>example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gave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 w:rsidRPr="0006227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$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million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York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bridge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divide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(Verizon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BF" w:rsidRPr="00305690">
        <w:rPr>
          <w:rFonts w:ascii="Times New Roman" w:eastAsia="Times New Roman" w:hAnsi="Times New Roman" w:cs="Times New Roman"/>
          <w:sz w:val="24"/>
          <w:szCs w:val="24"/>
        </w:rPr>
        <w:t>2022)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BA640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5A71D" w14:textId="122D1E02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internet-</w:t>
      </w:r>
      <w:r>
        <w:rPr>
          <w:rFonts w:ascii="Times New Roman" w:eastAsia="Times New Roman" w:hAnsi="Times New Roman" w:cs="Times New Roman"/>
          <w:sz w:val="24"/>
          <w:szCs w:val="24"/>
        </w:rPr>
        <w:t>connected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connectivity.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Adnan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Anwar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Pakistan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wh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023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up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lacking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Qazi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Brunei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Pakistan,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5E3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satisfied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urban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suburban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counterparts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Pakistan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440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 w:rsidRPr="009525FE">
        <w:rPr>
          <w:rFonts w:ascii="Times New Roman" w:eastAsia="Times New Roman" w:hAnsi="Times New Roman" w:cs="Times New Roman"/>
          <w:sz w:val="24"/>
          <w:szCs w:val="24"/>
        </w:rPr>
        <w:t>difficult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 w:rsidRPr="009525FE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69" w:rsidRPr="009525F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 w:rsidRPr="007D7440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440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saying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expensive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D7440">
        <w:rPr>
          <w:rFonts w:ascii="Times New Roman" w:eastAsia="Times New Roman" w:hAnsi="Times New Roman" w:cs="Times New Roman"/>
          <w:sz w:val="24"/>
          <w:szCs w:val="24"/>
        </w:rPr>
        <w:t>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440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440">
        <w:rPr>
          <w:rFonts w:ascii="Times New Roman" w:eastAsia="Times New Roman" w:hAnsi="Times New Roman" w:cs="Times New Roman"/>
          <w:sz w:val="24"/>
          <w:szCs w:val="24"/>
        </w:rPr>
        <w:t>trouble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440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440">
        <w:rPr>
          <w:rFonts w:ascii="Times New Roman" w:eastAsia="Times New Roman" w:hAnsi="Times New Roman" w:cs="Times New Roman"/>
          <w:sz w:val="24"/>
          <w:szCs w:val="24"/>
        </w:rPr>
        <w:t>connectivity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(Adnan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Anwar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Jalloh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Raschid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(2018)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Leone,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cancelled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classes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Samuel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showed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that,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Nigeria,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enough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no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supply.</w:t>
      </w:r>
    </w:p>
    <w:p w14:paraId="0DA4AE2B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A5B67" w14:textId="22A95D24" w:rsidR="008F49C0" w:rsidRDefault="006053B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demonstrates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faced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E3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80">
        <w:rPr>
          <w:rFonts w:ascii="Times New Roman" w:eastAsia="Times New Roman" w:hAnsi="Times New Roman" w:cs="Times New Roman"/>
          <w:sz w:val="24"/>
          <w:szCs w:val="24"/>
        </w:rPr>
        <w:t>break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gender.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g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irls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85B">
        <w:rPr>
          <w:rFonts w:ascii="Times New Roman" w:eastAsia="Times New Roman" w:hAnsi="Times New Roman" w:cs="Times New Roman"/>
          <w:sz w:val="24"/>
          <w:szCs w:val="24"/>
        </w:rPr>
        <w:t>globewide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boys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household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chores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likely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(Allier-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Gagneur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(2002)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looked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relationship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976">
        <w:rPr>
          <w:rFonts w:ascii="Times New Roman" w:eastAsia="Times New Roman" w:hAnsi="Times New Roman" w:cs="Times New Roman"/>
          <w:sz w:val="24"/>
          <w:szCs w:val="24"/>
        </w:rPr>
        <w:t>HIV/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among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street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Tanzania.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extremely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families,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precarious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situation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exacerbated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gender.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40">
        <w:rPr>
          <w:rFonts w:ascii="Times New Roman" w:eastAsia="Times New Roman" w:hAnsi="Times New Roman" w:cs="Times New Roman"/>
          <w:sz w:val="24"/>
          <w:szCs w:val="24"/>
        </w:rPr>
        <w:t>fee-paying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085">
        <w:rPr>
          <w:rFonts w:ascii="Times New Roman" w:eastAsia="Times New Roman" w:hAnsi="Times New Roman" w:cs="Times New Roman"/>
          <w:sz w:val="24"/>
          <w:szCs w:val="24"/>
        </w:rPr>
        <w:t>orphaned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722F">
        <w:rPr>
          <w:rFonts w:ascii="Times New Roman" w:eastAsia="Times New Roman" w:hAnsi="Times New Roman" w:cs="Times New Roman"/>
          <w:sz w:val="24"/>
          <w:szCs w:val="24"/>
        </w:rPr>
        <w:t>ha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rather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attend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women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vulnerable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sexual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labor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exploitation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(Robson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Sylvester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2007)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976">
        <w:rPr>
          <w:rFonts w:ascii="Times New Roman" w:eastAsia="Times New Roman" w:hAnsi="Times New Roman" w:cs="Times New Roman"/>
          <w:sz w:val="24"/>
          <w:szCs w:val="24"/>
        </w:rPr>
        <w:t>HIV/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crisis,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teenage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girls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vulnerable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contracting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engage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sexual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(Evans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EE">
        <w:rPr>
          <w:rFonts w:ascii="Times New Roman" w:eastAsia="Times New Roman" w:hAnsi="Times New Roman" w:cs="Times New Roman"/>
          <w:sz w:val="24"/>
          <w:szCs w:val="24"/>
        </w:rPr>
        <w:t>2002)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irls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similarly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2F">
        <w:rPr>
          <w:rFonts w:ascii="Times New Roman" w:eastAsia="Times New Roman" w:hAnsi="Times New Roman" w:cs="Times New Roman"/>
          <w:sz w:val="24"/>
          <w:szCs w:val="24"/>
        </w:rPr>
        <w:t>affected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Leone,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shifted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60525">
        <w:rPr>
          <w:rFonts w:ascii="Times New Roman" w:eastAsia="Times New Roman" w:hAnsi="Times New Roman" w:cs="Times New Roman"/>
          <w:sz w:val="24"/>
          <w:szCs w:val="24"/>
        </w:rPr>
        <w:t>Lázaro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25">
        <w:rPr>
          <w:rFonts w:ascii="Times New Roman" w:eastAsia="Times New Roman" w:hAnsi="Times New Roman" w:cs="Times New Roman"/>
          <w:sz w:val="24"/>
          <w:szCs w:val="24"/>
        </w:rPr>
        <w:t>Lorente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F317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2020),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pregnant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girls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no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longer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allowed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attend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60525">
        <w:rPr>
          <w:rFonts w:ascii="Times New Roman" w:eastAsia="Times New Roman" w:hAnsi="Times New Roman" w:cs="Times New Roman"/>
          <w:sz w:val="24"/>
          <w:szCs w:val="24"/>
        </w:rPr>
        <w:t>Pärnebjörk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2016)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Menzel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(2019)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problematized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policy,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>
        <w:rPr>
          <w:rFonts w:ascii="Times New Roman" w:eastAsia="Times New Roman" w:hAnsi="Times New Roman" w:cs="Times New Roman"/>
          <w:sz w:val="24"/>
          <w:szCs w:val="24"/>
        </w:rPr>
        <w:t>arguing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women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Leone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pregnant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Ebola,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21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increased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concern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 w:rsidRPr="00305690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 w:rsidRPr="00305690">
        <w:rPr>
          <w:rFonts w:ascii="Times New Roman" w:eastAsia="Times New Roman" w:hAnsi="Times New Roman" w:cs="Times New Roman"/>
          <w:sz w:val="24"/>
          <w:szCs w:val="24"/>
        </w:rPr>
        <w:t>maintaining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 w:rsidRPr="00305690">
        <w:rPr>
          <w:rFonts w:ascii="Times New Roman" w:eastAsia="Times New Roman" w:hAnsi="Times New Roman" w:cs="Times New Roman"/>
          <w:sz w:val="24"/>
          <w:szCs w:val="24"/>
        </w:rPr>
        <w:t>foreign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 w:rsidRPr="00305690"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emphasis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pregnancy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73">
        <w:rPr>
          <w:rFonts w:ascii="Times New Roman" w:eastAsia="Times New Roman" w:hAnsi="Times New Roman" w:cs="Times New Roman"/>
          <w:sz w:val="24"/>
          <w:szCs w:val="24"/>
        </w:rPr>
        <w:t>women.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Smith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(2021)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questioned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girls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orphans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dropping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finding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relatively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claims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E38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19">
        <w:rPr>
          <w:rFonts w:ascii="Times New Roman" w:eastAsia="Times New Roman" w:hAnsi="Times New Roman" w:cs="Times New Roman"/>
          <w:sz w:val="24"/>
          <w:szCs w:val="24"/>
        </w:rPr>
        <w:t>populations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19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19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19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affe</w:t>
      </w:r>
      <w:r w:rsidR="00473D19">
        <w:rPr>
          <w:rFonts w:ascii="Times New Roman" w:eastAsia="Times New Roman" w:hAnsi="Times New Roman" w:cs="Times New Roman"/>
          <w:sz w:val="24"/>
          <w:szCs w:val="24"/>
        </w:rPr>
        <w:t>cted.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e</w:t>
      </w:r>
      <w:r w:rsidR="0077685B" w:rsidRPr="00305690">
        <w:rPr>
          <w:rFonts w:ascii="Times New Roman" w:eastAsia="Times New Roman" w:hAnsi="Times New Roman" w:cs="Times New Roman"/>
          <w:sz w:val="24"/>
          <w:szCs w:val="24"/>
        </w:rPr>
        <w:t>ffects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19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19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affect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E7" w:rsidRPr="00305690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92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92B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92B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92B">
        <w:rPr>
          <w:rFonts w:ascii="Times New Roman" w:eastAsia="Times New Roman" w:hAnsi="Times New Roman" w:cs="Times New Roman"/>
          <w:sz w:val="24"/>
          <w:szCs w:val="24"/>
        </w:rPr>
        <w:t>broadly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Robson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Sylvester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(2007)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highlighted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loss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25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Zambia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HIV/AIDS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epidemi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c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sizes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larger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enrolled.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Santos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Novelli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(2017)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Liberia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s,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0689" w:rsidRPr="009525FE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increased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economic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precarity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85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resulted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shortage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C69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shortage,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along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restrictions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size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26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89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pushed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(Santos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Novelli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F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017).</w:t>
      </w:r>
    </w:p>
    <w:p w14:paraId="69B592F4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38F14" w14:textId="1A90F94F" w:rsidR="008F49C0" w:rsidRPr="00AB55FC" w:rsidRDefault="00443F00" w:rsidP="00AB55FC">
      <w:pPr>
        <w:spacing w:line="48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3: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Social-</w:t>
      </w:r>
      <w:r w:rsidR="00AB55F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E</w:t>
      </w:r>
      <w:r w:rsidR="0046624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motional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P</w:t>
      </w:r>
      <w:r w:rsidR="0046624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sychosocial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W</w:t>
      </w:r>
      <w:r w:rsidR="0046624C" w:rsidRPr="00603E2B">
        <w:rPr>
          <w:rFonts w:ascii="Times New Roman" w:eastAsia="Times New Roman" w:hAnsi="Times New Roman" w:cs="Times New Roman"/>
          <w:b/>
          <w:smallCaps/>
          <w:sz w:val="24"/>
          <w:szCs w:val="24"/>
        </w:rPr>
        <w:t>ellbeing</w:t>
      </w:r>
    </w:p>
    <w:p w14:paraId="27301736" w14:textId="77777777" w:rsid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4D672" w14:textId="396E1DEB" w:rsidR="008F49C0" w:rsidRDefault="00030B41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INEE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defines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processes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holistic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encouraged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governments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aid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adjust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5755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BF8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5BD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emphasis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self-confidence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hope</w:t>
      </w:r>
      <w:r w:rsidR="00C219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6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6E">
        <w:rPr>
          <w:rFonts w:ascii="Times New Roman" w:eastAsia="Times New Roman" w:hAnsi="Times New Roman" w:cs="Times New Roman"/>
          <w:sz w:val="24"/>
          <w:szCs w:val="24"/>
        </w:rPr>
        <w:t>global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6E">
        <w:rPr>
          <w:rFonts w:ascii="Times New Roman" w:eastAsia="Times New Roman" w:hAnsi="Times New Roman" w:cs="Times New Roman"/>
          <w:sz w:val="24"/>
          <w:szCs w:val="24"/>
        </w:rPr>
        <w:t>community’s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broader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emphasis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2F82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developmental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B92F82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coincided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onset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SARS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epidemic,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ongoing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="000215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5F6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concerned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6E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since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Sphere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published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FC">
        <w:rPr>
          <w:rFonts w:ascii="Times New Roman" w:eastAsia="Times New Roman" w:hAnsi="Times New Roman" w:cs="Times New Roman"/>
          <w:sz w:val="24"/>
          <w:szCs w:val="24"/>
        </w:rPr>
        <w:t>1997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Alfadhli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Drury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2016).</w:t>
      </w:r>
      <w:r w:rsidR="00174F54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3043A7B6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5B1DB" w14:textId="20FA1216" w:rsidR="008F49C0" w:rsidRPr="009525FE" w:rsidRDefault="000215F6" w:rsidP="00AB55FC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revealed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themes.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First,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differed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contexts</w:t>
      </w:r>
      <w:r w:rsidR="00632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5D6">
        <w:rPr>
          <w:rFonts w:ascii="Times New Roman" w:eastAsia="Times New Roman" w:hAnsi="Times New Roman" w:cs="Times New Roman"/>
          <w:sz w:val="24"/>
          <w:szCs w:val="24"/>
        </w:rPr>
        <w:t>second,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83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B55">
        <w:rPr>
          <w:rFonts w:ascii="Times New Roman" w:eastAsia="Times New Roman" w:hAnsi="Times New Roman" w:cs="Times New Roman"/>
          <w:sz w:val="24"/>
          <w:szCs w:val="24"/>
        </w:rPr>
        <w:t>differed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83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meta-analysis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Burde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(2015)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social-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protracted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conflict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disasters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differ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subsided.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8C6">
        <w:rPr>
          <w:rFonts w:ascii="Times New Roman" w:eastAsia="Times New Roman" w:hAnsi="Times New Roman" w:cs="Times New Roman"/>
          <w:sz w:val="24"/>
          <w:szCs w:val="24"/>
        </w:rPr>
        <w:t>cases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8C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among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medical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highlighted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disparities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genders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respond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psychological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threats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females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having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mean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average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>
        <w:rPr>
          <w:rFonts w:ascii="Times New Roman" w:eastAsia="Times New Roman" w:hAnsi="Times New Roman" w:cs="Times New Roman"/>
          <w:sz w:val="24"/>
          <w:szCs w:val="24"/>
        </w:rPr>
        <w:t>males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Rabiaah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External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war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conflict,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71" w:rsidRPr="0030569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1B0E71">
        <w:rPr>
          <w:rFonts w:ascii="Times New Roman" w:eastAsia="Times New Roman" w:hAnsi="Times New Roman" w:cs="Times New Roman"/>
          <w:sz w:val="24"/>
          <w:szCs w:val="24"/>
        </w:rPr>
        <w:t>(Murray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1B0E71">
        <w:rPr>
          <w:rFonts w:ascii="Times New Roman" w:eastAsia="Times New Roman" w:hAnsi="Times New Roman" w:cs="Times New Roman"/>
          <w:sz w:val="24"/>
          <w:szCs w:val="24"/>
        </w:rPr>
        <w:t>2019).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04F600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E36DE" w14:textId="10C89285" w:rsidR="008F49C0" w:rsidRPr="009525FE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lead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disrupt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promote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EF2AE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schools,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E0C0F">
        <w:rPr>
          <w:rFonts w:ascii="Times New Roman" w:eastAsia="Times New Roman" w:hAnsi="Times New Roman" w:cs="Times New Roman"/>
          <w:sz w:val="24"/>
          <w:szCs w:val="24"/>
        </w:rPr>
        <w:t>stipulat</w:t>
      </w:r>
      <w:r w:rsidR="006E338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degree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safety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w</w:t>
      </w:r>
      <w:r w:rsidR="00C427B3" w:rsidRPr="009E0C0F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 w:rsidRPr="009E0C0F">
        <w:rPr>
          <w:rFonts w:ascii="Times New Roman" w:eastAsia="Times New Roman" w:hAnsi="Times New Roman" w:cs="Times New Roman"/>
          <w:sz w:val="24"/>
          <w:szCs w:val="24"/>
        </w:rPr>
        <w:t>seen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 w:rsidRPr="009E0C0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 w:rsidRPr="009E0C0F">
        <w:rPr>
          <w:rFonts w:ascii="Times New Roman" w:eastAsia="Times New Roman" w:hAnsi="Times New Roman" w:cs="Times New Roman"/>
          <w:sz w:val="24"/>
          <w:szCs w:val="24"/>
        </w:rPr>
        <w:t>Liberia</w:t>
      </w:r>
      <w:r w:rsidR="009E0C0F" w:rsidRPr="009525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 w:rsidRPr="009E0C0F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>
        <w:rPr>
          <w:rFonts w:ascii="Times New Roman" w:eastAsia="Times New Roman" w:hAnsi="Times New Roman" w:cs="Times New Roman"/>
          <w:sz w:val="24"/>
          <w:szCs w:val="24"/>
        </w:rPr>
        <w:t>navigating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delicate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balance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 w:rsidRPr="00305690">
        <w:rPr>
          <w:rFonts w:ascii="Times New Roman" w:eastAsia="Times New Roman" w:hAnsi="Times New Roman" w:cs="Times New Roman"/>
          <w:sz w:val="24"/>
          <w:szCs w:val="24"/>
        </w:rPr>
        <w:t>fulfilling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 w:rsidRPr="00305690">
        <w:rPr>
          <w:rFonts w:ascii="Times New Roman" w:eastAsia="Times New Roman" w:hAnsi="Times New Roman" w:cs="Times New Roman"/>
          <w:sz w:val="24"/>
          <w:szCs w:val="24"/>
        </w:rPr>
        <w:t>expectations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8E" w:rsidRPr="00305690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 w:rsidRPr="00305690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 w:rsidRPr="0030569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safety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recovered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0F">
        <w:rPr>
          <w:rFonts w:ascii="Times New Roman" w:eastAsia="Times New Roman" w:hAnsi="Times New Roman" w:cs="Times New Roman"/>
          <w:sz w:val="24"/>
          <w:szCs w:val="24"/>
        </w:rPr>
        <w:t>outbreaks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(Santos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27B3">
        <w:rPr>
          <w:rFonts w:ascii="Times New Roman" w:eastAsia="Times New Roman" w:hAnsi="Times New Roman" w:cs="Times New Roman"/>
          <w:sz w:val="24"/>
          <w:szCs w:val="24"/>
        </w:rPr>
        <w:t>Novelli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2017)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Quarantine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disrup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routines</w:t>
      </w:r>
      <w:r w:rsidR="00C818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quarantine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>
        <w:rPr>
          <w:rFonts w:ascii="Times New Roman" w:eastAsia="Times New Roman" w:hAnsi="Times New Roman" w:cs="Times New Roman"/>
          <w:sz w:val="24"/>
          <w:szCs w:val="24"/>
        </w:rPr>
        <w:t>restrictions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volunteers</w:t>
      </w:r>
      <w:r w:rsidR="001E6578" w:rsidRPr="000F5E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Liberian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Ministry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Education’s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78">
        <w:rPr>
          <w:rFonts w:ascii="Times New Roman" w:eastAsia="Times New Roman" w:hAnsi="Times New Roman" w:cs="Times New Roman"/>
          <w:sz w:val="24"/>
          <w:szCs w:val="24"/>
        </w:rPr>
        <w:t>Ebola,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particularly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familiar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 w:rsidRPr="006E338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 w:rsidRPr="006E3385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C427B3" w:rsidRPr="006E33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helped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 w:rsidRPr="006E3385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 w:rsidRPr="006E3385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practical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safety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protocols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385">
        <w:rPr>
          <w:rFonts w:ascii="Times New Roman" w:eastAsia="Times New Roman" w:hAnsi="Times New Roman" w:cs="Times New Roman"/>
          <w:sz w:val="24"/>
          <w:szCs w:val="24"/>
        </w:rPr>
        <w:t>dynamics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comparison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population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Guangzhou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China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76E6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Hong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Kong,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Gu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(2015)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Guangzhou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held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unsubstantiated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beliefs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threat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H1N1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experienced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levels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anxiety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Hong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Kong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 w:rsidRPr="00305690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false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E6">
        <w:rPr>
          <w:rFonts w:ascii="Times New Roman" w:eastAsia="Times New Roman" w:hAnsi="Times New Roman" w:cs="Times New Roman"/>
          <w:sz w:val="24"/>
          <w:szCs w:val="24"/>
        </w:rPr>
        <w:t>beliefs.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40E4" w:rsidRPr="00EE2D43">
        <w:rPr>
          <w:rFonts w:ascii="Times New Roman" w:eastAsia="Times New Roman" w:hAnsi="Times New Roman" w:cs="Times New Roman"/>
          <w:sz w:val="24"/>
          <w:szCs w:val="24"/>
        </w:rPr>
        <w:t>nterventions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 w:rsidRPr="00305690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40E4" w:rsidRPr="0030569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1F22AF">
        <w:rPr>
          <w:rFonts w:ascii="Times New Roman" w:eastAsia="Times New Roman" w:hAnsi="Times New Roman" w:cs="Times New Roman"/>
          <w:sz w:val="24"/>
          <w:szCs w:val="24"/>
        </w:rPr>
        <w:t>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2AF">
        <w:rPr>
          <w:rFonts w:ascii="Times New Roman" w:eastAsia="Times New Roman" w:hAnsi="Times New Roman" w:cs="Times New Roman"/>
          <w:sz w:val="24"/>
          <w:szCs w:val="24"/>
        </w:rPr>
        <w:t>counseling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2AF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184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prioritized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contextual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proved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2A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2AF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cope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SARS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Longitudinal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 w:rsidRPr="00C06179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stressful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diverge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across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differences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gender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culture.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79">
        <w:rPr>
          <w:rFonts w:ascii="Times New Roman" w:eastAsia="Times New Roman" w:hAnsi="Times New Roman" w:cs="Times New Roman"/>
          <w:sz w:val="24"/>
          <w:szCs w:val="24"/>
        </w:rPr>
        <w:t>Ignoring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43" w:rsidRPr="00305690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differences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misunderstand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D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mechanisms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0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013">
        <w:rPr>
          <w:rFonts w:ascii="Times New Roman" w:eastAsia="Times New Roman" w:hAnsi="Times New Roman" w:cs="Times New Roman"/>
          <w:sz w:val="24"/>
          <w:szCs w:val="24"/>
        </w:rPr>
        <w:t>cope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013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anxiety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6BA676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DBF1B" w14:textId="59DD8458" w:rsidR="008F49C0" w:rsidRDefault="001514F5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across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contextual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interrupted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Chang-Bacon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(2021)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highlights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difficulty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faced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C32">
        <w:rPr>
          <w:rFonts w:ascii="Times New Roman" w:eastAsia="Times New Roman" w:hAnsi="Times New Roman" w:cs="Times New Roman"/>
          <w:sz w:val="24"/>
          <w:szCs w:val="24"/>
        </w:rPr>
        <w:t>schooling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interrupted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C3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suggests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interrupted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adjusted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reflect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advancement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suffered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having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learn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COVID-19.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routines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rituals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element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life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consistency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3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Burde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2015).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B6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developmental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B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B6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destabilization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normal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routines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common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(INEE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2018).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Recognizing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caused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isolation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3C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3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response.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Crosby</w:t>
      </w:r>
      <w:r w:rsidR="004B09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98C">
        <w:rPr>
          <w:rFonts w:ascii="Times New Roman" w:eastAsia="Times New Roman" w:hAnsi="Times New Roman" w:cs="Times New Roman"/>
          <w:sz w:val="24"/>
          <w:szCs w:val="24"/>
        </w:rPr>
        <w:t>Howell,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98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98C">
        <w:rPr>
          <w:rFonts w:ascii="Times New Roman" w:eastAsia="Times New Roman" w:hAnsi="Times New Roman" w:cs="Times New Roman"/>
          <w:sz w:val="24"/>
          <w:szCs w:val="24"/>
        </w:rPr>
        <w:t>Thomas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(2020),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3C">
        <w:rPr>
          <w:rFonts w:ascii="Times New Roman" w:eastAsia="Times New Roman" w:hAnsi="Times New Roman" w:cs="Times New Roman"/>
          <w:sz w:val="24"/>
          <w:szCs w:val="24"/>
        </w:rPr>
        <w:t>trauma-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informed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combat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trauma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wellbeing.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point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social-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distancing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interfere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students.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regulation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encouraging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conversation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ncreasing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spent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interacting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playful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pedagogical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recommended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multiple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520F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FCF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FC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FCF">
        <w:rPr>
          <w:rFonts w:ascii="Times New Roman" w:eastAsia="Times New Roman" w:hAnsi="Times New Roman" w:cs="Times New Roman"/>
          <w:sz w:val="24"/>
          <w:szCs w:val="24"/>
        </w:rPr>
        <w:t>high-risk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FCF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Çifçi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Demir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Crosby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</w:t>
      </w:r>
      <w:r w:rsidR="008952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Roman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F9382B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A530A" w14:textId="18C8EB49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1F6">
        <w:rPr>
          <w:rFonts w:ascii="Times New Roman" w:eastAsia="Times New Roman" w:hAnsi="Times New Roman" w:cs="Times New Roman"/>
          <w:sz w:val="24"/>
          <w:szCs w:val="24"/>
        </w:rPr>
        <w:t>Minahan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(2020,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24)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points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dispar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populations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United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States</w:t>
      </w:r>
      <w:r w:rsidR="009E40E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widening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achievement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gap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living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poverty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color,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experiencing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rates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illness,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death,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economic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disproportionate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color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addressed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return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classrooms.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obstacle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9">
        <w:rPr>
          <w:rFonts w:ascii="Times New Roman" w:eastAsia="Times New Roman" w:hAnsi="Times New Roman" w:cs="Times New Roman"/>
          <w:sz w:val="24"/>
          <w:szCs w:val="24"/>
        </w:rPr>
        <w:t>facing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administrators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9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9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F6"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47D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prepare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Chang-Bacon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administrators’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track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look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D6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wellbeing.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709F58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3AAFF" w14:textId="19B277BF" w:rsidR="00443F00" w:rsidRDefault="00443F00" w:rsidP="00AB55FC">
      <w:pPr>
        <w:spacing w:line="48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4: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O</w:t>
      </w: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ther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P</w:t>
      </w: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rofessionals</w:t>
      </w:r>
    </w:p>
    <w:p w14:paraId="5B181595" w14:textId="77777777" w:rsidR="00AB55FC" w:rsidRP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E9C2BD5" w14:textId="1EAE7891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AF6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AF6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underscores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AF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AF6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effectively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quality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AF6"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AF6"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emergencies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revealed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AA2">
        <w:rPr>
          <w:rFonts w:ascii="Times New Roman" w:eastAsia="Times New Roman" w:hAnsi="Times New Roman" w:cs="Times New Roman"/>
          <w:color w:val="000000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effectiveness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crises: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characteristics,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pedagogical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barriers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education.</w:t>
      </w:r>
    </w:p>
    <w:p w14:paraId="084A5982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5887FA" w14:textId="1E8D946B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epidemics</w:t>
      </w:r>
      <w:r w:rsidR="00C1502F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pandemics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Preliminary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67C"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</w:t>
      </w:r>
      <w:r w:rsidR="0093367C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uncertain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24665C">
        <w:rPr>
          <w:rFonts w:ascii="Times New Roman" w:eastAsia="Times New Roman" w:hAnsi="Times New Roman" w:cs="Times New Roman"/>
          <w:sz w:val="24"/>
          <w:szCs w:val="24"/>
        </w:rPr>
        <w:t>Gudmundsdottir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Hathaway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C">
        <w:rPr>
          <w:rFonts w:ascii="Times New Roman" w:eastAsia="Times New Roman" w:hAnsi="Times New Roman" w:cs="Times New Roman"/>
          <w:sz w:val="24"/>
          <w:szCs w:val="24"/>
        </w:rPr>
        <w:t>2020)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willingness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Cutri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autonomy,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sz w:val="24"/>
          <w:szCs w:val="24"/>
        </w:rPr>
        <w:t>freedom,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(Perrotta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Bohan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School-based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previously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mitigate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67C">
        <w:rPr>
          <w:rFonts w:ascii="Times New Roman" w:eastAsia="Times New Roman" w:hAnsi="Times New Roman" w:cs="Times New Roman"/>
          <w:sz w:val="24"/>
          <w:szCs w:val="24"/>
        </w:rPr>
        <w:t>technology-related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67C">
        <w:rPr>
          <w:rFonts w:ascii="Times New Roman" w:eastAsia="Times New Roman" w:hAnsi="Times New Roman" w:cs="Times New Roman"/>
          <w:sz w:val="24"/>
          <w:szCs w:val="24"/>
        </w:rPr>
        <w:t>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self-efficacy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2019).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across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9830CC">
        <w:rPr>
          <w:rFonts w:ascii="Times New Roman" w:eastAsia="Times New Roman" w:hAnsi="Times New Roman" w:cs="Times New Roman"/>
          <w:sz w:val="24"/>
          <w:szCs w:val="24"/>
        </w:rPr>
        <w:t>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D1AA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Rasmitadila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Rupnow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understood.</w:t>
      </w:r>
    </w:p>
    <w:p w14:paraId="0A653AB2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96CF8" w14:textId="57C33734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navigate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adapt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modalities.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Hong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Kong,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impetus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distance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(McNaught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rapid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transition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mixed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(Fox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Ebola,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low-tech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39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399">
        <w:rPr>
          <w:rFonts w:ascii="Times New Roman" w:eastAsia="Times New Roman" w:hAnsi="Times New Roman" w:cs="Times New Roman"/>
          <w:color w:val="000000"/>
          <w:sz w:val="24"/>
          <w:szCs w:val="24"/>
        </w:rPr>
        <w:t>Guinea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39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399">
        <w:rPr>
          <w:rFonts w:ascii="Times New Roman" w:eastAsia="Times New Roman" w:hAnsi="Times New Roman" w:cs="Times New Roman"/>
          <w:color w:val="000000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399">
        <w:rPr>
          <w:rFonts w:ascii="Times New Roman" w:eastAsia="Times New Roman" w:hAnsi="Times New Roman" w:cs="Times New Roman"/>
          <w:color w:val="000000"/>
          <w:sz w:val="24"/>
          <w:szCs w:val="24"/>
        </w:rPr>
        <w:t>Leone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broadcasts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Hallgarten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2020),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7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retention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(Barnett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onset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67C">
        <w:rPr>
          <w:rFonts w:ascii="Times New Roman" w:eastAsia="Times New Roman" w:hAnsi="Times New Roman" w:cs="Times New Roman"/>
          <w:color w:val="000000"/>
          <w:sz w:val="24"/>
          <w:szCs w:val="24"/>
        </w:rPr>
        <w:t>prevalence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67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67C">
        <w:rPr>
          <w:rFonts w:ascii="Times New Roman" w:eastAsia="Times New Roman" w:hAnsi="Times New Roman" w:cs="Times New Roman"/>
          <w:color w:val="000000"/>
          <w:sz w:val="24"/>
          <w:szCs w:val="24"/>
        </w:rPr>
        <w:t>modern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67C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catalyzed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0CC"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glob</w:t>
      </w:r>
      <w:r w:rsidR="00C936AE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color w:val="000000"/>
          <w:sz w:val="24"/>
          <w:szCs w:val="24"/>
        </w:rPr>
        <w:t>educate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color w:val="000000"/>
          <w:sz w:val="24"/>
          <w:szCs w:val="24"/>
        </w:rPr>
        <w:t>holistically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focus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academics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A2F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color w:val="000000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(Carrillo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Mishra</w:t>
      </w:r>
      <w:r w:rsidR="00F207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79A">
        <w:rPr>
          <w:rFonts w:ascii="Times New Roman" w:eastAsia="Times New Roman" w:hAnsi="Times New Roman" w:cs="Times New Roman"/>
          <w:color w:val="000000"/>
          <w:sz w:val="24"/>
          <w:szCs w:val="24"/>
        </w:rPr>
        <w:t>Gupta,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79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79A">
        <w:rPr>
          <w:rFonts w:ascii="Times New Roman" w:eastAsia="Times New Roman" w:hAnsi="Times New Roman" w:cs="Times New Roman"/>
          <w:color w:val="000000"/>
          <w:sz w:val="24"/>
          <w:szCs w:val="24"/>
        </w:rPr>
        <w:t>Shree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Long-term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lockdowns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forced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903521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modalit</w:t>
      </w:r>
      <w:r w:rsidR="00903521"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useful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instructional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delivery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(Research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Rupnow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Hirsch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Allison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argue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underscores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high-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grade-appropriate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Unfortunately,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empirical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reveal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curricula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delivery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lessons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Alhumaid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Gillis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Krull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Mishra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Schwartzman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Tajik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Vehedi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Huber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argues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relegates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helpdesk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perpetuates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systemic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inequities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A47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altering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nature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AC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</w:t>
      </w:r>
      <w:r w:rsidR="00501A4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2649AC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534B0" w14:textId="3EF1216A" w:rsidR="008F49C0" w:rsidRDefault="005E3BFC" w:rsidP="00AB55FC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pedagogical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barrier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frequently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cited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learning.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lack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attributed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issues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engagement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accessibility.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relates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indifferent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attitude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toward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Alhumaid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2020;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Pattenaude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Caldwell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2020)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difficult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obstacle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overcome.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challenge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engaging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Gillis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Krull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conclude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0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choice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instructional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technique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highlighted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03521">
        <w:rPr>
          <w:rFonts w:ascii="Times New Roman" w:eastAsia="Times New Roman" w:hAnsi="Times New Roman" w:cs="Times New Roman"/>
          <w:color w:val="000000"/>
          <w:sz w:val="24"/>
          <w:szCs w:val="24"/>
        </w:rPr>
        <w:t>nother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barrier: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broader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systemic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inequities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affect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(Tajik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Vehedi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2021).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gap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socioeconomic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backgrounds—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haves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="009F1B3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urban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affluent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—affec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success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(Mishra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4058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Applying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pedagogical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expecting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bound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fail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E0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divide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access,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B35">
        <w:rPr>
          <w:rFonts w:ascii="Times New Roman" w:eastAsia="Times New Roman" w:hAnsi="Times New Roman" w:cs="Times New Roman"/>
          <w:color w:val="000000"/>
          <w:sz w:val="24"/>
          <w:szCs w:val="24"/>
        </w:rPr>
        <w:t>skill,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available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</w:t>
      </w:r>
      <w:r w:rsidR="009830C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(Schwartzman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predict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loss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closures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disproportionate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5D2">
        <w:rPr>
          <w:rFonts w:ascii="Times New Roman" w:eastAsia="Times New Roman" w:hAnsi="Times New Roman" w:cs="Times New Roman"/>
          <w:color w:val="000000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disadvantaged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Kuhfeld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D3C046" w14:textId="5C56D17A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3E404" w14:textId="4E696029" w:rsidR="008F49C0" w:rsidRPr="00AB55FC" w:rsidRDefault="00443F00" w:rsidP="00AB55FC">
      <w:pPr>
        <w:spacing w:line="48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5: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F44527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C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reative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S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hift</w:t>
      </w:r>
      <w:r w:rsidR="00704921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P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ractices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P</w:t>
      </w:r>
      <w:r w:rsidR="0046624C" w:rsidRPr="00AB55FC">
        <w:rPr>
          <w:rFonts w:ascii="Times New Roman" w:eastAsia="Times New Roman" w:hAnsi="Times New Roman" w:cs="Times New Roman"/>
          <w:b/>
          <w:smallCaps/>
          <w:sz w:val="24"/>
          <w:szCs w:val="24"/>
        </w:rPr>
        <w:t>olicies</w:t>
      </w:r>
    </w:p>
    <w:p w14:paraId="27DFF3F7" w14:textId="77777777" w:rsid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F5C32" w14:textId="2972FBA4" w:rsidR="008F49C0" w:rsidRDefault="00034A81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A81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area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emerged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offer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shift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A506B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 w:rsidRPr="00034A81"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considering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constraints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novel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A81">
        <w:rPr>
          <w:rFonts w:ascii="Times New Roman" w:eastAsia="Times New Roman" w:hAnsi="Times New Roman" w:cs="Times New Roman"/>
          <w:sz w:val="24"/>
          <w:szCs w:val="24"/>
        </w:rPr>
        <w:t>ways.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illuminated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innovative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adaptation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hygiene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at-risk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individuals.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India,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peer</w:t>
      </w:r>
      <w:r w:rsidR="00A506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low-literacy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risks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HIV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/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(Van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Rompay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2008).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outbreaks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Africa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showed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collaborated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massive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open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courses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(Evans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2017).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0D5FC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E0D12" w14:textId="2DE0AD5E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sz w:val="24"/>
          <w:szCs w:val="24"/>
        </w:rPr>
        <w:t>appear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C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0CC">
        <w:rPr>
          <w:rFonts w:ascii="Times New Roman" w:eastAsia="Times New Roman" w:hAnsi="Times New Roman" w:cs="Times New Roman"/>
          <w:sz w:val="24"/>
          <w:szCs w:val="24"/>
        </w:rPr>
        <w:t>curricul</w:t>
      </w:r>
      <w:r w:rsidR="009830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inquiry.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United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States,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concepts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hands-on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(Smith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impetus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biochemistry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(Zewail-Foote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argue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wicked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gave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D4">
        <w:rPr>
          <w:rFonts w:ascii="Times New Roman" w:eastAsia="Times New Roman" w:hAnsi="Times New Roman" w:cs="Times New Roman"/>
          <w:sz w:val="24"/>
          <w:szCs w:val="24"/>
        </w:rPr>
        <w:t>enabled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big</w:t>
      </w:r>
      <w:r w:rsidR="00E0691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shift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creativity,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E06911">
        <w:rPr>
          <w:rFonts w:ascii="Times New Roman" w:eastAsia="Times New Roman" w:hAnsi="Times New Roman" w:cs="Times New Roman"/>
          <w:sz w:val="24"/>
          <w:szCs w:val="24"/>
        </w:rPr>
        <w:t>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autonomy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Bubb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B8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Sondah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acknowledge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that,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catalyze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beneficial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curricula,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uncovers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contemporary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further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reinforces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inequality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2A">
        <w:rPr>
          <w:rFonts w:ascii="Times New Roman" w:eastAsia="Times New Roman" w:hAnsi="Times New Roman" w:cs="Times New Roman"/>
          <w:sz w:val="24"/>
          <w:szCs w:val="24"/>
        </w:rPr>
        <w:t>curriculum.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8544A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6F346" w14:textId="12C27489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reluctant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shift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(Dhawan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reformed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postpandemic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scholars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thoughtfulness.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Nóvoa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Alvin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argue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revealed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transformation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brought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much-needed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reinforcement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common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Spicksley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caused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pessimistic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Shah</w:t>
      </w:r>
      <w:r w:rsidR="00F207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79A">
        <w:rPr>
          <w:rFonts w:ascii="Times New Roman" w:eastAsia="Times New Roman" w:hAnsi="Times New Roman" w:cs="Times New Roman"/>
          <w:sz w:val="24"/>
          <w:szCs w:val="24"/>
        </w:rPr>
        <w:t>Paulson,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79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79A">
        <w:rPr>
          <w:rFonts w:ascii="Times New Roman" w:eastAsia="Times New Roman" w:hAnsi="Times New Roman" w:cs="Times New Roman"/>
          <w:sz w:val="24"/>
          <w:szCs w:val="24"/>
        </w:rPr>
        <w:t>Couch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 w:rsidRPr="0030569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creating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resili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ecologies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policymakers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seek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transformative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literature,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shifts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FA">
        <w:rPr>
          <w:rFonts w:ascii="Times New Roman" w:eastAsia="Times New Roman" w:hAnsi="Times New Roman" w:cs="Times New Roman"/>
          <w:sz w:val="24"/>
          <w:szCs w:val="24"/>
        </w:rPr>
        <w:t>mostly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reflects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76A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419"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conceptualized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level.</w:t>
      </w:r>
    </w:p>
    <w:p w14:paraId="51FFB6D8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66465" w14:textId="10E5EE80" w:rsidR="008F49C0" w:rsidRDefault="000A4419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shifts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organizational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regional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limited.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policies,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Leone’s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pregnant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girls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attending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Pärnebjörk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2016</w:t>
      </w:r>
      <w:proofErr w:type="gramStart"/>
      <w:r w:rsidR="00BD4A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A0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recommendations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limit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loss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García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Weiss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6624C" w:rsidRPr="001257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D7C34" w:rsidRPr="0012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f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directly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pivots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E05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evaluated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H1N1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(Brown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2011;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Davis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2015)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documented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adhered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closures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Doyeema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2014).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Brown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(2011)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624C">
        <w:rPr>
          <w:rFonts w:ascii="Times New Roman" w:eastAsia="Times New Roman" w:hAnsi="Times New Roman" w:cs="Times New Roman"/>
          <w:sz w:val="24"/>
          <w:szCs w:val="24"/>
        </w:rPr>
        <w:t>child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outweig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savings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prevent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influenza.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Davis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(2015)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similarly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demonstrated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closings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reactive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largely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reducing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influenza-like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illness.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>
        <w:rPr>
          <w:rFonts w:ascii="Times New Roman" w:eastAsia="Times New Roman" w:hAnsi="Times New Roman" w:cs="Times New Roman"/>
          <w:sz w:val="24"/>
          <w:szCs w:val="24"/>
        </w:rPr>
        <w:t>Doyeema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(2014)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showed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Michigan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generally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adhered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statewide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usually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illness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absenteeism.</w:t>
      </w:r>
    </w:p>
    <w:p w14:paraId="28164E0F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D6758" w14:textId="723E8CF4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3D9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shifts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anecdotally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show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improvements.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U</w:t>
      </w:r>
      <w:r w:rsidR="003631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Colorado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barriers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centralizing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workload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(Center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Reinventing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319B">
        <w:rPr>
          <w:rFonts w:ascii="Times New Roman" w:eastAsia="Times New Roman" w:hAnsi="Times New Roman" w:cs="Times New Roman"/>
          <w:sz w:val="24"/>
          <w:szCs w:val="24"/>
        </w:rPr>
        <w:t>nited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6319B">
        <w:rPr>
          <w:rFonts w:ascii="Times New Roman" w:eastAsia="Times New Roman" w:hAnsi="Times New Roman" w:cs="Times New Roman"/>
          <w:sz w:val="24"/>
          <w:szCs w:val="24"/>
        </w:rPr>
        <w:t>rab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6319B">
        <w:rPr>
          <w:rFonts w:ascii="Times New Roman" w:eastAsia="Times New Roman" w:hAnsi="Times New Roman" w:cs="Times New Roman"/>
          <w:sz w:val="24"/>
          <w:szCs w:val="24"/>
        </w:rPr>
        <w:t>mirates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3631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19B">
        <w:rPr>
          <w:rFonts w:ascii="Times New Roman" w:eastAsia="Times New Roman" w:hAnsi="Times New Roman" w:cs="Times New Roman"/>
          <w:sz w:val="24"/>
          <w:szCs w:val="24"/>
        </w:rPr>
        <w:t>having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troubles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Drane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places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Kansas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(Kansas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C4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E11BE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forbidding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cancellation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nonpayment.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Malaysia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Rasmitadila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</w:p>
    <w:p w14:paraId="4F328943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1D9ED" w14:textId="52DDACE1" w:rsidR="008F49C0" w:rsidRDefault="004E11BE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examples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places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shifting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further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complicated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worsened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situation.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United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91">
        <w:rPr>
          <w:rFonts w:ascii="Times New Roman" w:eastAsia="Times New Roman" w:hAnsi="Times New Roman" w:cs="Times New Roman"/>
          <w:sz w:val="24"/>
          <w:szCs w:val="24"/>
        </w:rPr>
        <w:t>States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C34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canceled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legal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concern</w:t>
      </w:r>
      <w:r w:rsidR="00BD4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equitable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instruction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(Jameson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Ultimately,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hints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complicated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3D9">
        <w:rPr>
          <w:rFonts w:ascii="Times New Roman" w:eastAsia="Times New Roman" w:hAnsi="Times New Roman" w:cs="Times New Roman"/>
          <w:sz w:val="24"/>
          <w:szCs w:val="24"/>
        </w:rPr>
        <w:t>policymaking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shifts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71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="009477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whereas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others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worsened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already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challenging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situation.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22647" w14:textId="48492E95" w:rsidR="008F49C0" w:rsidRDefault="00AB55F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14:paraId="2DBF0A44" w14:textId="77777777" w:rsidR="00AB55FC" w:rsidRDefault="00AB55F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A9D04" w14:textId="5503A962" w:rsidR="008F49C0" w:rsidRPr="00CA711F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classified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extant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INEE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B0">
        <w:rPr>
          <w:rFonts w:ascii="Times New Roman" w:eastAsia="Times New Roman" w:hAnsi="Times New Roman" w:cs="Times New Roman"/>
          <w:sz w:val="24"/>
          <w:szCs w:val="24"/>
        </w:rPr>
        <w:t>MSF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B0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humanitarian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delivery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education.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general,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 w:rsidRPr="00723AD8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alignment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MSF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fell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AD8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domains</w:t>
      </w:r>
      <w:r w:rsidR="009205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 w:rsidR="00723A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maintains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deliver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BD4A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emphasize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gathered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adjustments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curricula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effectively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teachers.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supporting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high-risk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05">
        <w:rPr>
          <w:rFonts w:ascii="Times New Roman" w:eastAsia="Times New Roman" w:hAnsi="Times New Roman" w:cs="Times New Roman"/>
          <w:sz w:val="24"/>
          <w:szCs w:val="24"/>
        </w:rPr>
        <w:t>schools’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scarce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enough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A0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simultaneously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fact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overworked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exhausted.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2B35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B55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1F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B55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B5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B55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A71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1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1F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1F">
        <w:rPr>
          <w:rFonts w:ascii="Times New Roman" w:eastAsia="Times New Roman" w:hAnsi="Times New Roman" w:cs="Times New Roman"/>
          <w:sz w:val="24"/>
          <w:szCs w:val="24"/>
        </w:rPr>
        <w:t>suggests</w:t>
      </w:r>
      <w:r w:rsidR="00632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993DA" w14:textId="77777777" w:rsidR="00632B55" w:rsidRDefault="00632B55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64E95" w14:textId="74E370CA" w:rsidR="008F49C0" w:rsidRDefault="0046624C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Ultimately,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highlight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30569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305690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 w:rsidR="00C975E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D7" w:rsidRPr="00305690">
        <w:rPr>
          <w:rFonts w:ascii="Times New Roman" w:eastAsia="Times New Roman" w:hAnsi="Times New Roman" w:cs="Times New Roman"/>
          <w:sz w:val="24"/>
          <w:szCs w:val="24"/>
        </w:rPr>
        <w:t>emergencies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coordination;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involvement,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coordination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forewarned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30569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ecology.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921">
        <w:rPr>
          <w:rFonts w:ascii="Times New Roman" w:eastAsia="Times New Roman" w:hAnsi="Times New Roman" w:cs="Times New Roman"/>
          <w:sz w:val="24"/>
          <w:szCs w:val="24"/>
        </w:rPr>
        <w:t>limits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discursive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672">
        <w:rPr>
          <w:rFonts w:ascii="Times New Roman" w:eastAsia="Times New Roman" w:hAnsi="Times New Roman" w:cs="Times New Roman"/>
          <w:sz w:val="24"/>
          <w:szCs w:val="24"/>
        </w:rPr>
        <w:t>policymakers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leaders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engage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72E">
        <w:rPr>
          <w:rFonts w:ascii="Times New Roman" w:eastAsia="Times New Roman" w:hAnsi="Times New Roman" w:cs="Times New Roman"/>
          <w:sz w:val="24"/>
          <w:szCs w:val="24"/>
        </w:rPr>
        <w:t>structural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endemic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instead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conceptualized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approached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organizational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societal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means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paid,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nations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 w:rsidRPr="00C80CE4">
        <w:rPr>
          <w:rFonts w:ascii="Times New Roman" w:eastAsia="Times New Roman" w:hAnsi="Times New Roman" w:cs="Times New Roman"/>
          <w:sz w:val="24"/>
          <w:szCs w:val="24"/>
        </w:rPr>
        <w:t>adequate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respond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C80CE4">
        <w:rPr>
          <w:rFonts w:ascii="Times New Roman" w:eastAsia="Times New Roman" w:hAnsi="Times New Roman" w:cs="Times New Roman"/>
          <w:sz w:val="24"/>
          <w:szCs w:val="24"/>
        </w:rPr>
        <w:t>emergenc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(Domain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4).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Additionally,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conversations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C80CE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C80C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C80CE4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(Domain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2)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mentioned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problem,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51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51D">
        <w:rPr>
          <w:rFonts w:ascii="Times New Roman" w:eastAsia="Times New Roman" w:hAnsi="Times New Roman" w:cs="Times New Roman"/>
          <w:sz w:val="24"/>
          <w:szCs w:val="24"/>
        </w:rPr>
        <w:t>fact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A70AE" w:rsidRPr="00FA70AE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long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gap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rates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wealthy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education.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Instead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looking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FEB" w:rsidRPr="00C80CE4">
        <w:rPr>
          <w:rFonts w:ascii="Times New Roman" w:eastAsia="Times New Roman" w:hAnsi="Times New Roman" w:cs="Times New Roman"/>
          <w:sz w:val="24"/>
          <w:szCs w:val="24"/>
        </w:rPr>
        <w:t>one-time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solutions,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radio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programming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finding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ways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get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cheap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students,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nations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 w:rsidRPr="00C80CE4">
        <w:rPr>
          <w:rFonts w:ascii="Times New Roman" w:eastAsia="Times New Roman" w:hAnsi="Times New Roman" w:cs="Times New Roman"/>
          <w:sz w:val="24"/>
          <w:szCs w:val="24"/>
        </w:rPr>
        <w:t>perhaps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seek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create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08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921" w:rsidRPr="00C80CE4">
        <w:rPr>
          <w:rFonts w:ascii="Times New Roman" w:eastAsia="Times New Roman" w:hAnsi="Times New Roman" w:cs="Times New Roman"/>
          <w:sz w:val="24"/>
          <w:szCs w:val="24"/>
        </w:rPr>
        <w:t>succeed.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Schwartzman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(2020)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argues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metastatic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capitalism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blame,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governments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wealthy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for-profit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leaving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behind.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praise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companies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offer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FEB">
        <w:rPr>
          <w:rFonts w:ascii="Times New Roman" w:eastAsia="Times New Roman" w:hAnsi="Times New Roman" w:cs="Times New Roman"/>
          <w:sz w:val="24"/>
          <w:szCs w:val="24"/>
        </w:rPr>
        <w:t>low-cost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laptops,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companies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FEB">
        <w:rPr>
          <w:rFonts w:ascii="Times New Roman" w:eastAsia="Times New Roman" w:hAnsi="Times New Roman" w:cs="Times New Roman"/>
          <w:sz w:val="24"/>
          <w:szCs w:val="24"/>
        </w:rPr>
        <w:t>receiving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tax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money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might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enable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wireless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adequately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beginning.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global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35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(Domain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46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Nordic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emphasize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51D">
        <w:rPr>
          <w:rFonts w:ascii="Times New Roman" w:eastAsia="Times New Roman" w:hAnsi="Times New Roman" w:cs="Times New Roman"/>
          <w:sz w:val="24"/>
          <w:szCs w:val="24"/>
        </w:rPr>
        <w:t>thereby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modeling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prioritize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spending.</w:t>
      </w:r>
    </w:p>
    <w:p w14:paraId="3DC1A9CF" w14:textId="77777777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C3175" w14:textId="7DAD4F42" w:rsidR="008F49C0" w:rsidRDefault="002B3B3A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9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revealed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gaps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besides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lack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guidance.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referred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wider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involved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C6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51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voices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vulnerable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populations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conversations.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here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no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LGBTQ+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90">
        <w:rPr>
          <w:rFonts w:ascii="Times New Roman" w:eastAsia="Times New Roman" w:hAnsi="Times New Roman" w:cs="Times New Roman"/>
          <w:sz w:val="24"/>
          <w:szCs w:val="24"/>
        </w:rPr>
        <w:t>emergencies.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MERS,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perhaps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English,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confined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referenced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educating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E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305690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outbreaks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South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>
        <w:rPr>
          <w:rFonts w:ascii="Times New Roman" w:eastAsia="Times New Roman" w:hAnsi="Times New Roman" w:cs="Times New Roman"/>
          <w:sz w:val="24"/>
          <w:szCs w:val="24"/>
        </w:rPr>
        <w:t>America.</w:t>
      </w:r>
    </w:p>
    <w:p w14:paraId="35B2AD83" w14:textId="777597F3" w:rsidR="008F49C0" w:rsidRDefault="008F49C0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4C87C" w14:textId="19349EC8" w:rsidR="00DF32B9" w:rsidRDefault="00723AD8" w:rsidP="00AB55F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that,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contextual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nuances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wealthy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nations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forgotten,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72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remind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52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low-tech,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low-cost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low-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resourced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high-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contexts.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B3A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highlights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112"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epidemics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pandemics,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411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51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emergenc</w:t>
      </w:r>
      <w:r w:rsidR="001D4112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112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longstanding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inequalities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11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fewer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truly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desperate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79">
        <w:rPr>
          <w:rFonts w:ascii="Times New Roman" w:eastAsia="Times New Roman" w:hAnsi="Times New Roman" w:cs="Times New Roman"/>
          <w:sz w:val="24"/>
          <w:szCs w:val="24"/>
        </w:rPr>
        <w:t>situation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next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AE3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E4">
        <w:rPr>
          <w:rFonts w:ascii="Times New Roman" w:eastAsia="Times New Roman" w:hAnsi="Times New Roman" w:cs="Times New Roman"/>
          <w:sz w:val="24"/>
          <w:szCs w:val="24"/>
        </w:rPr>
        <w:t>arrive.</w:t>
      </w:r>
    </w:p>
    <w:p w14:paraId="03A5201C" w14:textId="70CD83B2" w:rsidR="00DF32B9" w:rsidRPr="00DF32B9" w:rsidRDefault="00DF32B9" w:rsidP="00DF32B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CD6A7" w14:textId="5661FD69" w:rsidR="008F49C0" w:rsidRPr="00DF32B9" w:rsidRDefault="00AB55FC" w:rsidP="00DF32B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4413BB82" w14:textId="77777777" w:rsidR="008F49C0" w:rsidRPr="00DF32B9" w:rsidRDefault="008F49C0" w:rsidP="00DF32B9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D37DA" w14:textId="6027D844" w:rsidR="008F49C0" w:rsidRPr="002235C1" w:rsidRDefault="002235C1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2915280"/>
      <w:r w:rsidRPr="00E8600B">
        <w:rPr>
          <w:rFonts w:ascii="Times New Roman" w:hAnsi="Times New Roman" w:cs="Times New Roman"/>
          <w:sz w:val="24"/>
          <w:szCs w:val="24"/>
        </w:rPr>
        <w:t>Adnan,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Muhammad,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and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0B">
        <w:rPr>
          <w:rFonts w:ascii="Times New Roman" w:hAnsi="Times New Roman" w:cs="Times New Roman"/>
          <w:sz w:val="24"/>
          <w:szCs w:val="24"/>
        </w:rPr>
        <w:t>Kainat</w:t>
      </w:r>
      <w:proofErr w:type="spellEnd"/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Anwar.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hAnsi="Times New Roman" w:cs="Times New Roman"/>
          <w:sz w:val="24"/>
          <w:szCs w:val="24"/>
        </w:rPr>
        <w:t xml:space="preserve"> “</w:t>
      </w:r>
      <w:r w:rsidRPr="00E8600B">
        <w:rPr>
          <w:rFonts w:ascii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amid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the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Pandemic: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Students'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Perspectives.</w:t>
      </w:r>
      <w:r w:rsidR="00436702">
        <w:rPr>
          <w:rFonts w:ascii="Times New Roman" w:hAnsi="Times New Roman" w:cs="Times New Roman"/>
          <w:sz w:val="24"/>
          <w:szCs w:val="24"/>
        </w:rPr>
        <w:t xml:space="preserve">” </w:t>
      </w:r>
      <w:r w:rsidRPr="00E8600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436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i/>
          <w:iCs/>
          <w:sz w:val="24"/>
          <w:szCs w:val="24"/>
        </w:rPr>
        <w:t>Submission</w:t>
      </w:r>
      <w:r w:rsidR="00436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2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hAnsi="Times New Roman" w:cs="Times New Roman"/>
          <w:sz w:val="24"/>
          <w:szCs w:val="24"/>
        </w:rPr>
        <w:t>(1)</w:t>
      </w:r>
      <w:r w:rsidRPr="00E8600B">
        <w:rPr>
          <w:rFonts w:ascii="Times New Roman" w:hAnsi="Times New Roman" w:cs="Times New Roman"/>
          <w:sz w:val="24"/>
          <w:szCs w:val="24"/>
        </w:rPr>
        <w:t>:</w:t>
      </w:r>
      <w:r w:rsidR="00436702">
        <w:rPr>
          <w:rFonts w:ascii="Times New Roman" w:hAnsi="Times New Roman" w:cs="Times New Roman"/>
          <w:sz w:val="24"/>
          <w:szCs w:val="24"/>
        </w:rPr>
        <w:t xml:space="preserve"> </w:t>
      </w:r>
      <w:r w:rsidRPr="00E8600B">
        <w:rPr>
          <w:rFonts w:ascii="Times New Roman" w:hAnsi="Times New Roman" w:cs="Times New Roman"/>
          <w:sz w:val="24"/>
          <w:szCs w:val="24"/>
        </w:rPr>
        <w:t>45-51</w:t>
      </w:r>
      <w:r w:rsidR="00CA711F" w:rsidRPr="00223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2C1035" w14:textId="52D6667A" w:rsidR="00AA7810" w:rsidRPr="00DF32B9" w:rsidRDefault="002235C1" w:rsidP="00DF32B9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5C1">
        <w:rPr>
          <w:rFonts w:ascii="Times New Roman" w:eastAsia="Times New Roman" w:hAnsi="Times New Roman" w:cs="Times New Roman"/>
          <w:sz w:val="24"/>
          <w:szCs w:val="24"/>
        </w:rPr>
        <w:t>Alhumaid</w:t>
      </w:r>
      <w:proofErr w:type="spellEnd"/>
      <w:r w:rsidRPr="002235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Khadija,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Sana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Ali,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5C1">
        <w:rPr>
          <w:rFonts w:ascii="Times New Roman" w:eastAsia="Times New Roman" w:hAnsi="Times New Roman" w:cs="Times New Roman"/>
          <w:sz w:val="24"/>
          <w:szCs w:val="24"/>
        </w:rPr>
        <w:t>Anbreen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5C1">
        <w:rPr>
          <w:rFonts w:ascii="Times New Roman" w:eastAsia="Times New Roman" w:hAnsi="Times New Roman" w:cs="Times New Roman"/>
          <w:sz w:val="24"/>
          <w:szCs w:val="24"/>
        </w:rPr>
        <w:t>Waheed</w:t>
      </w:r>
      <w:proofErr w:type="spellEnd"/>
      <w:r w:rsidRPr="002235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5C1">
        <w:rPr>
          <w:rFonts w:ascii="Times New Roman" w:eastAsia="Times New Roman" w:hAnsi="Times New Roman" w:cs="Times New Roman"/>
          <w:sz w:val="24"/>
          <w:szCs w:val="24"/>
        </w:rPr>
        <w:t>Erum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Zahid,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Mohammed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5C1">
        <w:rPr>
          <w:rFonts w:ascii="Times New Roman" w:eastAsia="Times New Roman" w:hAnsi="Times New Roman" w:cs="Times New Roman"/>
          <w:sz w:val="24"/>
          <w:szCs w:val="24"/>
        </w:rPr>
        <w:t>Habes</w:t>
      </w:r>
      <w:proofErr w:type="spellEnd"/>
      <w:r w:rsidRPr="002235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3E9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 w:rsidRPr="002235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Perceptions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ttitudes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owards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E-learning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cceptance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eveloping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ountries.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Multicultural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3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1">
        <w:rPr>
          <w:rFonts w:ascii="Times New Roman" w:eastAsia="Times New Roman" w:hAnsi="Times New Roman" w:cs="Times New Roman"/>
          <w:sz w:val="24"/>
          <w:szCs w:val="24"/>
        </w:rPr>
        <w:t>100-15.</w:t>
      </w:r>
    </w:p>
    <w:p w14:paraId="5408C6E1" w14:textId="6CF12FC7" w:rsidR="008F49C0" w:rsidRPr="00DF32B9" w:rsidRDefault="00983E93" w:rsidP="00CE6606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83E93">
        <w:rPr>
          <w:rFonts w:ascii="Times New Roman" w:eastAsia="Times New Roman" w:hAnsi="Times New Roman" w:cs="Times New Roman"/>
          <w:sz w:val="24"/>
          <w:szCs w:val="24"/>
        </w:rPr>
        <w:t>Allier-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Gagneur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Zoe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Rachel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Chuang,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Chris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McBurnie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Björn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Haßler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Blended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Marginalised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Adolescent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Girls’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Education: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Evidence.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EdTech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Hub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15478" w:rsidRPr="00CE6606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https://doi.org/10.53832/edtechhub.0009</w:t>
        </w:r>
      </w:hyperlink>
      <w:r w:rsidR="00CA711F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AA86D" w14:textId="77777777" w:rsidR="003B5E6C" w:rsidRDefault="00983E93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9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Rabiaah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Abdulkarim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Mohamad-Hani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Temsah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Ayman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Eyadhy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Gamal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Hasan,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Fahad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Al-Zamil,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Sarah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Subaie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Fahad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Alsohime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Middle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East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Respiratory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Syndrome-Corona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(MERS-</w:t>
      </w:r>
      <w:proofErr w:type="spellStart"/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CoV</w:t>
      </w:r>
      <w:proofErr w:type="spellEnd"/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ssociated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mong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M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edical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U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sz w:val="24"/>
          <w:szCs w:val="24"/>
        </w:rPr>
        <w:t>H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ospital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Saudi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Arabia.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2235C1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35C1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2235C1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nfection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35C1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2235C1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ublic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235C1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="002235C1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1" w:rsidRPr="002235C1">
        <w:rPr>
          <w:rFonts w:ascii="Times New Roman" w:eastAsia="Times New Roman" w:hAnsi="Times New Roman" w:cs="Times New Roman"/>
          <w:sz w:val="24"/>
          <w:szCs w:val="24"/>
        </w:rPr>
        <w:t>687-91.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="001B0E71" w:rsidRPr="00DF3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https://doi.org/10.1016/j.jiph.2020.01.005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6CC2C" w14:textId="7F074FBB" w:rsidR="00CA711F" w:rsidRPr="00DF32B9" w:rsidRDefault="00983E93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93">
        <w:rPr>
          <w:rFonts w:ascii="Times New Roman" w:eastAsia="Times New Roman" w:hAnsi="Times New Roman" w:cs="Times New Roman"/>
          <w:sz w:val="24"/>
          <w:szCs w:val="24"/>
        </w:rPr>
        <w:t>Barnett,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Sarah,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Jetske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van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Dijk,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Abdulai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Swaray</w:t>
      </w:r>
      <w:proofErr w:type="spellEnd"/>
      <w:r w:rsidRPr="00983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E93">
        <w:rPr>
          <w:rFonts w:ascii="Times New Roman" w:eastAsia="Times New Roman" w:hAnsi="Times New Roman" w:cs="Times New Roman"/>
          <w:sz w:val="24"/>
          <w:szCs w:val="24"/>
        </w:rPr>
        <w:t>Tamba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Amara,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93">
        <w:rPr>
          <w:rFonts w:ascii="Times New Roman" w:eastAsia="Times New Roman" w:hAnsi="Times New Roman" w:cs="Times New Roman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Redesigning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roject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hild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riendly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adio: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ultisectoral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ollaboration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romote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hildren’s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ealth,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ducation,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uman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ights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umanitarian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Leone.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13085F" w:rsidRPr="00DF32B9">
        <w:rPr>
          <w:rFonts w:ascii="Times New Roman" w:eastAsia="Times New Roman" w:hAnsi="Times New Roman" w:cs="Times New Roman"/>
          <w:i/>
          <w:sz w:val="24"/>
          <w:szCs w:val="24"/>
        </w:rPr>
        <w:t>ritish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13085F" w:rsidRPr="00DF32B9">
        <w:rPr>
          <w:rFonts w:ascii="Times New Roman" w:eastAsia="Times New Roman" w:hAnsi="Times New Roman" w:cs="Times New Roman"/>
          <w:i/>
          <w:sz w:val="24"/>
          <w:szCs w:val="24"/>
        </w:rPr>
        <w:t>edical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="0013085F" w:rsidRPr="00DF32B9">
        <w:rPr>
          <w:rFonts w:ascii="Times New Roman" w:eastAsia="Times New Roman" w:hAnsi="Times New Roman" w:cs="Times New Roman"/>
          <w:i/>
          <w:sz w:val="24"/>
          <w:szCs w:val="24"/>
        </w:rPr>
        <w:t>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363</w:t>
      </w:r>
      <w:r w:rsidR="0013085F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85F" w:rsidRPr="00DF32B9">
        <w:rPr>
          <w:rFonts w:ascii="Times New Roman" w:eastAsia="Times New Roman" w:hAnsi="Times New Roman" w:cs="Times New Roman"/>
          <w:sz w:val="24"/>
          <w:szCs w:val="24"/>
        </w:rPr>
        <w:t>123-129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CA711F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https://doi.org/10.1136/bmj.k4667</w:t>
        </w:r>
      </w:hyperlink>
      <w:r w:rsidR="00CA711F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A39F7" w14:textId="01A2651E" w:rsidR="00FA3488" w:rsidRPr="00DF32B9" w:rsidRDefault="00FA3488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Bolisani</w:t>
      </w:r>
      <w:proofErr w:type="spellEnd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Ettore,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Monica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Fedeli</w:t>
      </w:r>
      <w:proofErr w:type="spellEnd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Valentina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Marchi</w:t>
      </w:r>
      <w:proofErr w:type="spellEnd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Laura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Bierema</w:t>
      </w:r>
      <w:proofErr w:type="spellEnd"/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Together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ractice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7B305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Proceedings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17th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Conference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Intellectual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Capital,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Knowledge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15478" w:rsidRPr="00DF32B9">
        <w:rPr>
          <w:rFonts w:ascii="Times New Roman" w:eastAsia="Times New Roman" w:hAnsi="Times New Roman" w:cs="Times New Roman"/>
          <w:i/>
          <w:sz w:val="24"/>
          <w:szCs w:val="24"/>
        </w:rPr>
        <w:t>Organizational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ICICKM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72-80.</w:t>
      </w:r>
    </w:p>
    <w:p w14:paraId="77AE122F" w14:textId="583412B6" w:rsidR="00201ACB" w:rsidRPr="00DF32B9" w:rsidRDefault="00201ACB" w:rsidP="00DF32B9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Bromley,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Elizabeth,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David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P.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Eisenman,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Aizita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Magana,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Malcolm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Williams,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Biblia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Kim,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Michael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McCreary,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Anita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Chandra</w:t>
      </w:r>
      <w:r w:rsidR="003C083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Kenneth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B.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Wells.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2017.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Participatory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Approach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Build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Resilience?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Angeles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County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Disaster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Resilience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Project.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Environmental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Research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Public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Health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B305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7B305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1267.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7B305A" w:rsidRPr="007B305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https://doi.org/10.3390/ijerph14101267</w:t>
        </w:r>
      </w:hyperlink>
      <w:r w:rsidR="007B30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B93F47" w14:textId="0D5F19B8" w:rsidR="008F49C0" w:rsidRPr="00DF32B9" w:rsidRDefault="007B305A" w:rsidP="00DF32B9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7B305A">
        <w:rPr>
          <w:rFonts w:ascii="Times New Roman" w:eastAsia="Times New Roman" w:hAnsi="Times New Roman" w:cs="Times New Roman"/>
          <w:sz w:val="24"/>
          <w:szCs w:val="24"/>
        </w:rPr>
        <w:t>Brown,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Shawn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T.,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Julie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HY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Tai,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Rachel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Bailey,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Philip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Cooley,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William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Wheaton,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Margaret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Potter,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Ronald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Voorhees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5A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losure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H1N1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nfluenza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B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W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orth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ost?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omputational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imulation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Pennsylvania.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BMC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(353)</w:t>
      </w:r>
      <w:r w:rsidR="006B559C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59C" w:rsidRPr="00DF32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559C" w:rsidRPr="00DF32B9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715478" w:rsidRPr="001A224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CA"/>
          </w:rPr>
          <w:t>https://doi.org/10.1186/1471-2458-11-353</w:t>
        </w:r>
      </w:hyperlink>
      <w:r w:rsidR="001A2240"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</w:p>
    <w:p w14:paraId="57BD5CBC" w14:textId="011984BC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Bubb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Sara,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Mari-Ana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Jones.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Home-Schooling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Experience: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Listening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Pupils,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Parents/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Carers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Improving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715478" w:rsidRPr="001A22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https://doi.org/10.1177/1365480220958797</w:t>
        </w:r>
      </w:hyperlink>
      <w:r w:rsidR="001A22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B7F40" w14:textId="5B655CCE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Burde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Dana,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Ozen</w:t>
      </w:r>
      <w:proofErr w:type="spellEnd"/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Guven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Jo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Kelcey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Heddy</w:t>
      </w:r>
      <w:proofErr w:type="spellEnd"/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Lahmann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Khaled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Al-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Abbadi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2015.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What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orks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romote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hildren’s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ducational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ccess,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Q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uality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earning,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ellbeing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risis-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ffected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ontexts.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Rigorous</w:t>
      </w:r>
      <w:r w:rsidR="0043670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Review</w:t>
      </w:r>
      <w:r w:rsidRPr="00DF32B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  <w:hyperlink r:id="rId14" w:history="1">
        <w:r w:rsidR="0043670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 xml:space="preserve"> </w:t>
        </w:r>
        <w:r w:rsidR="00715478" w:rsidRPr="001A2240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https://doi.org/10.3102/0034654316671594</w:t>
        </w:r>
      </w:hyperlink>
      <w:r w:rsidR="001A2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14:paraId="20B00E39" w14:textId="458A1404" w:rsidR="009771C3" w:rsidRPr="00DF32B9" w:rsidRDefault="009771C3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Burde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ana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Amy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Kapit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Rachel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L.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Wahl,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Ozen</w:t>
      </w:r>
      <w:proofErr w:type="spellEnd"/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Guven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Margot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Igland</w:t>
      </w:r>
      <w:proofErr w:type="spellEnd"/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Skarpeteig</w:t>
      </w:r>
      <w:proofErr w:type="spellEnd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2017.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Emergencies: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Theory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Research.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  <w:r w:rsidRPr="00E860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87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(3)</w:t>
      </w:r>
      <w:r w:rsidR="0066643C"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619</w:t>
      </w:r>
      <w:r w:rsidR="003C083D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58.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15" w:history="1">
        <w:r w:rsidR="00715478" w:rsidRPr="001A22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https://doi.org/10.1177/1942602x15582064</w:t>
        </w:r>
      </w:hyperlink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66D83C1" w14:textId="2B6DDF15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Burke,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Rita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V.,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Catherine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J.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Goodhue,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Bridget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M.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Berg,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Robert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Spears,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Jill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Barnes,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Jeffrey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S.</w:t>
      </w:r>
      <w:r w:rsidR="004367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color w:val="222222"/>
          <w:sz w:val="24"/>
          <w:szCs w:val="24"/>
        </w:rPr>
        <w:t>Upperman</w:t>
      </w:r>
      <w:proofErr w:type="spellEnd"/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  <w:r w:rsidR="0043670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2015.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Academic-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artnership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evelop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ovel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isaster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raining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urses: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rill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NASN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Nurse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(5)</w:t>
      </w:r>
      <w:r w:rsidR="001A22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265-68.</w:t>
      </w:r>
    </w:p>
    <w:p w14:paraId="3065A1C5" w14:textId="5D2EC60D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Carrillo,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Carmen,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Maria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Assunção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Flores.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ractices.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466-87.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="00715478" w:rsidRPr="00C56B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https://doi.org/10.1080/02619768.2020.1821184</w:t>
        </w:r>
      </w:hyperlink>
      <w:r w:rsidR="00C56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52500" w14:textId="743582BC" w:rsidR="00771F7C" w:rsidRPr="00DF32B9" w:rsidRDefault="00771F7C" w:rsidP="00DF32B9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(Center</w:t>
      </w:r>
      <w:r w:rsidR="00F643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Prevention).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2012.</w:t>
      </w:r>
      <w:r w:rsidR="00436702">
        <w:rPr>
          <w:rFonts w:ascii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Occurrence.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Lesson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1: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Introduction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Epidemiology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Atlanta: CDC. </w:t>
      </w:r>
      <w:hyperlink r:id="rId17" w:history="1">
        <w:r w:rsidR="00436702" w:rsidRPr="007C1E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https://www.cdc.gov/csels/dsepd/ss1978/lesson1/section11.html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A6A9E4" w14:textId="16B88F0E" w:rsidR="003B5E6C" w:rsidRDefault="00084BC4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F643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Prevention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2014.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Updated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Preparedness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Framework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Influenza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Pandemics.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Morbidity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Mortality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Weekly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63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(RR06):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1-9</w:t>
      </w:r>
      <w:r w:rsidR="0053434D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Atlanta: 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>CDC.</w:t>
      </w:r>
      <w:r w:rsidR="00436702" w:rsidRPr="003B5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8" w:history="1">
        <w:r w:rsidR="003B5E6C" w:rsidRPr="003B5E6C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https://www.cdc.gov/mmwr/preview/mmwrhtml/rr6306a1.htm</w:t>
        </w:r>
      </w:hyperlink>
      <w:r w:rsidR="003B5E6C" w:rsidRPr="003B5E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A2B9D" w14:textId="326C2916" w:rsidR="00771F7C" w:rsidRPr="003B5E6C" w:rsidRDefault="00771F7C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(Center</w:t>
      </w:r>
      <w:r w:rsidR="00F643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Prevention).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AIDS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Epidemic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United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States,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1981-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arly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1990s.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David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J.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Sencer</w:t>
      </w:r>
      <w:proofErr w:type="spellEnd"/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CDC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Museum: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Association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with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Smithsonian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202C0"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Institution.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>Atlanta: CDC.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19" w:history="1">
        <w:r w:rsidR="00715478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https://www.cdc.gov/museum/online/story-of-cdc/aids/index.html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208CD2" w14:textId="7F882912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Reinventing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Keeping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Track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Crisis: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Lessons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Roaring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District’s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Spring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7805CC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American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805CC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805CC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District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805CC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Panel.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20" w:history="1">
        <w:r w:rsidR="00C604A4" w:rsidRPr="002D2C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https://files.eric.ed.gov/fulltext/ED608327.pdf</w:t>
        </w:r>
      </w:hyperlink>
      <w:r w:rsidR="002D2C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0C72B0E" w14:textId="5ED99F61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Chabbott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Colette,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4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Margaret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Sinclair.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SDG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COVID‐19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mergency: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Textbooks,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4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utoring,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4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eachers.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Prospects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49: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51-57.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715478" w:rsidRPr="002D2C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https://doi.org/10.1007/s11125-020-09485-y</w:t>
        </w:r>
      </w:hyperlink>
      <w:r w:rsidR="00715478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BAA77" w14:textId="4D506FFD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Chang-Bacon,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Chris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Generation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Interrupted: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Rethinking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Interrupted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Formal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(SIFE)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Pandemic.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Researcher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187</w:t>
      </w:r>
      <w:r w:rsidR="003C08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="00C604A4" w:rsidRPr="002D2C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https://doi.org/10.3102/0013189x21992368</w:t>
        </w:r>
      </w:hyperlink>
      <w:r w:rsidR="002D2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576874" w14:textId="5472120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Çifçi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Ferhat,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Abdurrahaman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Demir.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Effect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Home-Based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Exercise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Anxiety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Well-Being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Levels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Pre-Service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African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8: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28.</w:t>
      </w:r>
    </w:p>
    <w:p w14:paraId="19C679C9" w14:textId="074184D5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Crosby,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Shantel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D.,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Penny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9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Howell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Shelley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Thomas.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Collective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Trauma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COVID-19: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Trauma-Informed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Middle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Learners.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Middle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Grades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="00C2772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72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C08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2772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14:paraId="6E3ADCB3" w14:textId="63B51CC4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Cutri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Ramona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Juanjo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 w:rsidRPr="00DF32B9">
        <w:rPr>
          <w:rFonts w:ascii="Times New Roman" w:eastAsia="Times New Roman" w:hAnsi="Times New Roman" w:cs="Times New Roman"/>
          <w:sz w:val="24"/>
          <w:szCs w:val="24"/>
        </w:rPr>
        <w:t>Mena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Erin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Whiting.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Readiness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Teaching: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Transitioning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523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https://doi.org/10.1080/02619768.2020.1815702</w:t>
        </w:r>
      </w:hyperlink>
      <w:r w:rsidR="00CA711F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0A77C" w14:textId="64241D58" w:rsidR="003C083D" w:rsidRDefault="0032094C" w:rsidP="003C083D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4C">
        <w:rPr>
          <w:rFonts w:ascii="Times New Roman" w:eastAsia="Times New Roman" w:hAnsi="Times New Roman" w:cs="Times New Roman"/>
          <w:sz w:val="24"/>
          <w:szCs w:val="24"/>
        </w:rPr>
        <w:t>Davis,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Brian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M.,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Howard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Markel,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Alex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Navarro,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Eden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Wells,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Arnold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Monto,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Allison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Aiello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2015.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Effect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Reactive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Closure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Influenza-Like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Illness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Counts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Michigan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H1N1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E8600B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Clinical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</w:t>
      </w:r>
      <w:r w:rsidR="0046624C" w:rsidRPr="00E8600B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Infectious</w:t>
      </w:r>
      <w:r w:rsidR="0043670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</w:t>
      </w:r>
      <w:r w:rsidR="0046624C" w:rsidRPr="00E8600B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Diseases</w:t>
      </w:r>
      <w:r w:rsidR="00436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6624C" w:rsidRPr="00E8600B">
        <w:rPr>
          <w:rFonts w:ascii="Times New Roman" w:eastAsia="Times New Roman" w:hAnsi="Times New Roman" w:cs="Times New Roman"/>
          <w:sz w:val="24"/>
          <w:szCs w:val="24"/>
          <w:lang w:val="pt-BR"/>
        </w:rPr>
        <w:t>60</w:t>
      </w:r>
      <w:r w:rsidR="00436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6624C" w:rsidRPr="00E8600B">
        <w:rPr>
          <w:rFonts w:ascii="Times New Roman" w:eastAsia="Times New Roman" w:hAnsi="Times New Roman" w:cs="Times New Roman"/>
          <w:sz w:val="24"/>
          <w:szCs w:val="24"/>
          <w:lang w:val="pt-BR"/>
        </w:rPr>
        <w:t>(12):</w:t>
      </w:r>
      <w:r w:rsidR="00436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6624C" w:rsidRPr="00E8600B">
        <w:rPr>
          <w:rFonts w:ascii="Times New Roman" w:eastAsia="Times New Roman" w:hAnsi="Times New Roman" w:cs="Times New Roman"/>
          <w:sz w:val="24"/>
          <w:szCs w:val="24"/>
          <w:lang w:val="pt-BR"/>
        </w:rPr>
        <w:t>e90</w:t>
      </w:r>
      <w:r w:rsidR="003C083D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="0046624C" w:rsidRPr="00E8600B">
        <w:rPr>
          <w:rFonts w:ascii="Times New Roman" w:eastAsia="Times New Roman" w:hAnsi="Times New Roman" w:cs="Times New Roman"/>
          <w:sz w:val="24"/>
          <w:szCs w:val="24"/>
          <w:lang w:val="pt-BR"/>
        </w:rPr>
        <w:t>e97.</w:t>
      </w:r>
      <w:r w:rsidR="004367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000000">
        <w:fldChar w:fldCharType="begin"/>
      </w:r>
      <w:r w:rsidR="00000000">
        <w:instrText xml:space="preserve"> HYPERLINK "https://doi.org/10.1093/cid/civ182" \h </w:instrText>
      </w:r>
      <w:r w:rsidR="00000000">
        <w:fldChar w:fldCharType="separate"/>
      </w:r>
      <w:r w:rsidR="0005401B" w:rsidRPr="00E860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BR"/>
        </w:rPr>
        <w:t>https://doi.org/10.1093/cid/civ182</w:t>
      </w:r>
      <w:r w:rsidR="000000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BR"/>
        </w:rPr>
        <w:fldChar w:fldCharType="end"/>
      </w:r>
      <w:r w:rsidR="003C08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3AE255" w14:textId="4F240B74" w:rsidR="008F49C0" w:rsidRPr="003C083D" w:rsidRDefault="0046624C" w:rsidP="003C083D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Dhawan,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Shivangi.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Learning: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Panacea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Crisis.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Systems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https://doi.org/10.1177/0047239520934018</w:t>
        </w:r>
      </w:hyperlink>
      <w:r w:rsidR="00CA711F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09C5B4" w14:textId="77EB3AE3" w:rsidR="008F49C0" w:rsidRPr="00DF32B9" w:rsidRDefault="003209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4C">
        <w:rPr>
          <w:rFonts w:ascii="Times New Roman" w:eastAsia="Times New Roman" w:hAnsi="Times New Roman" w:cs="Times New Roman"/>
          <w:sz w:val="24"/>
          <w:szCs w:val="24"/>
        </w:rPr>
        <w:t>Dong,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Yan,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Chang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Xu,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Chai,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94C">
        <w:rPr>
          <w:rFonts w:ascii="Times New Roman" w:eastAsia="Times New Roman" w:hAnsi="Times New Roman" w:cs="Times New Roman"/>
          <w:sz w:val="24"/>
          <w:szCs w:val="24"/>
        </w:rPr>
        <w:t>Xuesong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94C">
        <w:rPr>
          <w:rFonts w:ascii="Times New Roman" w:eastAsia="Times New Roman" w:hAnsi="Times New Roman" w:cs="Times New Roman"/>
          <w:sz w:val="24"/>
          <w:szCs w:val="24"/>
        </w:rPr>
        <w:t>Zhai</w:t>
      </w:r>
      <w:proofErr w:type="spellEnd"/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Exploring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tructural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elationship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mong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echnostress,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echnological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edagogical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ontent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nowledge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(TPACK),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omputer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elf-efficacy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support.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Asia-Pacific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72C" w:rsidRPr="00DF32B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72C" w:rsidRPr="00DF32B9">
        <w:rPr>
          <w:rFonts w:ascii="Times New Roman" w:eastAsia="Times New Roman" w:hAnsi="Times New Roman" w:cs="Times New Roman"/>
          <w:sz w:val="24"/>
          <w:szCs w:val="24"/>
        </w:rPr>
        <w:t>(2):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72C" w:rsidRPr="00DF32B9">
        <w:rPr>
          <w:rFonts w:ascii="Times New Roman" w:eastAsia="Times New Roman" w:hAnsi="Times New Roman" w:cs="Times New Roman"/>
          <w:sz w:val="24"/>
          <w:szCs w:val="24"/>
        </w:rPr>
        <w:t>147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772C" w:rsidRPr="00DF32B9">
        <w:rPr>
          <w:rFonts w:ascii="Times New Roman" w:eastAsia="Times New Roman" w:hAnsi="Times New Roman" w:cs="Times New Roman"/>
          <w:sz w:val="24"/>
          <w:szCs w:val="24"/>
        </w:rPr>
        <w:t>57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https://doi.org/10.1007/s40299-019-00461-5</w:t>
        </w:r>
      </w:hyperlink>
      <w:r w:rsidR="00CA711F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2474E" w14:textId="143D7691" w:rsidR="008F49C0" w:rsidRPr="00DF32B9" w:rsidRDefault="003209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94C">
        <w:rPr>
          <w:rFonts w:ascii="Times New Roman" w:eastAsia="Times New Roman" w:hAnsi="Times New Roman" w:cs="Times New Roman"/>
          <w:sz w:val="24"/>
          <w:szCs w:val="24"/>
        </w:rPr>
        <w:t>Dooyema</w:t>
      </w:r>
      <w:proofErr w:type="spellEnd"/>
      <w:r w:rsidRPr="003209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Carrie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Daphne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Copeland,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Julie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Sinclair,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94C">
        <w:rPr>
          <w:rFonts w:ascii="Times New Roman" w:eastAsia="Times New Roman" w:hAnsi="Times New Roman" w:cs="Times New Roman"/>
          <w:sz w:val="24"/>
          <w:szCs w:val="24"/>
        </w:rPr>
        <w:t>Jianrong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Shi,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Melinda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Wilkins,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Eden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Wells,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Jim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4C">
        <w:rPr>
          <w:rFonts w:ascii="Times New Roman" w:eastAsia="Times New Roman" w:hAnsi="Times New Roman" w:cs="Times New Roman"/>
          <w:sz w:val="24"/>
          <w:szCs w:val="24"/>
        </w:rPr>
        <w:t>Collins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2014.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Influencing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Closure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Dismissal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Decisions: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Influenza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(H1N1),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Michigan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2009.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84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(1):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56-62.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https://doi.org/10.1111/josh.12113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66F07" w14:textId="4154C914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Drane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Catherine,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Vernon,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Lynette,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Sarah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148FA" w:rsidRPr="00DF32B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Shea.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Vulnerable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learners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COVID‑19: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scoping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review.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Australian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72C" w:rsidRPr="00DF32B9">
        <w:rPr>
          <w:rFonts w:ascii="Times New Roman" w:eastAsia="Times New Roman" w:hAnsi="Times New Roman" w:cs="Times New Roman"/>
          <w:sz w:val="24"/>
          <w:szCs w:val="24"/>
        </w:rPr>
        <w:t>48: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72C" w:rsidRPr="00DF32B9">
        <w:rPr>
          <w:rFonts w:ascii="Times New Roman" w:eastAsia="Times New Roman" w:hAnsi="Times New Roman" w:cs="Times New Roman"/>
          <w:sz w:val="24"/>
          <w:szCs w:val="24"/>
        </w:rPr>
        <w:t>585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772C" w:rsidRPr="00DF32B9">
        <w:rPr>
          <w:rFonts w:ascii="Times New Roman" w:eastAsia="Times New Roman" w:hAnsi="Times New Roman" w:cs="Times New Roman"/>
          <w:sz w:val="24"/>
          <w:szCs w:val="24"/>
        </w:rPr>
        <w:t>604.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4A4" w:rsidRPr="00DF32B9">
        <w:rPr>
          <w:rFonts w:ascii="Times New Roman" w:eastAsia="Times New Roman" w:hAnsi="Times New Roman" w:cs="Times New Roman"/>
          <w:sz w:val="24"/>
          <w:szCs w:val="24"/>
        </w:rPr>
        <w:t>https://doi.org/10.1007/s13384-020-00409-5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FE2468" w14:textId="3BEA32B3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Drake,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Susan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M.,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Joanne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L.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Reid.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Shape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Story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Post-Pandemic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World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Brock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Education: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(2):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https://doi.org/10.26522/brocked.v29i2.838</w:t>
        </w:r>
      </w:hyperlink>
      <w:r w:rsidR="00320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C75A7B" w14:textId="06130FB0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Evans,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Ruth.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2002.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Poverty,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HIV,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Barriers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Street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C105EC" w:rsidRPr="00DF32B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Tanzania.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51-62</w:t>
      </w:r>
      <w:r w:rsidR="00C604A4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https://doi.org/10.1080/13552070215916</w:t>
        </w:r>
      </w:hyperlink>
      <w:r w:rsidR="00320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E7236F" w14:textId="46E23602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Evans,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Dabney,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Luffy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Samantha,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Parisi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Stephanie,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Carlos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Rio.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evelopment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assive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ourse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2014-15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irus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isease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pidemic.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Annals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Epidemiology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27: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611-15.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https://doi.org/10.1016/j.annepidem.2017.07.137</w:t>
        </w:r>
      </w:hyperlink>
      <w:r w:rsidR="00320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C916D" w14:textId="23CD4137" w:rsidR="00EB615C" w:rsidRPr="00DF32B9" w:rsidRDefault="00EB615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Fan,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Yi-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yun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Kathlyn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Elliott.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Sparse,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Pair-Wise,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Emotion-Focused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Interactions: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Educators’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Networking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Patterns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Twitter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C2402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ep373.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="00C604A4" w:rsidRPr="0032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https://doi.org/10.30935/cedtech/12058</w:t>
        </w:r>
      </w:hyperlink>
      <w:r w:rsidR="00320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731D0" w14:textId="6670D070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Fox,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Robert.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2004.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SARS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epidemic: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ICTs.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Beyond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comfort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zone: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Proceedings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21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st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ustralasian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ociety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omputers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ertiary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BA1E45" w:rsidRPr="00DF32B9">
        <w:rPr>
          <w:rFonts w:ascii="Times New Roman" w:eastAsia="Times New Roman" w:hAnsi="Times New Roman" w:cs="Times New Roman"/>
          <w:i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Conference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A1E45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Perth,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F5B5E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Western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A1E45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F5B5E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December</w:t>
      </w:r>
      <w:r w:rsidR="001F5B5E"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319-27.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B5E"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ASCILITE.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31" w:history="1">
        <w:r w:rsidR="00C105EC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http://www.ascilite.org.au/conferences/perth04/procs/fox.html</w:t>
        </w:r>
      </w:hyperlink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554EE642" w14:textId="5443ED73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Fritz,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Samantha,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Milligan,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Nick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Ruest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Jimmy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Lin.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distance: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datathon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Digital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Library</w:t>
      </w:r>
      <w:r w:rsidR="004367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Perspectives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1F5B5E" w:rsidRPr="00DF32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36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1F5B5E" w:rsidRPr="00DF32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(4):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1F5B5E" w:rsidRPr="00DF32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415</w:t>
      </w:r>
      <w:r w:rsidR="003C083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-</w:t>
      </w:r>
      <w:r w:rsidR="001F5B5E" w:rsidRPr="00DF32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28.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hyperlink r:id="rId32" w:history="1">
        <w:r w:rsidR="00C604A4" w:rsidRPr="0032094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https://doi.org/10.1108/dlp-04-2020-0024</w:t>
        </w:r>
      </w:hyperlink>
      <w:r w:rsidR="0032094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14:paraId="017BE08F" w14:textId="5846494D" w:rsidR="001257C4" w:rsidRPr="003B5E6C" w:rsidRDefault="001257C4" w:rsidP="00DF32B9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García,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Emma,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Elaine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Weiss.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performance,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equity,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policy: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Lessons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pre-pandemic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inform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relief,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recovery,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rebuilding.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3B5E6C">
        <w:rPr>
          <w:rFonts w:ascii="Times New Roman" w:eastAsia="Times New Roman" w:hAnsi="Times New Roman" w:cs="Times New Roman"/>
          <w:i/>
          <w:sz w:val="24"/>
          <w:szCs w:val="24"/>
        </w:rPr>
        <w:t>Economic</w:t>
      </w:r>
      <w:r w:rsidR="00436702" w:rsidRPr="003B5E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i/>
          <w:sz w:val="24"/>
          <w:szCs w:val="24"/>
        </w:rPr>
        <w:t>Policy</w:t>
      </w:r>
      <w:r w:rsidR="00436702" w:rsidRPr="003B5E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i/>
          <w:sz w:val="24"/>
          <w:szCs w:val="24"/>
        </w:rPr>
        <w:t>Institute.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>
        <w:r w:rsidRPr="003B5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https://www.epi.org/publication/the-consequences-of-the-covid-19-pandemic-for-education-performance-and-equity-in-the-united-states-what-can-we-learn-from-pre-pandemic-research-to-inform-relief-recovery-and-rebuilding/</w:t>
        </w:r>
      </w:hyperlink>
      <w:r w:rsidR="0032094C" w:rsidRPr="003B5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BD558" w14:textId="354EE691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Gares</w:t>
      </w:r>
      <w:proofErr w:type="spellEnd"/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Sheryl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L.,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James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Kariuki,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and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Brian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Rempel</w:t>
      </w:r>
      <w:r w:rsidR="001F5B5E"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1F5B5E"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2020.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“</w:t>
      </w:r>
      <w:proofErr w:type="spellStart"/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CommUnity</w:t>
      </w:r>
      <w:proofErr w:type="spellEnd"/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matters: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Student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nstructor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elationships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F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oster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tudent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otivation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and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En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gagement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in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an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mergency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emote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eaching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D5F5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nvironment.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” </w:t>
      </w:r>
      <w:r w:rsidRPr="00DF32B9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Journal</w:t>
      </w:r>
      <w:r w:rsidR="00436702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of</w:t>
      </w:r>
      <w:r w:rsidR="00436702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Chemical</w:t>
      </w:r>
      <w:r w:rsidR="00436702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Education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97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1F5B5E"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(9):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3332-35.</w:t>
      </w:r>
      <w:r w:rsidR="0043670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34" w:history="1">
        <w:r w:rsidR="00C604A4" w:rsidRPr="008D5F5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https://doi.org/10.1021/acs.jchemed.0c00635</w:t>
        </w:r>
      </w:hyperlink>
      <w:r w:rsidR="00C604A4" w:rsidRPr="00DF32B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01347693" w14:textId="30265C3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Gillis,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Alanna,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Laura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Krull.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Transition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Spring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Structures,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Perceptions,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Inequality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Courses.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Sociology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283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99.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="00C604A4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https://doi.org/10.1177/0092055x20954263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35047" w14:textId="294E7543" w:rsidR="00685A66" w:rsidRPr="00DF32B9" w:rsidRDefault="00685A66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Greenhow,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Christine,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Amy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Chapman</w:t>
      </w:r>
      <w:r w:rsidRPr="00DF32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istancing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edia: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igital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onnecting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tudents,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eachers,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itizens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mergency.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Sciences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121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(5-6):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341-52.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history="1">
        <w:r w:rsidR="00C604A4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https://doi.org/10.1108/ils-04-2020-0134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E36D0" w14:textId="163F01FD" w:rsidR="00294C58" w:rsidRPr="00DF32B9" w:rsidRDefault="008D5F58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58">
        <w:rPr>
          <w:rFonts w:ascii="Times New Roman" w:eastAsia="Times New Roman" w:hAnsi="Times New Roman" w:cs="Times New Roman"/>
          <w:sz w:val="24"/>
          <w:szCs w:val="24"/>
        </w:rPr>
        <w:t>Gu,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Jing,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Ying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Zhong,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F58">
        <w:rPr>
          <w:rFonts w:ascii="Times New Roman" w:eastAsia="Times New Roman" w:hAnsi="Times New Roman" w:cs="Times New Roman"/>
          <w:sz w:val="24"/>
          <w:szCs w:val="24"/>
        </w:rPr>
        <w:t>Yuantao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Hao,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F58">
        <w:rPr>
          <w:rFonts w:ascii="Times New Roman" w:eastAsia="Times New Roman" w:hAnsi="Times New Roman" w:cs="Times New Roman"/>
          <w:sz w:val="24"/>
          <w:szCs w:val="24"/>
        </w:rPr>
        <w:t>Daming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Zhou,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F58">
        <w:rPr>
          <w:rFonts w:ascii="Times New Roman" w:eastAsia="Times New Roman" w:hAnsi="Times New Roman" w:cs="Times New Roman"/>
          <w:sz w:val="24"/>
          <w:szCs w:val="24"/>
        </w:rPr>
        <w:t>Hiyi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F58">
        <w:rPr>
          <w:rFonts w:ascii="Times New Roman" w:eastAsia="Times New Roman" w:hAnsi="Times New Roman" w:cs="Times New Roman"/>
          <w:sz w:val="24"/>
          <w:szCs w:val="24"/>
        </w:rPr>
        <w:t>Tsui</w:t>
      </w:r>
      <w:proofErr w:type="spellEnd"/>
      <w:r w:rsidRPr="008D5F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Chun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Hao,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Qi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Gao,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F58">
        <w:rPr>
          <w:rFonts w:ascii="Times New Roman" w:eastAsia="Times New Roman" w:hAnsi="Times New Roman" w:cs="Times New Roman"/>
          <w:sz w:val="24"/>
          <w:szCs w:val="24"/>
        </w:rPr>
        <w:t>Wenhua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Ling,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Joseph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F58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Fai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Lau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2015.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Preventative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Behavior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Distress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H1N1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Among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Guangzhou,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China.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294C58" w:rsidRPr="00DF32B9">
        <w:rPr>
          <w:rFonts w:ascii="Times New Roman" w:eastAsia="Times New Roman" w:hAnsi="Times New Roman" w:cs="Times New Roman"/>
          <w:i/>
          <w:sz w:val="24"/>
          <w:szCs w:val="24"/>
        </w:rPr>
        <w:t>Asia-Pacific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(2):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58" w:rsidRPr="00DF32B9">
        <w:rPr>
          <w:rFonts w:ascii="Times New Roman" w:eastAsia="Times New Roman" w:hAnsi="Times New Roman" w:cs="Times New Roman"/>
          <w:sz w:val="24"/>
          <w:szCs w:val="24"/>
        </w:rPr>
        <w:t>NP1867-NP1879.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history="1">
        <w:r w:rsidR="00C604A4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https://doi.org/10.1177/1010539512443699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72D3C" w14:textId="4C7A8D24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Gudmundsdottir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Greta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Dawn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Hathoway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‘We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Always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Work’: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risis.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(2):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239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50.</w:t>
      </w:r>
    </w:p>
    <w:p w14:paraId="120F44F2" w14:textId="64D8E349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Hallgarten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Joe.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>o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Mitigate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Negative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Outbreaks.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C103F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K4D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C103F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Helpdesk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C103F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Report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3F" w:rsidRPr="00DF32B9">
        <w:rPr>
          <w:rFonts w:ascii="Times New Roman" w:eastAsia="Times New Roman" w:hAnsi="Times New Roman" w:cs="Times New Roman"/>
          <w:sz w:val="24"/>
          <w:szCs w:val="24"/>
        </w:rPr>
        <w:t>793.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3F" w:rsidRPr="00DF32B9">
        <w:rPr>
          <w:rFonts w:ascii="Times New Roman" w:eastAsia="Times New Roman" w:hAnsi="Times New Roman" w:cs="Times New Roman"/>
          <w:sz w:val="24"/>
          <w:szCs w:val="24"/>
        </w:rPr>
        <w:t>Reading,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3F" w:rsidRPr="00DF32B9">
        <w:rPr>
          <w:rFonts w:ascii="Times New Roman" w:eastAsia="Times New Roman" w:hAnsi="Times New Roman" w:cs="Times New Roman"/>
          <w:sz w:val="24"/>
          <w:szCs w:val="24"/>
        </w:rPr>
        <w:t>UK: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Trust.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38" w:history="1">
        <w:r w:rsidR="00C105EC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https://opendocs.ids.ac.uk/opendocs/bitstream/handle/20.500.12413/15202/793_mitigating_education_effects_of_disease_outbreaks.pdf?sequence=6</w:t>
        </w:r>
      </w:hyperlink>
      <w:r w:rsidR="008D5F58">
        <w:rPr>
          <w:rStyle w:val="Hyperlink"/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12C39" w14:textId="21D48AD4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Hoadley,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Ursula.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2007.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Boundaries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are: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1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upporting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ulnerable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ontext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HIV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AIDS.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African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AIDS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251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="00C604A4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https://doi.org/10.2989/16085900709490421</w:t>
        </w:r>
      </w:hyperlink>
      <w:r w:rsidR="00C604A4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6DAEE" w14:textId="05C083B9" w:rsidR="00EB673B" w:rsidRPr="00DF32B9" w:rsidRDefault="008D5F58" w:rsidP="00DF32B9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D5F58">
        <w:rPr>
          <w:rFonts w:ascii="Times New Roman" w:eastAsia="Times New Roman" w:hAnsi="Times New Roman" w:cs="Times New Roman"/>
          <w:sz w:val="24"/>
          <w:szCs w:val="24"/>
        </w:rPr>
        <w:t>Hodges,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Charles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B.,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Stephanie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Moore,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Barbara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B.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F58">
        <w:rPr>
          <w:rFonts w:ascii="Times New Roman" w:eastAsia="Times New Roman" w:hAnsi="Times New Roman" w:cs="Times New Roman"/>
          <w:sz w:val="24"/>
          <w:szCs w:val="24"/>
        </w:rPr>
        <w:t>Lockee</w:t>
      </w:r>
      <w:proofErr w:type="spellEnd"/>
      <w:r w:rsidRPr="008D5F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Torrey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Trust,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Mark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Aaron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58">
        <w:rPr>
          <w:rFonts w:ascii="Times New Roman" w:eastAsia="Times New Roman" w:hAnsi="Times New Roman" w:cs="Times New Roman"/>
          <w:sz w:val="24"/>
          <w:szCs w:val="24"/>
        </w:rPr>
        <w:t>Bond.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learning.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EDUCAUSE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 w:rsid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" w:history="1">
        <w:r w:rsidR="00C604A4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https://doi.org/10.3389/feduc.2022.921332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hyperlink w:history="1"/>
    </w:p>
    <w:p w14:paraId="2D7095D9" w14:textId="77B0F3CB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Huber,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Audrey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Failing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Desk: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Performing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Communication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464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79.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" w:history="1">
        <w:r w:rsidR="00C604A4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https://doi.org/10.1080/03634523.2020.1803379</w:t>
        </w:r>
      </w:hyperlink>
      <w:r w:rsidR="00C604A4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1636C" w14:textId="743AE0D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Hirsch,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Eric,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Courtney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Allison.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Measure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Up?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Underscores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Quality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Curriculum.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Professional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31.</w:t>
      </w:r>
    </w:p>
    <w:p w14:paraId="21C3BD6F" w14:textId="77777777" w:rsidR="003B5E6C" w:rsidRDefault="002824AF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INEE (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</w:t>
      </w:r>
      <w:r w:rsidR="008A2F39" w:rsidRPr="00DF32B9">
        <w:rPr>
          <w:rFonts w:ascii="Times New Roman" w:eastAsia="Times New Roman" w:hAnsi="Times New Roman" w:cs="Times New Roman"/>
          <w:sz w:val="24"/>
          <w:szCs w:val="24"/>
        </w:rPr>
        <w:t>nter</w:t>
      </w:r>
      <w:r w:rsidR="00C809C8" w:rsidRPr="00DF32B9">
        <w:rPr>
          <w:rFonts w:ascii="Times New Roman" w:eastAsia="Times New Roman" w:hAnsi="Times New Roman" w:cs="Times New Roman"/>
          <w:sz w:val="24"/>
          <w:szCs w:val="24"/>
        </w:rPr>
        <w:t>-agency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F39" w:rsidRPr="00DF32B9">
        <w:rPr>
          <w:rFonts w:ascii="Times New Roman" w:eastAsia="Times New Roman" w:hAnsi="Times New Roman" w:cs="Times New Roman"/>
          <w:sz w:val="24"/>
          <w:szCs w:val="24"/>
        </w:rPr>
        <w:t>Network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F39"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F39"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F39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F39" w:rsidRPr="00DF32B9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iCs/>
          <w:sz w:val="24"/>
          <w:szCs w:val="24"/>
        </w:rPr>
        <w:t>Minimum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Cs/>
          <w:sz w:val="24"/>
          <w:szCs w:val="24"/>
        </w:rPr>
        <w:t>Standards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Cs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Cs/>
          <w:sz w:val="24"/>
          <w:szCs w:val="24"/>
        </w:rPr>
        <w:t>Education: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Cs/>
          <w:sz w:val="24"/>
          <w:szCs w:val="24"/>
        </w:rPr>
        <w:t>Preparedness,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Cs/>
          <w:sz w:val="24"/>
          <w:szCs w:val="24"/>
        </w:rPr>
        <w:t>Response,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Cs/>
          <w:sz w:val="24"/>
          <w:szCs w:val="24"/>
        </w:rPr>
        <w:t>Recovery.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” New York: </w:t>
      </w:r>
      <w:r w:rsidR="00C809C8" w:rsidRPr="00DF32B9">
        <w:rPr>
          <w:rFonts w:ascii="Times New Roman" w:eastAsia="Times New Roman" w:hAnsi="Times New Roman" w:cs="Times New Roman"/>
          <w:sz w:val="24"/>
          <w:szCs w:val="24"/>
        </w:rPr>
        <w:t>INEE.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="00C105EC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https://inee.org/standards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5522A" w14:textId="77777777" w:rsidR="003B5E6C" w:rsidRDefault="002824AF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INEE (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Inter-agency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Emergencies).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Guidance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Note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Psychosocial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New York: </w:t>
      </w:r>
      <w:r w:rsidR="00C809C8" w:rsidRPr="00DF32B9">
        <w:rPr>
          <w:rFonts w:ascii="Times New Roman" w:eastAsia="Times New Roman" w:hAnsi="Times New Roman" w:cs="Times New Roman"/>
          <w:sz w:val="24"/>
          <w:szCs w:val="24"/>
        </w:rPr>
        <w:t>INEE.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>
        <w:r w:rsidR="0046624C" w:rsidRPr="00DF3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https://inee.org/resources/inee-guidance-note-psychosocial-support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44FD85" w14:textId="1645352A" w:rsidR="008F49C0" w:rsidRPr="00DF32B9" w:rsidRDefault="002824AF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INEE (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Inter-agency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Emergencies).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Evidence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Gaps</w:t>
      </w:r>
      <w:r w:rsidR="00C809C8" w:rsidRPr="00DF32B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New York: </w:t>
      </w:r>
      <w:r w:rsidR="00C809C8" w:rsidRPr="00DF32B9">
        <w:rPr>
          <w:rFonts w:ascii="Times New Roman" w:eastAsia="Times New Roman" w:hAnsi="Times New Roman" w:cs="Times New Roman"/>
          <w:iCs/>
          <w:sz w:val="24"/>
          <w:szCs w:val="24"/>
        </w:rPr>
        <w:t>INEE.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44">
        <w:r w:rsidR="0046624C" w:rsidRPr="00DF3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https://inee.org/system/files/resources/C19%20Evidence%20Gaps%20Survey%20Analytics_for%20web.pdf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8EBBB" w14:textId="0E5E8FC8" w:rsidR="00F74DCD" w:rsidRPr="00DF32B9" w:rsidRDefault="00F74DCD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Iyengar,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Radhika.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2021.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Rethinking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ommunity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articipation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ost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Covid-19.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Prospects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C083D">
        <w:rPr>
          <w:rFonts w:ascii="Times New Roman" w:eastAsia="Times New Roman" w:hAnsi="Times New Roman" w:cs="Times New Roman"/>
          <w:sz w:val="24"/>
          <w:szCs w:val="24"/>
          <w:lang w:val="en-US"/>
        </w:rPr>
        <w:t>51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="003C083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437-47.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45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https://doi.org/10.1007/s11125-020-09538-2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EBE9403" w14:textId="1C38AFD8" w:rsidR="008F49C0" w:rsidRPr="003B5E6C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Jalloh,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Yanoh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Kay,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Muktarr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Raschid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Evaluating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Tertiary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Leone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3B5E6C">
        <w:rPr>
          <w:rFonts w:ascii="Times New Roman" w:eastAsia="Times New Roman" w:hAnsi="Times New Roman" w:cs="Times New Roman"/>
          <w:i/>
          <w:sz w:val="24"/>
          <w:szCs w:val="24"/>
        </w:rPr>
        <w:t>Professors</w:t>
      </w:r>
      <w:r w:rsidR="00436702" w:rsidRPr="003B5E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09C8" w:rsidRPr="003B5E6C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3B5E6C">
        <w:rPr>
          <w:rFonts w:ascii="Times New Roman" w:eastAsia="Times New Roman" w:hAnsi="Times New Roman" w:cs="Times New Roman"/>
          <w:i/>
          <w:sz w:val="24"/>
          <w:szCs w:val="24"/>
        </w:rPr>
        <w:t>ithout</w:t>
      </w:r>
      <w:r w:rsidR="00436702" w:rsidRPr="003B5E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09C8" w:rsidRPr="003B5E6C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3B5E6C">
        <w:rPr>
          <w:rFonts w:ascii="Times New Roman" w:eastAsia="Times New Roman" w:hAnsi="Times New Roman" w:cs="Times New Roman"/>
          <w:i/>
          <w:sz w:val="24"/>
          <w:szCs w:val="24"/>
        </w:rPr>
        <w:t>orders</w:t>
      </w:r>
      <w:r w:rsidR="00871FF5" w:rsidRPr="003B5E6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="008D5F58" w:rsidRPr="003B5E6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</w:t>
        </w:r>
        <w:r w:rsidR="00C809C8" w:rsidRPr="003B5E6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10.13140/RG.2.2.21871.33443</w:t>
        </w:r>
      </w:hyperlink>
      <w:r w:rsidR="008D5F58" w:rsidRPr="003B5E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40EF84" w14:textId="7F14E6F6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Jameson,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J.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Matt,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Sondra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M.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D5F58"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Stegenga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Joanna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D5F58"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Ryan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  <w:lang w:val="es-E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Ambra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Green.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Special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Quarterly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181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92.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https://doi.org/10.1177/8756870520959659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2C5D0" w14:textId="7F7F2495" w:rsidR="008F49C0" w:rsidRPr="00F156DB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Kansas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Equity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Guidance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Continuous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2020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1FF5"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KSDE.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hyperlink r:id="rId48" w:history="1">
        <w:r w:rsidR="00871FF5" w:rsidRPr="00F156D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https://files-eric-ed-gov.ezproxy2.library.drexel.edu/fulltext/ED608332.pdf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FA2D910" w14:textId="06E91286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Kuhfeld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Megan,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James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5F58" w:rsidRPr="00DF32B9">
        <w:rPr>
          <w:rFonts w:ascii="Times New Roman" w:eastAsia="Times New Roman" w:hAnsi="Times New Roman" w:cs="Times New Roman"/>
          <w:sz w:val="24"/>
          <w:szCs w:val="24"/>
        </w:rPr>
        <w:t>Soland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Beth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5F58" w:rsidRPr="00DF32B9">
        <w:rPr>
          <w:rFonts w:ascii="Times New Roman" w:eastAsia="Times New Roman" w:hAnsi="Times New Roman" w:cs="Times New Roman"/>
          <w:sz w:val="24"/>
          <w:szCs w:val="24"/>
        </w:rPr>
        <w:t>Tarasawa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Angela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 w:rsidRPr="00DF32B9">
        <w:rPr>
          <w:rFonts w:ascii="Times New Roman" w:eastAsia="Times New Roman" w:hAnsi="Times New Roman" w:cs="Times New Roman"/>
          <w:sz w:val="24"/>
          <w:szCs w:val="24"/>
        </w:rPr>
        <w:t>Johnson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Erik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5F58" w:rsidRPr="00DF32B9">
        <w:rPr>
          <w:rFonts w:ascii="Times New Roman" w:eastAsia="Times New Roman" w:hAnsi="Times New Roman" w:cs="Times New Roman"/>
          <w:sz w:val="24"/>
          <w:szCs w:val="24"/>
        </w:rPr>
        <w:t>Ruzek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Liu.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Projecting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Closures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Achievement.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(8):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549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65.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https://doi.org/10.3102/0013189x20965918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0BF4E" w14:textId="689B1D4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Lave,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Jean,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Etienne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Wenger.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1991.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Situated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earning: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Legitimate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eripheral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articipation.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1FF5"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Cambridge,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71FF5"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UK</w:t>
      </w:r>
      <w:r w:rsidR="00C105EC" w:rsidRPr="00DF32B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="0043670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Cambridge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University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Press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50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https://doi.org/10.1002/acp.2350070111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5027C024" w14:textId="0F4450EE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Lázaro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Lorente,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Luis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Miguel,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D5F58"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Ana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Ancheta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Arrabal,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  <w:lang w:val="es-E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Cristina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s-ES"/>
        </w:rPr>
        <w:t>Pulido-Montes.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Right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Perspective.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Sustainability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(9091)</w:t>
      </w:r>
      <w:r w:rsidR="00086B63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63" w:rsidRPr="00DF32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6B63" w:rsidRPr="00DF32B9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https://doi.org/10.3390/su12219091</w:t>
        </w:r>
      </w:hyperlink>
      <w:r w:rsidR="008D5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C65EB" w14:textId="24B7A78E" w:rsidR="008F49C0" w:rsidRPr="00F156DB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Macià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Maria,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Iolanda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García.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Informal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Networks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Source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Development: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Review.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55: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291-307.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" w:history="1">
        <w:r w:rsidR="00027719" w:rsidRPr="00F156D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https://doi.org/10.1016/j.tate.2016.01.021</w:t>
        </w:r>
      </w:hyperlink>
      <w:r w:rsidR="008D5F58"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22EBB9D" w14:textId="6DC326C1" w:rsidR="008F49C0" w:rsidRPr="00DF32B9" w:rsidRDefault="008D5F58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Main,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Alexandra,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Zhou,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Yue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Linda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Luecken</w:t>
      </w:r>
      <w:proofErr w:type="spellEnd"/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Liu</w:t>
      </w:r>
      <w:r w:rsidR="0046624C"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624C" w:rsidRPr="00F156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2011.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SARS-Related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Stressors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Coping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Chinese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College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Students’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Adjustment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Beijing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SARS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Epidemic.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Counseling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Psychology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410</w:t>
      </w:r>
      <w:r w:rsidR="003C08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6624C"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3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https://doi.org/10.1037/a0023632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19B8EB" w14:textId="657B2D71" w:rsidR="00E82F06" w:rsidRPr="00DF32B9" w:rsidRDefault="00E82F06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McMillan,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David.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W.,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Chavis,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David.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1986.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Sense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community: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definition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theory.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Journal</w:t>
      </w:r>
      <w:r w:rsidR="00436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of</w:t>
      </w:r>
      <w:r w:rsidR="00436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AF4218" w:rsidRPr="00DF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</w:t>
      </w:r>
      <w:r w:rsidRPr="00DF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ommunity</w:t>
      </w:r>
      <w:r w:rsidR="00436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AF4218" w:rsidRPr="00DF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DF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sychology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(1)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6-23.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54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https://doi.org/10.1002/1520-6629(198601)14:1&lt;6::aid-jcop2290140103&gt;3.0.co;2-i</w:t>
        </w:r>
      </w:hyperlink>
      <w:r w:rsidR="008D5F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5E06EAC" w14:textId="4BAB6C27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McNaught,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Carmel.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arrative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nderstand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onvergence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istance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ampus‐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ased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earning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SARS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Hong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Kong.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E86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Media</w:t>
      </w:r>
      <w:r w:rsidR="00436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183-93.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5" w:history="1">
        <w:r w:rsidR="00027719" w:rsidRPr="008D5F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https://doi.org/10.1080/09523980410001680806</w:t>
        </w:r>
      </w:hyperlink>
      <w:r w:rsidR="008D5F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02810C" w14:textId="47D42003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Menzel,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Anne.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2019.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‘Without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Become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President’: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Teenage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Pseudo-empowerment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Post-Ebola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Leone.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Intervention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Statebuilding</w:t>
      </w:r>
      <w:proofErr w:type="spellEnd"/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440-58.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6" w:history="1"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https://doi.org/10.1080/17502977.2019.1612992</w:t>
        </w:r>
      </w:hyperlink>
      <w:r w:rsidR="00261D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1D648E" w14:textId="4CCF11A0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Minahan</w:t>
      </w:r>
      <w:proofErr w:type="spellEnd"/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Jessica.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Relationships,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Reducing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Anxiety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Learning.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Educational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Leadership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78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(2):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</w:t>
      </w:r>
      <w:r w:rsidR="003C08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27.</w:t>
      </w:r>
    </w:p>
    <w:p w14:paraId="69A32470" w14:textId="49829BE3" w:rsidR="00A5246F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Mishra,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Lokanath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Tushar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 w:rsidRPr="00DF32B9">
        <w:rPr>
          <w:rFonts w:ascii="Times New Roman" w:eastAsia="Times New Roman" w:hAnsi="Times New Roman" w:cs="Times New Roman"/>
          <w:sz w:val="24"/>
          <w:szCs w:val="24"/>
        </w:rPr>
        <w:t>Gupta,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Abha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Shree.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eaching-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ockdown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eriod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Open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(100012)</w:t>
      </w:r>
      <w:r w:rsidR="001D7FE6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FE6" w:rsidRPr="00DF32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7FE6" w:rsidRPr="00DF32B9">
        <w:rPr>
          <w:rFonts w:ascii="Times New Roman" w:eastAsia="Times New Roman" w:hAnsi="Times New Roman" w:cs="Times New Roman"/>
          <w:sz w:val="24"/>
          <w:szCs w:val="24"/>
        </w:rPr>
        <w:t>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" w:history="1"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https://doi.org/10.1016/j.ijedro.2020.100012</w:t>
        </w:r>
      </w:hyperlink>
      <w:r w:rsidR="00261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0FAAA" w14:textId="77777777" w:rsidR="003B5E6C" w:rsidRDefault="0046624C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Murray,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</w:t>
      </w:r>
      <w:r w:rsidR="00A5246F" w:rsidRPr="00DF32B9">
        <w:rPr>
          <w:rFonts w:ascii="Times New Roman" w:eastAsia="Times New Roman" w:hAnsi="Times New Roman" w:cs="Times New Roman"/>
          <w:sz w:val="24"/>
          <w:szCs w:val="24"/>
        </w:rPr>
        <w:t>ohn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War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onflict: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ddressing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sychosocial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eeds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efugees.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Early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Childhood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A5246F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3-18.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" w:history="1"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https://doi.org/10.1080/10901027.2019.1569184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AC08CB" w14:textId="64023751" w:rsidR="008F49C0" w:rsidRPr="00DF32B9" w:rsidRDefault="0046624C" w:rsidP="003B5E6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Nóvoa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António,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Yara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Alvin.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Nothing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New,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Everything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Changed: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Viewpoint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Prospects: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Quarterly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Comparative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-41</w:t>
      </w:r>
      <w:r w:rsidR="00027719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" w:history="1"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https://doi.org/10.1007/s11125</w:t>
        </w:r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</w:t>
        </w:r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020-09487-w</w:t>
        </w:r>
      </w:hyperlink>
      <w:r w:rsidR="00261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5CCAA" w14:textId="43CF1C37" w:rsidR="008F49C0" w:rsidRPr="003B5E6C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Pattenaude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Rich,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KarenAnn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Caldwell.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Instruction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Prioritize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Motivation,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Engagement.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England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Education.</w:t>
      </w:r>
      <w:r w:rsidR="003B5E6C" w:rsidRPr="003B5E6C">
        <w:t xml:space="preserve"> </w:t>
      </w:r>
      <w:hyperlink r:id="rId60" w:history="1">
        <w:r w:rsidR="003B5E6C" w:rsidRPr="003B5E6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https://nebhe.org/journal/good-online-instruction-must-prioritize-student-motivation-not-just-engagement/</w:t>
        </w:r>
      </w:hyperlink>
      <w:r w:rsidR="003B5E6C" w:rsidRPr="003B5E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36F98CBF" w14:textId="5C9A871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Pärnebjörk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Alexandra.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Left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own: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Empowerment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Mothers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Post-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Sierra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Leone.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Master’s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thesis,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Lund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</w:t>
      </w:r>
      <w:r w:rsidR="001D7FE6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D7FE6" w:rsidRPr="00E8600B">
        <w:rPr>
          <w:rFonts w:ascii="Times New Roman" w:eastAsia="Times New Roman" w:hAnsi="Times New Roman" w:cs="Times New Roman"/>
          <w:i/>
          <w:iCs/>
          <w:sz w:val="24"/>
          <w:szCs w:val="24"/>
        </w:rPr>
        <w:t>Sweden.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993FF3" w14:textId="045A928C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Perrotta,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Katherine,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Chara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Haeussler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Bohan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Reflective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Effective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Higher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50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" w:history="1"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https://doi.org/10.36021/jethe.v3i1.9</w:t>
        </w:r>
      </w:hyperlink>
      <w:r w:rsidR="00261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70878" w14:textId="582E9A7B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Pettifor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Audrey,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Brooke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B2" w:rsidRPr="00DF32B9">
        <w:rPr>
          <w:rFonts w:ascii="Times New Roman" w:eastAsia="Times New Roman" w:hAnsi="Times New Roman" w:cs="Times New Roman"/>
          <w:sz w:val="24"/>
          <w:szCs w:val="24"/>
        </w:rPr>
        <w:t>Levandowski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Catherine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 w:rsidRPr="00DF32B9">
        <w:rPr>
          <w:rFonts w:ascii="Times New Roman" w:eastAsia="Times New Roman" w:hAnsi="Times New Roman" w:cs="Times New Roman"/>
          <w:sz w:val="24"/>
          <w:szCs w:val="24"/>
        </w:rPr>
        <w:t>MacPhail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Nancy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B2" w:rsidRPr="00DF32B9">
        <w:rPr>
          <w:rFonts w:ascii="Times New Roman" w:eastAsia="Times New Roman" w:hAnsi="Times New Roman" w:cs="Times New Roman"/>
          <w:sz w:val="24"/>
          <w:szCs w:val="24"/>
        </w:rPr>
        <w:t>Padian</w:t>
      </w:r>
      <w:proofErr w:type="spellEnd"/>
      <w:r w:rsidR="00261DB2"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Myron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 w:rsidRPr="00DF32B9">
        <w:rPr>
          <w:rFonts w:ascii="Times New Roman" w:eastAsia="Times New Roman" w:hAnsi="Times New Roman" w:cs="Times New Roman"/>
          <w:sz w:val="24"/>
          <w:szCs w:val="24"/>
        </w:rPr>
        <w:t>Cohen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Helen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2008.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hem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chool: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Protective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Factor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Against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HIV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Infection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mong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South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African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 w:rsidRPr="00DF32B9">
        <w:rPr>
          <w:rFonts w:ascii="Times New Roman" w:eastAsia="Times New Roman" w:hAnsi="Times New Roman" w:cs="Times New Roman"/>
          <w:sz w:val="24"/>
          <w:szCs w:val="24"/>
        </w:rPr>
        <w:t>Women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Epidemiology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37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(6):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126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73.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history="1">
        <w:r w:rsidR="00027719" w:rsidRPr="0026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https://doi.org/10.1093/ije/dyn131</w:t>
        </w:r>
      </w:hyperlink>
      <w:r w:rsidR="00261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CD076" w14:textId="677D74B4" w:rsidR="008F49C0" w:rsidRPr="00DF32B9" w:rsidRDefault="00323E64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E64">
        <w:rPr>
          <w:rFonts w:ascii="Times New Roman" w:eastAsia="Times New Roman" w:hAnsi="Times New Roman" w:cs="Times New Roman"/>
          <w:sz w:val="24"/>
          <w:szCs w:val="24"/>
        </w:rPr>
        <w:t>Qazi,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Atika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Khulla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Naseer,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Javaria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Qazi,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Hussain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AlSalman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Usman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Naseem,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Shuiqing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Yang,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Glenn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Hardaker,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Abdu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Gumaei</w:t>
      </w:r>
      <w:proofErr w:type="spellEnd"/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Conventional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andemic: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evelop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nderdeveloped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cope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alike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Children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Youth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Services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119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(105582)</w:t>
      </w:r>
      <w:r w:rsidR="00F74DC3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DC3" w:rsidRPr="00DF32B9">
        <w:rPr>
          <w:rFonts w:ascii="Times New Roman" w:eastAsia="Times New Roman" w:hAnsi="Times New Roman" w:cs="Times New Roman"/>
          <w:sz w:val="24"/>
          <w:szCs w:val="24"/>
        </w:rPr>
        <w:t>1-6.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" w:history="1">
        <w:r w:rsidR="003B5E6C" w:rsidRPr="007C1E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https://doi.org/10.1016/j.childyouth.2020.105582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12C34" w14:textId="089FF516" w:rsidR="008F49C0" w:rsidRPr="00DF32B9" w:rsidRDefault="00323E64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Aliyyah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Rusi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Rusmiati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Reza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Rachmadtullah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Achmad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Samsudin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Ernawulan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Syaodih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Muhammad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Nurtanto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Anna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Riana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Suryanti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Tambunan</w:t>
      </w:r>
      <w:proofErr w:type="spellEnd"/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Perceptions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Primary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Period: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Case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Indonesia.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Ethnic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Cultural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Studies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(2):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90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109.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" w:history="1">
        <w:r w:rsidR="0002771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https://doi.org/10.29333/ejecs/388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BB0924" w14:textId="4F033898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Action.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Tools: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Survey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Philadelphia,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Pittsburgh,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Scranton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Neshaminy.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Philadelphia: Research for Action. </w:t>
      </w:r>
      <w:hyperlink r:id="rId65" w:history="1">
        <w:r w:rsidR="0065698A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https://www.researchforaction.org/publications/teacher-perceptions-of-online-t</w:t>
        </w:r>
        <w:r w:rsidR="0065698A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="0065698A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aching-tools-during-covid-19/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B847997" w14:textId="6BFC39FE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Robson,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Sue,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Kanyanta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Bonaventure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Sylvester.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2007.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Orphaned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ulnerable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Zambia: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HIV/AIDS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pidemic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asic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hildren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isk.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49: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259-72.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" w:history="1">
        <w:r w:rsidR="0002771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https://doi.org/10.1080/00131880701550508</w:t>
        </w:r>
      </w:hyperlink>
      <w:r w:rsidR="00323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398E0B" w14:textId="007BD238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Roman,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Tiffany.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Supporting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Mental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hrough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Trauma-Informed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Practices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Adaptive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Formative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</w:rPr>
        <w:t>Tools.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(2):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473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81.</w:t>
      </w:r>
    </w:p>
    <w:p w14:paraId="73972F59" w14:textId="394C7F77" w:rsidR="008F49C0" w:rsidRPr="00DF32B9" w:rsidRDefault="00323E64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Rupnow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Rachel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L.,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Nicole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LaDue,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Nicole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James,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Heather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Bergan-Roller.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Perturbed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System: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Tenured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Responded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Shift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Instruction.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Chemical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97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(9):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2397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407.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" w:history="1">
        <w:r w:rsidR="0002771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https://doi.org/10.1021/acs.jchemed.0c00802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05C33" w14:textId="6A5BA3B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Rush,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Craig,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Joanna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Wheeler,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Ashely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Partridge.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2014.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means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closings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catastrophic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disasters.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Emergency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(3-4):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241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" w:history="1">
        <w:r w:rsidR="003B5E6C" w:rsidRPr="007C1E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https://doi.org/10.1504/ijem.2014.066481</w:t>
        </w:r>
      </w:hyperlink>
      <w:r w:rsidR="003B5E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DDD589" w14:textId="661861E2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Saleh,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Arifin,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Mujahiddin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Mujahiddin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pportunities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mpowerment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ractices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hrough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trengthening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igher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Budapest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Critics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Institute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(BIRCI-Journal):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Humanities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Social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Sciences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1105-13.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" w:history="1">
        <w:r w:rsidR="0002771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https://doi.org/10.33258/birci.v3i2.946</w:t>
        </w:r>
      </w:hyperlink>
      <w:r w:rsidR="00323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5CDC6" w14:textId="09BFAFEB" w:rsidR="008F49C0" w:rsidRPr="00DF32B9" w:rsidRDefault="00323E64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64">
        <w:rPr>
          <w:rFonts w:ascii="Times New Roman" w:eastAsia="Times New Roman" w:hAnsi="Times New Roman" w:cs="Times New Roman"/>
          <w:sz w:val="24"/>
          <w:szCs w:val="24"/>
        </w:rPr>
        <w:t>Samuel,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Udo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Emmanuel,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Ishaku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Prince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Abner,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Victor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Inim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Akpan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Ededem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Jack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SARS-COV-2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Nigerian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System.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(10):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626-35.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C3F912" w14:textId="706B1735" w:rsidR="008F49C0" w:rsidRPr="003B5E6C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Santos,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Ricardo,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Mario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Novelli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Effect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Crisis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System’s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Contribution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Post-Conflict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Sustainable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Peacebuilding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Liberia.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>New York: UNICEF</w:t>
      </w:r>
      <w:r w:rsidR="003B5E6C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Consortium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6C">
        <w:rPr>
          <w:rFonts w:ascii="Times New Roman" w:eastAsia="Times New Roman" w:hAnsi="Times New Roman" w:cs="Times New Roman"/>
          <w:sz w:val="24"/>
          <w:szCs w:val="24"/>
        </w:rPr>
        <w:t>Peacebuilding.</w:t>
      </w:r>
      <w:r w:rsidR="00436702" w:rsidRPr="003B5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70">
        <w:r w:rsidRPr="003B5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https://inee.org/system/files/resources/19a_Lib</w:t>
        </w:r>
        <w:r w:rsidRPr="003B5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3B5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ria_Report_March2017_LowRes.pdf</w:t>
        </w:r>
      </w:hyperlink>
      <w:r w:rsidR="00323E64" w:rsidRPr="003B5E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436702" w:rsidRPr="003B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E296DD" w14:textId="55DF6597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Schwartzman,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Roy.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Performing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Pedagogy.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Wicked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Forum: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Pedagogy.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Communication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(4):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502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" w:history="1">
        <w:r w:rsidR="0026399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https://doi.org/10.1080/03634523.2020.1804602</w:t>
        </w:r>
      </w:hyperlink>
      <w:r w:rsidR="00323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C24E0A" w14:textId="0DE6312D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Shaeffer,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Sheldon.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1994.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HIV/AIDS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xperience.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UNESCO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Section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Preventive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Education.</w:t>
      </w:r>
    </w:p>
    <w:p w14:paraId="4C38A07C" w14:textId="76EC0150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Shah,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Rites,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Julia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 w:rsidRPr="00DF32B9">
        <w:rPr>
          <w:rFonts w:ascii="Times New Roman" w:eastAsia="Times New Roman" w:hAnsi="Times New Roman" w:cs="Times New Roman"/>
          <w:sz w:val="24"/>
          <w:szCs w:val="24"/>
        </w:rPr>
        <w:t>Paulson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Daniel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Couch.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esilience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mergencies.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Intervention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Statebuilding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303-26.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" w:history="1">
        <w:r w:rsidR="0026399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https://doi.org/10.1080/17502977.2019.1694390</w:t>
        </w:r>
      </w:hyperlink>
      <w:r w:rsidR="00323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6EDBF" w14:textId="7D53F51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Smith,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William.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Consequences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losure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ccess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Lessons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Ebola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andemic.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67: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53-78.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" w:history="1">
        <w:r w:rsidR="0026399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https://doi.org/10.1007/s11159-021-09900-2</w:t>
        </w:r>
      </w:hyperlink>
      <w:r w:rsidR="00323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7B8869" w14:textId="4CE9C0E7" w:rsidR="008F49C0" w:rsidRPr="00DF32B9" w:rsidRDefault="00323E64" w:rsidP="00E8600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3E64">
        <w:rPr>
          <w:rFonts w:ascii="Times New Roman" w:eastAsia="Times New Roman" w:hAnsi="Times New Roman" w:cs="Times New Roman"/>
          <w:sz w:val="24"/>
          <w:szCs w:val="24"/>
        </w:rPr>
        <w:t>Sean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Smith,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P.,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Torsiglieri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R.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Keith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Esch</w:t>
      </w:r>
      <w:proofErr w:type="spellEnd"/>
      <w:r w:rsidRPr="0032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Joan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E64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E64">
        <w:rPr>
          <w:rFonts w:ascii="Times New Roman" w:eastAsia="Times New Roman" w:hAnsi="Times New Roman" w:cs="Times New Roman"/>
          <w:sz w:val="24"/>
          <w:szCs w:val="24"/>
        </w:rPr>
        <w:t>Pasley</w:t>
      </w:r>
      <w:proofErr w:type="spellEnd"/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‘we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wish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knew’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eets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‘I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want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know’.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Science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7C55" w:rsidRPr="00DF32B9">
        <w:rPr>
          <w:rFonts w:ascii="Times New Roman" w:eastAsia="Times New Roman" w:hAnsi="Times New Roman" w:cs="Times New Roman"/>
          <w:iCs/>
          <w:sz w:val="24"/>
          <w:szCs w:val="24"/>
        </w:rPr>
        <w:t>39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C7C55" w:rsidRPr="00DF32B9">
        <w:rPr>
          <w:rFonts w:ascii="Times New Roman" w:eastAsia="Times New Roman" w:hAnsi="Times New Roman" w:cs="Times New Roman"/>
          <w:iCs/>
          <w:sz w:val="24"/>
          <w:szCs w:val="24"/>
        </w:rPr>
        <w:t>(13):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C7C55" w:rsidRPr="00DF32B9">
        <w:rPr>
          <w:rFonts w:ascii="Times New Roman" w:eastAsia="Times New Roman" w:hAnsi="Times New Roman" w:cs="Times New Roman"/>
          <w:iCs/>
          <w:sz w:val="24"/>
          <w:szCs w:val="24"/>
        </w:rPr>
        <w:t>1830</w:t>
      </w:r>
      <w:r w:rsidR="003C083D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5C7C55" w:rsidRPr="00DF32B9">
        <w:rPr>
          <w:rFonts w:ascii="Times New Roman" w:eastAsia="Times New Roman" w:hAnsi="Times New Roman" w:cs="Times New Roman"/>
          <w:iCs/>
          <w:sz w:val="24"/>
          <w:szCs w:val="24"/>
        </w:rPr>
        <w:t>45.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74" w:history="1">
        <w:r w:rsidR="00263999" w:rsidRPr="00323E6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https://doi.org/10.1080/09500693.2017.1353714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F2CFDAE" w14:textId="10F95239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Snyder,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Hannah.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2019.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“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Literature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eview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esearch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methodology: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verview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uidelines.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” 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Journal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of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Business</w:t>
      </w:r>
      <w:r w:rsidR="0043670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Research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104: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333-39.</w:t>
      </w:r>
      <w:r w:rsidR="004367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hyperlink r:id="rId75" w:history="1">
        <w:r w:rsidR="00263999" w:rsidRPr="00323E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https://doi.org/10.1016/j.jbusres.2019.07.039</w:t>
        </w:r>
      </w:hyperlink>
      <w:r w:rsidR="00323E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EDD98C" w14:textId="43FA193A" w:rsidR="005C7C55" w:rsidRPr="00DF32B9" w:rsidRDefault="0046624C" w:rsidP="00DF32B9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Sobaih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5C7C55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bu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7C55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Elnasr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E.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5C7C55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hmed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M.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23E64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Hasanein</w:t>
      </w:r>
      <w:proofErr w:type="spellEnd"/>
      <w:r w:rsidR="00323E64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5C7C55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hmed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Abu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23E64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Elnasr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Responses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igher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ducation: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Social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edia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U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sage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ustaining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F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ormal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cademic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ommunication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eveloping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ountries.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Sustainability</w:t>
      </w:r>
      <w:r w:rsidR="0043670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F156DB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12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(16)</w:t>
      </w:r>
      <w:r w:rsidR="00323E6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C7C55"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1-18</w:t>
      </w:r>
      <w:r w:rsidRPr="00DF32B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76" w:history="1">
        <w:r w:rsidR="00263999" w:rsidRPr="00323E6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https://doi.org/10.3390/su12166520</w:t>
        </w:r>
      </w:hyperlink>
      <w:r w:rsidR="00323E64">
        <w:rPr>
          <w:rFonts w:ascii="Times New Roman" w:hAnsi="Times New Roman" w:cs="Times New Roman"/>
          <w:sz w:val="24"/>
          <w:szCs w:val="24"/>
        </w:rPr>
        <w:t>.</w:t>
      </w:r>
    </w:p>
    <w:p w14:paraId="19955C53" w14:textId="6951FB35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Sondah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Bolumani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Maker’s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Guide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Practical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Courses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Action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Liberian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Studies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Administration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54-58.</w:t>
      </w:r>
    </w:p>
    <w:p w14:paraId="2DCC639C" w14:textId="34E49B81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Spicksley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Kathryn.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Centre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Cannot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Hold: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Primary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Teachers,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Purpose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Future.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FORUM: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Promoting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3-19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Comprehensive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62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379</w:t>
      </w:r>
      <w:r w:rsidR="003C08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92.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7" w:history="1">
        <w:r w:rsidR="00263999" w:rsidRPr="00546B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https://doi.org/10.15730/forum.2020.62.3.379</w:t>
        </w:r>
      </w:hyperlink>
      <w:r w:rsidR="00546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625FA" w14:textId="3CB8BBA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Sutton,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Jeannette,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Kathleen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Tierney.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2006.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Disaster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reparedness: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Concepts,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uidance,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esearch.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Fritz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Institute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Disaster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Preparedness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Conference,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Sebastopol,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California,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i/>
          <w:iCs/>
          <w:sz w:val="24"/>
          <w:szCs w:val="24"/>
        </w:rPr>
        <w:t>November,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1-41.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</w:rPr>
        <w:t>Hazards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</w:rPr>
        <w:t>Center: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</w:rPr>
        <w:t>Colorado.</w:t>
      </w:r>
    </w:p>
    <w:p w14:paraId="5BB86DA6" w14:textId="6FC216B2" w:rsidR="000C2402" w:rsidRPr="00DF32B9" w:rsidRDefault="000C2402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Swindell,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Andrew,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Kathlyn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Elliott</w:t>
      </w:r>
      <w:proofErr w:type="gramEnd"/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Brian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McCommons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2022.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Reimaging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roader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ramework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mergencies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within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omparative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nternational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ducation.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Annual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Review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Comparative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2021</w:t>
      </w:r>
      <w:r w:rsidR="004367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edited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lexander 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W.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Wiseman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25-42.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Bingley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4913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England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Emerald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Publishing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Limited</w:t>
      </w:r>
      <w:r w:rsidR="00287F04"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8" w:history="1"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</w:t>
        </w:r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o</w:t>
        </w:r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i.org/10.1108/s1479-36792022000042b002</w:t>
        </w:r>
      </w:hyperlink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DBB942E" w14:textId="1CBD868A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Tajik,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Farnaz,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Mahdi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Vahedi.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Quarantine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6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ssessment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Iranian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ormal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utbreak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chool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losures.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using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Communication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(1):</w:t>
      </w:r>
      <w:r w:rsidR="0028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159-75.</w:t>
      </w:r>
    </w:p>
    <w:p w14:paraId="027CE0FA" w14:textId="4AF4A2B7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Torraco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Richard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J.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2005.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Writing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Integrative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Literature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Reviews: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Examples.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Human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Resource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(3):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356-67.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9" w:history="1"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https://doi.org/10.1177/15344843052</w:t>
        </w:r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7</w:t>
        </w:r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8283</w:t>
        </w:r>
      </w:hyperlink>
      <w:r w:rsidR="00FB00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0C0AA" w14:textId="50A0E7C3" w:rsidR="002824AF" w:rsidRPr="002824AF" w:rsidRDefault="002824AF" w:rsidP="00DF32B9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UNESCO IIEP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BC4" w:rsidRPr="00DF32B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United Nations Educational, Scientific and Cultural Organization, International Institute for Educational Planning</w:t>
      </w:r>
      <w:r w:rsidR="00084BC4" w:rsidRPr="00DF32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2022.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FB0015" w:rsidRPr="00DF32B9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P</w:t>
      </w:r>
      <w:r w:rsidR="00FB0015" w:rsidRPr="00DF32B9">
        <w:rPr>
          <w:rFonts w:ascii="Times New Roman" w:eastAsia="Times New Roman" w:hAnsi="Times New Roman" w:cs="Times New Roman"/>
          <w:sz w:val="24"/>
          <w:szCs w:val="24"/>
        </w:rPr>
        <w:t>lanning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0015" w:rsidRPr="00DF32B9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2824AF">
        <w:rPr>
          <w:rFonts w:ascii="Times New Roman" w:eastAsia="Times New Roman" w:hAnsi="Times New Roman" w:cs="Times New Roman"/>
          <w:sz w:val="24"/>
          <w:szCs w:val="24"/>
        </w:rPr>
        <w:t>Emergencies</w:t>
      </w:r>
      <w:r w:rsidR="00436702" w:rsidRPr="0028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2824A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 w:rsidRPr="0028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2824AF">
        <w:rPr>
          <w:rFonts w:ascii="Times New Roman" w:eastAsia="Times New Roman" w:hAnsi="Times New Roman" w:cs="Times New Roman"/>
          <w:sz w:val="24"/>
          <w:szCs w:val="24"/>
        </w:rPr>
        <w:t>Reconstruction.</w:t>
      </w:r>
      <w:r w:rsidR="00436702" w:rsidRPr="002824AF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Paris: UNESCO IIEP</w:t>
      </w:r>
      <w:r w:rsidR="00FB0015" w:rsidRPr="002824A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36702" w:rsidRPr="0028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0" w:history="1">
        <w:r w:rsidRPr="002824AF">
          <w:rPr>
            <w:rStyle w:val="Hyperlink"/>
            <w:rFonts w:ascii="Times New Roman" w:hAnsi="Times New Roman" w:cs="Times New Roman"/>
            <w:sz w:val="24"/>
            <w:szCs w:val="24"/>
          </w:rPr>
          <w:t>https://unesdoc.unesco.org/ark:/48223/pf0000190223</w:t>
        </w:r>
      </w:hyperlink>
      <w:r w:rsidRPr="002824AF">
        <w:rPr>
          <w:rFonts w:ascii="Times New Roman" w:hAnsi="Times New Roman" w:cs="Times New Roman"/>
          <w:sz w:val="24"/>
          <w:szCs w:val="24"/>
        </w:rPr>
        <w:t>.</w:t>
      </w:r>
    </w:p>
    <w:p w14:paraId="08A6B8BA" w14:textId="062CA0C8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4AF">
        <w:rPr>
          <w:rFonts w:ascii="Times New Roman" w:eastAsia="Times New Roman" w:hAnsi="Times New Roman" w:cs="Times New Roman"/>
          <w:sz w:val="24"/>
          <w:szCs w:val="24"/>
          <w:lang w:val="en-US"/>
        </w:rPr>
        <w:t>Valli,</w:t>
      </w:r>
      <w:r w:rsidR="00436702" w:rsidRPr="00282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824AF">
        <w:rPr>
          <w:rFonts w:ascii="Times New Roman" w:eastAsia="Times New Roman" w:hAnsi="Times New Roman" w:cs="Times New Roman"/>
          <w:sz w:val="24"/>
          <w:szCs w:val="24"/>
          <w:lang w:val="en-US"/>
        </w:rPr>
        <w:t>Linda,</w:t>
      </w:r>
      <w:r w:rsidR="00436702" w:rsidRPr="00282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824AF">
        <w:rPr>
          <w:rFonts w:ascii="Times New Roman" w:eastAsia="Times New Roman" w:hAnsi="Times New Roman" w:cs="Times New Roman"/>
          <w:sz w:val="24"/>
          <w:szCs w:val="24"/>
          <w:lang w:val="en-US"/>
        </w:rPr>
        <w:t>Amanda</w:t>
      </w:r>
      <w:r w:rsidR="00436702" w:rsidRPr="00282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AF">
        <w:rPr>
          <w:rFonts w:ascii="Times New Roman" w:eastAsia="Times New Roman" w:hAnsi="Times New Roman" w:cs="Times New Roman"/>
          <w:sz w:val="24"/>
          <w:szCs w:val="24"/>
          <w:lang w:val="en-US"/>
        </w:rPr>
        <w:t>Stefanski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Reuben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56DB">
        <w:rPr>
          <w:rFonts w:ascii="Times New Roman" w:eastAsia="Times New Roman" w:hAnsi="Times New Roman" w:cs="Times New Roman"/>
          <w:sz w:val="24"/>
          <w:szCs w:val="24"/>
          <w:lang w:val="en-US"/>
        </w:rPr>
        <w:t>Jacobson.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2018.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School-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ommunity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artnership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odels: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mplications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eadership.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Leadership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600B">
        <w:rPr>
          <w:rFonts w:ascii="Times New Roman" w:eastAsia="Times New Roman" w:hAnsi="Times New Roman" w:cs="Times New Roman"/>
          <w:iCs/>
          <w:sz w:val="24"/>
          <w:szCs w:val="24"/>
        </w:rPr>
        <w:t>21</w:t>
      </w:r>
      <w:r w:rsidR="004367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31-49.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1" w:history="1"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https://doi.org/10.1080/13603124.2015.1124925</w:t>
        </w:r>
      </w:hyperlink>
      <w:r w:rsidR="00FB00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89F9E" w14:textId="290A58BF" w:rsidR="00FB0015" w:rsidRDefault="00FB0015" w:rsidP="00DF32B9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FB0015">
        <w:rPr>
          <w:rFonts w:ascii="Times New Roman" w:eastAsia="Times New Roman" w:hAnsi="Times New Roman" w:cs="Times New Roman"/>
          <w:sz w:val="24"/>
          <w:szCs w:val="24"/>
        </w:rPr>
        <w:t>Van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015">
        <w:rPr>
          <w:rFonts w:ascii="Times New Roman" w:eastAsia="Times New Roman" w:hAnsi="Times New Roman" w:cs="Times New Roman"/>
          <w:sz w:val="24"/>
          <w:szCs w:val="24"/>
        </w:rPr>
        <w:t>Rompay</w:t>
      </w:r>
      <w:proofErr w:type="spellEnd"/>
      <w:r w:rsidRPr="00FB00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Koen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KA,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Purnima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015">
        <w:rPr>
          <w:rFonts w:ascii="Times New Roman" w:eastAsia="Times New Roman" w:hAnsi="Times New Roman" w:cs="Times New Roman"/>
          <w:sz w:val="24"/>
          <w:szCs w:val="24"/>
        </w:rPr>
        <w:t>Madhivanan</w:t>
      </w:r>
      <w:proofErr w:type="spellEnd"/>
      <w:r w:rsidRPr="00FB00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015">
        <w:rPr>
          <w:rFonts w:ascii="Times New Roman" w:eastAsia="Times New Roman" w:hAnsi="Times New Roman" w:cs="Times New Roman"/>
          <w:sz w:val="24"/>
          <w:szCs w:val="24"/>
        </w:rPr>
        <w:t>Mirriam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Rafiq,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Karl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Krupp,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Venkatesan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Chakrapani,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015">
        <w:rPr>
          <w:rFonts w:ascii="Times New Roman" w:eastAsia="Times New Roman" w:hAnsi="Times New Roman" w:cs="Times New Roman"/>
          <w:sz w:val="24"/>
          <w:szCs w:val="24"/>
        </w:rPr>
        <w:t>Durai</w:t>
      </w:r>
      <w:proofErr w:type="spellEnd"/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15">
        <w:rPr>
          <w:rFonts w:ascii="Times New Roman" w:eastAsia="Times New Roman" w:hAnsi="Times New Roman" w:cs="Times New Roman"/>
          <w:sz w:val="24"/>
          <w:szCs w:val="24"/>
        </w:rPr>
        <w:t>Selvam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2008.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Empowering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people: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HIV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peer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low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literacy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India.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Human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Resources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4C" w:rsidRPr="00DF32B9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272B45" w:rsidRPr="00DF32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B45" w:rsidRPr="00DF32B9">
        <w:rPr>
          <w:rFonts w:ascii="Times New Roman" w:eastAsia="Times New Roman" w:hAnsi="Times New Roman" w:cs="Times New Roman"/>
          <w:sz w:val="24"/>
          <w:szCs w:val="24"/>
        </w:rPr>
        <w:t>1-11.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2" w:history="1">
        <w:r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CA"/>
          </w:rPr>
          <w:t>https://doi.org/10.1186/1478-4491-6-6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</w:p>
    <w:p w14:paraId="0B9CD31E" w14:textId="14E8EE84" w:rsidR="002455BF" w:rsidRPr="00DF32B9" w:rsidRDefault="002455BF" w:rsidP="00DF32B9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Verizon.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Verizon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repared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erve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ustomers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uring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risis.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r w:rsidR="00D37471">
        <w:rPr>
          <w:rFonts w:ascii="Times New Roman" w:eastAsia="Times New Roman" w:hAnsi="Times New Roman" w:cs="Times New Roman"/>
          <w:sz w:val="24"/>
          <w:szCs w:val="24"/>
          <w:lang w:val="en-US"/>
        </w:rPr>
        <w:t>Verizon (blog), November 30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  <w:lang w:val="en-US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3" w:history="1">
        <w:r w:rsidR="00FA45E3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https://www.verizon.com/about/news/update-veriz</w:t>
        </w:r>
        <w:r w:rsidR="00FA45E3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o</w:t>
        </w:r>
        <w:r w:rsidR="00FA45E3" w:rsidRPr="00DF32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n-serve-customers-covid-19</w:t>
        </w:r>
      </w:hyperlink>
      <w:r w:rsidR="008568A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E56E816" w14:textId="762490C2" w:rsidR="009168FE" w:rsidRPr="00DF32B9" w:rsidRDefault="009168FE" w:rsidP="00DF32B9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2B9">
        <w:rPr>
          <w:rFonts w:ascii="Times New Roman" w:eastAsia="Times New Roman" w:hAnsi="Times New Roman" w:cs="Times New Roman"/>
          <w:sz w:val="24"/>
          <w:szCs w:val="24"/>
        </w:rPr>
        <w:t>Wolfensberger</w:t>
      </w:r>
      <w:proofErr w:type="spellEnd"/>
      <w:r w:rsidRPr="00DF32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Marca,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Ding.</w:t>
      </w:r>
      <w:r w:rsidR="004367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eaching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ransition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uring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irst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ive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eeks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tart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igital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nowledge-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uilding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ommunity.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Honors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Council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6702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1-9.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4" w:history="1"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https://doi.org/10.31378/jehc.135</w:t>
        </w:r>
      </w:hyperlink>
      <w:r w:rsidR="00FB00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3C10A" w14:textId="286B337E" w:rsidR="008F49C0" w:rsidRPr="00D37471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2B9">
        <w:rPr>
          <w:rFonts w:ascii="Times New Roman" w:eastAsia="Times New Roman" w:hAnsi="Times New Roman" w:cs="Times New Roman"/>
          <w:sz w:val="24"/>
          <w:szCs w:val="24"/>
        </w:rPr>
        <w:t>World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Bank.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andemic: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Shocks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olicy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esponses.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D37471" w:rsidRPr="00D37471">
        <w:rPr>
          <w:rFonts w:ascii="Times New Roman" w:eastAsia="Times New Roman" w:hAnsi="Times New Roman" w:cs="Times New Roman"/>
          <w:sz w:val="24"/>
          <w:szCs w:val="24"/>
        </w:rPr>
        <w:t xml:space="preserve">Washington, DC: </w:t>
      </w:r>
      <w:r w:rsidR="00272B45" w:rsidRPr="00D37471">
        <w:rPr>
          <w:rFonts w:ascii="Times New Roman" w:eastAsia="Times New Roman" w:hAnsi="Times New Roman" w:cs="Times New Roman"/>
          <w:sz w:val="24"/>
          <w:szCs w:val="24"/>
        </w:rPr>
        <w:t>World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B45" w:rsidRPr="00D37471">
        <w:rPr>
          <w:rFonts w:ascii="Times New Roman" w:eastAsia="Times New Roman" w:hAnsi="Times New Roman" w:cs="Times New Roman"/>
          <w:sz w:val="24"/>
          <w:szCs w:val="24"/>
        </w:rPr>
        <w:t>Bank.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5" w:history="1">
        <w:r w:rsidR="0065698A" w:rsidRPr="00D3747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https://openknowledge.worldbank.org/handle/10986/33696</w:t>
        </w:r>
      </w:hyperlink>
      <w:r w:rsidR="00FB0015" w:rsidRPr="00D37471">
        <w:rPr>
          <w:rStyle w:val="Hyperlink"/>
          <w:rFonts w:ascii="Times New Roman" w:eastAsia="Times New Roman" w:hAnsi="Times New Roman" w:cs="Times New Roman"/>
          <w:sz w:val="24"/>
          <w:szCs w:val="24"/>
        </w:rPr>
        <w:t>.</w:t>
      </w:r>
    </w:p>
    <w:p w14:paraId="5A53C842" w14:textId="33A33FEB" w:rsidR="008F49C0" w:rsidRPr="00DF32B9" w:rsidRDefault="0046624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471">
        <w:rPr>
          <w:rFonts w:ascii="Times New Roman" w:eastAsia="Times New Roman" w:hAnsi="Times New Roman" w:cs="Times New Roman"/>
          <w:sz w:val="24"/>
          <w:szCs w:val="24"/>
        </w:rPr>
        <w:t>Zewail-Foote,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7471"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 w:rsidRPr="00D374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tudent-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entered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pproaches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36702" w:rsidRPr="00D3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 w:rsidRPr="00D3747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7471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1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iochemistry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SARS-CoV-2.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Biochemistry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Molecular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Biology</w:t>
      </w:r>
      <w:r w:rsidR="00436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48: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B9">
        <w:rPr>
          <w:rFonts w:ascii="Times New Roman" w:eastAsia="Times New Roman" w:hAnsi="Times New Roman" w:cs="Times New Roman"/>
          <w:sz w:val="24"/>
          <w:szCs w:val="24"/>
        </w:rPr>
        <w:t>655-56.</w:t>
      </w:r>
      <w:r w:rsidR="0043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6" w:history="1">
        <w:r w:rsidR="00263999" w:rsidRPr="00FB0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https://doi.org/10.1002/bmb.21462</w:t>
        </w:r>
      </w:hyperlink>
      <w:r w:rsidR="00FB001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215B1174" w14:textId="77777777" w:rsidR="00AB55FC" w:rsidRPr="00DF32B9" w:rsidRDefault="00AB55FC" w:rsidP="00DF32B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B55FC" w:rsidRPr="00DF32B9" w:rsidSect="000656F1">
      <w:headerReference w:type="even" r:id="rId87"/>
      <w:headerReference w:type="default" r:id="rId88"/>
      <w:footerReference w:type="default" r:id="rId8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CEB" w14:textId="77777777" w:rsidR="00202FA0" w:rsidRDefault="00202FA0">
      <w:pPr>
        <w:spacing w:line="240" w:lineRule="auto"/>
      </w:pPr>
      <w:r>
        <w:separator/>
      </w:r>
    </w:p>
  </w:endnote>
  <w:endnote w:type="continuationSeparator" w:id="0">
    <w:p w14:paraId="4EBDAA9F" w14:textId="77777777" w:rsidR="00202FA0" w:rsidRDefault="00202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35779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2F241" w14:textId="0618B528" w:rsidR="00A82208" w:rsidRPr="000656F1" w:rsidRDefault="00A82208" w:rsidP="000656F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56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56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56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B90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0656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A313" w14:textId="77777777" w:rsidR="00202FA0" w:rsidRDefault="00202FA0">
      <w:pPr>
        <w:spacing w:line="240" w:lineRule="auto"/>
      </w:pPr>
      <w:r>
        <w:separator/>
      </w:r>
    </w:p>
  </w:footnote>
  <w:footnote w:type="continuationSeparator" w:id="0">
    <w:p w14:paraId="41B78F4F" w14:textId="77777777" w:rsidR="00202FA0" w:rsidRDefault="00202FA0">
      <w:pPr>
        <w:spacing w:line="240" w:lineRule="auto"/>
      </w:pPr>
      <w:r>
        <w:continuationSeparator/>
      </w:r>
    </w:p>
  </w:footnote>
  <w:footnote w:id="1">
    <w:p w14:paraId="1516496D" w14:textId="108954D5" w:rsidR="00A82208" w:rsidRPr="009525FE" w:rsidRDefault="00A82208">
      <w:pPr>
        <w:pStyle w:val="FootnoteText"/>
        <w:rPr>
          <w:b/>
          <w:bCs/>
          <w:lang w:val="en-US"/>
        </w:rPr>
      </w:pPr>
      <w:r>
        <w:rPr>
          <w:rStyle w:val="FootnoteReference"/>
        </w:rPr>
        <w:footnoteRef/>
      </w:r>
      <w:r w:rsidR="00436702">
        <w:t xml:space="preserve"> </w:t>
      </w:r>
      <w:r w:rsidRPr="009525FE">
        <w:rPr>
          <w:rFonts w:ascii="Times New Roman" w:hAnsi="Times New Roman" w:cs="Times New Roman"/>
        </w:rPr>
        <w:t>The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integrative</w:t>
      </w:r>
      <w:r w:rsidR="0043670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literature</w:t>
      </w:r>
      <w:r w:rsidR="0043670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review,</w:t>
      </w:r>
      <w:r w:rsidR="0043670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as</w:t>
      </w:r>
      <w:r w:rsidR="0043670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defined</w:t>
      </w:r>
      <w:r w:rsidR="0043670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by</w:t>
      </w:r>
      <w:r w:rsidR="0043670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9525FE">
        <w:rPr>
          <w:rStyle w:val="Emphasis"/>
          <w:rFonts w:ascii="Times New Roman" w:hAnsi="Times New Roman" w:cs="Times New Roman"/>
          <w:i w:val="0"/>
          <w:iCs w:val="0"/>
        </w:rPr>
        <w:t>Torraco</w:t>
      </w:r>
      <w:proofErr w:type="spellEnd"/>
      <w:r w:rsidR="0043670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(2005),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is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a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distinctive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form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of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Style w:val="Emphasis"/>
          <w:rFonts w:ascii="Times New Roman" w:hAnsi="Times New Roman" w:cs="Times New Roman"/>
          <w:i w:val="0"/>
          <w:iCs w:val="0"/>
        </w:rPr>
        <w:t>research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that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generates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new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knowledge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about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the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topic</w:t>
      </w:r>
      <w:r w:rsidR="00436702">
        <w:rPr>
          <w:rFonts w:ascii="Times New Roman" w:hAnsi="Times New Roman" w:cs="Times New Roman"/>
        </w:rPr>
        <w:t xml:space="preserve"> </w:t>
      </w:r>
      <w:r w:rsidRPr="009525FE">
        <w:rPr>
          <w:rFonts w:ascii="Times New Roman" w:hAnsi="Times New Roman" w:cs="Times New Roman"/>
        </w:rPr>
        <w:t>reviewed.</w:t>
      </w:r>
      <w:r w:rsidR="002824AF">
        <w:rPr>
          <w:rFonts w:ascii="Times New Roman" w:hAnsi="Times New Roman" w:cs="Times New Roman"/>
        </w:rPr>
        <w:t xml:space="preserve"> </w:t>
      </w:r>
    </w:p>
  </w:footnote>
  <w:footnote w:id="2">
    <w:p w14:paraId="39775990" w14:textId="6531FFFF" w:rsidR="00A82208" w:rsidRPr="009525FE" w:rsidRDefault="00A82208" w:rsidP="009525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 w:rsidR="00436702"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Synchronous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classes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run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in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real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time,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with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students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and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instructors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attending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together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from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different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locations.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Asynchronous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classes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run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on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a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more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relaxed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schedule,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with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students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accessing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class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materials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during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different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hours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and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from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different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Style w:val="hgkelc"/>
          <w:rFonts w:ascii="Times New Roman" w:hAnsi="Times New Roman" w:cs="Times New Roman"/>
          <w:sz w:val="20"/>
          <w:szCs w:val="20"/>
        </w:rPr>
        <w:t>locations</w:t>
      </w:r>
      <w:r w:rsidR="00463274">
        <w:rPr>
          <w:rStyle w:val="hgkelc"/>
          <w:rFonts w:ascii="Times New Roman" w:hAnsi="Times New Roman" w:cs="Times New Roman"/>
          <w:sz w:val="20"/>
          <w:szCs w:val="20"/>
        </w:rPr>
        <w:t>;</w:t>
      </w:r>
      <w:r w:rsidR="00436702">
        <w:rPr>
          <w:rStyle w:val="hgkelc"/>
          <w:rFonts w:ascii="Times New Roman" w:hAnsi="Times New Roman" w:cs="Times New Roman"/>
          <w:sz w:val="20"/>
          <w:szCs w:val="20"/>
        </w:rPr>
        <w:t xml:space="preserve"> </w:t>
      </w:r>
      <w:r w:rsidR="00463274">
        <w:rPr>
          <w:rStyle w:val="hgkelc"/>
          <w:rFonts w:ascii="Times New Roman" w:hAnsi="Times New Roman" w:cs="Times New Roman"/>
          <w:sz w:val="20"/>
          <w:szCs w:val="20"/>
        </w:rPr>
        <w:t>see</w:t>
      </w:r>
      <w:r w:rsidR="00436702">
        <w:rPr>
          <w:rFonts w:ascii="Times New Roman" w:hAnsi="Times New Roman" w:cs="Times New Roman"/>
          <w:sz w:val="20"/>
          <w:szCs w:val="20"/>
        </w:rPr>
        <w:t xml:space="preserve"> </w:t>
      </w:r>
      <w:r w:rsidRPr="00F9189F">
        <w:rPr>
          <w:rFonts w:ascii="Times New Roman" w:eastAsia="Times New Roman" w:hAnsi="Times New Roman" w:cs="Times New Roman"/>
          <w:sz w:val="20"/>
          <w:szCs w:val="20"/>
        </w:rPr>
        <w:t>https://thebestschools.org/resources/synchronous-vs-asynchronous-programs-courses/.</w:t>
      </w:r>
    </w:p>
  </w:footnote>
  <w:footnote w:id="3">
    <w:p w14:paraId="1B2A92F7" w14:textId="63AD8001" w:rsidR="00174F54" w:rsidRPr="00305690" w:rsidRDefault="00174F54" w:rsidP="00632B55">
      <w:pPr>
        <w:pStyle w:val="NormalWeb"/>
        <w:jc w:val="both"/>
        <w:rPr>
          <w:sz w:val="20"/>
          <w:szCs w:val="20"/>
        </w:rPr>
      </w:pPr>
      <w:r w:rsidRPr="00305690">
        <w:rPr>
          <w:rStyle w:val="FootnoteReference"/>
          <w:sz w:val="20"/>
          <w:szCs w:val="20"/>
        </w:rPr>
        <w:footnoteRef/>
      </w:r>
      <w:r w:rsidR="00436702">
        <w:rPr>
          <w:sz w:val="20"/>
          <w:szCs w:val="20"/>
        </w:rPr>
        <w:t xml:space="preserve"> </w:t>
      </w:r>
      <w:r w:rsidRPr="00305690">
        <w:rPr>
          <w:sz w:val="20"/>
          <w:szCs w:val="20"/>
        </w:rPr>
        <w:t>“</w:t>
      </w:r>
      <w:r w:rsidRPr="00305690">
        <w:rPr>
          <w:rStyle w:val="hgkelc"/>
          <w:i/>
          <w:sz w:val="20"/>
          <w:szCs w:val="20"/>
          <w:lang w:val="en"/>
        </w:rPr>
        <w:t>The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Sphere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Handbook: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Humanitarian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Charter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and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Minimum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Standards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in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Humanitarian</w:t>
      </w:r>
      <w:r w:rsidR="00436702">
        <w:rPr>
          <w:rStyle w:val="hgkelc"/>
          <w:i/>
          <w:sz w:val="20"/>
          <w:szCs w:val="20"/>
          <w:lang w:val="en"/>
        </w:rPr>
        <w:t xml:space="preserve"> </w:t>
      </w:r>
      <w:r w:rsidRPr="00305690">
        <w:rPr>
          <w:rStyle w:val="hgkelc"/>
          <w:i/>
          <w:sz w:val="20"/>
          <w:szCs w:val="20"/>
          <w:lang w:val="en"/>
        </w:rPr>
        <w:t>Response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often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called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the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Sphere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Standards</w:t>
      </w:r>
      <w:r w:rsidR="00486698" w:rsidRPr="00305690">
        <w:rPr>
          <w:rStyle w:val="hgkelc"/>
          <w:sz w:val="20"/>
          <w:szCs w:val="20"/>
          <w:lang w:val="en"/>
        </w:rPr>
        <w:t>,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is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a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textbook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of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minimum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standards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in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humanitarian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aid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published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by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the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Sphere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Association.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The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first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edition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was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published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in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bCs/>
          <w:sz w:val="20"/>
          <w:szCs w:val="20"/>
          <w:lang w:val="en"/>
        </w:rPr>
        <w:t>2000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and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is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a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="00486698" w:rsidRPr="00305690">
        <w:rPr>
          <w:rStyle w:val="hgkelc"/>
          <w:sz w:val="20"/>
          <w:szCs w:val="20"/>
          <w:lang w:val="en"/>
        </w:rPr>
        <w:t>‘</w:t>
      </w:r>
      <w:r w:rsidRPr="00305690">
        <w:rPr>
          <w:rStyle w:val="hgkelc"/>
          <w:sz w:val="20"/>
          <w:szCs w:val="20"/>
          <w:lang w:val="en"/>
        </w:rPr>
        <w:t>cornerstone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of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humanitarian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Pr="00305690">
        <w:rPr>
          <w:rStyle w:val="hgkelc"/>
          <w:sz w:val="20"/>
          <w:szCs w:val="20"/>
          <w:lang w:val="en"/>
        </w:rPr>
        <w:t>practice</w:t>
      </w:r>
      <w:r w:rsidR="00486698" w:rsidRPr="00305690">
        <w:rPr>
          <w:rStyle w:val="hgkelc"/>
          <w:sz w:val="20"/>
          <w:szCs w:val="20"/>
          <w:lang w:val="en"/>
        </w:rPr>
        <w:t>’”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="00486698" w:rsidRPr="00305690">
        <w:rPr>
          <w:rStyle w:val="hgkelc"/>
          <w:sz w:val="20"/>
          <w:szCs w:val="20"/>
          <w:lang w:val="en"/>
        </w:rPr>
        <w:t>see</w:t>
      </w:r>
      <w:r w:rsidR="00436702">
        <w:rPr>
          <w:rStyle w:val="hgkelc"/>
          <w:sz w:val="20"/>
          <w:szCs w:val="20"/>
          <w:lang w:val="en"/>
        </w:rPr>
        <w:t xml:space="preserve"> </w:t>
      </w:r>
      <w:r w:rsidR="00486698" w:rsidRPr="00305690">
        <w:rPr>
          <w:rStyle w:val="hgkelc"/>
          <w:sz w:val="20"/>
          <w:szCs w:val="20"/>
          <w:lang w:val="en"/>
        </w:rPr>
        <w:t>https://en.wikipedia.org/wiki/The_Sphere_Handbook.</w:t>
      </w:r>
      <w:r w:rsidR="00436702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A702" w14:textId="77777777" w:rsidR="00A82208" w:rsidRDefault="00A82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1BC2BA" w14:textId="77777777" w:rsidR="00A82208" w:rsidRDefault="00A82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9349" w14:textId="77777777" w:rsidR="00A82208" w:rsidRPr="000656F1" w:rsidRDefault="00A82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rFonts w:ascii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DBD"/>
    <w:multiLevelType w:val="multilevel"/>
    <w:tmpl w:val="3356C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4122E"/>
    <w:multiLevelType w:val="multilevel"/>
    <w:tmpl w:val="54E406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62C0"/>
    <w:multiLevelType w:val="multilevel"/>
    <w:tmpl w:val="666C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349789">
    <w:abstractNumId w:val="1"/>
  </w:num>
  <w:num w:numId="2" w16cid:durableId="2009363235">
    <w:abstractNumId w:val="0"/>
  </w:num>
  <w:num w:numId="3" w16cid:durableId="168821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C0"/>
    <w:rsid w:val="00001AC8"/>
    <w:rsid w:val="00002430"/>
    <w:rsid w:val="00004679"/>
    <w:rsid w:val="00012E4D"/>
    <w:rsid w:val="000215F6"/>
    <w:rsid w:val="00027719"/>
    <w:rsid w:val="00030B41"/>
    <w:rsid w:val="00031553"/>
    <w:rsid w:val="0003455D"/>
    <w:rsid w:val="00034A81"/>
    <w:rsid w:val="00042994"/>
    <w:rsid w:val="00051E7C"/>
    <w:rsid w:val="0005401B"/>
    <w:rsid w:val="000656F1"/>
    <w:rsid w:val="00066615"/>
    <w:rsid w:val="00077A54"/>
    <w:rsid w:val="00084BC4"/>
    <w:rsid w:val="00085796"/>
    <w:rsid w:val="00086B63"/>
    <w:rsid w:val="000A1267"/>
    <w:rsid w:val="000A1B03"/>
    <w:rsid w:val="000A4419"/>
    <w:rsid w:val="000A73DD"/>
    <w:rsid w:val="000A74E3"/>
    <w:rsid w:val="000B1AF2"/>
    <w:rsid w:val="000B4897"/>
    <w:rsid w:val="000B695D"/>
    <w:rsid w:val="000C2402"/>
    <w:rsid w:val="000C417E"/>
    <w:rsid w:val="000C6621"/>
    <w:rsid w:val="000D39D7"/>
    <w:rsid w:val="000D3C39"/>
    <w:rsid w:val="000D4990"/>
    <w:rsid w:val="000D5324"/>
    <w:rsid w:val="000E5484"/>
    <w:rsid w:val="000E7CB6"/>
    <w:rsid w:val="000F16B4"/>
    <w:rsid w:val="000F1E38"/>
    <w:rsid w:val="000F5313"/>
    <w:rsid w:val="000F5ED3"/>
    <w:rsid w:val="00101B69"/>
    <w:rsid w:val="0010279A"/>
    <w:rsid w:val="00104FDF"/>
    <w:rsid w:val="001160FD"/>
    <w:rsid w:val="00120742"/>
    <w:rsid w:val="001210BF"/>
    <w:rsid w:val="001257C4"/>
    <w:rsid w:val="0013085F"/>
    <w:rsid w:val="00134E6D"/>
    <w:rsid w:val="001358D8"/>
    <w:rsid w:val="0014751D"/>
    <w:rsid w:val="00151029"/>
    <w:rsid w:val="001514F5"/>
    <w:rsid w:val="00157E3C"/>
    <w:rsid w:val="00165C8F"/>
    <w:rsid w:val="00166B9D"/>
    <w:rsid w:val="0016715E"/>
    <w:rsid w:val="00174F54"/>
    <w:rsid w:val="001828A9"/>
    <w:rsid w:val="001908E8"/>
    <w:rsid w:val="00195831"/>
    <w:rsid w:val="001A2240"/>
    <w:rsid w:val="001A4076"/>
    <w:rsid w:val="001A47AE"/>
    <w:rsid w:val="001A53FA"/>
    <w:rsid w:val="001B0E71"/>
    <w:rsid w:val="001B3186"/>
    <w:rsid w:val="001B6114"/>
    <w:rsid w:val="001C15DE"/>
    <w:rsid w:val="001D4112"/>
    <w:rsid w:val="001D7FE6"/>
    <w:rsid w:val="001E0013"/>
    <w:rsid w:val="001E6578"/>
    <w:rsid w:val="001F0672"/>
    <w:rsid w:val="001F192B"/>
    <w:rsid w:val="001F22AF"/>
    <w:rsid w:val="001F3A2F"/>
    <w:rsid w:val="001F5B5E"/>
    <w:rsid w:val="00201ACB"/>
    <w:rsid w:val="00202FA0"/>
    <w:rsid w:val="00213801"/>
    <w:rsid w:val="00215823"/>
    <w:rsid w:val="002202C0"/>
    <w:rsid w:val="002235C1"/>
    <w:rsid w:val="00236657"/>
    <w:rsid w:val="002455BF"/>
    <w:rsid w:val="0024665C"/>
    <w:rsid w:val="00246E72"/>
    <w:rsid w:val="002471D7"/>
    <w:rsid w:val="00261DB2"/>
    <w:rsid w:val="00263999"/>
    <w:rsid w:val="00263A19"/>
    <w:rsid w:val="00266D56"/>
    <w:rsid w:val="00272B45"/>
    <w:rsid w:val="00277D0D"/>
    <w:rsid w:val="002824AF"/>
    <w:rsid w:val="00287744"/>
    <w:rsid w:val="00287F04"/>
    <w:rsid w:val="002923FF"/>
    <w:rsid w:val="00294C58"/>
    <w:rsid w:val="002974C8"/>
    <w:rsid w:val="002A059E"/>
    <w:rsid w:val="002A1132"/>
    <w:rsid w:val="002A48B5"/>
    <w:rsid w:val="002B1023"/>
    <w:rsid w:val="002B1DCF"/>
    <w:rsid w:val="002B3507"/>
    <w:rsid w:val="002B3B3A"/>
    <w:rsid w:val="002B5311"/>
    <w:rsid w:val="002C099F"/>
    <w:rsid w:val="002C44DE"/>
    <w:rsid w:val="002D2C48"/>
    <w:rsid w:val="002E312F"/>
    <w:rsid w:val="002E42A3"/>
    <w:rsid w:val="00300562"/>
    <w:rsid w:val="00300C0A"/>
    <w:rsid w:val="003044DB"/>
    <w:rsid w:val="00305690"/>
    <w:rsid w:val="00310AE3"/>
    <w:rsid w:val="00311ECF"/>
    <w:rsid w:val="0031371B"/>
    <w:rsid w:val="00313ED8"/>
    <w:rsid w:val="0032094C"/>
    <w:rsid w:val="00323E64"/>
    <w:rsid w:val="00323FB3"/>
    <w:rsid w:val="0032453A"/>
    <w:rsid w:val="0033000E"/>
    <w:rsid w:val="00350777"/>
    <w:rsid w:val="00352744"/>
    <w:rsid w:val="00357964"/>
    <w:rsid w:val="0036319B"/>
    <w:rsid w:val="00395399"/>
    <w:rsid w:val="003978C6"/>
    <w:rsid w:val="003B44AD"/>
    <w:rsid w:val="003B5E6C"/>
    <w:rsid w:val="003C083D"/>
    <w:rsid w:val="003C103F"/>
    <w:rsid w:val="003D22FA"/>
    <w:rsid w:val="003D59A1"/>
    <w:rsid w:val="003D5EDF"/>
    <w:rsid w:val="003E3690"/>
    <w:rsid w:val="003E6DB8"/>
    <w:rsid w:val="003F4588"/>
    <w:rsid w:val="003F722F"/>
    <w:rsid w:val="0040584F"/>
    <w:rsid w:val="00417B80"/>
    <w:rsid w:val="0043140F"/>
    <w:rsid w:val="00432338"/>
    <w:rsid w:val="00436702"/>
    <w:rsid w:val="00443F00"/>
    <w:rsid w:val="00450D4D"/>
    <w:rsid w:val="004526C1"/>
    <w:rsid w:val="00460D4B"/>
    <w:rsid w:val="00463274"/>
    <w:rsid w:val="0046624C"/>
    <w:rsid w:val="00467087"/>
    <w:rsid w:val="00473D19"/>
    <w:rsid w:val="00476B90"/>
    <w:rsid w:val="00482D79"/>
    <w:rsid w:val="00484913"/>
    <w:rsid w:val="00486698"/>
    <w:rsid w:val="00486B2A"/>
    <w:rsid w:val="004A18D1"/>
    <w:rsid w:val="004A3350"/>
    <w:rsid w:val="004B098C"/>
    <w:rsid w:val="004B5062"/>
    <w:rsid w:val="004C1C33"/>
    <w:rsid w:val="004C3A19"/>
    <w:rsid w:val="004C7E6F"/>
    <w:rsid w:val="004D0C19"/>
    <w:rsid w:val="004D1AA2"/>
    <w:rsid w:val="004D4E64"/>
    <w:rsid w:val="004E11BB"/>
    <w:rsid w:val="004E11BE"/>
    <w:rsid w:val="004E1C0A"/>
    <w:rsid w:val="004E73AA"/>
    <w:rsid w:val="004F76E6"/>
    <w:rsid w:val="00500FE3"/>
    <w:rsid w:val="00501A47"/>
    <w:rsid w:val="0050791C"/>
    <w:rsid w:val="0051109E"/>
    <w:rsid w:val="00520FCF"/>
    <w:rsid w:val="0052786E"/>
    <w:rsid w:val="005317EC"/>
    <w:rsid w:val="0053434D"/>
    <w:rsid w:val="0054677E"/>
    <w:rsid w:val="00546BC1"/>
    <w:rsid w:val="00556ACC"/>
    <w:rsid w:val="005755BD"/>
    <w:rsid w:val="005848E9"/>
    <w:rsid w:val="005854EA"/>
    <w:rsid w:val="005B11AC"/>
    <w:rsid w:val="005B29D4"/>
    <w:rsid w:val="005B3F16"/>
    <w:rsid w:val="005B633E"/>
    <w:rsid w:val="005B6447"/>
    <w:rsid w:val="005C13D9"/>
    <w:rsid w:val="005C1C9E"/>
    <w:rsid w:val="005C352A"/>
    <w:rsid w:val="005C41A4"/>
    <w:rsid w:val="005C6085"/>
    <w:rsid w:val="005C7C55"/>
    <w:rsid w:val="005E3BFC"/>
    <w:rsid w:val="005F7529"/>
    <w:rsid w:val="00600677"/>
    <w:rsid w:val="00603E2B"/>
    <w:rsid w:val="00605220"/>
    <w:rsid w:val="006053B0"/>
    <w:rsid w:val="00617AAB"/>
    <w:rsid w:val="00626325"/>
    <w:rsid w:val="006270D6"/>
    <w:rsid w:val="00632B55"/>
    <w:rsid w:val="00633976"/>
    <w:rsid w:val="00642765"/>
    <w:rsid w:val="0064658F"/>
    <w:rsid w:val="0065698A"/>
    <w:rsid w:val="00665EF9"/>
    <w:rsid w:val="0066643C"/>
    <w:rsid w:val="00674C84"/>
    <w:rsid w:val="00685A66"/>
    <w:rsid w:val="00692D74"/>
    <w:rsid w:val="006A67D7"/>
    <w:rsid w:val="006B1BAD"/>
    <w:rsid w:val="006B559C"/>
    <w:rsid w:val="006D2F60"/>
    <w:rsid w:val="006E3385"/>
    <w:rsid w:val="006E598E"/>
    <w:rsid w:val="006F33A5"/>
    <w:rsid w:val="006F5589"/>
    <w:rsid w:val="006F599E"/>
    <w:rsid w:val="006F63E2"/>
    <w:rsid w:val="00704921"/>
    <w:rsid w:val="00711581"/>
    <w:rsid w:val="007148FA"/>
    <w:rsid w:val="00715478"/>
    <w:rsid w:val="00721F32"/>
    <w:rsid w:val="00722F6C"/>
    <w:rsid w:val="00723AD8"/>
    <w:rsid w:val="00726364"/>
    <w:rsid w:val="00731D31"/>
    <w:rsid w:val="007323CE"/>
    <w:rsid w:val="007416F8"/>
    <w:rsid w:val="00743DD0"/>
    <w:rsid w:val="007522ED"/>
    <w:rsid w:val="00771F7C"/>
    <w:rsid w:val="00776161"/>
    <w:rsid w:val="0077685B"/>
    <w:rsid w:val="007805CC"/>
    <w:rsid w:val="0078472E"/>
    <w:rsid w:val="00785EAA"/>
    <w:rsid w:val="007863D9"/>
    <w:rsid w:val="0078732B"/>
    <w:rsid w:val="00790689"/>
    <w:rsid w:val="007945EE"/>
    <w:rsid w:val="007A314D"/>
    <w:rsid w:val="007B305A"/>
    <w:rsid w:val="007B73BD"/>
    <w:rsid w:val="007B7424"/>
    <w:rsid w:val="007C3B00"/>
    <w:rsid w:val="007D51D1"/>
    <w:rsid w:val="007D6502"/>
    <w:rsid w:val="007D7440"/>
    <w:rsid w:val="007E3E7F"/>
    <w:rsid w:val="007F71D8"/>
    <w:rsid w:val="00802432"/>
    <w:rsid w:val="00810274"/>
    <w:rsid w:val="00820078"/>
    <w:rsid w:val="00842627"/>
    <w:rsid w:val="0085043F"/>
    <w:rsid w:val="00850C32"/>
    <w:rsid w:val="008512D2"/>
    <w:rsid w:val="00855B04"/>
    <w:rsid w:val="008568AF"/>
    <w:rsid w:val="008625D6"/>
    <w:rsid w:val="008629A8"/>
    <w:rsid w:val="00871FF5"/>
    <w:rsid w:val="00892447"/>
    <w:rsid w:val="00894AF6"/>
    <w:rsid w:val="00895229"/>
    <w:rsid w:val="008979A3"/>
    <w:rsid w:val="008A099E"/>
    <w:rsid w:val="008A2F39"/>
    <w:rsid w:val="008B3396"/>
    <w:rsid w:val="008B542D"/>
    <w:rsid w:val="008B57D2"/>
    <w:rsid w:val="008B7DDA"/>
    <w:rsid w:val="008C05CC"/>
    <w:rsid w:val="008C3107"/>
    <w:rsid w:val="008D15D2"/>
    <w:rsid w:val="008D31DF"/>
    <w:rsid w:val="008D5F58"/>
    <w:rsid w:val="008F22F2"/>
    <w:rsid w:val="008F49C0"/>
    <w:rsid w:val="00901672"/>
    <w:rsid w:val="00903521"/>
    <w:rsid w:val="00904BF4"/>
    <w:rsid w:val="009113F0"/>
    <w:rsid w:val="00913940"/>
    <w:rsid w:val="009168FE"/>
    <w:rsid w:val="009205F6"/>
    <w:rsid w:val="0093367C"/>
    <w:rsid w:val="0094592D"/>
    <w:rsid w:val="00947710"/>
    <w:rsid w:val="009525FE"/>
    <w:rsid w:val="00956305"/>
    <w:rsid w:val="00960525"/>
    <w:rsid w:val="009653EA"/>
    <w:rsid w:val="00966ECF"/>
    <w:rsid w:val="00970C57"/>
    <w:rsid w:val="0097460B"/>
    <w:rsid w:val="009771C3"/>
    <w:rsid w:val="009830CC"/>
    <w:rsid w:val="00983E93"/>
    <w:rsid w:val="00987BD2"/>
    <w:rsid w:val="009907B8"/>
    <w:rsid w:val="009907CA"/>
    <w:rsid w:val="00997665"/>
    <w:rsid w:val="009A10D3"/>
    <w:rsid w:val="009A5200"/>
    <w:rsid w:val="009B4B53"/>
    <w:rsid w:val="009B6542"/>
    <w:rsid w:val="009B6FE9"/>
    <w:rsid w:val="009C228F"/>
    <w:rsid w:val="009C3443"/>
    <w:rsid w:val="009D3EA5"/>
    <w:rsid w:val="009E0C0F"/>
    <w:rsid w:val="009E40E4"/>
    <w:rsid w:val="009E630A"/>
    <w:rsid w:val="009F151C"/>
    <w:rsid w:val="009F1B35"/>
    <w:rsid w:val="009F4395"/>
    <w:rsid w:val="00A1492B"/>
    <w:rsid w:val="00A17C26"/>
    <w:rsid w:val="00A33E4F"/>
    <w:rsid w:val="00A44662"/>
    <w:rsid w:val="00A46623"/>
    <w:rsid w:val="00A506BC"/>
    <w:rsid w:val="00A5246F"/>
    <w:rsid w:val="00A74EC0"/>
    <w:rsid w:val="00A77B3B"/>
    <w:rsid w:val="00A80B07"/>
    <w:rsid w:val="00A82208"/>
    <w:rsid w:val="00A859AA"/>
    <w:rsid w:val="00A96C89"/>
    <w:rsid w:val="00A97420"/>
    <w:rsid w:val="00AA1B23"/>
    <w:rsid w:val="00AA3E09"/>
    <w:rsid w:val="00AA7810"/>
    <w:rsid w:val="00AB55FC"/>
    <w:rsid w:val="00AC4FF2"/>
    <w:rsid w:val="00AD4D88"/>
    <w:rsid w:val="00AE4BAF"/>
    <w:rsid w:val="00AE7D16"/>
    <w:rsid w:val="00AF05DF"/>
    <w:rsid w:val="00AF3B95"/>
    <w:rsid w:val="00AF4218"/>
    <w:rsid w:val="00B15654"/>
    <w:rsid w:val="00B22768"/>
    <w:rsid w:val="00B42C73"/>
    <w:rsid w:val="00B529F8"/>
    <w:rsid w:val="00B63D87"/>
    <w:rsid w:val="00B65727"/>
    <w:rsid w:val="00B66FEB"/>
    <w:rsid w:val="00B86F27"/>
    <w:rsid w:val="00B92F82"/>
    <w:rsid w:val="00BA1E45"/>
    <w:rsid w:val="00BB4BBA"/>
    <w:rsid w:val="00BB7FA1"/>
    <w:rsid w:val="00BC57A9"/>
    <w:rsid w:val="00BD4A09"/>
    <w:rsid w:val="00BD7C34"/>
    <w:rsid w:val="00BE2F87"/>
    <w:rsid w:val="00BE6A79"/>
    <w:rsid w:val="00BE71A6"/>
    <w:rsid w:val="00BF0A19"/>
    <w:rsid w:val="00BF2BF8"/>
    <w:rsid w:val="00BF6142"/>
    <w:rsid w:val="00C00E2B"/>
    <w:rsid w:val="00C04995"/>
    <w:rsid w:val="00C058B0"/>
    <w:rsid w:val="00C06179"/>
    <w:rsid w:val="00C105EC"/>
    <w:rsid w:val="00C11AC6"/>
    <w:rsid w:val="00C1502F"/>
    <w:rsid w:val="00C2197D"/>
    <w:rsid w:val="00C23320"/>
    <w:rsid w:val="00C241C5"/>
    <w:rsid w:val="00C2772C"/>
    <w:rsid w:val="00C3204B"/>
    <w:rsid w:val="00C427B3"/>
    <w:rsid w:val="00C43883"/>
    <w:rsid w:val="00C43D13"/>
    <w:rsid w:val="00C56B86"/>
    <w:rsid w:val="00C604A4"/>
    <w:rsid w:val="00C65BBD"/>
    <w:rsid w:val="00C670AF"/>
    <w:rsid w:val="00C809C8"/>
    <w:rsid w:val="00C80CE4"/>
    <w:rsid w:val="00C81843"/>
    <w:rsid w:val="00C82967"/>
    <w:rsid w:val="00C936AE"/>
    <w:rsid w:val="00C975E7"/>
    <w:rsid w:val="00CA711F"/>
    <w:rsid w:val="00CB0C69"/>
    <w:rsid w:val="00CB1A08"/>
    <w:rsid w:val="00CC017D"/>
    <w:rsid w:val="00CC0412"/>
    <w:rsid w:val="00CC0A7A"/>
    <w:rsid w:val="00CC1F59"/>
    <w:rsid w:val="00CD27FC"/>
    <w:rsid w:val="00CD3065"/>
    <w:rsid w:val="00CD3120"/>
    <w:rsid w:val="00CE4976"/>
    <w:rsid w:val="00CE6606"/>
    <w:rsid w:val="00CF3A06"/>
    <w:rsid w:val="00CF670F"/>
    <w:rsid w:val="00D00518"/>
    <w:rsid w:val="00D0713C"/>
    <w:rsid w:val="00D11C69"/>
    <w:rsid w:val="00D11DE2"/>
    <w:rsid w:val="00D21055"/>
    <w:rsid w:val="00D37471"/>
    <w:rsid w:val="00D562BC"/>
    <w:rsid w:val="00D57B22"/>
    <w:rsid w:val="00D6303C"/>
    <w:rsid w:val="00D63426"/>
    <w:rsid w:val="00D6539A"/>
    <w:rsid w:val="00D73F6E"/>
    <w:rsid w:val="00D74636"/>
    <w:rsid w:val="00D750A6"/>
    <w:rsid w:val="00D81E4F"/>
    <w:rsid w:val="00D824ED"/>
    <w:rsid w:val="00D915F1"/>
    <w:rsid w:val="00D95B90"/>
    <w:rsid w:val="00DA4A17"/>
    <w:rsid w:val="00DB430B"/>
    <w:rsid w:val="00DC3860"/>
    <w:rsid w:val="00DD0357"/>
    <w:rsid w:val="00DE6607"/>
    <w:rsid w:val="00DF32B9"/>
    <w:rsid w:val="00E0269D"/>
    <w:rsid w:val="00E02C42"/>
    <w:rsid w:val="00E0535C"/>
    <w:rsid w:val="00E06911"/>
    <w:rsid w:val="00E07463"/>
    <w:rsid w:val="00E1551A"/>
    <w:rsid w:val="00E36157"/>
    <w:rsid w:val="00E415D4"/>
    <w:rsid w:val="00E41B89"/>
    <w:rsid w:val="00E50F69"/>
    <w:rsid w:val="00E651A1"/>
    <w:rsid w:val="00E66919"/>
    <w:rsid w:val="00E717FB"/>
    <w:rsid w:val="00E74730"/>
    <w:rsid w:val="00E8276A"/>
    <w:rsid w:val="00E82F06"/>
    <w:rsid w:val="00E83BFC"/>
    <w:rsid w:val="00E8600B"/>
    <w:rsid w:val="00E868E9"/>
    <w:rsid w:val="00E8749F"/>
    <w:rsid w:val="00E91760"/>
    <w:rsid w:val="00E94C2D"/>
    <w:rsid w:val="00E9791D"/>
    <w:rsid w:val="00EA1FE6"/>
    <w:rsid w:val="00EB615C"/>
    <w:rsid w:val="00EB673B"/>
    <w:rsid w:val="00EC5D7D"/>
    <w:rsid w:val="00EE1F6B"/>
    <w:rsid w:val="00EE372F"/>
    <w:rsid w:val="00EE3CC1"/>
    <w:rsid w:val="00EF1C91"/>
    <w:rsid w:val="00EF2AE7"/>
    <w:rsid w:val="00F047D9"/>
    <w:rsid w:val="00F156DB"/>
    <w:rsid w:val="00F2079A"/>
    <w:rsid w:val="00F2438E"/>
    <w:rsid w:val="00F24FAF"/>
    <w:rsid w:val="00F26792"/>
    <w:rsid w:val="00F27A5C"/>
    <w:rsid w:val="00F311F1"/>
    <w:rsid w:val="00F3172C"/>
    <w:rsid w:val="00F31B67"/>
    <w:rsid w:val="00F35085"/>
    <w:rsid w:val="00F44527"/>
    <w:rsid w:val="00F55279"/>
    <w:rsid w:val="00F56234"/>
    <w:rsid w:val="00F643A8"/>
    <w:rsid w:val="00F747D6"/>
    <w:rsid w:val="00F74DC3"/>
    <w:rsid w:val="00F74DCD"/>
    <w:rsid w:val="00F86708"/>
    <w:rsid w:val="00F958ED"/>
    <w:rsid w:val="00FA3488"/>
    <w:rsid w:val="00FA45E3"/>
    <w:rsid w:val="00FA70AE"/>
    <w:rsid w:val="00FB0015"/>
    <w:rsid w:val="00FB1BAD"/>
    <w:rsid w:val="00FC0211"/>
    <w:rsid w:val="00FC2774"/>
    <w:rsid w:val="00FC41F6"/>
    <w:rsid w:val="00FC577E"/>
    <w:rsid w:val="00FD3F19"/>
    <w:rsid w:val="00FD6F17"/>
    <w:rsid w:val="00FE2AC0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5E99"/>
  <w15:docId w15:val="{3175099F-7982-A348-AB87-E60829E9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47D9"/>
  </w:style>
  <w:style w:type="paragraph" w:styleId="Revision">
    <w:name w:val="Revision"/>
    <w:hidden/>
    <w:uiPriority w:val="99"/>
    <w:semiHidden/>
    <w:rsid w:val="00443F0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74E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EC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656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F1"/>
  </w:style>
  <w:style w:type="paragraph" w:styleId="Header">
    <w:name w:val="header"/>
    <w:basedOn w:val="Normal"/>
    <w:link w:val="HeaderChar"/>
    <w:uiPriority w:val="99"/>
    <w:unhideWhenUsed/>
    <w:rsid w:val="000656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1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5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5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458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4588"/>
    <w:rPr>
      <w:i/>
      <w:iCs/>
    </w:rPr>
  </w:style>
  <w:style w:type="character" w:customStyle="1" w:styleId="hgkelc">
    <w:name w:val="hgkelc"/>
    <w:basedOn w:val="DefaultParagraphFont"/>
    <w:rsid w:val="00215823"/>
  </w:style>
  <w:style w:type="character" w:styleId="FollowedHyperlink">
    <w:name w:val="FollowedHyperlink"/>
    <w:basedOn w:val="DefaultParagraphFont"/>
    <w:uiPriority w:val="99"/>
    <w:semiHidden/>
    <w:unhideWhenUsed/>
    <w:rsid w:val="003B44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2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111/josh.12113" TargetMode="External"/><Relationship Id="rId21" Type="http://schemas.openxmlformats.org/officeDocument/2006/relationships/hyperlink" Target="https://doi.org/10.1007/s11125-020-09485-y" TargetMode="External"/><Relationship Id="rId42" Type="http://schemas.openxmlformats.org/officeDocument/2006/relationships/hyperlink" Target="https://inee.org/standards" TargetMode="External"/><Relationship Id="rId47" Type="http://schemas.openxmlformats.org/officeDocument/2006/relationships/hyperlink" Target="https://doi.org/10.1177/8756870520959659" TargetMode="External"/><Relationship Id="rId63" Type="http://schemas.openxmlformats.org/officeDocument/2006/relationships/hyperlink" Target="https://doi.org/10.1016/j.childyouth.2020.105582" TargetMode="External"/><Relationship Id="rId68" Type="http://schemas.openxmlformats.org/officeDocument/2006/relationships/hyperlink" Target="https://doi.org/10.1504/ijem.2014.066481" TargetMode="External"/><Relationship Id="rId84" Type="http://schemas.openxmlformats.org/officeDocument/2006/relationships/hyperlink" Target="https://doi.org/10.31378/jehc.135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doi.org/10.1080/02619768.2020.1821184" TargetMode="External"/><Relationship Id="rId11" Type="http://schemas.openxmlformats.org/officeDocument/2006/relationships/hyperlink" Target="https://doi.org/10.3390/ijerph14101267" TargetMode="External"/><Relationship Id="rId32" Type="http://schemas.openxmlformats.org/officeDocument/2006/relationships/hyperlink" Target="https://doi.org/10.1108/dlp-04-2020-0024" TargetMode="External"/><Relationship Id="rId37" Type="http://schemas.openxmlformats.org/officeDocument/2006/relationships/hyperlink" Target="https://doi.org/10.1177/1010539512443699" TargetMode="External"/><Relationship Id="rId53" Type="http://schemas.openxmlformats.org/officeDocument/2006/relationships/hyperlink" Target="https://doi.org/10.1037/a0023632" TargetMode="External"/><Relationship Id="rId58" Type="http://schemas.openxmlformats.org/officeDocument/2006/relationships/hyperlink" Target="https://doi.org/10.1080/10901027.2019.1569184" TargetMode="External"/><Relationship Id="rId74" Type="http://schemas.openxmlformats.org/officeDocument/2006/relationships/hyperlink" Target="https://doi.org/10.1080/09500693.2017.1353714" TargetMode="External"/><Relationship Id="rId79" Type="http://schemas.openxmlformats.org/officeDocument/2006/relationships/hyperlink" Target="https://doi.org/10.1177/1534484305278283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%20https:/doi.org/10.3102/0034654316671594" TargetMode="External"/><Relationship Id="rId22" Type="http://schemas.openxmlformats.org/officeDocument/2006/relationships/hyperlink" Target="https://doi.org/10.3102/0013189x21992368" TargetMode="External"/><Relationship Id="rId27" Type="http://schemas.openxmlformats.org/officeDocument/2006/relationships/hyperlink" Target="https://doi.org/10.26522/brocked.v29i2.838" TargetMode="External"/><Relationship Id="rId30" Type="http://schemas.openxmlformats.org/officeDocument/2006/relationships/hyperlink" Target="https://doi.org/10.30935/cedtech/12058" TargetMode="External"/><Relationship Id="rId35" Type="http://schemas.openxmlformats.org/officeDocument/2006/relationships/hyperlink" Target="https://doi.org/10.1177/0092055x20954263" TargetMode="External"/><Relationship Id="rId43" Type="http://schemas.openxmlformats.org/officeDocument/2006/relationships/hyperlink" Target="https://inee.org/resources/inee-guidance-note-psychosocial-support" TargetMode="External"/><Relationship Id="rId48" Type="http://schemas.openxmlformats.org/officeDocument/2006/relationships/hyperlink" Target="https://files-eric-ed-gov.ezproxy2.library.drexel.edu/fulltext/ED608332.pdf" TargetMode="External"/><Relationship Id="rId56" Type="http://schemas.openxmlformats.org/officeDocument/2006/relationships/hyperlink" Target="https://doi.org/10.1080/17502977.2019.1612992" TargetMode="External"/><Relationship Id="rId64" Type="http://schemas.openxmlformats.org/officeDocument/2006/relationships/hyperlink" Target="https://doi.org/10.29333/ejecs/388" TargetMode="External"/><Relationship Id="rId69" Type="http://schemas.openxmlformats.org/officeDocument/2006/relationships/hyperlink" Target="https://doi.org/10.33258/birci.v3i2.946" TargetMode="External"/><Relationship Id="rId77" Type="http://schemas.openxmlformats.org/officeDocument/2006/relationships/hyperlink" Target="https://doi.org/10.15730/forum.2020.62.3.379" TargetMode="External"/><Relationship Id="rId8" Type="http://schemas.openxmlformats.org/officeDocument/2006/relationships/hyperlink" Target="https://doi.org/10.53832/edtechhub.0009" TargetMode="External"/><Relationship Id="rId51" Type="http://schemas.openxmlformats.org/officeDocument/2006/relationships/hyperlink" Target="https://doi.org/10.3390/su12219091" TargetMode="External"/><Relationship Id="rId72" Type="http://schemas.openxmlformats.org/officeDocument/2006/relationships/hyperlink" Target="https://doi.org/10.1080/17502977.2019.1694390" TargetMode="External"/><Relationship Id="rId80" Type="http://schemas.openxmlformats.org/officeDocument/2006/relationships/hyperlink" Target="https://unesdoc.unesco.org/ark:/48223/pf0000190223" TargetMode="External"/><Relationship Id="rId85" Type="http://schemas.openxmlformats.org/officeDocument/2006/relationships/hyperlink" Target="https://openknowledge.worldbank.org/handle/10986/336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86/1471-2458-11-353" TargetMode="External"/><Relationship Id="rId17" Type="http://schemas.openxmlformats.org/officeDocument/2006/relationships/hyperlink" Target="https://www.cdc.gov/csels/dsepd/ss1978/lesson1/section11.html" TargetMode="External"/><Relationship Id="rId25" Type="http://schemas.openxmlformats.org/officeDocument/2006/relationships/hyperlink" Target="https://doi.org/10.1007/s40299-019-00461-5" TargetMode="External"/><Relationship Id="rId33" Type="http://schemas.openxmlformats.org/officeDocument/2006/relationships/hyperlink" Target="https://www.epi.org/publication/the-consequences-of-the-covid-19-pandemic-for-education-performance-and-equity-in-the-united-states-what-can-we-learn-from-pre-pandemic-research-to-inform-relief-recovery-and-rebuilding/" TargetMode="External"/><Relationship Id="rId38" Type="http://schemas.openxmlformats.org/officeDocument/2006/relationships/hyperlink" Target="https://opendocs.ids.ac.uk/opendocs/bitstream/handle/20.500.12413/15202/793_mitigating_education_effects_of_disease_outbreaks.pdf?sequence=6" TargetMode="External"/><Relationship Id="rId46" Type="http://schemas.openxmlformats.org/officeDocument/2006/relationships/hyperlink" Target="https://doi.org/10.13140/RG.2.2.21871.33443" TargetMode="External"/><Relationship Id="rId59" Type="http://schemas.openxmlformats.org/officeDocument/2006/relationships/hyperlink" Target="https://doi.org/10.1007/s11125-020-09487-w" TargetMode="External"/><Relationship Id="rId67" Type="http://schemas.openxmlformats.org/officeDocument/2006/relationships/hyperlink" Target="https://doi.org/10.1021/acs.jchemed.0c00802" TargetMode="External"/><Relationship Id="rId20" Type="http://schemas.openxmlformats.org/officeDocument/2006/relationships/hyperlink" Target="https://files.eric.ed.gov/fulltext/ED608327.pdf" TargetMode="External"/><Relationship Id="rId41" Type="http://schemas.openxmlformats.org/officeDocument/2006/relationships/hyperlink" Target="https://doi.org/10.1080/03634523.2020.1803379" TargetMode="External"/><Relationship Id="rId54" Type="http://schemas.openxmlformats.org/officeDocument/2006/relationships/hyperlink" Target="https://doi.org/10.1002/1520-6629(198601)14:1%3c6::aid-jcop2290140103%3e3.0.co;2-i" TargetMode="External"/><Relationship Id="rId62" Type="http://schemas.openxmlformats.org/officeDocument/2006/relationships/hyperlink" Target="https://doi.org/10.1093/ije/dyn131" TargetMode="External"/><Relationship Id="rId70" Type="http://schemas.openxmlformats.org/officeDocument/2006/relationships/hyperlink" Target="https://inee.org/system/files/resources/19a_Liberia_Report_March2017_LowRes.pdf" TargetMode="External"/><Relationship Id="rId75" Type="http://schemas.openxmlformats.org/officeDocument/2006/relationships/hyperlink" Target="https://doi.org/10.1016/j.jbusres.2019.07.039" TargetMode="External"/><Relationship Id="rId83" Type="http://schemas.openxmlformats.org/officeDocument/2006/relationships/hyperlink" Target="https://www.verizon.com/about/news/update-verizon-serve-customers-covid-19" TargetMode="External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177/1942602x15582064" TargetMode="External"/><Relationship Id="rId23" Type="http://schemas.openxmlformats.org/officeDocument/2006/relationships/hyperlink" Target="https://doi.org/10.1080/02619768.2020.1815702" TargetMode="External"/><Relationship Id="rId28" Type="http://schemas.openxmlformats.org/officeDocument/2006/relationships/hyperlink" Target="https://doi.org/10.1080/13552070215916" TargetMode="External"/><Relationship Id="rId36" Type="http://schemas.openxmlformats.org/officeDocument/2006/relationships/hyperlink" Target="https://doi.org/10.1108/ils-04-2020-0134" TargetMode="External"/><Relationship Id="rId49" Type="http://schemas.openxmlformats.org/officeDocument/2006/relationships/hyperlink" Target="https://doi.org/10.3102/0013189x20965918" TargetMode="External"/><Relationship Id="rId57" Type="http://schemas.openxmlformats.org/officeDocument/2006/relationships/hyperlink" Target="https://doi.org/10.1016/j.ijedro.2020.100012" TargetMode="External"/><Relationship Id="rId10" Type="http://schemas.openxmlformats.org/officeDocument/2006/relationships/hyperlink" Target="https://doi.org/10.1136/bmj.k4667" TargetMode="External"/><Relationship Id="rId31" Type="http://schemas.openxmlformats.org/officeDocument/2006/relationships/hyperlink" Target="http://www.ascilite.org.au/conferences/perth04/procs/fox.html" TargetMode="External"/><Relationship Id="rId44" Type="http://schemas.openxmlformats.org/officeDocument/2006/relationships/hyperlink" Target="https://inee.org/system/files/resources/C19%20Evidence%20Gaps%20Survey%20Analytics_for%20web.pdf" TargetMode="External"/><Relationship Id="rId52" Type="http://schemas.openxmlformats.org/officeDocument/2006/relationships/hyperlink" Target="https://doi.org/10.1016/j.tate.2016.01.021" TargetMode="External"/><Relationship Id="rId60" Type="http://schemas.openxmlformats.org/officeDocument/2006/relationships/hyperlink" Target="https://nebhe.org/journal/good-online-instruction-must-prioritize-student-motivation-not-just-engagement/" TargetMode="External"/><Relationship Id="rId65" Type="http://schemas.openxmlformats.org/officeDocument/2006/relationships/hyperlink" Target="https://www.researchforaction.org/publications/teacher-perceptions-of-online-teaching-tools-during-covid-19/" TargetMode="External"/><Relationship Id="rId73" Type="http://schemas.openxmlformats.org/officeDocument/2006/relationships/hyperlink" Target="https://doi.org/10.1007/s11159-021-09900-2" TargetMode="External"/><Relationship Id="rId78" Type="http://schemas.openxmlformats.org/officeDocument/2006/relationships/hyperlink" Target="https://doi.org/10.1108/s1479-36792022000042b002" TargetMode="External"/><Relationship Id="rId81" Type="http://schemas.openxmlformats.org/officeDocument/2006/relationships/hyperlink" Target="https://doi.org/10.1080/13603124.2015.1124925" TargetMode="External"/><Relationship Id="rId86" Type="http://schemas.openxmlformats.org/officeDocument/2006/relationships/hyperlink" Target="https://doi.org/10.1002/bmb.21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iph.2020.01.005" TargetMode="External"/><Relationship Id="rId13" Type="http://schemas.openxmlformats.org/officeDocument/2006/relationships/hyperlink" Target="https://doi.org/10.1177/1365480220958797" TargetMode="External"/><Relationship Id="rId18" Type="http://schemas.openxmlformats.org/officeDocument/2006/relationships/hyperlink" Target="https://www.cdc.gov/mmwr/preview/mmwrhtml/rr6306a1.htm" TargetMode="External"/><Relationship Id="rId39" Type="http://schemas.openxmlformats.org/officeDocument/2006/relationships/hyperlink" Target="https://doi.org/10.2989/16085900709490421" TargetMode="External"/><Relationship Id="rId34" Type="http://schemas.openxmlformats.org/officeDocument/2006/relationships/hyperlink" Target="https://doi.org/10.1021/acs.jchemed.0c00635" TargetMode="External"/><Relationship Id="rId50" Type="http://schemas.openxmlformats.org/officeDocument/2006/relationships/hyperlink" Target="https://doi.org/10.1002/acp.2350070111" TargetMode="External"/><Relationship Id="rId55" Type="http://schemas.openxmlformats.org/officeDocument/2006/relationships/hyperlink" Target="https://doi.org/10.1080/09523980410001680806" TargetMode="External"/><Relationship Id="rId76" Type="http://schemas.openxmlformats.org/officeDocument/2006/relationships/hyperlink" Target="https://doi.org/10.3390/su121665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080/03634523.2020.18046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16/j.annepidem.2017.07.137" TargetMode="External"/><Relationship Id="rId24" Type="http://schemas.openxmlformats.org/officeDocument/2006/relationships/hyperlink" Target="https://doi.org/10.1177/0047239520934018" TargetMode="External"/><Relationship Id="rId40" Type="http://schemas.openxmlformats.org/officeDocument/2006/relationships/hyperlink" Target="https://doi.org/10.3389/feduc.2022.921332" TargetMode="External"/><Relationship Id="rId45" Type="http://schemas.openxmlformats.org/officeDocument/2006/relationships/hyperlink" Target="https://doi.org/10.1007/s11125-020-09538-2" TargetMode="External"/><Relationship Id="rId66" Type="http://schemas.openxmlformats.org/officeDocument/2006/relationships/hyperlink" Target="https://doi.org/10.1080/00131880701550508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doi.org/10.36021/jethe.v3i1.9" TargetMode="External"/><Relationship Id="rId82" Type="http://schemas.openxmlformats.org/officeDocument/2006/relationships/hyperlink" Target="https://doi.org/10.1186/1478-4491-6-6" TargetMode="External"/><Relationship Id="rId19" Type="http://schemas.openxmlformats.org/officeDocument/2006/relationships/hyperlink" Target="https://www.cdc.gov/museum/online/story-of-cdc/aid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739C-4522-47F5-AF94-A070D6B2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11502</Words>
  <Characters>65566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Thompson</dc:creator>
  <cp:lastModifiedBy>Nathan Thompson</cp:lastModifiedBy>
  <cp:revision>2</cp:revision>
  <dcterms:created xsi:type="dcterms:W3CDTF">2022-10-07T23:35:00Z</dcterms:created>
  <dcterms:modified xsi:type="dcterms:W3CDTF">2022-10-07T23:35:00Z</dcterms:modified>
</cp:coreProperties>
</file>