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5DA69" w14:textId="3DEB4BBD" w:rsidR="007F4DE4" w:rsidRDefault="007F4DE4" w:rsidP="007F4DE4">
      <w:pPr>
        <w:spacing w:line="360" w:lineRule="auto"/>
        <w:jc w:val="center"/>
        <w:rPr>
          <w:rFonts w:asciiTheme="majorBidi" w:hAnsiTheme="majorBidi" w:cstheme="majorBidi"/>
          <w:sz w:val="20"/>
          <w:szCs w:val="20"/>
        </w:rPr>
      </w:pPr>
      <w:r w:rsidRPr="007F4DE4">
        <w:rPr>
          <w:rFonts w:asciiTheme="majorBidi" w:hAnsiTheme="majorBidi" w:cstheme="majorBidi"/>
          <w:sz w:val="20"/>
          <w:szCs w:val="20"/>
        </w:rPr>
        <w:t>“And Who Wrote [the Biblical Books]?”: Rabbinic Traditions’ Views of the Formation of the Bible</w:t>
      </w:r>
    </w:p>
    <w:p w14:paraId="06C5662F" w14:textId="4EEA0E52" w:rsidR="007F4DE4" w:rsidRPr="007F4DE4" w:rsidRDefault="007F4DE4" w:rsidP="007F4DE4">
      <w:pPr>
        <w:spacing w:line="360" w:lineRule="auto"/>
        <w:jc w:val="center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ABSTRACT</w:t>
      </w:r>
    </w:p>
    <w:p w14:paraId="50AFF75A" w14:textId="77777777" w:rsidR="007F4DE4" w:rsidRPr="007F4DE4" w:rsidRDefault="007F4DE4" w:rsidP="007F4DE4">
      <w:pPr>
        <w:autoSpaceDE w:val="0"/>
        <w:autoSpaceDN w:val="0"/>
        <w:bidi/>
        <w:adjustRightInd w:val="0"/>
        <w:spacing w:after="0" w:line="360" w:lineRule="auto"/>
        <w:rPr>
          <w:rFonts w:ascii="FrankRuehl" w:hAnsi="FrankRuehl" w:cs="FrankRuehl"/>
          <w:sz w:val="24"/>
          <w:szCs w:val="24"/>
          <w:rtl/>
        </w:rPr>
      </w:pPr>
    </w:p>
    <w:p w14:paraId="3CE48455" w14:textId="61C9D11E" w:rsidR="00A231DF" w:rsidRDefault="00A231DF" w:rsidP="007F4DE4">
      <w:pPr>
        <w:autoSpaceDE w:val="0"/>
        <w:autoSpaceDN w:val="0"/>
        <w:bidi/>
        <w:adjustRightInd w:val="0"/>
        <w:spacing w:after="0" w:line="360" w:lineRule="auto"/>
        <w:rPr>
          <w:rFonts w:ascii="FrankRuehl" w:hAnsi="FrankRuehl" w:cs="FrankRuehl"/>
          <w:sz w:val="24"/>
          <w:szCs w:val="24"/>
          <w:rtl/>
        </w:rPr>
      </w:pPr>
      <w:r>
        <w:rPr>
          <w:rFonts w:ascii="FrankRuehl" w:hAnsi="FrankRuehl" w:cs="FrankRuehl"/>
          <w:sz w:val="24"/>
          <w:szCs w:val="24"/>
          <w:rtl/>
        </w:rPr>
        <w:t xml:space="preserve">ההיסטוריה של </w:t>
      </w:r>
      <w:r w:rsidR="0074358F">
        <w:rPr>
          <w:rFonts w:ascii="FrankRuehl" w:hAnsi="FrankRuehl" w:cs="FrankRuehl" w:hint="cs"/>
          <w:sz w:val="24"/>
          <w:szCs w:val="24"/>
          <w:rtl/>
        </w:rPr>
        <w:t>התשובות שניתנו ל</w:t>
      </w:r>
      <w:r>
        <w:rPr>
          <w:rFonts w:ascii="FrankRuehl" w:hAnsi="FrankRuehl" w:cs="FrankRuehl"/>
          <w:sz w:val="24"/>
          <w:szCs w:val="24"/>
          <w:rtl/>
        </w:rPr>
        <w:t xml:space="preserve">שאלת התהוות </w:t>
      </w:r>
      <w:r w:rsidR="0074358F">
        <w:rPr>
          <w:rFonts w:ascii="FrankRuehl" w:hAnsi="FrankRuehl" w:cs="FrankRuehl" w:hint="cs"/>
          <w:sz w:val="24"/>
          <w:szCs w:val="24"/>
          <w:rtl/>
        </w:rPr>
        <w:t>(</w:t>
      </w:r>
      <w:r w:rsidR="0074358F" w:rsidRPr="0074358F">
        <w:rPr>
          <w:rFonts w:asciiTheme="majorBidi" w:hAnsiTheme="majorBidi" w:cstheme="majorBidi"/>
          <w:color w:val="FF0000"/>
        </w:rPr>
        <w:t>formation</w:t>
      </w:r>
      <w:r w:rsidR="0074358F">
        <w:rPr>
          <w:rFonts w:ascii="FrankRuehl" w:hAnsi="FrankRuehl" w:cs="FrankRuehl" w:hint="cs"/>
          <w:sz w:val="24"/>
          <w:szCs w:val="24"/>
          <w:rtl/>
        </w:rPr>
        <w:t xml:space="preserve">) </w:t>
      </w:r>
      <w:r>
        <w:rPr>
          <w:rFonts w:ascii="FrankRuehl" w:hAnsi="FrankRuehl" w:cs="FrankRuehl"/>
          <w:sz w:val="24"/>
          <w:szCs w:val="24"/>
          <w:rtl/>
        </w:rPr>
        <w:t>ספרי המקרא</w:t>
      </w:r>
      <w:r w:rsidR="0074358F">
        <w:rPr>
          <w:rFonts w:ascii="FrankRuehl" w:hAnsi="FrankRuehl" w:cs="FrankRuehl" w:hint="cs"/>
          <w:sz w:val="24"/>
          <w:szCs w:val="24"/>
          <w:rtl/>
        </w:rPr>
        <w:t>,</w:t>
      </w:r>
      <w:r>
        <w:rPr>
          <w:rFonts w:ascii="FrankRuehl" w:hAnsi="FrankRuehl" w:cs="FrankRuehl"/>
          <w:sz w:val="24"/>
          <w:szCs w:val="24"/>
          <w:rtl/>
        </w:rPr>
        <w:t xml:space="preserve"> </w:t>
      </w:r>
      <w:r w:rsidR="0074358F">
        <w:rPr>
          <w:rFonts w:ascii="FrankRuehl" w:hAnsi="FrankRuehl" w:cs="FrankRuehl"/>
          <w:sz w:val="24"/>
          <w:szCs w:val="24"/>
          <w:rtl/>
        </w:rPr>
        <w:t>מראשיתם ועד לחתימת המקרא כולו</w:t>
      </w:r>
      <w:r w:rsidR="0074358F">
        <w:rPr>
          <w:rFonts w:ascii="FrankRuehl" w:hAnsi="FrankRuehl" w:cs="FrankRuehl" w:hint="cs"/>
          <w:sz w:val="24"/>
          <w:szCs w:val="24"/>
          <w:rtl/>
        </w:rPr>
        <w:t>,</w:t>
      </w:r>
      <w:r w:rsidR="0074358F">
        <w:rPr>
          <w:rFonts w:ascii="FrankRuehl" w:hAnsi="FrankRuehl" w:cs="FrankRuehl"/>
          <w:sz w:val="24"/>
          <w:szCs w:val="24"/>
          <w:rtl/>
        </w:rPr>
        <w:t xml:space="preserve"> </w:t>
      </w:r>
      <w:r>
        <w:rPr>
          <w:rFonts w:ascii="FrankRuehl" w:hAnsi="FrankRuehl" w:cs="FrankRuehl"/>
          <w:sz w:val="24"/>
          <w:szCs w:val="24"/>
          <w:rtl/>
        </w:rPr>
        <w:t xml:space="preserve">תוארה </w:t>
      </w:r>
      <w:r>
        <w:rPr>
          <w:rFonts w:ascii="FrankRuehl" w:hAnsi="FrankRuehl" w:cs="FrankRuehl" w:hint="cs"/>
          <w:sz w:val="24"/>
          <w:szCs w:val="24"/>
          <w:rtl/>
        </w:rPr>
        <w:t>פעמים רבות</w:t>
      </w:r>
      <w:r>
        <w:rPr>
          <w:rFonts w:ascii="FrankRuehl" w:hAnsi="FrankRuehl" w:cs="FrankRuehl"/>
          <w:sz w:val="24"/>
          <w:szCs w:val="24"/>
          <w:rtl/>
        </w:rPr>
        <w:t xml:space="preserve"> ותחנותיה העיקריות מוכרות</w:t>
      </w:r>
      <w:r>
        <w:rPr>
          <w:rFonts w:ascii="FrankRuehl" w:hAnsi="FrankRuehl" w:cs="FrankRuehl" w:hint="cs"/>
          <w:sz w:val="24"/>
          <w:szCs w:val="24"/>
          <w:rtl/>
        </w:rPr>
        <w:t xml:space="preserve"> </w:t>
      </w:r>
      <w:r>
        <w:rPr>
          <w:rFonts w:ascii="FrankRuehl" w:hAnsi="FrankRuehl" w:cs="FrankRuehl"/>
          <w:sz w:val="24"/>
          <w:szCs w:val="24"/>
          <w:rtl/>
        </w:rPr>
        <w:t>היטב</w:t>
      </w:r>
      <w:r>
        <w:rPr>
          <w:rFonts w:ascii="FrankRuehl" w:hAnsi="FrankRuehl" w:cs="FrankRuehl" w:hint="cs"/>
          <w:sz w:val="24"/>
          <w:szCs w:val="24"/>
          <w:rtl/>
        </w:rPr>
        <w:t>.</w:t>
      </w:r>
      <w:r>
        <w:rPr>
          <w:rFonts w:ascii="FrankRuehl" w:hAnsi="FrankRuehl" w:cs="FrankRuehl"/>
          <w:sz w:val="24"/>
          <w:szCs w:val="24"/>
          <w:rtl/>
        </w:rPr>
        <w:t xml:space="preserve"> </w:t>
      </w:r>
      <w:r w:rsidR="0074358F">
        <w:rPr>
          <w:rFonts w:ascii="FrankRuehl" w:hAnsi="FrankRuehl" w:cs="FrankRuehl" w:hint="cs"/>
          <w:sz w:val="24"/>
          <w:szCs w:val="24"/>
          <w:rtl/>
        </w:rPr>
        <w:t xml:space="preserve">היסטוריה זו </w:t>
      </w:r>
      <w:r w:rsidR="00EF603D">
        <w:rPr>
          <w:rFonts w:ascii="FrankRuehl" w:hAnsi="FrankRuehl" w:cs="FrankRuehl" w:hint="cs"/>
          <w:sz w:val="24"/>
          <w:szCs w:val="24"/>
          <w:rtl/>
        </w:rPr>
        <w:t>הוצגה</w:t>
      </w:r>
      <w:r w:rsidR="0074358F">
        <w:rPr>
          <w:rFonts w:ascii="FrankRuehl" w:hAnsi="FrankRuehl" w:cs="FrankRuehl" w:hint="cs"/>
          <w:sz w:val="24"/>
          <w:szCs w:val="24"/>
          <w:rtl/>
        </w:rPr>
        <w:t xml:space="preserve"> ב</w:t>
      </w:r>
      <w:r w:rsidR="00831BE9">
        <w:rPr>
          <w:rFonts w:ascii="FrankRuehl" w:hAnsi="FrankRuehl" w:cs="FrankRuehl"/>
          <w:sz w:val="24"/>
          <w:szCs w:val="24"/>
          <w:rtl/>
        </w:rPr>
        <w:t>עשרות רבות של ספרי 'מבוא למקרא'</w:t>
      </w:r>
      <w:r w:rsidR="0074358F">
        <w:rPr>
          <w:rFonts w:ascii="FrankRuehl" w:hAnsi="FrankRuehl" w:cs="FrankRuehl" w:hint="cs"/>
          <w:sz w:val="24"/>
          <w:szCs w:val="24"/>
          <w:rtl/>
        </w:rPr>
        <w:t>, ב</w:t>
      </w:r>
      <w:r w:rsidR="00831BE9">
        <w:rPr>
          <w:rFonts w:ascii="FrankRuehl" w:hAnsi="FrankRuehl" w:cs="FrankRuehl"/>
          <w:sz w:val="24"/>
          <w:szCs w:val="24"/>
          <w:rtl/>
        </w:rPr>
        <w:t xml:space="preserve">סקירות </w:t>
      </w:r>
      <w:r w:rsidR="005D63C8">
        <w:rPr>
          <w:rFonts w:ascii="FrankRuehl" w:hAnsi="FrankRuehl" w:cs="FrankRuehl" w:hint="cs"/>
          <w:sz w:val="24"/>
          <w:szCs w:val="24"/>
          <w:rtl/>
        </w:rPr>
        <w:t>ו</w:t>
      </w:r>
      <w:r w:rsidR="007D0892">
        <w:rPr>
          <w:rFonts w:ascii="FrankRuehl" w:hAnsi="FrankRuehl" w:cs="FrankRuehl" w:hint="cs"/>
          <w:sz w:val="24"/>
          <w:szCs w:val="24"/>
          <w:rtl/>
        </w:rPr>
        <w:t>ב</w:t>
      </w:r>
      <w:r w:rsidR="005D63C8">
        <w:rPr>
          <w:rFonts w:ascii="FrankRuehl" w:hAnsi="FrankRuehl" w:cs="FrankRuehl" w:hint="cs"/>
          <w:sz w:val="24"/>
          <w:szCs w:val="24"/>
          <w:rtl/>
        </w:rPr>
        <w:t>מחקרים מקיפים</w:t>
      </w:r>
      <w:r>
        <w:rPr>
          <w:rFonts w:ascii="FrankRuehl" w:hAnsi="FrankRuehl" w:cs="FrankRuehl" w:hint="cs"/>
          <w:sz w:val="24"/>
          <w:szCs w:val="24"/>
          <w:rtl/>
        </w:rPr>
        <w:t>,</w:t>
      </w:r>
      <w:r w:rsidR="00831BE9">
        <w:rPr>
          <w:rFonts w:ascii="FrankRuehl" w:hAnsi="FrankRuehl" w:cs="FrankRuehl"/>
          <w:sz w:val="24"/>
          <w:szCs w:val="24"/>
          <w:rtl/>
        </w:rPr>
        <w:t xml:space="preserve"> בערכים אנציקלופדיים </w:t>
      </w:r>
      <w:r w:rsidR="005D63C8">
        <w:rPr>
          <w:rFonts w:ascii="FrankRuehl" w:hAnsi="FrankRuehl" w:cs="FrankRuehl" w:hint="cs"/>
          <w:sz w:val="24"/>
          <w:szCs w:val="24"/>
          <w:rtl/>
        </w:rPr>
        <w:t xml:space="preserve">מפורטים </w:t>
      </w:r>
      <w:r w:rsidR="00831BE9">
        <w:rPr>
          <w:rFonts w:ascii="FrankRuehl" w:hAnsi="FrankRuehl" w:cs="FrankRuehl"/>
          <w:sz w:val="24"/>
          <w:szCs w:val="24"/>
          <w:rtl/>
        </w:rPr>
        <w:t xml:space="preserve">ובשנים האחרונות </w:t>
      </w:r>
      <w:r>
        <w:rPr>
          <w:rFonts w:ascii="FrankRuehl" w:hAnsi="FrankRuehl" w:cs="FrankRuehl" w:hint="cs"/>
          <w:sz w:val="24"/>
          <w:szCs w:val="24"/>
          <w:rtl/>
        </w:rPr>
        <w:t xml:space="preserve">גם </w:t>
      </w:r>
      <w:r w:rsidR="00831BE9">
        <w:rPr>
          <w:rFonts w:ascii="FrankRuehl" w:hAnsi="FrankRuehl" w:cs="FrankRuehl"/>
          <w:sz w:val="24"/>
          <w:szCs w:val="24"/>
          <w:rtl/>
        </w:rPr>
        <w:t>ב</w:t>
      </w:r>
      <w:r w:rsidR="007D0892">
        <w:rPr>
          <w:rFonts w:ascii="FrankRuehl" w:hAnsi="FrankRuehl" w:cs="FrankRuehl" w:hint="cs"/>
          <w:sz w:val="24"/>
          <w:szCs w:val="24"/>
          <w:rtl/>
        </w:rPr>
        <w:t>מאמר</w:t>
      </w:r>
      <w:r w:rsidR="00831BE9">
        <w:rPr>
          <w:rFonts w:ascii="FrankRuehl" w:hAnsi="FrankRuehl" w:cs="FrankRuehl"/>
          <w:sz w:val="24"/>
          <w:szCs w:val="24"/>
          <w:rtl/>
        </w:rPr>
        <w:t>ים</w:t>
      </w:r>
      <w:r w:rsidR="00831BE9">
        <w:rPr>
          <w:rFonts w:ascii="FrankRuehl" w:hAnsi="FrankRuehl" w:cs="FrankRuehl" w:hint="cs"/>
          <w:sz w:val="24"/>
          <w:szCs w:val="24"/>
          <w:rtl/>
        </w:rPr>
        <w:t xml:space="preserve"> </w:t>
      </w:r>
      <w:r w:rsidR="00831BE9">
        <w:rPr>
          <w:rFonts w:ascii="FrankRuehl" w:hAnsi="FrankRuehl" w:cs="FrankRuehl"/>
          <w:sz w:val="24"/>
          <w:szCs w:val="24"/>
          <w:rtl/>
        </w:rPr>
        <w:t>אינטרנטיים שונים</w:t>
      </w:r>
      <w:r w:rsidR="00831BE9">
        <w:rPr>
          <w:rFonts w:ascii="FrankRuehl" w:hAnsi="FrankRuehl" w:cs="FrankRuehl"/>
          <w:sz w:val="24"/>
          <w:szCs w:val="24"/>
        </w:rPr>
        <w:t>.</w:t>
      </w:r>
      <w:r w:rsidR="00831BE9">
        <w:rPr>
          <w:rFonts w:ascii="FrankRuehl" w:hAnsi="FrankRuehl" w:cs="FrankRuehl" w:hint="cs"/>
          <w:sz w:val="24"/>
          <w:szCs w:val="24"/>
          <w:rtl/>
        </w:rPr>
        <w:t xml:space="preserve"> </w:t>
      </w:r>
    </w:p>
    <w:p w14:paraId="3B947020" w14:textId="5AF63234" w:rsidR="00831BE9" w:rsidRDefault="00A231DF" w:rsidP="007F4DE4">
      <w:pPr>
        <w:autoSpaceDE w:val="0"/>
        <w:autoSpaceDN w:val="0"/>
        <w:bidi/>
        <w:adjustRightInd w:val="0"/>
        <w:spacing w:after="0" w:line="360" w:lineRule="auto"/>
        <w:ind w:firstLine="720"/>
        <w:rPr>
          <w:rFonts w:ascii="FrankRuehl" w:hAnsi="FrankRuehl" w:cs="FrankRuehl"/>
          <w:sz w:val="24"/>
          <w:szCs w:val="24"/>
        </w:rPr>
      </w:pPr>
      <w:r>
        <w:rPr>
          <w:rFonts w:ascii="FrankRuehl" w:hAnsi="FrankRuehl" w:cs="FrankRuehl" w:hint="cs"/>
          <w:sz w:val="24"/>
          <w:szCs w:val="24"/>
          <w:rtl/>
        </w:rPr>
        <w:t xml:space="preserve">אך אף שהמחקר המסכם את ההיסטוריה של </w:t>
      </w:r>
      <w:r w:rsidR="00171368">
        <w:rPr>
          <w:rFonts w:ascii="FrankRuehl" w:hAnsi="FrankRuehl" w:cs="FrankRuehl" w:hint="cs"/>
          <w:sz w:val="24"/>
          <w:szCs w:val="24"/>
          <w:rtl/>
        </w:rPr>
        <w:t>התשובות שניתנו ל</w:t>
      </w:r>
      <w:r>
        <w:rPr>
          <w:rFonts w:ascii="FrankRuehl" w:hAnsi="FrankRuehl" w:cs="FrankRuehl" w:hint="cs"/>
          <w:sz w:val="24"/>
          <w:szCs w:val="24"/>
          <w:rtl/>
        </w:rPr>
        <w:t xml:space="preserve">שאלת התהוות ספרי המקרא הוא רב, </w:t>
      </w:r>
      <w:r w:rsidR="00831BE9">
        <w:rPr>
          <w:rFonts w:ascii="FrankRuehl" w:hAnsi="FrankRuehl" w:cs="FrankRuehl"/>
          <w:sz w:val="24"/>
          <w:szCs w:val="24"/>
          <w:rtl/>
        </w:rPr>
        <w:t>פרק חשוב בהיסטוריה זו טרם זכה למחקר מקיף ומוסמך העומד בפני עצמו</w:t>
      </w:r>
      <w:r w:rsidR="00831BE9">
        <w:rPr>
          <w:rFonts w:ascii="FrankRuehl" w:hAnsi="FrankRuehl" w:cs="FrankRuehl" w:hint="cs"/>
          <w:sz w:val="24"/>
          <w:szCs w:val="24"/>
          <w:rtl/>
        </w:rPr>
        <w:t>:</w:t>
      </w:r>
      <w:r w:rsidR="00831BE9">
        <w:rPr>
          <w:rFonts w:ascii="FrankRuehl" w:hAnsi="FrankRuehl" w:cs="FrankRuehl"/>
          <w:sz w:val="24"/>
          <w:szCs w:val="24"/>
          <w:rtl/>
        </w:rPr>
        <w:t xml:space="preserve"> שאלת התהוות</w:t>
      </w:r>
      <w:r w:rsidR="00831BE9">
        <w:rPr>
          <w:rFonts w:ascii="FrankRuehl" w:hAnsi="FrankRuehl" w:cs="FrankRuehl" w:hint="cs"/>
          <w:sz w:val="24"/>
          <w:szCs w:val="24"/>
          <w:rtl/>
        </w:rPr>
        <w:t xml:space="preserve"> </w:t>
      </w:r>
      <w:r w:rsidR="00831BE9">
        <w:rPr>
          <w:rFonts w:ascii="FrankRuehl" w:hAnsi="FrankRuehl" w:cs="FrankRuehl"/>
          <w:sz w:val="24"/>
          <w:szCs w:val="24"/>
          <w:rtl/>
        </w:rPr>
        <w:t xml:space="preserve">ספרי המקרא כפי שהיא באה לידי ביטוי בספרות </w:t>
      </w:r>
      <w:r w:rsidR="00112774">
        <w:rPr>
          <w:rFonts w:ascii="FrankRuehl" w:hAnsi="FrankRuehl" w:cs="FrankRuehl" w:hint="cs"/>
          <w:sz w:val="24"/>
          <w:szCs w:val="24"/>
          <w:rtl/>
        </w:rPr>
        <w:t>היהודית-</w:t>
      </w:r>
      <w:r w:rsidR="00831BE9">
        <w:rPr>
          <w:rFonts w:ascii="FrankRuehl" w:hAnsi="FrankRuehl" w:cs="FrankRuehl"/>
          <w:sz w:val="24"/>
          <w:szCs w:val="24"/>
          <w:rtl/>
        </w:rPr>
        <w:t xml:space="preserve">הרבנית </w:t>
      </w:r>
      <w:r w:rsidR="002524CF">
        <w:rPr>
          <w:rFonts w:ascii="FrankRuehl" w:hAnsi="FrankRuehl" w:cs="FrankRuehl" w:hint="cs"/>
          <w:sz w:val="24"/>
          <w:szCs w:val="24"/>
          <w:rtl/>
        </w:rPr>
        <w:t>לדורותיה</w:t>
      </w:r>
      <w:r w:rsidR="00831BE9">
        <w:rPr>
          <w:rFonts w:ascii="FrankRuehl" w:hAnsi="FrankRuehl" w:cs="FrankRuehl"/>
          <w:sz w:val="24"/>
          <w:szCs w:val="24"/>
          <w:rtl/>
        </w:rPr>
        <w:t xml:space="preserve">. אין מדובר </w:t>
      </w:r>
      <w:r w:rsidR="00831BE9">
        <w:rPr>
          <w:rFonts w:ascii="FrankRuehl" w:hAnsi="FrankRuehl" w:cs="FrankRuehl" w:hint="cs"/>
          <w:sz w:val="24"/>
          <w:szCs w:val="24"/>
          <w:rtl/>
        </w:rPr>
        <w:t>בנושא זנוח לחלוטין</w:t>
      </w:r>
      <w:r w:rsidR="00831BE9">
        <w:rPr>
          <w:rFonts w:ascii="FrankRuehl" w:hAnsi="FrankRuehl" w:cs="FrankRuehl"/>
          <w:sz w:val="24"/>
          <w:szCs w:val="24"/>
          <w:rtl/>
        </w:rPr>
        <w:t>. לפנינו מחקרים</w:t>
      </w:r>
      <w:r w:rsidR="00831BE9">
        <w:rPr>
          <w:rFonts w:ascii="FrankRuehl" w:hAnsi="FrankRuehl" w:cs="FrankRuehl" w:hint="cs"/>
          <w:sz w:val="24"/>
          <w:szCs w:val="24"/>
          <w:rtl/>
        </w:rPr>
        <w:t xml:space="preserve"> </w:t>
      </w:r>
      <w:r w:rsidR="00B0695B">
        <w:rPr>
          <w:rFonts w:ascii="FrankRuehl" w:hAnsi="FrankRuehl" w:cs="FrankRuehl" w:hint="cs"/>
          <w:sz w:val="24"/>
          <w:szCs w:val="24"/>
          <w:rtl/>
        </w:rPr>
        <w:t>לא מעטים</w:t>
      </w:r>
      <w:r w:rsidR="00831BE9">
        <w:rPr>
          <w:rFonts w:ascii="FrankRuehl" w:hAnsi="FrankRuehl" w:cs="FrankRuehl"/>
          <w:sz w:val="24"/>
          <w:szCs w:val="24"/>
          <w:rtl/>
        </w:rPr>
        <w:t xml:space="preserve"> ה</w:t>
      </w:r>
      <w:r w:rsidR="00B0695B">
        <w:rPr>
          <w:rFonts w:ascii="FrankRuehl" w:hAnsi="FrankRuehl" w:cs="FrankRuehl" w:hint="cs"/>
          <w:sz w:val="24"/>
          <w:szCs w:val="24"/>
          <w:rtl/>
        </w:rPr>
        <w:t>מאירים צדדים שונים</w:t>
      </w:r>
      <w:r w:rsidR="00831BE9">
        <w:rPr>
          <w:rFonts w:ascii="FrankRuehl" w:hAnsi="FrankRuehl" w:cs="FrankRuehl"/>
          <w:sz w:val="24"/>
          <w:szCs w:val="24"/>
          <w:rtl/>
        </w:rPr>
        <w:t xml:space="preserve"> </w:t>
      </w:r>
      <w:r w:rsidR="00112774">
        <w:rPr>
          <w:rFonts w:ascii="FrankRuehl" w:hAnsi="FrankRuehl" w:cs="FrankRuehl" w:hint="cs"/>
          <w:sz w:val="24"/>
          <w:szCs w:val="24"/>
          <w:rtl/>
        </w:rPr>
        <w:t xml:space="preserve">בשאלה זו בהסתמך על </w:t>
      </w:r>
      <w:r w:rsidR="00831BE9">
        <w:rPr>
          <w:rFonts w:ascii="FrankRuehl" w:hAnsi="FrankRuehl" w:cs="FrankRuehl"/>
          <w:sz w:val="24"/>
          <w:szCs w:val="24"/>
          <w:rtl/>
        </w:rPr>
        <w:t>היגדי מפתח מספרות חז"ל</w:t>
      </w:r>
      <w:r w:rsidR="00112774">
        <w:rPr>
          <w:rFonts w:ascii="FrankRuehl" w:hAnsi="FrankRuehl" w:cs="FrankRuehl" w:hint="cs"/>
          <w:sz w:val="24"/>
          <w:szCs w:val="24"/>
          <w:rtl/>
        </w:rPr>
        <w:t xml:space="preserve">, </w:t>
      </w:r>
      <w:r w:rsidR="00831BE9">
        <w:rPr>
          <w:rFonts w:ascii="FrankRuehl" w:hAnsi="FrankRuehl" w:cs="FrankRuehl"/>
          <w:sz w:val="24"/>
          <w:szCs w:val="24"/>
          <w:rtl/>
        </w:rPr>
        <w:t xml:space="preserve">מפרשנות ימי הביניים </w:t>
      </w:r>
      <w:r w:rsidR="00112774">
        <w:rPr>
          <w:rFonts w:ascii="FrankRuehl" w:hAnsi="FrankRuehl" w:cs="FrankRuehl" w:hint="cs"/>
          <w:sz w:val="24"/>
          <w:szCs w:val="24"/>
          <w:rtl/>
        </w:rPr>
        <w:t xml:space="preserve">ומחיבורים </w:t>
      </w:r>
      <w:r w:rsidR="00B0695B">
        <w:rPr>
          <w:rFonts w:ascii="FrankRuehl" w:hAnsi="FrankRuehl" w:cs="FrankRuehl" w:hint="cs"/>
          <w:sz w:val="24"/>
          <w:szCs w:val="24"/>
          <w:rtl/>
        </w:rPr>
        <w:t>מ</w:t>
      </w:r>
      <w:r w:rsidR="00112774">
        <w:rPr>
          <w:rFonts w:ascii="FrankRuehl" w:hAnsi="FrankRuehl" w:cs="FrankRuehl" w:hint="cs"/>
          <w:sz w:val="24"/>
          <w:szCs w:val="24"/>
          <w:rtl/>
        </w:rPr>
        <w:t>תקופת ההשכלה</w:t>
      </w:r>
      <w:r w:rsidR="00831BE9">
        <w:rPr>
          <w:rFonts w:ascii="FrankRuehl" w:hAnsi="FrankRuehl" w:cs="FrankRuehl"/>
          <w:sz w:val="24"/>
          <w:szCs w:val="24"/>
          <w:rtl/>
        </w:rPr>
        <w:t xml:space="preserve">. ועם זאת, עד כה לא נעשה ניסיון </w:t>
      </w:r>
      <w:r w:rsidR="000B4D1E">
        <w:rPr>
          <w:rFonts w:ascii="FrankRuehl" w:hAnsi="FrankRuehl" w:cs="FrankRuehl" w:hint="cs"/>
          <w:sz w:val="24"/>
          <w:szCs w:val="24"/>
          <w:rtl/>
        </w:rPr>
        <w:t>לאסוף את כל ההיגדים הרלוונטיים (</w:t>
      </w:r>
      <w:r w:rsidR="00B0695B">
        <w:rPr>
          <w:rFonts w:ascii="FrankRuehl" w:hAnsi="FrankRuehl" w:cs="FrankRuehl" w:hint="cs"/>
          <w:sz w:val="24"/>
          <w:szCs w:val="24"/>
          <w:rtl/>
        </w:rPr>
        <w:t>מדובר ב</w:t>
      </w:r>
      <w:r w:rsidR="00DF602A">
        <w:rPr>
          <w:rFonts w:ascii="FrankRuehl" w:hAnsi="FrankRuehl" w:cs="FrankRuehl" w:hint="cs"/>
          <w:sz w:val="24"/>
          <w:szCs w:val="24"/>
          <w:rtl/>
        </w:rPr>
        <w:t>מאות</w:t>
      </w:r>
      <w:r w:rsidR="000B4D1E">
        <w:rPr>
          <w:rFonts w:ascii="FrankRuehl" w:hAnsi="FrankRuehl" w:cs="FrankRuehl" w:hint="cs"/>
          <w:sz w:val="24"/>
          <w:szCs w:val="24"/>
          <w:rtl/>
        </w:rPr>
        <w:t xml:space="preserve"> היגדים!)</w:t>
      </w:r>
      <w:r w:rsidR="00844DCF">
        <w:rPr>
          <w:rFonts w:ascii="FrankRuehl" w:hAnsi="FrankRuehl" w:cs="FrankRuehl" w:hint="cs"/>
          <w:sz w:val="24"/>
          <w:szCs w:val="24"/>
          <w:rtl/>
        </w:rPr>
        <w:t>,</w:t>
      </w:r>
      <w:r w:rsidR="000B4D1E">
        <w:rPr>
          <w:rFonts w:ascii="FrankRuehl" w:hAnsi="FrankRuehl" w:cs="FrankRuehl" w:hint="cs"/>
          <w:sz w:val="24"/>
          <w:szCs w:val="24"/>
          <w:rtl/>
        </w:rPr>
        <w:t xml:space="preserve"> </w:t>
      </w:r>
      <w:r w:rsidR="00115002">
        <w:rPr>
          <w:rFonts w:ascii="FrankRuehl" w:hAnsi="FrankRuehl" w:cs="FrankRuehl" w:hint="cs"/>
          <w:sz w:val="24"/>
          <w:szCs w:val="24"/>
          <w:rtl/>
        </w:rPr>
        <w:t>לבחון</w:t>
      </w:r>
      <w:r w:rsidR="00115002">
        <w:rPr>
          <w:rFonts w:ascii="FrankRuehl" w:hAnsi="FrankRuehl" w:cs="FrankRuehl"/>
          <w:sz w:val="24"/>
          <w:szCs w:val="24"/>
          <w:rtl/>
        </w:rPr>
        <w:t xml:space="preserve"> </w:t>
      </w:r>
      <w:r w:rsidR="00115002">
        <w:rPr>
          <w:rFonts w:ascii="FrankRuehl" w:hAnsi="FrankRuehl" w:cs="FrankRuehl" w:hint="cs"/>
          <w:sz w:val="24"/>
          <w:szCs w:val="24"/>
          <w:rtl/>
        </w:rPr>
        <w:t>אותם בפירוט</w:t>
      </w:r>
      <w:r w:rsidR="00115002">
        <w:rPr>
          <w:rFonts w:ascii="FrankRuehl" w:hAnsi="FrankRuehl" w:cs="FrankRuehl"/>
          <w:sz w:val="24"/>
          <w:szCs w:val="24"/>
          <w:rtl/>
        </w:rPr>
        <w:t xml:space="preserve">, </w:t>
      </w:r>
      <w:r w:rsidR="00115002">
        <w:rPr>
          <w:rFonts w:ascii="FrankRuehl" w:hAnsi="FrankRuehl" w:cs="FrankRuehl" w:hint="cs"/>
          <w:sz w:val="24"/>
          <w:szCs w:val="24"/>
          <w:rtl/>
        </w:rPr>
        <w:t xml:space="preserve">לברר </w:t>
      </w:r>
      <w:r w:rsidR="00115002">
        <w:rPr>
          <w:rFonts w:ascii="FrankRuehl" w:hAnsi="FrankRuehl" w:cs="FrankRuehl"/>
          <w:sz w:val="24"/>
          <w:szCs w:val="24"/>
          <w:rtl/>
        </w:rPr>
        <w:t>את מקורותיה</w:t>
      </w:r>
      <w:r w:rsidR="00115002">
        <w:rPr>
          <w:rFonts w:ascii="FrankRuehl" w:hAnsi="FrankRuehl" w:cs="FrankRuehl" w:hint="cs"/>
          <w:sz w:val="24"/>
          <w:szCs w:val="24"/>
          <w:rtl/>
        </w:rPr>
        <w:t>ם</w:t>
      </w:r>
      <w:r w:rsidR="00115002">
        <w:rPr>
          <w:rFonts w:ascii="FrankRuehl" w:hAnsi="FrankRuehl" w:cs="FrankRuehl"/>
          <w:sz w:val="24"/>
          <w:szCs w:val="24"/>
          <w:rtl/>
        </w:rPr>
        <w:t xml:space="preserve"> </w:t>
      </w:r>
      <w:r w:rsidR="00115002">
        <w:rPr>
          <w:rFonts w:ascii="FrankRuehl" w:hAnsi="FrankRuehl" w:cs="FrankRuehl" w:hint="cs"/>
          <w:sz w:val="24"/>
          <w:szCs w:val="24"/>
          <w:rtl/>
        </w:rPr>
        <w:t>ו</w:t>
      </w:r>
      <w:r w:rsidR="00115002">
        <w:rPr>
          <w:rFonts w:ascii="FrankRuehl" w:hAnsi="FrankRuehl" w:cs="FrankRuehl"/>
          <w:sz w:val="24"/>
          <w:szCs w:val="24"/>
          <w:rtl/>
        </w:rPr>
        <w:t>את השפעת</w:t>
      </w:r>
      <w:r w:rsidR="00115002">
        <w:rPr>
          <w:rFonts w:ascii="FrankRuehl" w:hAnsi="FrankRuehl" w:cs="FrankRuehl" w:hint="cs"/>
          <w:sz w:val="24"/>
          <w:szCs w:val="24"/>
          <w:rtl/>
        </w:rPr>
        <w:t>ם</w:t>
      </w:r>
      <w:r w:rsidR="00115002">
        <w:rPr>
          <w:rFonts w:ascii="FrankRuehl" w:hAnsi="FrankRuehl" w:cs="FrankRuehl"/>
          <w:sz w:val="24"/>
          <w:szCs w:val="24"/>
          <w:rtl/>
        </w:rPr>
        <w:t xml:space="preserve"> והתקבלות</w:t>
      </w:r>
      <w:r w:rsidR="00115002">
        <w:rPr>
          <w:rFonts w:ascii="FrankRuehl" w:hAnsi="FrankRuehl" w:cs="FrankRuehl" w:hint="cs"/>
          <w:sz w:val="24"/>
          <w:szCs w:val="24"/>
          <w:rtl/>
        </w:rPr>
        <w:t>ם</w:t>
      </w:r>
      <w:r w:rsidR="00115002">
        <w:rPr>
          <w:rFonts w:ascii="FrankRuehl" w:hAnsi="FrankRuehl" w:cs="FrankRuehl"/>
          <w:sz w:val="24"/>
          <w:szCs w:val="24"/>
          <w:rtl/>
        </w:rPr>
        <w:t xml:space="preserve"> לאורך הדורות</w:t>
      </w:r>
      <w:r w:rsidR="00115002">
        <w:rPr>
          <w:rFonts w:ascii="FrankRuehl" w:hAnsi="FrankRuehl" w:cs="FrankRuehl" w:hint="cs"/>
          <w:sz w:val="24"/>
          <w:szCs w:val="24"/>
          <w:rtl/>
        </w:rPr>
        <w:t xml:space="preserve">, </w:t>
      </w:r>
      <w:r w:rsidR="00844DCF">
        <w:rPr>
          <w:rFonts w:ascii="FrankRuehl" w:hAnsi="FrankRuehl" w:cs="FrankRuehl" w:hint="cs"/>
          <w:sz w:val="24"/>
          <w:szCs w:val="24"/>
          <w:rtl/>
        </w:rPr>
        <w:t>ו</w:t>
      </w:r>
      <w:r w:rsidR="000B4D1E">
        <w:rPr>
          <w:rFonts w:ascii="FrankRuehl" w:hAnsi="FrankRuehl" w:cs="FrankRuehl" w:hint="cs"/>
          <w:sz w:val="24"/>
          <w:szCs w:val="24"/>
          <w:rtl/>
        </w:rPr>
        <w:t>להציג תמונה שיטתית</w:t>
      </w:r>
      <w:r w:rsidR="00831BE9">
        <w:rPr>
          <w:rFonts w:ascii="FrankRuehl" w:hAnsi="FrankRuehl" w:cs="FrankRuehl"/>
          <w:sz w:val="24"/>
          <w:szCs w:val="24"/>
          <w:rtl/>
        </w:rPr>
        <w:t xml:space="preserve"> של </w:t>
      </w:r>
      <w:r w:rsidR="00115002">
        <w:rPr>
          <w:rFonts w:ascii="FrankRuehl" w:hAnsi="FrankRuehl" w:cs="FrankRuehl" w:hint="cs"/>
          <w:sz w:val="24"/>
          <w:szCs w:val="24"/>
          <w:rtl/>
        </w:rPr>
        <w:t xml:space="preserve">עמדת המסורת היהודית לדורותיה בשאלה מרכזית וחשובה </w:t>
      </w:r>
      <w:r w:rsidR="004916D1">
        <w:rPr>
          <w:rFonts w:ascii="FrankRuehl" w:hAnsi="FrankRuehl" w:cs="FrankRuehl" w:hint="cs"/>
          <w:sz w:val="24"/>
          <w:szCs w:val="24"/>
          <w:rtl/>
        </w:rPr>
        <w:t>זו</w:t>
      </w:r>
      <w:r w:rsidR="00115002">
        <w:rPr>
          <w:rFonts w:ascii="FrankRuehl" w:hAnsi="FrankRuehl" w:cs="FrankRuehl" w:hint="cs"/>
          <w:sz w:val="24"/>
          <w:szCs w:val="24"/>
          <w:rtl/>
        </w:rPr>
        <w:t>.</w:t>
      </w:r>
      <w:r w:rsidR="00831BE9">
        <w:rPr>
          <w:rFonts w:ascii="FrankRuehl" w:hAnsi="FrankRuehl" w:cs="FrankRuehl"/>
          <w:sz w:val="24"/>
          <w:szCs w:val="24"/>
          <w:rtl/>
        </w:rPr>
        <w:t xml:space="preserve"> </w:t>
      </w:r>
    </w:p>
    <w:p w14:paraId="3813D22C" w14:textId="0BC35216" w:rsidR="00EE5136" w:rsidRDefault="00831BE9" w:rsidP="007F4DE4">
      <w:pPr>
        <w:autoSpaceDE w:val="0"/>
        <w:autoSpaceDN w:val="0"/>
        <w:bidi/>
        <w:adjustRightInd w:val="0"/>
        <w:spacing w:after="0" w:line="360" w:lineRule="auto"/>
        <w:ind w:firstLine="720"/>
        <w:rPr>
          <w:rFonts w:ascii="FrankRuehl" w:hAnsi="FrankRuehl" w:cs="FrankRuehl"/>
          <w:sz w:val="24"/>
          <w:szCs w:val="24"/>
          <w:rtl/>
        </w:rPr>
      </w:pPr>
      <w:r>
        <w:rPr>
          <w:rFonts w:ascii="FrankRuehl" w:hAnsi="FrankRuehl" w:cs="FrankRuehl"/>
          <w:sz w:val="24"/>
          <w:szCs w:val="24"/>
          <w:rtl/>
        </w:rPr>
        <w:t>בעבודתי אני מבקש להציע השלמה לפרק מרתק זה בהיסטוריה של מחקר המקרא</w:t>
      </w:r>
      <w:r w:rsidR="00E27B85" w:rsidRPr="00E27B85">
        <w:rPr>
          <w:rFonts w:ascii="FrankRuehl" w:hAnsi="FrankRuehl" w:cs="FrankRuehl" w:hint="cs"/>
          <w:sz w:val="24"/>
          <w:szCs w:val="24"/>
          <w:rtl/>
        </w:rPr>
        <w:t xml:space="preserve"> </w:t>
      </w:r>
      <w:r w:rsidR="00E27B85">
        <w:rPr>
          <w:rFonts w:ascii="FrankRuehl" w:hAnsi="FrankRuehl" w:cs="FrankRuehl" w:hint="cs"/>
          <w:sz w:val="24"/>
          <w:szCs w:val="24"/>
          <w:rtl/>
        </w:rPr>
        <w:t>ולהשלים ספר 'מבוא למקרא יהודי-רבני'</w:t>
      </w:r>
      <w:r>
        <w:rPr>
          <w:rFonts w:ascii="FrankRuehl" w:hAnsi="FrankRuehl" w:cs="FrankRuehl"/>
          <w:sz w:val="24"/>
          <w:szCs w:val="24"/>
          <w:rtl/>
        </w:rPr>
        <w:t xml:space="preserve">. </w:t>
      </w:r>
      <w:r w:rsidR="00B0695B">
        <w:rPr>
          <w:rFonts w:ascii="FrankRuehl" w:hAnsi="FrankRuehl" w:cs="FrankRuehl" w:hint="cs"/>
          <w:sz w:val="24"/>
          <w:szCs w:val="24"/>
          <w:rtl/>
        </w:rPr>
        <w:t>בכוונתי לה</w:t>
      </w:r>
      <w:r w:rsidR="0026681A">
        <w:rPr>
          <w:rFonts w:ascii="FrankRuehl" w:hAnsi="FrankRuehl" w:cs="FrankRuehl" w:hint="cs"/>
          <w:sz w:val="24"/>
          <w:szCs w:val="24"/>
          <w:rtl/>
        </w:rPr>
        <w:t xml:space="preserve">ציג את עמדת המסורת בשאלת התהוות ספרי המקרא לפי חלוקה לתקופות </w:t>
      </w:r>
      <w:r w:rsidR="00EE5136">
        <w:rPr>
          <w:rFonts w:ascii="FrankRuehl" w:hAnsi="FrankRuehl" w:cs="FrankRuehl"/>
          <w:sz w:val="24"/>
          <w:szCs w:val="24"/>
          <w:rtl/>
        </w:rPr>
        <w:t>–</w:t>
      </w:r>
      <w:r w:rsidR="00EE5136">
        <w:rPr>
          <w:rFonts w:ascii="FrankRuehl" w:hAnsi="FrankRuehl" w:cs="FrankRuehl" w:hint="cs"/>
          <w:sz w:val="24"/>
          <w:szCs w:val="24"/>
          <w:rtl/>
        </w:rPr>
        <w:t xml:space="preserve"> </w:t>
      </w:r>
      <w:r w:rsidR="0081476C">
        <w:rPr>
          <w:rFonts w:ascii="FrankRuehl" w:hAnsi="FrankRuehl" w:cs="FrankRuehl" w:hint="cs"/>
          <w:sz w:val="24"/>
          <w:szCs w:val="24"/>
          <w:rtl/>
        </w:rPr>
        <w:t xml:space="preserve">ספרות סוף הבית השני, </w:t>
      </w:r>
      <w:r w:rsidR="0026681A">
        <w:rPr>
          <w:rFonts w:ascii="FrankRuehl" w:hAnsi="FrankRuehl" w:cs="FrankRuehl" w:hint="cs"/>
          <w:sz w:val="24"/>
          <w:szCs w:val="24"/>
          <w:rtl/>
        </w:rPr>
        <w:t>חז"ל, ימי הביניים</w:t>
      </w:r>
      <w:r w:rsidR="0081476C">
        <w:rPr>
          <w:rFonts w:ascii="FrankRuehl" w:hAnsi="FrankRuehl" w:cs="FrankRuehl" w:hint="cs"/>
          <w:sz w:val="24"/>
          <w:szCs w:val="24"/>
          <w:rtl/>
        </w:rPr>
        <w:t>,</w:t>
      </w:r>
      <w:r w:rsidR="0026681A">
        <w:rPr>
          <w:rFonts w:ascii="FrankRuehl" w:hAnsi="FrankRuehl" w:cs="FrankRuehl" w:hint="cs"/>
          <w:sz w:val="24"/>
          <w:szCs w:val="24"/>
          <w:rtl/>
        </w:rPr>
        <w:t xml:space="preserve"> העת החדשה המוק</w:t>
      </w:r>
      <w:r w:rsidR="0026681A" w:rsidRPr="00531FA9">
        <w:rPr>
          <w:rFonts w:ascii="FrankRuehl" w:hAnsi="FrankRuehl" w:cs="FrankRuehl" w:hint="cs"/>
          <w:sz w:val="24"/>
          <w:szCs w:val="24"/>
          <w:rtl/>
        </w:rPr>
        <w:t xml:space="preserve">דמת </w:t>
      </w:r>
      <w:r w:rsidR="0081476C">
        <w:rPr>
          <w:rFonts w:ascii="FrankRuehl" w:hAnsi="FrankRuehl" w:cs="FrankRuehl" w:hint="cs"/>
          <w:sz w:val="24"/>
          <w:szCs w:val="24"/>
          <w:rtl/>
        </w:rPr>
        <w:t>ו</w:t>
      </w:r>
      <w:r w:rsidR="0026681A" w:rsidRPr="00531FA9">
        <w:rPr>
          <w:rFonts w:ascii="FrankRuehl" w:hAnsi="FrankRuehl" w:cs="FrankRuehl" w:hint="cs"/>
          <w:sz w:val="24"/>
          <w:szCs w:val="24"/>
          <w:rtl/>
        </w:rPr>
        <w:t>העת החדשה</w:t>
      </w:r>
      <w:r w:rsidR="00EE5136">
        <w:rPr>
          <w:rFonts w:ascii="FrankRuehl" w:hAnsi="FrankRuehl" w:cs="FrankRuehl" w:hint="cs"/>
          <w:sz w:val="24"/>
          <w:szCs w:val="24"/>
          <w:rtl/>
        </w:rPr>
        <w:t xml:space="preserve"> </w:t>
      </w:r>
      <w:r w:rsidR="00EE5136">
        <w:rPr>
          <w:rFonts w:ascii="FrankRuehl" w:hAnsi="FrankRuehl" w:cs="FrankRuehl"/>
          <w:sz w:val="24"/>
          <w:szCs w:val="24"/>
          <w:rtl/>
        </w:rPr>
        <w:t>–</w:t>
      </w:r>
      <w:r w:rsidR="0026681A" w:rsidRPr="00531FA9">
        <w:rPr>
          <w:rFonts w:ascii="FrankRuehl" w:hAnsi="FrankRuehl" w:cs="FrankRuehl" w:hint="cs"/>
          <w:sz w:val="24"/>
          <w:szCs w:val="24"/>
          <w:rtl/>
        </w:rPr>
        <w:t xml:space="preserve"> ובהתאם לסדר</w:t>
      </w:r>
      <w:r w:rsidRPr="00531FA9">
        <w:rPr>
          <w:rFonts w:ascii="FrankRuehl" w:hAnsi="FrankRuehl" w:cs="FrankRuehl"/>
          <w:sz w:val="24"/>
          <w:szCs w:val="24"/>
          <w:rtl/>
        </w:rPr>
        <w:t xml:space="preserve"> </w:t>
      </w:r>
      <w:r w:rsidR="0026681A" w:rsidRPr="00531FA9">
        <w:rPr>
          <w:rFonts w:ascii="FrankRuehl" w:hAnsi="FrankRuehl" w:cs="FrankRuehl" w:hint="cs"/>
          <w:sz w:val="24"/>
          <w:szCs w:val="24"/>
          <w:rtl/>
        </w:rPr>
        <w:t>הספרים</w:t>
      </w:r>
      <w:r w:rsidRPr="00531FA9">
        <w:rPr>
          <w:rFonts w:ascii="FrankRuehl" w:hAnsi="FrankRuehl" w:cs="FrankRuehl"/>
          <w:sz w:val="24"/>
          <w:szCs w:val="24"/>
          <w:rtl/>
        </w:rPr>
        <w:t xml:space="preserve">. </w:t>
      </w:r>
      <w:r w:rsidR="009408F9" w:rsidRPr="00531FA9">
        <w:rPr>
          <w:rFonts w:ascii="FrankRuehl" w:hAnsi="FrankRuehl" w:cs="FrankRuehl"/>
          <w:sz w:val="24"/>
          <w:szCs w:val="24"/>
          <w:rtl/>
        </w:rPr>
        <w:t>הפרק ה</w:t>
      </w:r>
      <w:r w:rsidR="009408F9">
        <w:rPr>
          <w:rFonts w:ascii="FrankRuehl" w:hAnsi="FrankRuehl" w:cs="FrankRuehl" w:hint="cs"/>
          <w:sz w:val="24"/>
          <w:szCs w:val="24"/>
          <w:rtl/>
        </w:rPr>
        <w:t>מסיים</w:t>
      </w:r>
      <w:r w:rsidR="009408F9" w:rsidRPr="00531FA9">
        <w:rPr>
          <w:rFonts w:ascii="FrankRuehl" w:hAnsi="FrankRuehl" w:cs="FrankRuehl"/>
          <w:sz w:val="24"/>
          <w:szCs w:val="24"/>
          <w:rtl/>
        </w:rPr>
        <w:t xml:space="preserve"> יעסוק בעמדות שהוצגו במסורת בשאלת חתימתו של המקרא</w:t>
      </w:r>
      <w:r w:rsidR="009408F9">
        <w:rPr>
          <w:rFonts w:ascii="FrankRuehl" w:hAnsi="FrankRuehl" w:cs="FrankRuehl" w:hint="cs"/>
          <w:sz w:val="24"/>
          <w:szCs w:val="24"/>
          <w:rtl/>
        </w:rPr>
        <w:t xml:space="preserve"> וחלוקתו לשלוש חטיבות ספרים</w:t>
      </w:r>
      <w:r w:rsidR="009408F9" w:rsidRPr="00531FA9">
        <w:rPr>
          <w:rFonts w:ascii="FrankRuehl" w:hAnsi="FrankRuehl" w:cs="FrankRuehl"/>
          <w:sz w:val="24"/>
          <w:szCs w:val="24"/>
          <w:rtl/>
        </w:rPr>
        <w:t xml:space="preserve">. </w:t>
      </w:r>
      <w:r w:rsidR="00531FA9" w:rsidRPr="00531FA9">
        <w:rPr>
          <w:rFonts w:ascii="FrankRuehl" w:hAnsi="FrankRuehl" w:cs="FrankRuehl"/>
          <w:sz w:val="24"/>
          <w:szCs w:val="24"/>
          <w:rtl/>
        </w:rPr>
        <w:t xml:space="preserve">כתיבתם של הפרקים </w:t>
      </w:r>
      <w:r w:rsidR="00531FA9" w:rsidRPr="00531FA9">
        <w:rPr>
          <w:rFonts w:ascii="FrankRuehl" w:hAnsi="FrankRuehl" w:cs="FrankRuehl" w:hint="cs"/>
          <w:sz w:val="24"/>
          <w:szCs w:val="24"/>
          <w:rtl/>
        </w:rPr>
        <w:t xml:space="preserve">והסעיפים </w:t>
      </w:r>
      <w:r w:rsidR="00531FA9" w:rsidRPr="00531FA9">
        <w:rPr>
          <w:rFonts w:ascii="FrankRuehl" w:hAnsi="FrankRuehl" w:cs="FrankRuehl"/>
          <w:sz w:val="24"/>
          <w:szCs w:val="24"/>
          <w:rtl/>
        </w:rPr>
        <w:t>תתבסס על עיון מדוקדק במקורות הראשוניים</w:t>
      </w:r>
      <w:r w:rsidR="00531FA9" w:rsidRPr="00531FA9">
        <w:rPr>
          <w:rFonts w:ascii="FrankRuehl" w:hAnsi="FrankRuehl" w:cs="FrankRuehl" w:hint="cs"/>
          <w:sz w:val="24"/>
          <w:szCs w:val="24"/>
          <w:rtl/>
        </w:rPr>
        <w:t xml:space="preserve">, </w:t>
      </w:r>
      <w:r w:rsidR="006A1D10">
        <w:rPr>
          <w:rFonts w:eastAsia="MS Mincho" w:cs="FrankRuehl" w:hint="cs"/>
          <w:sz w:val="24"/>
          <w:szCs w:val="24"/>
          <w:rtl/>
        </w:rPr>
        <w:t xml:space="preserve">ובכלל זה </w:t>
      </w:r>
      <w:r w:rsidR="00531FA9" w:rsidRPr="00531FA9">
        <w:rPr>
          <w:rFonts w:eastAsia="MS Mincho" w:cs="FrankRuehl" w:hint="cs"/>
          <w:sz w:val="24"/>
          <w:szCs w:val="24"/>
          <w:rtl/>
        </w:rPr>
        <w:t xml:space="preserve">עיונים </w:t>
      </w:r>
      <w:r w:rsidR="0026681A" w:rsidRPr="00531FA9">
        <w:rPr>
          <w:rFonts w:eastAsia="MS Mincho" w:cs="FrankRuehl" w:hint="cs"/>
          <w:sz w:val="24"/>
          <w:szCs w:val="24"/>
          <w:rtl/>
        </w:rPr>
        <w:t xml:space="preserve">מפורטים במקורותיהם של החכמים והשפעתם זה על זה, </w:t>
      </w:r>
      <w:r w:rsidR="00531FA9" w:rsidRPr="00531FA9">
        <w:rPr>
          <w:rFonts w:eastAsia="MS Mincho" w:cs="FrankRuehl" w:hint="cs"/>
          <w:sz w:val="24"/>
          <w:szCs w:val="24"/>
          <w:rtl/>
        </w:rPr>
        <w:t>ו</w:t>
      </w:r>
      <w:r w:rsidR="0026681A" w:rsidRPr="00531FA9">
        <w:rPr>
          <w:rFonts w:eastAsia="MS Mincho" w:cs="FrankRuehl" w:hint="cs"/>
          <w:sz w:val="24"/>
          <w:szCs w:val="24"/>
          <w:rtl/>
        </w:rPr>
        <w:t>בהתקבלותן של הדעות השונות</w:t>
      </w:r>
      <w:r w:rsidR="00531FA9" w:rsidRPr="00531FA9">
        <w:rPr>
          <w:rFonts w:eastAsia="MS Mincho" w:cs="FrankRuehl" w:hint="cs"/>
          <w:sz w:val="24"/>
          <w:szCs w:val="24"/>
          <w:rtl/>
        </w:rPr>
        <w:t>.</w:t>
      </w:r>
      <w:r w:rsidR="0026681A" w:rsidRPr="00531FA9">
        <w:rPr>
          <w:rFonts w:ascii="FrankRuehl" w:hAnsi="FrankRuehl" w:cs="FrankRuehl"/>
          <w:sz w:val="24"/>
          <w:szCs w:val="24"/>
          <w:rtl/>
        </w:rPr>
        <w:t xml:space="preserve"> </w:t>
      </w:r>
    </w:p>
    <w:p w14:paraId="52EFBE22" w14:textId="2C4037F4" w:rsidR="00845C5B" w:rsidRDefault="00531FA9" w:rsidP="00EE5136">
      <w:pPr>
        <w:autoSpaceDE w:val="0"/>
        <w:autoSpaceDN w:val="0"/>
        <w:bidi/>
        <w:adjustRightInd w:val="0"/>
        <w:spacing w:after="0" w:line="360" w:lineRule="auto"/>
        <w:ind w:firstLine="720"/>
        <w:rPr>
          <w:rFonts w:eastAsia="MS Mincho" w:cs="FrankRuehl"/>
          <w:sz w:val="24"/>
          <w:szCs w:val="24"/>
          <w:rtl/>
        </w:rPr>
      </w:pPr>
      <w:r w:rsidRPr="00531FA9">
        <w:rPr>
          <w:rFonts w:eastAsia="MS Mincho" w:cs="FrankRuehl" w:hint="cs"/>
          <w:sz w:val="24"/>
          <w:szCs w:val="24"/>
          <w:rtl/>
        </w:rPr>
        <w:t xml:space="preserve">ספר </w:t>
      </w:r>
      <w:r w:rsidR="00CE2CC2">
        <w:rPr>
          <w:rFonts w:eastAsia="MS Mincho" w:cs="FrankRuehl" w:hint="cs"/>
          <w:sz w:val="24"/>
          <w:szCs w:val="24"/>
          <w:rtl/>
        </w:rPr>
        <w:t>'</w:t>
      </w:r>
      <w:r w:rsidRPr="00531FA9">
        <w:rPr>
          <w:rFonts w:eastAsia="MS Mincho" w:cs="FrankRuehl" w:hint="cs"/>
          <w:sz w:val="24"/>
          <w:szCs w:val="24"/>
          <w:rtl/>
        </w:rPr>
        <w:t>מבוא למקרא יהודי-רבני</w:t>
      </w:r>
      <w:r w:rsidR="00CE2CC2">
        <w:rPr>
          <w:rFonts w:eastAsia="MS Mincho" w:cs="FrankRuehl" w:hint="cs"/>
          <w:sz w:val="24"/>
          <w:szCs w:val="24"/>
          <w:rtl/>
        </w:rPr>
        <w:t>' יעמוד, כך אני מקווה,</w:t>
      </w:r>
      <w:r w:rsidRPr="00531FA9">
        <w:rPr>
          <w:rFonts w:eastAsia="MS Mincho" w:cs="FrankRuehl" w:hint="cs"/>
          <w:sz w:val="24"/>
          <w:szCs w:val="24"/>
          <w:rtl/>
        </w:rPr>
        <w:t xml:space="preserve"> לצד ספרי המבואות למקרא הביקורתיים הידועים היטב בכל ספרייה אקדמית בעולם</w:t>
      </w:r>
      <w:r w:rsidR="00B226D2">
        <w:rPr>
          <w:rFonts w:eastAsia="MS Mincho" w:cs="FrankRuehl" w:hint="cs"/>
          <w:sz w:val="24"/>
          <w:szCs w:val="24"/>
          <w:rtl/>
        </w:rPr>
        <w:t>, ו</w:t>
      </w:r>
      <w:r w:rsidR="00EE5136">
        <w:rPr>
          <w:rFonts w:eastAsia="MS Mincho" w:cs="FrankRuehl" w:hint="cs"/>
          <w:sz w:val="24"/>
          <w:szCs w:val="24"/>
          <w:rtl/>
        </w:rPr>
        <w:t>י</w:t>
      </w:r>
      <w:r w:rsidR="00B226D2">
        <w:rPr>
          <w:rFonts w:eastAsia="MS Mincho" w:cs="FrankRuehl" w:hint="cs"/>
          <w:sz w:val="24"/>
          <w:szCs w:val="24"/>
          <w:rtl/>
        </w:rPr>
        <w:t xml:space="preserve">אפשר לחוקרים ולקוראים </w:t>
      </w:r>
      <w:r w:rsidR="008208B0">
        <w:rPr>
          <w:rFonts w:eastAsia="MS Mincho" w:cs="FrankRuehl" w:hint="cs"/>
          <w:sz w:val="24"/>
          <w:szCs w:val="24"/>
          <w:rtl/>
        </w:rPr>
        <w:t>הבנה מלאה ושלמה של תולדות העיסוק במקרא</w:t>
      </w:r>
      <w:r w:rsidR="007910A9">
        <w:rPr>
          <w:rFonts w:eastAsia="MS Mincho" w:cs="FrankRuehl" w:hint="cs"/>
          <w:sz w:val="24"/>
          <w:szCs w:val="24"/>
          <w:rtl/>
        </w:rPr>
        <w:t xml:space="preserve"> הכוללת גם את החומרים היהודים</w:t>
      </w:r>
      <w:r w:rsidRPr="00531FA9">
        <w:rPr>
          <w:rFonts w:eastAsia="MS Mincho" w:cs="FrankRuehl" w:hint="cs"/>
          <w:sz w:val="24"/>
          <w:szCs w:val="24"/>
          <w:rtl/>
        </w:rPr>
        <w:t xml:space="preserve">. </w:t>
      </w:r>
    </w:p>
    <w:p w14:paraId="4E55CFB4" w14:textId="74F12B15" w:rsidR="00F65BB7" w:rsidRDefault="00F65BB7" w:rsidP="00F65BB7">
      <w:pPr>
        <w:autoSpaceDE w:val="0"/>
        <w:autoSpaceDN w:val="0"/>
        <w:bidi/>
        <w:adjustRightInd w:val="0"/>
        <w:spacing w:after="0" w:line="360" w:lineRule="auto"/>
        <w:ind w:firstLine="720"/>
        <w:rPr>
          <w:rFonts w:eastAsia="MS Mincho" w:cs="FrankRuehl"/>
          <w:sz w:val="24"/>
          <w:szCs w:val="24"/>
          <w:rtl/>
        </w:rPr>
      </w:pPr>
    </w:p>
    <w:p w14:paraId="2E34558E" w14:textId="77777777" w:rsidR="00F65BB7" w:rsidRPr="00F65BB7" w:rsidRDefault="00F65BB7" w:rsidP="00F65BB7">
      <w:pPr>
        <w:autoSpaceDE w:val="0"/>
        <w:autoSpaceDN w:val="0"/>
        <w:bidi/>
        <w:adjustRightInd w:val="0"/>
        <w:spacing w:after="0" w:line="360" w:lineRule="auto"/>
        <w:ind w:firstLine="720"/>
        <w:rPr>
          <w:rtl/>
        </w:rPr>
      </w:pPr>
    </w:p>
    <w:sectPr w:rsidR="00F65BB7" w:rsidRPr="00F65BB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FrankRuehl">
    <w:panose1 w:val="020E0503060101010101"/>
    <w:charset w:val="00"/>
    <w:family w:val="swiss"/>
    <w:pitch w:val="variable"/>
    <w:sig w:usb0="00000803" w:usb1="00000000" w:usb2="00000000" w:usb3="00000000" w:csb0="0000002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AE49E3"/>
    <w:multiLevelType w:val="hybridMultilevel"/>
    <w:tmpl w:val="9BFEF778"/>
    <w:lvl w:ilvl="0" w:tplc="372E5F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8692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BE9"/>
    <w:rsid w:val="000B4D1E"/>
    <w:rsid w:val="00100D24"/>
    <w:rsid w:val="00112774"/>
    <w:rsid w:val="00115002"/>
    <w:rsid w:val="00171368"/>
    <w:rsid w:val="00235D67"/>
    <w:rsid w:val="002524CF"/>
    <w:rsid w:val="0026681A"/>
    <w:rsid w:val="004916D1"/>
    <w:rsid w:val="00531FA9"/>
    <w:rsid w:val="005D63C8"/>
    <w:rsid w:val="006A1D10"/>
    <w:rsid w:val="0074358F"/>
    <w:rsid w:val="00785C74"/>
    <w:rsid w:val="007910A9"/>
    <w:rsid w:val="007D0892"/>
    <w:rsid w:val="007F4DE4"/>
    <w:rsid w:val="0081476C"/>
    <w:rsid w:val="008208B0"/>
    <w:rsid w:val="00831BE9"/>
    <w:rsid w:val="00844DCF"/>
    <w:rsid w:val="00845C5B"/>
    <w:rsid w:val="008C036A"/>
    <w:rsid w:val="009408F9"/>
    <w:rsid w:val="00A231DF"/>
    <w:rsid w:val="00AD4B0A"/>
    <w:rsid w:val="00B0695B"/>
    <w:rsid w:val="00B226D2"/>
    <w:rsid w:val="00C1587C"/>
    <w:rsid w:val="00C85FC5"/>
    <w:rsid w:val="00CE2CC2"/>
    <w:rsid w:val="00DF602A"/>
    <w:rsid w:val="00E27B85"/>
    <w:rsid w:val="00EE5136"/>
    <w:rsid w:val="00EF603D"/>
    <w:rsid w:val="00EF7654"/>
    <w:rsid w:val="00F65BB7"/>
    <w:rsid w:val="00F77B45"/>
    <w:rsid w:val="00FD1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BF9036"/>
  <w15:chartTrackingRefBased/>
  <w15:docId w15:val="{7F7D5934-DFB8-44CF-BFE0-4FA528F62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5BB7"/>
    <w:pPr>
      <w:ind w:left="720"/>
      <w:contextualSpacing/>
    </w:pPr>
    <w:rPr>
      <w:rFonts w:ascii="Times New Roman" w:hAnsi="Times New Roman" w:cs="Davi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60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Eran Viezel</dc:creator>
  <cp:keywords/>
  <dc:description/>
  <cp:lastModifiedBy>ערן ויזל</cp:lastModifiedBy>
  <cp:revision>35</cp:revision>
  <dcterms:created xsi:type="dcterms:W3CDTF">2022-10-18T08:02:00Z</dcterms:created>
  <dcterms:modified xsi:type="dcterms:W3CDTF">2022-10-19T06:10:00Z</dcterms:modified>
</cp:coreProperties>
</file>