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1F53" w14:textId="117EB059" w:rsidR="0044254B" w:rsidRPr="00A94BA4" w:rsidRDefault="00A94BA4" w:rsidP="00A94BA4">
      <w:pPr>
        <w:spacing w:after="0" w:line="480" w:lineRule="auto"/>
        <w:rPr>
          <w:rStyle w:val="apple-style-span"/>
          <w:rFonts w:asciiTheme="majorBidi" w:hAnsiTheme="majorBidi" w:cs="David"/>
          <w:b/>
          <w:bCs/>
          <w:color w:val="000000"/>
          <w:sz w:val="28"/>
          <w:szCs w:val="28"/>
          <w:rtl/>
        </w:rPr>
      </w:pPr>
      <w:r>
        <w:rPr>
          <w:rStyle w:val="apple-style-span"/>
          <w:rFonts w:asciiTheme="majorBidi" w:hAnsiTheme="majorBidi" w:cs="David" w:hint="cs"/>
          <w:b/>
          <w:bCs/>
          <w:color w:val="000000"/>
          <w:sz w:val="28"/>
          <w:szCs w:val="28"/>
          <w:rtl/>
        </w:rPr>
        <w:t>דבר העורכים</w:t>
      </w:r>
    </w:p>
    <w:p w14:paraId="20F7FB34" w14:textId="71969D97" w:rsidR="002058D4" w:rsidRDefault="00B40E02" w:rsidP="00327B31">
      <w:pPr>
        <w:spacing w:line="480" w:lineRule="auto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ג</w:t>
      </w:r>
      <w:r w:rsidR="00327B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ליון 12 של כתב העת "במעבה ההר" יוצא לאור עם </w:t>
      </w:r>
      <w:r w:rsidR="00327B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תחילתה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של שנת תשפ"</w:t>
      </w:r>
      <w:r w:rsidR="00327B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ג ולקראת סיומה של שנת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2022. ג</w:t>
      </w:r>
      <w:r w:rsidR="00327B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ליון זה מסכם שנה שבה</w:t>
      </w:r>
      <w:r w:rsidR="007C5DE0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נמשכ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7C5DE0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הפעילות המחקרית והיצירה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7C5DE0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וה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ן</w:t>
      </w:r>
      <w:r w:rsidR="007C5DE0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בא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7C5DE0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לידי ביטוי בשלל המאמרים המוצגים ב</w:t>
      </w:r>
      <w:r w:rsidR="00B955F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חוברת שלפניכם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.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חוברת זו</w:t>
      </w:r>
      <w:r w:rsidR="00F0227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7C7EA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יש</w:t>
      </w:r>
      <w:r w:rsidR="00F0227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חמי</w:t>
      </w:r>
      <w:r w:rsidR="0002652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 מאמרים שצלחו את הליך השיפוט,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מתוך המאמרים שהוגשו למערכת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="002C373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שניים מהמאמרים עוסקים בחקר חללים תת-קרקעיים, שניים עוסקים במסורות על אתרים קדושים באזור ההר מימי הביניים, ומאמר אחד מציג ממצא מיוחד מחפירות שנערכו לאחרונה בגבולו של חבל בנימין.</w:t>
      </w:r>
    </w:p>
    <w:p w14:paraId="338B024C" w14:textId="66FD98CD" w:rsidR="002058D4" w:rsidRDefault="004A219E" w:rsidP="00327B31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המאמר </w:t>
      </w:r>
      <w:r w:rsidR="0054704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הפותח </w:t>
      </w:r>
      <w:r w:rsidR="0071502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את </w:t>
      </w:r>
      <w:r w:rsidR="00B40E0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הגיליון</w:t>
      </w:r>
      <w:r w:rsidR="00AB04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דן בסוגיית המסתור מהרומאים באזור הגליל היהודי. </w:t>
      </w:r>
      <w:r w:rsidR="0035256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במאמר זה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מציג</w:t>
      </w:r>
      <w:r w:rsidR="002C373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ים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2C373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ד"ר איתן קליין, ניר </w:t>
      </w:r>
      <w:proofErr w:type="spellStart"/>
      <w:r w:rsidR="002C373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דיסטלפלד</w:t>
      </w:r>
      <w:proofErr w:type="spellEnd"/>
      <w:r w:rsidR="002C373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והלל </w:t>
      </w:r>
      <w:proofErr w:type="spellStart"/>
      <w:r w:rsidR="002C373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זילברקלנג</w:t>
      </w:r>
      <w:proofErr w:type="spellEnd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חמש מערכות מסתור חדשות שהתגלו בשנים האחרונות בגליל התחתון, בעקבות פעולות שוד. המחברים דנים באלמנטים השונים </w:t>
      </w:r>
      <w:proofErr w:type="spellStart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ובת</w:t>
      </w:r>
      <w:r w:rsidR="00327B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</w:t>
      </w:r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ארוך</w:t>
      </w:r>
      <w:proofErr w:type="spellEnd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שלהם ומשווים אותם לאירועים ההיסטוריים שהתחוללו בגליל בזמן המרידות ברומאים.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</w:p>
    <w:p w14:paraId="34A0ED04" w14:textId="3FB461B9" w:rsidR="00DB53E3" w:rsidRDefault="00352561" w:rsidP="0082366A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במאמר השני מציג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ים </w:t>
      </w:r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פרופ' בועז </w:t>
      </w:r>
      <w:proofErr w:type="spellStart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זיסו</w:t>
      </w:r>
      <w:proofErr w:type="spellEnd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, יאיר צורן ופרופ' </w:t>
      </w:r>
      <w:proofErr w:type="spellStart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ארסמוס</w:t>
      </w:r>
      <w:proofErr w:type="spellEnd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proofErr w:type="spellStart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גאס</w:t>
      </w:r>
      <w:proofErr w:type="spellEnd"/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תוצאות של סקר ארכיאולוגי שערכו לאחרונה בחורבת בצל שבשפלת יהודה. המחברים מתמקדים בתיאור מערכת תת-קרקעית שבה נתגלו ציורי צלבים וכתובת מפתיעה, ודנים, לאור זאת, בתופעת פולחן המרטירים התת-קרקעי בתקופה הביזנטית</w:t>
      </w:r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. </w:t>
      </w:r>
    </w:p>
    <w:p w14:paraId="04728D1F" w14:textId="1C9E818E" w:rsidR="00DB53E3" w:rsidRDefault="00352561" w:rsidP="004D6B95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המאמר השלישי </w:t>
      </w:r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לוקח אותנו דרומה אל העיר חברון.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במאמר זה מציג</w:t>
      </w:r>
      <w:r w:rsidR="0082366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ד"ר רועי מרום מסורות מוסלמיות שונות מתקופות שונות הנוגעות למערת המכפלה. המחבר בוחן את המסורות האלו בהשוואה למסורות יהודיות ונוצריות על האתר, ומסיק כי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הראשונות היו מושפעות מהאחרונות והיו בעלי אופי מקומי. </w:t>
      </w:r>
    </w:p>
    <w:p w14:paraId="0609233D" w14:textId="77777777" w:rsidR="004D6B95" w:rsidRDefault="00F65F27" w:rsidP="004D6B95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במאמר הרביעי מוצג </w:t>
      </w:r>
      <w:r w:rsidR="0002652B" w:rsidRPr="0002652B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מחקר חדש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על מסורות מימי הביניים, הפעם בירושלים</w:t>
      </w:r>
      <w:r w:rsidR="0002652B" w:rsidRPr="0002652B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במאמר זה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מציג</w:t>
      </w:r>
      <w:r w:rsidR="00500C0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ד"ר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אייל </w:t>
      </w:r>
      <w:proofErr w:type="spellStart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דודסון</w:t>
      </w:r>
      <w:proofErr w:type="spellEnd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את המסורות של הדתות השונות </w:t>
      </w:r>
      <w:r w:rsidR="004D6B9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–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היהודית, הנוצרית והמוסלמית  - בנוגע לקדושתו של הר הזיתים. לאור המקורות השונים מסיק המחבר כי "אתר העלייה" הנוצרי שבפסגת ההר שימש גם כאתר עליית השכינה במסורת היהודית, ואומץ מאוחר יותר גם כאתר קדוש מוסלמי.</w:t>
      </w:r>
    </w:p>
    <w:p w14:paraId="5ACC225F" w14:textId="18DD0775" w:rsidR="00E435DF" w:rsidRDefault="00F65F27" w:rsidP="004D6B95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המאמר החותם את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הגיליון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עוסק ב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ממצא נדיר שהעיסוק המחקרי בו הוא מועט </w:t>
      </w:r>
      <w:r w:rsidR="004D6B9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–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מקטרות עישון.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במאמר זה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דותן </w:t>
      </w:r>
      <w:proofErr w:type="spellStart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טראובמן</w:t>
      </w:r>
      <w:proofErr w:type="spellEnd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מציג תוצאות חפירה ארכיאולוגית שערך בשרידי הכפר העות'מאני בית-נובא שבעמק איילון. המחבר בוחר להתמקד בממצא המקטרות העשיר שהתגלה בחפירה, תוך כדי יצירת טיפולוגיה חדשה ודיון במשמעויות של העיטורים השונים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lastRenderedPageBreak/>
        <w:t xml:space="preserve">המופיעים עליהן. זו אחת הזדמנויות הראשונות לבחון ממצא מקטרות אלו מאתר כפרי, ולהשוות את הרגלי העישון בו לאתרים עירוניים אחרים. </w:t>
      </w:r>
    </w:p>
    <w:p w14:paraId="15B88814" w14:textId="1BFB7BA1" w:rsidR="001A70ED" w:rsidRDefault="001A70ED" w:rsidP="004D6B95">
      <w:pPr>
        <w:spacing w:line="480" w:lineRule="auto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ab/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מאמרים אלו מתווספים למאמרים מגיליונות קודמים של כתב העת 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במעבה ההר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, שמהווה כר פורה ובמה חשובה למחקרים חדשים 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בתחומי הארכיאולוגיה, הגיאוגרפיה וההיסטוריה של אזורי ההר, ובתחום חקר החללים </w:t>
      </w:r>
      <w:proofErr w:type="spellStart"/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התת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־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קרקעיים</w:t>
      </w:r>
      <w:proofErr w:type="spellEnd"/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בארץ ישראל כולה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. 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מתוך שמירה על רמה אקדמית גבוהה כיאה לכתב עת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שפיט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זה,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גם 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בגיליון</w:t>
      </w:r>
      <w:r w:rsidR="00A94B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ז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EE0D52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עבר</w:t>
      </w:r>
      <w:r w:rsidR="00EE0D5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EE0D52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כל המאמרים תהליך שיפוט אנונימי בליווי ועדת מערכת אקדמית, 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רק 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אלו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נמצא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ראויים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לפרסום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ועבר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עריכת לשון מוקפד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ת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בעמוד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הראשון של כל מאמר </w:t>
      </w:r>
      <w:r w:rsidR="00EE0D5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מופיעים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השיוך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המוסדי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,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התואר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האקדמי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כתובת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המייל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של מחברי המאמרים,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לצד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תקציר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המאמר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ומילות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מפתח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המאמרים רואים אור גם כחוברת מודפסת המופצת בעותקים רבים, וגם </w:t>
      </w:r>
      <w:r w:rsidR="00B6369E"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בצורה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B6369E"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מקוונת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באתר האינטרנט של כתב העת. הליך קבלת המאמרים ושיפוטם מבוצע דיגיטלית בצורה מתקדמת ומקוונת בסיוע 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הפלטפורמה של 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חברת </w:t>
      </w:r>
      <w:proofErr w:type="spellStart"/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</w:rPr>
        <w:t>ScholarOne</w:t>
      </w:r>
      <w:proofErr w:type="spellEnd"/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</w:rPr>
        <w:t xml:space="preserve"> Manuscripts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מערכת כתב העת מזמינה את קהל החוקרים לשלוח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דרך מערכת זו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את פירות מחקריהם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לפרסום בג</w:t>
      </w:r>
      <w:r w:rsidR="00B0394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ליונות הבאים, בהתאם להנחיות הרשומות באתר האינטרנט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של כתב העת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.</w:t>
      </w:r>
    </w:p>
    <w:p w14:paraId="3319091B" w14:textId="02E8E92D" w:rsidR="004A219E" w:rsidRPr="00CB3C88" w:rsidRDefault="000A71A0" w:rsidP="007D1ADA">
      <w:pPr>
        <w:spacing w:line="480" w:lineRule="auto"/>
        <w:ind w:firstLine="720"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אנו שמחים להודות ל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אנשי הוצא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ת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אוניברסיטת אריאל</w:t>
      </w:r>
      <w:r w:rsidR="006352F5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בשומרון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ש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דאגו להוציא לאור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חוברת זו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למרות כל הקשיים הנלווים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 וברא</w:t>
      </w:r>
      <w:r w:rsidR="00327B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</w:t>
      </w:r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ובראשונה לאפרת</w:t>
      </w:r>
      <w:bookmarkStart w:id="0" w:name="_GoBack"/>
      <w:bookmarkEnd w:id="0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proofErr w:type="spellStart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אנטמן</w:t>
      </w:r>
      <w:proofErr w:type="spellEnd"/>
      <w:r w:rsidR="004D6B9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שעמלה על </w:t>
      </w:r>
      <w:r w:rsidR="00C854E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מלאכת ההפקה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.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תודה ג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דולה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לד"ר 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עמי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חי שוורץ 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על העבודה ה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אינטנסיבית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מול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מערכת </w:t>
      </w:r>
      <w:proofErr w:type="spellStart"/>
      <w:r w:rsidR="00606D5F">
        <w:rPr>
          <w:rStyle w:val="apple-style-span"/>
          <w:rFonts w:asciiTheme="majorBidi" w:hAnsiTheme="majorBidi" w:cs="David"/>
          <w:color w:val="000000"/>
          <w:sz w:val="24"/>
          <w:szCs w:val="24"/>
        </w:rPr>
        <w:t>ScohlarOne</w:t>
      </w:r>
      <w:proofErr w:type="spellEnd"/>
      <w:r w:rsidR="007F7F0D">
        <w:rPr>
          <w:rStyle w:val="apple-style-span"/>
          <w:rFonts w:asciiTheme="majorBidi" w:hAnsiTheme="majorBidi" w:cs="David"/>
          <w:color w:val="000000"/>
          <w:sz w:val="24"/>
          <w:szCs w:val="24"/>
        </w:rPr>
        <w:t xml:space="preserve"> Manuscripts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מול 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מחברי 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מאמרים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ומול הרפרנטים השונים. תודה 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אגף המחקר של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6C7B3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מדרשת הרי </w:t>
      </w:r>
      <w:proofErr w:type="spellStart"/>
      <w:r w:rsidR="006C7B3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גופנא</w:t>
      </w:r>
      <w:proofErr w:type="spellEnd"/>
      <w:r w:rsidR="006C7B3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39341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על הסיוע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ושיתוף הפעולה</w:t>
      </w:r>
      <w:r w:rsidR="0039341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כבכל שנה; </w:t>
      </w:r>
      <w:r w:rsidR="008240CF" w:rsidRPr="00FE19D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</w:t>
      </w:r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גב' שושי </w:t>
      </w:r>
      <w:proofErr w:type="spellStart"/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הייזלר</w:t>
      </w:r>
      <w:proofErr w:type="spellEnd"/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המנוסה על עריכת הלשון בעברית ול</w:t>
      </w:r>
      <w:r w:rsidR="00FE19D1" w:rsidRPr="00343955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עורכי</w:t>
      </w:r>
      <w:r w:rsidR="00FE19D1" w:rsidRPr="0034395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חברת </w:t>
      </w:r>
      <w:r w:rsidR="00FE19D1" w:rsidRPr="00343955">
        <w:rPr>
          <w:rStyle w:val="apple-style-span"/>
          <w:rFonts w:asciiTheme="majorBidi" w:hAnsiTheme="majorBidi" w:cs="David"/>
          <w:color w:val="000000"/>
          <w:sz w:val="24"/>
          <w:szCs w:val="24"/>
        </w:rPr>
        <w:t>Academic Language Experts</w:t>
      </w:r>
      <w:r w:rsidR="003F71D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על </w:t>
      </w:r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8A1350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עריכ</w:t>
      </w:r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</w:t>
      </w:r>
      <w:r w:rsidR="007D1A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שפה ה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אנגלית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;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לד"ר צבי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וסיגלית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אורגד ע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ל </w:t>
      </w:r>
      <w:r w:rsidR="001E5E13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עימוד </w:t>
      </w:r>
      <w:r w:rsidR="001E5E13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איכותי;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ו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E4577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מחלקת 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F5619A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גרפיקה באוניברסיטת אריאל</w:t>
      </w:r>
      <w:r w:rsidR="00DA07ED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בשומרון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על עיצוב ה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כריכה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. תוד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925FCD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מיוחדת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חברי ועדת המערכת </w:t>
      </w:r>
      <w:r w:rsidR="00D87DB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והמומחים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(</w:t>
      </w:r>
      <w:r w:rsidR="00D87DB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הלקטורים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)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זמן </w:t>
      </w:r>
      <w:r w:rsidR="00B0394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רב ו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מאמץ </w:t>
      </w:r>
      <w:r w:rsidR="0031415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שהשקיעו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בקריאת המאמרים ו</w:t>
      </w:r>
      <w:r w:rsidR="0034395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הענק</w:t>
      </w:r>
      <w:r w:rsidR="00FE19D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חוות דעת שיפוטית והערות חשובות </w:t>
      </w:r>
      <w:r w:rsidR="006352F5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כדי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D87DB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לה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עלות את רמתם המדעית.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וכמובן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תודה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ל</w:t>
      </w:r>
      <w:r w:rsidR="00FE19D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מחברי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המאמרים 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על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שעמדו בלוח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זמנים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צפו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ף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עמידו </w:t>
      </w:r>
      <w:r w:rsidR="00E949B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רשותנו את מחקריהם החשובים</w:t>
      </w:r>
      <w:r w:rsidR="004A21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</w:p>
    <w:p w14:paraId="627F2EC4" w14:textId="77777777" w:rsidR="004A219E" w:rsidRPr="00CB3C88" w:rsidRDefault="004A219E" w:rsidP="00343955">
      <w:pPr>
        <w:spacing w:after="0" w:line="480" w:lineRule="auto"/>
        <w:jc w:val="right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אהרן טבגר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ו</w:t>
      </w: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זהר עמר</w:t>
      </w:r>
    </w:p>
    <w:p w14:paraId="44320CDD" w14:textId="534FF7EB" w:rsidR="004A219E" w:rsidRPr="00CB3C88" w:rsidRDefault="007D1ADA" w:rsidP="007D1ADA">
      <w:pPr>
        <w:spacing w:line="480" w:lineRule="auto"/>
        <w:jc w:val="right"/>
        <w:rPr>
          <w:rFonts w:asciiTheme="majorBidi" w:hAnsiTheme="majorBidi" w:cs="David"/>
          <w:sz w:val="24"/>
          <w:szCs w:val="24"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תשרי</w:t>
      </w:r>
      <w:r w:rsidR="003F71D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תש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פ</w:t>
      </w:r>
      <w:r w:rsidR="003F71D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</w:t>
      </w:r>
      <w:r>
        <w:rPr>
          <w:rFonts w:asciiTheme="majorBidi" w:hAnsiTheme="majorBidi" w:cs="David" w:hint="cs"/>
          <w:sz w:val="24"/>
          <w:szCs w:val="24"/>
          <w:rtl/>
        </w:rPr>
        <w:t>ג</w:t>
      </w:r>
    </w:p>
    <w:sectPr w:rsidR="004A219E" w:rsidRPr="00CB3C88" w:rsidSect="00323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A34"/>
    <w:multiLevelType w:val="hybridMultilevel"/>
    <w:tmpl w:val="4910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58A9"/>
    <w:multiLevelType w:val="hybridMultilevel"/>
    <w:tmpl w:val="47B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4E"/>
    <w:rsid w:val="00000350"/>
    <w:rsid w:val="0001245D"/>
    <w:rsid w:val="00013E6F"/>
    <w:rsid w:val="00022D02"/>
    <w:rsid w:val="000259D3"/>
    <w:rsid w:val="00025D11"/>
    <w:rsid w:val="0002652B"/>
    <w:rsid w:val="000372BF"/>
    <w:rsid w:val="0003743C"/>
    <w:rsid w:val="00064D39"/>
    <w:rsid w:val="000807C2"/>
    <w:rsid w:val="000825D2"/>
    <w:rsid w:val="000950A0"/>
    <w:rsid w:val="000A71A0"/>
    <w:rsid w:val="000B0F51"/>
    <w:rsid w:val="000B1C76"/>
    <w:rsid w:val="000C5CBB"/>
    <w:rsid w:val="000D48B2"/>
    <w:rsid w:val="000E7B0C"/>
    <w:rsid w:val="000F5D53"/>
    <w:rsid w:val="0010136B"/>
    <w:rsid w:val="001040AA"/>
    <w:rsid w:val="00116B97"/>
    <w:rsid w:val="0014449D"/>
    <w:rsid w:val="00145F62"/>
    <w:rsid w:val="00150FDA"/>
    <w:rsid w:val="00151004"/>
    <w:rsid w:val="00152734"/>
    <w:rsid w:val="00171E91"/>
    <w:rsid w:val="00177A14"/>
    <w:rsid w:val="00180556"/>
    <w:rsid w:val="00185EA8"/>
    <w:rsid w:val="001A70ED"/>
    <w:rsid w:val="001C7203"/>
    <w:rsid w:val="001E00DF"/>
    <w:rsid w:val="001E1BFC"/>
    <w:rsid w:val="001E5E13"/>
    <w:rsid w:val="001E725B"/>
    <w:rsid w:val="001F5DE5"/>
    <w:rsid w:val="001F70F1"/>
    <w:rsid w:val="002058D4"/>
    <w:rsid w:val="002059D7"/>
    <w:rsid w:val="002127A3"/>
    <w:rsid w:val="00233C0D"/>
    <w:rsid w:val="00261375"/>
    <w:rsid w:val="0028279E"/>
    <w:rsid w:val="002862EB"/>
    <w:rsid w:val="00286E94"/>
    <w:rsid w:val="00291863"/>
    <w:rsid w:val="00292B1E"/>
    <w:rsid w:val="0029336B"/>
    <w:rsid w:val="0029364E"/>
    <w:rsid w:val="002A3B16"/>
    <w:rsid w:val="002A4064"/>
    <w:rsid w:val="002A6071"/>
    <w:rsid w:val="002B23DF"/>
    <w:rsid w:val="002B463A"/>
    <w:rsid w:val="002B5059"/>
    <w:rsid w:val="002B54E3"/>
    <w:rsid w:val="002B75E3"/>
    <w:rsid w:val="002C2D3F"/>
    <w:rsid w:val="002C33C1"/>
    <w:rsid w:val="002C3734"/>
    <w:rsid w:val="002C7BE5"/>
    <w:rsid w:val="002E2523"/>
    <w:rsid w:val="002E56FE"/>
    <w:rsid w:val="003042BF"/>
    <w:rsid w:val="00313D7D"/>
    <w:rsid w:val="00314154"/>
    <w:rsid w:val="00321FD6"/>
    <w:rsid w:val="003238F1"/>
    <w:rsid w:val="00327B31"/>
    <w:rsid w:val="00336650"/>
    <w:rsid w:val="00343955"/>
    <w:rsid w:val="0034415B"/>
    <w:rsid w:val="00352561"/>
    <w:rsid w:val="00354128"/>
    <w:rsid w:val="00360C4E"/>
    <w:rsid w:val="00363627"/>
    <w:rsid w:val="0036725E"/>
    <w:rsid w:val="00372CC9"/>
    <w:rsid w:val="00381547"/>
    <w:rsid w:val="00393004"/>
    <w:rsid w:val="00393415"/>
    <w:rsid w:val="00393CE1"/>
    <w:rsid w:val="0039472E"/>
    <w:rsid w:val="003955C9"/>
    <w:rsid w:val="003B1483"/>
    <w:rsid w:val="003B1FF5"/>
    <w:rsid w:val="003D100F"/>
    <w:rsid w:val="003D1FC0"/>
    <w:rsid w:val="003E192C"/>
    <w:rsid w:val="003E4B03"/>
    <w:rsid w:val="003F71D7"/>
    <w:rsid w:val="00401237"/>
    <w:rsid w:val="004028B0"/>
    <w:rsid w:val="004068B2"/>
    <w:rsid w:val="00433258"/>
    <w:rsid w:val="0044254B"/>
    <w:rsid w:val="004478E7"/>
    <w:rsid w:val="00461FC0"/>
    <w:rsid w:val="00463ACE"/>
    <w:rsid w:val="0046656F"/>
    <w:rsid w:val="00471A6E"/>
    <w:rsid w:val="0047444F"/>
    <w:rsid w:val="00481336"/>
    <w:rsid w:val="00482E87"/>
    <w:rsid w:val="004941FB"/>
    <w:rsid w:val="004971FD"/>
    <w:rsid w:val="004A219E"/>
    <w:rsid w:val="004A6EA4"/>
    <w:rsid w:val="004B542B"/>
    <w:rsid w:val="004B7B62"/>
    <w:rsid w:val="004C325F"/>
    <w:rsid w:val="004C5459"/>
    <w:rsid w:val="004D434F"/>
    <w:rsid w:val="004D6B95"/>
    <w:rsid w:val="004E5273"/>
    <w:rsid w:val="004F6B50"/>
    <w:rsid w:val="00500C02"/>
    <w:rsid w:val="00506BD6"/>
    <w:rsid w:val="0051254F"/>
    <w:rsid w:val="00530C5A"/>
    <w:rsid w:val="00544BD9"/>
    <w:rsid w:val="00547048"/>
    <w:rsid w:val="00554518"/>
    <w:rsid w:val="00555167"/>
    <w:rsid w:val="00567524"/>
    <w:rsid w:val="005735B1"/>
    <w:rsid w:val="00574BED"/>
    <w:rsid w:val="00582A32"/>
    <w:rsid w:val="005A16A5"/>
    <w:rsid w:val="005A6846"/>
    <w:rsid w:val="005B2C3D"/>
    <w:rsid w:val="005C2118"/>
    <w:rsid w:val="005C6BE5"/>
    <w:rsid w:val="005C6E6E"/>
    <w:rsid w:val="005E0B2D"/>
    <w:rsid w:val="005E693F"/>
    <w:rsid w:val="005F3D98"/>
    <w:rsid w:val="005F6180"/>
    <w:rsid w:val="00600515"/>
    <w:rsid w:val="00601608"/>
    <w:rsid w:val="006043F5"/>
    <w:rsid w:val="00606D5F"/>
    <w:rsid w:val="006352F5"/>
    <w:rsid w:val="00635A33"/>
    <w:rsid w:val="00635FDB"/>
    <w:rsid w:val="00664C03"/>
    <w:rsid w:val="006675B4"/>
    <w:rsid w:val="00681CA7"/>
    <w:rsid w:val="00687880"/>
    <w:rsid w:val="006938BC"/>
    <w:rsid w:val="00696436"/>
    <w:rsid w:val="006A3CA6"/>
    <w:rsid w:val="006C1EE1"/>
    <w:rsid w:val="006C4066"/>
    <w:rsid w:val="006C4D19"/>
    <w:rsid w:val="006C7B34"/>
    <w:rsid w:val="006D3AD1"/>
    <w:rsid w:val="0071502F"/>
    <w:rsid w:val="00731DD0"/>
    <w:rsid w:val="0074387E"/>
    <w:rsid w:val="00761C48"/>
    <w:rsid w:val="00764BB0"/>
    <w:rsid w:val="00782BA5"/>
    <w:rsid w:val="007957A2"/>
    <w:rsid w:val="007B1516"/>
    <w:rsid w:val="007C5DE0"/>
    <w:rsid w:val="007C6E23"/>
    <w:rsid w:val="007C7EAD"/>
    <w:rsid w:val="007D1ADA"/>
    <w:rsid w:val="007D28A7"/>
    <w:rsid w:val="007E5A9F"/>
    <w:rsid w:val="007F0474"/>
    <w:rsid w:val="007F6C0C"/>
    <w:rsid w:val="007F7F0D"/>
    <w:rsid w:val="00806E09"/>
    <w:rsid w:val="00811788"/>
    <w:rsid w:val="0081413E"/>
    <w:rsid w:val="0082366A"/>
    <w:rsid w:val="00823DA9"/>
    <w:rsid w:val="008240CF"/>
    <w:rsid w:val="00837FD2"/>
    <w:rsid w:val="00851831"/>
    <w:rsid w:val="00875E23"/>
    <w:rsid w:val="00876509"/>
    <w:rsid w:val="00883409"/>
    <w:rsid w:val="008A1350"/>
    <w:rsid w:val="008B5157"/>
    <w:rsid w:val="008B57DD"/>
    <w:rsid w:val="008B737F"/>
    <w:rsid w:val="008C3B97"/>
    <w:rsid w:val="008D4624"/>
    <w:rsid w:val="008F584A"/>
    <w:rsid w:val="00925FCD"/>
    <w:rsid w:val="0093420E"/>
    <w:rsid w:val="00951E1F"/>
    <w:rsid w:val="00957EB4"/>
    <w:rsid w:val="00960CBD"/>
    <w:rsid w:val="009671A9"/>
    <w:rsid w:val="0096732E"/>
    <w:rsid w:val="00977484"/>
    <w:rsid w:val="00981C1A"/>
    <w:rsid w:val="009906AC"/>
    <w:rsid w:val="00997904"/>
    <w:rsid w:val="009A3571"/>
    <w:rsid w:val="009E46FC"/>
    <w:rsid w:val="009E58C8"/>
    <w:rsid w:val="00A03079"/>
    <w:rsid w:val="00A04A12"/>
    <w:rsid w:val="00A04ACD"/>
    <w:rsid w:val="00A04AF7"/>
    <w:rsid w:val="00A14043"/>
    <w:rsid w:val="00A1559B"/>
    <w:rsid w:val="00A23B76"/>
    <w:rsid w:val="00A5121A"/>
    <w:rsid w:val="00A5140B"/>
    <w:rsid w:val="00A522EC"/>
    <w:rsid w:val="00A61D2C"/>
    <w:rsid w:val="00A6385E"/>
    <w:rsid w:val="00A67C0D"/>
    <w:rsid w:val="00A94BA4"/>
    <w:rsid w:val="00A96500"/>
    <w:rsid w:val="00AA07E5"/>
    <w:rsid w:val="00AA4EE4"/>
    <w:rsid w:val="00AB04A4"/>
    <w:rsid w:val="00AC008C"/>
    <w:rsid w:val="00AC489B"/>
    <w:rsid w:val="00AC710B"/>
    <w:rsid w:val="00AD155A"/>
    <w:rsid w:val="00AE6DB1"/>
    <w:rsid w:val="00AF4E22"/>
    <w:rsid w:val="00B0394F"/>
    <w:rsid w:val="00B23A41"/>
    <w:rsid w:val="00B241E3"/>
    <w:rsid w:val="00B30C53"/>
    <w:rsid w:val="00B310CC"/>
    <w:rsid w:val="00B31494"/>
    <w:rsid w:val="00B40346"/>
    <w:rsid w:val="00B40E02"/>
    <w:rsid w:val="00B41A07"/>
    <w:rsid w:val="00B424E8"/>
    <w:rsid w:val="00B4267F"/>
    <w:rsid w:val="00B42CB4"/>
    <w:rsid w:val="00B47283"/>
    <w:rsid w:val="00B62374"/>
    <w:rsid w:val="00B6369E"/>
    <w:rsid w:val="00B81CF6"/>
    <w:rsid w:val="00B87E39"/>
    <w:rsid w:val="00B955F5"/>
    <w:rsid w:val="00BA7832"/>
    <w:rsid w:val="00BB5E3E"/>
    <w:rsid w:val="00BC3BA9"/>
    <w:rsid w:val="00BD2C36"/>
    <w:rsid w:val="00BE4EC0"/>
    <w:rsid w:val="00C00D43"/>
    <w:rsid w:val="00C01252"/>
    <w:rsid w:val="00C01474"/>
    <w:rsid w:val="00C119F1"/>
    <w:rsid w:val="00C174F3"/>
    <w:rsid w:val="00C22F78"/>
    <w:rsid w:val="00C23A0F"/>
    <w:rsid w:val="00C31E46"/>
    <w:rsid w:val="00C32694"/>
    <w:rsid w:val="00C44C77"/>
    <w:rsid w:val="00C52BC4"/>
    <w:rsid w:val="00C56602"/>
    <w:rsid w:val="00C65B18"/>
    <w:rsid w:val="00C854E4"/>
    <w:rsid w:val="00C9436B"/>
    <w:rsid w:val="00C9453C"/>
    <w:rsid w:val="00CB3C88"/>
    <w:rsid w:val="00CC66DF"/>
    <w:rsid w:val="00CD799E"/>
    <w:rsid w:val="00CE1E17"/>
    <w:rsid w:val="00CE4B88"/>
    <w:rsid w:val="00CF062F"/>
    <w:rsid w:val="00D33C69"/>
    <w:rsid w:val="00D4585A"/>
    <w:rsid w:val="00D52AD7"/>
    <w:rsid w:val="00D67A7A"/>
    <w:rsid w:val="00D87DB8"/>
    <w:rsid w:val="00D93B88"/>
    <w:rsid w:val="00DA07ED"/>
    <w:rsid w:val="00DA1185"/>
    <w:rsid w:val="00DB0788"/>
    <w:rsid w:val="00DB53E3"/>
    <w:rsid w:val="00DC2141"/>
    <w:rsid w:val="00DD0F8D"/>
    <w:rsid w:val="00DD5224"/>
    <w:rsid w:val="00DD6FC1"/>
    <w:rsid w:val="00DE1691"/>
    <w:rsid w:val="00DF5C84"/>
    <w:rsid w:val="00E070BF"/>
    <w:rsid w:val="00E21900"/>
    <w:rsid w:val="00E3108C"/>
    <w:rsid w:val="00E435DF"/>
    <w:rsid w:val="00E45776"/>
    <w:rsid w:val="00E45D6A"/>
    <w:rsid w:val="00E51736"/>
    <w:rsid w:val="00E53B53"/>
    <w:rsid w:val="00E61E06"/>
    <w:rsid w:val="00E622C8"/>
    <w:rsid w:val="00E62E9B"/>
    <w:rsid w:val="00E75966"/>
    <w:rsid w:val="00E92FDB"/>
    <w:rsid w:val="00E949BE"/>
    <w:rsid w:val="00EB60FE"/>
    <w:rsid w:val="00EC3FCC"/>
    <w:rsid w:val="00EC5E14"/>
    <w:rsid w:val="00EC7A8A"/>
    <w:rsid w:val="00EE0D52"/>
    <w:rsid w:val="00EF04E6"/>
    <w:rsid w:val="00EF573E"/>
    <w:rsid w:val="00F0227E"/>
    <w:rsid w:val="00F03203"/>
    <w:rsid w:val="00F1694D"/>
    <w:rsid w:val="00F1722C"/>
    <w:rsid w:val="00F37DA6"/>
    <w:rsid w:val="00F456B9"/>
    <w:rsid w:val="00F53A11"/>
    <w:rsid w:val="00F5619A"/>
    <w:rsid w:val="00F64537"/>
    <w:rsid w:val="00F65F27"/>
    <w:rsid w:val="00F71178"/>
    <w:rsid w:val="00F74AF9"/>
    <w:rsid w:val="00F81092"/>
    <w:rsid w:val="00F846F0"/>
    <w:rsid w:val="00F92E75"/>
    <w:rsid w:val="00FB00FF"/>
    <w:rsid w:val="00FB1BD3"/>
    <w:rsid w:val="00FD2ECC"/>
    <w:rsid w:val="00FD466B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F933A"/>
  <w15:docId w15:val="{236C2AE7-D709-4BBC-B3EF-E640283B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4E"/>
    <w:pPr>
      <w:bidi/>
      <w:spacing w:after="200" w:line="276" w:lineRule="auto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360C4E"/>
    <w:rPr>
      <w:rFonts w:cs="Times New Roman"/>
    </w:rPr>
  </w:style>
  <w:style w:type="paragraph" w:styleId="a3">
    <w:name w:val="Balloon Text"/>
    <w:basedOn w:val="a"/>
    <w:link w:val="a4"/>
    <w:uiPriority w:val="99"/>
    <w:rsid w:val="005F61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locked/>
    <w:rsid w:val="005F6180"/>
    <w:rPr>
      <w:rFonts w:ascii="Tahoma" w:hAnsi="Tahoma" w:cs="Times New Roman"/>
      <w:sz w:val="16"/>
    </w:rPr>
  </w:style>
  <w:style w:type="character" w:styleId="a5">
    <w:name w:val="annotation reference"/>
    <w:basedOn w:val="a0"/>
    <w:uiPriority w:val="99"/>
    <w:semiHidden/>
    <w:unhideWhenUsed/>
    <w:rsid w:val="00C326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269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32694"/>
    <w:rPr>
      <w:rFonts w:ascii="Calibri" w:hAnsi="Calibri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269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32694"/>
    <w:rPr>
      <w:rFonts w:ascii="Calibri" w:hAnsi="Calibri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A3571"/>
    <w:pPr>
      <w:ind w:left="720"/>
      <w:contextualSpacing/>
    </w:pPr>
  </w:style>
  <w:style w:type="paragraph" w:styleId="ab">
    <w:name w:val="Revision"/>
    <w:hidden/>
    <w:uiPriority w:val="99"/>
    <w:semiHidden/>
    <w:rsid w:val="00E45D6A"/>
    <w:rPr>
      <w:rFonts w:ascii="Calibri" w:hAnsi="Calibri" w:cs="Arial"/>
    </w:rPr>
  </w:style>
  <w:style w:type="character" w:styleId="Hyperlink">
    <w:name w:val="Hyperlink"/>
    <w:rsid w:val="004E5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בפתח הקובץ</vt:lpstr>
    </vt:vector>
  </TitlesOfParts>
  <Company>Tavger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בפתח הקובץ</dc:title>
  <dc:creator>Aharon</dc:creator>
  <cp:lastModifiedBy>USER</cp:lastModifiedBy>
  <cp:revision>2</cp:revision>
  <dcterms:created xsi:type="dcterms:W3CDTF">2022-11-02T12:42:00Z</dcterms:created>
  <dcterms:modified xsi:type="dcterms:W3CDTF">2022-11-02T12:42:00Z</dcterms:modified>
</cp:coreProperties>
</file>