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6191" w14:textId="77777777" w:rsidR="000F6FD2" w:rsidRPr="000F6FD2" w:rsidRDefault="000F6FD2" w:rsidP="000F6FD2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color w:val="000000"/>
          <w:sz w:val="45"/>
          <w:szCs w:val="45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45"/>
          <w:szCs w:val="45"/>
          <w:lang w:eastAsia="en-NL"/>
        </w:rPr>
        <w:t>Veröffentlichen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45"/>
          <w:szCs w:val="45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45"/>
          <w:szCs w:val="45"/>
          <w:lang w:eastAsia="en-NL"/>
        </w:rPr>
        <w:t>bei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45"/>
          <w:szCs w:val="45"/>
          <w:lang w:eastAsia="en-NL"/>
        </w:rPr>
        <w:t xml:space="preserve"> Brill Deutschland/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45"/>
          <w:szCs w:val="45"/>
          <w:lang w:eastAsia="en-NL"/>
        </w:rPr>
        <w:t>Österreich</w:t>
      </w:r>
      <w:bookmarkStart w:id="0" w:name="top"/>
      <w:bookmarkEnd w:id="0"/>
      <w:proofErr w:type="spellEnd"/>
    </w:p>
    <w:p w14:paraId="7867CFA4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interessieren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für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Veröffentlichung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bei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der Imprints von Brill Deutschland und Brill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Österreich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: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Böhlau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Fink, mentis,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Schöningh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Vandenhoeck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&amp; Ruprecht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V&amp;R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unipress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? Dann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finden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hier alle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wichtigen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Informationen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!</w:t>
      </w:r>
    </w:p>
    <w:p w14:paraId="4195C0DC" w14:textId="77777777" w:rsidR="000F6FD2" w:rsidRPr="000F6FD2" w:rsidRDefault="000F6FD2" w:rsidP="000F6FD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hyperlink r:id="rId5" w:anchor="wissenschaft" w:history="1"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-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Publikationen</w:t>
        </w:r>
        <w:proofErr w:type="spellEnd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aus</w:t>
        </w:r>
        <w:proofErr w:type="spellEnd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 und für die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Wissenschaft</w:t>
        </w:r>
        <w:proofErr w:type="spellEnd"/>
      </w:hyperlink>
    </w:p>
    <w:p w14:paraId="2914A28C" w14:textId="77777777" w:rsidR="000F6FD2" w:rsidRPr="000F6FD2" w:rsidRDefault="000F6FD2" w:rsidP="000F6FD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hyperlink r:id="rId6" w:anchor="praxis" w:history="1"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-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Publikationen</w:t>
        </w:r>
        <w:proofErr w:type="spellEnd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aus</w:t>
        </w:r>
        <w:proofErr w:type="spellEnd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 und für die Praxis</w:t>
        </w:r>
      </w:hyperlink>
    </w:p>
    <w:p w14:paraId="17AC9A8C" w14:textId="77777777" w:rsidR="000F6FD2" w:rsidRPr="000F6FD2" w:rsidRDefault="000F6FD2" w:rsidP="000F6FD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hyperlink r:id="rId7" w:anchor="manuskript" w:history="1"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-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Manuskriptanfrage</w:t>
        </w:r>
        <w:proofErr w:type="spellEnd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 für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Wissenschaft</w:t>
        </w:r>
        <w:proofErr w:type="spellEnd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oder</w:t>
        </w:r>
        <w:proofErr w:type="spellEnd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 Praxis</w:t>
        </w:r>
      </w:hyperlink>
    </w:p>
    <w:p w14:paraId="53B19D7D" w14:textId="77777777" w:rsidR="000F6FD2" w:rsidRPr="000F6FD2" w:rsidRDefault="000F6FD2" w:rsidP="000F6FD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hyperlink r:id="rId8" w:anchor="marketing" w:history="1"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- Marketing, Presse &amp;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Veranstaltungen</w:t>
        </w:r>
        <w:proofErr w:type="spellEnd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bei</w:t>
        </w:r>
        <w:proofErr w:type="spellEnd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 xml:space="preserve"> Brill Deutschland und </w:t>
        </w:r>
        <w:proofErr w:type="spellStart"/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Österreich</w:t>
        </w:r>
        <w:proofErr w:type="spellEnd"/>
      </w:hyperlink>
    </w:p>
    <w:p w14:paraId="5FF399D4" w14:textId="77777777" w:rsidR="000F6FD2" w:rsidRPr="000F6FD2" w:rsidRDefault="000F6FD2" w:rsidP="000F6FD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hyperlink r:id="rId9" w:anchor="downloads" w:history="1">
        <w:r w:rsidRPr="000F6FD2">
          <w:rPr>
            <w:rFonts w:ascii="Brill" w:eastAsia="Times New Roman" w:hAnsi="Brill" w:cs="Times New Roman"/>
            <w:b/>
            <w:bCs/>
            <w:color w:val="333333"/>
            <w:sz w:val="24"/>
            <w:szCs w:val="24"/>
            <w:lang w:eastAsia="en-NL"/>
          </w:rPr>
          <w:t>- Downloads</w:t>
        </w:r>
      </w:hyperlink>
    </w:p>
    <w:p w14:paraId="1F61368E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</w:p>
    <w:p w14:paraId="6F76A592" w14:textId="77777777" w:rsidR="000F6FD2" w:rsidRPr="000F6FD2" w:rsidRDefault="000F6FD2" w:rsidP="000F6FD2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Publikationen</w:t>
      </w:r>
      <w:proofErr w:type="spellEnd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aus</w:t>
      </w:r>
      <w:proofErr w:type="spellEnd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 xml:space="preserve"> und für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Wissenschaft</w:t>
      </w:r>
      <w:bookmarkStart w:id="1" w:name="wissenschaft"/>
      <w:bookmarkEnd w:id="1"/>
      <w:proofErr w:type="spellEnd"/>
    </w:p>
    <w:p w14:paraId="35BAD6E3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Gern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publizieren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nicht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nur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Monografie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sondern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Tagungsband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wissenschaftliche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Qualifikationsarbeiten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Promotions-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Habilitationsschriften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Auch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Zeitschriften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stehen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bei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auf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Programm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Oder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denken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über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Reihenkooperation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nach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?</w:t>
      </w:r>
    </w:p>
    <w:p w14:paraId="5BD29E40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hyperlink r:id="rId10" w:anchor="sci" w:history="1"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Sprechen</w:t>
        </w:r>
        <w:proofErr w:type="spellEnd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 xml:space="preserve"> Sie </w:t>
        </w:r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uns</w:t>
        </w:r>
        <w:proofErr w:type="spellEnd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 xml:space="preserve"> an!</w:t>
        </w:r>
      </w:hyperlink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begleiten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Projekt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langjähriger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Erfahrung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Engagement.</w:t>
      </w:r>
    </w:p>
    <w:p w14:paraId="3A0DEAA5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Jedes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Publikationsvorhaben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wird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durch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Lektorate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Reihenherausgeber:innen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sorgfältig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auf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Qualität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Programmeignung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geprüft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Diese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sichern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durch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Peer Review. Eine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klar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konturierte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Programmumgebung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digitale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Verfügbarkeit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sorgen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dafür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dass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Text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jeweils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relevanten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Forschungsfeld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national und international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wahrgenommen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wird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Selbstverständlich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bieten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Möglichkeit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hyperlink r:id="rId11" w:history="1"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Open Access-</w:t>
        </w:r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Verfahren</w:t>
        </w:r>
        <w:proofErr w:type="spellEnd"/>
      </w:hyperlink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veröffentlichen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beraten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gern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wenn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es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darum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geht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die für Sie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Publikation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passende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Finanzierung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finden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42EF9D46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</w:p>
    <w:p w14:paraId="7D715E64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Was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beinhaltet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wissenschaftliches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Publizieren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heute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?</w:t>
      </w:r>
    </w:p>
    <w:p w14:paraId="013F2BFA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bieten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nicht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nur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qualitativ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hochwertige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Printausgaben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Texte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sondern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gleichzeitig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komfortable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schnelle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Verfügbarkeit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Inhalte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digitaler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Form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als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E-Books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E-Journals.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können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Forschungsergebnisse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breiten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Publikum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zugänglich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machen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!</w:t>
      </w:r>
    </w:p>
    <w:p w14:paraId="6F86BCDB" w14:textId="77777777" w:rsidR="000F6FD2" w:rsidRPr="000F6FD2" w:rsidRDefault="000F6FD2" w:rsidP="000F6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lastRenderedPageBreak/>
        <w:t>Unsere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elektronischen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Publikationen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werden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im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PDF-Format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realisiert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Aufgrund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der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mit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der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Printausgabe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identischen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Paginierung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entspricht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dieses Format den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Anforderungen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des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wissenschaftlichen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Zitierens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.</w:t>
      </w:r>
    </w:p>
    <w:p w14:paraId="1F080FC1" w14:textId="77777777" w:rsidR="000F6FD2" w:rsidRPr="000F6FD2" w:rsidRDefault="000F6FD2" w:rsidP="000F6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Produkte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werden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weltweit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in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sorgfältig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geplanten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E-Book-Collections,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aber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als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Einzeltitel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vertrieben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.</w:t>
      </w:r>
    </w:p>
    <w:p w14:paraId="1351173D" w14:textId="77777777" w:rsidR="000F6FD2" w:rsidRPr="000F6FD2" w:rsidRDefault="000F6FD2" w:rsidP="000F6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Durch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die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Langzeitarchivierung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aller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digitalen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Inhalte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stellen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sicher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dass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der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Zugang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Ihrem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Text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in Zukunft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gesichert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ist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.</w:t>
      </w:r>
    </w:p>
    <w:p w14:paraId="28F53483" w14:textId="77777777" w:rsidR="000F6FD2" w:rsidRPr="000F6FD2" w:rsidRDefault="000F6FD2" w:rsidP="000F6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Um die Sicht- und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Nutzbarkeit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Ihrer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Publikation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weiter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steigern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wird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sie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in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allen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wichtigen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Datenbanken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indexiert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, so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etwa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Web of Science, Scopus, Summons, Primo,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Ebsco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Discovery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Google Scholar.</w:t>
      </w:r>
    </w:p>
    <w:p w14:paraId="61EC45A7" w14:textId="77777777" w:rsidR="000F6FD2" w:rsidRPr="000F6FD2" w:rsidRDefault="000F6FD2" w:rsidP="000F6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Alle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Texte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werden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mit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MARC-records (Machine-Readable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Cataloging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)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versehen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–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dem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internationalen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Standard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zur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Verbreitung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von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bibliografischen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Daten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.</w:t>
      </w:r>
    </w:p>
    <w:p w14:paraId="4038FD1F" w14:textId="77777777" w:rsidR="000F6FD2" w:rsidRPr="000F6FD2" w:rsidRDefault="000F6FD2" w:rsidP="000F6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Jeder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digitale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Text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erhält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einen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Digital Object Identifier (DOI),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einer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eindeutigen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Identifikationsnummer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, die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bei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CrossRef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registriert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wird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. Artikel,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Beiträge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Buchkapitel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können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somit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einzeln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abgerufen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erworben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werden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.</w:t>
      </w:r>
    </w:p>
    <w:p w14:paraId="655365DA" w14:textId="77777777" w:rsidR="000F6FD2" w:rsidRPr="000F6FD2" w:rsidRDefault="000F6FD2" w:rsidP="000F6FD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Wenn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Sie die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Sichtbarkeit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ihres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Textes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in der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Fach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- und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Medienwelt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noch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weiter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steigern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möchten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bieten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Ihnen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die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Veröffentlichung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im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Open Access an. Dies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ist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sowohl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für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ganze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Bücher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einzelne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Buchkapitel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als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für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Zeitschriftenbeiträge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möglich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Informieren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sich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über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die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Möglichkeiten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Vorteile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Chancen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von Open Access auf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unseren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 </w:t>
      </w:r>
      <w:hyperlink r:id="rId12" w:history="1">
        <w:r w:rsidRPr="000F6FD2">
          <w:rPr>
            <w:rFonts w:ascii="Brill" w:eastAsia="Times New Roman" w:hAnsi="Brill" w:cs="Times New Roman"/>
            <w:color w:val="333333"/>
            <w:sz w:val="24"/>
            <w:szCs w:val="24"/>
            <w:lang w:eastAsia="en-NL"/>
          </w:rPr>
          <w:t>Open-Access-Seiten</w:t>
        </w:r>
      </w:hyperlink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.</w:t>
      </w:r>
    </w:p>
    <w:p w14:paraId="4B7742FF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</w:p>
    <w:p w14:paraId="39521292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übernehmen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verlegerische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Verantwortung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–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zur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Finanzierung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Ihres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Buchs</w:t>
      </w:r>
      <w:proofErr w:type="spellEnd"/>
    </w:p>
    <w:p w14:paraId="1C9F2E07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Eine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Buchproduktion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ist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Investition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Karriere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sorgfältige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Planung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Finanzierung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erfordert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Druckkostenzuschüsse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sind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der Mittel, um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Finanzierung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Buchproduktion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sichern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beraten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diesen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Fragen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um die für Sie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Publikation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passende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Finanzierung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sicherzustellen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Einzelfällen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können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Bücher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zuschussfrei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publizieren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ohne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an der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Qualität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Endproduktes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sparen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Damit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liegt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das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verlegerische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Risiko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ganz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bei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uns. Dank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Erfahrung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Know-Hows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kennen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wichtigen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Absatzmärkte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für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Buch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platzieren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es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dort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21B584DB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</w:p>
    <w:p w14:paraId="4BB695E2" w14:textId="77777777" w:rsidR="000F6FD2" w:rsidRPr="000F6FD2" w:rsidRDefault="000F6FD2" w:rsidP="000F6FD2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Publikationen</w:t>
      </w:r>
      <w:proofErr w:type="spellEnd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aus</w:t>
      </w:r>
      <w:proofErr w:type="spellEnd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 xml:space="preserve"> und für die Praxis</w:t>
      </w:r>
      <w:bookmarkStart w:id="2" w:name="praxis"/>
      <w:bookmarkEnd w:id="2"/>
    </w:p>
    <w:p w14:paraId="36A0CE27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Möchten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-, Hand-,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Lehrbuch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Ratgeber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veröffentlichen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?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publizieren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praxisnahe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Literatur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Materialien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print und digital für Schule,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Ausbildung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Studium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Fort-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Weiterbildung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den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Fachbereichen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Psychologie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/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Psychotherapie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/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Beratung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Pädagogik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/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Soziale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Arbeit,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Gemeindepraxis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Religionspädagogik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Latein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521179D8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lastRenderedPageBreak/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stehen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für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wissenschaftlich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fundierte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für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Praktiker:innen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aufbereitete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in der Praxis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umsetzbare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Inhalte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: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als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haptische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Produkte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digital –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gestalterisch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je an den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unterschiedlichen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Bedürfnissen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Kund:innen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orientiert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Fachbuch-Produkte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sind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Hilfen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für den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Berufsalltag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Zielgruppen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erleichtern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unterstützen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berufliche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Zielerreichung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Unser Portfolio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umfasst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jenseits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klassischen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Buches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immer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mehr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Produkte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Non-Book-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Bereich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Digitale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Lösungen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entwickeln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marktorientiert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Hinblick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auf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Bedarfe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Kaufbereitschaft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Zielgruppen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037C3ED8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Produkte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begegnen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Kund:innen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den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Welten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denen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bewegen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– in der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Bibliothek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während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Studiums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in den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klassischen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sozialen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Medien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bei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Amazon, in der Presse und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Zeitschriften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von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anderen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rezensiert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empfohlen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in der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Buchhandlung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auf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Fachtagungen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Buchmessen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sind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Web und auf Live-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Veranstaltungen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präsent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sichtbar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5083A31C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Sprechen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gerne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persönlich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an!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finden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engagierten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erfahrenen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Lektor:innen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für den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Praxisbereich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auf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dieser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begin"/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instrText xml:space="preserve"> HYPERLINK "https://staging.brill.com/page/AcquisitionsEditors/acquisitions-editors" \l "pedagogy" </w:instrText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separate"/>
      </w:r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>Übersichtsseite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end"/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65153D50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</w:p>
    <w:p w14:paraId="7ADE2596" w14:textId="77777777" w:rsidR="000F6FD2" w:rsidRPr="000F6FD2" w:rsidRDefault="000F6FD2" w:rsidP="000F6FD2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Manuskriptanfrage</w:t>
      </w:r>
      <w:proofErr w:type="spellEnd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 xml:space="preserve"> für </w:t>
      </w: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Wissenschaft</w:t>
      </w:r>
      <w:proofErr w:type="spellEnd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 xml:space="preserve"> Praxis</w:t>
      </w:r>
      <w:bookmarkStart w:id="3" w:name="manuskript"/>
      <w:bookmarkEnd w:id="3"/>
    </w:p>
    <w:p w14:paraId="3754F18A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Wenn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wissenschaftliches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praxisorientiertes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Buch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bei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publizieren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möchten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senden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folgende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Unterlagen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an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begin"/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instrText xml:space="preserve"> HYPERLINK "https://staging.brill.com/page/AcquisitionsEditors/acquisitions-editors" </w:instrText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separate"/>
      </w:r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>Ihre:n</w:t>
      </w:r>
      <w:proofErr w:type="spellEnd"/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>Ansprechpartner:in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end"/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:</w:t>
      </w:r>
    </w:p>
    <w:p w14:paraId="50C31353" w14:textId="77777777" w:rsidR="000F6FD2" w:rsidRPr="000F6FD2" w:rsidRDefault="000F6FD2" w:rsidP="000F6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Exposé und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Gliederung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,</w:t>
      </w:r>
    </w:p>
    <w:p w14:paraId="66C928F9" w14:textId="77777777" w:rsidR="000F6FD2" w:rsidRPr="000F6FD2" w:rsidRDefault="000F6FD2" w:rsidP="000F6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Angaben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voraussichtlichem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Umfang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geplanter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Ausstattung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,</w:t>
      </w:r>
    </w:p>
    <w:p w14:paraId="4E35BFC8" w14:textId="77777777" w:rsidR="000F6FD2" w:rsidRPr="000F6FD2" w:rsidRDefault="000F6FD2" w:rsidP="000F6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ggf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ausgefülltes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Autor:innenformular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,</w:t>
      </w:r>
    </w:p>
    <w:p w14:paraId="7F0B4800" w14:textId="77777777" w:rsidR="000F6FD2" w:rsidRPr="000F6FD2" w:rsidRDefault="000F6FD2" w:rsidP="000F6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ggf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Leseprobe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(max. 30 Seiten),</w:t>
      </w:r>
    </w:p>
    <w:p w14:paraId="6ED61ADD" w14:textId="77777777" w:rsidR="000F6FD2" w:rsidRPr="000F6FD2" w:rsidRDefault="000F6FD2" w:rsidP="000F6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bei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Qualifikationsarbeiten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bitten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zudem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um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Zusendung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der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vollständigen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Gutachten</w:t>
      </w:r>
      <w:proofErr w:type="spellEnd"/>
      <w:r w:rsidRPr="000F6FD2">
        <w:rPr>
          <w:rFonts w:ascii="Brill" w:eastAsia="Times New Roman" w:hAnsi="Brill" w:cs="Times New Roman"/>
          <w:color w:val="000000"/>
          <w:sz w:val="24"/>
          <w:szCs w:val="24"/>
          <w:lang w:eastAsia="en-NL"/>
        </w:rPr>
        <w:t>.</w:t>
      </w:r>
    </w:p>
    <w:p w14:paraId="26D17BA9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</w:p>
    <w:p w14:paraId="4D81C11C" w14:textId="77777777" w:rsidR="000F6FD2" w:rsidRPr="000F6FD2" w:rsidRDefault="000F6FD2" w:rsidP="000F6FD2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 xml:space="preserve">Marketing, Presse &amp; </w:t>
      </w: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Veranstaltungen</w:t>
      </w:r>
      <w:proofErr w:type="spellEnd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bei</w:t>
      </w:r>
      <w:proofErr w:type="spellEnd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 xml:space="preserve"> Brill Deutschland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Österreich</w:t>
      </w:r>
      <w:bookmarkStart w:id="4" w:name="marketing"/>
      <w:bookmarkEnd w:id="4"/>
      <w:proofErr w:type="spellEnd"/>
    </w:p>
    <w:p w14:paraId="05DA2A4A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Als digital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orientierter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Verlag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nutzen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vielfältigen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Möglichkeiten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digitalen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Vermarktung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um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Titel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bestmöglich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bewerben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können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Dazu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gehören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Website, Newsletter und Mailings an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verschiedene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Zielgruppen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Social-Media-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Kanäle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Aber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gedruckte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Werbemittel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sind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nach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vor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wichtiges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Instrument,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insbesondere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beim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Buchhandel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wissenschaftlichen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Institutionen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1D950791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Webseite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 xml:space="preserve"> und Blog</w:t>
      </w:r>
    </w:p>
    <w:p w14:paraId="794FFF5E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lastRenderedPageBreak/>
        <w:t xml:space="preserve">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Darstellung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auf der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Produktseite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von brill.com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ist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digitale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Visitenkarte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Titels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Hier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geben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Buch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viel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Raum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: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Neben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Cover,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Klappentext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bibliografischen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Angaben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stellen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auf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Website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Angaben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als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Autor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bzw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Autorin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Leseprobe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das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Inhaltsverzeichnis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Werbeflyer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ggf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weitere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Werbematerialien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zum Download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Verfügung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Den PDF-Flyer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können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nach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Belieben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für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eigene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Werbemaßnahmen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etwa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Rahmen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Buchpräsentation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verwenden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0D04B41C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Auf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hyperlink r:id="rId13" w:tgtFrame="_blank" w:history="1"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Blog</w:t>
        </w:r>
      </w:hyperlink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bieten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Möglichkeit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Buch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Interview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vorzustellen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Interesse für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Fachgebiet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Forschung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wecken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087E4C80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Newsletter</w:t>
      </w:r>
    </w:p>
    <w:p w14:paraId="7049720F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begin"/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instrText xml:space="preserve"> HYPERLINK "https://www2.brill.com/Newsletter-Anmeldung" \t "_blank" </w:instrText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separate"/>
      </w:r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>Newslettern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end"/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informieren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differenziert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nach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Fachbereichen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über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Neuerscheinungen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Veranstaltungen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andere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Neuigkeiten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Haus.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Hierzu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versenden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monatliche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Novitätennewsletter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themenspezifische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Mailings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einzelnen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Fachbereichen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Konferenzen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Diese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individuelle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Zielgruppen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gerichteten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Newsletter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werden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häufig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digitalen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Themenseite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ergänzt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auf der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relevante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Titel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anzeigen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4CA9A60E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Social Media</w:t>
      </w:r>
    </w:p>
    <w:p w14:paraId="235443A0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Auf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hyperlink r:id="rId14" w:history="1"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Social Media-</w:t>
        </w:r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Kanälen</w:t>
        </w:r>
        <w:proofErr w:type="spellEnd"/>
      </w:hyperlink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stehen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Autorinnen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Autoren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Leserinnen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Lesern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relevanten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(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-)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Medien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anderen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Multiplikatoren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regem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Austausch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Über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Social-Media-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Kanäle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informieren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über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Neuerscheinungen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anstehende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Termine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verbreiten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Besprechungen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Bücher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wissenswerte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Neuigkeiten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Fachwelt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Gerne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teilen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Beiträge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helfen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so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dabei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noch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mehr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Menschen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erreichen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72B3111C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Kataloge</w:t>
      </w:r>
      <w:proofErr w:type="spellEnd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/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Broschüren</w:t>
      </w:r>
      <w:proofErr w:type="spellEnd"/>
    </w:p>
    <w:p w14:paraId="5AA46405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Zweimal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Jahr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veröffentlichen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Highlightskatalog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Hier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kündigen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Titel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für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breiteres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Publikum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neue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Reihen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aber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Online-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Produkte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an.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Zeitgleich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erscheinen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Fachvorschauen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für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einzelnen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Fachbereiche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Diese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enthalten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alle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Titel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jeweiligen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Fachbereichs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der für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Frühjahr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Herbst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angekündigt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wird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6F9DEF9A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können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begin"/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instrText xml:space="preserve"> HYPERLINK "https://staging.brill.com/page/downloads/catalogs-flyers-and-price-lists" \l "sfm" </w:instrText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separate"/>
      </w:r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>Kataloge</w:t>
      </w:r>
      <w:proofErr w:type="spellEnd"/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 xml:space="preserve"> hier digital </w:t>
      </w:r>
      <w:proofErr w:type="spellStart"/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>abrufen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end"/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Abonnieren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Newsletter, um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regelmäßig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über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das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Erscheinen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neuer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Kataloge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informiert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werden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Darüber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hinaus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erstellen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zielgruppengerecht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Fachbroschüren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Flyer für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größere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Konferenzen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so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dass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Titel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dort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der „Community“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beworben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werden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18FDD458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Presse/</w:t>
      </w: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Rezensionen</w:t>
      </w:r>
      <w:proofErr w:type="spellEnd"/>
    </w:p>
    <w:p w14:paraId="5CC7EEF0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verfügen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über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umfassende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Kontakte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einschlägigen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Fachmedien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Zeitschriften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Feuilletons, die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regelmäßig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hyperlink r:id="rId15" w:tgtFrame="_blank" w:history="1"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Presse-</w:t>
        </w:r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lastRenderedPageBreak/>
          <w:t>Newsletter</w:t>
        </w:r>
      </w:hyperlink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über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Neuerscheinungen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informieren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Gedruckte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oder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elektronische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Rezensionsexemplare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stellen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selbstverständlich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kostenfrei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Verfügung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Gerne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berücksichtigen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Hinweise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laden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Erscheinen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Buchs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relevante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Rezensentinnen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Rezensenten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Besprechung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7D264526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en-NL"/>
        </w:rPr>
        <w:t>Veranstaltungen</w:t>
      </w:r>
      <w:proofErr w:type="spellEnd"/>
    </w:p>
    <w:p w14:paraId="4037CC73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präsentieren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Programm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jedes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Jahr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auf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zahlreichen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Messen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Kongressen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Tagungen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Deutschland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weltweit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finden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beispielsweise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auf der Frankfurter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Leipziger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Buchmesse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sowie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auf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zahlreichen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relevanten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nationalen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internationalen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Fachkongressen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Tagungen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Dort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stellen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thematisch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passende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Titel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Werbematerialien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aus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treten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persönlich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mit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den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Besucher:innen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Kontakt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 </w:t>
      </w:r>
      <w:hyperlink r:id="rId16" w:history="1"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 xml:space="preserve">Eine </w:t>
        </w:r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Übersicht</w:t>
        </w:r>
        <w:proofErr w:type="spellEnd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 xml:space="preserve"> </w:t>
        </w:r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über</w:t>
        </w:r>
        <w:proofErr w:type="spellEnd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 xml:space="preserve"> alle von </w:t>
        </w:r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uns</w:t>
        </w:r>
        <w:proofErr w:type="spellEnd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 xml:space="preserve"> </w:t>
        </w:r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besuchten</w:t>
        </w:r>
        <w:proofErr w:type="spellEnd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 xml:space="preserve"> </w:t>
        </w:r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Messen</w:t>
        </w:r>
        <w:proofErr w:type="spellEnd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 xml:space="preserve"> und </w:t>
        </w:r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Tagungen</w:t>
        </w:r>
        <w:proofErr w:type="spellEnd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 xml:space="preserve"> </w:t>
        </w:r>
        <w:proofErr w:type="spellStart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>finden</w:t>
        </w:r>
        <w:proofErr w:type="spellEnd"/>
        <w:r w:rsidRPr="000F6FD2">
          <w:rPr>
            <w:rFonts w:ascii="Noto Sans" w:eastAsia="Times New Roman" w:hAnsi="Noto Sans" w:cs="Noto Sans"/>
            <w:color w:val="333333"/>
            <w:sz w:val="24"/>
            <w:szCs w:val="24"/>
            <w:lang w:eastAsia="en-NL"/>
          </w:rPr>
          <w:t xml:space="preserve"> Sie hier.</w:t>
        </w:r>
      </w:hyperlink>
    </w:p>
    <w:p w14:paraId="37AB252E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Gerne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unterstützen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wir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auch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bei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Buchpräsentationen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und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anderen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eigenen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Veranstaltungen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3BBE218A" w14:textId="77777777" w:rsidR="000F6FD2" w:rsidRPr="000F6FD2" w:rsidRDefault="000F6FD2" w:rsidP="000F6FD2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</w:p>
    <w:p w14:paraId="08197E15" w14:textId="77777777" w:rsidR="000F6FD2" w:rsidRPr="000F6FD2" w:rsidRDefault="000F6FD2" w:rsidP="000F6FD2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33"/>
          <w:szCs w:val="33"/>
          <w:lang w:eastAsia="en-NL"/>
        </w:rPr>
        <w:t>Downloads</w:t>
      </w:r>
      <w:bookmarkStart w:id="5" w:name="downloads"/>
      <w:bookmarkEnd w:id="5"/>
    </w:p>
    <w:p w14:paraId="5506A207" w14:textId="77777777" w:rsidR="000F6FD2" w:rsidRPr="000F6FD2" w:rsidRDefault="000F6FD2" w:rsidP="000F6FD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</w:pP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Hier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stehen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Ihnen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in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Kürze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unsere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Autor:innenfragebögen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Anleitungen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Manuskriptabgabe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,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Covergestaltung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usw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zum Download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zur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Verfügung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. Bis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dahin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erhalten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Sie alle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nötigen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Materialien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von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Ihrer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/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Ihrem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 xml:space="preserve"> 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persönlichen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 </w:t>
      </w:r>
      <w:proofErr w:type="spellStart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begin"/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instrText xml:space="preserve"> HYPERLINK "https://staging.brill.com/page/AcquisitionsEditors/acquisitions-editors" </w:instrText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separate"/>
      </w:r>
      <w:r w:rsidRPr="000F6FD2">
        <w:rPr>
          <w:rFonts w:ascii="Noto Sans" w:eastAsia="Times New Roman" w:hAnsi="Noto Sans" w:cs="Noto Sans"/>
          <w:color w:val="333333"/>
          <w:sz w:val="24"/>
          <w:szCs w:val="24"/>
          <w:lang w:eastAsia="en-NL"/>
        </w:rPr>
        <w:t>Ansprechpartner:in</w:t>
      </w:r>
      <w:proofErr w:type="spellEnd"/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fldChar w:fldCharType="end"/>
      </w:r>
      <w:r w:rsidRPr="000F6FD2">
        <w:rPr>
          <w:rFonts w:ascii="Noto Sans" w:eastAsia="Times New Roman" w:hAnsi="Noto Sans" w:cs="Noto Sans"/>
          <w:color w:val="000000"/>
          <w:sz w:val="24"/>
          <w:szCs w:val="24"/>
          <w:lang w:eastAsia="en-NL"/>
        </w:rPr>
        <w:t>.</w:t>
      </w:r>
    </w:p>
    <w:p w14:paraId="34B75236" w14:textId="77777777" w:rsidR="001762FA" w:rsidRDefault="001762FA"/>
    <w:sectPr w:rsidR="00176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3469"/>
    <w:multiLevelType w:val="multilevel"/>
    <w:tmpl w:val="B44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6F1D3B"/>
    <w:multiLevelType w:val="multilevel"/>
    <w:tmpl w:val="4FAA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377A2B"/>
    <w:multiLevelType w:val="multilevel"/>
    <w:tmpl w:val="3AE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5275613">
    <w:abstractNumId w:val="1"/>
  </w:num>
  <w:num w:numId="2" w16cid:durableId="326905888">
    <w:abstractNumId w:val="0"/>
  </w:num>
  <w:num w:numId="3" w16cid:durableId="201760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D2"/>
    <w:rsid w:val="000F6FD2"/>
    <w:rsid w:val="001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A667"/>
  <w15:chartTrackingRefBased/>
  <w15:docId w15:val="{4B13F7EE-037C-475C-AFC1-5ACA3EA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6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L"/>
    </w:rPr>
  </w:style>
  <w:style w:type="paragraph" w:styleId="Heading3">
    <w:name w:val="heading 3"/>
    <w:basedOn w:val="Normal"/>
    <w:link w:val="Heading3Char"/>
    <w:uiPriority w:val="9"/>
    <w:qFormat/>
    <w:rsid w:val="000F6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6FD2"/>
    <w:rPr>
      <w:rFonts w:ascii="Times New Roman" w:eastAsia="Times New Roman" w:hAnsi="Times New Roman" w:cs="Times New Roman"/>
      <w:b/>
      <w:bCs/>
      <w:sz w:val="36"/>
      <w:szCs w:val="36"/>
      <w:lang w:eastAsia="en-NL"/>
    </w:rPr>
  </w:style>
  <w:style w:type="character" w:customStyle="1" w:styleId="Heading3Char">
    <w:name w:val="Heading 3 Char"/>
    <w:basedOn w:val="DefaultParagraphFont"/>
    <w:link w:val="Heading3"/>
    <w:uiPriority w:val="9"/>
    <w:rsid w:val="000F6FD2"/>
    <w:rPr>
      <w:rFonts w:ascii="Times New Roman" w:eastAsia="Times New Roman" w:hAnsi="Times New Roman" w:cs="Times New Roman"/>
      <w:b/>
      <w:bCs/>
      <w:sz w:val="27"/>
      <w:szCs w:val="27"/>
      <w:lang w:eastAsia="en-NL"/>
    </w:rPr>
  </w:style>
  <w:style w:type="character" w:styleId="Strong">
    <w:name w:val="Strong"/>
    <w:basedOn w:val="DefaultParagraphFont"/>
    <w:uiPriority w:val="22"/>
    <w:qFormat/>
    <w:rsid w:val="000F6F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L"/>
    </w:rPr>
  </w:style>
  <w:style w:type="character" w:styleId="Hyperlink">
    <w:name w:val="Hyperlink"/>
    <w:basedOn w:val="DefaultParagraphFont"/>
    <w:uiPriority w:val="99"/>
    <w:semiHidden/>
    <w:unhideWhenUsed/>
    <w:rsid w:val="000F6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ng.brill.com/page/AuthorsMain/authors" TargetMode="External"/><Relationship Id="rId13" Type="http://schemas.openxmlformats.org/officeDocument/2006/relationships/hyperlink" Target="https://blog.brill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ging.brill.com/page/AuthorsMain/authors" TargetMode="External"/><Relationship Id="rId12" Type="http://schemas.openxmlformats.org/officeDocument/2006/relationships/hyperlink" Target="https://staging.brill.com/page/authoroa/open-access-for-autho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aging.brill.com/page/conferences/conferences-and-book-fai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ging.brill.com/page/AuthorsMain/authors" TargetMode="External"/><Relationship Id="rId11" Type="http://schemas.openxmlformats.org/officeDocument/2006/relationships/hyperlink" Target="https://staging.brill.com/page/authoroa/open-access-for-authors" TargetMode="External"/><Relationship Id="rId5" Type="http://schemas.openxmlformats.org/officeDocument/2006/relationships/hyperlink" Target="https://staging.brill.com/page/AuthorsMain/authors" TargetMode="External"/><Relationship Id="rId15" Type="http://schemas.openxmlformats.org/officeDocument/2006/relationships/hyperlink" Target="https://www2.brill.com/newsletter-anmeldung" TargetMode="External"/><Relationship Id="rId10" Type="http://schemas.openxmlformats.org/officeDocument/2006/relationships/hyperlink" Target="https://staging.brill.com/page/AcquisitionsEditors/acquisitions-edi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ging.brill.com/page/AuthorsMain/authors" TargetMode="External"/><Relationship Id="rId14" Type="http://schemas.openxmlformats.org/officeDocument/2006/relationships/hyperlink" Target="https://staging.brill.com/page/SocialMediaOverview/social-media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1698</Words>
  <Characters>9682</Characters>
  <Application>Microsoft Office Word</Application>
  <DocSecurity>0</DocSecurity>
  <Lines>80</Lines>
  <Paragraphs>22</Paragraphs>
  <ScaleCrop>false</ScaleCrop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Wieger van der Heide</dc:creator>
  <cp:keywords/>
  <dc:description/>
  <cp:lastModifiedBy>Stijn Wieger van der Heide</cp:lastModifiedBy>
  <cp:revision>1</cp:revision>
  <dcterms:created xsi:type="dcterms:W3CDTF">2022-11-10T13:15:00Z</dcterms:created>
  <dcterms:modified xsi:type="dcterms:W3CDTF">2022-11-10T13:16:00Z</dcterms:modified>
</cp:coreProperties>
</file>