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62" w:rsidRPr="00F53062" w:rsidRDefault="00F53062" w:rsidP="00F53062">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F53062">
        <w:rPr>
          <w:rFonts w:ascii="Times New Roman" w:eastAsia="Times New Roman" w:hAnsi="Times New Roman" w:cs="Times New Roman"/>
          <w:b w:val="0"/>
          <w:bCs w:val="0"/>
          <w:color w:val="2E2E2E"/>
          <w:sz w:val="37"/>
          <w:szCs w:val="37"/>
          <w:u w:val="none"/>
        </w:rPr>
        <w:t>Prof.</w:t>
      </w:r>
      <w:r>
        <w:rPr>
          <w:rFonts w:ascii="Times New Roman" w:eastAsia="Times New Roman" w:hAnsi="Times New Roman" w:cs="Times New Roman"/>
          <w:b w:val="0"/>
          <w:bCs w:val="0"/>
          <w:color w:val="2E2E2E"/>
          <w:sz w:val="37"/>
          <w:szCs w:val="37"/>
          <w:u w:val="none"/>
        </w:rPr>
        <w:t xml:space="preserve"> </w:t>
      </w:r>
      <w:r w:rsidRPr="00F53062">
        <w:rPr>
          <w:rFonts w:ascii="Times New Roman" w:eastAsia="Times New Roman" w:hAnsi="Times New Roman" w:cs="Times New Roman"/>
          <w:b w:val="0"/>
          <w:bCs w:val="0"/>
          <w:color w:val="2E2E2E"/>
          <w:sz w:val="37"/>
          <w:szCs w:val="37"/>
          <w:u w:val="none"/>
        </w:rPr>
        <w:t>David P. Wright</w:t>
      </w:r>
    </w:p>
    <w:p w:rsidR="00F53062" w:rsidRPr="00F53062" w:rsidRDefault="00F53062" w:rsidP="00F53062">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F53062">
        <w:rPr>
          <w:rFonts w:ascii="Times New Roman" w:eastAsia="Times New Roman" w:hAnsi="Times New Roman" w:cs="Times New Roman"/>
          <w:b w:val="0"/>
          <w:bCs w:val="0"/>
          <w:color w:val="777777"/>
          <w:sz w:val="19"/>
          <w:szCs w:val="19"/>
          <w:u w:val="none"/>
        </w:rPr>
        <w:t>Brandeis University</w:t>
      </w:r>
    </w:p>
    <w:p w:rsidR="00F53062" w:rsidRDefault="00F53062" w:rsidP="00F53062">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F53062">
        <w:rPr>
          <w:rFonts w:ascii="Times New Roman" w:eastAsia="Times New Roman" w:hAnsi="Times New Roman" w:cs="Times New Roman"/>
          <w:b w:val="0"/>
          <w:bCs w:val="0"/>
          <w:color w:val="333333"/>
          <w:sz w:val="16"/>
          <w:u w:val="none"/>
        </w:rPr>
        <w:t>Prof. David P. Wright</w:t>
      </w:r>
      <w:r w:rsidRPr="00F53062">
        <w:rPr>
          <w:rFonts w:ascii="Times New Roman" w:eastAsia="Times New Roman" w:hAnsi="Times New Roman" w:cs="Times New Roman"/>
          <w:b w:val="0"/>
          <w:bCs w:val="0"/>
          <w:color w:val="333333"/>
          <w:sz w:val="16"/>
          <w:szCs w:val="16"/>
          <w:u w:val="none"/>
        </w:rPr>
        <w:t> is Professor of Bible and Ancient Near East at Brandeis University. He received his Ph.D. from the University of California, Berkeley and he is author of </w:t>
      </w:r>
      <w:r w:rsidRPr="00F53062">
        <w:rPr>
          <w:rFonts w:ascii="Times New Roman" w:eastAsia="Times New Roman" w:hAnsi="Times New Roman" w:cs="Times New Roman"/>
          <w:b w:val="0"/>
          <w:bCs w:val="0"/>
          <w:i/>
          <w:iCs/>
          <w:color w:val="333333"/>
          <w:sz w:val="16"/>
          <w:u w:val="none"/>
        </w:rPr>
        <w:t>Inventing God’s Law: How the Covenant Code of the Bible Used and Revised the Laws of Hammurabi</w:t>
      </w:r>
      <w:r w:rsidRPr="00F53062">
        <w:rPr>
          <w:rFonts w:ascii="Times New Roman" w:eastAsia="Times New Roman" w:hAnsi="Times New Roman" w:cs="Times New Roman"/>
          <w:b w:val="0"/>
          <w:bCs w:val="0"/>
          <w:color w:val="333333"/>
          <w:sz w:val="16"/>
          <w:szCs w:val="16"/>
          <w:u w:val="none"/>
        </w:rPr>
        <w:t> (2009),  </w:t>
      </w:r>
      <w:r w:rsidRPr="00F53062">
        <w:rPr>
          <w:rFonts w:ascii="Times New Roman" w:eastAsia="Times New Roman" w:hAnsi="Times New Roman" w:cs="Times New Roman"/>
          <w:b w:val="0"/>
          <w:bCs w:val="0"/>
          <w:i/>
          <w:iCs/>
          <w:color w:val="333333"/>
          <w:sz w:val="16"/>
          <w:u w:val="none"/>
        </w:rPr>
        <w:t xml:space="preserve">Ritual in Narrative: The Dynamics of Feasting, Mourning, and Retaliation Rites in the </w:t>
      </w:r>
      <w:proofErr w:type="spellStart"/>
      <w:r w:rsidRPr="00F53062">
        <w:rPr>
          <w:rFonts w:ascii="Times New Roman" w:eastAsia="Times New Roman" w:hAnsi="Times New Roman" w:cs="Times New Roman"/>
          <w:b w:val="0"/>
          <w:bCs w:val="0"/>
          <w:i/>
          <w:iCs/>
          <w:color w:val="333333"/>
          <w:sz w:val="16"/>
          <w:u w:val="none"/>
        </w:rPr>
        <w:t>Ugaritic</w:t>
      </w:r>
      <w:proofErr w:type="spellEnd"/>
      <w:r w:rsidRPr="00F53062">
        <w:rPr>
          <w:rFonts w:ascii="Times New Roman" w:eastAsia="Times New Roman" w:hAnsi="Times New Roman" w:cs="Times New Roman"/>
          <w:b w:val="0"/>
          <w:bCs w:val="0"/>
          <w:i/>
          <w:iCs/>
          <w:color w:val="333333"/>
          <w:sz w:val="16"/>
          <w:u w:val="none"/>
        </w:rPr>
        <w:t xml:space="preserve"> Tale of </w:t>
      </w:r>
      <w:proofErr w:type="spellStart"/>
      <w:r w:rsidRPr="00F53062">
        <w:rPr>
          <w:rFonts w:ascii="Times New Roman" w:eastAsia="Times New Roman" w:hAnsi="Times New Roman" w:cs="Times New Roman"/>
          <w:b w:val="0"/>
          <w:bCs w:val="0"/>
          <w:i/>
          <w:iCs/>
          <w:color w:val="333333"/>
          <w:sz w:val="16"/>
          <w:u w:val="none"/>
        </w:rPr>
        <w:t>Aqhat</w:t>
      </w:r>
      <w:proofErr w:type="spellEnd"/>
      <w:r w:rsidRPr="00F53062">
        <w:rPr>
          <w:rFonts w:ascii="Times New Roman" w:eastAsia="Times New Roman" w:hAnsi="Times New Roman" w:cs="Times New Roman"/>
          <w:b w:val="0"/>
          <w:bCs w:val="0"/>
          <w:color w:val="333333"/>
          <w:sz w:val="16"/>
          <w:szCs w:val="16"/>
          <w:u w:val="none"/>
        </w:rPr>
        <w:t> (2001), and </w:t>
      </w:r>
      <w:r w:rsidRPr="00F53062">
        <w:rPr>
          <w:rFonts w:ascii="Times New Roman" w:eastAsia="Times New Roman" w:hAnsi="Times New Roman" w:cs="Times New Roman"/>
          <w:b w:val="0"/>
          <w:bCs w:val="0"/>
          <w:i/>
          <w:iCs/>
          <w:color w:val="333333"/>
          <w:sz w:val="16"/>
          <w:u w:val="none"/>
        </w:rPr>
        <w:t>The Disposal of Impurity: Elimination Rites in the Bible and in Hittite and Mesopotamian Literature </w:t>
      </w:r>
      <w:r w:rsidRPr="00F53062">
        <w:rPr>
          <w:rFonts w:ascii="Times New Roman" w:eastAsia="Times New Roman" w:hAnsi="Times New Roman" w:cs="Times New Roman"/>
          <w:b w:val="0"/>
          <w:bCs w:val="0"/>
          <w:color w:val="333333"/>
          <w:sz w:val="16"/>
          <w:szCs w:val="16"/>
          <w:u w:val="none"/>
        </w:rPr>
        <w:t>(1987).</w:t>
      </w:r>
    </w:p>
    <w:p w:rsidR="00F53062" w:rsidRPr="00F53062" w:rsidRDefault="00F53062" w:rsidP="00F53062">
      <w:pPr>
        <w:shd w:val="clear" w:color="auto" w:fill="FFFFFF"/>
        <w:spacing w:after="360" w:line="840" w:lineRule="atLeast"/>
        <w:jc w:val="center"/>
        <w:outlineLvl w:val="0"/>
        <w:rPr>
          <w:rFonts w:ascii="Times New Roman" w:eastAsia="Times New Roman" w:hAnsi="Times New Roman" w:cs="Times New Roman"/>
          <w:b w:val="0"/>
          <w:bCs w:val="0"/>
          <w:color w:val="333333"/>
          <w:kern w:val="36"/>
          <w:sz w:val="48"/>
          <w:szCs w:val="48"/>
          <w:u w:val="none"/>
        </w:rPr>
      </w:pPr>
      <w:r w:rsidRPr="00F53062">
        <w:rPr>
          <w:rFonts w:ascii="Times New Roman" w:eastAsia="Times New Roman" w:hAnsi="Times New Roman" w:cs="Times New Roman"/>
          <w:b w:val="0"/>
          <w:bCs w:val="0"/>
          <w:color w:val="333333"/>
          <w:kern w:val="36"/>
          <w:sz w:val="48"/>
          <w:szCs w:val="48"/>
          <w:u w:val="none"/>
        </w:rPr>
        <w:t>How Exodus Revises the Laws of Hammurabi</w:t>
      </w:r>
    </w:p>
    <w:p w:rsidR="00F53062" w:rsidRPr="00F53062" w:rsidRDefault="00F53062" w:rsidP="00F53062">
      <w:pPr>
        <w:shd w:val="clear" w:color="auto" w:fill="FFFFFF"/>
        <w:spacing w:after="120" w:line="444" w:lineRule="atLeast"/>
        <w:rPr>
          <w:rFonts w:ascii="Times New Roman" w:eastAsia="Times New Roman" w:hAnsi="Times New Roman" w:cs="Times New Roman"/>
          <w:b w:val="0"/>
          <w:bCs w:val="0"/>
          <w:color w:val="333333"/>
          <w:sz w:val="24"/>
          <w:szCs w:val="24"/>
          <w:u w:val="none"/>
        </w:rPr>
      </w:pPr>
      <w:r w:rsidRPr="00F53062">
        <w:rPr>
          <w:rFonts w:ascii="Times New Roman" w:eastAsia="Times New Roman" w:hAnsi="Times New Roman" w:cs="Times New Roman"/>
          <w:b w:val="0"/>
          <w:bCs w:val="0"/>
          <w:color w:val="333333"/>
          <w:sz w:val="24"/>
          <w:szCs w:val="24"/>
          <w:u w:val="none"/>
        </w:rPr>
        <w:t>The author of the Covenant Collection in Exodus knew the Laws of Hammurabi and revised them to fit with Israelite legal and ethical conceptions. This is clear when we compare their laws of assault in each.</w:t>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2E2E2E"/>
          <w:sz w:val="18"/>
          <w:szCs w:val="18"/>
          <w:u w:val="none"/>
        </w:rPr>
      </w:pPr>
      <w:r w:rsidRPr="00F53062">
        <w:rPr>
          <w:rFonts w:ascii="Times New Roman" w:eastAsia="Times New Roman" w:hAnsi="Times New Roman" w:cs="Times New Roman"/>
          <w:b w:val="0"/>
          <w:bCs w:val="0"/>
          <w:color w:val="333333"/>
          <w:sz w:val="18"/>
          <w:szCs w:val="18"/>
          <w:u w:val="none"/>
        </w:rPr>
        <w:fldChar w:fldCharType="begin"/>
      </w:r>
      <w:r w:rsidRPr="00F53062">
        <w:rPr>
          <w:rFonts w:ascii="Times New Roman" w:eastAsia="Times New Roman" w:hAnsi="Times New Roman" w:cs="Times New Roman"/>
          <w:b w:val="0"/>
          <w:bCs w:val="0"/>
          <w:color w:val="333333"/>
          <w:sz w:val="18"/>
          <w:szCs w:val="18"/>
          <w:u w:val="none"/>
        </w:rPr>
        <w:instrText xml:space="preserve"> HYPERLINK "https://www.thetorah.com/author/david-p-wright" </w:instrText>
      </w:r>
      <w:r w:rsidRPr="00F53062">
        <w:rPr>
          <w:rFonts w:ascii="Times New Roman" w:eastAsia="Times New Roman" w:hAnsi="Times New Roman" w:cs="Times New Roman"/>
          <w:b w:val="0"/>
          <w:bCs w:val="0"/>
          <w:color w:val="333333"/>
          <w:sz w:val="18"/>
          <w:szCs w:val="18"/>
          <w:u w:val="none"/>
        </w:rPr>
        <w:fldChar w:fldCharType="separate"/>
      </w:r>
    </w:p>
    <w:p w:rsidR="00F53062" w:rsidRPr="00F53062" w:rsidRDefault="00F53062" w:rsidP="00F53062">
      <w:pPr>
        <w:shd w:val="clear" w:color="auto" w:fill="FFFFFF"/>
        <w:spacing w:after="0" w:line="432" w:lineRule="atLeast"/>
        <w:ind w:right="192"/>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2E2E2E"/>
          <w:sz w:val="24"/>
          <w:szCs w:val="24"/>
          <w:u w:val="none"/>
        </w:rPr>
        <w:t>Prof.</w:t>
      </w:r>
      <w:r>
        <w:rPr>
          <w:rFonts w:ascii="Times New Roman" w:eastAsia="Times New Roman" w:hAnsi="Times New Roman" w:cs="Times New Roman"/>
          <w:b w:val="0"/>
          <w:bCs w:val="0"/>
          <w:color w:val="auto"/>
          <w:sz w:val="24"/>
          <w:szCs w:val="24"/>
          <w:u w:val="none"/>
        </w:rPr>
        <w:t xml:space="preserve"> </w:t>
      </w:r>
      <w:r w:rsidRPr="00F53062">
        <w:rPr>
          <w:rFonts w:ascii="Times New Roman" w:eastAsia="Times New Roman" w:hAnsi="Times New Roman" w:cs="Times New Roman"/>
          <w:b w:val="0"/>
          <w:bCs w:val="0"/>
          <w:color w:val="2E2E2E"/>
          <w:sz w:val="24"/>
          <w:szCs w:val="24"/>
          <w:u w:val="none"/>
        </w:rPr>
        <w:t>David P. Wright</w:t>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fldChar w:fldCharType="end"/>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333333"/>
          <w:sz w:val="18"/>
          <w:szCs w:val="18"/>
          <w:u w:val="none"/>
        </w:rPr>
      </w:pPr>
      <w:r>
        <w:rPr>
          <w:rFonts w:ascii="Times New Roman" w:eastAsia="Times New Roman" w:hAnsi="Times New Roman" w:cs="Times New Roman"/>
          <w:b w:val="0"/>
          <w:bCs w:val="0"/>
          <w:noProof/>
          <w:color w:val="333333"/>
          <w:sz w:val="18"/>
          <w:szCs w:val="18"/>
          <w:u w:val="none"/>
        </w:rPr>
        <w:drawing>
          <wp:inline distT="0" distB="0" distL="0" distR="0">
            <wp:extent cx="2034991" cy="1529861"/>
            <wp:effectExtent l="19050" t="0" r="3359" b="0"/>
            <wp:docPr id="4" name="תמונה 4" descr="How Exodus Revises the Laws of Hammur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Exodus Revises the Laws of Hammurabi"/>
                    <pic:cNvPicPr>
                      <a:picLocks noChangeAspect="1" noChangeArrowheads="1"/>
                    </pic:cNvPicPr>
                  </pic:nvPicPr>
                  <pic:blipFill>
                    <a:blip r:embed="rId5" cstate="print"/>
                    <a:srcRect/>
                    <a:stretch>
                      <a:fillRect/>
                    </a:stretch>
                  </pic:blipFill>
                  <pic:spPr bwMode="auto">
                    <a:xfrm>
                      <a:off x="0" y="0"/>
                      <a:ext cx="2034664" cy="1529615"/>
                    </a:xfrm>
                    <a:prstGeom prst="rect">
                      <a:avLst/>
                    </a:prstGeom>
                    <a:noFill/>
                    <a:ln w="9525">
                      <a:noFill/>
                      <a:miter lim="800000"/>
                      <a:headEnd/>
                      <a:tailEnd/>
                    </a:ln>
                  </pic:spPr>
                </pic:pic>
              </a:graphicData>
            </a:graphic>
          </wp:inline>
        </w:drawing>
      </w:r>
    </w:p>
    <w:p w:rsidR="00F53062" w:rsidRPr="00F53062" w:rsidRDefault="00F53062" w:rsidP="00F53062">
      <w:pPr>
        <w:shd w:val="clear" w:color="auto" w:fill="FFFFFF"/>
        <w:spacing w:after="120" w:line="336" w:lineRule="atLeast"/>
        <w:jc w:val="center"/>
        <w:rPr>
          <w:rFonts w:ascii="Times New Roman" w:eastAsia="Times New Roman" w:hAnsi="Times New Roman" w:cs="Times New Roman"/>
          <w:b w:val="0"/>
          <w:bCs w:val="0"/>
          <w:color w:val="333333"/>
          <w:sz w:val="16"/>
          <w:szCs w:val="16"/>
          <w:u w:val="none"/>
        </w:rPr>
      </w:pPr>
      <w:r w:rsidRPr="00F53062">
        <w:rPr>
          <w:rFonts w:ascii="Times New Roman" w:eastAsia="Times New Roman" w:hAnsi="Times New Roman" w:cs="Times New Roman"/>
          <w:b w:val="0"/>
          <w:bCs w:val="0"/>
          <w:color w:val="333333"/>
          <w:sz w:val="16"/>
          <w:szCs w:val="16"/>
          <w:u w:val="none"/>
        </w:rPr>
        <w:t>The Code of Hammurabi at the Champollion Museum, Wikimedia </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Following the revelation of the Decalogue (20:1–14), Moses alone approaches YHWH on the mountain and receives a collection of laws (20:19–23:19)</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w:t>
      </w:r>
      <w:r w:rsidRPr="00F53062">
        <w:rPr>
          <w:rFonts w:ascii="Times New Roman" w:eastAsia="Times New Roman" w:hAnsi="Times New Roman" w:cs="Times New Roman"/>
          <w:b w:val="0"/>
          <w:bCs w:val="0"/>
          <w:color w:val="000000"/>
          <w:sz w:val="20"/>
          <w:szCs w:val="20"/>
          <w:u w:val="none"/>
        </w:rPr>
        <w:t> which scholars refer to as the Covenant Code or Covenant Collection (henceforth CC). Afterward, Moses presents these laws to the people in a covenant ceremony in which they agree to observe its precepts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24:3–8).</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In 1901, archaeologists working in </w:t>
      </w:r>
      <w:proofErr w:type="gramStart"/>
      <w:r w:rsidRPr="00F53062">
        <w:rPr>
          <w:rFonts w:ascii="Times New Roman" w:eastAsia="Times New Roman" w:hAnsi="Times New Roman" w:cs="Times New Roman"/>
          <w:b w:val="0"/>
          <w:bCs w:val="0"/>
          <w:color w:val="000000"/>
          <w:sz w:val="20"/>
          <w:szCs w:val="20"/>
          <w:u w:val="none"/>
        </w:rPr>
        <w:t>Susa</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2]</w:t>
      </w:r>
      <w:r w:rsidRPr="00F53062">
        <w:rPr>
          <w:rFonts w:ascii="Times New Roman" w:eastAsia="Times New Roman" w:hAnsi="Times New Roman" w:cs="Times New Roman"/>
          <w:b w:val="0"/>
          <w:bCs w:val="0"/>
          <w:color w:val="000000"/>
          <w:sz w:val="20"/>
          <w:szCs w:val="20"/>
          <w:u w:val="none"/>
        </w:rPr>
        <w:t xml:space="preserve"> uncovered a 7.5-foot basalt stone </w:t>
      </w:r>
      <w:proofErr w:type="spellStart"/>
      <w:r w:rsidRPr="00F53062">
        <w:rPr>
          <w:rFonts w:ascii="Times New Roman" w:eastAsia="Times New Roman" w:hAnsi="Times New Roman" w:cs="Times New Roman"/>
          <w:b w:val="0"/>
          <w:bCs w:val="0"/>
          <w:color w:val="000000"/>
          <w:sz w:val="20"/>
          <w:szCs w:val="20"/>
          <w:u w:val="none"/>
        </w:rPr>
        <w:t>stela</w:t>
      </w:r>
      <w:proofErr w:type="spellEnd"/>
      <w:r w:rsidRPr="00F53062">
        <w:rPr>
          <w:rFonts w:ascii="Times New Roman" w:eastAsia="Times New Roman" w:hAnsi="Times New Roman" w:cs="Times New Roman"/>
          <w:b w:val="0"/>
          <w:bCs w:val="0"/>
          <w:color w:val="000000"/>
          <w:sz w:val="20"/>
          <w:szCs w:val="20"/>
          <w:u w:val="none"/>
        </w:rPr>
        <w:t>, upon which the sixth king of Old Babylon, Hammurabi (1792–1750</w:t>
      </w:r>
      <w:r w:rsidRPr="00F53062">
        <w:rPr>
          <w:rFonts w:ascii="Times New Roman" w:eastAsia="Times New Roman" w:hAnsi="Times New Roman" w:cs="Times New Roman"/>
          <w:b w:val="0"/>
          <w:bCs w:val="0"/>
          <w:smallCaps/>
          <w:color w:val="000000"/>
          <w:sz w:val="20"/>
          <w:szCs w:val="20"/>
          <w:u w:val="none"/>
        </w:rPr>
        <w:t> B.C.E</w:t>
      </w:r>
      <w:r w:rsidRPr="00F53062">
        <w:rPr>
          <w:rFonts w:ascii="Times New Roman" w:eastAsia="Times New Roman" w:hAnsi="Times New Roman" w:cs="Times New Roman"/>
          <w:b w:val="0"/>
          <w:bCs w:val="0"/>
          <w:color w:val="000000"/>
          <w:sz w:val="20"/>
          <w:szCs w:val="20"/>
          <w:u w:val="none"/>
        </w:rPr>
        <w:t xml:space="preserve">.), had a set of laws carved. The Laws of Hammurabi (henceforth LH) were translated into French by Jean-Vincent </w:t>
      </w:r>
      <w:proofErr w:type="spellStart"/>
      <w:r w:rsidRPr="00F53062">
        <w:rPr>
          <w:rFonts w:ascii="Times New Roman" w:eastAsia="Times New Roman" w:hAnsi="Times New Roman" w:cs="Times New Roman"/>
          <w:b w:val="0"/>
          <w:bCs w:val="0"/>
          <w:color w:val="000000"/>
          <w:sz w:val="20"/>
          <w:szCs w:val="20"/>
          <w:u w:val="none"/>
        </w:rPr>
        <w:t>Scheil</w:t>
      </w:r>
      <w:proofErr w:type="spellEnd"/>
      <w:r w:rsidRPr="00F53062">
        <w:rPr>
          <w:rFonts w:ascii="Times New Roman" w:eastAsia="Times New Roman" w:hAnsi="Times New Roman" w:cs="Times New Roman"/>
          <w:b w:val="0"/>
          <w:bCs w:val="0"/>
          <w:color w:val="000000"/>
          <w:sz w:val="20"/>
          <w:szCs w:val="20"/>
          <w:u w:val="none"/>
        </w:rPr>
        <w:t xml:space="preserve"> (1858–1940) and published the following year. The similarities between many of these laws to CC in substance and style was so striking that scholars ever since have speculated about the relationship between the two</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3]</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lastRenderedPageBreak/>
        <w:t>Most contemporary scholars have concluded that LH and CC are only indirectly and distantly related. The texts either arose independently out of common parent legal traditions, or Mesopotamian legal traditions became part of scribal and legal traditions in Syria-Canaan and were eventually inherited by biblical scribes</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4]</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Nevertheless, CC’s correlations with LH are sufficiently numerous to suggest that the relationship is direct.</w:t>
      </w:r>
      <w:r w:rsidRPr="00F53062">
        <w:rPr>
          <w:rFonts w:ascii="Times New Roman" w:eastAsia="Times New Roman" w:hAnsi="Times New Roman" w:cs="Times New Roman"/>
          <w:b w:val="0"/>
          <w:bCs w:val="0"/>
          <w:color w:val="B22222"/>
          <w:sz w:val="18"/>
          <w:szCs w:val="18"/>
          <w:u w:val="none"/>
          <w:vertAlign w:val="superscript"/>
        </w:rPr>
        <w:t>[5]</w:t>
      </w:r>
      <w:r w:rsidRPr="00F53062">
        <w:rPr>
          <w:rFonts w:ascii="Times New Roman" w:eastAsia="Times New Roman" w:hAnsi="Times New Roman" w:cs="Times New Roman"/>
          <w:b w:val="0"/>
          <w:bCs w:val="0"/>
          <w:color w:val="000000"/>
          <w:sz w:val="20"/>
          <w:szCs w:val="20"/>
          <w:u w:val="none"/>
        </w:rPr>
        <w:t> Moreover, recent scholarship on inner-biblical exegesis and hermeneutical innovation in source-dependent texts</w:t>
      </w:r>
      <w:r w:rsidRPr="00F53062">
        <w:rPr>
          <w:rFonts w:ascii="Times New Roman" w:eastAsia="Times New Roman" w:hAnsi="Times New Roman" w:cs="Times New Roman"/>
          <w:b w:val="0"/>
          <w:bCs w:val="0"/>
          <w:color w:val="B22222"/>
          <w:sz w:val="18"/>
          <w:szCs w:val="18"/>
          <w:u w:val="none"/>
          <w:vertAlign w:val="superscript"/>
        </w:rPr>
        <w:t>[6]</w:t>
      </w:r>
      <w:r w:rsidRPr="00F53062">
        <w:rPr>
          <w:rFonts w:ascii="Times New Roman" w:eastAsia="Times New Roman" w:hAnsi="Times New Roman" w:cs="Times New Roman"/>
          <w:b w:val="0"/>
          <w:bCs w:val="0"/>
          <w:color w:val="000000"/>
          <w:sz w:val="20"/>
          <w:szCs w:val="20"/>
          <w:u w:val="none"/>
        </w:rPr>
        <w:t> shows that even the notable differences between CC and LH may arise out of intentional transformation.</w:t>
      </w:r>
      <w:r w:rsidRPr="00F53062">
        <w:rPr>
          <w:rFonts w:ascii="Times New Roman" w:eastAsia="Times New Roman" w:hAnsi="Times New Roman" w:cs="Times New Roman"/>
          <w:b w:val="0"/>
          <w:bCs w:val="0"/>
          <w:color w:val="B22222"/>
          <w:sz w:val="18"/>
          <w:szCs w:val="18"/>
          <w:u w:val="none"/>
          <w:vertAlign w:val="superscript"/>
        </w:rPr>
        <w:t>[7]</w:t>
      </w:r>
      <w:r w:rsidRPr="00F53062">
        <w:rPr>
          <w:rFonts w:ascii="Times New Roman" w:eastAsia="Times New Roman" w:hAnsi="Times New Roman" w:cs="Times New Roman"/>
          <w:b w:val="0"/>
          <w:bCs w:val="0"/>
          <w:color w:val="000000"/>
          <w:sz w:val="20"/>
          <w:szCs w:val="20"/>
          <w:u w:val="none"/>
        </w:rPr>
        <w:t> When compelling explanations can be provided that differences have come about through such a process, certain differences may actually become evidence for dependence.</w:t>
      </w:r>
      <w:r w:rsidRPr="00F53062">
        <w:rPr>
          <w:rFonts w:ascii="Times New Roman" w:eastAsia="Times New Roman" w:hAnsi="Times New Roman" w:cs="Times New Roman"/>
          <w:b w:val="0"/>
          <w:bCs w:val="0"/>
          <w:color w:val="B22222"/>
          <w:sz w:val="18"/>
          <w:szCs w:val="18"/>
          <w:u w:val="none"/>
          <w:vertAlign w:val="superscript"/>
        </w:rPr>
        <w:t>[8]</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The assault laws of Exodus 21:12–14, 18–32, especially the laws about miscarriage,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(i.e., “an eye for an eye, a tooth for a tooth”) offer a strong demonstration of how intricately CC is dependent upon LH, even while adjusting its content and style</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9]</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Aggravated Miscarriage and the Problem of Vicarious Punishment</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 Laws of Hammurabi present two cases in which a man strikes a pregnant woman (209–210):</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209</w:t>
      </w:r>
      <w:r w:rsidRPr="00F53062">
        <w:rPr>
          <w:rFonts w:ascii="Times New Roman" w:eastAsia="Times New Roman" w:hAnsi="Times New Roman" w:cs="Times New Roman"/>
          <w:b w:val="0"/>
          <w:bCs w:val="0"/>
          <w:color w:val="000000"/>
          <w:sz w:val="20"/>
          <w:szCs w:val="20"/>
          <w:u w:val="none"/>
        </w:rPr>
        <w:t> If a man strikes a daughter of a man (</w:t>
      </w:r>
      <w:proofErr w:type="spellStart"/>
      <w:proofErr w:type="gramStart"/>
      <w:r w:rsidRPr="00F53062">
        <w:rPr>
          <w:rFonts w:ascii="Times New Roman" w:eastAsia="Times New Roman" w:hAnsi="Times New Roman" w:cs="Times New Roman"/>
          <w:b w:val="0"/>
          <w:bCs w:val="0"/>
          <w:i/>
          <w:iCs/>
          <w:color w:val="000000"/>
          <w:sz w:val="20"/>
          <w:szCs w:val="20"/>
          <w:u w:val="none"/>
        </w:rPr>
        <w:t>mārat</w:t>
      </w:r>
      <w:proofErr w:type="spellEnd"/>
      <w:proofErr w:type="gramEnd"/>
      <w:r w:rsidRPr="00F53062">
        <w:rPr>
          <w:rFonts w:ascii="Times New Roman" w:eastAsia="Times New Roman" w:hAnsi="Times New Roman" w:cs="Times New Roman"/>
          <w:b w:val="0"/>
          <w:bCs w:val="0"/>
          <w:i/>
          <w:iCs/>
          <w:color w:val="000000"/>
          <w:sz w:val="20"/>
          <w:szCs w:val="20"/>
          <w:u w:val="none"/>
        </w:rPr>
        <w:t xml:space="preserve"> </w:t>
      </w:r>
      <w:proofErr w:type="spellStart"/>
      <w:r w:rsidRPr="00F53062">
        <w:rPr>
          <w:rFonts w:ascii="Times New Roman" w:eastAsia="Times New Roman" w:hAnsi="Times New Roman" w:cs="Times New Roman"/>
          <w:b w:val="0"/>
          <w:bCs w:val="0"/>
          <w:i/>
          <w:iCs/>
          <w:color w:val="000000"/>
          <w:sz w:val="20"/>
          <w:szCs w:val="20"/>
          <w:u w:val="none"/>
        </w:rPr>
        <w:t>awīlim</w:t>
      </w:r>
      <w:proofErr w:type="spellEnd"/>
      <w:r w:rsidRPr="00F53062">
        <w:rPr>
          <w:rFonts w:ascii="Times New Roman" w:eastAsia="Times New Roman" w:hAnsi="Times New Roman" w:cs="Times New Roman"/>
          <w:b w:val="0"/>
          <w:bCs w:val="0"/>
          <w:color w:val="000000"/>
          <w:sz w:val="20"/>
          <w:szCs w:val="20"/>
          <w:u w:val="none"/>
        </w:rPr>
        <w:t>) and he causes her to miscarry her fetus, he shall weigh out ten shekels of silver for her fetus.</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210</w:t>
      </w:r>
      <w:r w:rsidRPr="00F53062">
        <w:rPr>
          <w:rFonts w:ascii="Times New Roman" w:eastAsia="Times New Roman" w:hAnsi="Times New Roman" w:cs="Times New Roman"/>
          <w:b w:val="0"/>
          <w:bCs w:val="0"/>
          <w:color w:val="000000"/>
          <w:sz w:val="20"/>
          <w:szCs w:val="20"/>
          <w:u w:val="none"/>
        </w:rPr>
        <w:t> If that woman dies, they shall kill his daughter.</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According to this, if the pregnant woman survives the blow, the penalty is purely financial. If she does not, the assailant is punished vicariously, namely his daughter is killed. The CC has the same two cases, but it then moves in a different direction:</w:t>
      </w:r>
    </w:p>
    <w:p w:rsidR="00F53062" w:rsidRPr="00F53062" w:rsidRDefault="00F53062" w:rsidP="00F53062">
      <w:pPr>
        <w:shd w:val="clear" w:color="auto" w:fill="FFFFFF"/>
        <w:spacing w:before="120" w:after="120" w:line="360" w:lineRule="atLeast"/>
        <w:outlineLvl w:val="3"/>
        <w:rPr>
          <w:rFonts w:ascii="Times New Roman" w:eastAsia="Times New Roman" w:hAnsi="Times New Roman" w:cs="Times New Roman"/>
          <w:b w:val="0"/>
          <w:bCs w:val="0"/>
          <w:color w:val="000000"/>
          <w:u w:val="none"/>
        </w:rPr>
      </w:pPr>
      <w:r w:rsidRPr="00F53062">
        <w:rPr>
          <w:rFonts w:ascii="Times New Roman" w:eastAsia="Times New Roman" w:hAnsi="Times New Roman" w:cs="Times New Roman"/>
          <w:b w:val="0"/>
          <w:bCs w:val="0"/>
          <w:color w:val="000000"/>
          <w:sz w:val="27"/>
          <w:szCs w:val="27"/>
          <w:u w:val="none"/>
        </w:rPr>
        <w:t>Miscarriage law 1 (fine for killing the fetus)</w:t>
      </w:r>
    </w:p>
    <w:p w:rsidR="00F53062" w:rsidRPr="00F53062" w:rsidRDefault="00F53062" w:rsidP="00F53062">
      <w:pPr>
        <w:shd w:val="clear" w:color="auto" w:fill="FFFFFF"/>
        <w:bidi/>
        <w:spacing w:after="100" w:line="372" w:lineRule="atLeast"/>
        <w:textAlignment w:val="top"/>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tl/>
          <w:lang w:bidi="he-IL"/>
        </w:rPr>
        <w:t xml:space="preserve">שמות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כב</w:t>
      </w:r>
      <w:proofErr w:type="spellEnd"/>
      <w:r w:rsidRPr="00F53062">
        <w:rPr>
          <w:rFonts w:ascii="Times New Roman" w:eastAsia="Times New Roman" w:hAnsi="Times New Roman" w:cs="Times New Roman"/>
          <w:b w:val="0"/>
          <w:bCs w:val="0"/>
          <w:color w:val="000000"/>
          <w:sz w:val="27"/>
          <w:szCs w:val="27"/>
          <w:u w:val="none"/>
          <w:rtl/>
        </w:rPr>
        <w:t> </w:t>
      </w:r>
      <w:r w:rsidRPr="00F53062">
        <w:rPr>
          <w:rFonts w:ascii="Times New Roman" w:eastAsia="Times New Roman" w:hAnsi="Times New Roman" w:cs="Times New Roman"/>
          <w:b w:val="0"/>
          <w:bCs w:val="0"/>
          <w:color w:val="000000"/>
          <w:sz w:val="27"/>
          <w:szCs w:val="27"/>
          <w:u w:val="none"/>
          <w:rtl/>
          <w:lang w:bidi="he-IL"/>
        </w:rPr>
        <w:t xml:space="preserve">וְכִי יִנָּצוּ אֲנָשִׁים וְנָגְפוּ </w:t>
      </w:r>
      <w:proofErr w:type="spellStart"/>
      <w:r w:rsidRPr="00F53062">
        <w:rPr>
          <w:rFonts w:ascii="Times New Roman" w:eastAsia="Times New Roman" w:hAnsi="Times New Roman" w:cs="Times New Roman"/>
          <w:b w:val="0"/>
          <w:bCs w:val="0"/>
          <w:color w:val="000000"/>
          <w:sz w:val="27"/>
          <w:szCs w:val="27"/>
          <w:u w:val="none"/>
          <w:rtl/>
          <w:lang w:bidi="he-IL"/>
        </w:rPr>
        <w:t>אִשָּׁה</w:t>
      </w:r>
      <w:proofErr w:type="spellEnd"/>
      <w:r w:rsidRPr="00F53062">
        <w:rPr>
          <w:rFonts w:ascii="Times New Roman" w:eastAsia="Times New Roman" w:hAnsi="Times New Roman" w:cs="Times New Roman"/>
          <w:b w:val="0"/>
          <w:bCs w:val="0"/>
          <w:color w:val="000000"/>
          <w:sz w:val="27"/>
          <w:szCs w:val="27"/>
          <w:u w:val="none"/>
          <w:rtl/>
          <w:lang w:bidi="he-IL"/>
        </w:rPr>
        <w:t xml:space="preserve"> הָרָה וְיָצְאוּ יְלָדֶיהָ וְלֹא יִהְיֶה אָסוֹן עָנוֹשׁ </w:t>
      </w:r>
      <w:proofErr w:type="spellStart"/>
      <w:r w:rsidRPr="00F53062">
        <w:rPr>
          <w:rFonts w:ascii="Times New Roman" w:eastAsia="Times New Roman" w:hAnsi="Times New Roman" w:cs="Times New Roman"/>
          <w:b w:val="0"/>
          <w:bCs w:val="0"/>
          <w:color w:val="000000"/>
          <w:sz w:val="27"/>
          <w:szCs w:val="27"/>
          <w:u w:val="none"/>
          <w:rtl/>
          <w:lang w:bidi="he-IL"/>
        </w:rPr>
        <w:t>יֵעָנֵשׁ</w:t>
      </w:r>
      <w:proofErr w:type="spellEnd"/>
      <w:r w:rsidRPr="00F53062">
        <w:rPr>
          <w:rFonts w:ascii="Times New Roman" w:eastAsia="Times New Roman" w:hAnsi="Times New Roman" w:cs="Times New Roman"/>
          <w:b w:val="0"/>
          <w:bCs w:val="0"/>
          <w:color w:val="000000"/>
          <w:sz w:val="27"/>
          <w:szCs w:val="27"/>
          <w:u w:val="none"/>
          <w:rtl/>
          <w:lang w:bidi="he-IL"/>
        </w:rPr>
        <w:t xml:space="preserve"> כַּאֲשֶׁר יָשִׁית עָלָיו בַּעַל </w:t>
      </w:r>
      <w:proofErr w:type="spellStart"/>
      <w:r w:rsidRPr="00F53062">
        <w:rPr>
          <w:rFonts w:ascii="Times New Roman" w:eastAsia="Times New Roman" w:hAnsi="Times New Roman" w:cs="Times New Roman"/>
          <w:b w:val="0"/>
          <w:bCs w:val="0"/>
          <w:color w:val="000000"/>
          <w:sz w:val="27"/>
          <w:szCs w:val="27"/>
          <w:u w:val="none"/>
          <w:rtl/>
          <w:lang w:bidi="he-IL"/>
        </w:rPr>
        <w:t>הָאִשָּׁה</w:t>
      </w:r>
      <w:proofErr w:type="spellEnd"/>
      <w:r w:rsidRPr="00F53062">
        <w:rPr>
          <w:rFonts w:ascii="Times New Roman" w:eastAsia="Times New Roman" w:hAnsi="Times New Roman" w:cs="Times New Roman"/>
          <w:b w:val="0"/>
          <w:bCs w:val="0"/>
          <w:color w:val="000000"/>
          <w:sz w:val="27"/>
          <w:szCs w:val="27"/>
          <w:u w:val="none"/>
          <w:rtl/>
          <w:lang w:bidi="he-IL"/>
        </w:rPr>
        <w:t xml:space="preserve"> וְנָתַן </w:t>
      </w:r>
      <w:proofErr w:type="spellStart"/>
      <w:r w:rsidRPr="00F53062">
        <w:rPr>
          <w:rFonts w:ascii="Times New Roman" w:eastAsia="Times New Roman" w:hAnsi="Times New Roman" w:cs="Times New Roman"/>
          <w:b w:val="0"/>
          <w:bCs w:val="0"/>
          <w:color w:val="000000"/>
          <w:sz w:val="27"/>
          <w:szCs w:val="27"/>
          <w:u w:val="none"/>
          <w:rtl/>
          <w:lang w:bidi="he-IL"/>
        </w:rPr>
        <w:t>בִּפְלִלִים</w:t>
      </w:r>
      <w:proofErr w:type="spellEnd"/>
      <w:r w:rsidRPr="00F53062">
        <w:rPr>
          <w:rFonts w:ascii="Times New Roman" w:eastAsia="Times New Roman" w:hAnsi="Times New Roman" w:cs="Times New Roman"/>
          <w:b w:val="0"/>
          <w:bCs w:val="0"/>
          <w:color w:val="000000"/>
          <w:sz w:val="27"/>
          <w:szCs w:val="27"/>
          <w:u w:val="none"/>
          <w:rtl/>
          <w:lang w:bidi="he-IL"/>
        </w:rPr>
        <w:t>.</w:t>
      </w:r>
    </w:p>
    <w:p w:rsidR="00F53062" w:rsidRPr="00F53062" w:rsidRDefault="00F53062" w:rsidP="00F53062">
      <w:pPr>
        <w:shd w:val="clear" w:color="auto" w:fill="FFFFFF"/>
        <w:spacing w:after="0" w:line="336" w:lineRule="atLeast"/>
        <w:rPr>
          <w:rFonts w:ascii="Times New Roman" w:eastAsia="Times New Roman" w:hAnsi="Times New Roman" w:cs="Times New Roman"/>
          <w:b w:val="0"/>
          <w:bCs w:val="0"/>
          <w:color w:val="000000"/>
          <w:sz w:val="18"/>
          <w:szCs w:val="18"/>
          <w:u w:val="none"/>
          <w:rtl/>
        </w:rPr>
      </w:pPr>
      <w:r w:rsidRPr="00F53062">
        <w:rPr>
          <w:rFonts w:ascii="Times New Roman" w:eastAsia="Times New Roman" w:hAnsi="Times New Roman" w:cs="Times New Roman"/>
          <w:b w:val="0"/>
          <w:bCs w:val="0"/>
          <w:color w:val="000000"/>
          <w:sz w:val="18"/>
          <w:szCs w:val="18"/>
          <w:u w:val="none"/>
        </w:rPr>
        <w:t> </w:t>
      </w:r>
    </w:p>
    <w:p w:rsid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B22222"/>
          <w:sz w:val="18"/>
          <w:szCs w:val="18"/>
          <w:u w:val="none"/>
          <w:vertAlign w:val="superscript"/>
        </w:rPr>
      </w:pPr>
      <w:proofErr w:type="spellStart"/>
      <w:r w:rsidRPr="00F53062">
        <w:rPr>
          <w:rFonts w:ascii="Times New Roman" w:eastAsia="Times New Roman" w:hAnsi="Times New Roman" w:cs="Times New Roman"/>
          <w:b w:val="0"/>
          <w:bCs w:val="0"/>
          <w:color w:val="000000"/>
          <w:sz w:val="14"/>
          <w:szCs w:val="14"/>
          <w:u w:val="none"/>
          <w:vertAlign w:val="superscript"/>
        </w:rPr>
        <w:t>Exod</w:t>
      </w:r>
      <w:proofErr w:type="spellEnd"/>
      <w:r w:rsidRPr="00F53062">
        <w:rPr>
          <w:rFonts w:ascii="Times New Roman" w:eastAsia="Times New Roman" w:hAnsi="Times New Roman" w:cs="Times New Roman"/>
          <w:b w:val="0"/>
          <w:bCs w:val="0"/>
          <w:color w:val="000000"/>
          <w:sz w:val="14"/>
          <w:szCs w:val="14"/>
          <w:u w:val="none"/>
          <w:vertAlign w:val="superscript"/>
        </w:rPr>
        <w:t xml:space="preserve"> 21:22</w:t>
      </w:r>
      <w:r w:rsidRPr="00F53062">
        <w:rPr>
          <w:rFonts w:ascii="Times New Roman" w:eastAsia="Times New Roman" w:hAnsi="Times New Roman" w:cs="Times New Roman"/>
          <w:b w:val="0"/>
          <w:bCs w:val="0"/>
          <w:color w:val="000000"/>
          <w:sz w:val="27"/>
          <w:szCs w:val="27"/>
          <w:u w:val="none"/>
        </w:rPr>
        <w:t> If men struggle and they knock a pregnant woman and her fetus comes out but (the woman) suffers no misfortune, he shall be fined as the husband of the woman exacts from him and he shall pay </w:t>
      </w:r>
      <w:proofErr w:type="spellStart"/>
      <w:r w:rsidRPr="00F53062">
        <w:rPr>
          <w:rFonts w:ascii="Times New Roman" w:eastAsia="Times New Roman" w:hAnsi="Times New Roman" w:cs="Times New Roman"/>
          <w:b w:val="0"/>
          <w:bCs w:val="0"/>
          <w:i/>
          <w:iCs/>
          <w:color w:val="000000"/>
          <w:sz w:val="27"/>
          <w:u w:val="none"/>
        </w:rPr>
        <w:t>bpllm</w:t>
      </w:r>
      <w:proofErr w:type="spellEnd"/>
      <w:r w:rsidRPr="00F53062">
        <w:rPr>
          <w:rFonts w:ascii="Times New Roman" w:eastAsia="Times New Roman" w:hAnsi="Times New Roman" w:cs="Times New Roman"/>
          <w:b w:val="0"/>
          <w:bCs w:val="0"/>
          <w:color w:val="000000"/>
          <w:sz w:val="27"/>
          <w:szCs w:val="27"/>
          <w:u w:val="none"/>
        </w:rPr>
        <w:t> (for the fetus?).</w:t>
      </w:r>
      <w:r w:rsidRPr="00F53062">
        <w:rPr>
          <w:rFonts w:ascii="Times New Roman" w:eastAsia="Times New Roman" w:hAnsi="Times New Roman" w:cs="Times New Roman"/>
          <w:b w:val="0"/>
          <w:bCs w:val="0"/>
          <w:color w:val="B22222"/>
          <w:sz w:val="18"/>
          <w:szCs w:val="18"/>
          <w:u w:val="none"/>
          <w:vertAlign w:val="superscript"/>
        </w:rPr>
        <w:t>[10]</w:t>
      </w:r>
    </w:p>
    <w:p w:rsidR="00F53062" w:rsidRP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
    <w:p w:rsidR="00F53062" w:rsidRPr="00F53062" w:rsidRDefault="00F53062" w:rsidP="00F53062">
      <w:pPr>
        <w:shd w:val="clear" w:color="auto" w:fill="FFFFFF"/>
        <w:spacing w:before="120" w:after="120" w:line="360" w:lineRule="atLeast"/>
        <w:outlineLvl w:val="3"/>
        <w:rPr>
          <w:rFonts w:ascii="Times New Roman" w:eastAsia="Times New Roman" w:hAnsi="Times New Roman" w:cs="Times New Roman"/>
          <w:b w:val="0"/>
          <w:bCs w:val="0"/>
          <w:color w:val="000000"/>
          <w:u w:val="none"/>
        </w:rPr>
      </w:pPr>
      <w:r w:rsidRPr="00F53062">
        <w:rPr>
          <w:rFonts w:ascii="Times New Roman" w:eastAsia="Times New Roman" w:hAnsi="Times New Roman" w:cs="Times New Roman"/>
          <w:b w:val="0"/>
          <w:bCs w:val="0"/>
          <w:color w:val="000000"/>
          <w:sz w:val="27"/>
          <w:szCs w:val="27"/>
          <w:u w:val="none"/>
        </w:rPr>
        <w:t xml:space="preserve">Miscarriage law 2 (bridge to </w:t>
      </w:r>
      <w:proofErr w:type="spellStart"/>
      <w:r w:rsidRPr="00F53062">
        <w:rPr>
          <w:rFonts w:ascii="Times New Roman" w:eastAsia="Times New Roman" w:hAnsi="Times New Roman" w:cs="Times New Roman"/>
          <w:b w:val="0"/>
          <w:bCs w:val="0"/>
          <w:color w:val="000000"/>
          <w:sz w:val="27"/>
          <w:szCs w:val="27"/>
          <w:u w:val="none"/>
        </w:rPr>
        <w:t>talion</w:t>
      </w:r>
      <w:proofErr w:type="spellEnd"/>
      <w:r w:rsidRPr="00F53062">
        <w:rPr>
          <w:rFonts w:ascii="Times New Roman" w:eastAsia="Times New Roman" w:hAnsi="Times New Roman" w:cs="Times New Roman"/>
          <w:b w:val="0"/>
          <w:bCs w:val="0"/>
          <w:color w:val="000000"/>
          <w:sz w:val="27"/>
          <w:szCs w:val="27"/>
          <w:u w:val="none"/>
        </w:rPr>
        <w:t>)</w:t>
      </w:r>
    </w:p>
    <w:p w:rsidR="00F53062" w:rsidRPr="00F53062" w:rsidRDefault="00F53062" w:rsidP="00F53062">
      <w:pPr>
        <w:shd w:val="clear" w:color="auto" w:fill="FFFFFF"/>
        <w:bidi/>
        <w:spacing w:after="100" w:line="372" w:lineRule="atLeast"/>
        <w:textAlignment w:val="top"/>
        <w:rPr>
          <w:rFonts w:ascii="Times New Roman" w:eastAsia="Times New Roman" w:hAnsi="Times New Roman" w:cs="Times New Roman"/>
          <w:b w:val="0"/>
          <w:bCs w:val="0"/>
          <w:color w:val="000000"/>
          <w:sz w:val="20"/>
          <w:szCs w:val="20"/>
          <w:u w:val="none"/>
        </w:rPr>
      </w:pPr>
      <w:proofErr w:type="spellStart"/>
      <w:r w:rsidRPr="00F53062">
        <w:rPr>
          <w:rFonts w:ascii="Times New Roman" w:eastAsia="Times New Roman" w:hAnsi="Times New Roman" w:cs="Times New Roman"/>
          <w:b w:val="0"/>
          <w:bCs w:val="0"/>
          <w:color w:val="000000"/>
          <w:sz w:val="15"/>
          <w:szCs w:val="15"/>
          <w:u w:val="none"/>
          <w:vertAlign w:val="superscript"/>
          <w:rtl/>
          <w:lang w:bidi="he-IL"/>
        </w:rPr>
        <w:lastRenderedPageBreak/>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כג</w:t>
      </w:r>
      <w:proofErr w:type="spellEnd"/>
      <w:r w:rsidRPr="00F53062">
        <w:rPr>
          <w:rFonts w:ascii="Times New Roman" w:eastAsia="Times New Roman" w:hAnsi="Times New Roman" w:cs="Times New Roman"/>
          <w:b w:val="0"/>
          <w:bCs w:val="0"/>
          <w:color w:val="000000"/>
          <w:sz w:val="27"/>
          <w:szCs w:val="27"/>
          <w:u w:val="none"/>
          <w:rtl/>
        </w:rPr>
        <w:t> </w:t>
      </w:r>
      <w:r w:rsidRPr="00F53062">
        <w:rPr>
          <w:rFonts w:ascii="Times New Roman" w:eastAsia="Times New Roman" w:hAnsi="Times New Roman" w:cs="Times New Roman"/>
          <w:b w:val="0"/>
          <w:bCs w:val="0"/>
          <w:color w:val="000000"/>
          <w:sz w:val="27"/>
          <w:szCs w:val="27"/>
          <w:u w:val="none"/>
          <w:rtl/>
          <w:lang w:bidi="he-IL"/>
        </w:rPr>
        <w:t xml:space="preserve">וְאִם אָסוֹן יִהְיֶה </w:t>
      </w:r>
      <w:proofErr w:type="spellStart"/>
      <w:r w:rsidRPr="00F53062">
        <w:rPr>
          <w:rFonts w:ascii="Times New Roman" w:eastAsia="Times New Roman" w:hAnsi="Times New Roman" w:cs="Times New Roman"/>
          <w:b w:val="0"/>
          <w:bCs w:val="0"/>
          <w:color w:val="000000"/>
          <w:sz w:val="27"/>
          <w:szCs w:val="27"/>
          <w:u w:val="none"/>
          <w:rtl/>
          <w:lang w:bidi="he-IL"/>
        </w:rPr>
        <w:t>וְנָתַתָּה</w:t>
      </w:r>
      <w:proofErr w:type="spellEnd"/>
      <w:r w:rsidRPr="00F53062">
        <w:rPr>
          <w:rFonts w:ascii="Times New Roman" w:eastAsia="Times New Roman" w:hAnsi="Times New Roman" w:cs="Times New Roman"/>
          <w:b w:val="0"/>
          <w:bCs w:val="0"/>
          <w:color w:val="000000"/>
          <w:sz w:val="27"/>
          <w:szCs w:val="27"/>
          <w:u w:val="none"/>
          <w:rtl/>
          <w:lang w:bidi="he-IL"/>
        </w:rPr>
        <w:t xml:space="preserve"> נֶפֶשׁ תַּחַת נָפֶשׁ.</w:t>
      </w:r>
    </w:p>
    <w:p w:rsidR="00F53062" w:rsidRPr="00F53062" w:rsidRDefault="00F53062" w:rsidP="00F53062">
      <w:pPr>
        <w:shd w:val="clear" w:color="auto" w:fill="FFFFFF"/>
        <w:spacing w:after="0" w:line="336" w:lineRule="atLeast"/>
        <w:rPr>
          <w:rFonts w:ascii="Times New Roman" w:eastAsia="Times New Roman" w:hAnsi="Times New Roman" w:cs="Times New Roman"/>
          <w:b w:val="0"/>
          <w:bCs w:val="0"/>
          <w:color w:val="000000"/>
          <w:sz w:val="18"/>
          <w:szCs w:val="18"/>
          <w:u w:val="none"/>
          <w:rtl/>
        </w:rPr>
      </w:pPr>
      <w:r w:rsidRPr="00F53062">
        <w:rPr>
          <w:rFonts w:ascii="Times New Roman" w:eastAsia="Times New Roman" w:hAnsi="Times New Roman" w:cs="Times New Roman"/>
          <w:b w:val="0"/>
          <w:bCs w:val="0"/>
          <w:color w:val="000000"/>
          <w:sz w:val="18"/>
          <w:szCs w:val="18"/>
          <w:u w:val="none"/>
        </w:rPr>
        <w:t> </w:t>
      </w:r>
    </w:p>
    <w:p w:rsid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27"/>
          <w:szCs w:val="27"/>
          <w:u w:val="none"/>
        </w:rPr>
      </w:pPr>
      <w:r w:rsidRPr="00F53062">
        <w:rPr>
          <w:rFonts w:ascii="Times New Roman" w:eastAsia="Times New Roman" w:hAnsi="Times New Roman" w:cs="Times New Roman"/>
          <w:b w:val="0"/>
          <w:bCs w:val="0"/>
          <w:color w:val="000000"/>
          <w:sz w:val="14"/>
          <w:szCs w:val="14"/>
          <w:u w:val="none"/>
          <w:vertAlign w:val="superscript"/>
        </w:rPr>
        <w:t>21:23</w:t>
      </w:r>
      <w:r w:rsidRPr="00F53062">
        <w:rPr>
          <w:rFonts w:ascii="Times New Roman" w:eastAsia="Times New Roman" w:hAnsi="Times New Roman" w:cs="Times New Roman"/>
          <w:b w:val="0"/>
          <w:bCs w:val="0"/>
          <w:color w:val="000000"/>
          <w:sz w:val="27"/>
          <w:szCs w:val="27"/>
          <w:u w:val="none"/>
        </w:rPr>
        <w:t> </w:t>
      </w:r>
      <w:proofErr w:type="gramStart"/>
      <w:r w:rsidRPr="00F53062">
        <w:rPr>
          <w:rFonts w:ascii="Times New Roman" w:eastAsia="Times New Roman" w:hAnsi="Times New Roman" w:cs="Times New Roman"/>
          <w:b w:val="0"/>
          <w:bCs w:val="0"/>
          <w:color w:val="000000"/>
          <w:sz w:val="27"/>
          <w:szCs w:val="27"/>
          <w:u w:val="none"/>
        </w:rPr>
        <w:t>If</w:t>
      </w:r>
      <w:proofErr w:type="gramEnd"/>
      <w:r w:rsidRPr="00F53062">
        <w:rPr>
          <w:rFonts w:ascii="Times New Roman" w:eastAsia="Times New Roman" w:hAnsi="Times New Roman" w:cs="Times New Roman"/>
          <w:b w:val="0"/>
          <w:bCs w:val="0"/>
          <w:color w:val="000000"/>
          <w:sz w:val="27"/>
          <w:szCs w:val="27"/>
          <w:u w:val="none"/>
        </w:rPr>
        <w:t xml:space="preserve"> (the woman) does suffer misfortune, you shall pay life for life.</w:t>
      </w:r>
    </w:p>
    <w:p w:rsidR="00F53062" w:rsidRP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
    <w:p w:rsidR="00F53062" w:rsidRPr="00F53062" w:rsidRDefault="00F53062" w:rsidP="00F53062">
      <w:pPr>
        <w:shd w:val="clear" w:color="auto" w:fill="FFFFFF"/>
        <w:spacing w:before="120" w:after="120" w:line="360" w:lineRule="atLeast"/>
        <w:outlineLvl w:val="3"/>
        <w:rPr>
          <w:rFonts w:ascii="Times New Roman" w:eastAsia="Times New Roman" w:hAnsi="Times New Roman" w:cs="Times New Roman"/>
          <w:b w:val="0"/>
          <w:bCs w:val="0"/>
          <w:color w:val="000000"/>
          <w:u w:val="none"/>
        </w:rPr>
      </w:pPr>
      <w:proofErr w:type="spellStart"/>
      <w:r w:rsidRPr="00F53062">
        <w:rPr>
          <w:rFonts w:ascii="Times New Roman" w:eastAsia="Times New Roman" w:hAnsi="Times New Roman" w:cs="Times New Roman"/>
          <w:b w:val="0"/>
          <w:bCs w:val="0"/>
          <w:i/>
          <w:iCs/>
          <w:color w:val="000000"/>
          <w:sz w:val="27"/>
          <w:u w:val="none"/>
        </w:rPr>
        <w:t>Lex</w:t>
      </w:r>
      <w:proofErr w:type="spellEnd"/>
      <w:r w:rsidRPr="00F53062">
        <w:rPr>
          <w:rFonts w:ascii="Times New Roman" w:eastAsia="Times New Roman" w:hAnsi="Times New Roman" w:cs="Times New Roman"/>
          <w:b w:val="0"/>
          <w:bCs w:val="0"/>
          <w:i/>
          <w:iCs/>
          <w:color w:val="000000"/>
          <w:sz w:val="27"/>
          <w:u w:val="none"/>
        </w:rPr>
        <w:t xml:space="preserve"> </w:t>
      </w:r>
      <w:proofErr w:type="spellStart"/>
      <w:proofErr w:type="gramStart"/>
      <w:r w:rsidRPr="00F53062">
        <w:rPr>
          <w:rFonts w:ascii="Times New Roman" w:eastAsia="Times New Roman" w:hAnsi="Times New Roman" w:cs="Times New Roman"/>
          <w:b w:val="0"/>
          <w:bCs w:val="0"/>
          <w:i/>
          <w:iCs/>
          <w:color w:val="000000"/>
          <w:sz w:val="27"/>
          <w:u w:val="none"/>
        </w:rPr>
        <w:t>Talionis</w:t>
      </w:r>
      <w:proofErr w:type="spellEnd"/>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11]</w:t>
      </w:r>
      <w:r w:rsidRPr="00F53062">
        <w:rPr>
          <w:rFonts w:ascii="Times New Roman" w:eastAsia="Times New Roman" w:hAnsi="Times New Roman" w:cs="Times New Roman"/>
          <w:b w:val="0"/>
          <w:bCs w:val="0"/>
          <w:color w:val="000000"/>
          <w:u w:val="none"/>
        </w:rPr>
        <w:br/>
      </w:r>
    </w:p>
    <w:p w:rsidR="00F53062" w:rsidRPr="00F53062" w:rsidRDefault="00F53062" w:rsidP="00F53062">
      <w:pPr>
        <w:shd w:val="clear" w:color="auto" w:fill="FFFFFF"/>
        <w:bidi/>
        <w:spacing w:after="100" w:line="372" w:lineRule="atLeast"/>
        <w:textAlignment w:val="top"/>
        <w:rPr>
          <w:rFonts w:ascii="Times New Roman" w:eastAsia="Times New Roman" w:hAnsi="Times New Roman" w:cs="Times New Roman"/>
          <w:b w:val="0"/>
          <w:bCs w:val="0"/>
          <w:color w:val="000000"/>
          <w:sz w:val="20"/>
          <w:szCs w:val="20"/>
          <w:u w:val="none"/>
        </w:rPr>
      </w:pP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כד</w:t>
      </w:r>
      <w:r w:rsidRPr="00F53062">
        <w:rPr>
          <w:rFonts w:ascii="Times New Roman" w:eastAsia="Times New Roman" w:hAnsi="Times New Roman" w:cs="Times New Roman"/>
          <w:b w:val="0"/>
          <w:bCs w:val="0"/>
          <w:color w:val="000000"/>
          <w:sz w:val="20"/>
          <w:szCs w:val="20"/>
          <w:u w:val="none"/>
          <w:rtl/>
          <w:lang w:bidi="he-IL"/>
        </w:rPr>
        <w:t>עַיִן</w:t>
      </w:r>
      <w:proofErr w:type="spellEnd"/>
      <w:r w:rsidRPr="00F53062">
        <w:rPr>
          <w:rFonts w:ascii="Times New Roman" w:eastAsia="Times New Roman" w:hAnsi="Times New Roman" w:cs="Times New Roman"/>
          <w:b w:val="0"/>
          <w:bCs w:val="0"/>
          <w:color w:val="000000"/>
          <w:sz w:val="20"/>
          <w:szCs w:val="20"/>
          <w:u w:val="none"/>
          <w:rtl/>
          <w:lang w:bidi="he-IL"/>
        </w:rPr>
        <w:t xml:space="preserve"> תַּחַת עַיִן</w:t>
      </w:r>
      <w:r w:rsidRPr="00F53062">
        <w:rPr>
          <w:rFonts w:ascii="Times New Roman" w:eastAsia="Times New Roman" w:hAnsi="Times New Roman" w:cs="Times New Roman"/>
          <w:b w:val="0"/>
          <w:bCs w:val="0"/>
          <w:color w:val="000000"/>
          <w:sz w:val="20"/>
          <w:szCs w:val="20"/>
          <w:u w:val="none"/>
          <w:rtl/>
        </w:rPr>
        <w:br/>
      </w:r>
      <w:r w:rsidRPr="00F53062">
        <w:rPr>
          <w:rFonts w:ascii="Times New Roman" w:eastAsia="Times New Roman" w:hAnsi="Times New Roman" w:cs="Times New Roman"/>
          <w:b w:val="0"/>
          <w:bCs w:val="0"/>
          <w:color w:val="000000"/>
          <w:sz w:val="20"/>
          <w:szCs w:val="20"/>
          <w:u w:val="none"/>
          <w:rtl/>
          <w:lang w:bidi="he-IL"/>
        </w:rPr>
        <w:t>שֵׁן תַּחַת שֵׁן</w:t>
      </w:r>
      <w:r w:rsidRPr="00F53062">
        <w:rPr>
          <w:rFonts w:ascii="Times New Roman" w:eastAsia="Times New Roman" w:hAnsi="Times New Roman" w:cs="Times New Roman"/>
          <w:b w:val="0"/>
          <w:bCs w:val="0"/>
          <w:color w:val="000000"/>
          <w:sz w:val="20"/>
          <w:szCs w:val="20"/>
          <w:u w:val="none"/>
          <w:rtl/>
        </w:rPr>
        <w:br/>
      </w:r>
      <w:r w:rsidRPr="00F53062">
        <w:rPr>
          <w:rFonts w:ascii="Times New Roman" w:eastAsia="Times New Roman" w:hAnsi="Times New Roman" w:cs="Times New Roman"/>
          <w:b w:val="0"/>
          <w:bCs w:val="0"/>
          <w:color w:val="000000"/>
          <w:sz w:val="20"/>
          <w:szCs w:val="20"/>
          <w:u w:val="none"/>
          <w:rtl/>
          <w:lang w:bidi="he-IL"/>
        </w:rPr>
        <w:t>יָד תַּחַת יָד</w:t>
      </w:r>
      <w:r w:rsidRPr="00F53062">
        <w:rPr>
          <w:rFonts w:ascii="Times New Roman" w:eastAsia="Times New Roman" w:hAnsi="Times New Roman" w:cs="Times New Roman"/>
          <w:b w:val="0"/>
          <w:bCs w:val="0"/>
          <w:color w:val="000000"/>
          <w:sz w:val="20"/>
          <w:szCs w:val="20"/>
          <w:u w:val="none"/>
          <w:rtl/>
        </w:rPr>
        <w:br/>
      </w:r>
      <w:r w:rsidRPr="00F53062">
        <w:rPr>
          <w:rFonts w:ascii="Times New Roman" w:eastAsia="Times New Roman" w:hAnsi="Times New Roman" w:cs="Times New Roman"/>
          <w:b w:val="0"/>
          <w:bCs w:val="0"/>
          <w:color w:val="000000"/>
          <w:sz w:val="20"/>
          <w:szCs w:val="20"/>
          <w:u w:val="none"/>
          <w:rtl/>
          <w:lang w:bidi="he-IL"/>
        </w:rPr>
        <w:t>רֶגֶל תַּחַת רָגֶל.</w:t>
      </w:r>
      <w:r w:rsidRPr="00F53062">
        <w:rPr>
          <w:rFonts w:ascii="Times New Roman" w:eastAsia="Times New Roman" w:hAnsi="Times New Roman" w:cs="Times New Roman"/>
          <w:b w:val="0"/>
          <w:bCs w:val="0"/>
          <w:color w:val="000000"/>
          <w:sz w:val="20"/>
          <w:szCs w:val="20"/>
          <w:u w:val="none"/>
          <w:rtl/>
        </w:rPr>
        <w:br/>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:כה</w:t>
      </w:r>
      <w:r w:rsidRPr="00F53062">
        <w:rPr>
          <w:rFonts w:ascii="Times New Roman" w:eastAsia="Times New Roman" w:hAnsi="Times New Roman" w:cs="Times New Roman"/>
          <w:b w:val="0"/>
          <w:bCs w:val="0"/>
          <w:color w:val="000000"/>
          <w:sz w:val="20"/>
          <w:szCs w:val="20"/>
          <w:u w:val="none"/>
          <w:rtl/>
        </w:rPr>
        <w:t> </w:t>
      </w:r>
      <w:proofErr w:type="spellStart"/>
      <w:r w:rsidRPr="00F53062">
        <w:rPr>
          <w:rFonts w:ascii="Times New Roman" w:eastAsia="Times New Roman" w:hAnsi="Times New Roman" w:cs="Times New Roman"/>
          <w:b w:val="0"/>
          <w:bCs w:val="0"/>
          <w:color w:val="000000"/>
          <w:sz w:val="20"/>
          <w:szCs w:val="20"/>
          <w:u w:val="none"/>
          <w:rtl/>
          <w:lang w:bidi="he-IL"/>
        </w:rPr>
        <w:t>כְּוִיָּה</w:t>
      </w:r>
      <w:proofErr w:type="spellEnd"/>
      <w:r w:rsidRPr="00F53062">
        <w:rPr>
          <w:rFonts w:ascii="Times New Roman" w:eastAsia="Times New Roman" w:hAnsi="Times New Roman" w:cs="Times New Roman"/>
          <w:b w:val="0"/>
          <w:bCs w:val="0"/>
          <w:color w:val="000000"/>
          <w:sz w:val="20"/>
          <w:szCs w:val="20"/>
          <w:u w:val="none"/>
          <w:rtl/>
          <w:lang w:bidi="he-IL"/>
        </w:rPr>
        <w:t xml:space="preserve"> תַּחַת </w:t>
      </w:r>
      <w:proofErr w:type="spellStart"/>
      <w:r w:rsidRPr="00F53062">
        <w:rPr>
          <w:rFonts w:ascii="Times New Roman" w:eastAsia="Times New Roman" w:hAnsi="Times New Roman" w:cs="Times New Roman"/>
          <w:b w:val="0"/>
          <w:bCs w:val="0"/>
          <w:color w:val="000000"/>
          <w:sz w:val="20"/>
          <w:szCs w:val="20"/>
          <w:u w:val="none"/>
          <w:rtl/>
          <w:lang w:bidi="he-IL"/>
        </w:rPr>
        <w:t>כְּוִיָּה</w:t>
      </w:r>
      <w:proofErr w:type="spellEnd"/>
      <w:r w:rsidRPr="00F53062">
        <w:rPr>
          <w:rFonts w:ascii="Times New Roman" w:eastAsia="Times New Roman" w:hAnsi="Times New Roman" w:cs="Times New Roman"/>
          <w:b w:val="0"/>
          <w:bCs w:val="0"/>
          <w:color w:val="000000"/>
          <w:sz w:val="20"/>
          <w:szCs w:val="20"/>
          <w:u w:val="none"/>
          <w:rtl/>
        </w:rPr>
        <w:br/>
      </w:r>
      <w:r w:rsidRPr="00F53062">
        <w:rPr>
          <w:rFonts w:ascii="Times New Roman" w:eastAsia="Times New Roman" w:hAnsi="Times New Roman" w:cs="Times New Roman"/>
          <w:b w:val="0"/>
          <w:bCs w:val="0"/>
          <w:color w:val="000000"/>
          <w:sz w:val="20"/>
          <w:szCs w:val="20"/>
          <w:u w:val="none"/>
          <w:rtl/>
          <w:lang w:bidi="he-IL"/>
        </w:rPr>
        <w:t>פֶּצַע תַּחַת פָּצַע</w:t>
      </w:r>
      <w:r w:rsidRPr="00F53062">
        <w:rPr>
          <w:rFonts w:ascii="Times New Roman" w:eastAsia="Times New Roman" w:hAnsi="Times New Roman" w:cs="Times New Roman"/>
          <w:b w:val="0"/>
          <w:bCs w:val="0"/>
          <w:color w:val="000000"/>
          <w:sz w:val="20"/>
          <w:szCs w:val="20"/>
          <w:u w:val="none"/>
          <w:rtl/>
        </w:rPr>
        <w:br/>
      </w:r>
      <w:r w:rsidRPr="00F53062">
        <w:rPr>
          <w:rFonts w:ascii="Times New Roman" w:eastAsia="Times New Roman" w:hAnsi="Times New Roman" w:cs="Times New Roman"/>
          <w:b w:val="0"/>
          <w:bCs w:val="0"/>
          <w:color w:val="000000"/>
          <w:sz w:val="20"/>
          <w:szCs w:val="20"/>
          <w:u w:val="none"/>
          <w:rtl/>
          <w:lang w:bidi="he-IL"/>
        </w:rPr>
        <w:t>חַבּוּרָה תַּחַת חַבּוּרָה.</w:t>
      </w:r>
    </w:p>
    <w:p w:rsidR="00F53062" w:rsidRPr="00F53062" w:rsidRDefault="00F53062" w:rsidP="00F53062">
      <w:pPr>
        <w:shd w:val="clear" w:color="auto" w:fill="FFFFFF"/>
        <w:spacing w:after="0" w:line="336" w:lineRule="atLeast"/>
        <w:rPr>
          <w:rFonts w:ascii="Times New Roman" w:eastAsia="Times New Roman" w:hAnsi="Times New Roman" w:cs="Times New Roman"/>
          <w:b w:val="0"/>
          <w:bCs w:val="0"/>
          <w:color w:val="000000"/>
          <w:sz w:val="18"/>
          <w:szCs w:val="18"/>
          <w:u w:val="none"/>
          <w:rtl/>
        </w:rPr>
      </w:pPr>
      <w:r w:rsidRPr="00F53062">
        <w:rPr>
          <w:rFonts w:ascii="Times New Roman" w:eastAsia="Times New Roman" w:hAnsi="Times New Roman" w:cs="Times New Roman"/>
          <w:b w:val="0"/>
          <w:bCs w:val="0"/>
          <w:color w:val="000000"/>
          <w:sz w:val="18"/>
          <w:szCs w:val="18"/>
          <w:u w:val="none"/>
        </w:rPr>
        <w:t> </w:t>
      </w:r>
    </w:p>
    <w:p w:rsid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r w:rsidRPr="00F53062">
        <w:rPr>
          <w:rFonts w:ascii="Times New Roman" w:eastAsia="Times New Roman" w:hAnsi="Times New Roman" w:cs="Times New Roman"/>
          <w:b w:val="0"/>
          <w:bCs w:val="0"/>
          <w:color w:val="000000"/>
          <w:sz w:val="14"/>
          <w:szCs w:val="14"/>
          <w:u w:val="none"/>
          <w:vertAlign w:val="superscript"/>
        </w:rPr>
        <w:t>21:24</w:t>
      </w:r>
      <w:r w:rsidRPr="00F53062">
        <w:rPr>
          <w:rFonts w:ascii="Times New Roman" w:eastAsia="Times New Roman" w:hAnsi="Times New Roman" w:cs="Times New Roman"/>
          <w:b w:val="0"/>
          <w:bCs w:val="0"/>
          <w:color w:val="000000"/>
          <w:sz w:val="18"/>
          <w:szCs w:val="18"/>
          <w:u w:val="none"/>
        </w:rPr>
        <w:t> Eye for eye,</w:t>
      </w:r>
      <w:r w:rsidRPr="00F53062">
        <w:rPr>
          <w:rFonts w:ascii="Times New Roman" w:eastAsia="Times New Roman" w:hAnsi="Times New Roman" w:cs="Times New Roman"/>
          <w:b w:val="0"/>
          <w:bCs w:val="0"/>
          <w:color w:val="000000"/>
          <w:sz w:val="18"/>
          <w:szCs w:val="18"/>
          <w:u w:val="none"/>
        </w:rPr>
        <w:br/>
        <w:t>tooth for tooth,</w:t>
      </w:r>
      <w:r w:rsidRPr="00F53062">
        <w:rPr>
          <w:rFonts w:ascii="Times New Roman" w:eastAsia="Times New Roman" w:hAnsi="Times New Roman" w:cs="Times New Roman"/>
          <w:b w:val="0"/>
          <w:bCs w:val="0"/>
          <w:color w:val="000000"/>
          <w:sz w:val="18"/>
          <w:szCs w:val="18"/>
          <w:u w:val="none"/>
        </w:rPr>
        <w:br/>
        <w:t>arm for arm,</w:t>
      </w:r>
      <w:r w:rsidRPr="00F53062">
        <w:rPr>
          <w:rFonts w:ascii="Times New Roman" w:eastAsia="Times New Roman" w:hAnsi="Times New Roman" w:cs="Times New Roman"/>
          <w:b w:val="0"/>
          <w:bCs w:val="0"/>
          <w:color w:val="000000"/>
          <w:sz w:val="18"/>
          <w:szCs w:val="18"/>
          <w:u w:val="none"/>
        </w:rPr>
        <w:br/>
        <w:t>leg for leg,</w:t>
      </w:r>
      <w:r w:rsidRPr="00F53062">
        <w:rPr>
          <w:rFonts w:ascii="Times New Roman" w:eastAsia="Times New Roman" w:hAnsi="Times New Roman" w:cs="Times New Roman"/>
          <w:b w:val="0"/>
          <w:bCs w:val="0"/>
          <w:color w:val="000000"/>
          <w:sz w:val="18"/>
          <w:szCs w:val="18"/>
          <w:u w:val="none"/>
        </w:rPr>
        <w:br/>
      </w:r>
      <w:r w:rsidRPr="00F53062">
        <w:rPr>
          <w:rFonts w:ascii="Times New Roman" w:eastAsia="Times New Roman" w:hAnsi="Times New Roman" w:cs="Times New Roman"/>
          <w:b w:val="0"/>
          <w:bCs w:val="0"/>
          <w:color w:val="000000"/>
          <w:sz w:val="14"/>
          <w:szCs w:val="14"/>
          <w:u w:val="none"/>
          <w:vertAlign w:val="superscript"/>
        </w:rPr>
        <w:t>21:25 </w:t>
      </w:r>
      <w:r w:rsidRPr="00F53062">
        <w:rPr>
          <w:rFonts w:ascii="Times New Roman" w:eastAsia="Times New Roman" w:hAnsi="Times New Roman" w:cs="Times New Roman"/>
          <w:b w:val="0"/>
          <w:bCs w:val="0"/>
          <w:color w:val="000000"/>
          <w:sz w:val="18"/>
          <w:szCs w:val="18"/>
          <w:u w:val="none"/>
        </w:rPr>
        <w:t>burn for burn,</w:t>
      </w:r>
      <w:r w:rsidRPr="00F53062">
        <w:rPr>
          <w:rFonts w:ascii="Times New Roman" w:eastAsia="Times New Roman" w:hAnsi="Times New Roman" w:cs="Times New Roman"/>
          <w:b w:val="0"/>
          <w:bCs w:val="0"/>
          <w:color w:val="000000"/>
          <w:sz w:val="18"/>
          <w:szCs w:val="18"/>
          <w:u w:val="none"/>
        </w:rPr>
        <w:br/>
        <w:t>injury for injury,</w:t>
      </w:r>
      <w:r w:rsidRPr="00F53062">
        <w:rPr>
          <w:rFonts w:ascii="Times New Roman" w:eastAsia="Times New Roman" w:hAnsi="Times New Roman" w:cs="Times New Roman"/>
          <w:b w:val="0"/>
          <w:bCs w:val="0"/>
          <w:color w:val="000000"/>
          <w:sz w:val="18"/>
          <w:szCs w:val="18"/>
          <w:u w:val="none"/>
        </w:rPr>
        <w:br/>
        <w:t>wound for wound.</w:t>
      </w:r>
    </w:p>
    <w:p w:rsidR="00F53062" w:rsidRP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CC’s laws deal with the same topics as LH in the same order. The first laws (A) treat miscarriage alone, and the second laws (B) add the death (or injury) of the mother. The chief difference is in the second laws. LH 210 has a penalty of vicarious punishment. Because the victim of the assault was the “daughter of a man,” the daughter of the assailant is to be put to death. CC lacks this punishment and sets down instead a punishment of “life for a life,” followed by the law of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proofErr w:type="spellStart"/>
      <w:r w:rsidRPr="00F53062">
        <w:rPr>
          <w:rFonts w:ascii="Times New Roman" w:eastAsia="Times New Roman" w:hAnsi="Times New Roman" w:cs="Times New Roman"/>
          <w:b w:val="0"/>
          <w:bCs w:val="0"/>
          <w:color w:val="000000"/>
          <w:sz w:val="30"/>
          <w:szCs w:val="30"/>
          <w:u w:val="none"/>
        </w:rPr>
        <w:t>Talion</w:t>
      </w:r>
      <w:proofErr w:type="spellEnd"/>
      <w:r w:rsidRPr="00F53062">
        <w:rPr>
          <w:rFonts w:ascii="Times New Roman" w:eastAsia="Times New Roman" w:hAnsi="Times New Roman" w:cs="Times New Roman"/>
          <w:b w:val="0"/>
          <w:bCs w:val="0"/>
          <w:color w:val="000000"/>
          <w:sz w:val="30"/>
          <w:szCs w:val="30"/>
          <w:u w:val="none"/>
        </w:rPr>
        <w:t>: A Replacement Penalty in the Covenant Code</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reads in this comparative context as a replacement for Hammurabi’s penalty of vicarious punishment. That it is a replacement is partly indicated by the artificial attachment of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It looks as if it has been imposed in its context, abruptly shifting the topic of legal conversation. It begins with a second person </w:t>
      </w:r>
      <w:r w:rsidRPr="00F53062">
        <w:rPr>
          <w:rFonts w:ascii="Times New Roman" w:eastAsia="Times New Roman" w:hAnsi="Times New Roman" w:cs="Times New Roman"/>
          <w:b w:val="0"/>
          <w:bCs w:val="0"/>
          <w:color w:val="000000"/>
          <w:sz w:val="20"/>
          <w:szCs w:val="20"/>
          <w:u w:val="none"/>
        </w:rPr>
        <w:lastRenderedPageBreak/>
        <w:t xml:space="preserve">verb (“you shall give”), rather than a third person verb consistent with the context otherwise. Its list of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dyads (“X for X”) also covers two and a half verses (vv. 23a–25)</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12]</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The goring ox </w:t>
      </w:r>
      <w:proofErr w:type="gramStart"/>
      <w:r w:rsidRPr="00F53062">
        <w:rPr>
          <w:rFonts w:ascii="Times New Roman" w:eastAsia="Times New Roman" w:hAnsi="Times New Roman" w:cs="Times New Roman"/>
          <w:b w:val="0"/>
          <w:bCs w:val="0"/>
          <w:color w:val="000000"/>
          <w:sz w:val="20"/>
          <w:szCs w:val="20"/>
          <w:u w:val="none"/>
        </w:rPr>
        <w:t>law a few verses later provide</w:t>
      </w:r>
      <w:proofErr w:type="gramEnd"/>
      <w:r w:rsidRPr="00F53062">
        <w:rPr>
          <w:rFonts w:ascii="Times New Roman" w:eastAsia="Times New Roman" w:hAnsi="Times New Roman" w:cs="Times New Roman"/>
          <w:b w:val="0"/>
          <w:bCs w:val="0"/>
          <w:color w:val="000000"/>
          <w:sz w:val="20"/>
          <w:szCs w:val="20"/>
          <w:u w:val="none"/>
        </w:rPr>
        <w:t xml:space="preserve"> support for this interpretation. This says that if a child is a victim of goring, the case is to be handled like the foregoing case, i.e., the case for an adult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21:31; see the appendix), explicitly rejecting vicarious punishment through the perpetrator’s child.</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Further evidence that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is a replacement is the fact that LH itself has a set of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just a few paragraphs before its miscarriage laws.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has substantial correspondences with these and looks as if it drew from them to craft its replacement penalty.</w:t>
      </w:r>
    </w:p>
    <w:p w:rsidR="00F53062" w:rsidRPr="00F53062" w:rsidRDefault="00F53062" w:rsidP="00F53062">
      <w:pPr>
        <w:shd w:val="clear" w:color="auto" w:fill="FFFFFF"/>
        <w:spacing w:before="240" w:after="120" w:line="360" w:lineRule="atLeast"/>
        <w:outlineLvl w:val="2"/>
        <w:rPr>
          <w:rFonts w:ascii="Times New Roman" w:eastAsia="Times New Roman" w:hAnsi="Times New Roman" w:cs="Times New Roman"/>
          <w:b w:val="0"/>
          <w:bCs w:val="0"/>
          <w:color w:val="000000"/>
          <w:sz w:val="25"/>
          <w:szCs w:val="25"/>
          <w:u w:val="none"/>
        </w:rPr>
      </w:pPr>
      <w:r w:rsidRPr="00F53062">
        <w:rPr>
          <w:rFonts w:ascii="Times New Roman" w:eastAsia="Times New Roman" w:hAnsi="Times New Roman" w:cs="Times New Roman"/>
          <w:b w:val="0"/>
          <w:bCs w:val="0"/>
          <w:color w:val="000000"/>
          <w:sz w:val="25"/>
          <w:szCs w:val="25"/>
          <w:u w:val="none"/>
        </w:rPr>
        <w:t xml:space="preserve">Hammurabi’s </w:t>
      </w:r>
      <w:proofErr w:type="spellStart"/>
      <w:r w:rsidRPr="00F53062">
        <w:rPr>
          <w:rFonts w:ascii="Times New Roman" w:eastAsia="Times New Roman" w:hAnsi="Times New Roman" w:cs="Times New Roman"/>
          <w:b w:val="0"/>
          <w:bCs w:val="0"/>
          <w:color w:val="000000"/>
          <w:sz w:val="25"/>
          <w:szCs w:val="25"/>
          <w:u w:val="none"/>
        </w:rPr>
        <w:t>Talion</w:t>
      </w:r>
      <w:proofErr w:type="spellEnd"/>
      <w:r w:rsidRPr="00F53062">
        <w:rPr>
          <w:rFonts w:ascii="Times New Roman" w:eastAsia="Times New Roman" w:hAnsi="Times New Roman" w:cs="Times New Roman"/>
          <w:b w:val="0"/>
          <w:bCs w:val="0"/>
          <w:color w:val="000000"/>
          <w:sz w:val="25"/>
          <w:szCs w:val="25"/>
          <w:u w:val="none"/>
        </w:rPr>
        <w:t xml:space="preserve"> Laws</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LH’s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deal with three cases, blinding an eye, breaking a bone, and knocking out a tooth (196–201). These cases are then subdivided depending on the social class of the victim:</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196</w:t>
      </w:r>
      <w:r w:rsidRPr="00F53062">
        <w:rPr>
          <w:rFonts w:ascii="Times New Roman" w:eastAsia="Times New Roman" w:hAnsi="Times New Roman" w:cs="Times New Roman"/>
          <w:b w:val="0"/>
          <w:bCs w:val="0"/>
          <w:color w:val="000000"/>
          <w:sz w:val="20"/>
          <w:szCs w:val="20"/>
          <w:u w:val="none"/>
        </w:rPr>
        <w:t xml:space="preserve">If </w:t>
      </w:r>
      <w:proofErr w:type="gramStart"/>
      <w:r w:rsidRPr="00F53062">
        <w:rPr>
          <w:rFonts w:ascii="Times New Roman" w:eastAsia="Times New Roman" w:hAnsi="Times New Roman" w:cs="Times New Roman"/>
          <w:b w:val="0"/>
          <w:bCs w:val="0"/>
          <w:color w:val="000000"/>
          <w:sz w:val="20"/>
          <w:szCs w:val="20"/>
          <w:u w:val="none"/>
        </w:rPr>
        <w:t>an</w:t>
      </w:r>
      <w:proofErr w:type="gramEnd"/>
      <w:r w:rsidRPr="00F53062">
        <w:rPr>
          <w:rFonts w:ascii="Times New Roman" w:eastAsia="Times New Roman" w:hAnsi="Times New Roman" w:cs="Times New Roman"/>
          <w:b w:val="0"/>
          <w:bCs w:val="0"/>
          <w:i/>
          <w:iCs/>
          <w:color w:val="000000"/>
          <w:sz w:val="20"/>
          <w:szCs w:val="20"/>
          <w:u w:val="none"/>
        </w:rPr>
        <w:t>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(a free man), blinds the eye of a member of the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class, they shall blind his eye. </w:t>
      </w:r>
      <w:r w:rsidRPr="00F53062">
        <w:rPr>
          <w:rFonts w:ascii="Times New Roman" w:eastAsia="Times New Roman" w:hAnsi="Times New Roman" w:cs="Times New Roman"/>
          <w:b w:val="0"/>
          <w:bCs w:val="0"/>
          <w:color w:val="000000"/>
          <w:sz w:val="15"/>
          <w:szCs w:val="15"/>
          <w:u w:val="none"/>
          <w:vertAlign w:val="superscript"/>
        </w:rPr>
        <w:t>197</w:t>
      </w:r>
      <w:r w:rsidRPr="00F53062">
        <w:rPr>
          <w:rFonts w:ascii="Times New Roman" w:eastAsia="Times New Roman" w:hAnsi="Times New Roman" w:cs="Times New Roman"/>
          <w:b w:val="0"/>
          <w:bCs w:val="0"/>
          <w:color w:val="000000"/>
          <w:sz w:val="20"/>
          <w:szCs w:val="20"/>
          <w:u w:val="none"/>
        </w:rPr>
        <w:t>If he breaks the bone of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they shall break his bone.</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198</w:t>
      </w:r>
      <w:r w:rsidRPr="00F53062">
        <w:rPr>
          <w:rFonts w:ascii="Times New Roman" w:eastAsia="Times New Roman" w:hAnsi="Times New Roman" w:cs="Times New Roman"/>
          <w:b w:val="0"/>
          <w:bCs w:val="0"/>
          <w:color w:val="000000"/>
          <w:sz w:val="20"/>
          <w:szCs w:val="20"/>
          <w:u w:val="none"/>
        </w:rPr>
        <w:t>If he blinds the eye of a </w:t>
      </w:r>
      <w:proofErr w:type="spellStart"/>
      <w:r w:rsidRPr="00F53062">
        <w:rPr>
          <w:rFonts w:ascii="Times New Roman" w:eastAsia="Times New Roman" w:hAnsi="Times New Roman" w:cs="Times New Roman"/>
          <w:b w:val="0"/>
          <w:bCs w:val="0"/>
          <w:i/>
          <w:iCs/>
          <w:color w:val="000000"/>
          <w:sz w:val="20"/>
          <w:szCs w:val="20"/>
          <w:u w:val="none"/>
        </w:rPr>
        <w:t>muškēnum</w:t>
      </w:r>
      <w:proofErr w:type="spellEnd"/>
      <w:r w:rsidRPr="00F53062">
        <w:rPr>
          <w:rFonts w:ascii="Times New Roman" w:eastAsia="Times New Roman" w:hAnsi="Times New Roman" w:cs="Times New Roman"/>
          <w:b w:val="0"/>
          <w:bCs w:val="0"/>
          <w:color w:val="000000"/>
          <w:sz w:val="20"/>
          <w:szCs w:val="20"/>
          <w:u w:val="none"/>
        </w:rPr>
        <w:t> (one economically obligated to the palace</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13]</w:t>
      </w:r>
      <w:r w:rsidRPr="00F53062">
        <w:rPr>
          <w:rFonts w:ascii="Times New Roman" w:eastAsia="Times New Roman" w:hAnsi="Times New Roman" w:cs="Times New Roman"/>
          <w:b w:val="0"/>
          <w:bCs w:val="0"/>
          <w:color w:val="000000"/>
          <w:sz w:val="20"/>
          <w:szCs w:val="20"/>
          <w:u w:val="none"/>
        </w:rPr>
        <w:t>or breaks the bone of a </w:t>
      </w:r>
      <w:proofErr w:type="spellStart"/>
      <w:r w:rsidRPr="00F53062">
        <w:rPr>
          <w:rFonts w:ascii="Times New Roman" w:eastAsia="Times New Roman" w:hAnsi="Times New Roman" w:cs="Times New Roman"/>
          <w:b w:val="0"/>
          <w:bCs w:val="0"/>
          <w:i/>
          <w:iCs/>
          <w:color w:val="000000"/>
          <w:sz w:val="20"/>
          <w:szCs w:val="20"/>
          <w:u w:val="none"/>
        </w:rPr>
        <w:t>muškēnum</w:t>
      </w:r>
      <w:proofErr w:type="spellEnd"/>
      <w:r w:rsidRPr="00F53062">
        <w:rPr>
          <w:rFonts w:ascii="Times New Roman" w:eastAsia="Times New Roman" w:hAnsi="Times New Roman" w:cs="Times New Roman"/>
          <w:b w:val="0"/>
          <w:bCs w:val="0"/>
          <w:color w:val="000000"/>
          <w:sz w:val="20"/>
          <w:szCs w:val="20"/>
          <w:u w:val="none"/>
        </w:rPr>
        <w:t>, he shall weigh out one mina (sixty shekels) of silver.</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199</w:t>
      </w:r>
      <w:r w:rsidRPr="00F53062">
        <w:rPr>
          <w:rFonts w:ascii="Times New Roman" w:eastAsia="Times New Roman" w:hAnsi="Times New Roman" w:cs="Times New Roman"/>
          <w:b w:val="0"/>
          <w:bCs w:val="0"/>
          <w:color w:val="000000"/>
          <w:sz w:val="20"/>
          <w:szCs w:val="20"/>
          <w:u w:val="none"/>
        </w:rPr>
        <w:t>If he blinds the eye of an </w:t>
      </w:r>
      <w:proofErr w:type="spellStart"/>
      <w:r w:rsidRPr="00F53062">
        <w:rPr>
          <w:rFonts w:ascii="Times New Roman" w:eastAsia="Times New Roman" w:hAnsi="Times New Roman" w:cs="Times New Roman"/>
          <w:b w:val="0"/>
          <w:bCs w:val="0"/>
          <w:i/>
          <w:iCs/>
          <w:color w:val="000000"/>
          <w:sz w:val="20"/>
          <w:szCs w:val="20"/>
          <w:u w:val="none"/>
        </w:rPr>
        <w:t>awīlum</w:t>
      </w:r>
      <w:r w:rsidRPr="00F53062">
        <w:rPr>
          <w:rFonts w:ascii="Times New Roman" w:eastAsia="Times New Roman" w:hAnsi="Times New Roman" w:cs="Times New Roman"/>
          <w:b w:val="0"/>
          <w:bCs w:val="0"/>
          <w:color w:val="000000"/>
          <w:sz w:val="20"/>
          <w:szCs w:val="20"/>
          <w:u w:val="none"/>
        </w:rPr>
        <w:t>’s</w:t>
      </w:r>
      <w:proofErr w:type="spellEnd"/>
      <w:r w:rsidRPr="00F53062">
        <w:rPr>
          <w:rFonts w:ascii="Times New Roman" w:eastAsia="Times New Roman" w:hAnsi="Times New Roman" w:cs="Times New Roman"/>
          <w:b w:val="0"/>
          <w:bCs w:val="0"/>
          <w:color w:val="000000"/>
          <w:sz w:val="20"/>
          <w:szCs w:val="20"/>
          <w:u w:val="none"/>
        </w:rPr>
        <w:t xml:space="preserve"> slave (</w:t>
      </w:r>
      <w:proofErr w:type="spellStart"/>
      <w:r w:rsidRPr="00F53062">
        <w:rPr>
          <w:rFonts w:ascii="Times New Roman" w:eastAsia="Times New Roman" w:hAnsi="Times New Roman" w:cs="Times New Roman"/>
          <w:b w:val="0"/>
          <w:bCs w:val="0"/>
          <w:i/>
          <w:iCs/>
          <w:color w:val="000000"/>
          <w:sz w:val="20"/>
          <w:szCs w:val="20"/>
          <w:u w:val="none"/>
        </w:rPr>
        <w:t>wardum</w:t>
      </w:r>
      <w:proofErr w:type="spellEnd"/>
      <w:r w:rsidRPr="00F53062">
        <w:rPr>
          <w:rFonts w:ascii="Times New Roman" w:eastAsia="Times New Roman" w:hAnsi="Times New Roman" w:cs="Times New Roman"/>
          <w:b w:val="0"/>
          <w:bCs w:val="0"/>
          <w:color w:val="000000"/>
          <w:sz w:val="20"/>
          <w:szCs w:val="20"/>
          <w:u w:val="none"/>
        </w:rPr>
        <w:t>; a slave held as property) or breaks the bone of an </w:t>
      </w:r>
      <w:proofErr w:type="spellStart"/>
      <w:r w:rsidRPr="00F53062">
        <w:rPr>
          <w:rFonts w:ascii="Times New Roman" w:eastAsia="Times New Roman" w:hAnsi="Times New Roman" w:cs="Times New Roman"/>
          <w:b w:val="0"/>
          <w:bCs w:val="0"/>
          <w:i/>
          <w:iCs/>
          <w:color w:val="000000"/>
          <w:sz w:val="20"/>
          <w:szCs w:val="20"/>
          <w:u w:val="none"/>
        </w:rPr>
        <w:t>awīlum</w:t>
      </w:r>
      <w:r w:rsidRPr="00F53062">
        <w:rPr>
          <w:rFonts w:ascii="Times New Roman" w:eastAsia="Times New Roman" w:hAnsi="Times New Roman" w:cs="Times New Roman"/>
          <w:b w:val="0"/>
          <w:bCs w:val="0"/>
          <w:color w:val="000000"/>
          <w:sz w:val="20"/>
          <w:szCs w:val="20"/>
          <w:u w:val="none"/>
        </w:rPr>
        <w:t>’s</w:t>
      </w:r>
      <w:proofErr w:type="spellEnd"/>
      <w:r w:rsidRPr="00F53062">
        <w:rPr>
          <w:rFonts w:ascii="Times New Roman" w:eastAsia="Times New Roman" w:hAnsi="Times New Roman" w:cs="Times New Roman"/>
          <w:b w:val="0"/>
          <w:bCs w:val="0"/>
          <w:color w:val="000000"/>
          <w:sz w:val="20"/>
          <w:szCs w:val="20"/>
          <w:u w:val="none"/>
        </w:rPr>
        <w:t xml:space="preserve"> slave, he shall weigh out half of his value.</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200</w:t>
      </w:r>
      <w:r w:rsidRPr="00F53062">
        <w:rPr>
          <w:rFonts w:ascii="Times New Roman" w:eastAsia="Times New Roman" w:hAnsi="Times New Roman" w:cs="Times New Roman"/>
          <w:b w:val="0"/>
          <w:bCs w:val="0"/>
          <w:color w:val="000000"/>
          <w:sz w:val="20"/>
          <w:szCs w:val="20"/>
          <w:u w:val="none"/>
        </w:rPr>
        <w:t>If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knocks out the tooth of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of the same rank, they shall knock out his tooth.</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201</w:t>
      </w:r>
      <w:r w:rsidRPr="00F53062">
        <w:rPr>
          <w:rFonts w:ascii="Times New Roman" w:eastAsia="Times New Roman" w:hAnsi="Times New Roman" w:cs="Times New Roman"/>
          <w:b w:val="0"/>
          <w:bCs w:val="0"/>
          <w:color w:val="000000"/>
          <w:sz w:val="20"/>
          <w:szCs w:val="20"/>
          <w:u w:val="none"/>
        </w:rPr>
        <w:t>If he knocks out the tooth of a </w:t>
      </w:r>
      <w:proofErr w:type="spellStart"/>
      <w:r w:rsidRPr="00F53062">
        <w:rPr>
          <w:rFonts w:ascii="Times New Roman" w:eastAsia="Times New Roman" w:hAnsi="Times New Roman" w:cs="Times New Roman"/>
          <w:b w:val="0"/>
          <w:bCs w:val="0"/>
          <w:i/>
          <w:iCs/>
          <w:color w:val="000000"/>
          <w:sz w:val="20"/>
          <w:szCs w:val="20"/>
          <w:u w:val="none"/>
        </w:rPr>
        <w:t>muškēnum</w:t>
      </w:r>
      <w:proofErr w:type="spellEnd"/>
      <w:r w:rsidRPr="00F53062">
        <w:rPr>
          <w:rFonts w:ascii="Times New Roman" w:eastAsia="Times New Roman" w:hAnsi="Times New Roman" w:cs="Times New Roman"/>
          <w:b w:val="0"/>
          <w:bCs w:val="0"/>
          <w:color w:val="000000"/>
          <w:sz w:val="20"/>
          <w:szCs w:val="20"/>
          <w:u w:val="none"/>
        </w:rPr>
        <w:t>, he shall weigh out one third mina (twenty shekels) of silver.</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LH’s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differ in several ways from those of CC.</w:t>
      </w:r>
    </w:p>
    <w:p w:rsidR="00F53062" w:rsidRPr="00F53062" w:rsidRDefault="00F53062" w:rsidP="00F53062">
      <w:pPr>
        <w:numPr>
          <w:ilvl w:val="0"/>
          <w:numId w:val="1"/>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color w:val="000000"/>
          <w:sz w:val="20"/>
          <w:u w:val="none"/>
        </w:rPr>
        <w:t>Long-form/short-form</w:t>
      </w:r>
      <w:r w:rsidRPr="00F53062">
        <w:rPr>
          <w:rFonts w:ascii="Times New Roman" w:eastAsia="Times New Roman" w:hAnsi="Times New Roman" w:cs="Times New Roman"/>
          <w:b w:val="0"/>
          <w:bCs w:val="0"/>
          <w:color w:val="000000"/>
          <w:sz w:val="20"/>
          <w:szCs w:val="20"/>
          <w:u w:val="none"/>
        </w:rPr>
        <w:t>—LH’s laws are fully formulated, with clauses setting up the cases followed by clauses prescribing the penalties, whereas CC’s are merely schematic dyads “eye for eye, tooth for tooth, etc.”</w:t>
      </w:r>
    </w:p>
    <w:p w:rsidR="00F53062" w:rsidRPr="00F53062" w:rsidRDefault="00F53062" w:rsidP="00F53062">
      <w:pPr>
        <w:numPr>
          <w:ilvl w:val="0"/>
          <w:numId w:val="2"/>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color w:val="000000"/>
          <w:sz w:val="20"/>
          <w:u w:val="none"/>
        </w:rPr>
        <w:t>Social classes</w:t>
      </w:r>
      <w:r w:rsidRPr="00F53062">
        <w:rPr>
          <w:rFonts w:ascii="Times New Roman" w:eastAsia="Times New Roman" w:hAnsi="Times New Roman" w:cs="Times New Roman"/>
          <w:b w:val="0"/>
          <w:bCs w:val="0"/>
          <w:color w:val="000000"/>
          <w:sz w:val="20"/>
          <w:szCs w:val="20"/>
          <w:u w:val="none"/>
        </w:rPr>
        <w:t>—LH has three social categories: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w:t>
      </w:r>
      <w:proofErr w:type="spellStart"/>
      <w:r w:rsidRPr="00F53062">
        <w:rPr>
          <w:rFonts w:ascii="Times New Roman" w:eastAsia="Times New Roman" w:hAnsi="Times New Roman" w:cs="Times New Roman"/>
          <w:b w:val="0"/>
          <w:bCs w:val="0"/>
          <w:i/>
          <w:iCs/>
          <w:color w:val="000000"/>
          <w:sz w:val="20"/>
          <w:szCs w:val="20"/>
          <w:u w:val="none"/>
        </w:rPr>
        <w:t>muškēnum</w:t>
      </w:r>
      <w:proofErr w:type="spellEnd"/>
      <w:r w:rsidRPr="00F53062">
        <w:rPr>
          <w:rFonts w:ascii="Times New Roman" w:eastAsia="Times New Roman" w:hAnsi="Times New Roman" w:cs="Times New Roman"/>
          <w:b w:val="0"/>
          <w:bCs w:val="0"/>
          <w:i/>
          <w:iCs/>
          <w:color w:val="000000"/>
          <w:sz w:val="20"/>
          <w:szCs w:val="20"/>
          <w:u w:val="none"/>
        </w:rPr>
        <w:t>, </w:t>
      </w:r>
      <w:r w:rsidRPr="00F53062">
        <w:rPr>
          <w:rFonts w:ascii="Times New Roman" w:eastAsia="Times New Roman" w:hAnsi="Times New Roman" w:cs="Times New Roman"/>
          <w:b w:val="0"/>
          <w:bCs w:val="0"/>
          <w:color w:val="000000"/>
          <w:sz w:val="20"/>
          <w:szCs w:val="20"/>
          <w:u w:val="none"/>
        </w:rPr>
        <w:t>and</w:t>
      </w:r>
      <w:r w:rsidRPr="00F53062">
        <w:rPr>
          <w:rFonts w:ascii="Times New Roman" w:eastAsia="Times New Roman" w:hAnsi="Times New Roman" w:cs="Times New Roman"/>
          <w:b w:val="0"/>
          <w:bCs w:val="0"/>
          <w:i/>
          <w:iCs/>
          <w:color w:val="000000"/>
          <w:sz w:val="20"/>
          <w:szCs w:val="20"/>
          <w:u w:val="none"/>
        </w:rPr>
        <w:t> </w:t>
      </w:r>
      <w:proofErr w:type="spellStart"/>
      <w:r w:rsidRPr="00F53062">
        <w:rPr>
          <w:rFonts w:ascii="Times New Roman" w:eastAsia="Times New Roman" w:hAnsi="Times New Roman" w:cs="Times New Roman"/>
          <w:b w:val="0"/>
          <w:bCs w:val="0"/>
          <w:i/>
          <w:iCs/>
          <w:color w:val="000000"/>
          <w:sz w:val="20"/>
          <w:szCs w:val="20"/>
          <w:u w:val="none"/>
        </w:rPr>
        <w:t>wardum</w:t>
      </w:r>
      <w:proofErr w:type="spellEnd"/>
      <w:r w:rsidRPr="00F53062">
        <w:rPr>
          <w:rFonts w:ascii="Times New Roman" w:eastAsia="Times New Roman" w:hAnsi="Times New Roman" w:cs="Times New Roman"/>
          <w:b w:val="0"/>
          <w:bCs w:val="0"/>
          <w:color w:val="000000"/>
          <w:sz w:val="20"/>
          <w:szCs w:val="20"/>
          <w:u w:val="none"/>
        </w:rPr>
        <w:t xml:space="preserve">, a free person, a person economically obligated to the palace (later a poor person), and a chattel slave. By contrast, CC has two classes in the larger context: free persons in the main law of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21:22–25 and slaves in the following verses dealing with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as related to slaves (vv. 26–27).</w:t>
      </w:r>
    </w:p>
    <w:p w:rsidR="00F53062" w:rsidRPr="00F53062" w:rsidRDefault="00F53062" w:rsidP="00F53062">
      <w:pPr>
        <w:numPr>
          <w:ilvl w:val="0"/>
          <w:numId w:val="3"/>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color w:val="000000"/>
          <w:sz w:val="20"/>
          <w:u w:val="none"/>
        </w:rPr>
        <w:lastRenderedPageBreak/>
        <w:t>Number of cases</w:t>
      </w:r>
      <w:r w:rsidRPr="00F53062">
        <w:rPr>
          <w:rFonts w:ascii="Times New Roman" w:eastAsia="Times New Roman" w:hAnsi="Times New Roman" w:cs="Times New Roman"/>
          <w:b w:val="0"/>
          <w:bCs w:val="0"/>
          <w:color w:val="000000"/>
          <w:sz w:val="20"/>
          <w:szCs w:val="20"/>
          <w:u w:val="none"/>
        </w:rPr>
        <w:t>—LH deals with only three bodily parts or injuries (eye, bone tooth), whereas CC has eight (life, eye, tooth, arm, leg, burn, injury, wound).</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Nevertheless, the similarities are striking and the differences do not necessarily mean that CC was composed independently of LH. First, some of these differences can be explained exegetically. For instance, while CC’s eye and tooth in verse 24 reflect the same body parts in LH 196 and 200, CC’s arm and leg are interpretations of LH, bifurcating and disambiguating the “bone” in LH 197.</w:t>
      </w:r>
      <w:r w:rsidRPr="00F53062">
        <w:rPr>
          <w:rFonts w:ascii="Times New Roman" w:eastAsia="Times New Roman" w:hAnsi="Times New Roman" w:cs="Times New Roman"/>
          <w:b w:val="0"/>
          <w:bCs w:val="0"/>
          <w:color w:val="B22222"/>
          <w:sz w:val="18"/>
          <w:szCs w:val="18"/>
          <w:u w:val="none"/>
          <w:vertAlign w:val="superscript"/>
        </w:rPr>
        <w:t>[14]</w:t>
      </w:r>
      <w:r w:rsidRPr="00F53062">
        <w:rPr>
          <w:rFonts w:ascii="Times New Roman" w:eastAsia="Times New Roman" w:hAnsi="Times New Roman" w:cs="Times New Roman"/>
          <w:b w:val="0"/>
          <w:bCs w:val="0"/>
          <w:color w:val="000000"/>
          <w:sz w:val="20"/>
          <w:szCs w:val="20"/>
          <w:u w:val="none"/>
        </w:rPr>
        <w:t xml:space="preserve"> (For the burn, injury, wound in CC, see below.) The lack of a three-tiered social class division can be explained by adaptation to the simpler sociological situation conceived of for the earliest history of Israel. Finally, the change from long form to dyad form stems from adapting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concept to work syntactically as the new penalty in the second miscarriage law.</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Intentional versus Unintentional Assault</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Hammurabi’s and CC’s miscarriage and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differ in another way that offers us a further clue as to how the authors of CC worked. The LH miscarriage and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all assume that the assault was intentional. The assaults are direct, without mitigating circumstances, and the penalties are severe. In CC’s law, in contrast, men fight each other and happen to strike the pregnant woman, and this leads to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This characterizes the assault as unintentional.</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Here too CC has been influenced by LH, specifically by the LH laws that deal with </w:t>
      </w:r>
      <w:r w:rsidRPr="00F53062">
        <w:rPr>
          <w:rFonts w:ascii="Times New Roman" w:eastAsia="Times New Roman" w:hAnsi="Times New Roman" w:cs="Times New Roman"/>
          <w:b w:val="0"/>
          <w:bCs w:val="0"/>
          <w:i/>
          <w:iCs/>
          <w:color w:val="000000"/>
          <w:sz w:val="20"/>
          <w:szCs w:val="20"/>
          <w:u w:val="none"/>
        </w:rPr>
        <w:t>inadvertent</w:t>
      </w:r>
      <w:r w:rsidRPr="00F53062">
        <w:rPr>
          <w:rFonts w:ascii="Times New Roman" w:eastAsia="Times New Roman" w:hAnsi="Times New Roman" w:cs="Times New Roman"/>
          <w:b w:val="0"/>
          <w:bCs w:val="0"/>
          <w:color w:val="000000"/>
          <w:sz w:val="20"/>
          <w:szCs w:val="20"/>
          <w:u w:val="none"/>
        </w:rPr>
        <w:t xml:space="preserve"> injury and homicide (LH 206–208), which appear between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(LH 196–201) and the miscarriage laws (LH 209–210):</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206</w:t>
      </w:r>
      <w:r w:rsidRPr="00F53062">
        <w:rPr>
          <w:rFonts w:ascii="Times New Roman" w:eastAsia="Times New Roman" w:hAnsi="Times New Roman" w:cs="Times New Roman"/>
          <w:b w:val="0"/>
          <w:bCs w:val="0"/>
          <w:color w:val="000000"/>
          <w:sz w:val="20"/>
          <w:szCs w:val="20"/>
          <w:u w:val="none"/>
        </w:rPr>
        <w:t>If a man strikes another man in a fight and injures him (lit., puts a wound, </w:t>
      </w:r>
      <w:proofErr w:type="spellStart"/>
      <w:r w:rsidRPr="00F53062">
        <w:rPr>
          <w:rFonts w:ascii="Times New Roman" w:eastAsia="Times New Roman" w:hAnsi="Times New Roman" w:cs="Times New Roman"/>
          <w:b w:val="0"/>
          <w:bCs w:val="0"/>
          <w:i/>
          <w:iCs/>
          <w:color w:val="000000"/>
          <w:sz w:val="20"/>
          <w:szCs w:val="20"/>
          <w:u w:val="none"/>
        </w:rPr>
        <w:t>simmum</w:t>
      </w:r>
      <w:proofErr w:type="spellEnd"/>
      <w:r w:rsidRPr="00F53062">
        <w:rPr>
          <w:rFonts w:ascii="Times New Roman" w:eastAsia="Times New Roman" w:hAnsi="Times New Roman" w:cs="Times New Roman"/>
          <w:b w:val="0"/>
          <w:bCs w:val="0"/>
          <w:color w:val="000000"/>
          <w:sz w:val="20"/>
          <w:szCs w:val="20"/>
          <w:u w:val="none"/>
        </w:rPr>
        <w:t>, on him), that man shall swear (saying), “I did not strike him with intent,” and he shall pay the physician.</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207</w:t>
      </w:r>
      <w:r w:rsidRPr="00F53062">
        <w:rPr>
          <w:rFonts w:ascii="Times New Roman" w:eastAsia="Times New Roman" w:hAnsi="Times New Roman" w:cs="Times New Roman"/>
          <w:b w:val="0"/>
          <w:bCs w:val="0"/>
          <w:color w:val="000000"/>
          <w:sz w:val="20"/>
          <w:szCs w:val="20"/>
          <w:u w:val="none"/>
        </w:rPr>
        <w:t>If he dies from his being struck, he shall also swear. If (the victim) is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he shall weigh out one-half mina (= thirty shekels) of silver.</w:t>
      </w:r>
    </w:p>
    <w:p w:rsidR="00F53062" w:rsidRPr="00F53062" w:rsidRDefault="00F53062" w:rsidP="00F53062">
      <w:pPr>
        <w:shd w:val="clear" w:color="auto" w:fill="FFFFFF"/>
        <w:spacing w:after="18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Pr>
        <w:t>208</w:t>
      </w:r>
      <w:r w:rsidRPr="00F53062">
        <w:rPr>
          <w:rFonts w:ascii="Times New Roman" w:eastAsia="Times New Roman" w:hAnsi="Times New Roman" w:cs="Times New Roman"/>
          <w:b w:val="0"/>
          <w:bCs w:val="0"/>
          <w:color w:val="000000"/>
          <w:sz w:val="20"/>
          <w:szCs w:val="20"/>
          <w:u w:val="none"/>
        </w:rPr>
        <w:t>If a </w:t>
      </w:r>
      <w:proofErr w:type="spellStart"/>
      <w:r w:rsidRPr="00F53062">
        <w:rPr>
          <w:rFonts w:ascii="Times New Roman" w:eastAsia="Times New Roman" w:hAnsi="Times New Roman" w:cs="Times New Roman"/>
          <w:b w:val="0"/>
          <w:bCs w:val="0"/>
          <w:i/>
          <w:iCs/>
          <w:color w:val="000000"/>
          <w:sz w:val="20"/>
          <w:szCs w:val="20"/>
          <w:u w:val="none"/>
        </w:rPr>
        <w:t>muškēnum</w:t>
      </w:r>
      <w:proofErr w:type="spellEnd"/>
      <w:r w:rsidRPr="00F53062">
        <w:rPr>
          <w:rFonts w:ascii="Times New Roman" w:eastAsia="Times New Roman" w:hAnsi="Times New Roman" w:cs="Times New Roman"/>
          <w:b w:val="0"/>
          <w:bCs w:val="0"/>
          <w:color w:val="000000"/>
          <w:sz w:val="20"/>
          <w:szCs w:val="20"/>
          <w:u w:val="none"/>
        </w:rPr>
        <w:t>, he (the assailant who is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shall weigh out one-third mina (= twenty shekels) of silver.</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 has a version of these laws. It appears separately but immediately preceding its miscarriage laws:</w:t>
      </w:r>
    </w:p>
    <w:p w:rsidR="00F53062" w:rsidRPr="00F53062" w:rsidRDefault="00F53062" w:rsidP="00F53062">
      <w:pPr>
        <w:shd w:val="clear" w:color="auto" w:fill="FFFFFF"/>
        <w:bidi/>
        <w:spacing w:after="100" w:line="372" w:lineRule="atLeast"/>
        <w:textAlignment w:val="top"/>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tl/>
          <w:lang w:bidi="he-IL"/>
        </w:rPr>
        <w:t xml:space="preserve">שמות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יח</w:t>
      </w:r>
      <w:proofErr w:type="spellEnd"/>
      <w:r w:rsidRPr="00F53062">
        <w:rPr>
          <w:rFonts w:ascii="Times New Roman" w:eastAsia="Times New Roman" w:hAnsi="Times New Roman" w:cs="Times New Roman"/>
          <w:b w:val="0"/>
          <w:bCs w:val="0"/>
          <w:color w:val="000000"/>
          <w:sz w:val="27"/>
          <w:szCs w:val="27"/>
          <w:u w:val="none"/>
          <w:rtl/>
        </w:rPr>
        <w:t> </w:t>
      </w:r>
      <w:r w:rsidRPr="00F53062">
        <w:rPr>
          <w:rFonts w:ascii="Times New Roman" w:eastAsia="Times New Roman" w:hAnsi="Times New Roman" w:cs="Times New Roman"/>
          <w:b w:val="0"/>
          <w:bCs w:val="0"/>
          <w:color w:val="000000"/>
          <w:sz w:val="27"/>
          <w:szCs w:val="27"/>
          <w:u w:val="none"/>
          <w:rtl/>
          <w:lang w:bidi="he-IL"/>
        </w:rPr>
        <w:t xml:space="preserve">וְכִי יְרִיבֻן אֲנָשִׁים וְהִכָּה אִישׁ אֶת רֵעֵהוּ בְּאֶבֶן אוֹ </w:t>
      </w:r>
      <w:proofErr w:type="spellStart"/>
      <w:r w:rsidRPr="00F53062">
        <w:rPr>
          <w:rFonts w:ascii="Times New Roman" w:eastAsia="Times New Roman" w:hAnsi="Times New Roman" w:cs="Times New Roman"/>
          <w:b w:val="0"/>
          <w:bCs w:val="0"/>
          <w:color w:val="000000"/>
          <w:sz w:val="27"/>
          <w:szCs w:val="27"/>
          <w:u w:val="none"/>
          <w:rtl/>
          <w:lang w:bidi="he-IL"/>
        </w:rPr>
        <w:t>בְאֶגְרֹף</w:t>
      </w:r>
      <w:proofErr w:type="spellEnd"/>
      <w:r w:rsidRPr="00F53062">
        <w:rPr>
          <w:rFonts w:ascii="Times New Roman" w:eastAsia="Times New Roman" w:hAnsi="Times New Roman" w:cs="Times New Roman"/>
          <w:b w:val="0"/>
          <w:bCs w:val="0"/>
          <w:color w:val="000000"/>
          <w:sz w:val="27"/>
          <w:szCs w:val="27"/>
          <w:u w:val="none"/>
          <w:rtl/>
          <w:lang w:bidi="he-IL"/>
        </w:rPr>
        <w:t xml:space="preserve"> וְלֹא יָמוּת וְנָפַל לְמִשְׁכָּב.</w:t>
      </w:r>
      <w:r w:rsidRPr="00F53062">
        <w:rPr>
          <w:rFonts w:ascii="Times New Roman" w:eastAsia="Times New Roman" w:hAnsi="Times New Roman" w:cs="Times New Roman"/>
          <w:b w:val="0"/>
          <w:bCs w:val="0"/>
          <w:color w:val="000000"/>
          <w:sz w:val="15"/>
          <w:szCs w:val="15"/>
          <w:u w:val="none"/>
          <w:vertAlign w:val="superscript"/>
          <w:rtl/>
        </w:rPr>
        <w:t>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יט</w:t>
      </w:r>
      <w:proofErr w:type="spellEnd"/>
      <w:r w:rsidRPr="00F53062">
        <w:rPr>
          <w:rFonts w:ascii="Times New Roman" w:eastAsia="Times New Roman" w:hAnsi="Times New Roman" w:cs="Times New Roman"/>
          <w:b w:val="0"/>
          <w:bCs w:val="0"/>
          <w:color w:val="000000"/>
          <w:sz w:val="27"/>
          <w:szCs w:val="27"/>
          <w:u w:val="none"/>
          <w:rtl/>
        </w:rPr>
        <w:t> </w:t>
      </w:r>
      <w:r w:rsidRPr="00F53062">
        <w:rPr>
          <w:rFonts w:ascii="Times New Roman" w:eastAsia="Times New Roman" w:hAnsi="Times New Roman" w:cs="Times New Roman"/>
          <w:b w:val="0"/>
          <w:bCs w:val="0"/>
          <w:color w:val="000000"/>
          <w:sz w:val="27"/>
          <w:szCs w:val="27"/>
          <w:u w:val="none"/>
          <w:rtl/>
          <w:lang w:bidi="he-IL"/>
        </w:rPr>
        <w:t xml:space="preserve">אִם יָקוּם וְהִתְהַלֵּךְ בַּחוּץ עַל מִשְׁעַנְתּוֹ וְנִקָּה הַמַּכֶּה רַק שִׁבְתּוֹ </w:t>
      </w:r>
      <w:proofErr w:type="spellStart"/>
      <w:r w:rsidRPr="00F53062">
        <w:rPr>
          <w:rFonts w:ascii="Times New Roman" w:eastAsia="Times New Roman" w:hAnsi="Times New Roman" w:cs="Times New Roman"/>
          <w:b w:val="0"/>
          <w:bCs w:val="0"/>
          <w:color w:val="000000"/>
          <w:sz w:val="27"/>
          <w:szCs w:val="27"/>
          <w:u w:val="none"/>
          <w:rtl/>
          <w:lang w:bidi="he-IL"/>
        </w:rPr>
        <w:t>יִתֵּן</w:t>
      </w:r>
      <w:proofErr w:type="spellEnd"/>
      <w:r w:rsidRPr="00F53062">
        <w:rPr>
          <w:rFonts w:ascii="Times New Roman" w:eastAsia="Times New Roman" w:hAnsi="Times New Roman" w:cs="Times New Roman"/>
          <w:b w:val="0"/>
          <w:bCs w:val="0"/>
          <w:color w:val="000000"/>
          <w:sz w:val="27"/>
          <w:szCs w:val="27"/>
          <w:u w:val="none"/>
          <w:rtl/>
          <w:lang w:bidi="he-IL"/>
        </w:rPr>
        <w:t xml:space="preserve"> וְרַפֹּא יְרַפֵּא.</w:t>
      </w:r>
    </w:p>
    <w:p w:rsidR="00F53062" w:rsidRPr="00F53062" w:rsidRDefault="00F53062" w:rsidP="00F53062">
      <w:pPr>
        <w:shd w:val="clear" w:color="auto" w:fill="FFFFFF"/>
        <w:spacing w:after="0" w:line="336" w:lineRule="atLeast"/>
        <w:rPr>
          <w:rFonts w:ascii="Times New Roman" w:eastAsia="Times New Roman" w:hAnsi="Times New Roman" w:cs="Times New Roman"/>
          <w:b w:val="0"/>
          <w:bCs w:val="0"/>
          <w:color w:val="000000"/>
          <w:sz w:val="18"/>
          <w:szCs w:val="18"/>
          <w:u w:val="none"/>
          <w:rtl/>
        </w:rPr>
      </w:pPr>
      <w:r w:rsidRPr="00F53062">
        <w:rPr>
          <w:rFonts w:ascii="Times New Roman" w:eastAsia="Times New Roman" w:hAnsi="Times New Roman" w:cs="Times New Roman"/>
          <w:b w:val="0"/>
          <w:bCs w:val="0"/>
          <w:color w:val="000000"/>
          <w:sz w:val="18"/>
          <w:szCs w:val="18"/>
          <w:u w:val="none"/>
        </w:rPr>
        <w:t> </w:t>
      </w:r>
    </w:p>
    <w:p w:rsid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B22222"/>
          <w:sz w:val="18"/>
          <w:szCs w:val="18"/>
          <w:u w:val="none"/>
          <w:vertAlign w:val="superscript"/>
        </w:rPr>
      </w:pPr>
      <w:r w:rsidRPr="00F53062">
        <w:rPr>
          <w:rFonts w:ascii="Times New Roman" w:eastAsia="Times New Roman" w:hAnsi="Times New Roman" w:cs="Times New Roman"/>
          <w:b w:val="0"/>
          <w:bCs w:val="0"/>
          <w:color w:val="000000"/>
          <w:sz w:val="14"/>
          <w:szCs w:val="14"/>
          <w:u w:val="none"/>
          <w:vertAlign w:val="superscript"/>
        </w:rPr>
        <w:t>18</w:t>
      </w:r>
      <w:r w:rsidRPr="00F53062">
        <w:rPr>
          <w:rFonts w:ascii="Times New Roman" w:eastAsia="Times New Roman" w:hAnsi="Times New Roman" w:cs="Times New Roman"/>
          <w:b w:val="0"/>
          <w:bCs w:val="0"/>
          <w:color w:val="000000"/>
          <w:sz w:val="27"/>
          <w:szCs w:val="27"/>
          <w:u w:val="none"/>
        </w:rPr>
        <w:t>When men fight and one strikes his fellow with a stone or with a fist (?), and he (the latter) does not die but takes to his bed—</w:t>
      </w:r>
      <w:r w:rsidRPr="00F53062">
        <w:rPr>
          <w:rFonts w:ascii="Times New Roman" w:eastAsia="Times New Roman" w:hAnsi="Times New Roman" w:cs="Times New Roman"/>
          <w:b w:val="0"/>
          <w:bCs w:val="0"/>
          <w:color w:val="000000"/>
          <w:sz w:val="14"/>
          <w:szCs w:val="14"/>
          <w:u w:val="none"/>
          <w:vertAlign w:val="superscript"/>
        </w:rPr>
        <w:t>19</w:t>
      </w:r>
      <w:r w:rsidRPr="00F53062">
        <w:rPr>
          <w:rFonts w:ascii="Times New Roman" w:eastAsia="Times New Roman" w:hAnsi="Times New Roman" w:cs="Times New Roman"/>
          <w:b w:val="0"/>
          <w:bCs w:val="0"/>
          <w:color w:val="000000"/>
          <w:sz w:val="27"/>
          <w:szCs w:val="27"/>
          <w:u w:val="none"/>
        </w:rPr>
        <w:t xml:space="preserve">if he gets up and walks about outside on his </w:t>
      </w:r>
      <w:r w:rsidRPr="00F53062">
        <w:rPr>
          <w:rFonts w:ascii="Times New Roman" w:eastAsia="Times New Roman" w:hAnsi="Times New Roman" w:cs="Times New Roman"/>
          <w:b w:val="0"/>
          <w:bCs w:val="0"/>
          <w:color w:val="000000"/>
          <w:sz w:val="27"/>
          <w:szCs w:val="27"/>
          <w:u w:val="none"/>
        </w:rPr>
        <w:lastRenderedPageBreak/>
        <w:t>staff, then the striker is absolved, but he must recompense him for his period of inactivity and provide for his cure.</w:t>
      </w:r>
      <w:r w:rsidRPr="00F53062">
        <w:rPr>
          <w:rFonts w:ascii="Times New Roman" w:eastAsia="Times New Roman" w:hAnsi="Times New Roman" w:cs="Times New Roman"/>
          <w:b w:val="0"/>
          <w:bCs w:val="0"/>
          <w:color w:val="B22222"/>
          <w:sz w:val="18"/>
          <w:szCs w:val="18"/>
          <w:u w:val="none"/>
          <w:vertAlign w:val="superscript"/>
        </w:rPr>
        <w:t>[15]</w:t>
      </w:r>
    </w:p>
    <w:p w:rsidR="00F53062" w:rsidRP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Unlike LH, CC does not discuss in these verses what happens if the man dies as a result of the assault. This is due to CC’s larger systematic formulating of laws on homicide that appears a few verses earlier than this assault law, to which we now turn.</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Laws of Homicide</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CC’s main homicide legislation appears at the very beginning of CC’s assault laws:</w:t>
      </w:r>
    </w:p>
    <w:p w:rsidR="00F53062" w:rsidRPr="00F53062" w:rsidRDefault="00F53062" w:rsidP="00F53062">
      <w:pPr>
        <w:shd w:val="clear" w:color="auto" w:fill="FFFFFF"/>
        <w:bidi/>
        <w:spacing w:after="100" w:line="372" w:lineRule="atLeast"/>
        <w:textAlignment w:val="top"/>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15"/>
          <w:szCs w:val="15"/>
          <w:u w:val="none"/>
          <w:vertAlign w:val="superscript"/>
          <w:rtl/>
          <w:lang w:bidi="he-IL"/>
        </w:rPr>
        <w:t xml:space="preserve">שמות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יב</w:t>
      </w:r>
      <w:proofErr w:type="spellEnd"/>
      <w:r w:rsidRPr="00F53062">
        <w:rPr>
          <w:rFonts w:ascii="Times New Roman" w:eastAsia="Times New Roman" w:hAnsi="Times New Roman" w:cs="Times New Roman"/>
          <w:b w:val="0"/>
          <w:bCs w:val="0"/>
          <w:color w:val="000000"/>
          <w:sz w:val="20"/>
          <w:szCs w:val="20"/>
          <w:u w:val="none"/>
          <w:rtl/>
        </w:rPr>
        <w:t> </w:t>
      </w:r>
      <w:r w:rsidRPr="00F53062">
        <w:rPr>
          <w:rFonts w:ascii="Times New Roman" w:eastAsia="Times New Roman" w:hAnsi="Times New Roman" w:cs="Times New Roman"/>
          <w:b w:val="0"/>
          <w:bCs w:val="0"/>
          <w:color w:val="000000"/>
          <w:sz w:val="20"/>
          <w:szCs w:val="20"/>
          <w:u w:val="none"/>
          <w:rtl/>
          <w:lang w:bidi="he-IL"/>
        </w:rPr>
        <w:t>מַכֵּה אִישׁ וָמֵת מוֹת יוּמָת.</w:t>
      </w:r>
      <w:r w:rsidRPr="00F53062">
        <w:rPr>
          <w:rFonts w:ascii="Times New Roman" w:eastAsia="Times New Roman" w:hAnsi="Times New Roman" w:cs="Times New Roman"/>
          <w:b w:val="0"/>
          <w:bCs w:val="0"/>
          <w:color w:val="000000"/>
          <w:sz w:val="20"/>
          <w:szCs w:val="20"/>
          <w:u w:val="none"/>
          <w:rtl/>
        </w:rPr>
        <w:t>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יג</w:t>
      </w:r>
      <w:proofErr w:type="spellEnd"/>
      <w:r w:rsidRPr="00F53062">
        <w:rPr>
          <w:rFonts w:ascii="Times New Roman" w:eastAsia="Times New Roman" w:hAnsi="Times New Roman" w:cs="Times New Roman"/>
          <w:b w:val="0"/>
          <w:bCs w:val="0"/>
          <w:color w:val="000000"/>
          <w:sz w:val="20"/>
          <w:szCs w:val="20"/>
          <w:u w:val="none"/>
          <w:rtl/>
        </w:rPr>
        <w:t> </w:t>
      </w:r>
      <w:r w:rsidRPr="00F53062">
        <w:rPr>
          <w:rFonts w:ascii="Times New Roman" w:eastAsia="Times New Roman" w:hAnsi="Times New Roman" w:cs="Times New Roman"/>
          <w:b w:val="0"/>
          <w:bCs w:val="0"/>
          <w:color w:val="000000"/>
          <w:sz w:val="20"/>
          <w:szCs w:val="20"/>
          <w:u w:val="none"/>
          <w:rtl/>
          <w:lang w:bidi="he-IL"/>
        </w:rPr>
        <w:t xml:space="preserve">וַאֲשֶׁר לֹא צָדָה </w:t>
      </w:r>
      <w:proofErr w:type="spellStart"/>
      <w:r w:rsidRPr="00F53062">
        <w:rPr>
          <w:rFonts w:ascii="Times New Roman" w:eastAsia="Times New Roman" w:hAnsi="Times New Roman" w:cs="Times New Roman"/>
          <w:b w:val="0"/>
          <w:bCs w:val="0"/>
          <w:color w:val="000000"/>
          <w:sz w:val="20"/>
          <w:szCs w:val="20"/>
          <w:u w:val="none"/>
          <w:rtl/>
          <w:lang w:bidi="he-IL"/>
        </w:rPr>
        <w:t>וְהָאֱלֹהִים</w:t>
      </w:r>
      <w:proofErr w:type="spellEnd"/>
      <w:r w:rsidRPr="00F53062">
        <w:rPr>
          <w:rFonts w:ascii="Times New Roman" w:eastAsia="Times New Roman" w:hAnsi="Times New Roman" w:cs="Times New Roman"/>
          <w:b w:val="0"/>
          <w:bCs w:val="0"/>
          <w:color w:val="000000"/>
          <w:sz w:val="20"/>
          <w:szCs w:val="20"/>
          <w:u w:val="none"/>
          <w:rtl/>
          <w:lang w:bidi="he-IL"/>
        </w:rPr>
        <w:t xml:space="preserve"> אִנָּה לְיָדוֹ וְשַׂמְתִּי לְךָ מָקוֹם אֲשֶׁר יָנוּס שָׁמָּה.</w:t>
      </w:r>
      <w:r w:rsidRPr="00F53062">
        <w:rPr>
          <w:rFonts w:ascii="Times New Roman" w:eastAsia="Times New Roman" w:hAnsi="Times New Roman" w:cs="Times New Roman"/>
          <w:b w:val="0"/>
          <w:bCs w:val="0"/>
          <w:color w:val="000000"/>
          <w:sz w:val="20"/>
          <w:szCs w:val="20"/>
          <w:u w:val="none"/>
          <w:rtl/>
        </w:rPr>
        <w:t> </w:t>
      </w:r>
      <w:proofErr w:type="spellStart"/>
      <w:r w:rsidRPr="00F53062">
        <w:rPr>
          <w:rFonts w:ascii="Times New Roman" w:eastAsia="Times New Roman" w:hAnsi="Times New Roman" w:cs="Times New Roman"/>
          <w:b w:val="0"/>
          <w:bCs w:val="0"/>
          <w:color w:val="000000"/>
          <w:sz w:val="15"/>
          <w:szCs w:val="15"/>
          <w:u w:val="none"/>
          <w:vertAlign w:val="superscript"/>
          <w:rtl/>
          <w:lang w:bidi="he-IL"/>
        </w:rPr>
        <w:t>כא</w:t>
      </w:r>
      <w:proofErr w:type="spellEnd"/>
      <w:r w:rsidRPr="00F53062">
        <w:rPr>
          <w:rFonts w:ascii="Times New Roman" w:eastAsia="Times New Roman" w:hAnsi="Times New Roman" w:cs="Times New Roman"/>
          <w:b w:val="0"/>
          <w:bCs w:val="0"/>
          <w:color w:val="000000"/>
          <w:sz w:val="15"/>
          <w:szCs w:val="15"/>
          <w:u w:val="none"/>
          <w:vertAlign w:val="superscript"/>
          <w:rtl/>
          <w:lang w:bidi="he-IL"/>
        </w:rPr>
        <w:t>:יד</w:t>
      </w:r>
      <w:r w:rsidRPr="00F53062">
        <w:rPr>
          <w:rFonts w:ascii="Times New Roman" w:eastAsia="Times New Roman" w:hAnsi="Times New Roman" w:cs="Times New Roman"/>
          <w:b w:val="0"/>
          <w:bCs w:val="0"/>
          <w:color w:val="000000"/>
          <w:sz w:val="20"/>
          <w:szCs w:val="20"/>
          <w:u w:val="none"/>
          <w:rtl/>
        </w:rPr>
        <w:t> </w:t>
      </w:r>
      <w:r w:rsidRPr="00F53062">
        <w:rPr>
          <w:rFonts w:ascii="Times New Roman" w:eastAsia="Times New Roman" w:hAnsi="Times New Roman" w:cs="Times New Roman"/>
          <w:b w:val="0"/>
          <w:bCs w:val="0"/>
          <w:color w:val="000000"/>
          <w:sz w:val="20"/>
          <w:szCs w:val="20"/>
          <w:u w:val="none"/>
          <w:rtl/>
          <w:lang w:bidi="he-IL"/>
        </w:rPr>
        <w:t xml:space="preserve">וְכִי </w:t>
      </w:r>
      <w:proofErr w:type="spellStart"/>
      <w:r w:rsidRPr="00F53062">
        <w:rPr>
          <w:rFonts w:ascii="Times New Roman" w:eastAsia="Times New Roman" w:hAnsi="Times New Roman" w:cs="Times New Roman"/>
          <w:b w:val="0"/>
          <w:bCs w:val="0"/>
          <w:color w:val="000000"/>
          <w:sz w:val="20"/>
          <w:szCs w:val="20"/>
          <w:u w:val="none"/>
          <w:rtl/>
          <w:lang w:bidi="he-IL"/>
        </w:rPr>
        <w:t>יָזִד</w:t>
      </w:r>
      <w:proofErr w:type="spellEnd"/>
      <w:r w:rsidRPr="00F53062">
        <w:rPr>
          <w:rFonts w:ascii="Times New Roman" w:eastAsia="Times New Roman" w:hAnsi="Times New Roman" w:cs="Times New Roman"/>
          <w:b w:val="0"/>
          <w:bCs w:val="0"/>
          <w:color w:val="000000"/>
          <w:sz w:val="20"/>
          <w:szCs w:val="20"/>
          <w:u w:val="none"/>
          <w:rtl/>
          <w:lang w:bidi="he-IL"/>
        </w:rPr>
        <w:t xml:space="preserve"> אִישׁ עַל רֵעֵהוּ לְהָרְגוֹ בְעָרְמָה מֵעִם מִזְבְּחִי </w:t>
      </w:r>
      <w:proofErr w:type="spellStart"/>
      <w:r w:rsidRPr="00F53062">
        <w:rPr>
          <w:rFonts w:ascii="Times New Roman" w:eastAsia="Times New Roman" w:hAnsi="Times New Roman" w:cs="Times New Roman"/>
          <w:b w:val="0"/>
          <w:bCs w:val="0"/>
          <w:color w:val="000000"/>
          <w:sz w:val="20"/>
          <w:szCs w:val="20"/>
          <w:u w:val="none"/>
          <w:rtl/>
          <w:lang w:bidi="he-IL"/>
        </w:rPr>
        <w:t>תִּקָּחֶנּוּ</w:t>
      </w:r>
      <w:proofErr w:type="spellEnd"/>
      <w:r w:rsidRPr="00F53062">
        <w:rPr>
          <w:rFonts w:ascii="Times New Roman" w:eastAsia="Times New Roman" w:hAnsi="Times New Roman" w:cs="Times New Roman"/>
          <w:b w:val="0"/>
          <w:bCs w:val="0"/>
          <w:color w:val="000000"/>
          <w:sz w:val="20"/>
          <w:szCs w:val="20"/>
          <w:u w:val="none"/>
          <w:rtl/>
          <w:lang w:bidi="he-IL"/>
        </w:rPr>
        <w:t xml:space="preserve"> לָמוּת.</w:t>
      </w:r>
    </w:p>
    <w:p w:rsidR="00F53062" w:rsidRPr="00F53062" w:rsidRDefault="00F53062" w:rsidP="00F53062">
      <w:pPr>
        <w:shd w:val="clear" w:color="auto" w:fill="FFFFFF"/>
        <w:spacing w:after="0" w:line="336" w:lineRule="atLeast"/>
        <w:rPr>
          <w:rFonts w:ascii="Times New Roman" w:eastAsia="Times New Roman" w:hAnsi="Times New Roman" w:cs="Times New Roman"/>
          <w:b w:val="0"/>
          <w:bCs w:val="0"/>
          <w:color w:val="000000"/>
          <w:sz w:val="18"/>
          <w:szCs w:val="18"/>
          <w:u w:val="none"/>
          <w:rtl/>
        </w:rPr>
      </w:pPr>
      <w:r w:rsidRPr="00F53062">
        <w:rPr>
          <w:rFonts w:ascii="Times New Roman" w:eastAsia="Times New Roman" w:hAnsi="Times New Roman" w:cs="Times New Roman"/>
          <w:b w:val="0"/>
          <w:bCs w:val="0"/>
          <w:color w:val="000000"/>
          <w:sz w:val="18"/>
          <w:szCs w:val="18"/>
          <w:u w:val="none"/>
        </w:rPr>
        <w:t> </w:t>
      </w:r>
    </w:p>
    <w:p w:rsid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roofErr w:type="spellStart"/>
      <w:r w:rsidRPr="00F53062">
        <w:rPr>
          <w:rFonts w:ascii="Times New Roman" w:eastAsia="Times New Roman" w:hAnsi="Times New Roman" w:cs="Times New Roman"/>
          <w:b w:val="0"/>
          <w:bCs w:val="0"/>
          <w:color w:val="000000"/>
          <w:sz w:val="14"/>
          <w:szCs w:val="14"/>
          <w:u w:val="none"/>
          <w:vertAlign w:val="superscript"/>
        </w:rPr>
        <w:t>Exod</w:t>
      </w:r>
      <w:proofErr w:type="spellEnd"/>
      <w:r w:rsidRPr="00F53062">
        <w:rPr>
          <w:rFonts w:ascii="Times New Roman" w:eastAsia="Times New Roman" w:hAnsi="Times New Roman" w:cs="Times New Roman"/>
          <w:b w:val="0"/>
          <w:bCs w:val="0"/>
          <w:color w:val="000000"/>
          <w:sz w:val="14"/>
          <w:szCs w:val="14"/>
          <w:u w:val="none"/>
          <w:vertAlign w:val="superscript"/>
        </w:rPr>
        <w:t xml:space="preserve"> 21:12 </w:t>
      </w:r>
      <w:r w:rsidRPr="00F53062">
        <w:rPr>
          <w:rFonts w:ascii="Times New Roman" w:eastAsia="Times New Roman" w:hAnsi="Times New Roman" w:cs="Times New Roman"/>
          <w:b w:val="0"/>
          <w:bCs w:val="0"/>
          <w:color w:val="000000"/>
          <w:sz w:val="18"/>
          <w:szCs w:val="18"/>
          <w:u w:val="none"/>
        </w:rPr>
        <w:t>He who strikes a man so that he dies shall be put to death, </w:t>
      </w:r>
      <w:r w:rsidRPr="00F53062">
        <w:rPr>
          <w:rFonts w:ascii="Times New Roman" w:eastAsia="Times New Roman" w:hAnsi="Times New Roman" w:cs="Times New Roman"/>
          <w:b w:val="0"/>
          <w:bCs w:val="0"/>
          <w:color w:val="000000"/>
          <w:sz w:val="14"/>
          <w:szCs w:val="14"/>
          <w:u w:val="none"/>
          <w:vertAlign w:val="superscript"/>
        </w:rPr>
        <w:t>21:13 </w:t>
      </w:r>
      <w:r w:rsidRPr="00F53062">
        <w:rPr>
          <w:rFonts w:ascii="Times New Roman" w:eastAsia="Times New Roman" w:hAnsi="Times New Roman" w:cs="Times New Roman"/>
          <w:b w:val="0"/>
          <w:bCs w:val="0"/>
          <w:color w:val="000000"/>
          <w:sz w:val="18"/>
          <w:szCs w:val="18"/>
          <w:u w:val="none"/>
        </w:rPr>
        <w:t>and he who did not plan it, but God directed (the victim) to his hand, I will appoint a place for you to which he may flee. </w:t>
      </w:r>
      <w:r w:rsidRPr="00F53062">
        <w:rPr>
          <w:rFonts w:ascii="Times New Roman" w:eastAsia="Times New Roman" w:hAnsi="Times New Roman" w:cs="Times New Roman"/>
          <w:b w:val="0"/>
          <w:bCs w:val="0"/>
          <w:color w:val="000000"/>
          <w:sz w:val="14"/>
          <w:szCs w:val="14"/>
          <w:u w:val="none"/>
          <w:vertAlign w:val="superscript"/>
        </w:rPr>
        <w:t>21:14 </w:t>
      </w:r>
      <w:r w:rsidRPr="00F53062">
        <w:rPr>
          <w:rFonts w:ascii="Times New Roman" w:eastAsia="Times New Roman" w:hAnsi="Times New Roman" w:cs="Times New Roman"/>
          <w:b w:val="0"/>
          <w:bCs w:val="0"/>
          <w:color w:val="000000"/>
          <w:sz w:val="18"/>
          <w:szCs w:val="18"/>
          <w:u w:val="none"/>
        </w:rPr>
        <w:t>But if a person plots against his fellow to kill him by deceit, you shall take him from my altar to be put to death.</w:t>
      </w:r>
    </w:p>
    <w:p w:rsidR="00F53062" w:rsidRPr="00F53062" w:rsidRDefault="00F53062" w:rsidP="00F53062">
      <w:pPr>
        <w:shd w:val="clear" w:color="auto" w:fill="FFFFFF"/>
        <w:spacing w:after="0" w:line="372" w:lineRule="atLeast"/>
        <w:textAlignment w:val="top"/>
        <w:rPr>
          <w:rFonts w:ascii="Times New Roman" w:eastAsia="Times New Roman" w:hAnsi="Times New Roman" w:cs="Times New Roman"/>
          <w:b w:val="0"/>
          <w:bCs w:val="0"/>
          <w:color w:val="000000"/>
          <w:sz w:val="18"/>
          <w:szCs w:val="18"/>
          <w:u w:val="none"/>
        </w:rPr>
      </w:pP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This corresponds with LH 207, cited above, and shares its concern about unintentional homicide. The topic was removed from the context of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21:18–19 and placed at the beginning of CC’s assault laws because of its seriousness</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16]</w:t>
      </w:r>
      <w:r w:rsidRPr="00F53062">
        <w:rPr>
          <w:rFonts w:ascii="Times New Roman" w:eastAsia="Times New Roman" w:hAnsi="Times New Roman" w:cs="Times New Roman"/>
          <w:b w:val="0"/>
          <w:bCs w:val="0"/>
          <w:color w:val="000000"/>
          <w:sz w:val="20"/>
          <w:szCs w:val="20"/>
          <w:u w:val="none"/>
        </w:rPr>
        <w:t> Oddly, while CC’s homicide law prescribes a penalty for intentional homicide, no liability for inadvertent homicide is stated. It looks like the killer in the latter case is totally exonerated in contrast to the indemnification required by LH 206–208.</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But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beginning with the case of inadvertently killing the pregnant woman, actually fills this gap and sets out liability for inadvertent homicide and injury. As noted already it deals with unintentional assault whose results include homicide, </w:t>
      </w:r>
      <w:proofErr w:type="spellStart"/>
      <w:r w:rsidRPr="00F53062">
        <w:rPr>
          <w:rFonts w:ascii="Times New Roman" w:eastAsia="Times New Roman" w:hAnsi="Times New Roman" w:cs="Times New Roman"/>
          <w:b w:val="0"/>
          <w:bCs w:val="0"/>
          <w:color w:val="000000"/>
          <w:sz w:val="20"/>
          <w:szCs w:val="20"/>
          <w:u w:val="none"/>
        </w:rPr>
        <w:t>incorportated</w:t>
      </w:r>
      <w:proofErr w:type="spellEnd"/>
      <w:r w:rsidRPr="00F53062">
        <w:rPr>
          <w:rFonts w:ascii="Times New Roman" w:eastAsia="Times New Roman" w:hAnsi="Times New Roman" w:cs="Times New Roman"/>
          <w:b w:val="0"/>
          <w:bCs w:val="0"/>
          <w:color w:val="000000"/>
          <w:sz w:val="20"/>
          <w:szCs w:val="20"/>
          <w:u w:val="none"/>
        </w:rPr>
        <w:t xml:space="preserve"> in the “life for life,” which mirrors the measure-for-measure capital liability in Hammurabi’s miscarriage law (LH 210). It also is a general law that prescribes payment, i.e., compensation, according to the degree of injury suffered by the victim.</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color w:val="000000"/>
          <w:sz w:val="30"/>
          <w:u w:val="none"/>
        </w:rPr>
        <w:t>“</w:t>
      </w:r>
      <w:proofErr w:type="spellStart"/>
      <w:r w:rsidRPr="00F53062">
        <w:rPr>
          <w:rFonts w:ascii="Times New Roman" w:eastAsia="Times New Roman" w:hAnsi="Times New Roman" w:cs="Times New Roman"/>
          <w:color w:val="000000"/>
          <w:sz w:val="30"/>
          <w:u w:val="none"/>
          <w:rtl/>
          <w:lang w:bidi="he-IL"/>
        </w:rPr>
        <w:t>וְנָתַתָּה</w:t>
      </w:r>
      <w:proofErr w:type="spellEnd"/>
      <w:r w:rsidRPr="00F53062">
        <w:rPr>
          <w:rFonts w:ascii="Times New Roman" w:eastAsia="Times New Roman" w:hAnsi="Times New Roman" w:cs="Times New Roman"/>
          <w:color w:val="000000"/>
          <w:sz w:val="30"/>
          <w:u w:val="none"/>
        </w:rPr>
        <w:t>”: </w:t>
      </w:r>
      <w:r w:rsidRPr="00F53062">
        <w:rPr>
          <w:rFonts w:ascii="Times New Roman" w:eastAsia="Times New Roman" w:hAnsi="Times New Roman" w:cs="Times New Roman"/>
          <w:b w:val="0"/>
          <w:bCs w:val="0"/>
          <w:color w:val="000000"/>
          <w:sz w:val="30"/>
          <w:szCs w:val="30"/>
          <w:u w:val="none"/>
        </w:rPr>
        <w:t>What Does the Inadvertent Killer/Damager “Give”?</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That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requires payment, not literal infliction of death or injury, is indicated in part by the indirect and hence unintentional nature of the assault. Capital punishment or corporal punishment does not fit with the system of CC (e.g., 21:12–14, 18–21, 28–32).</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lastRenderedPageBreak/>
        <w:t xml:space="preserve">More importantly, the verb </w:t>
      </w:r>
      <w:r w:rsidRPr="00F53062">
        <w:rPr>
          <w:rFonts w:ascii="Times New Roman" w:eastAsia="Times New Roman" w:hAnsi="Times New Roman" w:cs="Times New Roman"/>
          <w:b w:val="0"/>
          <w:bCs w:val="0"/>
          <w:color w:val="000000"/>
          <w:sz w:val="20"/>
          <w:szCs w:val="20"/>
          <w:u w:val="none"/>
          <w:rtl/>
          <w:lang w:bidi="he-IL"/>
        </w:rPr>
        <w:t>נָתַן</w:t>
      </w:r>
      <w:r w:rsidRPr="00F53062">
        <w:rPr>
          <w:rFonts w:ascii="Times New Roman" w:eastAsia="Times New Roman" w:hAnsi="Times New Roman" w:cs="Times New Roman"/>
          <w:b w:val="0"/>
          <w:bCs w:val="0"/>
          <w:color w:val="000000"/>
          <w:sz w:val="20"/>
          <w:szCs w:val="20"/>
          <w:u w:val="none"/>
        </w:rPr>
        <w:t xml:space="preserve"> “give” which heads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list (“you shall give life for life…” v. 23b), is found in other contexts of CC to refer to payment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21:19, 30, 32) and even in the first miscarriage law (v. 22). Thus CC’s law prescribes payment for inadvertent homicide and injury like LH 206–208. The difference is that that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allows for variable rather than fixed rates as in LH</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17]</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The formulation of this verb and the length and scope of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list also indicate that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is a</w:t>
      </w:r>
      <w:r w:rsidRPr="00F53062">
        <w:rPr>
          <w:rFonts w:ascii="Times New Roman" w:eastAsia="Times New Roman" w:hAnsi="Times New Roman" w:cs="Times New Roman"/>
          <w:b w:val="0"/>
          <w:bCs w:val="0"/>
          <w:i/>
          <w:iCs/>
          <w:color w:val="000000"/>
          <w:sz w:val="20"/>
          <w:szCs w:val="20"/>
          <w:u w:val="none"/>
        </w:rPr>
        <w:t> general </w:t>
      </w:r>
      <w:r w:rsidRPr="00F53062">
        <w:rPr>
          <w:rFonts w:ascii="Times New Roman" w:eastAsia="Times New Roman" w:hAnsi="Times New Roman" w:cs="Times New Roman"/>
          <w:b w:val="0"/>
          <w:bCs w:val="0"/>
          <w:color w:val="000000"/>
          <w:sz w:val="20"/>
          <w:szCs w:val="20"/>
          <w:u w:val="none"/>
        </w:rPr>
        <w:t>law covering all cases of inadvertent homicide and injury. In standard case law formulation, verbs describing acts committed and resulting obligations are generally in the third person (“if he/they does/do X, he/they must do Y”). For example, CC’s first miscarriage law has such a style: “If men struggle and they knock a pregnant woman …, he shall be fined as the husband of the woman exacts from him”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21:22).</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 penalty in the second miscarriage law uses, in contrast, an unusual second person verb: “you shall pay (</w:t>
      </w:r>
      <w:proofErr w:type="spellStart"/>
      <w:r w:rsidRPr="00F53062">
        <w:rPr>
          <w:rFonts w:ascii="Times New Roman" w:eastAsia="Times New Roman" w:hAnsi="Times New Roman" w:cs="Times New Roman"/>
          <w:b w:val="0"/>
          <w:bCs w:val="0"/>
          <w:color w:val="000000"/>
          <w:sz w:val="20"/>
          <w:szCs w:val="20"/>
          <w:u w:val="none"/>
          <w:rtl/>
          <w:lang w:bidi="he-IL"/>
        </w:rPr>
        <w:t>וְנָתַתָּה</w:t>
      </w:r>
      <w:proofErr w:type="spellEnd"/>
      <w:r w:rsidRPr="00F53062">
        <w:rPr>
          <w:rFonts w:ascii="Times New Roman" w:eastAsia="Times New Roman" w:hAnsi="Times New Roman" w:cs="Times New Roman"/>
          <w:b w:val="0"/>
          <w:bCs w:val="0"/>
          <w:color w:val="000000"/>
          <w:sz w:val="20"/>
          <w:szCs w:val="20"/>
          <w:u w:val="none"/>
        </w:rPr>
        <w:t xml:space="preserve">,) life for life, eye for eye….”). This shift in style seems to point to a legal horizon beyond the immediate context of miscarriage by broadening the audience beyond the specific case of assault. In addition, the length of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list with its eight dyads, and the range of injuries listed, also point to application beyond the context of miscarriage</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18]</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As such, CC’s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 fills the gap left in its homicide law and prescribes compensation for inadvertent homicide. It thus follows the basic requirement of LH 206–208. Another smaller but significant point where these laws influence CC was in the mention of inflicting a wound (LH 206). Just as CC bifurcated Hammurabi’s bone in 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laws of LH 198–199 into an “arm” and “leg” in v. 24, so it seems to have trifurcated Hammurabi’s “wound” in LH 206 into its “burn,” “injury,” and “wound” in verse 25.</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 payment of compensation also explains the implicit mechanism for how an inadvertent killer leaves the altar. When this is paid or agreed to, the anger of the victim’s family is assuaged and the killer may return safely home. This negotiation with the family would be similar to the negotiations in the first miscarriage law (v. 22) or the goring ox (v. 30).</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Reworking Hammurabi</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Thus, CC’s miscarriage and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list reworks three main sections from LH:</w:t>
      </w:r>
    </w:p>
    <w:p w:rsidR="00F53062" w:rsidRPr="00F53062" w:rsidRDefault="00F53062" w:rsidP="00F53062">
      <w:pPr>
        <w:numPr>
          <w:ilvl w:val="0"/>
          <w:numId w:val="4"/>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Two basic miscarriage laws, in vv. 22 and 23–25 from LH 209–210</w:t>
      </w:r>
    </w:p>
    <w:p w:rsidR="00F53062" w:rsidRPr="00F53062" w:rsidRDefault="00F53062" w:rsidP="00F53062">
      <w:pPr>
        <w:numPr>
          <w:ilvl w:val="0"/>
          <w:numId w:val="4"/>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as a replacement penalty in the second law in vv. 23b–25 from LH 196–201</w:t>
      </w:r>
    </w:p>
    <w:p w:rsidR="00F53062" w:rsidRPr="00F53062" w:rsidRDefault="00F53062" w:rsidP="00F53062">
      <w:pPr>
        <w:numPr>
          <w:ilvl w:val="0"/>
          <w:numId w:val="4"/>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 context of a fight to characterize inadvertence from LH 206–208</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The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list in verses 23b–25 itself draws on these sections of LH:</w:t>
      </w:r>
    </w:p>
    <w:p w:rsidR="00F53062" w:rsidRPr="00F53062" w:rsidRDefault="00F53062" w:rsidP="00F53062">
      <w:pPr>
        <w:numPr>
          <w:ilvl w:val="0"/>
          <w:numId w:val="5"/>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lastRenderedPageBreak/>
        <w:t>Life in v. 23b from LH 210;</w:t>
      </w:r>
    </w:p>
    <w:p w:rsidR="00F53062" w:rsidRPr="00F53062" w:rsidRDefault="00F53062" w:rsidP="00F53062">
      <w:pPr>
        <w:numPr>
          <w:ilvl w:val="0"/>
          <w:numId w:val="5"/>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 eye, tooth, arm, leg in v. 24 from LH 196–201;</w:t>
      </w:r>
    </w:p>
    <w:p w:rsidR="00F53062" w:rsidRPr="00F53062" w:rsidRDefault="00F53062" w:rsidP="00F53062">
      <w:pPr>
        <w:numPr>
          <w:ilvl w:val="0"/>
          <w:numId w:val="5"/>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Burn, injury, and wound in v. 25 from LH 206.</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These all derive from a rather delimited area of Hammurabi’s text—laws 196-210. The movement from miscarriage law to </w:t>
      </w:r>
      <w:proofErr w:type="spellStart"/>
      <w:r w:rsidRPr="00F53062">
        <w:rPr>
          <w:rFonts w:ascii="Times New Roman" w:eastAsia="Times New Roman" w:hAnsi="Times New Roman" w:cs="Times New Roman"/>
          <w:b w:val="0"/>
          <w:bCs w:val="0"/>
          <w:color w:val="000000"/>
          <w:sz w:val="20"/>
          <w:szCs w:val="20"/>
          <w:u w:val="none"/>
        </w:rPr>
        <w:t>talion</w:t>
      </w:r>
      <w:proofErr w:type="spellEnd"/>
      <w:r w:rsidRPr="00F53062">
        <w:rPr>
          <w:rFonts w:ascii="Times New Roman" w:eastAsia="Times New Roman" w:hAnsi="Times New Roman" w:cs="Times New Roman"/>
          <w:b w:val="0"/>
          <w:bCs w:val="0"/>
          <w:color w:val="000000"/>
          <w:sz w:val="20"/>
          <w:szCs w:val="20"/>
          <w:u w:val="none"/>
        </w:rPr>
        <w:t xml:space="preserve"> is an artificial yet highly creative construction that, as noted above, was primarily motivated by eliminating vicarious punishment from LH 210</w:t>
      </w:r>
      <w:r w:rsidRPr="00F53062">
        <w:rPr>
          <w:rFonts w:ascii="Times New Roman" w:eastAsia="Times New Roman" w:hAnsi="Times New Roman" w:cs="Times New Roman"/>
          <w:b w:val="0"/>
          <w:bCs w:val="0"/>
          <w:color w:val="B22222"/>
          <w:sz w:val="18"/>
          <w:szCs w:val="18"/>
          <w:u w:val="none"/>
          <w:vertAlign w:val="superscript"/>
        </w:rPr>
        <w:t>[19]</w:t>
      </w:r>
      <w:r w:rsidRPr="00F53062">
        <w:rPr>
          <w:rFonts w:ascii="Times New Roman" w:eastAsia="Times New Roman" w:hAnsi="Times New Roman" w:cs="Times New Roman"/>
          <w:b w:val="0"/>
          <w:bCs w:val="0"/>
          <w:color w:val="000000"/>
          <w:sz w:val="20"/>
          <w:szCs w:val="20"/>
          <w:u w:val="none"/>
        </w:rPr>
        <w:t> and secondarily motivated by a desire to complement the homicide law of verses 12–14.</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CC’s connections to LH are thus very intricate. They do not seem to result from common broad legal traditions or sources that are reflected independently in LH. Rather, the correlations between the laws of CC and LH and the hermeneutic process proposed in their creation indicate that CC’s homicide and assault laws derive quite directly from </w:t>
      </w:r>
      <w:proofErr w:type="gramStart"/>
      <w:r w:rsidRPr="00F53062">
        <w:rPr>
          <w:rFonts w:ascii="Times New Roman" w:eastAsia="Times New Roman" w:hAnsi="Times New Roman" w:cs="Times New Roman"/>
          <w:b w:val="0"/>
          <w:bCs w:val="0"/>
          <w:color w:val="000000"/>
          <w:sz w:val="20"/>
          <w:szCs w:val="20"/>
          <w:u w:val="none"/>
        </w:rPr>
        <w:t>a knowledge</w:t>
      </w:r>
      <w:proofErr w:type="gramEnd"/>
      <w:r w:rsidRPr="00F53062">
        <w:rPr>
          <w:rFonts w:ascii="Times New Roman" w:eastAsia="Times New Roman" w:hAnsi="Times New Roman" w:cs="Times New Roman"/>
          <w:b w:val="0"/>
          <w:bCs w:val="0"/>
          <w:color w:val="000000"/>
          <w:sz w:val="20"/>
          <w:szCs w:val="20"/>
          <w:u w:val="none"/>
        </w:rPr>
        <w:t xml:space="preserve"> of LH.</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This provides a basis for arguing that other casuistic laws in CC (those formulated as “if such is the case, then such is to be done”;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21:2–22:19) that have correspondences with LH also are reworking similar laws in LH</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20]</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These, with their parallels in LH, include the laws on:</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Debt-slavery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21:2–11; LH 117, 148–149, 154–156, 282),</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Capital crimes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21:12–17; LH 14, 192–195, 207),</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Animal theft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21:35–22:3; LH 253–266),</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Animal grazing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22:4; LH 57–58),</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Stolen deposits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22:6–8; LH 122–126),</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Animal lost by a borrower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22:9–12; LH 266–267),</w:t>
      </w:r>
    </w:p>
    <w:p w:rsidR="00F53062" w:rsidRPr="00F53062" w:rsidRDefault="00F53062" w:rsidP="00F53062">
      <w:pPr>
        <w:numPr>
          <w:ilvl w:val="0"/>
          <w:numId w:val="6"/>
        </w:numPr>
        <w:shd w:val="clear" w:color="auto" w:fill="FFFFFF"/>
        <w:spacing w:before="100" w:beforeAutospacing="1" w:after="84"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Animal rental (</w:t>
      </w:r>
      <w:proofErr w:type="spellStart"/>
      <w:r w:rsidRPr="00F53062">
        <w:rPr>
          <w:rFonts w:ascii="Times New Roman" w:eastAsia="Times New Roman" w:hAnsi="Times New Roman" w:cs="Times New Roman"/>
          <w:b w:val="0"/>
          <w:bCs w:val="0"/>
          <w:color w:val="000000"/>
          <w:sz w:val="20"/>
          <w:szCs w:val="20"/>
          <w:u w:val="none"/>
        </w:rPr>
        <w:t>Exod</w:t>
      </w:r>
      <w:proofErr w:type="spellEnd"/>
      <w:r w:rsidRPr="00F53062">
        <w:rPr>
          <w:rFonts w:ascii="Times New Roman" w:eastAsia="Times New Roman" w:hAnsi="Times New Roman" w:cs="Times New Roman"/>
          <w:b w:val="0"/>
          <w:bCs w:val="0"/>
          <w:color w:val="000000"/>
          <w:sz w:val="20"/>
          <w:szCs w:val="20"/>
          <w:u w:val="none"/>
        </w:rPr>
        <w:t xml:space="preserve"> 22:13–14; LH 244–249, 268–271).</w:t>
      </w:r>
      <w:r w:rsidRPr="00F53062">
        <w:rPr>
          <w:rFonts w:ascii="Times New Roman" w:eastAsia="Times New Roman" w:hAnsi="Times New Roman" w:cs="Times New Roman"/>
          <w:b w:val="0"/>
          <w:bCs w:val="0"/>
          <w:color w:val="B22222"/>
          <w:sz w:val="18"/>
          <w:szCs w:val="18"/>
          <w:u w:val="none"/>
          <w:vertAlign w:val="superscript"/>
        </w:rPr>
        <w:t>[21]</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Dating the CC</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CC’s use of LH as a source fits best in the chronological window of 740–640</w:t>
      </w:r>
      <w:r w:rsidRPr="00F53062">
        <w:rPr>
          <w:rFonts w:ascii="Times New Roman" w:eastAsia="Times New Roman" w:hAnsi="Times New Roman" w:cs="Times New Roman"/>
          <w:b w:val="0"/>
          <w:bCs w:val="0"/>
          <w:smallCaps/>
          <w:color w:val="000000"/>
          <w:sz w:val="20"/>
          <w:szCs w:val="20"/>
          <w:u w:val="none"/>
        </w:rPr>
        <w:t> B.C.E</w:t>
      </w:r>
      <w:r w:rsidRPr="00F53062">
        <w:rPr>
          <w:rFonts w:ascii="Times New Roman" w:eastAsia="Times New Roman" w:hAnsi="Times New Roman" w:cs="Times New Roman"/>
          <w:b w:val="0"/>
          <w:bCs w:val="0"/>
          <w:color w:val="000000"/>
          <w:sz w:val="20"/>
          <w:szCs w:val="20"/>
          <w:u w:val="none"/>
        </w:rPr>
        <w:t>., during the height of Neo-Assyrian political and cultural domination. Even though LH was promulgated much earlier, many copies of LH, which was used as part of the training of scribes, are attested in this period.</w:t>
      </w:r>
      <w:r w:rsidRPr="00F53062">
        <w:rPr>
          <w:rFonts w:ascii="Times New Roman" w:eastAsia="Times New Roman" w:hAnsi="Times New Roman" w:cs="Times New Roman"/>
          <w:b w:val="0"/>
          <w:bCs w:val="0"/>
          <w:color w:val="B22222"/>
          <w:sz w:val="18"/>
          <w:szCs w:val="18"/>
          <w:u w:val="none"/>
          <w:vertAlign w:val="superscript"/>
        </w:rPr>
        <w:t>[22]</w:t>
      </w:r>
      <w:r w:rsidRPr="00F53062">
        <w:rPr>
          <w:rFonts w:ascii="Times New Roman" w:eastAsia="Times New Roman" w:hAnsi="Times New Roman" w:cs="Times New Roman"/>
          <w:b w:val="0"/>
          <w:bCs w:val="0"/>
          <w:color w:val="000000"/>
          <w:sz w:val="20"/>
          <w:szCs w:val="20"/>
          <w:u w:val="none"/>
        </w:rPr>
        <w:t xml:space="preserve"> Moreover, we know that the CC must have been composed before the </w:t>
      </w:r>
      <w:proofErr w:type="spellStart"/>
      <w:r w:rsidRPr="00F53062">
        <w:rPr>
          <w:rFonts w:ascii="Times New Roman" w:eastAsia="Times New Roman" w:hAnsi="Times New Roman" w:cs="Times New Roman"/>
          <w:b w:val="0"/>
          <w:bCs w:val="0"/>
          <w:color w:val="000000"/>
          <w:sz w:val="20"/>
          <w:szCs w:val="20"/>
          <w:u w:val="none"/>
        </w:rPr>
        <w:t>Deuteronomic</w:t>
      </w:r>
      <w:proofErr w:type="spellEnd"/>
      <w:r w:rsidRPr="00F53062">
        <w:rPr>
          <w:rFonts w:ascii="Times New Roman" w:eastAsia="Times New Roman" w:hAnsi="Times New Roman" w:cs="Times New Roman"/>
          <w:b w:val="0"/>
          <w:bCs w:val="0"/>
          <w:color w:val="000000"/>
          <w:sz w:val="20"/>
          <w:szCs w:val="20"/>
          <w:u w:val="none"/>
        </w:rPr>
        <w:t xml:space="preserve"> law collection, generally dated to the second half of the seventh century</w:t>
      </w:r>
      <w:r w:rsidRPr="00F53062">
        <w:rPr>
          <w:rFonts w:ascii="Times New Roman" w:eastAsia="Times New Roman" w:hAnsi="Times New Roman" w:cs="Times New Roman"/>
          <w:b w:val="0"/>
          <w:bCs w:val="0"/>
          <w:smallCaps/>
          <w:color w:val="000000"/>
          <w:sz w:val="20"/>
          <w:szCs w:val="20"/>
          <w:u w:val="none"/>
        </w:rPr>
        <w:t> B.C.E</w:t>
      </w:r>
      <w:r w:rsidRPr="00F53062">
        <w:rPr>
          <w:rFonts w:ascii="Times New Roman" w:eastAsia="Times New Roman" w:hAnsi="Times New Roman" w:cs="Times New Roman"/>
          <w:b w:val="0"/>
          <w:bCs w:val="0"/>
          <w:color w:val="000000"/>
          <w:sz w:val="20"/>
          <w:szCs w:val="20"/>
          <w:u w:val="none"/>
        </w:rPr>
        <w:t>., which builds on it and responds to it.</w:t>
      </w:r>
      <w:r w:rsidRPr="00F53062">
        <w:rPr>
          <w:rFonts w:ascii="Times New Roman" w:eastAsia="Times New Roman" w:hAnsi="Times New Roman" w:cs="Times New Roman"/>
          <w:b w:val="0"/>
          <w:bCs w:val="0"/>
          <w:color w:val="B22222"/>
          <w:sz w:val="18"/>
          <w:szCs w:val="18"/>
          <w:u w:val="none"/>
          <w:vertAlign w:val="superscript"/>
        </w:rPr>
        <w:t>[23]</w:t>
      </w:r>
      <w:r w:rsidRPr="00F53062">
        <w:rPr>
          <w:rFonts w:ascii="Times New Roman" w:eastAsia="Times New Roman" w:hAnsi="Times New Roman" w:cs="Times New Roman"/>
          <w:b w:val="0"/>
          <w:bCs w:val="0"/>
          <w:color w:val="000000"/>
          <w:sz w:val="20"/>
          <w:szCs w:val="20"/>
          <w:u w:val="none"/>
        </w:rPr>
        <w:t xml:space="preserve"> This period corresponds to the final years of the northern </w:t>
      </w:r>
      <w:r w:rsidRPr="00F53062">
        <w:rPr>
          <w:rFonts w:ascii="Times New Roman" w:eastAsia="Times New Roman" w:hAnsi="Times New Roman" w:cs="Times New Roman"/>
          <w:b w:val="0"/>
          <w:bCs w:val="0"/>
          <w:color w:val="000000"/>
          <w:sz w:val="20"/>
          <w:szCs w:val="20"/>
          <w:u w:val="none"/>
        </w:rPr>
        <w:lastRenderedPageBreak/>
        <w:t>kingdom of Israel (destroyed by Assyrian in 722</w:t>
      </w:r>
      <w:r w:rsidRPr="00F53062">
        <w:rPr>
          <w:rFonts w:ascii="Times New Roman" w:eastAsia="Times New Roman" w:hAnsi="Times New Roman" w:cs="Times New Roman"/>
          <w:b w:val="0"/>
          <w:bCs w:val="0"/>
          <w:smallCaps/>
          <w:color w:val="000000"/>
          <w:sz w:val="20"/>
          <w:szCs w:val="20"/>
          <w:u w:val="none"/>
        </w:rPr>
        <w:t> B.C.E</w:t>
      </w:r>
      <w:r w:rsidRPr="00F53062">
        <w:rPr>
          <w:rFonts w:ascii="Times New Roman" w:eastAsia="Times New Roman" w:hAnsi="Times New Roman" w:cs="Times New Roman"/>
          <w:b w:val="0"/>
          <w:bCs w:val="0"/>
          <w:color w:val="000000"/>
          <w:sz w:val="20"/>
          <w:szCs w:val="20"/>
          <w:u w:val="none"/>
        </w:rPr>
        <w:t>.) and Assyria’s conquest of Judah (701</w:t>
      </w:r>
      <w:r w:rsidRPr="00F53062">
        <w:rPr>
          <w:rFonts w:ascii="Times New Roman" w:eastAsia="Times New Roman" w:hAnsi="Times New Roman" w:cs="Times New Roman"/>
          <w:b w:val="0"/>
          <w:bCs w:val="0"/>
          <w:smallCaps/>
          <w:color w:val="000000"/>
          <w:sz w:val="20"/>
          <w:szCs w:val="20"/>
          <w:u w:val="none"/>
        </w:rPr>
        <w:t> B.C.E</w:t>
      </w:r>
      <w:r w:rsidRPr="00F53062">
        <w:rPr>
          <w:rFonts w:ascii="Times New Roman" w:eastAsia="Times New Roman" w:hAnsi="Times New Roman" w:cs="Times New Roman"/>
          <w:b w:val="0"/>
          <w:bCs w:val="0"/>
          <w:color w:val="000000"/>
          <w:sz w:val="20"/>
          <w:szCs w:val="20"/>
          <w:u w:val="none"/>
        </w:rPr>
        <w:t>.) and its incorporation into the empire as a vassal state.</w:t>
      </w:r>
    </w:p>
    <w:p w:rsidR="00F53062" w:rsidRPr="00F53062" w:rsidRDefault="00F53062" w:rsidP="00F53062">
      <w:pPr>
        <w:shd w:val="clear" w:color="auto" w:fill="FFFFFF"/>
        <w:spacing w:before="240" w:after="120" w:line="360" w:lineRule="atLeast"/>
        <w:outlineLvl w:val="2"/>
        <w:rPr>
          <w:rFonts w:ascii="Times New Roman" w:eastAsia="Times New Roman" w:hAnsi="Times New Roman" w:cs="Times New Roman"/>
          <w:b w:val="0"/>
          <w:bCs w:val="0"/>
          <w:color w:val="000000"/>
          <w:sz w:val="25"/>
          <w:szCs w:val="25"/>
          <w:u w:val="none"/>
        </w:rPr>
      </w:pPr>
      <w:r w:rsidRPr="00F53062">
        <w:rPr>
          <w:rFonts w:ascii="Times New Roman" w:eastAsia="Times New Roman" w:hAnsi="Times New Roman" w:cs="Times New Roman"/>
          <w:b w:val="0"/>
          <w:bCs w:val="0"/>
          <w:color w:val="000000"/>
          <w:sz w:val="25"/>
          <w:szCs w:val="25"/>
          <w:u w:val="none"/>
        </w:rPr>
        <w:t>Grappling with LH and Assyrian Ideology</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This dating provides an indication of CC’s ideological goal. It appears to operate as a response to the politically dominant Assyrian power by adapting Mesopotamian cultural motifs as part of Israelite/Judean heritage. The degree that this response sought to acquiesce to imperial power by emulation or to subvert it is open to debate. But a strong hint that this is an expression of resistance is found in CC’s replacing the royal human lawgiver (Hammurabi) with the national deity (YHWH) and setting this revelation of law at the nation’s birth</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24]</w:t>
      </w:r>
    </w:p>
    <w:p w:rsidR="00F53062" w:rsidRPr="00F53062" w:rsidRDefault="00F53062" w:rsidP="00F53062">
      <w:pPr>
        <w:shd w:val="clear" w:color="auto" w:fill="FFFFFF"/>
        <w:spacing w:before="540" w:after="120" w:line="444" w:lineRule="atLeast"/>
        <w:outlineLvl w:val="4"/>
        <w:rPr>
          <w:rFonts w:ascii="Times New Roman" w:eastAsia="Times New Roman" w:hAnsi="Times New Roman" w:cs="Times New Roman"/>
          <w:color w:val="000000"/>
          <w:sz w:val="18"/>
          <w:szCs w:val="18"/>
          <w:u w:val="none"/>
        </w:rPr>
      </w:pPr>
      <w:r w:rsidRPr="00F53062">
        <w:rPr>
          <w:rFonts w:ascii="Times New Roman" w:eastAsia="Times New Roman" w:hAnsi="Times New Roman" w:cs="Times New Roman"/>
          <w:color w:val="000000"/>
          <w:sz w:val="18"/>
          <w:szCs w:val="18"/>
          <w:u w:val="none"/>
        </w:rPr>
        <w:t>Appendix</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Rejection of Vicarious Punishment in Ox Goring Laws</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That CC’s penalty in the second miscarriage law (vv. 23–25) is a rejection of the penalty in LH 210, discussed above, is supported by its goring ox laws, which also have close correlations with Hammurabi’s legislation, including covering the same topics in the same order:</w:t>
      </w:r>
    </w:p>
    <w:tbl>
      <w:tblPr>
        <w:tblW w:w="0" w:type="auto"/>
        <w:tblCellMar>
          <w:top w:w="15" w:type="dxa"/>
          <w:left w:w="15" w:type="dxa"/>
          <w:bottom w:w="15" w:type="dxa"/>
          <w:right w:w="15" w:type="dxa"/>
        </w:tblCellMar>
        <w:tblLook w:val="04A0"/>
      </w:tblPr>
      <w:tblGrid>
        <w:gridCol w:w="2397"/>
        <w:gridCol w:w="3313"/>
        <w:gridCol w:w="3878"/>
      </w:tblGrid>
      <w:tr w:rsidR="00F53062" w:rsidRPr="00F53062" w:rsidTr="00F53062">
        <w:tc>
          <w:tcPr>
            <w:tcW w:w="1250" w:type="pct"/>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t> </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t>CC</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t>LH</w:t>
            </w:r>
          </w:p>
        </w:tc>
      </w:tr>
      <w:tr w:rsidR="00F53062" w:rsidRPr="00F53062" w:rsidTr="00F53062">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t>(A) </w:t>
            </w:r>
            <w:r w:rsidRPr="00F53062">
              <w:rPr>
                <w:rFonts w:ascii="Times New Roman" w:eastAsia="Times New Roman" w:hAnsi="Times New Roman" w:cs="Times New Roman"/>
                <w:b w:val="0"/>
                <w:bCs w:val="0"/>
                <w:i/>
                <w:iCs/>
                <w:color w:val="auto"/>
                <w:sz w:val="24"/>
                <w:szCs w:val="24"/>
                <w:u w:val="none"/>
              </w:rPr>
              <w:t>Ad hoc</w:t>
            </w:r>
            <w:r w:rsidRPr="00F53062">
              <w:rPr>
                <w:rFonts w:ascii="Times New Roman" w:eastAsia="Times New Roman" w:hAnsi="Times New Roman" w:cs="Times New Roman"/>
                <w:b w:val="0"/>
                <w:bCs w:val="0"/>
                <w:color w:val="auto"/>
                <w:sz w:val="24"/>
                <w:szCs w:val="24"/>
                <w:u w:val="none"/>
              </w:rPr>
              <w:t> goring—the owner suffers no penalty.</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t>21:8</w:t>
            </w:r>
            <w:r w:rsidRPr="00F53062">
              <w:rPr>
                <w:rFonts w:ascii="Times New Roman" w:eastAsia="Times New Roman" w:hAnsi="Times New Roman" w:cs="Times New Roman"/>
                <w:color w:val="auto"/>
                <w:sz w:val="24"/>
                <w:szCs w:val="24"/>
                <w:u w:val="none"/>
              </w:rPr>
              <w:t>If an ox gores</w:t>
            </w:r>
            <w:r w:rsidRPr="00F53062">
              <w:rPr>
                <w:rFonts w:ascii="Times New Roman" w:eastAsia="Times New Roman" w:hAnsi="Times New Roman" w:cs="Times New Roman"/>
                <w:b w:val="0"/>
                <w:bCs w:val="0"/>
                <w:color w:val="auto"/>
                <w:sz w:val="24"/>
                <w:szCs w:val="24"/>
                <w:u w:val="none"/>
              </w:rPr>
              <w:t> a man or woman and he dies, the ox shall be stoned, its flesh shall not be eaten; the owner of the ox is not liable.</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t>250 </w:t>
            </w:r>
            <w:r w:rsidRPr="00F53062">
              <w:rPr>
                <w:rFonts w:ascii="Times New Roman" w:eastAsia="Times New Roman" w:hAnsi="Times New Roman" w:cs="Times New Roman"/>
                <w:color w:val="auto"/>
                <w:sz w:val="24"/>
                <w:szCs w:val="24"/>
                <w:u w:val="none"/>
              </w:rPr>
              <w:t>If an ox gores</w:t>
            </w:r>
            <w:r w:rsidRPr="00F53062">
              <w:rPr>
                <w:rFonts w:ascii="Times New Roman" w:eastAsia="Times New Roman" w:hAnsi="Times New Roman" w:cs="Times New Roman"/>
                <w:b w:val="0"/>
                <w:bCs w:val="0"/>
                <w:color w:val="auto"/>
                <w:sz w:val="24"/>
                <w:szCs w:val="24"/>
                <w:u w:val="none"/>
              </w:rPr>
              <w:t> </w:t>
            </w:r>
            <w:proofErr w:type="spellStart"/>
            <w:r w:rsidRPr="00F53062">
              <w:rPr>
                <w:rFonts w:ascii="Times New Roman" w:eastAsia="Times New Roman" w:hAnsi="Times New Roman" w:cs="Times New Roman"/>
                <w:b w:val="0"/>
                <w:bCs w:val="0"/>
                <w:color w:val="auto"/>
                <w:sz w:val="24"/>
                <w:szCs w:val="24"/>
                <w:u w:val="none"/>
              </w:rPr>
              <w:t>aa</w:t>
            </w:r>
            <w:proofErr w:type="spellEnd"/>
            <w:r w:rsidRPr="00F53062">
              <w:rPr>
                <w:rFonts w:ascii="Times New Roman" w:eastAsia="Times New Roman" w:hAnsi="Times New Roman" w:cs="Times New Roman"/>
                <w:b w:val="0"/>
                <w:bCs w:val="0"/>
                <w:color w:val="auto"/>
                <w:sz w:val="24"/>
                <w:szCs w:val="24"/>
                <w:u w:val="none"/>
              </w:rPr>
              <w:t> </w:t>
            </w:r>
            <w:proofErr w:type="spellStart"/>
            <w:r w:rsidRPr="00F53062">
              <w:rPr>
                <w:rFonts w:ascii="Times New Roman" w:eastAsia="Times New Roman" w:hAnsi="Times New Roman" w:cs="Times New Roman"/>
                <w:b w:val="0"/>
                <w:bCs w:val="0"/>
                <w:i/>
                <w:iCs/>
                <w:color w:val="auto"/>
                <w:sz w:val="24"/>
                <w:szCs w:val="24"/>
                <w:u w:val="none"/>
              </w:rPr>
              <w:t>awīlum</w:t>
            </w:r>
            <w:proofErr w:type="spellEnd"/>
            <w:r w:rsidRPr="00F53062">
              <w:rPr>
                <w:rFonts w:ascii="Times New Roman" w:eastAsia="Times New Roman" w:hAnsi="Times New Roman" w:cs="Times New Roman"/>
                <w:b w:val="0"/>
                <w:bCs w:val="0"/>
                <w:color w:val="auto"/>
                <w:sz w:val="24"/>
                <w:szCs w:val="24"/>
                <w:u w:val="none"/>
              </w:rPr>
              <w:t> while passing through the street and kills (him), that case has no claim.</w:t>
            </w:r>
          </w:p>
        </w:tc>
      </w:tr>
      <w:tr w:rsidR="00F53062" w:rsidRPr="00F53062" w:rsidTr="00F53062">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t>(B) Goring by an ox known to gore—the owner is liable.</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t>21:9 </w:t>
            </w:r>
            <w:r w:rsidRPr="00F53062">
              <w:rPr>
                <w:rFonts w:ascii="Times New Roman" w:eastAsia="Times New Roman" w:hAnsi="Times New Roman" w:cs="Times New Roman"/>
                <w:b w:val="0"/>
                <w:bCs w:val="0"/>
                <w:color w:val="auto"/>
                <w:sz w:val="24"/>
                <w:szCs w:val="24"/>
                <w:u w:val="none"/>
              </w:rPr>
              <w:t>If an ox is a </w:t>
            </w:r>
            <w:r w:rsidRPr="00F53062">
              <w:rPr>
                <w:rFonts w:ascii="Times New Roman" w:eastAsia="Times New Roman" w:hAnsi="Times New Roman" w:cs="Times New Roman"/>
                <w:color w:val="auto"/>
                <w:sz w:val="24"/>
                <w:szCs w:val="24"/>
                <w:u w:val="none"/>
              </w:rPr>
              <w:t xml:space="preserve">habitual </w:t>
            </w:r>
            <w:proofErr w:type="spellStart"/>
            <w:r w:rsidRPr="00F53062">
              <w:rPr>
                <w:rFonts w:ascii="Times New Roman" w:eastAsia="Times New Roman" w:hAnsi="Times New Roman" w:cs="Times New Roman"/>
                <w:color w:val="auto"/>
                <w:sz w:val="24"/>
                <w:szCs w:val="24"/>
                <w:u w:val="none"/>
              </w:rPr>
              <w:t>gorer</w:t>
            </w:r>
            <w:proofErr w:type="spellEnd"/>
            <w:r w:rsidRPr="00F53062">
              <w:rPr>
                <w:rFonts w:ascii="Times New Roman" w:eastAsia="Times New Roman" w:hAnsi="Times New Roman" w:cs="Times New Roman"/>
                <w:b w:val="0"/>
                <w:bCs w:val="0"/>
                <w:color w:val="auto"/>
                <w:sz w:val="24"/>
                <w:szCs w:val="24"/>
                <w:u w:val="none"/>
              </w:rPr>
              <w:t>, from previous experience, and its owner has been warned, but he did not restrain it, and it kills a man or woman, the ox shall be stoned and its owner shall be put to death. </w:t>
            </w:r>
            <w:r w:rsidRPr="00F53062">
              <w:rPr>
                <w:rFonts w:ascii="Times New Roman" w:eastAsia="Times New Roman" w:hAnsi="Times New Roman" w:cs="Times New Roman"/>
                <w:b w:val="0"/>
                <w:bCs w:val="0"/>
                <w:color w:val="auto"/>
                <w:sz w:val="14"/>
                <w:szCs w:val="14"/>
                <w:u w:val="none"/>
                <w:vertAlign w:val="superscript"/>
              </w:rPr>
              <w:t>21:30 </w:t>
            </w:r>
            <w:r w:rsidRPr="00F53062">
              <w:rPr>
                <w:rFonts w:ascii="Times New Roman" w:eastAsia="Times New Roman" w:hAnsi="Times New Roman" w:cs="Times New Roman"/>
                <w:b w:val="0"/>
                <w:bCs w:val="0"/>
                <w:color w:val="auto"/>
                <w:sz w:val="24"/>
                <w:szCs w:val="24"/>
                <w:u w:val="none"/>
              </w:rPr>
              <w:t xml:space="preserve">If ransom is laid upon him, he shall pay the </w:t>
            </w:r>
            <w:r w:rsidRPr="00F53062">
              <w:rPr>
                <w:rFonts w:ascii="Times New Roman" w:eastAsia="Times New Roman" w:hAnsi="Times New Roman" w:cs="Times New Roman"/>
                <w:b w:val="0"/>
                <w:bCs w:val="0"/>
                <w:color w:val="auto"/>
                <w:sz w:val="24"/>
                <w:szCs w:val="24"/>
                <w:u w:val="none"/>
              </w:rPr>
              <w:lastRenderedPageBreak/>
              <w:t>redemption price for his life, according to whatever is laid upon him.</w:t>
            </w:r>
            <w:r w:rsidRPr="00F53062">
              <w:rPr>
                <w:rFonts w:ascii="Times New Roman" w:eastAsia="Times New Roman" w:hAnsi="Times New Roman" w:cs="Times New Roman"/>
                <w:b w:val="0"/>
                <w:bCs w:val="0"/>
                <w:color w:val="auto"/>
                <w:sz w:val="14"/>
                <w:szCs w:val="14"/>
                <w:u w:val="none"/>
                <w:vertAlign w:val="superscript"/>
              </w:rPr>
              <w:t> 21:31</w:t>
            </w:r>
            <w:r w:rsidRPr="00F53062">
              <w:rPr>
                <w:rFonts w:ascii="Times New Roman" w:eastAsia="Times New Roman" w:hAnsi="Times New Roman" w:cs="Times New Roman"/>
                <w:b w:val="0"/>
                <w:bCs w:val="0"/>
                <w:color w:val="auto"/>
                <w:sz w:val="24"/>
                <w:szCs w:val="24"/>
                <w:u w:val="none"/>
              </w:rPr>
              <w:t>Or (if) it gores a son or daughter, it shall be done for him according to this law.</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lastRenderedPageBreak/>
              <w:t>251 </w:t>
            </w:r>
            <w:r w:rsidRPr="00F53062">
              <w:rPr>
                <w:rFonts w:ascii="Times New Roman" w:eastAsia="Times New Roman" w:hAnsi="Times New Roman" w:cs="Times New Roman"/>
                <w:b w:val="0"/>
                <w:bCs w:val="0"/>
                <w:color w:val="auto"/>
                <w:sz w:val="24"/>
                <w:szCs w:val="24"/>
                <w:u w:val="none"/>
              </w:rPr>
              <w:t xml:space="preserve">If a man’s ox is </w:t>
            </w:r>
            <w:proofErr w:type="spellStart"/>
            <w:r w:rsidRPr="00F53062">
              <w:rPr>
                <w:rFonts w:ascii="Times New Roman" w:eastAsia="Times New Roman" w:hAnsi="Times New Roman" w:cs="Times New Roman"/>
                <w:b w:val="0"/>
                <w:bCs w:val="0"/>
                <w:color w:val="auto"/>
                <w:sz w:val="24"/>
                <w:szCs w:val="24"/>
                <w:u w:val="none"/>
              </w:rPr>
              <w:t>a</w:t>
            </w:r>
            <w:r w:rsidRPr="00F53062">
              <w:rPr>
                <w:rFonts w:ascii="Times New Roman" w:eastAsia="Times New Roman" w:hAnsi="Times New Roman" w:cs="Times New Roman"/>
                <w:color w:val="auto"/>
                <w:sz w:val="24"/>
                <w:szCs w:val="24"/>
                <w:u w:val="none"/>
              </w:rPr>
              <w:t>habitual</w:t>
            </w:r>
            <w:proofErr w:type="spellEnd"/>
            <w:r w:rsidRPr="00F53062">
              <w:rPr>
                <w:rFonts w:ascii="Times New Roman" w:eastAsia="Times New Roman" w:hAnsi="Times New Roman" w:cs="Times New Roman"/>
                <w:color w:val="auto"/>
                <w:sz w:val="24"/>
                <w:szCs w:val="24"/>
                <w:u w:val="none"/>
              </w:rPr>
              <w:t xml:space="preserve"> </w:t>
            </w:r>
            <w:proofErr w:type="spellStart"/>
            <w:r w:rsidRPr="00F53062">
              <w:rPr>
                <w:rFonts w:ascii="Times New Roman" w:eastAsia="Times New Roman" w:hAnsi="Times New Roman" w:cs="Times New Roman"/>
                <w:color w:val="auto"/>
                <w:sz w:val="24"/>
                <w:szCs w:val="24"/>
                <w:u w:val="none"/>
              </w:rPr>
              <w:t>gorer</w:t>
            </w:r>
            <w:proofErr w:type="spellEnd"/>
            <w:r w:rsidRPr="00F53062">
              <w:rPr>
                <w:rFonts w:ascii="Times New Roman" w:eastAsia="Times New Roman" w:hAnsi="Times New Roman" w:cs="Times New Roman"/>
                <w:b w:val="0"/>
                <w:bCs w:val="0"/>
                <w:color w:val="auto"/>
                <w:sz w:val="24"/>
                <w:szCs w:val="24"/>
                <w:u w:val="none"/>
              </w:rPr>
              <w:t xml:space="preserve">, and his district has informed him that it is a habitual </w:t>
            </w:r>
            <w:proofErr w:type="spellStart"/>
            <w:r w:rsidRPr="00F53062">
              <w:rPr>
                <w:rFonts w:ascii="Times New Roman" w:eastAsia="Times New Roman" w:hAnsi="Times New Roman" w:cs="Times New Roman"/>
                <w:b w:val="0"/>
                <w:bCs w:val="0"/>
                <w:color w:val="auto"/>
                <w:sz w:val="24"/>
                <w:szCs w:val="24"/>
                <w:u w:val="none"/>
              </w:rPr>
              <w:t>gorer</w:t>
            </w:r>
            <w:proofErr w:type="spellEnd"/>
            <w:r w:rsidRPr="00F53062">
              <w:rPr>
                <w:rFonts w:ascii="Times New Roman" w:eastAsia="Times New Roman" w:hAnsi="Times New Roman" w:cs="Times New Roman"/>
                <w:b w:val="0"/>
                <w:bCs w:val="0"/>
                <w:color w:val="auto"/>
                <w:sz w:val="24"/>
                <w:szCs w:val="24"/>
                <w:u w:val="none"/>
              </w:rPr>
              <w:t xml:space="preserve">, but he did not file its horns and did not control his ox, and that ox gores the son of </w:t>
            </w:r>
            <w:proofErr w:type="spellStart"/>
            <w:r w:rsidRPr="00F53062">
              <w:rPr>
                <w:rFonts w:ascii="Times New Roman" w:eastAsia="Times New Roman" w:hAnsi="Times New Roman" w:cs="Times New Roman"/>
                <w:b w:val="0"/>
                <w:bCs w:val="0"/>
                <w:color w:val="auto"/>
                <w:sz w:val="24"/>
                <w:szCs w:val="24"/>
                <w:u w:val="none"/>
              </w:rPr>
              <w:t>an</w:t>
            </w:r>
            <w:r w:rsidRPr="00F53062">
              <w:rPr>
                <w:rFonts w:ascii="Times New Roman" w:eastAsia="Times New Roman" w:hAnsi="Times New Roman" w:cs="Times New Roman"/>
                <w:b w:val="0"/>
                <w:bCs w:val="0"/>
                <w:i/>
                <w:iCs/>
                <w:color w:val="auto"/>
                <w:sz w:val="24"/>
                <w:szCs w:val="24"/>
                <w:u w:val="none"/>
              </w:rPr>
              <w:t>awīlim</w:t>
            </w:r>
            <w:proofErr w:type="spellEnd"/>
            <w:r w:rsidRPr="00F53062">
              <w:rPr>
                <w:rFonts w:ascii="Times New Roman" w:eastAsia="Times New Roman" w:hAnsi="Times New Roman" w:cs="Times New Roman"/>
                <w:b w:val="0"/>
                <w:bCs w:val="0"/>
                <w:color w:val="auto"/>
                <w:sz w:val="24"/>
                <w:szCs w:val="24"/>
                <w:u w:val="none"/>
              </w:rPr>
              <w:t xml:space="preserve"> and kills (him), he shall pay one-half mina (= thirty shekels) of </w:t>
            </w:r>
            <w:r w:rsidRPr="00F53062">
              <w:rPr>
                <w:rFonts w:ascii="Times New Roman" w:eastAsia="Times New Roman" w:hAnsi="Times New Roman" w:cs="Times New Roman"/>
                <w:b w:val="0"/>
                <w:bCs w:val="0"/>
                <w:color w:val="auto"/>
                <w:sz w:val="24"/>
                <w:szCs w:val="24"/>
                <w:u w:val="none"/>
              </w:rPr>
              <w:lastRenderedPageBreak/>
              <w:t>silver.</w:t>
            </w:r>
          </w:p>
        </w:tc>
      </w:tr>
      <w:tr w:rsidR="00F53062" w:rsidRPr="00F53062" w:rsidTr="00F53062">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24"/>
                <w:szCs w:val="24"/>
                <w:u w:val="none"/>
              </w:rPr>
              <w:lastRenderedPageBreak/>
              <w:t>(C) Goring of a slave—monetary penalty</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t>21:32</w:t>
            </w:r>
            <w:r w:rsidRPr="00F53062">
              <w:rPr>
                <w:rFonts w:ascii="Times New Roman" w:eastAsia="Times New Roman" w:hAnsi="Times New Roman" w:cs="Times New Roman"/>
                <w:b w:val="0"/>
                <w:bCs w:val="0"/>
                <w:color w:val="auto"/>
                <w:sz w:val="24"/>
                <w:szCs w:val="24"/>
                <w:u w:val="none"/>
              </w:rPr>
              <w:t>If the ox gores a </w:t>
            </w:r>
            <w:r w:rsidRPr="00F53062">
              <w:rPr>
                <w:rFonts w:ascii="Times New Roman" w:eastAsia="Times New Roman" w:hAnsi="Times New Roman" w:cs="Times New Roman"/>
                <w:color w:val="auto"/>
                <w:sz w:val="24"/>
                <w:szCs w:val="24"/>
                <w:u w:val="none"/>
              </w:rPr>
              <w:t>male slave or a female slave</w:t>
            </w:r>
            <w:r w:rsidRPr="00F53062">
              <w:rPr>
                <w:rFonts w:ascii="Times New Roman" w:eastAsia="Times New Roman" w:hAnsi="Times New Roman" w:cs="Times New Roman"/>
                <w:b w:val="0"/>
                <w:bCs w:val="0"/>
                <w:color w:val="auto"/>
                <w:sz w:val="24"/>
                <w:szCs w:val="24"/>
                <w:u w:val="none"/>
              </w:rPr>
              <w:t>, he shall pay thirty shekels of silver to his (the slave’s) master and the ox shall be stoned.</w:t>
            </w:r>
          </w:p>
        </w:tc>
        <w:tc>
          <w:tcPr>
            <w:tcW w:w="0" w:type="auto"/>
            <w:tcMar>
              <w:top w:w="96" w:type="dxa"/>
              <w:left w:w="156" w:type="dxa"/>
              <w:bottom w:w="108" w:type="dxa"/>
              <w:right w:w="72" w:type="dxa"/>
            </w:tcMar>
            <w:hideMark/>
          </w:tcPr>
          <w:p w:rsidR="00F53062" w:rsidRPr="00F53062" w:rsidRDefault="00F53062" w:rsidP="00F53062">
            <w:pPr>
              <w:spacing w:after="240" w:line="372" w:lineRule="atLeast"/>
              <w:rPr>
                <w:rFonts w:ascii="Times New Roman" w:eastAsia="Times New Roman" w:hAnsi="Times New Roman" w:cs="Times New Roman"/>
                <w:b w:val="0"/>
                <w:bCs w:val="0"/>
                <w:color w:val="auto"/>
                <w:sz w:val="24"/>
                <w:szCs w:val="24"/>
                <w:u w:val="none"/>
              </w:rPr>
            </w:pPr>
            <w:r w:rsidRPr="00F53062">
              <w:rPr>
                <w:rFonts w:ascii="Times New Roman" w:eastAsia="Times New Roman" w:hAnsi="Times New Roman" w:cs="Times New Roman"/>
                <w:b w:val="0"/>
                <w:bCs w:val="0"/>
                <w:color w:val="auto"/>
                <w:sz w:val="14"/>
                <w:szCs w:val="14"/>
                <w:u w:val="none"/>
                <w:vertAlign w:val="superscript"/>
              </w:rPr>
              <w:t>252 </w:t>
            </w:r>
            <w:r w:rsidRPr="00F53062">
              <w:rPr>
                <w:rFonts w:ascii="Times New Roman" w:eastAsia="Times New Roman" w:hAnsi="Times New Roman" w:cs="Times New Roman"/>
                <w:b w:val="0"/>
                <w:bCs w:val="0"/>
                <w:color w:val="auto"/>
                <w:sz w:val="24"/>
                <w:szCs w:val="24"/>
                <w:u w:val="none"/>
              </w:rPr>
              <w:t>If it is the </w:t>
            </w:r>
            <w:r w:rsidRPr="00F53062">
              <w:rPr>
                <w:rFonts w:ascii="Times New Roman" w:eastAsia="Times New Roman" w:hAnsi="Times New Roman" w:cs="Times New Roman"/>
                <w:color w:val="auto"/>
                <w:sz w:val="24"/>
                <w:szCs w:val="24"/>
                <w:u w:val="none"/>
              </w:rPr>
              <w:t>slave</w:t>
            </w:r>
            <w:r w:rsidRPr="00F53062">
              <w:rPr>
                <w:rFonts w:ascii="Times New Roman" w:eastAsia="Times New Roman" w:hAnsi="Times New Roman" w:cs="Times New Roman"/>
                <w:b w:val="0"/>
                <w:bCs w:val="0"/>
                <w:color w:val="auto"/>
                <w:sz w:val="24"/>
                <w:szCs w:val="24"/>
                <w:u w:val="none"/>
              </w:rPr>
              <w:t> of an </w:t>
            </w:r>
            <w:proofErr w:type="spellStart"/>
            <w:r w:rsidRPr="00F53062">
              <w:rPr>
                <w:rFonts w:ascii="Times New Roman" w:eastAsia="Times New Roman" w:hAnsi="Times New Roman" w:cs="Times New Roman"/>
                <w:b w:val="0"/>
                <w:bCs w:val="0"/>
                <w:i/>
                <w:iCs/>
                <w:color w:val="auto"/>
                <w:sz w:val="24"/>
                <w:szCs w:val="24"/>
                <w:u w:val="none"/>
              </w:rPr>
              <w:t>awīlum</w:t>
            </w:r>
            <w:proofErr w:type="spellEnd"/>
            <w:r w:rsidRPr="00F53062">
              <w:rPr>
                <w:rFonts w:ascii="Times New Roman" w:eastAsia="Times New Roman" w:hAnsi="Times New Roman" w:cs="Times New Roman"/>
                <w:b w:val="0"/>
                <w:bCs w:val="0"/>
                <w:color w:val="auto"/>
                <w:sz w:val="24"/>
                <w:szCs w:val="24"/>
                <w:u w:val="none"/>
              </w:rPr>
              <w:t>, he shall pay one-third mina (= twenty shekels) of silver.</w:t>
            </w:r>
          </w:p>
        </w:tc>
      </w:tr>
    </w:tbl>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CC’s laws display some notable differences, whose rationale cannot be explored here, such as the requirement to stone the goring ox</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25]</w:t>
      </w:r>
      <w:r w:rsidRPr="00F53062">
        <w:rPr>
          <w:rFonts w:ascii="Times New Roman" w:eastAsia="Times New Roman" w:hAnsi="Times New Roman" w:cs="Times New Roman"/>
          <w:b w:val="0"/>
          <w:bCs w:val="0"/>
          <w:color w:val="000000"/>
          <w:sz w:val="20"/>
          <w:szCs w:val="20"/>
          <w:u w:val="none"/>
        </w:rPr>
        <w:t> Here I will only explore how the two collections differ concerning vicarious punishment.</w:t>
      </w:r>
    </w:p>
    <w:p w:rsidR="00F53062" w:rsidRPr="00F53062" w:rsidRDefault="00F53062" w:rsidP="00F53062">
      <w:pPr>
        <w:shd w:val="clear" w:color="auto" w:fill="FFFFFF"/>
        <w:spacing w:before="168" w:after="168" w:line="504" w:lineRule="atLeast"/>
        <w:jc w:val="center"/>
        <w:outlineLvl w:val="1"/>
        <w:rPr>
          <w:rFonts w:ascii="Times New Roman" w:eastAsia="Times New Roman" w:hAnsi="Times New Roman" w:cs="Times New Roman"/>
          <w:b w:val="0"/>
          <w:bCs w:val="0"/>
          <w:color w:val="000000"/>
          <w:sz w:val="30"/>
          <w:szCs w:val="30"/>
          <w:u w:val="none"/>
        </w:rPr>
      </w:pPr>
      <w:r w:rsidRPr="00F53062">
        <w:rPr>
          <w:rFonts w:ascii="Times New Roman" w:eastAsia="Times New Roman" w:hAnsi="Times New Roman" w:cs="Times New Roman"/>
          <w:b w:val="0"/>
          <w:bCs w:val="0"/>
          <w:color w:val="000000"/>
          <w:sz w:val="30"/>
          <w:szCs w:val="30"/>
          <w:u w:val="none"/>
        </w:rPr>
        <w:t>Child Victims as People</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 includes a verse on children as victims in verse 31, not found in LH. But there is still a subtle correlation. The victim of Hammurabi’s first goring ox law is an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“a (free) man” (LH 250), while the victim in its second is called a </w:t>
      </w:r>
      <w:proofErr w:type="spellStart"/>
      <w:r w:rsidRPr="00F53062">
        <w:rPr>
          <w:rFonts w:ascii="Times New Roman" w:eastAsia="Times New Roman" w:hAnsi="Times New Roman" w:cs="Times New Roman"/>
          <w:b w:val="0"/>
          <w:bCs w:val="0"/>
          <w:i/>
          <w:iCs/>
          <w:color w:val="000000"/>
          <w:sz w:val="20"/>
          <w:szCs w:val="20"/>
          <w:u w:val="none"/>
        </w:rPr>
        <w:t>mār</w:t>
      </w:r>
      <w:proofErr w:type="spellEnd"/>
      <w:r w:rsidRPr="00F53062">
        <w:rPr>
          <w:rFonts w:ascii="Times New Roman" w:eastAsia="Times New Roman" w:hAnsi="Times New Roman" w:cs="Times New Roman"/>
          <w:b w:val="0"/>
          <w:bCs w:val="0"/>
          <w:i/>
          <w:iCs/>
          <w:color w:val="000000"/>
          <w:sz w:val="20"/>
          <w:szCs w:val="20"/>
          <w:u w:val="none"/>
        </w:rPr>
        <w:t xml:space="preserve"> </w:t>
      </w:r>
      <w:proofErr w:type="spellStart"/>
      <w:r w:rsidRPr="00F53062">
        <w:rPr>
          <w:rFonts w:ascii="Times New Roman" w:eastAsia="Times New Roman" w:hAnsi="Times New Roman" w:cs="Times New Roman"/>
          <w:b w:val="0"/>
          <w:bCs w:val="0"/>
          <w:i/>
          <w:iCs/>
          <w:color w:val="000000"/>
          <w:sz w:val="20"/>
          <w:szCs w:val="20"/>
          <w:u w:val="none"/>
        </w:rPr>
        <w:t>awīlim</w:t>
      </w:r>
      <w:proofErr w:type="spellEnd"/>
      <w:r w:rsidRPr="00F53062">
        <w:rPr>
          <w:rFonts w:ascii="Times New Roman" w:eastAsia="Times New Roman" w:hAnsi="Times New Roman" w:cs="Times New Roman"/>
          <w:b w:val="0"/>
          <w:bCs w:val="0"/>
          <w:color w:val="000000"/>
          <w:sz w:val="20"/>
          <w:szCs w:val="20"/>
          <w:u w:val="none"/>
        </w:rPr>
        <w:t>, “son of a (free) man.”</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 xml:space="preserve">This term can have two meanings in </w:t>
      </w:r>
      <w:proofErr w:type="spellStart"/>
      <w:r w:rsidRPr="00F53062">
        <w:rPr>
          <w:rFonts w:ascii="Times New Roman" w:eastAsia="Times New Roman" w:hAnsi="Times New Roman" w:cs="Times New Roman"/>
          <w:b w:val="0"/>
          <w:bCs w:val="0"/>
          <w:color w:val="000000"/>
          <w:sz w:val="20"/>
          <w:szCs w:val="20"/>
          <w:u w:val="none"/>
        </w:rPr>
        <w:t>Akkadian</w:t>
      </w:r>
      <w:proofErr w:type="spellEnd"/>
      <w:r w:rsidRPr="00F53062">
        <w:rPr>
          <w:rFonts w:ascii="Times New Roman" w:eastAsia="Times New Roman" w:hAnsi="Times New Roman" w:cs="Times New Roman"/>
          <w:b w:val="0"/>
          <w:bCs w:val="0"/>
          <w:color w:val="000000"/>
          <w:sz w:val="20"/>
          <w:szCs w:val="20"/>
          <w:u w:val="none"/>
        </w:rPr>
        <w:t>, literally, “a son of a (free) man” or broadly “one of the </w:t>
      </w:r>
      <w:proofErr w:type="spellStart"/>
      <w:r w:rsidRPr="00F53062">
        <w:rPr>
          <w:rFonts w:ascii="Times New Roman" w:eastAsia="Times New Roman" w:hAnsi="Times New Roman" w:cs="Times New Roman"/>
          <w:b w:val="0"/>
          <w:bCs w:val="0"/>
          <w:i/>
          <w:iCs/>
          <w:color w:val="000000"/>
          <w:sz w:val="20"/>
          <w:szCs w:val="20"/>
          <w:u w:val="none"/>
        </w:rPr>
        <w:t>awīlum</w:t>
      </w:r>
      <w:proofErr w:type="spellEnd"/>
      <w:r w:rsidRPr="00F53062">
        <w:rPr>
          <w:rFonts w:ascii="Times New Roman" w:eastAsia="Times New Roman" w:hAnsi="Times New Roman" w:cs="Times New Roman"/>
          <w:b w:val="0"/>
          <w:bCs w:val="0"/>
          <w:color w:val="000000"/>
          <w:sz w:val="20"/>
          <w:szCs w:val="20"/>
          <w:u w:val="none"/>
        </w:rPr>
        <w:t> class,” i.e., “a (free) man” (LH 251). CC’s inclusion of children in verse 31 as part of its second law looks like a response to the ambiguity of Hammurabi’s terminology in its second law, especially against LH 250 where the victim is clearly an adult.</w:t>
      </w:r>
    </w:p>
    <w:p w:rsidR="00F53062" w:rsidRPr="00F53062" w:rsidRDefault="00F53062" w:rsidP="00F53062">
      <w:pPr>
        <w:shd w:val="clear" w:color="auto" w:fill="FFFFFF"/>
        <w:spacing w:after="240" w:line="372" w:lineRule="atLeast"/>
        <w:rPr>
          <w:rFonts w:ascii="Times New Roman" w:eastAsia="Times New Roman" w:hAnsi="Times New Roman" w:cs="Times New Roman"/>
          <w:b w:val="0"/>
          <w:bCs w:val="0"/>
          <w:color w:val="000000"/>
          <w:sz w:val="20"/>
          <w:szCs w:val="20"/>
          <w:u w:val="none"/>
        </w:rPr>
      </w:pPr>
      <w:r w:rsidRPr="00F53062">
        <w:rPr>
          <w:rFonts w:ascii="Times New Roman" w:eastAsia="Times New Roman" w:hAnsi="Times New Roman" w:cs="Times New Roman"/>
          <w:b w:val="0"/>
          <w:bCs w:val="0"/>
          <w:color w:val="000000"/>
          <w:sz w:val="20"/>
          <w:szCs w:val="20"/>
          <w:u w:val="none"/>
        </w:rPr>
        <w:t>CC’s prescribes in its second law that even if the victim is a child (a literal </w:t>
      </w:r>
      <w:proofErr w:type="spellStart"/>
      <w:r w:rsidRPr="00F53062">
        <w:rPr>
          <w:rFonts w:ascii="Times New Roman" w:eastAsia="Times New Roman" w:hAnsi="Times New Roman" w:cs="Times New Roman"/>
          <w:b w:val="0"/>
          <w:bCs w:val="0"/>
          <w:i/>
          <w:iCs/>
          <w:color w:val="000000"/>
          <w:sz w:val="20"/>
          <w:szCs w:val="20"/>
          <w:u w:val="none"/>
        </w:rPr>
        <w:t>mār</w:t>
      </w:r>
      <w:proofErr w:type="spellEnd"/>
      <w:r w:rsidRPr="00F53062">
        <w:rPr>
          <w:rFonts w:ascii="Times New Roman" w:eastAsia="Times New Roman" w:hAnsi="Times New Roman" w:cs="Times New Roman"/>
          <w:b w:val="0"/>
          <w:bCs w:val="0"/>
          <w:i/>
          <w:iCs/>
          <w:color w:val="000000"/>
          <w:sz w:val="20"/>
          <w:szCs w:val="20"/>
          <w:u w:val="none"/>
        </w:rPr>
        <w:t xml:space="preserve"> </w:t>
      </w:r>
      <w:proofErr w:type="spellStart"/>
      <w:r w:rsidRPr="00F53062">
        <w:rPr>
          <w:rFonts w:ascii="Times New Roman" w:eastAsia="Times New Roman" w:hAnsi="Times New Roman" w:cs="Times New Roman"/>
          <w:b w:val="0"/>
          <w:bCs w:val="0"/>
          <w:i/>
          <w:iCs/>
          <w:color w:val="000000"/>
          <w:sz w:val="20"/>
          <w:szCs w:val="20"/>
          <w:u w:val="none"/>
        </w:rPr>
        <w:t>awīlim</w:t>
      </w:r>
      <w:proofErr w:type="spellEnd"/>
      <w:r w:rsidRPr="00F53062">
        <w:rPr>
          <w:rFonts w:ascii="Times New Roman" w:eastAsia="Times New Roman" w:hAnsi="Times New Roman" w:cs="Times New Roman"/>
          <w:b w:val="0"/>
          <w:bCs w:val="0"/>
          <w:color w:val="000000"/>
          <w:sz w:val="20"/>
          <w:szCs w:val="20"/>
          <w:u w:val="none"/>
        </w:rPr>
        <w:t>)</w:t>
      </w:r>
      <w:proofErr w:type="gramStart"/>
      <w:r w:rsidRPr="00F53062">
        <w:rPr>
          <w:rFonts w:ascii="Times New Roman" w:eastAsia="Times New Roman" w:hAnsi="Times New Roman" w:cs="Times New Roman"/>
          <w:b w:val="0"/>
          <w:bCs w:val="0"/>
          <w:color w:val="000000"/>
          <w:sz w:val="20"/>
          <w:szCs w:val="20"/>
          <w:u w:val="none"/>
        </w:rPr>
        <w:t>,</w:t>
      </w:r>
      <w:proofErr w:type="gramEnd"/>
      <w:r w:rsidRPr="00F53062">
        <w:rPr>
          <w:rFonts w:ascii="Times New Roman" w:eastAsia="Times New Roman" w:hAnsi="Times New Roman" w:cs="Times New Roman"/>
          <w:b w:val="0"/>
          <w:bCs w:val="0"/>
          <w:color w:val="000000"/>
          <w:sz w:val="20"/>
          <w:szCs w:val="20"/>
          <w:u w:val="none"/>
        </w:rPr>
        <w:t xml:space="preserve"> the case is to be prosecuted as if the victim were an adult. That is, in this case, the owner would be liable to the penalties of vv. 29–30, not his child. This rather explicit rejection of vicarious punishment supports the interpretation that the alternative penalty in vv. 23–25 in the miscarriage law is an calculated revision</w:t>
      </w:r>
      <w:proofErr w:type="gramStart"/>
      <w:r w:rsidRPr="00F53062">
        <w:rPr>
          <w:rFonts w:ascii="Times New Roman" w:eastAsia="Times New Roman" w:hAnsi="Times New Roman" w:cs="Times New Roman"/>
          <w:b w:val="0"/>
          <w:bCs w:val="0"/>
          <w:color w:val="000000"/>
          <w:sz w:val="20"/>
          <w:szCs w:val="20"/>
          <w:u w:val="none"/>
        </w:rPr>
        <w:t>.</w:t>
      </w:r>
      <w:r w:rsidRPr="00F53062">
        <w:rPr>
          <w:rFonts w:ascii="Times New Roman" w:eastAsia="Times New Roman" w:hAnsi="Times New Roman" w:cs="Times New Roman"/>
          <w:b w:val="0"/>
          <w:bCs w:val="0"/>
          <w:color w:val="B22222"/>
          <w:sz w:val="18"/>
          <w:szCs w:val="18"/>
          <w:u w:val="none"/>
          <w:vertAlign w:val="superscript"/>
        </w:rPr>
        <w:t>[</w:t>
      </w:r>
      <w:proofErr w:type="gramEnd"/>
      <w:r w:rsidRPr="00F53062">
        <w:rPr>
          <w:rFonts w:ascii="Times New Roman" w:eastAsia="Times New Roman" w:hAnsi="Times New Roman" w:cs="Times New Roman"/>
          <w:b w:val="0"/>
          <w:bCs w:val="0"/>
          <w:color w:val="B22222"/>
          <w:sz w:val="18"/>
          <w:szCs w:val="18"/>
          <w:u w:val="none"/>
          <w:vertAlign w:val="superscript"/>
        </w:rPr>
        <w:t>26]</w:t>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2E2E2E"/>
          <w:sz w:val="18"/>
          <w:szCs w:val="18"/>
          <w:u w:val="none"/>
        </w:rPr>
      </w:pPr>
      <w:r w:rsidRPr="00F53062">
        <w:rPr>
          <w:rFonts w:ascii="Times New Roman" w:eastAsia="Times New Roman" w:hAnsi="Times New Roman" w:cs="Times New Roman"/>
          <w:b w:val="0"/>
          <w:bCs w:val="0"/>
          <w:color w:val="333333"/>
          <w:sz w:val="18"/>
          <w:szCs w:val="18"/>
          <w:u w:val="none"/>
        </w:rPr>
        <w:fldChar w:fldCharType="begin"/>
      </w:r>
      <w:r w:rsidRPr="00F53062">
        <w:rPr>
          <w:rFonts w:ascii="Times New Roman" w:eastAsia="Times New Roman" w:hAnsi="Times New Roman" w:cs="Times New Roman"/>
          <w:b w:val="0"/>
          <w:bCs w:val="0"/>
          <w:color w:val="333333"/>
          <w:sz w:val="18"/>
          <w:szCs w:val="18"/>
          <w:u w:val="none"/>
        </w:rPr>
        <w:instrText xml:space="preserve"> HYPERLINK "https://www.thetorah.com/article/how-exodus-revises-the-laws-of-hammurabi" </w:instrText>
      </w:r>
      <w:r w:rsidRPr="00F53062">
        <w:rPr>
          <w:rFonts w:ascii="Times New Roman" w:eastAsia="Times New Roman" w:hAnsi="Times New Roman" w:cs="Times New Roman"/>
          <w:b w:val="0"/>
          <w:bCs w:val="0"/>
          <w:color w:val="333333"/>
          <w:sz w:val="18"/>
          <w:szCs w:val="18"/>
          <w:u w:val="none"/>
        </w:rPr>
        <w:fldChar w:fldCharType="separate"/>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C32202"/>
          <w:sz w:val="24"/>
          <w:szCs w:val="24"/>
          <w:u w:val="none"/>
        </w:rPr>
      </w:pPr>
      <w:r w:rsidRPr="00F53062">
        <w:rPr>
          <w:rFonts w:ascii="Times New Roman" w:eastAsia="Times New Roman" w:hAnsi="Times New Roman" w:cs="Times New Roman"/>
          <w:b w:val="0"/>
          <w:bCs w:val="0"/>
          <w:color w:val="C32202"/>
          <w:sz w:val="24"/>
          <w:szCs w:val="24"/>
          <w:u w:val="none"/>
        </w:rPr>
        <w:t>View Footnotes</w:t>
      </w:r>
    </w:p>
    <w:p w:rsidR="00F53062" w:rsidRPr="00F53062" w:rsidRDefault="00F53062" w:rsidP="00F53062">
      <w:pPr>
        <w:shd w:val="clear" w:color="auto" w:fill="FFFFFF"/>
        <w:spacing w:after="0" w:line="24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2E2E2E"/>
          <w:sz w:val="18"/>
          <w:szCs w:val="1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how-exodus-revises-the-laws-of-hammurabi" style="width:24pt;height:24pt" o:button="t"/>
        </w:pict>
      </w:r>
      <w:r w:rsidRPr="00F53062">
        <w:rPr>
          <w:rFonts w:ascii="Times New Roman" w:eastAsia="Times New Roman" w:hAnsi="Times New Roman" w:cs="Times New Roman"/>
          <w:b w:val="0"/>
          <w:bCs w:val="0"/>
          <w:color w:val="333333"/>
          <w:sz w:val="18"/>
          <w:szCs w:val="18"/>
          <w:u w:val="none"/>
        </w:rPr>
        <w:fldChar w:fldCharType="end"/>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tl/>
        </w:rPr>
      </w:pPr>
      <w:r w:rsidRPr="00F53062">
        <w:rPr>
          <w:rFonts w:ascii="Times New Roman" w:eastAsia="Times New Roman" w:hAnsi="Times New Roman" w:cs="Times New Roman"/>
          <w:b w:val="0"/>
          <w:bCs w:val="0"/>
          <w:color w:val="333333"/>
          <w:sz w:val="18"/>
          <w:szCs w:val="18"/>
          <w:u w:val="none"/>
        </w:rPr>
        <w:t>Verse numbering in the article follows that of the NJPS.</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lastRenderedPageBreak/>
        <w:t>Susa (</w:t>
      </w:r>
      <w:proofErr w:type="spellStart"/>
      <w:r w:rsidRPr="00F53062">
        <w:rPr>
          <w:rFonts w:ascii="Times New Roman" w:eastAsia="Times New Roman" w:hAnsi="Times New Roman" w:cs="Times New Roman"/>
          <w:b w:val="0"/>
          <w:bCs w:val="0"/>
          <w:color w:val="333333"/>
          <w:sz w:val="18"/>
          <w:szCs w:val="18"/>
          <w:u w:val="none"/>
        </w:rPr>
        <w:t>Shushan</w:t>
      </w:r>
      <w:proofErr w:type="spellEnd"/>
      <w:r w:rsidRPr="00F53062">
        <w:rPr>
          <w:rFonts w:ascii="Times New Roman" w:eastAsia="Times New Roman" w:hAnsi="Times New Roman" w:cs="Times New Roman"/>
          <w:b w:val="0"/>
          <w:bCs w:val="0"/>
          <w:color w:val="333333"/>
          <w:sz w:val="18"/>
          <w:szCs w:val="18"/>
          <w:u w:val="none"/>
        </w:rPr>
        <w:t xml:space="preserve">) was not part of Babylon but an important city in ancient Elam (and eventually Persia), and rival of Babylon. The </w:t>
      </w:r>
      <w:proofErr w:type="spellStart"/>
      <w:r w:rsidRPr="00F53062">
        <w:rPr>
          <w:rFonts w:ascii="Times New Roman" w:eastAsia="Times New Roman" w:hAnsi="Times New Roman" w:cs="Times New Roman"/>
          <w:b w:val="0"/>
          <w:bCs w:val="0"/>
          <w:color w:val="333333"/>
          <w:sz w:val="18"/>
          <w:szCs w:val="18"/>
          <w:u w:val="none"/>
        </w:rPr>
        <w:t>stela</w:t>
      </w:r>
      <w:proofErr w:type="spellEnd"/>
      <w:r w:rsidRPr="00F53062">
        <w:rPr>
          <w:rFonts w:ascii="Times New Roman" w:eastAsia="Times New Roman" w:hAnsi="Times New Roman" w:cs="Times New Roman"/>
          <w:b w:val="0"/>
          <w:bCs w:val="0"/>
          <w:color w:val="333333"/>
          <w:sz w:val="18"/>
          <w:szCs w:val="18"/>
          <w:u w:val="none"/>
        </w:rPr>
        <w:t xml:space="preserve"> had been stolen by the </w:t>
      </w:r>
      <w:proofErr w:type="spellStart"/>
      <w:r w:rsidRPr="00F53062">
        <w:rPr>
          <w:rFonts w:ascii="Times New Roman" w:eastAsia="Times New Roman" w:hAnsi="Times New Roman" w:cs="Times New Roman"/>
          <w:b w:val="0"/>
          <w:bCs w:val="0"/>
          <w:color w:val="333333"/>
          <w:sz w:val="18"/>
          <w:szCs w:val="18"/>
          <w:u w:val="none"/>
        </w:rPr>
        <w:t>Elamites</w:t>
      </w:r>
      <w:proofErr w:type="spellEnd"/>
      <w:r w:rsidRPr="00F53062">
        <w:rPr>
          <w:rFonts w:ascii="Times New Roman" w:eastAsia="Times New Roman" w:hAnsi="Times New Roman" w:cs="Times New Roman"/>
          <w:b w:val="0"/>
          <w:bCs w:val="0"/>
          <w:color w:val="333333"/>
          <w:sz w:val="18"/>
          <w:szCs w:val="18"/>
          <w:u w:val="none"/>
        </w:rPr>
        <w:t xml:space="preserve"> in a raid against Babylon and never returned.</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For translations of Hammurabi’s Laws, see Martha T. Roth, </w:t>
      </w:r>
      <w:r w:rsidRPr="00F53062">
        <w:rPr>
          <w:rFonts w:ascii="Times New Roman" w:eastAsia="Times New Roman" w:hAnsi="Times New Roman" w:cs="Times New Roman"/>
          <w:b w:val="0"/>
          <w:bCs w:val="0"/>
          <w:i/>
          <w:iCs/>
          <w:color w:val="333333"/>
          <w:sz w:val="18"/>
          <w:u w:val="none"/>
        </w:rPr>
        <w:t>Law Collections from Mesopotamia and Asia Minor</w:t>
      </w:r>
      <w:r w:rsidRPr="00F53062">
        <w:rPr>
          <w:rFonts w:ascii="Times New Roman" w:eastAsia="Times New Roman" w:hAnsi="Times New Roman" w:cs="Times New Roman"/>
          <w:b w:val="0"/>
          <w:bCs w:val="0"/>
          <w:color w:val="333333"/>
          <w:sz w:val="18"/>
          <w:szCs w:val="18"/>
          <w:u w:val="none"/>
        </w:rPr>
        <w:t>, 2nd ed., Writings from the Ancient World (Atlanta: Scholars Press, 1997), 76–140; M. E. J. Richardson, </w:t>
      </w:r>
      <w:r w:rsidRPr="00F53062">
        <w:rPr>
          <w:rFonts w:ascii="Times New Roman" w:eastAsia="Times New Roman" w:hAnsi="Times New Roman" w:cs="Times New Roman"/>
          <w:b w:val="0"/>
          <w:bCs w:val="0"/>
          <w:i/>
          <w:iCs/>
          <w:color w:val="333333"/>
          <w:sz w:val="18"/>
          <w:u w:val="none"/>
        </w:rPr>
        <w:t>Hammurabi’s Laws</w:t>
      </w:r>
      <w:r w:rsidRPr="00F53062">
        <w:rPr>
          <w:rFonts w:ascii="Times New Roman" w:eastAsia="Times New Roman" w:hAnsi="Times New Roman" w:cs="Times New Roman"/>
          <w:b w:val="0"/>
          <w:bCs w:val="0"/>
          <w:color w:val="333333"/>
          <w:sz w:val="18"/>
          <w:szCs w:val="18"/>
          <w:u w:val="none"/>
        </w:rPr>
        <w:t> (London: T&amp;T Clark, 2000).</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For arguments along this line, see J. J. Finkelstein, </w:t>
      </w:r>
      <w:r w:rsidRPr="00F53062">
        <w:rPr>
          <w:rFonts w:ascii="Times New Roman" w:eastAsia="Times New Roman" w:hAnsi="Times New Roman" w:cs="Times New Roman"/>
          <w:b w:val="0"/>
          <w:bCs w:val="0"/>
          <w:i/>
          <w:iCs/>
          <w:color w:val="333333"/>
          <w:sz w:val="18"/>
          <w:u w:val="none"/>
        </w:rPr>
        <w:t>The Ox That Gored</w:t>
      </w:r>
      <w:r w:rsidRPr="00F53062">
        <w:rPr>
          <w:rFonts w:ascii="Times New Roman" w:eastAsia="Times New Roman" w:hAnsi="Times New Roman" w:cs="Times New Roman"/>
          <w:b w:val="0"/>
          <w:bCs w:val="0"/>
          <w:color w:val="333333"/>
          <w:sz w:val="18"/>
          <w:szCs w:val="18"/>
          <w:u w:val="none"/>
        </w:rPr>
        <w:t>, Transactions of the American Philosophical Society 71/2 (Philadelphia: American Philosophical Society, 1981); Bernard S. Jackson, </w:t>
      </w:r>
      <w:r w:rsidRPr="00F53062">
        <w:rPr>
          <w:rFonts w:ascii="Times New Roman" w:eastAsia="Times New Roman" w:hAnsi="Times New Roman" w:cs="Times New Roman"/>
          <w:b w:val="0"/>
          <w:bCs w:val="0"/>
          <w:i/>
          <w:iCs/>
          <w:color w:val="333333"/>
          <w:sz w:val="18"/>
          <w:u w:val="none"/>
        </w:rPr>
        <w:t>Wisdom-Laws: A Study of the </w:t>
      </w:r>
      <w:proofErr w:type="spellStart"/>
      <w:r w:rsidRPr="00F53062">
        <w:rPr>
          <w:rFonts w:ascii="Times New Roman" w:eastAsia="Times New Roman" w:hAnsi="Times New Roman" w:cs="Times New Roman"/>
          <w:b w:val="0"/>
          <w:bCs w:val="0"/>
          <w:color w:val="333333"/>
          <w:sz w:val="18"/>
          <w:szCs w:val="18"/>
          <w:u w:val="none"/>
        </w:rPr>
        <w:t>Mishpatim</w:t>
      </w:r>
      <w:proofErr w:type="spellEnd"/>
      <w:r w:rsidRPr="00F53062">
        <w:rPr>
          <w:rFonts w:ascii="Times New Roman" w:eastAsia="Times New Roman" w:hAnsi="Times New Roman" w:cs="Times New Roman"/>
          <w:b w:val="0"/>
          <w:bCs w:val="0"/>
          <w:i/>
          <w:iCs/>
          <w:color w:val="333333"/>
          <w:sz w:val="18"/>
          <w:u w:val="none"/>
        </w:rPr>
        <w:t> of Exodus 21:1–22:16</w:t>
      </w:r>
      <w:r w:rsidRPr="00F53062">
        <w:rPr>
          <w:rFonts w:ascii="Times New Roman" w:eastAsia="Times New Roman" w:hAnsi="Times New Roman" w:cs="Times New Roman"/>
          <w:b w:val="0"/>
          <w:bCs w:val="0"/>
          <w:color w:val="333333"/>
          <w:sz w:val="18"/>
          <w:szCs w:val="18"/>
          <w:u w:val="none"/>
        </w:rPr>
        <w:t xml:space="preserve"> (Oxford: Oxford University Press, 2006); </w:t>
      </w:r>
      <w:proofErr w:type="spellStart"/>
      <w:r w:rsidRPr="00F53062">
        <w:rPr>
          <w:rFonts w:ascii="Times New Roman" w:eastAsia="Times New Roman" w:hAnsi="Times New Roman" w:cs="Times New Roman"/>
          <w:b w:val="0"/>
          <w:bCs w:val="0"/>
          <w:color w:val="333333"/>
          <w:sz w:val="18"/>
          <w:szCs w:val="18"/>
          <w:u w:val="none"/>
        </w:rPr>
        <w:t>Eckart</w:t>
      </w:r>
      <w:proofErr w:type="spellEnd"/>
      <w:r w:rsidRPr="00F53062">
        <w:rPr>
          <w:rFonts w:ascii="Times New Roman" w:eastAsia="Times New Roman" w:hAnsi="Times New Roman" w:cs="Times New Roman"/>
          <w:b w:val="0"/>
          <w:bCs w:val="0"/>
          <w:color w:val="333333"/>
          <w:sz w:val="18"/>
          <w:szCs w:val="18"/>
          <w:u w:val="none"/>
        </w:rPr>
        <w:t xml:space="preserve"> Otto, “Town and Rural Countryside in Ancient Israelite Law: Reception and Redaction in Cuneiform and Israelite Law,” </w:t>
      </w:r>
      <w:r w:rsidRPr="00F53062">
        <w:rPr>
          <w:rFonts w:ascii="Times New Roman" w:eastAsia="Times New Roman" w:hAnsi="Times New Roman" w:cs="Times New Roman"/>
          <w:b w:val="0"/>
          <w:bCs w:val="0"/>
          <w:i/>
          <w:iCs/>
          <w:color w:val="333333"/>
          <w:sz w:val="18"/>
          <w:u w:val="none"/>
        </w:rPr>
        <w:t>JSOT </w:t>
      </w:r>
      <w:r w:rsidRPr="00F53062">
        <w:rPr>
          <w:rFonts w:ascii="Times New Roman" w:eastAsia="Times New Roman" w:hAnsi="Times New Roman" w:cs="Times New Roman"/>
          <w:b w:val="0"/>
          <w:bCs w:val="0"/>
          <w:color w:val="333333"/>
          <w:sz w:val="18"/>
          <w:szCs w:val="18"/>
          <w:u w:val="none"/>
        </w:rPr>
        <w:t xml:space="preserve">57 (1993): 3–22; </w:t>
      </w:r>
      <w:proofErr w:type="spellStart"/>
      <w:r w:rsidRPr="00F53062">
        <w:rPr>
          <w:rFonts w:ascii="Times New Roman" w:eastAsia="Times New Roman" w:hAnsi="Times New Roman" w:cs="Times New Roman"/>
          <w:b w:val="0"/>
          <w:bCs w:val="0"/>
          <w:color w:val="333333"/>
          <w:sz w:val="18"/>
          <w:szCs w:val="18"/>
          <w:u w:val="none"/>
        </w:rPr>
        <w:t>repr</w:t>
      </w:r>
      <w:proofErr w:type="spellEnd"/>
      <w:r w:rsidRPr="00F53062">
        <w:rPr>
          <w:rFonts w:ascii="Times New Roman" w:eastAsia="Times New Roman" w:hAnsi="Times New Roman" w:cs="Times New Roman"/>
          <w:b w:val="0"/>
          <w:bCs w:val="0"/>
          <w:color w:val="333333"/>
          <w:sz w:val="18"/>
          <w:szCs w:val="18"/>
          <w:u w:val="none"/>
        </w:rPr>
        <w:t>. in </w:t>
      </w:r>
      <w:r w:rsidRPr="00F53062">
        <w:rPr>
          <w:rFonts w:ascii="Times New Roman" w:eastAsia="Times New Roman" w:hAnsi="Times New Roman" w:cs="Times New Roman"/>
          <w:b w:val="0"/>
          <w:bCs w:val="0"/>
          <w:i/>
          <w:iCs/>
          <w:color w:val="333333"/>
          <w:sz w:val="18"/>
          <w:u w:val="none"/>
        </w:rPr>
        <w:t>The Pentateuch: A Sheffield Reader</w:t>
      </w:r>
      <w:r w:rsidRPr="00F53062">
        <w:rPr>
          <w:rFonts w:ascii="Times New Roman" w:eastAsia="Times New Roman" w:hAnsi="Times New Roman" w:cs="Times New Roman"/>
          <w:b w:val="0"/>
          <w:bCs w:val="0"/>
          <w:color w:val="333333"/>
          <w:sz w:val="18"/>
          <w:szCs w:val="18"/>
          <w:u w:val="none"/>
        </w:rPr>
        <w:t xml:space="preserve">, ed. J. W. </w:t>
      </w:r>
      <w:proofErr w:type="spellStart"/>
      <w:r w:rsidRPr="00F53062">
        <w:rPr>
          <w:rFonts w:ascii="Times New Roman" w:eastAsia="Times New Roman" w:hAnsi="Times New Roman" w:cs="Times New Roman"/>
          <w:b w:val="0"/>
          <w:bCs w:val="0"/>
          <w:color w:val="333333"/>
          <w:sz w:val="18"/>
          <w:szCs w:val="18"/>
          <w:u w:val="none"/>
        </w:rPr>
        <w:t>Rogerson</w:t>
      </w:r>
      <w:proofErr w:type="spellEnd"/>
      <w:r w:rsidRPr="00F53062">
        <w:rPr>
          <w:rFonts w:ascii="Times New Roman" w:eastAsia="Times New Roman" w:hAnsi="Times New Roman" w:cs="Times New Roman"/>
          <w:b w:val="0"/>
          <w:bCs w:val="0"/>
          <w:color w:val="333333"/>
          <w:sz w:val="18"/>
          <w:szCs w:val="18"/>
          <w:u w:val="none"/>
        </w:rPr>
        <w:t xml:space="preserve"> (Sheffield: Sheffield Academic Press, 1996), 203–221; Ralf </w:t>
      </w:r>
      <w:proofErr w:type="spellStart"/>
      <w:r w:rsidRPr="00F53062">
        <w:rPr>
          <w:rFonts w:ascii="Times New Roman" w:eastAsia="Times New Roman" w:hAnsi="Times New Roman" w:cs="Times New Roman"/>
          <w:b w:val="0"/>
          <w:bCs w:val="0"/>
          <w:color w:val="333333"/>
          <w:sz w:val="18"/>
          <w:szCs w:val="18"/>
          <w:u w:val="none"/>
        </w:rPr>
        <w:t>Rothenbusch</w:t>
      </w:r>
      <w:proofErr w:type="spellEnd"/>
      <w:r w:rsidRPr="00F53062">
        <w:rPr>
          <w:rFonts w:ascii="Times New Roman" w:eastAsia="Times New Roman" w:hAnsi="Times New Roman" w:cs="Times New Roman"/>
          <w:b w:val="0"/>
          <w:bCs w:val="0"/>
          <w:color w:val="333333"/>
          <w:sz w:val="18"/>
          <w:szCs w:val="18"/>
          <w:u w:val="none"/>
        </w:rPr>
        <w:t>, </w:t>
      </w:r>
      <w:r w:rsidRPr="00F53062">
        <w:rPr>
          <w:rFonts w:ascii="Times New Roman" w:eastAsia="Times New Roman" w:hAnsi="Times New Roman" w:cs="Times New Roman"/>
          <w:b w:val="0"/>
          <w:bCs w:val="0"/>
          <w:i/>
          <w:iCs/>
          <w:color w:val="333333"/>
          <w:sz w:val="18"/>
          <w:u w:val="none"/>
        </w:rPr>
        <w:t xml:space="preserve">Die </w:t>
      </w:r>
      <w:proofErr w:type="spellStart"/>
      <w:r w:rsidRPr="00F53062">
        <w:rPr>
          <w:rFonts w:ascii="Times New Roman" w:eastAsia="Times New Roman" w:hAnsi="Times New Roman" w:cs="Times New Roman"/>
          <w:b w:val="0"/>
          <w:bCs w:val="0"/>
          <w:i/>
          <w:iCs/>
          <w:color w:val="333333"/>
          <w:sz w:val="18"/>
          <w:u w:val="none"/>
        </w:rPr>
        <w:t>kasuistische</w:t>
      </w:r>
      <w:proofErr w:type="spellEnd"/>
      <w:r w:rsidRPr="00F53062">
        <w:rPr>
          <w:rFonts w:ascii="Times New Roman" w:eastAsia="Times New Roman" w:hAnsi="Times New Roman" w:cs="Times New Roman"/>
          <w:b w:val="0"/>
          <w:bCs w:val="0"/>
          <w:i/>
          <w:iCs/>
          <w:color w:val="333333"/>
          <w:sz w:val="18"/>
          <w:u w:val="none"/>
        </w:rPr>
        <w:t xml:space="preserve"> </w:t>
      </w:r>
      <w:proofErr w:type="spellStart"/>
      <w:r w:rsidRPr="00F53062">
        <w:rPr>
          <w:rFonts w:ascii="Times New Roman" w:eastAsia="Times New Roman" w:hAnsi="Times New Roman" w:cs="Times New Roman"/>
          <w:b w:val="0"/>
          <w:bCs w:val="0"/>
          <w:i/>
          <w:iCs/>
          <w:color w:val="333333"/>
          <w:sz w:val="18"/>
          <w:u w:val="none"/>
        </w:rPr>
        <w:t>Rechtssammlung</w:t>
      </w:r>
      <w:proofErr w:type="spellEnd"/>
      <w:r w:rsidRPr="00F53062">
        <w:rPr>
          <w:rFonts w:ascii="Times New Roman" w:eastAsia="Times New Roman" w:hAnsi="Times New Roman" w:cs="Times New Roman"/>
          <w:b w:val="0"/>
          <w:bCs w:val="0"/>
          <w:i/>
          <w:iCs/>
          <w:color w:val="333333"/>
          <w:sz w:val="18"/>
          <w:u w:val="none"/>
        </w:rPr>
        <w:t xml:space="preserve"> </w:t>
      </w:r>
      <w:proofErr w:type="spellStart"/>
      <w:r w:rsidRPr="00F53062">
        <w:rPr>
          <w:rFonts w:ascii="Times New Roman" w:eastAsia="Times New Roman" w:hAnsi="Times New Roman" w:cs="Times New Roman"/>
          <w:b w:val="0"/>
          <w:bCs w:val="0"/>
          <w:i/>
          <w:iCs/>
          <w:color w:val="333333"/>
          <w:sz w:val="18"/>
          <w:u w:val="none"/>
        </w:rPr>
        <w:t>im</w:t>
      </w:r>
      <w:proofErr w:type="spellEnd"/>
      <w:r w:rsidRPr="00F53062">
        <w:rPr>
          <w:rFonts w:ascii="Times New Roman" w:eastAsia="Times New Roman" w:hAnsi="Times New Roman" w:cs="Times New Roman"/>
          <w:b w:val="0"/>
          <w:bCs w:val="0"/>
          <w:i/>
          <w:iCs/>
          <w:color w:val="333333"/>
          <w:sz w:val="18"/>
          <w:u w:val="none"/>
        </w:rPr>
        <w:t xml:space="preserve"> “</w:t>
      </w:r>
      <w:proofErr w:type="spellStart"/>
      <w:r w:rsidRPr="00F53062">
        <w:rPr>
          <w:rFonts w:ascii="Times New Roman" w:eastAsia="Times New Roman" w:hAnsi="Times New Roman" w:cs="Times New Roman"/>
          <w:b w:val="0"/>
          <w:bCs w:val="0"/>
          <w:i/>
          <w:iCs/>
          <w:color w:val="333333"/>
          <w:sz w:val="18"/>
          <w:u w:val="none"/>
        </w:rPr>
        <w:t>Bundesbuch</w:t>
      </w:r>
      <w:proofErr w:type="spellEnd"/>
      <w:r w:rsidRPr="00F53062">
        <w:rPr>
          <w:rFonts w:ascii="Times New Roman" w:eastAsia="Times New Roman" w:hAnsi="Times New Roman" w:cs="Times New Roman"/>
          <w:b w:val="0"/>
          <w:bCs w:val="0"/>
          <w:i/>
          <w:iCs/>
          <w:color w:val="333333"/>
          <w:sz w:val="18"/>
          <w:u w:val="none"/>
        </w:rPr>
        <w:t>” (Ex 21,2–11.18–22,16)</w:t>
      </w:r>
      <w:r w:rsidRPr="00F53062">
        <w:rPr>
          <w:rFonts w:ascii="Times New Roman" w:eastAsia="Times New Roman" w:hAnsi="Times New Roman" w:cs="Times New Roman"/>
          <w:b w:val="0"/>
          <w:bCs w:val="0"/>
          <w:color w:val="333333"/>
          <w:sz w:val="18"/>
          <w:szCs w:val="18"/>
          <w:u w:val="none"/>
        </w:rPr>
        <w:t>, AOATS 259 (</w:t>
      </w:r>
      <w:proofErr w:type="spellStart"/>
      <w:r w:rsidRPr="00F53062">
        <w:rPr>
          <w:rFonts w:ascii="Times New Roman" w:eastAsia="Times New Roman" w:hAnsi="Times New Roman" w:cs="Times New Roman"/>
          <w:b w:val="0"/>
          <w:bCs w:val="0"/>
          <w:color w:val="333333"/>
          <w:sz w:val="18"/>
          <w:szCs w:val="18"/>
          <w:u w:val="none"/>
        </w:rPr>
        <w:t>Münster</w:t>
      </w:r>
      <w:proofErr w:type="spellEnd"/>
      <w:r w:rsidRPr="00F53062">
        <w:rPr>
          <w:rFonts w:ascii="Times New Roman" w:eastAsia="Times New Roman" w:hAnsi="Times New Roman" w:cs="Times New Roman"/>
          <w:b w:val="0"/>
          <w:bCs w:val="0"/>
          <w:color w:val="333333"/>
          <w:sz w:val="18"/>
          <w:szCs w:val="18"/>
          <w:u w:val="none"/>
        </w:rPr>
        <w:t>: Ugarit-</w:t>
      </w:r>
      <w:proofErr w:type="spellStart"/>
      <w:r w:rsidRPr="00F53062">
        <w:rPr>
          <w:rFonts w:ascii="Times New Roman" w:eastAsia="Times New Roman" w:hAnsi="Times New Roman" w:cs="Times New Roman"/>
          <w:b w:val="0"/>
          <w:bCs w:val="0"/>
          <w:color w:val="333333"/>
          <w:sz w:val="18"/>
          <w:szCs w:val="18"/>
          <w:u w:val="none"/>
        </w:rPr>
        <w:t>Verlag</w:t>
      </w:r>
      <w:proofErr w:type="spellEnd"/>
      <w:r w:rsidRPr="00F53062">
        <w:rPr>
          <w:rFonts w:ascii="Times New Roman" w:eastAsia="Times New Roman" w:hAnsi="Times New Roman" w:cs="Times New Roman"/>
          <w:b w:val="0"/>
          <w:bCs w:val="0"/>
          <w:color w:val="333333"/>
          <w:sz w:val="18"/>
          <w:szCs w:val="18"/>
          <w:u w:val="none"/>
        </w:rPr>
        <w:t>, 2000); Raymond Westbrook, “The Laws of Biblical Israel,” in </w:t>
      </w:r>
      <w:r w:rsidRPr="00F53062">
        <w:rPr>
          <w:rFonts w:ascii="Times New Roman" w:eastAsia="Times New Roman" w:hAnsi="Times New Roman" w:cs="Times New Roman"/>
          <w:b w:val="0"/>
          <w:bCs w:val="0"/>
          <w:i/>
          <w:iCs/>
          <w:color w:val="333333"/>
          <w:sz w:val="18"/>
          <w:u w:val="none"/>
        </w:rPr>
        <w:t>The Hebrew Bible: New Insights and Scholarship</w:t>
      </w:r>
      <w:r w:rsidRPr="00F53062">
        <w:rPr>
          <w:rFonts w:ascii="Times New Roman" w:eastAsia="Times New Roman" w:hAnsi="Times New Roman" w:cs="Times New Roman"/>
          <w:b w:val="0"/>
          <w:bCs w:val="0"/>
          <w:color w:val="333333"/>
          <w:sz w:val="18"/>
          <w:szCs w:val="18"/>
          <w:u w:val="none"/>
        </w:rPr>
        <w:t xml:space="preserve">, ed. Frederick </w:t>
      </w:r>
      <w:proofErr w:type="spellStart"/>
      <w:r w:rsidRPr="00F53062">
        <w:rPr>
          <w:rFonts w:ascii="Times New Roman" w:eastAsia="Times New Roman" w:hAnsi="Times New Roman" w:cs="Times New Roman"/>
          <w:b w:val="0"/>
          <w:bCs w:val="0"/>
          <w:color w:val="333333"/>
          <w:sz w:val="18"/>
          <w:szCs w:val="18"/>
          <w:u w:val="none"/>
        </w:rPr>
        <w:t>Greenspahn</w:t>
      </w:r>
      <w:proofErr w:type="spellEnd"/>
      <w:r w:rsidRPr="00F53062">
        <w:rPr>
          <w:rFonts w:ascii="Times New Roman" w:eastAsia="Times New Roman" w:hAnsi="Times New Roman" w:cs="Times New Roman"/>
          <w:b w:val="0"/>
          <w:bCs w:val="0"/>
          <w:color w:val="333333"/>
          <w:sz w:val="18"/>
          <w:szCs w:val="18"/>
          <w:u w:val="none"/>
        </w:rPr>
        <w:t>, Jewish Studies in the Twenty-First Century (New York: New York University Press, 2008), 99–119. (See the review of scholarship in Wright, </w:t>
      </w:r>
      <w:r w:rsidRPr="00F53062">
        <w:rPr>
          <w:rFonts w:ascii="Times New Roman" w:eastAsia="Times New Roman" w:hAnsi="Times New Roman" w:cs="Times New Roman"/>
          <w:b w:val="0"/>
          <w:bCs w:val="0"/>
          <w:i/>
          <w:iCs/>
          <w:color w:val="333333"/>
          <w:sz w:val="18"/>
          <w:u w:val="none"/>
        </w:rPr>
        <w:t>Inventing</w:t>
      </w:r>
      <w:r w:rsidRPr="00F53062">
        <w:rPr>
          <w:rFonts w:ascii="Times New Roman" w:eastAsia="Times New Roman" w:hAnsi="Times New Roman" w:cs="Times New Roman"/>
          <w:b w:val="0"/>
          <w:bCs w:val="0"/>
          <w:color w:val="333333"/>
          <w:sz w:val="18"/>
          <w:szCs w:val="18"/>
          <w:u w:val="none"/>
        </w:rPr>
        <w:t xml:space="preserve">, </w:t>
      </w:r>
      <w:proofErr w:type="gramStart"/>
      <w:r w:rsidRPr="00F53062">
        <w:rPr>
          <w:rFonts w:ascii="Times New Roman" w:eastAsia="Times New Roman" w:hAnsi="Times New Roman" w:cs="Times New Roman"/>
          <w:b w:val="0"/>
          <w:bCs w:val="0"/>
          <w:color w:val="333333"/>
          <w:sz w:val="18"/>
          <w:szCs w:val="18"/>
          <w:u w:val="none"/>
        </w:rPr>
        <w:t>16</w:t>
      </w:r>
      <w:proofErr w:type="gramEnd"/>
      <w:r w:rsidRPr="00F53062">
        <w:rPr>
          <w:rFonts w:ascii="Times New Roman" w:eastAsia="Times New Roman" w:hAnsi="Times New Roman" w:cs="Times New Roman"/>
          <w:b w:val="0"/>
          <w:bCs w:val="0"/>
          <w:color w:val="333333"/>
          <w:sz w:val="18"/>
          <w:szCs w:val="18"/>
          <w:u w:val="none"/>
        </w:rPr>
        <w:t>–24, referenced in the next note.)</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David P. Wright, </w:t>
      </w:r>
      <w:r w:rsidRPr="00F53062">
        <w:rPr>
          <w:rFonts w:ascii="Times New Roman" w:eastAsia="Times New Roman" w:hAnsi="Times New Roman" w:cs="Times New Roman"/>
          <w:b w:val="0"/>
          <w:bCs w:val="0"/>
          <w:i/>
          <w:iCs/>
          <w:color w:val="333333"/>
          <w:sz w:val="18"/>
          <w:u w:val="none"/>
        </w:rPr>
        <w:t>Inventing God’s Law: How the Covenant Code of the Bible Used and Revised the Laws of Hammurabi</w:t>
      </w:r>
      <w:r w:rsidRPr="00F53062">
        <w:rPr>
          <w:rFonts w:ascii="Times New Roman" w:eastAsia="Times New Roman" w:hAnsi="Times New Roman" w:cs="Times New Roman"/>
          <w:b w:val="0"/>
          <w:bCs w:val="0"/>
          <w:color w:val="333333"/>
          <w:sz w:val="18"/>
          <w:szCs w:val="18"/>
          <w:u w:val="none"/>
        </w:rPr>
        <w:t> (Oxford: Oxford University Press, 2009); Wright, “The Origin, Development, and Context of the Covenant Code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20:23–23:19),” in </w:t>
      </w:r>
      <w:r w:rsidRPr="00F53062">
        <w:rPr>
          <w:rFonts w:ascii="Times New Roman" w:eastAsia="Times New Roman" w:hAnsi="Times New Roman" w:cs="Times New Roman"/>
          <w:b w:val="0"/>
          <w:bCs w:val="0"/>
          <w:i/>
          <w:iCs/>
          <w:color w:val="333333"/>
          <w:sz w:val="18"/>
          <w:u w:val="none"/>
        </w:rPr>
        <w:t>The Book of Exodus: Composition, Reception, and Interpretation</w:t>
      </w:r>
      <w:r w:rsidRPr="00F53062">
        <w:rPr>
          <w:rFonts w:ascii="Times New Roman" w:eastAsia="Times New Roman" w:hAnsi="Times New Roman" w:cs="Times New Roman"/>
          <w:b w:val="0"/>
          <w:bCs w:val="0"/>
          <w:color w:val="333333"/>
          <w:sz w:val="18"/>
          <w:szCs w:val="18"/>
          <w:u w:val="none"/>
        </w:rPr>
        <w:t xml:space="preserve">, ed. Thomas </w:t>
      </w:r>
      <w:proofErr w:type="spellStart"/>
      <w:r w:rsidRPr="00F53062">
        <w:rPr>
          <w:rFonts w:ascii="Times New Roman" w:eastAsia="Times New Roman" w:hAnsi="Times New Roman" w:cs="Times New Roman"/>
          <w:b w:val="0"/>
          <w:bCs w:val="0"/>
          <w:color w:val="333333"/>
          <w:sz w:val="18"/>
          <w:szCs w:val="18"/>
          <w:u w:val="none"/>
        </w:rPr>
        <w:t>Dozeman</w:t>
      </w:r>
      <w:proofErr w:type="spellEnd"/>
      <w:r w:rsidRPr="00F53062">
        <w:rPr>
          <w:rFonts w:ascii="Times New Roman" w:eastAsia="Times New Roman" w:hAnsi="Times New Roman" w:cs="Times New Roman"/>
          <w:b w:val="0"/>
          <w:bCs w:val="0"/>
          <w:color w:val="333333"/>
          <w:sz w:val="18"/>
          <w:szCs w:val="18"/>
          <w:u w:val="none"/>
        </w:rPr>
        <w:t xml:space="preserve">, Craig Evans, and Joel </w:t>
      </w:r>
      <w:proofErr w:type="spellStart"/>
      <w:r w:rsidRPr="00F53062">
        <w:rPr>
          <w:rFonts w:ascii="Times New Roman" w:eastAsia="Times New Roman" w:hAnsi="Times New Roman" w:cs="Times New Roman"/>
          <w:b w:val="0"/>
          <w:bCs w:val="0"/>
          <w:color w:val="333333"/>
          <w:sz w:val="18"/>
          <w:szCs w:val="18"/>
          <w:u w:val="none"/>
        </w:rPr>
        <w:t>Lohr</w:t>
      </w:r>
      <w:proofErr w:type="spellEnd"/>
      <w:r w:rsidRPr="00F53062">
        <w:rPr>
          <w:rFonts w:ascii="Times New Roman" w:eastAsia="Times New Roman" w:hAnsi="Times New Roman" w:cs="Times New Roman"/>
          <w:b w:val="0"/>
          <w:bCs w:val="0"/>
          <w:color w:val="333333"/>
          <w:sz w:val="18"/>
          <w:szCs w:val="18"/>
          <w:u w:val="none"/>
        </w:rPr>
        <w:t xml:space="preserve">, </w:t>
      </w:r>
      <w:proofErr w:type="spellStart"/>
      <w:r w:rsidRPr="00F53062">
        <w:rPr>
          <w:rFonts w:ascii="Times New Roman" w:eastAsia="Times New Roman" w:hAnsi="Times New Roman" w:cs="Times New Roman"/>
          <w:b w:val="0"/>
          <w:bCs w:val="0"/>
          <w:color w:val="333333"/>
          <w:sz w:val="18"/>
          <w:szCs w:val="18"/>
          <w:u w:val="none"/>
        </w:rPr>
        <w:t>VTSup</w:t>
      </w:r>
      <w:proofErr w:type="spellEnd"/>
      <w:r w:rsidRPr="00F53062">
        <w:rPr>
          <w:rFonts w:ascii="Times New Roman" w:eastAsia="Times New Roman" w:hAnsi="Times New Roman" w:cs="Times New Roman"/>
          <w:b w:val="0"/>
          <w:bCs w:val="0"/>
          <w:color w:val="333333"/>
          <w:sz w:val="18"/>
          <w:szCs w:val="18"/>
          <w:u w:val="none"/>
        </w:rPr>
        <w:t xml:space="preserve"> 164 (Leiden: Brill, 2014), 220–244; see p. 224 [n6] for others who follow this view in one way or another; also see the review by Morrow in the next note.</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In biblical literature broadly, see Michael </w:t>
      </w:r>
      <w:proofErr w:type="spellStart"/>
      <w:r w:rsidRPr="00F53062">
        <w:rPr>
          <w:rFonts w:ascii="Times New Roman" w:eastAsia="Times New Roman" w:hAnsi="Times New Roman" w:cs="Times New Roman"/>
          <w:b w:val="0"/>
          <w:bCs w:val="0"/>
          <w:color w:val="333333"/>
          <w:sz w:val="18"/>
          <w:szCs w:val="18"/>
          <w:u w:val="none"/>
        </w:rPr>
        <w:t>Fishbane</w:t>
      </w:r>
      <w:proofErr w:type="spellEnd"/>
      <w:r w:rsidRPr="00F53062">
        <w:rPr>
          <w:rFonts w:ascii="Times New Roman" w:eastAsia="Times New Roman" w:hAnsi="Times New Roman" w:cs="Times New Roman"/>
          <w:b w:val="0"/>
          <w:bCs w:val="0"/>
          <w:color w:val="333333"/>
          <w:sz w:val="18"/>
          <w:szCs w:val="18"/>
          <w:u w:val="none"/>
        </w:rPr>
        <w:t>, </w:t>
      </w:r>
      <w:r w:rsidRPr="00F53062">
        <w:rPr>
          <w:rFonts w:ascii="Times New Roman" w:eastAsia="Times New Roman" w:hAnsi="Times New Roman" w:cs="Times New Roman"/>
          <w:b w:val="0"/>
          <w:bCs w:val="0"/>
          <w:i/>
          <w:iCs/>
          <w:color w:val="333333"/>
          <w:sz w:val="18"/>
          <w:u w:val="none"/>
        </w:rPr>
        <w:t>Biblical Interpretation in Ancient Israel</w:t>
      </w:r>
      <w:r w:rsidRPr="00F53062">
        <w:rPr>
          <w:rFonts w:ascii="Times New Roman" w:eastAsia="Times New Roman" w:hAnsi="Times New Roman" w:cs="Times New Roman"/>
          <w:b w:val="0"/>
          <w:bCs w:val="0"/>
          <w:color w:val="333333"/>
          <w:sz w:val="18"/>
          <w:szCs w:val="18"/>
          <w:u w:val="none"/>
        </w:rPr>
        <w:t> (Oxford: Oxford University Press, 1985). For biblical legal texts, see Bernard M. Levinson, </w:t>
      </w:r>
      <w:r w:rsidRPr="00F53062">
        <w:rPr>
          <w:rFonts w:ascii="Times New Roman" w:eastAsia="Times New Roman" w:hAnsi="Times New Roman" w:cs="Times New Roman"/>
          <w:b w:val="0"/>
          <w:bCs w:val="0"/>
          <w:i/>
          <w:iCs/>
          <w:color w:val="333333"/>
          <w:sz w:val="18"/>
          <w:u w:val="none"/>
        </w:rPr>
        <w:t>Deuteronomy and the Hermeneutics of Legal Innovation</w:t>
      </w:r>
      <w:r w:rsidRPr="00F53062">
        <w:rPr>
          <w:rFonts w:ascii="Times New Roman" w:eastAsia="Times New Roman" w:hAnsi="Times New Roman" w:cs="Times New Roman"/>
          <w:b w:val="0"/>
          <w:bCs w:val="0"/>
          <w:color w:val="333333"/>
          <w:sz w:val="18"/>
          <w:szCs w:val="18"/>
          <w:u w:val="none"/>
        </w:rPr>
        <w:t> (Oxford: Oxford University Press, 1998); Levinson, </w:t>
      </w:r>
      <w:r w:rsidRPr="00F53062">
        <w:rPr>
          <w:rFonts w:ascii="Times New Roman" w:eastAsia="Times New Roman" w:hAnsi="Times New Roman" w:cs="Times New Roman"/>
          <w:b w:val="0"/>
          <w:bCs w:val="0"/>
          <w:i/>
          <w:iCs/>
          <w:color w:val="333333"/>
          <w:sz w:val="18"/>
          <w:u w:val="none"/>
        </w:rPr>
        <w:t>Legal Revision and Religious Renewal in Ancient Israel</w:t>
      </w:r>
      <w:r w:rsidRPr="00F53062">
        <w:rPr>
          <w:rFonts w:ascii="Times New Roman" w:eastAsia="Times New Roman" w:hAnsi="Times New Roman" w:cs="Times New Roman"/>
          <w:b w:val="0"/>
          <w:bCs w:val="0"/>
          <w:color w:val="333333"/>
          <w:sz w:val="18"/>
          <w:szCs w:val="18"/>
          <w:u w:val="none"/>
        </w:rPr>
        <w:t> (Cambridge: Cambridge University Press, 2008), 95–181.</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For a discussion of such differences, see Bruce Wells, “The Covenant Code and Near Eastern Legal Traditions: A Response to David P. Wright,” </w:t>
      </w:r>
      <w:proofErr w:type="spellStart"/>
      <w:r w:rsidRPr="00F53062">
        <w:rPr>
          <w:rFonts w:ascii="Times New Roman" w:eastAsia="Times New Roman" w:hAnsi="Times New Roman" w:cs="Times New Roman"/>
          <w:b w:val="0"/>
          <w:bCs w:val="0"/>
          <w:i/>
          <w:iCs/>
          <w:color w:val="333333"/>
          <w:sz w:val="18"/>
          <w:u w:val="none"/>
        </w:rPr>
        <w:t>Maarav</w:t>
      </w:r>
      <w:proofErr w:type="spellEnd"/>
      <w:r w:rsidRPr="00F53062">
        <w:rPr>
          <w:rFonts w:ascii="Times New Roman" w:eastAsia="Times New Roman" w:hAnsi="Times New Roman" w:cs="Times New Roman"/>
          <w:b w:val="0"/>
          <w:bCs w:val="0"/>
          <w:color w:val="333333"/>
          <w:sz w:val="18"/>
          <w:szCs w:val="18"/>
          <w:u w:val="none"/>
        </w:rPr>
        <w:t> 13 (2006): 85–118.</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Attention to hermeneutical creativity also provides an avenue for assessing and appreciating the significance and meaning of the innovative text.</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See the review by William Morrow, “Legal Interactions: The </w:t>
      </w:r>
      <w:proofErr w:type="spellStart"/>
      <w:r w:rsidRPr="00F53062">
        <w:rPr>
          <w:rFonts w:ascii="Times New Roman" w:eastAsia="Times New Roman" w:hAnsi="Times New Roman" w:cs="Times New Roman"/>
          <w:b w:val="0"/>
          <w:bCs w:val="0"/>
          <w:i/>
          <w:iCs/>
          <w:color w:val="333333"/>
          <w:sz w:val="18"/>
          <w:u w:val="none"/>
        </w:rPr>
        <w:t>Mišpāṭîm</w:t>
      </w:r>
      <w:proofErr w:type="spellEnd"/>
      <w:r w:rsidRPr="00F53062">
        <w:rPr>
          <w:rFonts w:ascii="Times New Roman" w:eastAsia="Times New Roman" w:hAnsi="Times New Roman" w:cs="Times New Roman"/>
          <w:b w:val="0"/>
          <w:bCs w:val="0"/>
          <w:color w:val="333333"/>
          <w:sz w:val="18"/>
          <w:szCs w:val="18"/>
          <w:u w:val="none"/>
        </w:rPr>
        <w:t> and the Laws of Hammurabi,” </w:t>
      </w:r>
      <w:r w:rsidRPr="00F53062">
        <w:rPr>
          <w:rFonts w:ascii="Times New Roman" w:eastAsia="Times New Roman" w:hAnsi="Times New Roman" w:cs="Times New Roman"/>
          <w:b w:val="0"/>
          <w:bCs w:val="0"/>
          <w:i/>
          <w:iCs/>
          <w:color w:val="333333"/>
          <w:sz w:val="18"/>
          <w:u w:val="none"/>
        </w:rPr>
        <w:t>BO </w:t>
      </w:r>
      <w:r w:rsidRPr="00F53062">
        <w:rPr>
          <w:rFonts w:ascii="Times New Roman" w:eastAsia="Times New Roman" w:hAnsi="Times New Roman" w:cs="Times New Roman"/>
          <w:b w:val="0"/>
          <w:bCs w:val="0"/>
          <w:color w:val="333333"/>
          <w:sz w:val="18"/>
          <w:szCs w:val="18"/>
          <w:u w:val="none"/>
        </w:rPr>
        <w:t xml:space="preserve">70 (2013): 309–331. He concludes that the assault laws of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21:18–32 do show dependence on LH and calls for more study of the means and context for this dependence.</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lastRenderedPageBreak/>
        <w:t xml:space="preserve">For </w:t>
      </w:r>
      <w:proofErr w:type="spellStart"/>
      <w:r w:rsidRPr="00F53062">
        <w:rPr>
          <w:rFonts w:ascii="Times New Roman" w:eastAsia="Times New Roman" w:hAnsi="Times New Roman" w:cs="Times New Roman"/>
          <w:b w:val="0"/>
          <w:bCs w:val="0"/>
          <w:color w:val="333333"/>
          <w:sz w:val="18"/>
          <w:szCs w:val="18"/>
          <w:u w:val="none"/>
          <w:rtl/>
          <w:lang w:bidi="he-IL"/>
        </w:rPr>
        <w:t>בִּפְלִלִים</w:t>
      </w:r>
      <w:proofErr w:type="spellEnd"/>
      <w:r w:rsidRPr="00F53062">
        <w:rPr>
          <w:rFonts w:ascii="Times New Roman" w:eastAsia="Times New Roman" w:hAnsi="Times New Roman" w:cs="Times New Roman"/>
          <w:b w:val="0"/>
          <w:bCs w:val="0"/>
          <w:color w:val="333333"/>
          <w:sz w:val="18"/>
          <w:szCs w:val="18"/>
          <w:u w:val="none"/>
        </w:rPr>
        <w:t xml:space="preserve">, perhaps read </w:t>
      </w:r>
      <w:r w:rsidRPr="00F53062">
        <w:rPr>
          <w:rFonts w:ascii="Times New Roman" w:eastAsia="Times New Roman" w:hAnsi="Times New Roman" w:cs="Times New Roman"/>
          <w:b w:val="0"/>
          <w:bCs w:val="0"/>
          <w:color w:val="333333"/>
          <w:sz w:val="18"/>
          <w:szCs w:val="18"/>
          <w:u w:val="none"/>
          <w:rtl/>
          <w:lang w:bidi="he-IL"/>
        </w:rPr>
        <w:t>בנפלים</w:t>
      </w:r>
      <w:r w:rsidRPr="00F53062">
        <w:rPr>
          <w:rFonts w:ascii="Times New Roman" w:eastAsia="Times New Roman" w:hAnsi="Times New Roman" w:cs="Times New Roman"/>
          <w:b w:val="0"/>
          <w:bCs w:val="0"/>
          <w:color w:val="333333"/>
          <w:sz w:val="18"/>
          <w:szCs w:val="18"/>
          <w:u w:val="none"/>
        </w:rPr>
        <w:t xml:space="preserve"> “for the fetus.” This plural, as well as </w:t>
      </w:r>
      <w:r w:rsidRPr="00F53062">
        <w:rPr>
          <w:rFonts w:ascii="Times New Roman" w:eastAsia="Times New Roman" w:hAnsi="Times New Roman" w:cs="Times New Roman"/>
          <w:b w:val="0"/>
          <w:bCs w:val="0"/>
          <w:color w:val="333333"/>
          <w:sz w:val="18"/>
          <w:szCs w:val="18"/>
          <w:u w:val="none"/>
          <w:rtl/>
          <w:lang w:bidi="he-IL"/>
        </w:rPr>
        <w:t>יְלָדֶיהָ</w:t>
      </w:r>
      <w:r w:rsidRPr="00F53062">
        <w:rPr>
          <w:rFonts w:ascii="Times New Roman" w:eastAsia="Times New Roman" w:hAnsi="Times New Roman" w:cs="Times New Roman"/>
          <w:b w:val="0"/>
          <w:bCs w:val="0"/>
          <w:color w:val="333333"/>
          <w:sz w:val="18"/>
          <w:szCs w:val="18"/>
          <w:u w:val="none"/>
        </w:rPr>
        <w:t xml:space="preserve"> “her children,” earlier in the verse, would be abstractions referring to the aborted fetus.</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Some scholars argue that v. 25 is a later expansion.</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The inconsistency in the conceptual and stylistic flow from the miscarriage laws proper to the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law has led some scholars to speculate that this was the result of textual development done in </w:t>
      </w:r>
      <w:proofErr w:type="spellStart"/>
      <w:r w:rsidRPr="00F53062">
        <w:rPr>
          <w:rFonts w:ascii="Times New Roman" w:eastAsia="Times New Roman" w:hAnsi="Times New Roman" w:cs="Times New Roman"/>
          <w:b w:val="0"/>
          <w:bCs w:val="0"/>
          <w:color w:val="333333"/>
          <w:sz w:val="18"/>
          <w:szCs w:val="18"/>
          <w:u w:val="none"/>
        </w:rPr>
        <w:t>redactional</w:t>
      </w:r>
      <w:proofErr w:type="spellEnd"/>
      <w:r w:rsidRPr="00F53062">
        <w:rPr>
          <w:rFonts w:ascii="Times New Roman" w:eastAsia="Times New Roman" w:hAnsi="Times New Roman" w:cs="Times New Roman"/>
          <w:b w:val="0"/>
          <w:bCs w:val="0"/>
          <w:color w:val="333333"/>
          <w:sz w:val="18"/>
          <w:szCs w:val="18"/>
          <w:u w:val="none"/>
        </w:rPr>
        <w:t xml:space="preserve"> stages.</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In the Old Babylonian period, the </w:t>
      </w:r>
      <w:proofErr w:type="spellStart"/>
      <w:r w:rsidRPr="00F53062">
        <w:rPr>
          <w:rFonts w:ascii="Times New Roman" w:eastAsia="Times New Roman" w:hAnsi="Times New Roman" w:cs="Times New Roman"/>
          <w:b w:val="0"/>
          <w:bCs w:val="0"/>
          <w:i/>
          <w:iCs/>
          <w:color w:val="333333"/>
          <w:sz w:val="18"/>
          <w:u w:val="none"/>
        </w:rPr>
        <w:t>muškēnum</w:t>
      </w:r>
      <w:proofErr w:type="spellEnd"/>
      <w:r w:rsidRPr="00F53062">
        <w:rPr>
          <w:rFonts w:ascii="Times New Roman" w:eastAsia="Times New Roman" w:hAnsi="Times New Roman" w:cs="Times New Roman"/>
          <w:b w:val="0"/>
          <w:bCs w:val="0"/>
          <w:i/>
          <w:iCs/>
          <w:color w:val="333333"/>
          <w:sz w:val="18"/>
          <w:u w:val="none"/>
        </w:rPr>
        <w:t> </w:t>
      </w:r>
      <w:r w:rsidRPr="00F53062">
        <w:rPr>
          <w:rFonts w:ascii="Times New Roman" w:eastAsia="Times New Roman" w:hAnsi="Times New Roman" w:cs="Times New Roman"/>
          <w:b w:val="0"/>
          <w:bCs w:val="0"/>
          <w:color w:val="333333"/>
          <w:sz w:val="18"/>
          <w:szCs w:val="18"/>
          <w:u w:val="none"/>
        </w:rPr>
        <w:t>was probably free but tied by economic obligations to the palace. Later, it became a general term for the poor. See Wright, </w:t>
      </w:r>
      <w:r w:rsidRPr="00F53062">
        <w:rPr>
          <w:rFonts w:ascii="Times New Roman" w:eastAsia="Times New Roman" w:hAnsi="Times New Roman" w:cs="Times New Roman"/>
          <w:b w:val="0"/>
          <w:bCs w:val="0"/>
          <w:i/>
          <w:iCs/>
          <w:color w:val="333333"/>
          <w:sz w:val="18"/>
          <w:u w:val="none"/>
        </w:rPr>
        <w:t>Inventing</w:t>
      </w:r>
      <w:r w:rsidRPr="00F53062">
        <w:rPr>
          <w:rFonts w:ascii="Times New Roman" w:eastAsia="Times New Roman" w:hAnsi="Times New Roman" w:cs="Times New Roman"/>
          <w:b w:val="0"/>
          <w:bCs w:val="0"/>
          <w:color w:val="333333"/>
          <w:sz w:val="18"/>
          <w:szCs w:val="18"/>
          <w:u w:val="none"/>
        </w:rPr>
        <w:t>, 428 [n61].</w:t>
      </w:r>
      <w:r w:rsidRPr="00F53062">
        <w:rPr>
          <w:rFonts w:ascii="Times New Roman" w:eastAsia="Times New Roman" w:hAnsi="Times New Roman" w:cs="Times New Roman"/>
          <w:b w:val="0"/>
          <w:bCs w:val="0"/>
          <w:i/>
          <w:iCs/>
          <w:color w:val="333333"/>
          <w:sz w:val="18"/>
          <w:u w:val="none"/>
        </w:rPr>
        <w:t> </w:t>
      </w:r>
      <w:r w:rsidRPr="00F53062">
        <w:rPr>
          <w:rFonts w:ascii="Times New Roman" w:eastAsia="Times New Roman" w:hAnsi="Times New Roman" w:cs="Times New Roman"/>
          <w:b w:val="0"/>
          <w:bCs w:val="0"/>
          <w:color w:val="333333"/>
          <w:sz w:val="18"/>
          <w:szCs w:val="18"/>
          <w:u w:val="none"/>
        </w:rPr>
        <w:t xml:space="preserve">This </w:t>
      </w:r>
      <w:proofErr w:type="spellStart"/>
      <w:r w:rsidRPr="00F53062">
        <w:rPr>
          <w:rFonts w:ascii="Times New Roman" w:eastAsia="Times New Roman" w:hAnsi="Times New Roman" w:cs="Times New Roman"/>
          <w:b w:val="0"/>
          <w:bCs w:val="0"/>
          <w:color w:val="333333"/>
          <w:sz w:val="18"/>
          <w:szCs w:val="18"/>
          <w:u w:val="none"/>
        </w:rPr>
        <w:t>Akkadian</w:t>
      </w:r>
      <w:proofErr w:type="spellEnd"/>
      <w:r w:rsidRPr="00F53062">
        <w:rPr>
          <w:rFonts w:ascii="Times New Roman" w:eastAsia="Times New Roman" w:hAnsi="Times New Roman" w:cs="Times New Roman"/>
          <w:b w:val="0"/>
          <w:bCs w:val="0"/>
          <w:color w:val="333333"/>
          <w:sz w:val="18"/>
          <w:szCs w:val="18"/>
          <w:u w:val="none"/>
        </w:rPr>
        <w:t xml:space="preserve"> word is the origin of the Late Biblical (Eccl. 4:13; 9:15-16) and Rabbinic Hebrew </w:t>
      </w:r>
      <w:r w:rsidRPr="00F53062">
        <w:rPr>
          <w:rFonts w:ascii="Times New Roman" w:eastAsia="Times New Roman" w:hAnsi="Times New Roman" w:cs="Times New Roman"/>
          <w:b w:val="0"/>
          <w:bCs w:val="0"/>
          <w:i/>
          <w:iCs/>
          <w:color w:val="333333"/>
          <w:sz w:val="18"/>
          <w:u w:val="none"/>
          <w:rtl/>
          <w:lang w:bidi="he-IL"/>
        </w:rPr>
        <w:t>מִסְכֵּן</w:t>
      </w:r>
      <w:r w:rsidRPr="00F53062">
        <w:rPr>
          <w:rFonts w:ascii="Times New Roman" w:eastAsia="Times New Roman" w:hAnsi="Times New Roman" w:cs="Times New Roman"/>
          <w:b w:val="0"/>
          <w:bCs w:val="0"/>
          <w:i/>
          <w:iCs/>
          <w:color w:val="333333"/>
          <w:sz w:val="18"/>
          <w:u w:val="none"/>
        </w:rPr>
        <w:t>, meaning “poor.”</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The trio of soft-tissue injuries in v. 25, burn, injury, and wound, that complete CC’s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list, can be explained similarly. Though they do not come from this part of LH, they derive from another group of laws, dealing with unintentional assault that we will look at momentarily, trifurcating LH’s “wound” (</w:t>
      </w:r>
      <w:proofErr w:type="spellStart"/>
      <w:r w:rsidRPr="00F53062">
        <w:rPr>
          <w:rFonts w:ascii="Times New Roman" w:eastAsia="Times New Roman" w:hAnsi="Times New Roman" w:cs="Times New Roman"/>
          <w:b w:val="0"/>
          <w:bCs w:val="0"/>
          <w:i/>
          <w:iCs/>
          <w:color w:val="333333"/>
          <w:sz w:val="18"/>
          <w:u w:val="none"/>
        </w:rPr>
        <w:t>simmum</w:t>
      </w:r>
      <w:proofErr w:type="spellEnd"/>
      <w:r w:rsidRPr="00F53062">
        <w:rPr>
          <w:rFonts w:ascii="Times New Roman" w:eastAsia="Times New Roman" w:hAnsi="Times New Roman" w:cs="Times New Roman"/>
          <w:b w:val="0"/>
          <w:bCs w:val="0"/>
          <w:color w:val="333333"/>
          <w:sz w:val="18"/>
          <w:szCs w:val="18"/>
          <w:u w:val="none"/>
        </w:rPr>
        <w:t>) in LH 206.</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Again, the law does not distinguish between two classes of non-slaves, but it is followed up by a separate law dealing with the striking of slaves:</w:t>
      </w:r>
    </w:p>
    <w:p w:rsidR="00F53062" w:rsidRPr="00F53062" w:rsidRDefault="00F53062" w:rsidP="00F53062">
      <w:pPr>
        <w:shd w:val="clear" w:color="auto" w:fill="FFFFFF"/>
        <w:bidi/>
        <w:spacing w:after="100" w:line="348" w:lineRule="atLeast"/>
        <w:ind w:left="1440"/>
        <w:textAlignment w:val="top"/>
        <w:rPr>
          <w:rFonts w:ascii="Times New Roman" w:eastAsia="Times New Roman" w:hAnsi="Times New Roman" w:cs="Times New Roman"/>
          <w:b w:val="0"/>
          <w:bCs w:val="0"/>
          <w:color w:val="333333"/>
          <w:sz w:val="20"/>
          <w:szCs w:val="20"/>
          <w:u w:val="none"/>
        </w:rPr>
      </w:pPr>
      <w:r w:rsidRPr="00F53062">
        <w:rPr>
          <w:rFonts w:ascii="Times New Roman" w:eastAsia="Times New Roman" w:hAnsi="Times New Roman" w:cs="Times New Roman"/>
          <w:b w:val="0"/>
          <w:bCs w:val="0"/>
          <w:color w:val="333333"/>
          <w:sz w:val="15"/>
          <w:szCs w:val="15"/>
          <w:u w:val="none"/>
          <w:vertAlign w:val="superscript"/>
          <w:rtl/>
          <w:lang w:bidi="he-IL"/>
        </w:rPr>
        <w:t xml:space="preserve">שמות </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כא</w:t>
      </w:r>
      <w:proofErr w:type="spellEnd"/>
      <w:r w:rsidRPr="00F53062">
        <w:rPr>
          <w:rFonts w:ascii="Times New Roman" w:eastAsia="Times New Roman" w:hAnsi="Times New Roman" w:cs="Times New Roman"/>
          <w:b w:val="0"/>
          <w:bCs w:val="0"/>
          <w:color w:val="333333"/>
          <w:sz w:val="15"/>
          <w:szCs w:val="15"/>
          <w:u w:val="none"/>
          <w:vertAlign w:val="superscript"/>
          <w:rtl/>
          <w:lang w:bidi="he-IL"/>
        </w:rPr>
        <w:t>:כ</w:t>
      </w:r>
      <w:r w:rsidRPr="00F53062">
        <w:rPr>
          <w:rFonts w:ascii="Times New Roman" w:eastAsia="Times New Roman" w:hAnsi="Times New Roman" w:cs="Times New Roman"/>
          <w:b w:val="0"/>
          <w:bCs w:val="0"/>
          <w:color w:val="333333"/>
          <w:sz w:val="20"/>
          <w:szCs w:val="20"/>
          <w:u w:val="none"/>
          <w:rtl/>
        </w:rPr>
        <w:t> </w:t>
      </w:r>
      <w:r w:rsidRPr="00F53062">
        <w:rPr>
          <w:rFonts w:ascii="Times New Roman" w:eastAsia="Times New Roman" w:hAnsi="Times New Roman" w:cs="Times New Roman"/>
          <w:b w:val="0"/>
          <w:bCs w:val="0"/>
          <w:color w:val="333333"/>
          <w:sz w:val="20"/>
          <w:szCs w:val="20"/>
          <w:u w:val="none"/>
          <w:rtl/>
          <w:lang w:bidi="he-IL"/>
        </w:rPr>
        <w:t>וְכִי יַכֶּה אִישׁ אֶת עַבְדּוֹ אוֹ אֶת אֲמָתוֹ בַּשֵּׁבֶט וּמֵת תַּחַת יָדוֹ נָקֹם יִנָּקֵם.</w:t>
      </w:r>
      <w:r w:rsidRPr="00F53062">
        <w:rPr>
          <w:rFonts w:ascii="Times New Roman" w:eastAsia="Times New Roman" w:hAnsi="Times New Roman" w:cs="Times New Roman"/>
          <w:b w:val="0"/>
          <w:bCs w:val="0"/>
          <w:color w:val="333333"/>
          <w:sz w:val="20"/>
          <w:szCs w:val="20"/>
          <w:u w:val="none"/>
          <w:rtl/>
        </w:rPr>
        <w:t> </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כא</w:t>
      </w:r>
      <w:proofErr w:type="spellEnd"/>
      <w:r w:rsidRPr="00F53062">
        <w:rPr>
          <w:rFonts w:ascii="Times New Roman" w:eastAsia="Times New Roman" w:hAnsi="Times New Roman" w:cs="Times New Roman"/>
          <w:b w:val="0"/>
          <w:bCs w:val="0"/>
          <w:color w:val="333333"/>
          <w:sz w:val="15"/>
          <w:szCs w:val="15"/>
          <w:u w:val="none"/>
          <w:vertAlign w:val="superscript"/>
          <w:rtl/>
          <w:lang w:bidi="he-IL"/>
        </w:rPr>
        <w:t>:</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כא</w:t>
      </w:r>
      <w:proofErr w:type="spellEnd"/>
      <w:r w:rsidRPr="00F53062">
        <w:rPr>
          <w:rFonts w:ascii="Times New Roman" w:eastAsia="Times New Roman" w:hAnsi="Times New Roman" w:cs="Times New Roman"/>
          <w:b w:val="0"/>
          <w:bCs w:val="0"/>
          <w:color w:val="333333"/>
          <w:sz w:val="20"/>
          <w:szCs w:val="20"/>
          <w:u w:val="none"/>
          <w:rtl/>
        </w:rPr>
        <w:t> </w:t>
      </w:r>
      <w:r w:rsidRPr="00F53062">
        <w:rPr>
          <w:rFonts w:ascii="Times New Roman" w:eastAsia="Times New Roman" w:hAnsi="Times New Roman" w:cs="Times New Roman"/>
          <w:b w:val="0"/>
          <w:bCs w:val="0"/>
          <w:color w:val="333333"/>
          <w:sz w:val="20"/>
          <w:szCs w:val="20"/>
          <w:u w:val="none"/>
          <w:rtl/>
          <w:lang w:bidi="he-IL"/>
        </w:rPr>
        <w:t xml:space="preserve">אַךְ אִם יוֹם אוֹ </w:t>
      </w:r>
      <w:proofErr w:type="spellStart"/>
      <w:r w:rsidRPr="00F53062">
        <w:rPr>
          <w:rFonts w:ascii="Times New Roman" w:eastAsia="Times New Roman" w:hAnsi="Times New Roman" w:cs="Times New Roman"/>
          <w:b w:val="0"/>
          <w:bCs w:val="0"/>
          <w:color w:val="333333"/>
          <w:sz w:val="20"/>
          <w:szCs w:val="20"/>
          <w:u w:val="none"/>
          <w:rtl/>
          <w:lang w:bidi="he-IL"/>
        </w:rPr>
        <w:t>יוֹמַיִם</w:t>
      </w:r>
      <w:proofErr w:type="spellEnd"/>
      <w:r w:rsidRPr="00F53062">
        <w:rPr>
          <w:rFonts w:ascii="Times New Roman" w:eastAsia="Times New Roman" w:hAnsi="Times New Roman" w:cs="Times New Roman"/>
          <w:b w:val="0"/>
          <w:bCs w:val="0"/>
          <w:color w:val="333333"/>
          <w:sz w:val="20"/>
          <w:szCs w:val="20"/>
          <w:u w:val="none"/>
          <w:rtl/>
          <w:lang w:bidi="he-IL"/>
        </w:rPr>
        <w:t xml:space="preserve"> יַעֲמֹד לֹא </w:t>
      </w:r>
      <w:proofErr w:type="spellStart"/>
      <w:r w:rsidRPr="00F53062">
        <w:rPr>
          <w:rFonts w:ascii="Times New Roman" w:eastAsia="Times New Roman" w:hAnsi="Times New Roman" w:cs="Times New Roman"/>
          <w:b w:val="0"/>
          <w:bCs w:val="0"/>
          <w:color w:val="333333"/>
          <w:sz w:val="20"/>
          <w:szCs w:val="20"/>
          <w:u w:val="none"/>
          <w:rtl/>
          <w:lang w:bidi="he-IL"/>
        </w:rPr>
        <w:t>יֻקַּם</w:t>
      </w:r>
      <w:proofErr w:type="spellEnd"/>
      <w:r w:rsidRPr="00F53062">
        <w:rPr>
          <w:rFonts w:ascii="Times New Roman" w:eastAsia="Times New Roman" w:hAnsi="Times New Roman" w:cs="Times New Roman"/>
          <w:b w:val="0"/>
          <w:bCs w:val="0"/>
          <w:color w:val="333333"/>
          <w:sz w:val="20"/>
          <w:szCs w:val="20"/>
          <w:u w:val="none"/>
          <w:rtl/>
          <w:lang w:bidi="he-IL"/>
        </w:rPr>
        <w:t xml:space="preserve"> כִּי כַסְפּוֹ הוּא.</w:t>
      </w:r>
    </w:p>
    <w:p w:rsidR="00F53062" w:rsidRPr="00F53062" w:rsidRDefault="00F53062" w:rsidP="00F53062">
      <w:pPr>
        <w:shd w:val="clear" w:color="auto" w:fill="FFFFFF"/>
        <w:spacing w:after="0" w:line="480" w:lineRule="auto"/>
        <w:ind w:left="720"/>
        <w:rPr>
          <w:rFonts w:ascii="Times New Roman" w:eastAsia="Times New Roman" w:hAnsi="Times New Roman" w:cs="Times New Roman"/>
          <w:b w:val="0"/>
          <w:bCs w:val="0"/>
          <w:color w:val="333333"/>
          <w:sz w:val="18"/>
          <w:szCs w:val="18"/>
          <w:u w:val="none"/>
          <w:rtl/>
        </w:rPr>
      </w:pPr>
      <w:r w:rsidRPr="00F53062">
        <w:rPr>
          <w:rFonts w:ascii="Times New Roman" w:eastAsia="Times New Roman" w:hAnsi="Times New Roman" w:cs="Times New Roman"/>
          <w:b w:val="0"/>
          <w:bCs w:val="0"/>
          <w:color w:val="333333"/>
          <w:sz w:val="18"/>
          <w:szCs w:val="18"/>
          <w:u w:val="none"/>
        </w:rPr>
        <w:t> </w:t>
      </w:r>
    </w:p>
    <w:p w:rsidR="00F53062" w:rsidRDefault="00F53062" w:rsidP="00F53062">
      <w:pPr>
        <w:shd w:val="clear" w:color="auto" w:fill="FFFFFF"/>
        <w:spacing w:after="0" w:line="348" w:lineRule="atLeast"/>
        <w:ind w:left="720"/>
        <w:textAlignment w:val="top"/>
        <w:rPr>
          <w:rFonts w:ascii="Times New Roman" w:eastAsia="Times New Roman" w:hAnsi="Times New Roman" w:cs="Times New Roman"/>
          <w:b w:val="0"/>
          <w:bCs w:val="0"/>
          <w:color w:val="333333"/>
          <w:sz w:val="18"/>
          <w:szCs w:val="18"/>
          <w:u w:val="none"/>
        </w:rPr>
      </w:pPr>
      <w:proofErr w:type="spellStart"/>
      <w:r w:rsidRPr="00F53062">
        <w:rPr>
          <w:rFonts w:ascii="Times New Roman" w:eastAsia="Times New Roman" w:hAnsi="Times New Roman" w:cs="Times New Roman"/>
          <w:b w:val="0"/>
          <w:bCs w:val="0"/>
          <w:color w:val="333333"/>
          <w:sz w:val="14"/>
          <w:szCs w:val="14"/>
          <w:u w:val="none"/>
          <w:vertAlign w:val="superscript"/>
        </w:rPr>
        <w:t>Exod</w:t>
      </w:r>
      <w:proofErr w:type="spellEnd"/>
      <w:r w:rsidRPr="00F53062">
        <w:rPr>
          <w:rFonts w:ascii="Times New Roman" w:eastAsia="Times New Roman" w:hAnsi="Times New Roman" w:cs="Times New Roman"/>
          <w:b w:val="0"/>
          <w:bCs w:val="0"/>
          <w:color w:val="333333"/>
          <w:sz w:val="14"/>
          <w:szCs w:val="14"/>
          <w:u w:val="none"/>
          <w:vertAlign w:val="superscript"/>
        </w:rPr>
        <w:t xml:space="preserve"> 21:20 </w:t>
      </w:r>
      <w:r w:rsidRPr="00F53062">
        <w:rPr>
          <w:rFonts w:ascii="Times New Roman" w:eastAsia="Times New Roman" w:hAnsi="Times New Roman" w:cs="Times New Roman"/>
          <w:b w:val="0"/>
          <w:bCs w:val="0"/>
          <w:color w:val="333333"/>
          <w:sz w:val="18"/>
          <w:szCs w:val="18"/>
          <w:u w:val="none"/>
        </w:rPr>
        <w:t>If a man strikes his male slave or female slave with a rod and he (or she) dies under his hand, he (the victim) is to be avenged, </w:t>
      </w:r>
      <w:r w:rsidRPr="00F53062">
        <w:rPr>
          <w:rFonts w:ascii="Times New Roman" w:eastAsia="Times New Roman" w:hAnsi="Times New Roman" w:cs="Times New Roman"/>
          <w:b w:val="0"/>
          <w:bCs w:val="0"/>
          <w:color w:val="333333"/>
          <w:sz w:val="14"/>
          <w:szCs w:val="14"/>
          <w:u w:val="none"/>
          <w:vertAlign w:val="superscript"/>
        </w:rPr>
        <w:t>21:21</w:t>
      </w:r>
      <w:r w:rsidRPr="00F53062">
        <w:rPr>
          <w:rFonts w:ascii="Times New Roman" w:eastAsia="Times New Roman" w:hAnsi="Times New Roman" w:cs="Times New Roman"/>
          <w:b w:val="0"/>
          <w:bCs w:val="0"/>
          <w:color w:val="333333"/>
          <w:sz w:val="18"/>
          <w:szCs w:val="18"/>
          <w:u w:val="none"/>
        </w:rPr>
        <w:t> but if he lingers for a day or two, he (the assailant) shall not suffer vengeance, since he is his (the master’s) silver (i.e., property).</w:t>
      </w:r>
    </w:p>
    <w:p w:rsidR="00F53062" w:rsidRPr="00F53062" w:rsidRDefault="00F53062" w:rsidP="00F53062">
      <w:pPr>
        <w:shd w:val="clear" w:color="auto" w:fill="FFFFFF"/>
        <w:spacing w:after="0" w:line="348" w:lineRule="atLeast"/>
        <w:ind w:left="720"/>
        <w:textAlignment w:val="top"/>
        <w:rPr>
          <w:rFonts w:ascii="Times New Roman" w:eastAsia="Times New Roman" w:hAnsi="Times New Roman" w:cs="Times New Roman"/>
          <w:b w:val="0"/>
          <w:bCs w:val="0"/>
          <w:color w:val="333333"/>
          <w:sz w:val="18"/>
          <w:szCs w:val="18"/>
          <w:u w:val="none"/>
        </w:rPr>
      </w:pPr>
    </w:p>
    <w:p w:rsidR="00F53062" w:rsidRPr="00F53062" w:rsidRDefault="00F53062" w:rsidP="00F53062">
      <w:pPr>
        <w:shd w:val="clear" w:color="auto" w:fill="FFFFFF"/>
        <w:spacing w:after="120" w:line="480" w:lineRule="auto"/>
        <w:ind w:left="720"/>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CC is altering social gradations—from LH’s </w:t>
      </w:r>
      <w:proofErr w:type="spellStart"/>
      <w:r w:rsidRPr="00F53062">
        <w:rPr>
          <w:rFonts w:ascii="Times New Roman" w:eastAsia="Times New Roman" w:hAnsi="Times New Roman" w:cs="Times New Roman"/>
          <w:b w:val="0"/>
          <w:bCs w:val="0"/>
          <w:i/>
          <w:iCs/>
          <w:color w:val="333333"/>
          <w:sz w:val="18"/>
          <w:u w:val="none"/>
        </w:rPr>
        <w:t>muškēnum</w:t>
      </w:r>
      <w:proofErr w:type="spellEnd"/>
      <w:r w:rsidRPr="00F53062">
        <w:rPr>
          <w:rFonts w:ascii="Times New Roman" w:eastAsia="Times New Roman" w:hAnsi="Times New Roman" w:cs="Times New Roman"/>
          <w:b w:val="0"/>
          <w:bCs w:val="0"/>
          <w:color w:val="333333"/>
          <w:sz w:val="18"/>
          <w:szCs w:val="18"/>
          <w:u w:val="none"/>
        </w:rPr>
        <w:t xml:space="preserve"> to CC’s slave—consistent with its sociological perspectives and, in particular, to fit its interest in legislating about slaves generally (21:2–11, 20–21, 26–27, 32). A similar adaptation is found in CC’s law about knocking out a slave’s tooth in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21:27, which correlates with LH 201 about knocking out a </w:t>
      </w:r>
      <w:proofErr w:type="spellStart"/>
      <w:r w:rsidRPr="00F53062">
        <w:rPr>
          <w:rFonts w:ascii="Times New Roman" w:eastAsia="Times New Roman" w:hAnsi="Times New Roman" w:cs="Times New Roman"/>
          <w:b w:val="0"/>
          <w:bCs w:val="0"/>
          <w:i/>
          <w:iCs/>
          <w:color w:val="333333"/>
          <w:sz w:val="18"/>
          <w:u w:val="none"/>
        </w:rPr>
        <w:t>muškēnum</w:t>
      </w:r>
      <w:r w:rsidRPr="00F53062">
        <w:rPr>
          <w:rFonts w:ascii="Times New Roman" w:eastAsia="Times New Roman" w:hAnsi="Times New Roman" w:cs="Times New Roman"/>
          <w:b w:val="0"/>
          <w:bCs w:val="0"/>
          <w:color w:val="333333"/>
          <w:sz w:val="18"/>
          <w:szCs w:val="18"/>
          <w:u w:val="none"/>
        </w:rPr>
        <w:t>’s</w:t>
      </w:r>
      <w:proofErr w:type="spellEnd"/>
      <w:r w:rsidRPr="00F53062">
        <w:rPr>
          <w:rFonts w:ascii="Times New Roman" w:eastAsia="Times New Roman" w:hAnsi="Times New Roman" w:cs="Times New Roman"/>
          <w:b w:val="0"/>
          <w:bCs w:val="0"/>
          <w:color w:val="333333"/>
          <w:sz w:val="18"/>
          <w:szCs w:val="18"/>
          <w:u w:val="none"/>
        </w:rPr>
        <w:t xml:space="preserve"> tooth.</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The three legal topics in LH 206–208 (injury of an </w:t>
      </w:r>
      <w:proofErr w:type="spellStart"/>
      <w:r w:rsidRPr="00F53062">
        <w:rPr>
          <w:rFonts w:ascii="Times New Roman" w:eastAsia="Times New Roman" w:hAnsi="Times New Roman" w:cs="Times New Roman"/>
          <w:b w:val="0"/>
          <w:bCs w:val="0"/>
          <w:i/>
          <w:iCs/>
          <w:color w:val="333333"/>
          <w:sz w:val="18"/>
          <w:u w:val="none"/>
        </w:rPr>
        <w:t>awīlum</w:t>
      </w:r>
      <w:proofErr w:type="spellEnd"/>
      <w:r w:rsidRPr="00F53062">
        <w:rPr>
          <w:rFonts w:ascii="Times New Roman" w:eastAsia="Times New Roman" w:hAnsi="Times New Roman" w:cs="Times New Roman"/>
          <w:b w:val="0"/>
          <w:bCs w:val="0"/>
          <w:color w:val="333333"/>
          <w:sz w:val="18"/>
          <w:szCs w:val="18"/>
          <w:u w:val="none"/>
        </w:rPr>
        <w:t>, homicide of an </w:t>
      </w:r>
      <w:proofErr w:type="spellStart"/>
      <w:r w:rsidRPr="00F53062">
        <w:rPr>
          <w:rFonts w:ascii="Times New Roman" w:eastAsia="Times New Roman" w:hAnsi="Times New Roman" w:cs="Times New Roman"/>
          <w:b w:val="0"/>
          <w:bCs w:val="0"/>
          <w:i/>
          <w:iCs/>
          <w:color w:val="333333"/>
          <w:sz w:val="18"/>
          <w:u w:val="none"/>
        </w:rPr>
        <w:t>awīlum</w:t>
      </w:r>
      <w:proofErr w:type="spellEnd"/>
      <w:r w:rsidRPr="00F53062">
        <w:rPr>
          <w:rFonts w:ascii="Times New Roman" w:eastAsia="Times New Roman" w:hAnsi="Times New Roman" w:cs="Times New Roman"/>
          <w:b w:val="0"/>
          <w:bCs w:val="0"/>
          <w:color w:val="333333"/>
          <w:sz w:val="18"/>
          <w:szCs w:val="18"/>
          <w:u w:val="none"/>
        </w:rPr>
        <w:t>, and homicide of </w:t>
      </w:r>
      <w:proofErr w:type="spellStart"/>
      <w:r w:rsidRPr="00F53062">
        <w:rPr>
          <w:rFonts w:ascii="Times New Roman" w:eastAsia="Times New Roman" w:hAnsi="Times New Roman" w:cs="Times New Roman"/>
          <w:b w:val="0"/>
          <w:bCs w:val="0"/>
          <w:i/>
          <w:iCs/>
          <w:color w:val="333333"/>
          <w:sz w:val="18"/>
          <w:u w:val="none"/>
        </w:rPr>
        <w:t>muškēnum</w:t>
      </w:r>
      <w:proofErr w:type="spellEnd"/>
      <w:r w:rsidRPr="00F53062">
        <w:rPr>
          <w:rFonts w:ascii="Times New Roman" w:eastAsia="Times New Roman" w:hAnsi="Times New Roman" w:cs="Times New Roman"/>
          <w:b w:val="0"/>
          <w:bCs w:val="0"/>
          <w:color w:val="333333"/>
          <w:sz w:val="18"/>
          <w:szCs w:val="18"/>
          <w:u w:val="none"/>
        </w:rPr>
        <w:t xml:space="preserve">) have correlates in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21:18–19, 12–14, 20–21 (injury of a free person, homicide of a free person, </w:t>
      </w:r>
      <w:proofErr w:type="gramStart"/>
      <w:r w:rsidRPr="00F53062">
        <w:rPr>
          <w:rFonts w:ascii="Times New Roman" w:eastAsia="Times New Roman" w:hAnsi="Times New Roman" w:cs="Times New Roman"/>
          <w:b w:val="0"/>
          <w:bCs w:val="0"/>
          <w:color w:val="333333"/>
          <w:sz w:val="18"/>
          <w:szCs w:val="18"/>
          <w:u w:val="none"/>
        </w:rPr>
        <w:t>homicide</w:t>
      </w:r>
      <w:proofErr w:type="gramEnd"/>
      <w:r w:rsidRPr="00F53062">
        <w:rPr>
          <w:rFonts w:ascii="Times New Roman" w:eastAsia="Times New Roman" w:hAnsi="Times New Roman" w:cs="Times New Roman"/>
          <w:b w:val="0"/>
          <w:bCs w:val="0"/>
          <w:color w:val="333333"/>
          <w:sz w:val="18"/>
          <w:szCs w:val="18"/>
          <w:u w:val="none"/>
        </w:rPr>
        <w:t xml:space="preserve"> of a slave). The homicide law in vv. 12–14 appears to have been extracted from this plotting of cases and placed at the beginning of CC’s assault law because of its gravity and paradigmatic nature. A telltale sign of dependence is that vv. 18–19 deal with injury of a free person and then vv. 20–21 deal with the death of a slave. One expects an intervening case of the death of a free person, to which the death of the slave serves as the socially graded case. On the deviant style of the homicide law, see Wright, </w:t>
      </w:r>
      <w:r w:rsidRPr="00F53062">
        <w:rPr>
          <w:rFonts w:ascii="Times New Roman" w:eastAsia="Times New Roman" w:hAnsi="Times New Roman" w:cs="Times New Roman"/>
          <w:b w:val="0"/>
          <w:bCs w:val="0"/>
          <w:i/>
          <w:iCs/>
          <w:color w:val="333333"/>
          <w:sz w:val="18"/>
          <w:u w:val="none"/>
        </w:rPr>
        <w:t>Inventing</w:t>
      </w:r>
      <w:r w:rsidRPr="00F53062">
        <w:rPr>
          <w:rFonts w:ascii="Times New Roman" w:eastAsia="Times New Roman" w:hAnsi="Times New Roman" w:cs="Times New Roman"/>
          <w:b w:val="0"/>
          <w:bCs w:val="0"/>
          <w:color w:val="333333"/>
          <w:sz w:val="18"/>
          <w:szCs w:val="18"/>
          <w:u w:val="none"/>
        </w:rPr>
        <w:t>, 154–204.</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lastRenderedPageBreak/>
        <w:t xml:space="preserve">Note the variable rates in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21:22 and 30 versus the fixed rates in the parallel laws of LH 210 and 251.</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Again, CC follows up its law of unintentional injury of free men with that of slaves:</w:t>
      </w:r>
    </w:p>
    <w:p w:rsidR="00F53062" w:rsidRPr="00F53062" w:rsidRDefault="00F53062" w:rsidP="00F53062">
      <w:pPr>
        <w:shd w:val="clear" w:color="auto" w:fill="FFFFFF"/>
        <w:bidi/>
        <w:spacing w:after="100" w:line="348" w:lineRule="atLeast"/>
        <w:ind w:left="1440"/>
        <w:textAlignment w:val="top"/>
        <w:rPr>
          <w:rFonts w:ascii="Times New Roman" w:eastAsia="Times New Roman" w:hAnsi="Times New Roman" w:cs="Times New Roman"/>
          <w:b w:val="0"/>
          <w:bCs w:val="0"/>
          <w:color w:val="333333"/>
          <w:sz w:val="20"/>
          <w:szCs w:val="20"/>
          <w:u w:val="none"/>
        </w:rPr>
      </w:pPr>
      <w:r w:rsidRPr="00F53062">
        <w:rPr>
          <w:rFonts w:ascii="Times New Roman" w:eastAsia="Times New Roman" w:hAnsi="Times New Roman" w:cs="Times New Roman"/>
          <w:b w:val="0"/>
          <w:bCs w:val="0"/>
          <w:color w:val="333333"/>
          <w:sz w:val="15"/>
          <w:szCs w:val="15"/>
          <w:u w:val="none"/>
          <w:vertAlign w:val="superscript"/>
          <w:rtl/>
          <w:lang w:bidi="he-IL"/>
        </w:rPr>
        <w:t xml:space="preserve">שמות </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כא</w:t>
      </w:r>
      <w:proofErr w:type="spellEnd"/>
      <w:r w:rsidRPr="00F53062">
        <w:rPr>
          <w:rFonts w:ascii="Times New Roman" w:eastAsia="Times New Roman" w:hAnsi="Times New Roman" w:cs="Times New Roman"/>
          <w:b w:val="0"/>
          <w:bCs w:val="0"/>
          <w:color w:val="333333"/>
          <w:sz w:val="15"/>
          <w:szCs w:val="15"/>
          <w:u w:val="none"/>
          <w:vertAlign w:val="superscript"/>
          <w:rtl/>
          <w:lang w:bidi="he-IL"/>
        </w:rPr>
        <w:t>:</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כו</w:t>
      </w:r>
      <w:proofErr w:type="spellEnd"/>
      <w:r w:rsidRPr="00F53062">
        <w:rPr>
          <w:rFonts w:ascii="Times New Roman" w:eastAsia="Times New Roman" w:hAnsi="Times New Roman" w:cs="Times New Roman"/>
          <w:b w:val="0"/>
          <w:bCs w:val="0"/>
          <w:color w:val="333333"/>
          <w:sz w:val="27"/>
          <w:szCs w:val="27"/>
          <w:u w:val="none"/>
          <w:rtl/>
        </w:rPr>
        <w:t> </w:t>
      </w:r>
      <w:r w:rsidRPr="00F53062">
        <w:rPr>
          <w:rFonts w:ascii="Times New Roman" w:eastAsia="Times New Roman" w:hAnsi="Times New Roman" w:cs="Times New Roman"/>
          <w:b w:val="0"/>
          <w:bCs w:val="0"/>
          <w:color w:val="333333"/>
          <w:sz w:val="27"/>
          <w:szCs w:val="27"/>
          <w:u w:val="none"/>
          <w:rtl/>
          <w:lang w:bidi="he-IL"/>
        </w:rPr>
        <w:t xml:space="preserve">וְכִי יַכֶּה אִישׁ אֶת עֵין עַבְדּוֹ אוֹ אֶת עֵין אֲמָתוֹ וְשִׁחֲתָהּ </w:t>
      </w:r>
      <w:proofErr w:type="spellStart"/>
      <w:r w:rsidRPr="00F53062">
        <w:rPr>
          <w:rFonts w:ascii="Times New Roman" w:eastAsia="Times New Roman" w:hAnsi="Times New Roman" w:cs="Times New Roman"/>
          <w:b w:val="0"/>
          <w:bCs w:val="0"/>
          <w:color w:val="333333"/>
          <w:sz w:val="27"/>
          <w:szCs w:val="27"/>
          <w:u w:val="none"/>
          <w:rtl/>
          <w:lang w:bidi="he-IL"/>
        </w:rPr>
        <w:t>לַחָפְשִׁי</w:t>
      </w:r>
      <w:proofErr w:type="spellEnd"/>
      <w:r w:rsidRPr="00F53062">
        <w:rPr>
          <w:rFonts w:ascii="Times New Roman" w:eastAsia="Times New Roman" w:hAnsi="Times New Roman" w:cs="Times New Roman"/>
          <w:b w:val="0"/>
          <w:bCs w:val="0"/>
          <w:color w:val="333333"/>
          <w:sz w:val="27"/>
          <w:szCs w:val="27"/>
          <w:u w:val="none"/>
          <w:rtl/>
          <w:lang w:bidi="he-IL"/>
        </w:rPr>
        <w:t xml:space="preserve"> יְשַׁלְּחֶנּוּ תַּחַת עֵינוֹ.</w:t>
      </w:r>
      <w:r w:rsidRPr="00F53062">
        <w:rPr>
          <w:rFonts w:ascii="Times New Roman" w:eastAsia="Times New Roman" w:hAnsi="Times New Roman" w:cs="Times New Roman"/>
          <w:b w:val="0"/>
          <w:bCs w:val="0"/>
          <w:color w:val="333333"/>
          <w:sz w:val="27"/>
          <w:szCs w:val="27"/>
          <w:u w:val="none"/>
          <w:rtl/>
        </w:rPr>
        <w:t> </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כא</w:t>
      </w:r>
      <w:proofErr w:type="spellEnd"/>
      <w:r w:rsidRPr="00F53062">
        <w:rPr>
          <w:rFonts w:ascii="Times New Roman" w:eastAsia="Times New Roman" w:hAnsi="Times New Roman" w:cs="Times New Roman"/>
          <w:b w:val="0"/>
          <w:bCs w:val="0"/>
          <w:color w:val="333333"/>
          <w:sz w:val="15"/>
          <w:szCs w:val="15"/>
          <w:u w:val="none"/>
          <w:vertAlign w:val="superscript"/>
          <w:rtl/>
          <w:lang w:bidi="he-IL"/>
        </w:rPr>
        <w:t>:</w:t>
      </w:r>
      <w:proofErr w:type="spellStart"/>
      <w:r w:rsidRPr="00F53062">
        <w:rPr>
          <w:rFonts w:ascii="Times New Roman" w:eastAsia="Times New Roman" w:hAnsi="Times New Roman" w:cs="Times New Roman"/>
          <w:b w:val="0"/>
          <w:bCs w:val="0"/>
          <w:color w:val="333333"/>
          <w:sz w:val="15"/>
          <w:szCs w:val="15"/>
          <w:u w:val="none"/>
          <w:vertAlign w:val="superscript"/>
          <w:rtl/>
          <w:lang w:bidi="he-IL"/>
        </w:rPr>
        <w:t>כז</w:t>
      </w:r>
      <w:r w:rsidRPr="00F53062">
        <w:rPr>
          <w:rFonts w:ascii="Times New Roman" w:eastAsia="Times New Roman" w:hAnsi="Times New Roman" w:cs="Times New Roman"/>
          <w:b w:val="0"/>
          <w:bCs w:val="0"/>
          <w:color w:val="333333"/>
          <w:sz w:val="27"/>
          <w:szCs w:val="27"/>
          <w:u w:val="none"/>
          <w:rtl/>
          <w:lang w:bidi="he-IL"/>
        </w:rPr>
        <w:t>וְאִם</w:t>
      </w:r>
      <w:proofErr w:type="spellEnd"/>
      <w:r w:rsidRPr="00F53062">
        <w:rPr>
          <w:rFonts w:ascii="Times New Roman" w:eastAsia="Times New Roman" w:hAnsi="Times New Roman" w:cs="Times New Roman"/>
          <w:b w:val="0"/>
          <w:bCs w:val="0"/>
          <w:color w:val="333333"/>
          <w:sz w:val="27"/>
          <w:szCs w:val="27"/>
          <w:u w:val="none"/>
          <w:rtl/>
          <w:lang w:bidi="he-IL"/>
        </w:rPr>
        <w:t xml:space="preserve"> שֵׁן עַבְדּוֹ אוֹ שֵׁן אֲמָתוֹ יַפִּיל </w:t>
      </w:r>
      <w:proofErr w:type="spellStart"/>
      <w:r w:rsidRPr="00F53062">
        <w:rPr>
          <w:rFonts w:ascii="Times New Roman" w:eastAsia="Times New Roman" w:hAnsi="Times New Roman" w:cs="Times New Roman"/>
          <w:b w:val="0"/>
          <w:bCs w:val="0"/>
          <w:color w:val="333333"/>
          <w:sz w:val="27"/>
          <w:szCs w:val="27"/>
          <w:u w:val="none"/>
          <w:rtl/>
          <w:lang w:bidi="he-IL"/>
        </w:rPr>
        <w:t>לַחָפְשִׁי</w:t>
      </w:r>
      <w:proofErr w:type="spellEnd"/>
      <w:r w:rsidRPr="00F53062">
        <w:rPr>
          <w:rFonts w:ascii="Times New Roman" w:eastAsia="Times New Roman" w:hAnsi="Times New Roman" w:cs="Times New Roman"/>
          <w:b w:val="0"/>
          <w:bCs w:val="0"/>
          <w:color w:val="333333"/>
          <w:sz w:val="27"/>
          <w:szCs w:val="27"/>
          <w:u w:val="none"/>
          <w:rtl/>
          <w:lang w:bidi="he-IL"/>
        </w:rPr>
        <w:t xml:space="preserve"> יְשַׁלְּחֶנּוּ תַּחַת שִׁנּוֹ.</w:t>
      </w:r>
    </w:p>
    <w:p w:rsidR="00F53062" w:rsidRPr="00F53062" w:rsidRDefault="00F53062" w:rsidP="00F53062">
      <w:pPr>
        <w:shd w:val="clear" w:color="auto" w:fill="FFFFFF"/>
        <w:spacing w:after="0" w:line="480" w:lineRule="auto"/>
        <w:ind w:left="720"/>
        <w:rPr>
          <w:rFonts w:ascii="Times New Roman" w:eastAsia="Times New Roman" w:hAnsi="Times New Roman" w:cs="Times New Roman"/>
          <w:b w:val="0"/>
          <w:bCs w:val="0"/>
          <w:color w:val="333333"/>
          <w:sz w:val="18"/>
          <w:szCs w:val="18"/>
          <w:u w:val="none"/>
          <w:rtl/>
        </w:rPr>
      </w:pPr>
      <w:r w:rsidRPr="00F53062">
        <w:rPr>
          <w:rFonts w:ascii="Times New Roman" w:eastAsia="Times New Roman" w:hAnsi="Times New Roman" w:cs="Times New Roman"/>
          <w:b w:val="0"/>
          <w:bCs w:val="0"/>
          <w:color w:val="333333"/>
          <w:sz w:val="18"/>
          <w:szCs w:val="18"/>
          <w:u w:val="none"/>
        </w:rPr>
        <w:t> </w:t>
      </w:r>
    </w:p>
    <w:p w:rsidR="00F53062" w:rsidRDefault="00F53062" w:rsidP="00F53062">
      <w:pPr>
        <w:shd w:val="clear" w:color="auto" w:fill="FFFFFF"/>
        <w:spacing w:after="0" w:line="348" w:lineRule="atLeast"/>
        <w:ind w:left="720"/>
        <w:textAlignment w:val="top"/>
        <w:rPr>
          <w:rFonts w:ascii="Times New Roman" w:eastAsia="Times New Roman" w:hAnsi="Times New Roman" w:cs="Times New Roman"/>
          <w:b w:val="0"/>
          <w:bCs w:val="0"/>
          <w:color w:val="333333"/>
          <w:sz w:val="18"/>
          <w:szCs w:val="18"/>
          <w:u w:val="none"/>
        </w:rPr>
      </w:pPr>
      <w:proofErr w:type="spellStart"/>
      <w:r w:rsidRPr="00F53062">
        <w:rPr>
          <w:rFonts w:ascii="Times New Roman" w:eastAsia="Times New Roman" w:hAnsi="Times New Roman" w:cs="Times New Roman"/>
          <w:b w:val="0"/>
          <w:bCs w:val="0"/>
          <w:color w:val="333333"/>
          <w:sz w:val="14"/>
          <w:szCs w:val="14"/>
          <w:u w:val="none"/>
          <w:vertAlign w:val="superscript"/>
        </w:rPr>
        <w:t>Exod</w:t>
      </w:r>
      <w:proofErr w:type="spellEnd"/>
      <w:r w:rsidRPr="00F53062">
        <w:rPr>
          <w:rFonts w:ascii="Times New Roman" w:eastAsia="Times New Roman" w:hAnsi="Times New Roman" w:cs="Times New Roman"/>
          <w:b w:val="0"/>
          <w:bCs w:val="0"/>
          <w:color w:val="333333"/>
          <w:sz w:val="14"/>
          <w:szCs w:val="14"/>
          <w:u w:val="none"/>
          <w:vertAlign w:val="superscript"/>
        </w:rPr>
        <w:t xml:space="preserve"> 21:26</w:t>
      </w:r>
      <w:r w:rsidRPr="00F53062">
        <w:rPr>
          <w:rFonts w:ascii="Times New Roman" w:eastAsia="Times New Roman" w:hAnsi="Times New Roman" w:cs="Times New Roman"/>
          <w:b w:val="0"/>
          <w:bCs w:val="0"/>
          <w:color w:val="333333"/>
          <w:sz w:val="18"/>
          <w:szCs w:val="18"/>
          <w:u w:val="none"/>
        </w:rPr>
        <w:t> If a man strikes the eye of his male slave or the eye of his female slave and destroys it, he shall send him away free for his eye. </w:t>
      </w:r>
      <w:r w:rsidRPr="00F53062">
        <w:rPr>
          <w:rFonts w:ascii="Times New Roman" w:eastAsia="Times New Roman" w:hAnsi="Times New Roman" w:cs="Times New Roman"/>
          <w:b w:val="0"/>
          <w:bCs w:val="0"/>
          <w:color w:val="333333"/>
          <w:sz w:val="14"/>
          <w:szCs w:val="14"/>
          <w:u w:val="none"/>
          <w:vertAlign w:val="superscript"/>
        </w:rPr>
        <w:t>21:27</w:t>
      </w:r>
      <w:r w:rsidRPr="00F53062">
        <w:rPr>
          <w:rFonts w:ascii="Times New Roman" w:eastAsia="Times New Roman" w:hAnsi="Times New Roman" w:cs="Times New Roman"/>
          <w:b w:val="0"/>
          <w:bCs w:val="0"/>
          <w:color w:val="333333"/>
          <w:sz w:val="18"/>
          <w:szCs w:val="18"/>
          <w:u w:val="none"/>
        </w:rPr>
        <w:t> </w:t>
      </w:r>
      <w:proofErr w:type="gramStart"/>
      <w:r w:rsidRPr="00F53062">
        <w:rPr>
          <w:rFonts w:ascii="Times New Roman" w:eastAsia="Times New Roman" w:hAnsi="Times New Roman" w:cs="Times New Roman"/>
          <w:b w:val="0"/>
          <w:bCs w:val="0"/>
          <w:color w:val="333333"/>
          <w:sz w:val="18"/>
          <w:szCs w:val="18"/>
          <w:u w:val="none"/>
        </w:rPr>
        <w:t>And</w:t>
      </w:r>
      <w:proofErr w:type="gramEnd"/>
      <w:r w:rsidRPr="00F53062">
        <w:rPr>
          <w:rFonts w:ascii="Times New Roman" w:eastAsia="Times New Roman" w:hAnsi="Times New Roman" w:cs="Times New Roman"/>
          <w:b w:val="0"/>
          <w:bCs w:val="0"/>
          <w:color w:val="333333"/>
          <w:sz w:val="18"/>
          <w:szCs w:val="18"/>
          <w:u w:val="none"/>
        </w:rPr>
        <w:t xml:space="preserve"> if he knocks out the tooth of his male slave or the tooth of his female slave, he shall send him away free for his tooth.</w:t>
      </w:r>
    </w:p>
    <w:p w:rsidR="00F53062" w:rsidRPr="00F53062" w:rsidRDefault="00F53062" w:rsidP="00F53062">
      <w:pPr>
        <w:shd w:val="clear" w:color="auto" w:fill="FFFFFF"/>
        <w:spacing w:after="0" w:line="348" w:lineRule="atLeast"/>
        <w:ind w:left="720"/>
        <w:textAlignment w:val="top"/>
        <w:rPr>
          <w:rFonts w:ascii="Times New Roman" w:eastAsia="Times New Roman" w:hAnsi="Times New Roman" w:cs="Times New Roman"/>
          <w:b w:val="0"/>
          <w:bCs w:val="0"/>
          <w:color w:val="333333"/>
          <w:sz w:val="18"/>
          <w:szCs w:val="18"/>
          <w:u w:val="none"/>
        </w:rPr>
      </w:pPr>
    </w:p>
    <w:p w:rsidR="00F53062" w:rsidRPr="00F53062" w:rsidRDefault="00F53062" w:rsidP="00F53062">
      <w:pPr>
        <w:shd w:val="clear" w:color="auto" w:fill="FFFFFF"/>
        <w:spacing w:after="120" w:line="480" w:lineRule="auto"/>
        <w:ind w:left="720"/>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These laws parallel Hammurabi’s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-related laws on injuries to those of lower classes (LH 199, 201, cited above). In Near Eastern legislation, laws on those of a lower social class (e.g., commoners and/or slaves) often accompany laws on the same topic dealing with free persons. Hence vv. 26–27 </w:t>
      </w:r>
      <w:proofErr w:type="gramStart"/>
      <w:r w:rsidRPr="00F53062">
        <w:rPr>
          <w:rFonts w:ascii="Times New Roman" w:eastAsia="Times New Roman" w:hAnsi="Times New Roman" w:cs="Times New Roman"/>
          <w:b w:val="0"/>
          <w:bCs w:val="0"/>
          <w:color w:val="333333"/>
          <w:sz w:val="18"/>
          <w:szCs w:val="18"/>
          <w:u w:val="none"/>
        </w:rPr>
        <w:t>presume</w:t>
      </w:r>
      <w:proofErr w:type="gramEnd"/>
      <w:r w:rsidRPr="00F53062">
        <w:rPr>
          <w:rFonts w:ascii="Times New Roman" w:eastAsia="Times New Roman" w:hAnsi="Times New Roman" w:cs="Times New Roman"/>
          <w:b w:val="0"/>
          <w:bCs w:val="0"/>
          <w:color w:val="333333"/>
          <w:sz w:val="18"/>
          <w:szCs w:val="18"/>
          <w:u w:val="none"/>
        </w:rPr>
        <w:t xml:space="preserve"> a preceding law on similar injuries to free persons. CC’s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w:t>
      </w:r>
      <w:proofErr w:type="gramStart"/>
      <w:r w:rsidRPr="00F53062">
        <w:rPr>
          <w:rFonts w:ascii="Times New Roman" w:eastAsia="Times New Roman" w:hAnsi="Times New Roman" w:cs="Times New Roman"/>
          <w:b w:val="0"/>
          <w:bCs w:val="0"/>
          <w:color w:val="333333"/>
          <w:sz w:val="18"/>
          <w:szCs w:val="18"/>
          <w:u w:val="none"/>
        </w:rPr>
        <w:t>law, when read as a general law referring to all cases of assault, provide</w:t>
      </w:r>
      <w:proofErr w:type="gramEnd"/>
      <w:r w:rsidRPr="00F53062">
        <w:rPr>
          <w:rFonts w:ascii="Times New Roman" w:eastAsia="Times New Roman" w:hAnsi="Times New Roman" w:cs="Times New Roman"/>
          <w:b w:val="0"/>
          <w:bCs w:val="0"/>
          <w:color w:val="333333"/>
          <w:sz w:val="18"/>
          <w:szCs w:val="18"/>
          <w:u w:val="none"/>
        </w:rPr>
        <w:t xml:space="preserve"> this initial case. Thus, CC’s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law (vv. 23b–25) is Janus-faced. It provides the penalty for the second miscarriage law (v. 23) and, at the same time, is a general law that sets up the slave injury law (vv. 26–27).</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This artificial character makes sense of other inconsistencies in the context. The slave injury laws in vv. 26–27 are fully formulated, with clauses setting up the cases and clauses prescribing penalties, while the conceptually governing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laws in vv. 23b–25 is just a list. That is a function of their being crafted to fit the context and syntax of the miscarriage law. In addition, the slave injury laws maintain motifs from the preceding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law (mention of an eye and tooth, and the prepositional phrase “</w:t>
      </w:r>
      <w:r w:rsidRPr="00F53062">
        <w:rPr>
          <w:rFonts w:ascii="Times New Roman" w:eastAsia="Times New Roman" w:hAnsi="Times New Roman" w:cs="Times New Roman"/>
          <w:b w:val="0"/>
          <w:bCs w:val="0"/>
          <w:i/>
          <w:iCs/>
          <w:color w:val="333333"/>
          <w:sz w:val="18"/>
          <w:u w:val="none"/>
        </w:rPr>
        <w:t>for</w:t>
      </w:r>
      <w:r w:rsidRPr="00F53062">
        <w:rPr>
          <w:rFonts w:ascii="Times New Roman" w:eastAsia="Times New Roman" w:hAnsi="Times New Roman" w:cs="Times New Roman"/>
          <w:b w:val="0"/>
          <w:bCs w:val="0"/>
          <w:color w:val="333333"/>
          <w:sz w:val="18"/>
          <w:szCs w:val="18"/>
          <w:u w:val="none"/>
        </w:rPr>
        <w:t xml:space="preserve"> his eye/tooth”), even as they have nothing to do with miscarriage. That is a function of the </w:t>
      </w:r>
      <w:proofErr w:type="spellStart"/>
      <w:r w:rsidRPr="00F53062">
        <w:rPr>
          <w:rFonts w:ascii="Times New Roman" w:eastAsia="Times New Roman" w:hAnsi="Times New Roman" w:cs="Times New Roman"/>
          <w:b w:val="0"/>
          <w:bCs w:val="0"/>
          <w:color w:val="333333"/>
          <w:sz w:val="18"/>
          <w:szCs w:val="18"/>
          <w:u w:val="none"/>
        </w:rPr>
        <w:t>talion</w:t>
      </w:r>
      <w:proofErr w:type="spellEnd"/>
      <w:r w:rsidRPr="00F53062">
        <w:rPr>
          <w:rFonts w:ascii="Times New Roman" w:eastAsia="Times New Roman" w:hAnsi="Times New Roman" w:cs="Times New Roman"/>
          <w:b w:val="0"/>
          <w:bCs w:val="0"/>
          <w:color w:val="333333"/>
          <w:sz w:val="18"/>
          <w:szCs w:val="18"/>
          <w:u w:val="none"/>
        </w:rPr>
        <w:t xml:space="preserve"> law operating as a general law for all cases of homicide and injury, not just miscarriage.</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This in turn provides a foundation for arguing that the apodictic laws (those formulated as commands, “do X” or “don’t do Y”), which precede and follow the casuistic laws (i.e., 20:19–23 and 22:20–23:19), also have a motivation in LH. These along with CC’s casuistic laws match the A-B-A pattern of Hammurabi’s prologue-casuistic laws-epilogue. CC’s apodictic laws also share the thematic pattern and injunctive style of the first half of Hammurabi’s epilogue. Moreover, the appendix to CC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23:20–33), which is part of the revelation of CC in its context, has correspondences with Mesopotamian royal inscriptions and fits like a puzzle piece in the thematic correlations with the epilogue of LH. See David P. Wright, “The Covenant Code Appendix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23:20–33), Neo-Assyrian Sources, and Implications for </w:t>
      </w:r>
      <w:proofErr w:type="spellStart"/>
      <w:r w:rsidRPr="00F53062">
        <w:rPr>
          <w:rFonts w:ascii="Times New Roman" w:eastAsia="Times New Roman" w:hAnsi="Times New Roman" w:cs="Times New Roman"/>
          <w:b w:val="0"/>
          <w:bCs w:val="0"/>
          <w:color w:val="333333"/>
          <w:sz w:val="18"/>
          <w:szCs w:val="18"/>
          <w:u w:val="none"/>
        </w:rPr>
        <w:t>Pentateuchal</w:t>
      </w:r>
      <w:proofErr w:type="spellEnd"/>
      <w:r w:rsidRPr="00F53062">
        <w:rPr>
          <w:rFonts w:ascii="Times New Roman" w:eastAsia="Times New Roman" w:hAnsi="Times New Roman" w:cs="Times New Roman"/>
          <w:b w:val="0"/>
          <w:bCs w:val="0"/>
          <w:color w:val="333333"/>
          <w:sz w:val="18"/>
          <w:szCs w:val="18"/>
          <w:u w:val="none"/>
        </w:rPr>
        <w:t xml:space="preserve"> Study,” in </w:t>
      </w:r>
      <w:r w:rsidRPr="00F53062">
        <w:rPr>
          <w:rFonts w:ascii="Times New Roman" w:eastAsia="Times New Roman" w:hAnsi="Times New Roman" w:cs="Times New Roman"/>
          <w:b w:val="0"/>
          <w:bCs w:val="0"/>
          <w:i/>
          <w:iCs/>
          <w:color w:val="333333"/>
          <w:sz w:val="18"/>
          <w:u w:val="none"/>
        </w:rPr>
        <w:t>The Formation of the Pentateuch: Bridging the Academic Cultures of Europe, Israel, and North America</w:t>
      </w:r>
      <w:r w:rsidRPr="00F53062">
        <w:rPr>
          <w:rFonts w:ascii="Times New Roman" w:eastAsia="Times New Roman" w:hAnsi="Times New Roman" w:cs="Times New Roman"/>
          <w:b w:val="0"/>
          <w:bCs w:val="0"/>
          <w:color w:val="333333"/>
          <w:sz w:val="18"/>
          <w:szCs w:val="18"/>
          <w:u w:val="none"/>
        </w:rPr>
        <w:t xml:space="preserve">, ed. Jan </w:t>
      </w:r>
      <w:proofErr w:type="spellStart"/>
      <w:r w:rsidRPr="00F53062">
        <w:rPr>
          <w:rFonts w:ascii="Times New Roman" w:eastAsia="Times New Roman" w:hAnsi="Times New Roman" w:cs="Times New Roman"/>
          <w:b w:val="0"/>
          <w:bCs w:val="0"/>
          <w:color w:val="333333"/>
          <w:sz w:val="18"/>
          <w:szCs w:val="18"/>
          <w:u w:val="none"/>
        </w:rPr>
        <w:t>Gertz</w:t>
      </w:r>
      <w:proofErr w:type="spellEnd"/>
      <w:r w:rsidRPr="00F53062">
        <w:rPr>
          <w:rFonts w:ascii="Times New Roman" w:eastAsia="Times New Roman" w:hAnsi="Times New Roman" w:cs="Times New Roman"/>
          <w:b w:val="0"/>
          <w:bCs w:val="0"/>
          <w:color w:val="333333"/>
          <w:sz w:val="18"/>
          <w:szCs w:val="18"/>
          <w:u w:val="none"/>
        </w:rPr>
        <w:t xml:space="preserve">, Bernard Levinson, </w:t>
      </w:r>
      <w:proofErr w:type="spellStart"/>
      <w:r w:rsidRPr="00F53062">
        <w:rPr>
          <w:rFonts w:ascii="Times New Roman" w:eastAsia="Times New Roman" w:hAnsi="Times New Roman" w:cs="Times New Roman"/>
          <w:b w:val="0"/>
          <w:bCs w:val="0"/>
          <w:color w:val="333333"/>
          <w:sz w:val="18"/>
          <w:szCs w:val="18"/>
          <w:u w:val="none"/>
        </w:rPr>
        <w:t>Dalit</w:t>
      </w:r>
      <w:proofErr w:type="spellEnd"/>
      <w:r w:rsidRPr="00F53062">
        <w:rPr>
          <w:rFonts w:ascii="Times New Roman" w:eastAsia="Times New Roman" w:hAnsi="Times New Roman" w:cs="Times New Roman"/>
          <w:b w:val="0"/>
          <w:bCs w:val="0"/>
          <w:color w:val="333333"/>
          <w:sz w:val="18"/>
          <w:szCs w:val="18"/>
          <w:u w:val="none"/>
        </w:rPr>
        <w:t xml:space="preserve"> Rom-</w:t>
      </w:r>
      <w:proofErr w:type="spellStart"/>
      <w:r w:rsidRPr="00F53062">
        <w:rPr>
          <w:rFonts w:ascii="Times New Roman" w:eastAsia="Times New Roman" w:hAnsi="Times New Roman" w:cs="Times New Roman"/>
          <w:b w:val="0"/>
          <w:bCs w:val="0"/>
          <w:color w:val="333333"/>
          <w:sz w:val="18"/>
          <w:szCs w:val="18"/>
          <w:u w:val="none"/>
        </w:rPr>
        <w:t>Shiloni</w:t>
      </w:r>
      <w:proofErr w:type="spellEnd"/>
      <w:r w:rsidRPr="00F53062">
        <w:rPr>
          <w:rFonts w:ascii="Times New Roman" w:eastAsia="Times New Roman" w:hAnsi="Times New Roman" w:cs="Times New Roman"/>
          <w:b w:val="0"/>
          <w:bCs w:val="0"/>
          <w:color w:val="333333"/>
          <w:sz w:val="18"/>
          <w:szCs w:val="18"/>
          <w:u w:val="none"/>
        </w:rPr>
        <w:t xml:space="preserve">, and </w:t>
      </w:r>
      <w:proofErr w:type="spellStart"/>
      <w:r w:rsidRPr="00F53062">
        <w:rPr>
          <w:rFonts w:ascii="Times New Roman" w:eastAsia="Times New Roman" w:hAnsi="Times New Roman" w:cs="Times New Roman"/>
          <w:b w:val="0"/>
          <w:bCs w:val="0"/>
          <w:color w:val="333333"/>
          <w:sz w:val="18"/>
          <w:szCs w:val="18"/>
          <w:u w:val="none"/>
        </w:rPr>
        <w:t>Konrad</w:t>
      </w:r>
      <w:proofErr w:type="spellEnd"/>
      <w:r w:rsidRPr="00F53062">
        <w:rPr>
          <w:rFonts w:ascii="Times New Roman" w:eastAsia="Times New Roman" w:hAnsi="Times New Roman" w:cs="Times New Roman"/>
          <w:b w:val="0"/>
          <w:bCs w:val="0"/>
          <w:color w:val="333333"/>
          <w:sz w:val="18"/>
          <w:szCs w:val="18"/>
          <w:u w:val="none"/>
        </w:rPr>
        <w:t xml:space="preserve"> </w:t>
      </w:r>
      <w:proofErr w:type="spellStart"/>
      <w:r w:rsidRPr="00F53062">
        <w:rPr>
          <w:rFonts w:ascii="Times New Roman" w:eastAsia="Times New Roman" w:hAnsi="Times New Roman" w:cs="Times New Roman"/>
          <w:b w:val="0"/>
          <w:bCs w:val="0"/>
          <w:color w:val="333333"/>
          <w:sz w:val="18"/>
          <w:szCs w:val="18"/>
          <w:u w:val="none"/>
        </w:rPr>
        <w:t>Schmid</w:t>
      </w:r>
      <w:proofErr w:type="spellEnd"/>
      <w:r w:rsidRPr="00F53062">
        <w:rPr>
          <w:rFonts w:ascii="Times New Roman" w:eastAsia="Times New Roman" w:hAnsi="Times New Roman" w:cs="Times New Roman"/>
          <w:b w:val="0"/>
          <w:bCs w:val="0"/>
          <w:color w:val="333333"/>
          <w:sz w:val="18"/>
          <w:szCs w:val="18"/>
          <w:u w:val="none"/>
        </w:rPr>
        <w:t>, FAT 111 (</w:t>
      </w:r>
      <w:proofErr w:type="spellStart"/>
      <w:r w:rsidRPr="00F53062">
        <w:rPr>
          <w:rFonts w:ascii="Times New Roman" w:eastAsia="Times New Roman" w:hAnsi="Times New Roman" w:cs="Times New Roman"/>
          <w:b w:val="0"/>
          <w:bCs w:val="0"/>
          <w:color w:val="333333"/>
          <w:sz w:val="18"/>
          <w:szCs w:val="18"/>
          <w:u w:val="none"/>
        </w:rPr>
        <w:t>Tübingen</w:t>
      </w:r>
      <w:proofErr w:type="spellEnd"/>
      <w:r w:rsidRPr="00F53062">
        <w:rPr>
          <w:rFonts w:ascii="Times New Roman" w:eastAsia="Times New Roman" w:hAnsi="Times New Roman" w:cs="Times New Roman"/>
          <w:b w:val="0"/>
          <w:bCs w:val="0"/>
          <w:color w:val="333333"/>
          <w:sz w:val="18"/>
          <w:szCs w:val="18"/>
          <w:u w:val="none"/>
        </w:rPr>
        <w:t xml:space="preserve">: Mohr </w:t>
      </w:r>
      <w:proofErr w:type="spellStart"/>
      <w:r w:rsidRPr="00F53062">
        <w:rPr>
          <w:rFonts w:ascii="Times New Roman" w:eastAsia="Times New Roman" w:hAnsi="Times New Roman" w:cs="Times New Roman"/>
          <w:b w:val="0"/>
          <w:bCs w:val="0"/>
          <w:color w:val="333333"/>
          <w:sz w:val="18"/>
          <w:szCs w:val="18"/>
          <w:u w:val="none"/>
        </w:rPr>
        <w:t>Siebeck</w:t>
      </w:r>
      <w:proofErr w:type="spellEnd"/>
      <w:r w:rsidRPr="00F53062">
        <w:rPr>
          <w:rFonts w:ascii="Times New Roman" w:eastAsia="Times New Roman" w:hAnsi="Times New Roman" w:cs="Times New Roman"/>
          <w:b w:val="0"/>
          <w:bCs w:val="0"/>
          <w:color w:val="333333"/>
          <w:sz w:val="18"/>
          <w:szCs w:val="18"/>
          <w:u w:val="none"/>
        </w:rPr>
        <w:t>, 2016), 47–85.</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lastRenderedPageBreak/>
        <w:t>On this methodological point see David P. Wright, “Method in the Study of Textual Source Dependence: The Covenant Code,” in </w:t>
      </w:r>
      <w:r w:rsidRPr="00F53062">
        <w:rPr>
          <w:rFonts w:ascii="Times New Roman" w:eastAsia="Times New Roman" w:hAnsi="Times New Roman" w:cs="Times New Roman"/>
          <w:b w:val="0"/>
          <w:bCs w:val="0"/>
          <w:i/>
          <w:iCs/>
          <w:color w:val="333333"/>
          <w:sz w:val="18"/>
          <w:u w:val="none"/>
        </w:rPr>
        <w:t>Subtle Citation, Allusion, and Translation in the Hebrew Bible</w:t>
      </w:r>
      <w:r w:rsidRPr="00F53062">
        <w:rPr>
          <w:rFonts w:ascii="Times New Roman" w:eastAsia="Times New Roman" w:hAnsi="Times New Roman" w:cs="Times New Roman"/>
          <w:b w:val="0"/>
          <w:bCs w:val="0"/>
          <w:color w:val="333333"/>
          <w:sz w:val="18"/>
          <w:szCs w:val="18"/>
          <w:u w:val="none"/>
        </w:rPr>
        <w:t xml:space="preserve">, ed. </w:t>
      </w:r>
      <w:proofErr w:type="spellStart"/>
      <w:r w:rsidRPr="00F53062">
        <w:rPr>
          <w:rFonts w:ascii="Times New Roman" w:eastAsia="Times New Roman" w:hAnsi="Times New Roman" w:cs="Times New Roman"/>
          <w:b w:val="0"/>
          <w:bCs w:val="0"/>
          <w:color w:val="333333"/>
          <w:sz w:val="18"/>
          <w:szCs w:val="18"/>
          <w:u w:val="none"/>
        </w:rPr>
        <w:t>Ziony</w:t>
      </w:r>
      <w:proofErr w:type="spellEnd"/>
      <w:r w:rsidRPr="00F53062">
        <w:rPr>
          <w:rFonts w:ascii="Times New Roman" w:eastAsia="Times New Roman" w:hAnsi="Times New Roman" w:cs="Times New Roman"/>
          <w:b w:val="0"/>
          <w:bCs w:val="0"/>
          <w:color w:val="333333"/>
          <w:sz w:val="18"/>
          <w:szCs w:val="18"/>
          <w:u w:val="none"/>
        </w:rPr>
        <w:t xml:space="preserve"> </w:t>
      </w:r>
      <w:proofErr w:type="spellStart"/>
      <w:r w:rsidRPr="00F53062">
        <w:rPr>
          <w:rFonts w:ascii="Times New Roman" w:eastAsia="Times New Roman" w:hAnsi="Times New Roman" w:cs="Times New Roman"/>
          <w:b w:val="0"/>
          <w:bCs w:val="0"/>
          <w:color w:val="333333"/>
          <w:sz w:val="18"/>
          <w:szCs w:val="18"/>
          <w:u w:val="none"/>
        </w:rPr>
        <w:t>Zevit</w:t>
      </w:r>
      <w:proofErr w:type="spellEnd"/>
      <w:r w:rsidRPr="00F53062">
        <w:rPr>
          <w:rFonts w:ascii="Times New Roman" w:eastAsia="Times New Roman" w:hAnsi="Times New Roman" w:cs="Times New Roman"/>
          <w:b w:val="0"/>
          <w:bCs w:val="0"/>
          <w:color w:val="333333"/>
          <w:sz w:val="18"/>
          <w:szCs w:val="18"/>
          <w:u w:val="none"/>
        </w:rPr>
        <w:t xml:space="preserve"> (London: Equinox Publishing, 2017), 159–181.</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The correlations of CC’s appendix are mainly with Neo-Assyrian royal inscriptions.</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See discussion in Levinson, </w:t>
      </w:r>
      <w:r w:rsidRPr="00F53062">
        <w:rPr>
          <w:rFonts w:ascii="Times New Roman" w:eastAsia="Times New Roman" w:hAnsi="Times New Roman" w:cs="Times New Roman"/>
          <w:b w:val="0"/>
          <w:bCs w:val="0"/>
          <w:i/>
          <w:iCs/>
          <w:color w:val="333333"/>
          <w:sz w:val="18"/>
          <w:u w:val="none"/>
        </w:rPr>
        <w:t>Deuteronomy and the Hermeneutics of Legal Innovation</w:t>
      </w:r>
      <w:r w:rsidRPr="00F53062">
        <w:rPr>
          <w:rFonts w:ascii="Times New Roman" w:eastAsia="Times New Roman" w:hAnsi="Times New Roman" w:cs="Times New Roman"/>
          <w:b w:val="0"/>
          <w:bCs w:val="0"/>
          <w:color w:val="333333"/>
          <w:sz w:val="18"/>
          <w:szCs w:val="18"/>
          <w:u w:val="none"/>
        </w:rPr>
        <w:t>.</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For the problem of all too simplistic assessments about emulation and subversion in regard to Neo-Assyrian ideas, see Jessie </w:t>
      </w:r>
      <w:proofErr w:type="spellStart"/>
      <w:r w:rsidRPr="00F53062">
        <w:rPr>
          <w:rFonts w:ascii="Times New Roman" w:eastAsia="Times New Roman" w:hAnsi="Times New Roman" w:cs="Times New Roman"/>
          <w:b w:val="0"/>
          <w:bCs w:val="0"/>
          <w:color w:val="333333"/>
          <w:sz w:val="18"/>
          <w:szCs w:val="18"/>
          <w:u w:val="none"/>
        </w:rPr>
        <w:t>DeGrado</w:t>
      </w:r>
      <w:proofErr w:type="spellEnd"/>
      <w:r w:rsidRPr="00F53062">
        <w:rPr>
          <w:rFonts w:ascii="Times New Roman" w:eastAsia="Times New Roman" w:hAnsi="Times New Roman" w:cs="Times New Roman"/>
          <w:b w:val="0"/>
          <w:bCs w:val="0"/>
          <w:color w:val="333333"/>
          <w:sz w:val="18"/>
          <w:szCs w:val="18"/>
          <w:u w:val="none"/>
        </w:rPr>
        <w:t>, “Authoring Empire: Intellectual Engagement with the Neo-Assyrian Empire in the Bible” (PhD diss., University of Chicago Divinity School, 2018).</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This may arise from ideological considerations about the value of human life, from native practice, or from systematic contrast with the law on an ox goring an ox in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21:35–36, where the lethal animal is </w:t>
      </w:r>
      <w:r w:rsidRPr="00F53062">
        <w:rPr>
          <w:rFonts w:ascii="Times New Roman" w:eastAsia="Times New Roman" w:hAnsi="Times New Roman" w:cs="Times New Roman"/>
          <w:b w:val="0"/>
          <w:bCs w:val="0"/>
          <w:i/>
          <w:iCs/>
          <w:color w:val="333333"/>
          <w:sz w:val="18"/>
          <w:u w:val="none"/>
        </w:rPr>
        <w:t>not</w:t>
      </w:r>
      <w:r w:rsidRPr="00F53062">
        <w:rPr>
          <w:rFonts w:ascii="Times New Roman" w:eastAsia="Times New Roman" w:hAnsi="Times New Roman" w:cs="Times New Roman"/>
          <w:b w:val="0"/>
          <w:bCs w:val="0"/>
          <w:color w:val="333333"/>
          <w:sz w:val="18"/>
          <w:szCs w:val="18"/>
          <w:u w:val="none"/>
        </w:rPr>
        <w:t> put to death. See Moshe Greenberg, “Postulates of Biblical Criminal Law,” in </w:t>
      </w:r>
      <w:proofErr w:type="spellStart"/>
      <w:r w:rsidRPr="00F53062">
        <w:rPr>
          <w:rFonts w:ascii="Times New Roman" w:eastAsia="Times New Roman" w:hAnsi="Times New Roman" w:cs="Times New Roman"/>
          <w:b w:val="0"/>
          <w:bCs w:val="0"/>
          <w:i/>
          <w:iCs/>
          <w:color w:val="333333"/>
          <w:sz w:val="18"/>
          <w:u w:val="none"/>
        </w:rPr>
        <w:t>Yehezkel</w:t>
      </w:r>
      <w:proofErr w:type="spellEnd"/>
      <w:r w:rsidRPr="00F53062">
        <w:rPr>
          <w:rFonts w:ascii="Times New Roman" w:eastAsia="Times New Roman" w:hAnsi="Times New Roman" w:cs="Times New Roman"/>
          <w:b w:val="0"/>
          <w:bCs w:val="0"/>
          <w:i/>
          <w:iCs/>
          <w:color w:val="333333"/>
          <w:sz w:val="18"/>
          <w:u w:val="none"/>
        </w:rPr>
        <w:t xml:space="preserve"> Kaufman Jubilee Volume</w:t>
      </w:r>
      <w:r w:rsidRPr="00F53062">
        <w:rPr>
          <w:rFonts w:ascii="Times New Roman" w:eastAsia="Times New Roman" w:hAnsi="Times New Roman" w:cs="Times New Roman"/>
          <w:b w:val="0"/>
          <w:bCs w:val="0"/>
          <w:color w:val="333333"/>
          <w:sz w:val="18"/>
          <w:szCs w:val="18"/>
          <w:u w:val="none"/>
        </w:rPr>
        <w:t xml:space="preserve">, ed. </w:t>
      </w:r>
      <w:proofErr w:type="spellStart"/>
      <w:r w:rsidRPr="00F53062">
        <w:rPr>
          <w:rFonts w:ascii="Times New Roman" w:eastAsia="Times New Roman" w:hAnsi="Times New Roman" w:cs="Times New Roman"/>
          <w:b w:val="0"/>
          <w:bCs w:val="0"/>
          <w:color w:val="333333"/>
          <w:sz w:val="18"/>
          <w:szCs w:val="18"/>
          <w:u w:val="none"/>
        </w:rPr>
        <w:t>Menahem</w:t>
      </w:r>
      <w:proofErr w:type="spellEnd"/>
      <w:r w:rsidRPr="00F53062">
        <w:rPr>
          <w:rFonts w:ascii="Times New Roman" w:eastAsia="Times New Roman" w:hAnsi="Times New Roman" w:cs="Times New Roman"/>
          <w:b w:val="0"/>
          <w:bCs w:val="0"/>
          <w:color w:val="333333"/>
          <w:sz w:val="18"/>
          <w:szCs w:val="18"/>
          <w:u w:val="none"/>
        </w:rPr>
        <w:t xml:space="preserve"> Haran (Jerusalem: </w:t>
      </w:r>
      <w:proofErr w:type="spellStart"/>
      <w:r w:rsidRPr="00F53062">
        <w:rPr>
          <w:rFonts w:ascii="Times New Roman" w:eastAsia="Times New Roman" w:hAnsi="Times New Roman" w:cs="Times New Roman"/>
          <w:b w:val="0"/>
          <w:bCs w:val="0"/>
          <w:color w:val="333333"/>
          <w:sz w:val="18"/>
          <w:szCs w:val="18"/>
          <w:u w:val="none"/>
        </w:rPr>
        <w:t>Magnes</w:t>
      </w:r>
      <w:proofErr w:type="spellEnd"/>
      <w:r w:rsidRPr="00F53062">
        <w:rPr>
          <w:rFonts w:ascii="Times New Roman" w:eastAsia="Times New Roman" w:hAnsi="Times New Roman" w:cs="Times New Roman"/>
          <w:b w:val="0"/>
          <w:bCs w:val="0"/>
          <w:color w:val="333333"/>
          <w:sz w:val="18"/>
          <w:szCs w:val="18"/>
          <w:u w:val="none"/>
        </w:rPr>
        <w:t>, 1960), 5–28. See the discussion in Wright, </w:t>
      </w:r>
      <w:r w:rsidRPr="00F53062">
        <w:rPr>
          <w:rFonts w:ascii="Times New Roman" w:eastAsia="Times New Roman" w:hAnsi="Times New Roman" w:cs="Times New Roman"/>
          <w:b w:val="0"/>
          <w:bCs w:val="0"/>
          <w:i/>
          <w:iCs/>
          <w:color w:val="333333"/>
          <w:sz w:val="18"/>
          <w:u w:val="none"/>
        </w:rPr>
        <w:t>Inventing</w:t>
      </w:r>
      <w:r w:rsidRPr="00F53062">
        <w:rPr>
          <w:rFonts w:ascii="Times New Roman" w:eastAsia="Times New Roman" w:hAnsi="Times New Roman" w:cs="Times New Roman"/>
          <w:b w:val="0"/>
          <w:bCs w:val="0"/>
          <w:color w:val="333333"/>
          <w:sz w:val="18"/>
          <w:szCs w:val="18"/>
          <w:u w:val="none"/>
        </w:rPr>
        <w:t xml:space="preserve">, </w:t>
      </w:r>
      <w:proofErr w:type="gramStart"/>
      <w:r w:rsidRPr="00F53062">
        <w:rPr>
          <w:rFonts w:ascii="Times New Roman" w:eastAsia="Times New Roman" w:hAnsi="Times New Roman" w:cs="Times New Roman"/>
          <w:b w:val="0"/>
          <w:bCs w:val="0"/>
          <w:color w:val="333333"/>
          <w:sz w:val="18"/>
          <w:szCs w:val="18"/>
          <w:u w:val="none"/>
        </w:rPr>
        <w:t>222</w:t>
      </w:r>
      <w:proofErr w:type="gramEnd"/>
      <w:r w:rsidRPr="00F53062">
        <w:rPr>
          <w:rFonts w:ascii="Times New Roman" w:eastAsia="Times New Roman" w:hAnsi="Times New Roman" w:cs="Times New Roman"/>
          <w:b w:val="0"/>
          <w:bCs w:val="0"/>
          <w:color w:val="333333"/>
          <w:sz w:val="18"/>
          <w:szCs w:val="18"/>
          <w:u w:val="none"/>
        </w:rPr>
        <w:t>–227.</w:t>
      </w:r>
    </w:p>
    <w:p w:rsidR="00F53062" w:rsidRPr="00F53062" w:rsidRDefault="00F53062" w:rsidP="00F53062">
      <w:pPr>
        <w:numPr>
          <w:ilvl w:val="0"/>
          <w:numId w:val="7"/>
        </w:numPr>
        <w:shd w:val="clear" w:color="auto" w:fill="FFFFFF"/>
        <w:spacing w:before="100" w:beforeAutospacing="1" w:after="0" w:line="480" w:lineRule="auto"/>
        <w:rPr>
          <w:rFonts w:ascii="Times New Roman" w:eastAsia="Times New Roman" w:hAnsi="Times New Roman" w:cs="Times New Roman"/>
          <w:b w:val="0"/>
          <w:bCs w:val="0"/>
          <w:color w:val="333333"/>
          <w:sz w:val="18"/>
          <w:szCs w:val="18"/>
          <w:u w:val="none"/>
        </w:rPr>
      </w:pPr>
      <w:r w:rsidRPr="00F53062">
        <w:rPr>
          <w:rFonts w:ascii="Times New Roman" w:eastAsia="Times New Roman" w:hAnsi="Times New Roman" w:cs="Times New Roman"/>
          <w:b w:val="0"/>
          <w:bCs w:val="0"/>
          <w:color w:val="333333"/>
          <w:sz w:val="18"/>
          <w:szCs w:val="18"/>
          <w:u w:val="none"/>
        </w:rPr>
        <w:t xml:space="preserve">LH 116 prescribes vicarious punishment in the case where a creditor beats and kills the son of a debtor who is laboring as a debt slave. LH 115–116 </w:t>
      </w:r>
      <w:proofErr w:type="gramStart"/>
      <w:r w:rsidRPr="00F53062">
        <w:rPr>
          <w:rFonts w:ascii="Times New Roman" w:eastAsia="Times New Roman" w:hAnsi="Times New Roman" w:cs="Times New Roman"/>
          <w:b w:val="0"/>
          <w:bCs w:val="0"/>
          <w:color w:val="333333"/>
          <w:sz w:val="18"/>
          <w:szCs w:val="18"/>
          <w:u w:val="none"/>
        </w:rPr>
        <w:t>appear</w:t>
      </w:r>
      <w:proofErr w:type="gramEnd"/>
      <w:r w:rsidRPr="00F53062">
        <w:rPr>
          <w:rFonts w:ascii="Times New Roman" w:eastAsia="Times New Roman" w:hAnsi="Times New Roman" w:cs="Times New Roman"/>
          <w:b w:val="0"/>
          <w:bCs w:val="0"/>
          <w:color w:val="333333"/>
          <w:sz w:val="18"/>
          <w:szCs w:val="18"/>
          <w:u w:val="none"/>
        </w:rPr>
        <w:t xml:space="preserve"> to be an influence on </w:t>
      </w:r>
      <w:proofErr w:type="spellStart"/>
      <w:r w:rsidRPr="00F53062">
        <w:rPr>
          <w:rFonts w:ascii="Times New Roman" w:eastAsia="Times New Roman" w:hAnsi="Times New Roman" w:cs="Times New Roman"/>
          <w:b w:val="0"/>
          <w:bCs w:val="0"/>
          <w:color w:val="333333"/>
          <w:sz w:val="18"/>
          <w:szCs w:val="18"/>
          <w:u w:val="none"/>
        </w:rPr>
        <w:t>Exod</w:t>
      </w:r>
      <w:proofErr w:type="spellEnd"/>
      <w:r w:rsidRPr="00F53062">
        <w:rPr>
          <w:rFonts w:ascii="Times New Roman" w:eastAsia="Times New Roman" w:hAnsi="Times New Roman" w:cs="Times New Roman"/>
          <w:b w:val="0"/>
          <w:bCs w:val="0"/>
          <w:color w:val="333333"/>
          <w:sz w:val="18"/>
          <w:szCs w:val="18"/>
          <w:u w:val="none"/>
        </w:rPr>
        <w:t xml:space="preserve"> 21:20–21 (these verses are cited in another context later in this article). But the penalty for killing a slave in CC’s law is “vengeance” (using the root </w:t>
      </w:r>
      <w:r w:rsidRPr="00F53062">
        <w:rPr>
          <w:rFonts w:ascii="Times New Roman" w:eastAsia="Times New Roman" w:hAnsi="Times New Roman" w:cs="Times New Roman"/>
          <w:b w:val="0"/>
          <w:bCs w:val="0"/>
          <w:color w:val="333333"/>
          <w:sz w:val="18"/>
          <w:szCs w:val="18"/>
          <w:u w:val="none"/>
          <w:rtl/>
          <w:lang w:bidi="he-IL"/>
        </w:rPr>
        <w:t>נקם</w:t>
      </w:r>
      <w:r w:rsidRPr="00F53062">
        <w:rPr>
          <w:rFonts w:ascii="Times New Roman" w:eastAsia="Times New Roman" w:hAnsi="Times New Roman" w:cs="Times New Roman"/>
          <w:b w:val="0"/>
          <w:bCs w:val="0"/>
          <w:color w:val="333333"/>
          <w:sz w:val="18"/>
          <w:szCs w:val="18"/>
          <w:u w:val="none"/>
        </w:rPr>
        <w:t>). This may be a further implicit rejection of vicarious punishment. See Wright, </w:t>
      </w:r>
      <w:r w:rsidRPr="00F53062">
        <w:rPr>
          <w:rFonts w:ascii="Times New Roman" w:eastAsia="Times New Roman" w:hAnsi="Times New Roman" w:cs="Times New Roman"/>
          <w:b w:val="0"/>
          <w:bCs w:val="0"/>
          <w:i/>
          <w:iCs/>
          <w:color w:val="333333"/>
          <w:sz w:val="18"/>
          <w:u w:val="none"/>
        </w:rPr>
        <w:t>Inventing</w:t>
      </w:r>
      <w:r w:rsidRPr="00F53062">
        <w:rPr>
          <w:rFonts w:ascii="Times New Roman" w:eastAsia="Times New Roman" w:hAnsi="Times New Roman" w:cs="Times New Roman"/>
          <w:b w:val="0"/>
          <w:bCs w:val="0"/>
          <w:color w:val="333333"/>
          <w:sz w:val="18"/>
          <w:szCs w:val="18"/>
          <w:u w:val="none"/>
        </w:rPr>
        <w:t>, 169–176. LH 230 also prescribes vicarious punishment, for the son of a house owner killed by the collapse of a shoddily built house. CC does not have a corresponding law.</w:t>
      </w:r>
    </w:p>
    <w:p w:rsidR="00F53062" w:rsidRPr="00F53062" w:rsidRDefault="00F53062" w:rsidP="00F53062">
      <w:pPr>
        <w:shd w:val="clear" w:color="auto" w:fill="FFFFFF"/>
        <w:spacing w:after="92" w:line="286" w:lineRule="atLeast"/>
        <w:rPr>
          <w:rFonts w:ascii="Times New Roman" w:eastAsia="Times New Roman" w:hAnsi="Times New Roman" w:cs="Times New Roman"/>
          <w:b w:val="0"/>
          <w:bCs w:val="0"/>
          <w:color w:val="333333"/>
          <w:sz w:val="16"/>
          <w:szCs w:val="16"/>
          <w:u w:val="none"/>
        </w:rPr>
      </w:pP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84F13"/>
    <w:multiLevelType w:val="multilevel"/>
    <w:tmpl w:val="A8D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F3D88"/>
    <w:multiLevelType w:val="multilevel"/>
    <w:tmpl w:val="8306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A61D9"/>
    <w:multiLevelType w:val="multilevel"/>
    <w:tmpl w:val="26A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8634F"/>
    <w:multiLevelType w:val="multilevel"/>
    <w:tmpl w:val="191C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521EEC"/>
    <w:multiLevelType w:val="multilevel"/>
    <w:tmpl w:val="DA86D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7C3117"/>
    <w:multiLevelType w:val="multilevel"/>
    <w:tmpl w:val="F60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36FDB"/>
    <w:multiLevelType w:val="multilevel"/>
    <w:tmpl w:val="F15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53062"/>
    <w:rsid w:val="006358A5"/>
    <w:rsid w:val="006979AF"/>
    <w:rsid w:val="009F2C6D"/>
    <w:rsid w:val="00DA7DDA"/>
    <w:rsid w:val="00F5306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F53062"/>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F53062"/>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F53062"/>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4">
    <w:name w:val="heading 4"/>
    <w:basedOn w:val="a"/>
    <w:link w:val="40"/>
    <w:uiPriority w:val="9"/>
    <w:qFormat/>
    <w:rsid w:val="00F53062"/>
    <w:pPr>
      <w:spacing w:before="100" w:beforeAutospacing="1" w:after="100" w:afterAutospacing="1" w:line="240" w:lineRule="auto"/>
      <w:outlineLvl w:val="3"/>
    </w:pPr>
    <w:rPr>
      <w:rFonts w:ascii="Times New Roman" w:eastAsia="Times New Roman" w:hAnsi="Times New Roman" w:cs="Times New Roman"/>
      <w:color w:val="auto"/>
      <w:sz w:val="24"/>
      <w:szCs w:val="24"/>
      <w:u w:val="none"/>
    </w:rPr>
  </w:style>
  <w:style w:type="paragraph" w:styleId="5">
    <w:name w:val="heading 5"/>
    <w:basedOn w:val="a"/>
    <w:link w:val="50"/>
    <w:uiPriority w:val="9"/>
    <w:qFormat/>
    <w:rsid w:val="00F53062"/>
    <w:pPr>
      <w:spacing w:before="100" w:beforeAutospacing="1" w:after="100" w:afterAutospacing="1" w:line="240" w:lineRule="auto"/>
      <w:outlineLvl w:val="4"/>
    </w:pPr>
    <w:rPr>
      <w:rFonts w:ascii="Times New Roman" w:eastAsia="Times New Roman" w:hAnsi="Times New Roman" w:cs="Times New Roman"/>
      <w:color w:val="auto"/>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5306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F53062"/>
    <w:rPr>
      <w:b/>
      <w:bCs/>
    </w:rPr>
  </w:style>
  <w:style w:type="character" w:styleId="a4">
    <w:name w:val="Emphasis"/>
    <w:basedOn w:val="a0"/>
    <w:uiPriority w:val="20"/>
    <w:qFormat/>
    <w:rsid w:val="00F53062"/>
    <w:rPr>
      <w:i/>
      <w:iCs/>
    </w:rPr>
  </w:style>
  <w:style w:type="character" w:customStyle="1" w:styleId="10">
    <w:name w:val="כותרת 1 תו"/>
    <w:basedOn w:val="a0"/>
    <w:link w:val="1"/>
    <w:uiPriority w:val="9"/>
    <w:rsid w:val="00F53062"/>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F53062"/>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F53062"/>
    <w:rPr>
      <w:rFonts w:ascii="Times New Roman" w:eastAsia="Times New Roman" w:hAnsi="Times New Roman" w:cs="Times New Roman"/>
      <w:color w:val="auto"/>
      <w:sz w:val="27"/>
      <w:szCs w:val="27"/>
      <w:u w:val="none"/>
    </w:rPr>
  </w:style>
  <w:style w:type="character" w:customStyle="1" w:styleId="40">
    <w:name w:val="כותרת 4 תו"/>
    <w:basedOn w:val="a0"/>
    <w:link w:val="4"/>
    <w:uiPriority w:val="9"/>
    <w:rsid w:val="00F53062"/>
    <w:rPr>
      <w:rFonts w:ascii="Times New Roman" w:eastAsia="Times New Roman" w:hAnsi="Times New Roman" w:cs="Times New Roman"/>
      <w:color w:val="auto"/>
      <w:sz w:val="24"/>
      <w:szCs w:val="24"/>
      <w:u w:val="none"/>
    </w:rPr>
  </w:style>
  <w:style w:type="character" w:customStyle="1" w:styleId="50">
    <w:name w:val="כותרת 5 תו"/>
    <w:basedOn w:val="a0"/>
    <w:link w:val="5"/>
    <w:uiPriority w:val="9"/>
    <w:rsid w:val="00F53062"/>
    <w:rPr>
      <w:rFonts w:ascii="Times New Roman" w:eastAsia="Times New Roman" w:hAnsi="Times New Roman" w:cs="Times New Roman"/>
      <w:color w:val="auto"/>
      <w:sz w:val="20"/>
      <w:szCs w:val="20"/>
      <w:u w:val="none"/>
    </w:rPr>
  </w:style>
  <w:style w:type="character" w:styleId="Hyperlink">
    <w:name w:val="Hyperlink"/>
    <w:basedOn w:val="a0"/>
    <w:uiPriority w:val="99"/>
    <w:semiHidden/>
    <w:unhideWhenUsed/>
    <w:rsid w:val="00F53062"/>
    <w:rPr>
      <w:color w:val="0000FF"/>
      <w:u w:val="single"/>
    </w:rPr>
  </w:style>
  <w:style w:type="paragraph" w:customStyle="1" w:styleId="name-big">
    <w:name w:val="name-big"/>
    <w:basedOn w:val="a"/>
    <w:rsid w:val="00F5306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F5306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F5306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F5306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F53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971369">
      <w:bodyDiv w:val="1"/>
      <w:marLeft w:val="0"/>
      <w:marRight w:val="0"/>
      <w:marTop w:val="0"/>
      <w:marBottom w:val="0"/>
      <w:divBdr>
        <w:top w:val="none" w:sz="0" w:space="0" w:color="auto"/>
        <w:left w:val="none" w:sz="0" w:space="0" w:color="auto"/>
        <w:bottom w:val="none" w:sz="0" w:space="0" w:color="auto"/>
        <w:right w:val="none" w:sz="0" w:space="0" w:color="auto"/>
      </w:divBdr>
      <w:divsChild>
        <w:div w:id="128714975">
          <w:marLeft w:val="0"/>
          <w:marRight w:val="0"/>
          <w:marTop w:val="0"/>
          <w:marBottom w:val="0"/>
          <w:divBdr>
            <w:top w:val="none" w:sz="0" w:space="0" w:color="auto"/>
            <w:left w:val="none" w:sz="0" w:space="0" w:color="auto"/>
            <w:bottom w:val="none" w:sz="0" w:space="0" w:color="auto"/>
            <w:right w:val="none" w:sz="0" w:space="0" w:color="auto"/>
          </w:divBdr>
          <w:divsChild>
            <w:div w:id="705982171">
              <w:marLeft w:val="0"/>
              <w:marRight w:val="0"/>
              <w:marTop w:val="0"/>
              <w:marBottom w:val="0"/>
              <w:divBdr>
                <w:top w:val="none" w:sz="0" w:space="0" w:color="auto"/>
                <w:left w:val="none" w:sz="0" w:space="0" w:color="auto"/>
                <w:bottom w:val="none" w:sz="0" w:space="0" w:color="auto"/>
                <w:right w:val="none" w:sz="0" w:space="0" w:color="auto"/>
              </w:divBdr>
            </w:div>
            <w:div w:id="2022312334">
              <w:marLeft w:val="0"/>
              <w:marRight w:val="120"/>
              <w:marTop w:val="0"/>
              <w:marBottom w:val="0"/>
              <w:divBdr>
                <w:top w:val="none" w:sz="0" w:space="0" w:color="auto"/>
                <w:left w:val="none" w:sz="0" w:space="0" w:color="auto"/>
                <w:bottom w:val="none" w:sz="0" w:space="0" w:color="auto"/>
                <w:right w:val="none" w:sz="0" w:space="0" w:color="auto"/>
              </w:divBdr>
            </w:div>
            <w:div w:id="1299064814">
              <w:marLeft w:val="-1560"/>
              <w:marRight w:val="-1560"/>
              <w:marTop w:val="0"/>
              <w:marBottom w:val="0"/>
              <w:divBdr>
                <w:top w:val="none" w:sz="0" w:space="0" w:color="auto"/>
                <w:left w:val="none" w:sz="0" w:space="0" w:color="auto"/>
                <w:bottom w:val="none" w:sz="0" w:space="0" w:color="auto"/>
                <w:right w:val="none" w:sz="0" w:space="0" w:color="auto"/>
              </w:divBdr>
              <w:divsChild>
                <w:div w:id="1881938350">
                  <w:marLeft w:val="240"/>
                  <w:marRight w:val="0"/>
                  <w:marTop w:val="0"/>
                  <w:marBottom w:val="0"/>
                  <w:divBdr>
                    <w:top w:val="none" w:sz="0" w:space="0" w:color="auto"/>
                    <w:left w:val="none" w:sz="0" w:space="0" w:color="auto"/>
                    <w:bottom w:val="none" w:sz="0" w:space="0" w:color="auto"/>
                    <w:right w:val="none" w:sz="0" w:space="0" w:color="auto"/>
                  </w:divBdr>
                  <w:divsChild>
                    <w:div w:id="461921917">
                      <w:marLeft w:val="0"/>
                      <w:marRight w:val="0"/>
                      <w:marTop w:val="300"/>
                      <w:marBottom w:val="0"/>
                      <w:divBdr>
                        <w:top w:val="none" w:sz="0" w:space="0" w:color="auto"/>
                        <w:left w:val="none" w:sz="0" w:space="0" w:color="auto"/>
                        <w:bottom w:val="none" w:sz="0" w:space="0" w:color="auto"/>
                        <w:right w:val="none" w:sz="0" w:space="0" w:color="auto"/>
                      </w:divBdr>
                    </w:div>
                    <w:div w:id="1132941434">
                      <w:marLeft w:val="0"/>
                      <w:marRight w:val="0"/>
                      <w:marTop w:val="0"/>
                      <w:marBottom w:val="336"/>
                      <w:divBdr>
                        <w:top w:val="none" w:sz="0" w:space="0" w:color="auto"/>
                        <w:left w:val="none" w:sz="0" w:space="0" w:color="auto"/>
                        <w:bottom w:val="none" w:sz="0" w:space="0" w:color="auto"/>
                        <w:right w:val="none" w:sz="0" w:space="0" w:color="auto"/>
                      </w:divBdr>
                      <w:divsChild>
                        <w:div w:id="337083540">
                          <w:marLeft w:val="0"/>
                          <w:marRight w:val="0"/>
                          <w:marTop w:val="0"/>
                          <w:marBottom w:val="0"/>
                          <w:divBdr>
                            <w:top w:val="none" w:sz="0" w:space="0" w:color="auto"/>
                            <w:left w:val="none" w:sz="0" w:space="0" w:color="auto"/>
                            <w:bottom w:val="none" w:sz="0" w:space="0" w:color="auto"/>
                            <w:right w:val="none" w:sz="0" w:space="0" w:color="auto"/>
                          </w:divBdr>
                        </w:div>
                        <w:div w:id="1985893223">
                          <w:marLeft w:val="0"/>
                          <w:marRight w:val="0"/>
                          <w:marTop w:val="300"/>
                          <w:marBottom w:val="0"/>
                          <w:divBdr>
                            <w:top w:val="none" w:sz="0" w:space="0" w:color="auto"/>
                            <w:left w:val="none" w:sz="0" w:space="0" w:color="auto"/>
                            <w:bottom w:val="none" w:sz="0" w:space="0" w:color="auto"/>
                            <w:right w:val="none" w:sz="0" w:space="0" w:color="auto"/>
                          </w:divBdr>
                        </w:div>
                      </w:divsChild>
                    </w:div>
                    <w:div w:id="2092965059">
                      <w:marLeft w:val="0"/>
                      <w:marRight w:val="0"/>
                      <w:marTop w:val="0"/>
                      <w:marBottom w:val="336"/>
                      <w:divBdr>
                        <w:top w:val="none" w:sz="0" w:space="0" w:color="auto"/>
                        <w:left w:val="none" w:sz="0" w:space="0" w:color="auto"/>
                        <w:bottom w:val="none" w:sz="0" w:space="0" w:color="auto"/>
                        <w:right w:val="none" w:sz="0" w:space="0" w:color="auto"/>
                      </w:divBdr>
                    </w:div>
                  </w:divsChild>
                </w:div>
                <w:div w:id="113333729">
                  <w:marLeft w:val="0"/>
                  <w:marRight w:val="0"/>
                  <w:marTop w:val="336"/>
                  <w:marBottom w:val="0"/>
                  <w:divBdr>
                    <w:top w:val="single" w:sz="4" w:space="0" w:color="D8D8D8"/>
                    <w:left w:val="none" w:sz="0" w:space="0" w:color="auto"/>
                    <w:bottom w:val="single" w:sz="4" w:space="6" w:color="D8D8D8"/>
                    <w:right w:val="none" w:sz="0" w:space="0" w:color="auto"/>
                  </w:divBdr>
                  <w:divsChild>
                    <w:div w:id="1461605769">
                      <w:marLeft w:val="0"/>
                      <w:marRight w:val="0"/>
                      <w:marTop w:val="0"/>
                      <w:marBottom w:val="0"/>
                      <w:divBdr>
                        <w:top w:val="none" w:sz="0" w:space="0" w:color="auto"/>
                        <w:left w:val="none" w:sz="0" w:space="0" w:color="auto"/>
                        <w:bottom w:val="none" w:sz="0" w:space="0" w:color="auto"/>
                        <w:right w:val="none" w:sz="0" w:space="0" w:color="auto"/>
                      </w:divBdr>
                      <w:divsChild>
                        <w:div w:id="128015992">
                          <w:marLeft w:val="0"/>
                          <w:marRight w:val="0"/>
                          <w:marTop w:val="0"/>
                          <w:marBottom w:val="0"/>
                          <w:divBdr>
                            <w:top w:val="none" w:sz="0" w:space="0" w:color="auto"/>
                            <w:left w:val="none" w:sz="0" w:space="0" w:color="auto"/>
                            <w:bottom w:val="none" w:sz="0" w:space="0" w:color="auto"/>
                            <w:right w:val="none" w:sz="0" w:space="0" w:color="auto"/>
                          </w:divBdr>
                          <w:divsChild>
                            <w:div w:id="8449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39871">
              <w:marLeft w:val="0"/>
              <w:marRight w:val="0"/>
              <w:marTop w:val="0"/>
              <w:marBottom w:val="120"/>
              <w:divBdr>
                <w:top w:val="none" w:sz="0" w:space="0" w:color="auto"/>
                <w:left w:val="none" w:sz="0" w:space="0" w:color="auto"/>
                <w:bottom w:val="none" w:sz="0" w:space="0" w:color="auto"/>
                <w:right w:val="none" w:sz="0" w:space="0" w:color="auto"/>
              </w:divBdr>
            </w:div>
            <w:div w:id="2116559621">
              <w:marLeft w:val="0"/>
              <w:marRight w:val="0"/>
              <w:marTop w:val="0"/>
              <w:marBottom w:val="0"/>
              <w:divBdr>
                <w:top w:val="none" w:sz="0" w:space="0" w:color="auto"/>
                <w:left w:val="none" w:sz="0" w:space="0" w:color="auto"/>
                <w:bottom w:val="none" w:sz="0" w:space="0" w:color="auto"/>
                <w:right w:val="none" w:sz="0" w:space="0" w:color="auto"/>
              </w:divBdr>
              <w:divsChild>
                <w:div w:id="504365193">
                  <w:blockQuote w:val="1"/>
                  <w:marLeft w:val="432"/>
                  <w:marRight w:val="432"/>
                  <w:marTop w:val="0"/>
                  <w:marBottom w:val="180"/>
                  <w:divBdr>
                    <w:top w:val="none" w:sz="0" w:space="0" w:color="auto"/>
                    <w:left w:val="none" w:sz="0" w:space="0" w:color="auto"/>
                    <w:bottom w:val="none" w:sz="0" w:space="0" w:color="auto"/>
                    <w:right w:val="none" w:sz="0" w:space="0" w:color="auto"/>
                  </w:divBdr>
                </w:div>
                <w:div w:id="355887878">
                  <w:blockQuote w:val="1"/>
                  <w:marLeft w:val="432"/>
                  <w:marRight w:val="432"/>
                  <w:marTop w:val="0"/>
                  <w:marBottom w:val="180"/>
                  <w:divBdr>
                    <w:top w:val="none" w:sz="0" w:space="0" w:color="auto"/>
                    <w:left w:val="none" w:sz="0" w:space="0" w:color="auto"/>
                    <w:bottom w:val="none" w:sz="0" w:space="0" w:color="auto"/>
                    <w:right w:val="none" w:sz="0" w:space="0" w:color="auto"/>
                  </w:divBdr>
                </w:div>
                <w:div w:id="205187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24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9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03515">
                  <w:blockQuote w:val="1"/>
                  <w:marLeft w:val="432"/>
                  <w:marRight w:val="432"/>
                  <w:marTop w:val="0"/>
                  <w:marBottom w:val="180"/>
                  <w:divBdr>
                    <w:top w:val="none" w:sz="0" w:space="0" w:color="auto"/>
                    <w:left w:val="none" w:sz="0" w:space="0" w:color="auto"/>
                    <w:bottom w:val="none" w:sz="0" w:space="0" w:color="auto"/>
                    <w:right w:val="none" w:sz="0" w:space="0" w:color="auto"/>
                  </w:divBdr>
                </w:div>
                <w:div w:id="1253394708">
                  <w:blockQuote w:val="1"/>
                  <w:marLeft w:val="432"/>
                  <w:marRight w:val="432"/>
                  <w:marTop w:val="0"/>
                  <w:marBottom w:val="180"/>
                  <w:divBdr>
                    <w:top w:val="none" w:sz="0" w:space="0" w:color="auto"/>
                    <w:left w:val="none" w:sz="0" w:space="0" w:color="auto"/>
                    <w:bottom w:val="none" w:sz="0" w:space="0" w:color="auto"/>
                    <w:right w:val="none" w:sz="0" w:space="0" w:color="auto"/>
                  </w:divBdr>
                </w:div>
                <w:div w:id="802381197">
                  <w:blockQuote w:val="1"/>
                  <w:marLeft w:val="432"/>
                  <w:marRight w:val="432"/>
                  <w:marTop w:val="0"/>
                  <w:marBottom w:val="180"/>
                  <w:divBdr>
                    <w:top w:val="none" w:sz="0" w:space="0" w:color="auto"/>
                    <w:left w:val="none" w:sz="0" w:space="0" w:color="auto"/>
                    <w:bottom w:val="none" w:sz="0" w:space="0" w:color="auto"/>
                    <w:right w:val="none" w:sz="0" w:space="0" w:color="auto"/>
                  </w:divBdr>
                </w:div>
                <w:div w:id="361128092">
                  <w:blockQuote w:val="1"/>
                  <w:marLeft w:val="432"/>
                  <w:marRight w:val="432"/>
                  <w:marTop w:val="0"/>
                  <w:marBottom w:val="180"/>
                  <w:divBdr>
                    <w:top w:val="none" w:sz="0" w:space="0" w:color="auto"/>
                    <w:left w:val="none" w:sz="0" w:space="0" w:color="auto"/>
                    <w:bottom w:val="none" w:sz="0" w:space="0" w:color="auto"/>
                    <w:right w:val="none" w:sz="0" w:space="0" w:color="auto"/>
                  </w:divBdr>
                </w:div>
                <w:div w:id="1624313516">
                  <w:blockQuote w:val="1"/>
                  <w:marLeft w:val="432"/>
                  <w:marRight w:val="432"/>
                  <w:marTop w:val="0"/>
                  <w:marBottom w:val="180"/>
                  <w:divBdr>
                    <w:top w:val="none" w:sz="0" w:space="0" w:color="auto"/>
                    <w:left w:val="none" w:sz="0" w:space="0" w:color="auto"/>
                    <w:bottom w:val="none" w:sz="0" w:space="0" w:color="auto"/>
                    <w:right w:val="none" w:sz="0" w:space="0" w:color="auto"/>
                  </w:divBdr>
                </w:div>
                <w:div w:id="1855921667">
                  <w:blockQuote w:val="1"/>
                  <w:marLeft w:val="432"/>
                  <w:marRight w:val="432"/>
                  <w:marTop w:val="0"/>
                  <w:marBottom w:val="180"/>
                  <w:divBdr>
                    <w:top w:val="none" w:sz="0" w:space="0" w:color="auto"/>
                    <w:left w:val="none" w:sz="0" w:space="0" w:color="auto"/>
                    <w:bottom w:val="none" w:sz="0" w:space="0" w:color="auto"/>
                    <w:right w:val="none" w:sz="0" w:space="0" w:color="auto"/>
                  </w:divBdr>
                </w:div>
                <w:div w:id="1870219153">
                  <w:blockQuote w:val="1"/>
                  <w:marLeft w:val="432"/>
                  <w:marRight w:val="432"/>
                  <w:marTop w:val="0"/>
                  <w:marBottom w:val="180"/>
                  <w:divBdr>
                    <w:top w:val="none" w:sz="0" w:space="0" w:color="auto"/>
                    <w:left w:val="none" w:sz="0" w:space="0" w:color="auto"/>
                    <w:bottom w:val="none" w:sz="0" w:space="0" w:color="auto"/>
                    <w:right w:val="none" w:sz="0" w:space="0" w:color="auto"/>
                  </w:divBdr>
                </w:div>
                <w:div w:id="663358265">
                  <w:blockQuote w:val="1"/>
                  <w:marLeft w:val="432"/>
                  <w:marRight w:val="432"/>
                  <w:marTop w:val="0"/>
                  <w:marBottom w:val="180"/>
                  <w:divBdr>
                    <w:top w:val="none" w:sz="0" w:space="0" w:color="auto"/>
                    <w:left w:val="none" w:sz="0" w:space="0" w:color="auto"/>
                    <w:bottom w:val="none" w:sz="0" w:space="0" w:color="auto"/>
                    <w:right w:val="none" w:sz="0" w:space="0" w:color="auto"/>
                  </w:divBdr>
                </w:div>
                <w:div w:id="25667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8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5124502">
          <w:marLeft w:val="0"/>
          <w:marRight w:val="120"/>
          <w:marTop w:val="0"/>
          <w:marBottom w:val="0"/>
          <w:divBdr>
            <w:top w:val="none" w:sz="0" w:space="0" w:color="auto"/>
            <w:left w:val="none" w:sz="0" w:space="0" w:color="auto"/>
            <w:bottom w:val="none" w:sz="0" w:space="0" w:color="auto"/>
            <w:right w:val="none" w:sz="0" w:space="0" w:color="auto"/>
          </w:divBdr>
        </w:div>
        <w:div w:id="671420160">
          <w:marLeft w:val="0"/>
          <w:marRight w:val="0"/>
          <w:marTop w:val="0"/>
          <w:marBottom w:val="0"/>
          <w:divBdr>
            <w:top w:val="none" w:sz="0" w:space="0" w:color="auto"/>
            <w:left w:val="none" w:sz="0" w:space="0" w:color="auto"/>
            <w:bottom w:val="none" w:sz="0" w:space="0" w:color="auto"/>
            <w:right w:val="none" w:sz="0" w:space="0" w:color="auto"/>
          </w:divBdr>
          <w:divsChild>
            <w:div w:id="720441641">
              <w:marLeft w:val="0"/>
              <w:marRight w:val="0"/>
              <w:marTop w:val="0"/>
              <w:marBottom w:val="0"/>
              <w:divBdr>
                <w:top w:val="none" w:sz="0" w:space="0" w:color="auto"/>
                <w:left w:val="none" w:sz="0" w:space="0" w:color="auto"/>
                <w:bottom w:val="none" w:sz="0" w:space="0" w:color="auto"/>
                <w:right w:val="none" w:sz="0" w:space="0" w:color="auto"/>
              </w:divBdr>
            </w:div>
            <w:div w:id="1746220584">
              <w:marLeft w:val="0"/>
              <w:marRight w:val="0"/>
              <w:marTop w:val="0"/>
              <w:marBottom w:val="0"/>
              <w:divBdr>
                <w:top w:val="none" w:sz="0" w:space="0" w:color="auto"/>
                <w:left w:val="none" w:sz="0" w:space="0" w:color="auto"/>
                <w:bottom w:val="none" w:sz="0" w:space="0" w:color="auto"/>
                <w:right w:val="none" w:sz="0" w:space="0" w:color="auto"/>
              </w:divBdr>
              <w:divsChild>
                <w:div w:id="177806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5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4525778">
      <w:bodyDiv w:val="1"/>
      <w:marLeft w:val="0"/>
      <w:marRight w:val="0"/>
      <w:marTop w:val="0"/>
      <w:marBottom w:val="0"/>
      <w:divBdr>
        <w:top w:val="none" w:sz="0" w:space="0" w:color="auto"/>
        <w:left w:val="none" w:sz="0" w:space="0" w:color="auto"/>
        <w:bottom w:val="none" w:sz="0" w:space="0" w:color="auto"/>
        <w:right w:val="none" w:sz="0" w:space="0" w:color="auto"/>
      </w:divBdr>
      <w:divsChild>
        <w:div w:id="1678114881">
          <w:marLeft w:val="0"/>
          <w:marRight w:val="0"/>
          <w:marTop w:val="0"/>
          <w:marBottom w:val="166"/>
          <w:divBdr>
            <w:top w:val="none" w:sz="0" w:space="0" w:color="auto"/>
            <w:left w:val="none" w:sz="0" w:space="0" w:color="auto"/>
            <w:bottom w:val="none" w:sz="0" w:space="0" w:color="auto"/>
            <w:right w:val="none" w:sz="0" w:space="0" w:color="auto"/>
          </w:divBdr>
          <w:divsChild>
            <w:div w:id="611479325">
              <w:marLeft w:val="0"/>
              <w:marRight w:val="0"/>
              <w:marTop w:val="0"/>
              <w:marBottom w:val="0"/>
              <w:divBdr>
                <w:top w:val="none" w:sz="0" w:space="0" w:color="auto"/>
                <w:left w:val="none" w:sz="0" w:space="0" w:color="auto"/>
                <w:bottom w:val="none" w:sz="0" w:space="0" w:color="auto"/>
                <w:right w:val="none" w:sz="0" w:space="0" w:color="auto"/>
              </w:divBdr>
              <w:divsChild>
                <w:div w:id="45953990">
                  <w:marLeft w:val="0"/>
                  <w:marRight w:val="0"/>
                  <w:marTop w:val="0"/>
                  <w:marBottom w:val="0"/>
                  <w:divBdr>
                    <w:top w:val="none" w:sz="0" w:space="0" w:color="auto"/>
                    <w:left w:val="none" w:sz="0" w:space="0" w:color="auto"/>
                    <w:bottom w:val="none" w:sz="0" w:space="0" w:color="auto"/>
                    <w:right w:val="none" w:sz="0" w:space="0" w:color="auto"/>
                  </w:divBdr>
                  <w:divsChild>
                    <w:div w:id="1382823493">
                      <w:marLeft w:val="0"/>
                      <w:marRight w:val="74"/>
                      <w:marTop w:val="0"/>
                      <w:marBottom w:val="0"/>
                      <w:divBdr>
                        <w:top w:val="none" w:sz="0" w:space="0" w:color="auto"/>
                        <w:left w:val="none" w:sz="0" w:space="0" w:color="auto"/>
                        <w:bottom w:val="none" w:sz="0" w:space="0" w:color="auto"/>
                        <w:right w:val="none" w:sz="0" w:space="0" w:color="auto"/>
                      </w:divBdr>
                    </w:div>
                    <w:div w:id="194774957">
                      <w:marLeft w:val="0"/>
                      <w:marRight w:val="0"/>
                      <w:marTop w:val="0"/>
                      <w:marBottom w:val="0"/>
                      <w:divBdr>
                        <w:top w:val="none" w:sz="0" w:space="0" w:color="auto"/>
                        <w:left w:val="none" w:sz="0" w:space="0" w:color="auto"/>
                        <w:bottom w:val="none" w:sz="0" w:space="0" w:color="auto"/>
                        <w:right w:val="none" w:sz="0" w:space="0" w:color="auto"/>
                      </w:divBdr>
                    </w:div>
                  </w:divsChild>
                </w:div>
                <w:div w:id="1316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5432</Words>
  <Characters>26571</Characters>
  <Application>Microsoft Office Word</Application>
  <DocSecurity>0</DocSecurity>
  <Lines>414</Lines>
  <Paragraphs>142</Paragraphs>
  <ScaleCrop>false</ScaleCrop>
  <Company/>
  <LinksUpToDate>false</LinksUpToDate>
  <CharactersWithSpaces>31769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2022-12-13T11:09:00Z</dcterms:created>
  <dcterms:modified xsi:type="dcterms:W3CDTF">2022-12-13T12:05:00Z</dcterms:modified>
</cp:coreProperties>
</file>