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bottom w:color="000000" w:space="7" w:sz="0" w:val="none"/>
        </w:pBdr>
        <w:shd w:fill="ffffff" w:val="clear"/>
        <w:spacing w:line="335" w:lineRule="auto"/>
        <w:ind w:right="840"/>
        <w:rPr>
          <w:b w:val="1"/>
          <w:u w:val="single"/>
        </w:rPr>
      </w:pPr>
      <w:r w:rsidDel="00000000" w:rsidR="00000000" w:rsidRPr="00000000">
        <w:rPr>
          <w:b w:val="1"/>
          <w:u w:val="single"/>
          <w:rtl w:val="0"/>
        </w:rPr>
        <w:t xml:space="preserve">1. Basic Information</w:t>
      </w:r>
    </w:p>
    <w:p w:rsidR="00000000" w:rsidDel="00000000" w:rsidP="00000000" w:rsidRDefault="00000000" w:rsidRPr="00000000" w14:paraId="00000002">
      <w:pPr>
        <w:pBdr>
          <w:bottom w:color="000000" w:space="7" w:sz="0" w:val="none"/>
        </w:pBdr>
        <w:shd w:fill="ffffff" w:val="clear"/>
        <w:tabs>
          <w:tab w:val="left" w:pos="2542"/>
        </w:tabs>
        <w:spacing w:line="335" w:lineRule="auto"/>
        <w:ind w:right="840"/>
        <w:rPr>
          <w:u w:val="single"/>
        </w:rPr>
      </w:pPr>
      <w:r w:rsidDel="00000000" w:rsidR="00000000" w:rsidRPr="00000000">
        <w:rPr>
          <w:u w:val="single"/>
          <w:rtl w:val="0"/>
        </w:rPr>
        <w:t xml:space="preserve">Eligibility</w:t>
      </w:r>
    </w:p>
    <w:p w:rsidR="00000000" w:rsidDel="00000000" w:rsidP="00000000" w:rsidRDefault="00000000" w:rsidRPr="00000000" w14:paraId="00000003">
      <w:pPr>
        <w:pBdr>
          <w:bottom w:color="000000" w:space="10" w:sz="0" w:val="none"/>
        </w:pBdr>
        <w:shd w:fill="ffffff" w:val="clear"/>
        <w:spacing w:line="240" w:lineRule="auto"/>
        <w:ind w:right="30"/>
        <w:rPr/>
      </w:pPr>
      <w:r w:rsidDel="00000000" w:rsidR="00000000" w:rsidRPr="00000000">
        <w:rPr>
          <w:rtl w:val="0"/>
        </w:rPr>
        <w:t xml:space="preserve">The contest is open to middle and high school students. Students may submit individual or group entries. </w:t>
      </w:r>
    </w:p>
    <w:p w:rsidR="00000000" w:rsidDel="00000000" w:rsidP="00000000" w:rsidRDefault="00000000" w:rsidRPr="00000000" w14:paraId="00000004">
      <w:pPr>
        <w:pBdr>
          <w:bottom w:color="000000" w:space="7" w:sz="0" w:val="none"/>
        </w:pBdr>
        <w:shd w:fill="ffffff" w:val="clear"/>
        <w:spacing w:line="335" w:lineRule="auto"/>
        <w:ind w:right="840"/>
        <w:rPr>
          <w:u w:val="single"/>
        </w:rPr>
      </w:pPr>
      <w:r w:rsidDel="00000000" w:rsidR="00000000" w:rsidRPr="00000000">
        <w:rPr>
          <w:u w:val="single"/>
          <w:rtl w:val="0"/>
        </w:rPr>
        <w:t xml:space="preserve">Entry Deadline</w:t>
      </w:r>
    </w:p>
    <w:p w:rsidR="00000000" w:rsidDel="00000000" w:rsidP="00000000" w:rsidRDefault="00000000" w:rsidRPr="00000000" w14:paraId="00000005">
      <w:pPr>
        <w:pBdr>
          <w:bottom w:color="000000" w:space="7" w:sz="0" w:val="none"/>
        </w:pBdr>
        <w:shd w:fill="ffffff" w:val="clear"/>
        <w:spacing w:line="240" w:lineRule="auto"/>
        <w:ind w:right="839"/>
        <w:rPr/>
      </w:pPr>
      <w:r w:rsidDel="00000000" w:rsidR="00000000" w:rsidRPr="00000000">
        <w:rPr>
          <w:rtl w:val="0"/>
        </w:rPr>
        <w:t xml:space="preserve">Entries must be submitted to the National Library of Israel by Yom Ha’atzmaut, Wednesday April 26, 2023.</w:t>
      </w:r>
    </w:p>
    <w:p w:rsidR="00000000" w:rsidDel="00000000" w:rsidP="00000000" w:rsidRDefault="00000000" w:rsidRPr="00000000" w14:paraId="00000006">
      <w:pPr>
        <w:pBdr>
          <w:bottom w:color="000000" w:space="7" w:sz="0" w:val="none"/>
        </w:pBdr>
        <w:shd w:fill="ffffff" w:val="clear"/>
        <w:spacing w:line="335" w:lineRule="auto"/>
        <w:rPr>
          <w:b w:val="1"/>
        </w:rPr>
      </w:pPr>
      <w:r w:rsidDel="00000000" w:rsidR="00000000" w:rsidRPr="00000000">
        <w:rPr>
          <w:b w:val="1"/>
          <w:u w:val="single"/>
          <w:rtl w:val="0"/>
        </w:rPr>
        <w:t xml:space="preserve">2. Poster Requirements</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color="000000" w:space="10" w:sz="0" w:val="none"/>
          <w:right w:space="0" w:sz="0" w:val="nil"/>
          <w:between w:space="0" w:sz="0" w:val="nil"/>
        </w:pBdr>
        <w:shd w:fill="ffffff" w:val="clear"/>
        <w:spacing w:after="0" w:before="0" w:line="240"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Posters may use any mixed media suitable for reproduction as a poster including computer-generated graphics</w:t>
      </w:r>
      <w:r w:rsidDel="00000000" w:rsidR="00000000" w:rsidRPr="00000000">
        <w:rPr>
          <w:rtl w:val="0"/>
        </w:rPr>
        <w:t xml:space="preserve">; no trademarked or copyrighted images or phrases can be used. </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color="000000" w:space="10" w:sz="0" w:val="none"/>
          <w:right w:space="0" w:sz="0" w:val="nil"/>
          <w:between w:space="0" w:sz="0" w:val="nil"/>
        </w:pBdr>
        <w:shd w:fill="ffffff" w:val="clear"/>
        <w:spacing w:after="0" w:before="0" w:line="240"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Posters can also be created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art materials (pap</w:t>
      </w:r>
      <w:r w:rsidDel="00000000" w:rsidR="00000000" w:rsidRPr="00000000">
        <w:rPr>
          <w:rtl w:val="0"/>
        </w:rPr>
        <w:t xml:space="preserve">er, cloth, paint etc.)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this case, </w:t>
      </w:r>
      <w:r w:rsidDel="00000000" w:rsidR="00000000" w:rsidRPr="00000000">
        <w:rPr>
          <w:rtl w:val="0"/>
        </w:rPr>
        <w:t xml:space="preserve">participants are required 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upload a good quality image of the physical product. </w:t>
      </w:r>
      <w:r w:rsidDel="00000000" w:rsidR="00000000" w:rsidRPr="00000000">
        <w:rPr>
          <w:rtl w:val="0"/>
        </w:rPr>
      </w:r>
    </w:p>
    <w:p w:rsidR="00000000" w:rsidDel="00000000" w:rsidP="00000000" w:rsidRDefault="00000000" w:rsidRPr="00000000" w14:paraId="00000009">
      <w:pPr>
        <w:pBdr>
          <w:bottom w:color="000000" w:space="7" w:sz="0" w:val="none"/>
        </w:pBdr>
        <w:shd w:fill="ffffff" w:val="clear"/>
        <w:spacing w:line="335" w:lineRule="auto"/>
        <w:rPr>
          <w:u w:val="single"/>
        </w:rPr>
      </w:pPr>
      <w:r w:rsidDel="00000000" w:rsidR="00000000" w:rsidRPr="00000000">
        <w:rPr>
          <w:u w:val="single"/>
          <w:rtl w:val="0"/>
        </w:rPr>
        <w:t xml:space="preserve">Rights</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color="000000" w:space="10" w:sz="0" w:val="none"/>
          <w:right w:space="0" w:sz="0" w:val="nil"/>
          <w:between w:space="0" w:sz="0" w:val="nil"/>
        </w:pBdr>
        <w:shd w:fill="ffffff"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winning posters may be displayed at the National Library of Israel and reproduced on the official National Library of Israel website and social media channels at the sole discretion of the National Library of Israel. </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color="000000" w:space="10" w:sz="0" w:val="none"/>
          <w:right w:space="0" w:sz="0" w:val="nil"/>
          <w:between w:space="0" w:sz="0" w:val="nil"/>
        </w:pBdr>
        <w:shd w:fill="ffffff"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National Library of Israel will assume full ownership of the content.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color="000000" w:space="10" w:sz="0" w:val="none"/>
          <w:right w:space="0" w:sz="0" w:val="nil"/>
          <w:between w:space="0" w:sz="0" w:val="nil"/>
        </w:pBdr>
        <w:shd w:fill="ffffff"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Entry in the contest constitutes full permission to publish the names of winners.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color="000000" w:space="10" w:sz="0" w:val="none"/>
          <w:right w:space="0" w:sz="0" w:val="nil"/>
          <w:between w:space="0" w:sz="0" w:val="nil"/>
        </w:pBdr>
        <w:shd w:fill="ffffff"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determination of eligibility of entries and any interpretation of these rules is at the sole discretion of the National Library of Israel and is final and binding upon all entrants.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color="000000" w:space="10" w:sz="0" w:val="none"/>
          <w:right w:space="0" w:sz="0" w:val="nil"/>
          <w:between w:space="0" w:sz="0" w:val="nil"/>
        </w:pBdr>
        <w:shd w:fill="ffffff" w:val="clear"/>
        <w:spacing w:after="0" w:before="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By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participating, entrants agree to abide by and be bound by these rules.</w:t>
      </w:r>
      <w:r w:rsidDel="00000000" w:rsidR="00000000" w:rsidRPr="00000000">
        <w:rPr>
          <w:rtl w:val="0"/>
        </w:rPr>
      </w:r>
    </w:p>
    <w:p w:rsidR="00000000" w:rsidDel="00000000" w:rsidP="00000000" w:rsidRDefault="00000000" w:rsidRPr="00000000" w14:paraId="0000000F">
      <w:pPr>
        <w:spacing w:line="327" w:lineRule="auto"/>
        <w:rPr/>
      </w:pPr>
      <w:r w:rsidDel="00000000" w:rsidR="00000000" w:rsidRPr="00000000">
        <w:rPr>
          <w:rtl w:val="0"/>
        </w:rPr>
      </w:r>
    </w:p>
    <w:p w:rsidR="00000000" w:rsidDel="00000000" w:rsidP="00000000" w:rsidRDefault="00000000" w:rsidRPr="00000000" w14:paraId="00000010">
      <w:pPr>
        <w:spacing w:line="327" w:lineRule="auto"/>
        <w:rPr>
          <w:u w:val="single"/>
        </w:rPr>
      </w:pPr>
      <w:r w:rsidDel="00000000" w:rsidR="00000000" w:rsidRPr="00000000">
        <w:rPr>
          <w:u w:val="single"/>
          <w:rtl w:val="0"/>
        </w:rPr>
        <w:t xml:space="preserve">Plagiarism</w:t>
      </w:r>
    </w:p>
    <w:p w:rsidR="00000000" w:rsidDel="00000000" w:rsidP="00000000" w:rsidRDefault="00000000" w:rsidRPr="00000000" w14:paraId="00000011">
      <w:pPr>
        <w:spacing w:after="460" w:line="240" w:lineRule="auto"/>
        <w:rPr/>
      </w:pPr>
      <w:r w:rsidDel="00000000" w:rsidR="00000000" w:rsidRPr="00000000">
        <w:rPr>
          <w:rtl w:val="0"/>
        </w:rPr>
        <w:t xml:space="preserve">Project entries cannot include plagiarized work. Plagiarism is considered the deliberate copying of someone else’s thoughts, ideas, expressions, words, artistic expressions, or scientific work without formally acknowledging its source. Project entries that include plagiarized content will be eliminated from the competition. </w:t>
      </w:r>
    </w:p>
    <w:p w:rsidR="00000000" w:rsidDel="00000000" w:rsidP="00000000" w:rsidRDefault="00000000" w:rsidRPr="00000000" w14:paraId="00000012">
      <w:pPr>
        <w:pBdr>
          <w:bottom w:color="000000" w:space="7" w:sz="0" w:val="none"/>
        </w:pBdr>
        <w:shd w:fill="ffffff" w:val="clear"/>
        <w:spacing w:line="240" w:lineRule="auto"/>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13">
      <w:pPr>
        <w:pBdr>
          <w:bottom w:color="000000" w:space="7" w:sz="0" w:val="none"/>
        </w:pBdr>
        <w:shd w:fill="ffffff" w:val="clear"/>
        <w:spacing w:line="240" w:lineRule="auto"/>
        <w:rPr>
          <w:b w:val="1"/>
          <w:u w:val="single"/>
        </w:rPr>
      </w:pPr>
      <w:r w:rsidDel="00000000" w:rsidR="00000000" w:rsidRPr="00000000">
        <w:rPr>
          <w:b w:val="1"/>
          <w:u w:val="single"/>
          <w:rtl w:val="0"/>
        </w:rPr>
        <w:t xml:space="preserve">3. Judging Process</w:t>
      </w:r>
    </w:p>
    <w:p w:rsidR="00000000" w:rsidDel="00000000" w:rsidP="00000000" w:rsidRDefault="00000000" w:rsidRPr="00000000" w14:paraId="00000014">
      <w:pPr>
        <w:pBdr>
          <w:bottom w:color="000000" w:space="7" w:sz="0" w:val="none"/>
        </w:pBdr>
        <w:shd w:fill="ffffff" w:val="clear"/>
        <w:spacing w:line="240" w:lineRule="auto"/>
        <w:rPr>
          <w:b w:val="1"/>
          <w:u w:val="single"/>
        </w:rPr>
      </w:pPr>
      <w:r w:rsidDel="00000000" w:rsidR="00000000" w:rsidRPr="00000000">
        <w:rPr>
          <w:rtl w:val="0"/>
        </w:rPr>
      </w:r>
    </w:p>
    <w:p w:rsidR="00000000" w:rsidDel="00000000" w:rsidP="00000000" w:rsidRDefault="00000000" w:rsidRPr="00000000" w14:paraId="00000015">
      <w:pPr>
        <w:rPr/>
      </w:pPr>
      <w:r w:rsidDel="00000000" w:rsidR="00000000" w:rsidRPr="00000000">
        <w:rPr>
          <w:color w:val="272727"/>
          <w:rtl w:val="0"/>
        </w:rPr>
        <w:t xml:space="preserve">Posters will be judged according to the following criteria:</w:t>
      </w:r>
      <w:r w:rsidDel="00000000" w:rsidR="00000000" w:rsidRPr="00000000">
        <w:rPr>
          <w:rtl w:val="0"/>
        </w:rPr>
      </w:r>
    </w:p>
    <w:tbl>
      <w:tblPr>
        <w:tblStyle w:val="Table1"/>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7350"/>
        <w:gridCol w:w="870"/>
        <w:tblGridChange w:id="0">
          <w:tblGrid>
            <w:gridCol w:w="1410"/>
            <w:gridCol w:w="7350"/>
            <w:gridCol w:w="8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color w:val="272727"/>
              </w:rPr>
            </w:pPr>
            <w:r w:rsidDel="00000000" w:rsidR="00000000" w:rsidRPr="00000000">
              <w:rPr>
                <w:color w:val="272727"/>
                <w:rtl w:val="0"/>
              </w:rPr>
              <w:t xml:space="preserve">Message</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numPr>
                <w:ilvl w:val="0"/>
                <w:numId w:val="5"/>
              </w:numPr>
              <w:spacing w:line="240" w:lineRule="auto"/>
              <w:ind w:left="720" w:hanging="360"/>
              <w:rPr>
                <w:color w:val="272727"/>
              </w:rPr>
            </w:pPr>
            <w:r w:rsidDel="00000000" w:rsidR="00000000" w:rsidRPr="00000000">
              <w:rPr>
                <w:color w:val="272727"/>
                <w:rtl w:val="0"/>
              </w:rPr>
              <w:t xml:space="preserve">The message is clearly conveyed in the visuals of the poster</w:t>
            </w:r>
          </w:p>
          <w:p w:rsidR="00000000" w:rsidDel="00000000" w:rsidP="00000000" w:rsidRDefault="00000000" w:rsidRPr="00000000" w14:paraId="00000018">
            <w:pPr>
              <w:widowControl w:val="0"/>
              <w:numPr>
                <w:ilvl w:val="0"/>
                <w:numId w:val="5"/>
              </w:numPr>
              <w:spacing w:line="240" w:lineRule="auto"/>
              <w:ind w:left="720" w:hanging="360"/>
              <w:rPr>
                <w:color w:val="272727"/>
              </w:rPr>
            </w:pPr>
            <w:r w:rsidDel="00000000" w:rsidR="00000000" w:rsidRPr="00000000">
              <w:rPr>
                <w:color w:val="272727"/>
                <w:rtl w:val="0"/>
              </w:rPr>
              <w:t xml:space="preserve">The message is anchored in one (or more) of the essential questions</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ind w:left="720" w:hanging="360"/>
              <w:rPr>
                <w:color w:val="272727"/>
              </w:rPr>
            </w:pPr>
            <w:r w:rsidDel="00000000" w:rsidR="00000000" w:rsidRPr="00000000">
              <w:rPr>
                <w:color w:val="272727"/>
                <w:rtl w:val="0"/>
              </w:rPr>
              <w:t xml:space="preserve">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color w:val="272727"/>
              </w:rPr>
            </w:pPr>
            <w:r w:rsidDel="00000000" w:rsidR="00000000" w:rsidRPr="00000000">
              <w:rPr>
                <w:color w:val="272727"/>
                <w:rtl w:val="0"/>
              </w:rPr>
              <w:t xml:space="preserve">Design</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color w:val="272727"/>
              </w:rPr>
            </w:pPr>
            <w:r w:rsidDel="00000000" w:rsidR="00000000" w:rsidRPr="00000000">
              <w:rPr>
                <w:color w:val="272727"/>
                <w:rtl w:val="0"/>
              </w:rPr>
              <w:t xml:space="preserve">Principles of design are evident in the final product:</w:t>
            </w:r>
          </w:p>
          <w:p w:rsidR="00000000" w:rsidDel="00000000" w:rsidP="00000000" w:rsidRDefault="00000000" w:rsidRPr="00000000" w14:paraId="0000001C">
            <w:pPr>
              <w:widowControl w:val="0"/>
              <w:numPr>
                <w:ilvl w:val="0"/>
                <w:numId w:val="6"/>
              </w:numPr>
              <w:spacing w:line="240" w:lineRule="auto"/>
              <w:ind w:left="720" w:hanging="360"/>
              <w:rPr>
                <w:color w:val="272727"/>
              </w:rPr>
            </w:pPr>
            <w:r w:rsidDel="00000000" w:rsidR="00000000" w:rsidRPr="00000000">
              <w:rPr>
                <w:color w:val="272727"/>
                <w:rtl w:val="0"/>
              </w:rPr>
              <w:t xml:space="preserve">Shape and form</w:t>
            </w:r>
          </w:p>
          <w:p w:rsidR="00000000" w:rsidDel="00000000" w:rsidP="00000000" w:rsidRDefault="00000000" w:rsidRPr="00000000" w14:paraId="0000001D">
            <w:pPr>
              <w:widowControl w:val="0"/>
              <w:numPr>
                <w:ilvl w:val="0"/>
                <w:numId w:val="6"/>
              </w:numPr>
              <w:spacing w:line="240" w:lineRule="auto"/>
              <w:ind w:left="720" w:hanging="360"/>
              <w:rPr>
                <w:color w:val="272727"/>
              </w:rPr>
            </w:pPr>
            <w:r w:rsidDel="00000000" w:rsidR="00000000" w:rsidRPr="00000000">
              <w:rPr>
                <w:color w:val="272727"/>
                <w:rtl w:val="0"/>
              </w:rPr>
              <w:t xml:space="preserve">Color</w:t>
            </w:r>
          </w:p>
          <w:p w:rsidR="00000000" w:rsidDel="00000000" w:rsidP="00000000" w:rsidRDefault="00000000" w:rsidRPr="00000000" w14:paraId="0000001E">
            <w:pPr>
              <w:widowControl w:val="0"/>
              <w:numPr>
                <w:ilvl w:val="0"/>
                <w:numId w:val="6"/>
              </w:numPr>
              <w:spacing w:line="240" w:lineRule="auto"/>
              <w:ind w:left="720" w:hanging="360"/>
              <w:rPr>
                <w:color w:val="272727"/>
              </w:rPr>
            </w:pPr>
            <w:r w:rsidDel="00000000" w:rsidR="00000000" w:rsidRPr="00000000">
              <w:rPr>
                <w:color w:val="272727"/>
                <w:rtl w:val="0"/>
              </w:rPr>
              <w:t xml:space="preserve">Emphasis</w:t>
            </w:r>
          </w:p>
          <w:p w:rsidR="00000000" w:rsidDel="00000000" w:rsidP="00000000" w:rsidRDefault="00000000" w:rsidRPr="00000000" w14:paraId="0000001F">
            <w:pPr>
              <w:widowControl w:val="0"/>
              <w:numPr>
                <w:ilvl w:val="0"/>
                <w:numId w:val="6"/>
              </w:numPr>
              <w:spacing w:line="240" w:lineRule="auto"/>
              <w:ind w:left="720" w:hanging="360"/>
              <w:rPr>
                <w:color w:val="272727"/>
              </w:rPr>
            </w:pPr>
            <w:r w:rsidDel="00000000" w:rsidR="00000000" w:rsidRPr="00000000">
              <w:rPr>
                <w:color w:val="272727"/>
                <w:rtl w:val="0"/>
              </w:rPr>
              <w:t xml:space="preserve">Composition</w:t>
            </w:r>
          </w:p>
          <w:p w:rsidR="00000000" w:rsidDel="00000000" w:rsidP="00000000" w:rsidRDefault="00000000" w:rsidRPr="00000000" w14:paraId="00000020">
            <w:pPr>
              <w:widowControl w:val="0"/>
              <w:numPr>
                <w:ilvl w:val="0"/>
                <w:numId w:val="6"/>
              </w:numPr>
              <w:spacing w:line="240" w:lineRule="auto"/>
              <w:ind w:left="720" w:hanging="360"/>
              <w:rPr>
                <w:color w:val="272727"/>
              </w:rPr>
            </w:pPr>
            <w:r w:rsidDel="00000000" w:rsidR="00000000" w:rsidRPr="00000000">
              <w:rPr>
                <w:color w:val="272727"/>
                <w:rtl w:val="0"/>
              </w:rPr>
              <w:t xml:space="preserve">Movement</w:t>
            </w:r>
          </w:p>
          <w:p w:rsidR="00000000" w:rsidDel="00000000" w:rsidP="00000000" w:rsidRDefault="00000000" w:rsidRPr="00000000" w14:paraId="00000021">
            <w:pPr>
              <w:widowControl w:val="0"/>
              <w:numPr>
                <w:ilvl w:val="0"/>
                <w:numId w:val="6"/>
              </w:numPr>
              <w:spacing w:line="240" w:lineRule="auto"/>
              <w:ind w:left="720" w:hanging="360"/>
              <w:rPr>
                <w:color w:val="272727"/>
              </w:rPr>
            </w:pPr>
            <w:r w:rsidDel="00000000" w:rsidR="00000000" w:rsidRPr="00000000">
              <w:rPr>
                <w:color w:val="272727"/>
                <w:rtl w:val="0"/>
              </w:rPr>
              <w:t xml:space="preserve">Unity</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ind w:left="720" w:hanging="360"/>
              <w:rPr>
                <w:color w:val="272727"/>
              </w:rPr>
            </w:pPr>
            <w:r w:rsidDel="00000000" w:rsidR="00000000" w:rsidRPr="00000000">
              <w:rPr>
                <w:color w:val="272727"/>
                <w:rtl w:val="0"/>
              </w:rPr>
              <w:t xml:space="preserve">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color w:val="272727"/>
              </w:rPr>
            </w:pPr>
            <w:r w:rsidDel="00000000" w:rsidR="00000000" w:rsidRPr="00000000">
              <w:rPr>
                <w:color w:val="272727"/>
                <w:rtl w:val="0"/>
              </w:rPr>
              <w:t xml:space="preserve">Creativity</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numPr>
                <w:ilvl w:val="0"/>
                <w:numId w:val="1"/>
              </w:numPr>
              <w:spacing w:line="240" w:lineRule="auto"/>
              <w:ind w:left="720" w:hanging="360"/>
              <w:rPr>
                <w:color w:val="272727"/>
              </w:rPr>
            </w:pPr>
            <w:r w:rsidDel="00000000" w:rsidR="00000000" w:rsidRPr="00000000">
              <w:rPr>
                <w:color w:val="272727"/>
                <w:rtl w:val="0"/>
              </w:rPr>
              <w:t xml:space="preserve">Poster engages viewers and piques curiosity</w:t>
            </w:r>
          </w:p>
          <w:p w:rsidR="00000000" w:rsidDel="00000000" w:rsidP="00000000" w:rsidRDefault="00000000" w:rsidRPr="00000000" w14:paraId="00000025">
            <w:pPr>
              <w:widowControl w:val="0"/>
              <w:numPr>
                <w:ilvl w:val="0"/>
                <w:numId w:val="1"/>
              </w:numPr>
              <w:spacing w:line="240" w:lineRule="auto"/>
              <w:ind w:left="720" w:hanging="360"/>
              <w:rPr>
                <w:color w:val="272727"/>
              </w:rPr>
            </w:pPr>
            <w:r w:rsidDel="00000000" w:rsidR="00000000" w:rsidRPr="00000000">
              <w:rPr>
                <w:color w:val="272727"/>
                <w:rtl w:val="0"/>
              </w:rPr>
              <w:t xml:space="preserve">Poster exhibits a unique and creative approach to chosen theme</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ind w:left="720" w:hanging="360"/>
              <w:rPr>
                <w:color w:val="272727"/>
              </w:rPr>
            </w:pPr>
            <w:r w:rsidDel="00000000" w:rsidR="00000000" w:rsidRPr="00000000">
              <w:rPr>
                <w:color w:val="272727"/>
                <w:rtl w:val="0"/>
              </w:rPr>
              <w:t xml:space="preserve">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color w:val="272727"/>
              </w:rPr>
            </w:pPr>
            <w:r w:rsidDel="00000000" w:rsidR="00000000" w:rsidRPr="00000000">
              <w:rPr>
                <w:color w:val="272727"/>
                <w:rtl w:val="0"/>
              </w:rPr>
              <w:t xml:space="preserve">Artist statement</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numPr>
                <w:ilvl w:val="0"/>
                <w:numId w:val="7"/>
              </w:numPr>
              <w:spacing w:line="240" w:lineRule="auto"/>
              <w:ind w:left="720" w:hanging="360"/>
              <w:rPr>
                <w:color w:val="272727"/>
              </w:rPr>
            </w:pPr>
            <w:r w:rsidDel="00000000" w:rsidR="00000000" w:rsidRPr="00000000">
              <w:rPr>
                <w:color w:val="272727"/>
                <w:rtl w:val="0"/>
              </w:rPr>
              <w:t xml:space="preserve">Brief description and explanation of major poster elements</w:t>
            </w:r>
          </w:p>
          <w:p w:rsidR="00000000" w:rsidDel="00000000" w:rsidP="00000000" w:rsidRDefault="00000000" w:rsidRPr="00000000" w14:paraId="00000029">
            <w:pPr>
              <w:widowControl w:val="0"/>
              <w:numPr>
                <w:ilvl w:val="0"/>
                <w:numId w:val="7"/>
              </w:numPr>
              <w:spacing w:line="240" w:lineRule="auto"/>
              <w:ind w:left="720" w:hanging="360"/>
              <w:rPr>
                <w:color w:val="272727"/>
              </w:rPr>
            </w:pPr>
            <w:r w:rsidDel="00000000" w:rsidR="00000000" w:rsidRPr="00000000">
              <w:rPr>
                <w:color w:val="272727"/>
                <w:rtl w:val="0"/>
              </w:rPr>
              <w:t xml:space="preserve">Personal statement about how the message conveyed in the poster expresses your connection to Israel</w:t>
            </w:r>
          </w:p>
          <w:p w:rsidR="00000000" w:rsidDel="00000000" w:rsidP="00000000" w:rsidRDefault="00000000" w:rsidRPr="00000000" w14:paraId="0000002A">
            <w:pPr>
              <w:widowControl w:val="0"/>
              <w:numPr>
                <w:ilvl w:val="0"/>
                <w:numId w:val="7"/>
              </w:numPr>
              <w:spacing w:line="240" w:lineRule="auto"/>
              <w:ind w:left="720" w:hanging="360"/>
              <w:rPr>
                <w:color w:val="272727"/>
              </w:rPr>
            </w:pPr>
            <w:r w:rsidDel="00000000" w:rsidR="00000000" w:rsidRPr="00000000">
              <w:rPr>
                <w:color w:val="272727"/>
                <w:rtl w:val="0"/>
              </w:rPr>
              <w:t xml:space="preserve">Demonstration of how the NLI primary sources impacted the final product</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ind w:left="720" w:hanging="360"/>
              <w:rPr>
                <w:color w:val="272727"/>
              </w:rPr>
            </w:pPr>
            <w:r w:rsidDel="00000000" w:rsidR="00000000" w:rsidRPr="00000000">
              <w:rPr>
                <w:color w:val="272727"/>
                <w:rtl w:val="0"/>
              </w:rPr>
              <w:t xml:space="preserve">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color w:val="272727"/>
              </w:rPr>
            </w:pPr>
            <w:r w:rsidDel="00000000" w:rsidR="00000000" w:rsidRPr="00000000">
              <w:rPr>
                <w:color w:val="272727"/>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ind w:left="720" w:hanging="360"/>
              <w:rPr>
                <w:color w:val="272727"/>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ind w:left="360" w:firstLine="0"/>
              <w:rPr>
                <w:color w:val="272727"/>
              </w:rPr>
            </w:pPr>
            <w:r w:rsidDel="00000000" w:rsidR="00000000" w:rsidRPr="00000000">
              <w:rPr>
                <w:color w:val="272727"/>
                <w:rtl w:val="0"/>
              </w:rPr>
              <w:t xml:space="preserve">10</w:t>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Bdr>
          <w:bottom w:color="000000" w:space="7" w:sz="0" w:val="none"/>
        </w:pBdr>
        <w:shd w:fill="ffffff" w:val="clear"/>
        <w:spacing w:line="335" w:lineRule="auto"/>
        <w:rPr>
          <w:u w:val="single"/>
        </w:rPr>
      </w:pPr>
      <w:r w:rsidDel="00000000" w:rsidR="00000000" w:rsidRPr="00000000">
        <w:rPr>
          <w:u w:val="single"/>
          <w:rtl w:val="0"/>
        </w:rPr>
        <w:t xml:space="preserve">Winners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u w:val="none"/>
          <w:shd w:fill="auto" w:val="clear"/>
          <w:vertAlign w:val="baseline"/>
          <w:rtl w:val="0"/>
        </w:rPr>
        <w:t xml:space="preserve">A judging committee made up of NLI staff and representatives from partner organizations will choose three winners. The winners will be announced by May 25, 2023 (Shavuot Eve).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spacing w:line="327" w:lineRule="auto"/>
        <w:rPr>
          <w:u w:val="single"/>
        </w:rPr>
      </w:pPr>
      <w:r w:rsidDel="00000000" w:rsidR="00000000" w:rsidRPr="00000000">
        <w:rPr>
          <w:u w:val="single"/>
          <w:rtl w:val="0"/>
        </w:rPr>
        <w:t xml:space="preserve">Additional Disclaimers</w:t>
      </w:r>
    </w:p>
    <w:p w:rsidR="00000000" w:rsidDel="00000000" w:rsidP="00000000" w:rsidRDefault="00000000" w:rsidRPr="00000000" w14:paraId="00000034">
      <w:pPr>
        <w:numPr>
          <w:ilvl w:val="0"/>
          <w:numId w:val="4"/>
        </w:numPr>
        <w:spacing w:line="240" w:lineRule="auto"/>
        <w:ind w:left="720" w:hanging="360"/>
        <w:rPr>
          <w:u w:val="none"/>
        </w:rPr>
      </w:pPr>
      <w:r w:rsidDel="00000000" w:rsidR="00000000" w:rsidRPr="00000000">
        <w:rPr>
          <w:rtl w:val="0"/>
        </w:rPr>
        <w:t xml:space="preserve">It is the responsibility of each participant and educator to read these rules and regulations for the National Library of Israel Curate &amp; Create Poster Competition.</w:t>
      </w:r>
      <w:r w:rsidDel="00000000" w:rsidR="00000000" w:rsidRPr="00000000">
        <w:rPr>
          <w:rtl w:val="0"/>
        </w:rPr>
      </w:r>
    </w:p>
    <w:p w:rsidR="00000000" w:rsidDel="00000000" w:rsidP="00000000" w:rsidRDefault="00000000" w:rsidRPr="00000000" w14:paraId="00000035">
      <w:pPr>
        <w:numPr>
          <w:ilvl w:val="0"/>
          <w:numId w:val="4"/>
        </w:numPr>
        <w:spacing w:line="240" w:lineRule="auto"/>
        <w:ind w:left="720" w:hanging="360"/>
        <w:rPr>
          <w:u w:val="none"/>
        </w:rPr>
      </w:pPr>
      <w:r w:rsidDel="00000000" w:rsidR="00000000" w:rsidRPr="00000000">
        <w:rPr>
          <w:rtl w:val="0"/>
        </w:rPr>
        <w:t xml:space="preserve">The National Library of Israel reserves the right to reject any project entry for any reason and at any time at its own discretion.</w:t>
      </w:r>
    </w:p>
    <w:p w:rsidR="00000000" w:rsidDel="00000000" w:rsidP="00000000" w:rsidRDefault="00000000" w:rsidRPr="00000000" w14:paraId="00000036">
      <w:pPr>
        <w:numPr>
          <w:ilvl w:val="0"/>
          <w:numId w:val="4"/>
        </w:numPr>
        <w:spacing w:line="240" w:lineRule="auto"/>
        <w:ind w:left="720" w:hanging="360"/>
        <w:rPr>
          <w:u w:val="none"/>
        </w:rPr>
      </w:pPr>
      <w:r w:rsidDel="00000000" w:rsidR="00000000" w:rsidRPr="00000000">
        <w:rPr>
          <w:rtl w:val="0"/>
        </w:rPr>
        <w:t xml:space="preserve">The National Library of Israel may refuse to award a prize if a winning participant has not followed these rules and regulations or the proper registration and project entry procedures.</w:t>
      </w:r>
    </w:p>
    <w:sectPr>
      <w:headerReference r:id="rId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F64591"/>
    <w:rPr>
      <w:sz w:val="16"/>
      <w:szCs w:val="16"/>
    </w:rPr>
  </w:style>
  <w:style w:type="paragraph" w:styleId="CommentText">
    <w:name w:val="annotation text"/>
    <w:basedOn w:val="Normal"/>
    <w:link w:val="CommentTextChar"/>
    <w:uiPriority w:val="99"/>
    <w:unhideWhenUsed w:val="1"/>
    <w:rsid w:val="00F64591"/>
    <w:pPr>
      <w:spacing w:line="240" w:lineRule="auto"/>
    </w:pPr>
    <w:rPr>
      <w:sz w:val="20"/>
      <w:szCs w:val="20"/>
    </w:rPr>
  </w:style>
  <w:style w:type="character" w:styleId="CommentTextChar" w:customStyle="1">
    <w:name w:val="Comment Text Char"/>
    <w:basedOn w:val="DefaultParagraphFont"/>
    <w:link w:val="CommentText"/>
    <w:uiPriority w:val="99"/>
    <w:rsid w:val="00F64591"/>
    <w:rPr>
      <w:sz w:val="20"/>
      <w:szCs w:val="20"/>
    </w:rPr>
  </w:style>
  <w:style w:type="paragraph" w:styleId="CommentSubject">
    <w:name w:val="annotation subject"/>
    <w:basedOn w:val="CommentText"/>
    <w:next w:val="CommentText"/>
    <w:link w:val="CommentSubjectChar"/>
    <w:uiPriority w:val="99"/>
    <w:semiHidden w:val="1"/>
    <w:unhideWhenUsed w:val="1"/>
    <w:rsid w:val="00F64591"/>
    <w:rPr>
      <w:b w:val="1"/>
      <w:bCs w:val="1"/>
    </w:rPr>
  </w:style>
  <w:style w:type="character" w:styleId="CommentSubjectChar" w:customStyle="1">
    <w:name w:val="Comment Subject Char"/>
    <w:basedOn w:val="CommentTextChar"/>
    <w:link w:val="CommentSubject"/>
    <w:uiPriority w:val="99"/>
    <w:semiHidden w:val="1"/>
    <w:rsid w:val="00F64591"/>
    <w:rPr>
      <w:b w:val="1"/>
      <w:bCs w:val="1"/>
      <w:sz w:val="20"/>
      <w:szCs w:val="20"/>
    </w:rPr>
  </w:style>
  <w:style w:type="paragraph" w:styleId="BalloonText">
    <w:name w:val="Balloon Text"/>
    <w:basedOn w:val="Normal"/>
    <w:link w:val="BalloonTextChar"/>
    <w:uiPriority w:val="99"/>
    <w:semiHidden w:val="1"/>
    <w:unhideWhenUsed w:val="1"/>
    <w:rsid w:val="00F64591"/>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64591"/>
    <w:rPr>
      <w:rFonts w:ascii="Segoe UI" w:cs="Segoe UI" w:hAnsi="Segoe UI"/>
      <w:sz w:val="18"/>
      <w:szCs w:val="18"/>
    </w:rPr>
  </w:style>
  <w:style w:type="paragraph" w:styleId="ListParagraph">
    <w:name w:val="List Paragraph"/>
    <w:basedOn w:val="Normal"/>
    <w:uiPriority w:val="34"/>
    <w:qFormat w:val="1"/>
    <w:rsid w:val="00162E19"/>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3qwh8msg+cpAuMJmWZ6P2gNhQw==">AMUW2mW9H45Mx9vLPNUiKx6ntP36tZZu2igDtX0/uo+jM5VinAbbh8sTF+9OInDyCzVnPZgjlyLB2BxTaJaOBmgWQPNs2q6ur56LOQhCPbTJ228br6IEQQNxYkdbCDj7FuzWvIbD6EDo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2022-10-26T17:43:00Z</dcterms:created>
  <dc:creator>nikki littman</dc:creator>
</cp:coreProperties>
</file>