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8CE67" w14:textId="77777777" w:rsidR="00A665AE" w:rsidRPr="00A665AE" w:rsidRDefault="00A665AE" w:rsidP="00A665AE">
      <w:pPr>
        <w:widowControl w:val="0"/>
        <w:jc w:val="center"/>
        <w:rPr>
          <w:b/>
          <w:bCs/>
        </w:rPr>
      </w:pPr>
      <w:r w:rsidRPr="00A665AE">
        <w:rPr>
          <w:b/>
          <w:bCs/>
          <w:sz w:val="28"/>
          <w:szCs w:val="28"/>
        </w:rPr>
        <w:t>Using robotic technology for Parkinson’s disease: needs and concerns from the perspective of individuals with Parkinson’s disease and their family members</w:t>
      </w:r>
    </w:p>
    <w:p w14:paraId="7CDB5BD0" w14:textId="4C82B579" w:rsidR="00A665AE" w:rsidRPr="00A665AE" w:rsidRDefault="00A665AE" w:rsidP="00A665AE">
      <w:pPr>
        <w:widowControl w:val="0"/>
        <w:rPr>
          <w:b/>
          <w:bCs/>
        </w:rPr>
      </w:pPr>
      <w:r w:rsidRPr="00A665AE">
        <w:rPr>
          <w:b/>
          <w:bCs/>
        </w:rPr>
        <w:t>Abstract</w:t>
      </w:r>
    </w:p>
    <w:p w14:paraId="4365A6EB" w14:textId="5C17650F" w:rsidR="003B273A" w:rsidRPr="003B273A" w:rsidRDefault="003B273A" w:rsidP="003B273A">
      <w:pPr>
        <w:pStyle w:val="ListParagraph"/>
        <w:widowControl w:val="0"/>
        <w:numPr>
          <w:ilvl w:val="0"/>
          <w:numId w:val="1"/>
        </w:numPr>
        <w:jc w:val="left"/>
        <w:rPr>
          <w:rFonts w:asciiTheme="majorBidi" w:eastAsiaTheme="majorEastAsia" w:hAnsiTheme="majorBidi" w:cstheme="majorBidi"/>
          <w:b/>
          <w:u w:val="single"/>
        </w:rPr>
      </w:pPr>
      <w:r w:rsidRPr="003B273A">
        <w:rPr>
          <w:rFonts w:asciiTheme="majorBidi" w:eastAsiaTheme="majorEastAsia" w:hAnsiTheme="majorBidi" w:cstheme="majorBidi"/>
          <w:b/>
          <w:u w:val="single"/>
        </w:rPr>
        <w:t>Introduction</w:t>
      </w:r>
    </w:p>
    <w:p w14:paraId="2DC16FFF" w14:textId="6A6A5FE8" w:rsidR="003B273A" w:rsidRPr="00FB5DB4" w:rsidRDefault="003B273A" w:rsidP="00942C40">
      <w:pPr>
        <w:widowControl w:val="0"/>
        <w:jc w:val="left"/>
        <w:rPr>
          <w:rFonts w:asciiTheme="majorBidi" w:eastAsiaTheme="majorEastAsia" w:hAnsiTheme="majorBidi" w:cstheme="majorBidi"/>
          <w:bCs/>
        </w:rPr>
      </w:pPr>
      <w:r w:rsidRPr="00FB5DB4">
        <w:rPr>
          <w:rFonts w:asciiTheme="majorBidi" w:eastAsiaTheme="majorEastAsia" w:hAnsiTheme="majorBidi" w:cstheme="majorBidi"/>
          <w:bCs/>
        </w:rPr>
        <w:t xml:space="preserve">Parkinson's disease (PD) is a progressive neurodegenerative disorder </w:t>
      </w:r>
      <w:r>
        <w:rPr>
          <w:rFonts w:asciiTheme="majorBidi" w:eastAsiaTheme="majorEastAsia" w:hAnsiTheme="majorBidi" w:cstheme="majorBidi"/>
          <w:bCs/>
        </w:rPr>
        <w:t>that is expressed in individuals with several detrimental</w:t>
      </w:r>
      <w:r w:rsidRPr="00FB5DB4">
        <w:rPr>
          <w:rFonts w:asciiTheme="majorBidi" w:eastAsiaTheme="majorEastAsia" w:hAnsiTheme="majorBidi" w:cstheme="majorBidi"/>
          <w:bCs/>
        </w:rPr>
        <w:t xml:space="preserve"> motor and non</w:t>
      </w:r>
      <w:r>
        <w:rPr>
          <w:rFonts w:asciiTheme="majorBidi" w:eastAsiaTheme="majorEastAsia" w:hAnsiTheme="majorBidi" w:cstheme="majorBidi"/>
          <w:bCs/>
        </w:rPr>
        <w:t>-</w:t>
      </w:r>
      <w:r w:rsidRPr="00FB5DB4">
        <w:rPr>
          <w:rFonts w:asciiTheme="majorBidi" w:eastAsiaTheme="majorEastAsia" w:hAnsiTheme="majorBidi" w:cstheme="majorBidi"/>
          <w:bCs/>
        </w:rPr>
        <w:t>motor symptoms</w:t>
      </w:r>
      <w:r>
        <w:rPr>
          <w:rFonts w:asciiTheme="majorBidi" w:eastAsiaTheme="majorEastAsia" w:hAnsiTheme="majorBidi" w:cstheme="majorBidi"/>
          <w:bCs/>
        </w:rPr>
        <w:t xml:space="preserve"> affecting millions of people around the world</w:t>
      </w:r>
      <w:r w:rsidRPr="00FB5DB4">
        <w:rPr>
          <w:rFonts w:asciiTheme="majorBidi" w:eastAsiaTheme="majorEastAsia" w:hAnsiTheme="majorBidi" w:cstheme="majorBidi"/>
          <w:bCs/>
        </w:rPr>
        <w:t xml:space="preserve"> </w:t>
      </w:r>
      <w:r w:rsidR="006B7331">
        <w:rPr>
          <w:rFonts w:asciiTheme="majorBidi" w:eastAsiaTheme="majorEastAsia" w:hAnsiTheme="majorBidi" w:cstheme="majorBidi"/>
          <w:bCs/>
        </w:rPr>
        <w:fldChar w:fldCharType="begin"/>
      </w:r>
      <w:r w:rsidR="006B7331">
        <w:rPr>
          <w:rFonts w:asciiTheme="majorBidi" w:eastAsiaTheme="majorEastAsia" w:hAnsiTheme="majorBidi" w:cstheme="majorBidi"/>
          <w:bCs/>
        </w:rPr>
        <w:instrText xml:space="preserve"> ADDIN ZOTERO_ITEM CSL_CITATION {"citationID":"WH6XP6gG","properties":{"formattedCitation":"(Aarsland et al., 2021; H. M. Lee &amp; Koh, 2015)","plainCitation":"(Aarsland et al., 2021; H. M. Lee &amp; Koh, 2015)","noteIndex":0},"citationItems":[{"id":95,"uris":["http://zotero.org/users/9293396/items/QQZKE72E"],"itemData":{"id":95,"type":"article-journal","abstract":"Parkinson disease (PD) is the second most common neurodegenerative disorder, affecting &gt;1% of the population ≥65 years of age and with a prevalence set to double by 2030. In addition to the defining motor symptoms of PD, multiple non-motor symptoms occur; among them, cognitive impairment is common and can potentially occur at any disease stage. Cognitive decline is usually slow and insidious, but rapid in some cases. Recently, the focus has been on the early cognitive changes, where executive and visuospatial impairments are typical and can be accompanied by memory impairment, increasing the risk for early progression to dementia.","container-title":"Nature Reviews Disease Primers","DOI":"10.1038/s41572-021-00280-3","ISSN":"2056-676X","issue":"1","journalAbbreviation":"Nat Rev Dis Primers","language":"en","page":"47","source":"DOI.org (Crossref)","title":"Parkinson disease-associated cognitive impairment","volume":"7","author":[{"family":"Aarsland","given":"Dag"},{"family":"Batzu","given":"Lucia"},{"family":"Halliday","given":"Glenda M."},{"family":"Geurtsen","given":"Gert J."},{"family":"Ballard","given":"Clive"},{"family":"Ray Chaudhuri","given":"K."},{"family":"Weintraub","given":"Daniel"}],"issued":{"date-parts":[["2021",12]]}}},{"id":6,"uris":["http://zotero.org/users/9293396/items/KTUYWZ9Z"],"itemData":{"id":6,"type":"article-journal","abstract":"Parkinson’s disease (PD) is a multi-systemic disorder that is characterized by a combination of motor and non-motor symptoms (NMS). The dopaminergic neurodegeneration of PD is involved in the genesis of NMS, but other conditions and side effects of levodopa are also associated with NMS. NMS can develop at all stage of PD and rapid eyeball movement sleep behavior disorder (RBD), constipation, depression, and olfactory dysfunction are considered prodromal signs of PD. Many NMS related with motor deficits and cognitive dysfunction. Some NMS including olfactory dysfunction, RBD and abnormal stereopsis are associated with presence of other NMS of PD. In addition, several NMS can be helpful to differentiate between idiopathic PD and other parkinsonian disorders. Early recognition and management of NMS in PD patients is important for preserving quality of life.","container-title":"Journal of Movement Disorders","DOI":"10.14802/jmd.15003","ISSN":"2005-940X, 2093-4939","issue":"2","journalAbbreviation":"JMD","language":"en","page":"92-97","source":"DOI.org (Crossref)","title":"Many Faces of Parkinson’s Disease: Non-Motor Symptoms of Parkinson’s Disease","title-short":"Many Faces of Parkinson’s Disease","volume":"8","author":[{"family":"Lee","given":"Hye Mi"},{"family":"Koh","given":"Seong-Beom"}],"issued":{"date-parts":[["2015",5,31]]}}}],"schema":"https://github.com/citation-style-language/schema/raw/master/csl-citation.json"} </w:instrText>
      </w:r>
      <w:r w:rsidR="006B7331">
        <w:rPr>
          <w:rFonts w:asciiTheme="majorBidi" w:eastAsiaTheme="majorEastAsia" w:hAnsiTheme="majorBidi" w:cstheme="majorBidi"/>
          <w:bCs/>
        </w:rPr>
        <w:fldChar w:fldCharType="separate"/>
      </w:r>
      <w:r w:rsidR="00942C40" w:rsidRPr="00942C40">
        <w:rPr>
          <w:rFonts w:eastAsiaTheme="majorEastAsia"/>
        </w:rPr>
        <w:t>(Aarsland et al., 2021; H. M. Lee &amp; Koh, 2015)</w:t>
      </w:r>
      <w:r w:rsidR="006B7331">
        <w:rPr>
          <w:rFonts w:asciiTheme="majorBidi" w:eastAsiaTheme="majorEastAsia" w:hAnsiTheme="majorBidi" w:cstheme="majorBidi"/>
          <w:bCs/>
        </w:rPr>
        <w:fldChar w:fldCharType="end"/>
      </w:r>
      <w:r w:rsidR="006B7331">
        <w:rPr>
          <w:rFonts w:asciiTheme="majorBidi" w:eastAsiaTheme="majorEastAsia" w:hAnsiTheme="majorBidi" w:cstheme="majorBidi"/>
          <w:bCs/>
        </w:rPr>
        <w:t>.</w:t>
      </w:r>
      <w:r w:rsidRPr="00FB5DB4">
        <w:rPr>
          <w:rFonts w:asciiTheme="majorBidi" w:eastAsiaTheme="majorEastAsia" w:hAnsiTheme="majorBidi" w:cstheme="majorBidi"/>
          <w:bCs/>
        </w:rPr>
        <w:t xml:space="preserve"> The pathological course of the disease is caused by the degeneration of </w:t>
      </w:r>
      <w:r>
        <w:rPr>
          <w:rFonts w:asciiTheme="majorBidi" w:eastAsiaTheme="majorEastAsia" w:hAnsiTheme="majorBidi" w:cstheme="majorBidi"/>
          <w:bCs/>
        </w:rPr>
        <w:t>dopaminergic</w:t>
      </w:r>
      <w:r w:rsidRPr="00FB5DB4">
        <w:rPr>
          <w:rFonts w:asciiTheme="majorBidi" w:eastAsiaTheme="majorEastAsia" w:hAnsiTheme="majorBidi" w:cstheme="majorBidi"/>
          <w:bCs/>
        </w:rPr>
        <w:t xml:space="preserve"> neurons</w:t>
      </w:r>
      <w:r>
        <w:rPr>
          <w:rFonts w:asciiTheme="majorBidi" w:eastAsiaTheme="majorEastAsia" w:hAnsiTheme="majorBidi" w:cstheme="majorBidi"/>
          <w:bCs/>
        </w:rPr>
        <w:t xml:space="preserve"> in the</w:t>
      </w:r>
      <w:r w:rsidRPr="00FB5DB4">
        <w:rPr>
          <w:rFonts w:asciiTheme="majorBidi" w:eastAsiaTheme="majorEastAsia" w:hAnsiTheme="majorBidi" w:cstheme="majorBidi"/>
          <w:bCs/>
        </w:rPr>
        <w:t xml:space="preserve"> </w:t>
      </w:r>
      <w:r>
        <w:rPr>
          <w:rFonts w:asciiTheme="majorBidi" w:eastAsiaTheme="majorEastAsia" w:hAnsiTheme="majorBidi" w:cstheme="majorBidi"/>
          <w:bCs/>
        </w:rPr>
        <w:t>S</w:t>
      </w:r>
      <w:r w:rsidRPr="00FB5DB4">
        <w:rPr>
          <w:rFonts w:asciiTheme="majorBidi" w:eastAsiaTheme="majorEastAsia" w:hAnsiTheme="majorBidi" w:cstheme="majorBidi"/>
          <w:bCs/>
        </w:rPr>
        <w:t xml:space="preserve">ubstantia </w:t>
      </w:r>
      <w:r>
        <w:rPr>
          <w:rFonts w:asciiTheme="majorBidi" w:eastAsiaTheme="majorEastAsia" w:hAnsiTheme="majorBidi" w:cstheme="majorBidi"/>
          <w:bCs/>
        </w:rPr>
        <w:t>N</w:t>
      </w:r>
      <w:r w:rsidRPr="00FB5DB4">
        <w:rPr>
          <w:rFonts w:asciiTheme="majorBidi" w:eastAsiaTheme="majorEastAsia" w:hAnsiTheme="majorBidi" w:cstheme="majorBidi"/>
          <w:bCs/>
        </w:rPr>
        <w:t xml:space="preserve">igra </w:t>
      </w:r>
      <w:r>
        <w:rPr>
          <w:rFonts w:asciiTheme="majorBidi" w:eastAsiaTheme="majorEastAsia" w:hAnsiTheme="majorBidi" w:cstheme="majorBidi"/>
          <w:bCs/>
        </w:rPr>
        <w:t>P</w:t>
      </w:r>
      <w:r w:rsidRPr="00FB5DB4">
        <w:rPr>
          <w:rFonts w:asciiTheme="majorBidi" w:eastAsiaTheme="majorEastAsia" w:hAnsiTheme="majorBidi" w:cstheme="majorBidi"/>
          <w:bCs/>
        </w:rPr>
        <w:t xml:space="preserve">ars </w:t>
      </w:r>
      <w:r>
        <w:rPr>
          <w:rFonts w:asciiTheme="majorBidi" w:eastAsiaTheme="majorEastAsia" w:hAnsiTheme="majorBidi" w:cstheme="majorBidi"/>
          <w:bCs/>
        </w:rPr>
        <w:t>C</w:t>
      </w:r>
      <w:r w:rsidRPr="00FB5DB4">
        <w:rPr>
          <w:rFonts w:asciiTheme="majorBidi" w:eastAsiaTheme="majorEastAsia" w:hAnsiTheme="majorBidi" w:cstheme="majorBidi"/>
          <w:bCs/>
        </w:rPr>
        <w:t>ompacta (</w:t>
      </w:r>
      <w:proofErr w:type="spellStart"/>
      <w:r w:rsidRPr="00FB5DB4">
        <w:rPr>
          <w:rFonts w:asciiTheme="majorBidi" w:eastAsiaTheme="majorEastAsia" w:hAnsiTheme="majorBidi" w:cstheme="majorBidi"/>
          <w:bCs/>
        </w:rPr>
        <w:t>SNc</w:t>
      </w:r>
      <w:proofErr w:type="spellEnd"/>
      <w:r w:rsidRPr="00FB5DB4">
        <w:rPr>
          <w:rFonts w:asciiTheme="majorBidi" w:eastAsiaTheme="majorEastAsia" w:hAnsiTheme="majorBidi" w:cstheme="majorBidi"/>
          <w:bCs/>
        </w:rPr>
        <w:t xml:space="preserve">), </w:t>
      </w:r>
      <w:r>
        <w:rPr>
          <w:rFonts w:asciiTheme="majorBidi" w:eastAsiaTheme="majorEastAsia" w:hAnsiTheme="majorBidi" w:cstheme="majorBidi"/>
          <w:bCs/>
        </w:rPr>
        <w:t>resulting in</w:t>
      </w:r>
      <w:r w:rsidRPr="00FB5DB4">
        <w:rPr>
          <w:rFonts w:asciiTheme="majorBidi" w:eastAsiaTheme="majorEastAsia" w:hAnsiTheme="majorBidi" w:cstheme="majorBidi"/>
          <w:bCs/>
        </w:rPr>
        <w:t xml:space="preserve"> loss of the neurotransmitter dopamine</w:t>
      </w:r>
      <w:r>
        <w:rPr>
          <w:rFonts w:asciiTheme="majorBidi" w:eastAsiaTheme="majorEastAsia" w:hAnsiTheme="majorBidi" w:cstheme="majorBidi"/>
          <w:bCs/>
        </w:rPr>
        <w:t xml:space="preserve"> in the Basal Ganglia, and leading to pathologies in the cortico-striatal circuits</w:t>
      </w:r>
      <w:r>
        <w:rPr>
          <w:rFonts w:asciiTheme="majorBidi" w:eastAsiaTheme="majorEastAsia" w:hAnsiTheme="majorBidi" w:cstheme="majorBidi" w:hint="cs"/>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{"citationID":"RwmnwIhK","properties":{"formattedCitation":"(Dexter &amp; Jenner, 2013; Fahn, 2003; Raza et al., 2019)","plainCitation":"(Dexter &amp; Jenner, 2013; Fahn, 2003; Raza et al., 2019)","noteIndex":0},"citationItems":[{"id":8,"uris":["http://zotero.org/users/9293396/items/W4VH9DXB"],"itemData":{"id":8,"type":"article-journal","abstract":"Parkinson disease (PD) is a complex neurodegenerative disorder with both motor and nonmotor symptoms owing to a spreading process of neuronal loss in the brain. At present, only symptomatic treatment exists and nothing can be done to halt the degenerative process, as its cause remains unclear. Risk factors such as aging, genetic susceptibility, and environmental factors all play a role in the onset of the pathogenic process but how these interlink to cause neuronal loss is not known. There have been major advances in the understanding of mechanisms that contribute to nigral dopaminergic cell death, including mitochondrial dysfunction, oxidative stress, altered protein handling, and inflammation. However, it is not known if the same processes are responsible for neuronal loss in nondopaminergic brain regions. Many of the known mechanisms of cell death are mirrored in toxin-based models of PD, but neuronal loss is rapid and not progressive and limited to dopaminergic cells, and drugs that protect against toxin-induced cell death have not translated into neuroprotective therapies in humans. Gene mutations identified in rare familial forms of PD encode proteins whose functions overlap widely with the known molecular pathways in sporadic disease and these have again expanded our knowledge of the neurodegenerative process but again have so far failed to yield effective models of sporadic disease when translated into animals. We seem to be missing some key parts of the jigsaw, the trigger event starting many years earlier in the disease process, and what we are looking at now is merely part of a downstream process that is the end stage of neuronal death.","collection-title":"Neurodegeneration","container-title":"Free Radical Biology and Medicine","DOI":"10.1016/j.freeradbiomed.2013.01.018","ISSN":"0891-5849","journalAbbreviation":"Free Radical Biology and Medicine","language":"en","page":"132-144","source":"ScienceDirect","title":"Parkinson disease: from pathology to molecular disease mechanisms","title-short":"Parkinson disease","volume":"62","author":[{"family":"Dexter","given":"David T."},{"family":"Jenner","given":"Peter"}],"issued":{"date-parts":[["2013",9,1]]}}},{"id":10,"uris":["http://zotero.org/users/9293396/items/T4987NJD"],"itemData":{"id":10,"type":"article-journal","abstract":"Abstract: Parkinsonism is a clinical syndrome comprising combinations of motor problems—namely, bradykinesia, resting tremor, rigidity, flexed posture, “freezing,” and loss of postural reflexes. Parkinson's disease (PD) is the major cause of parkinsonism. PD is a slowly progressive parkinsonian syndrome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found.","container-title":"Annals of the New York Academy of Sciences","DOI":"10.1111/j.1749-6632.2003.tb07458.x","ISSN":"1749-6632","issue":"1","language":"en","note":"_eprint: https://nyaspubs.onlinelibrary.wiley.com/doi/pdf/10.1111/j.1749-6632.2003.tb07458.x","page":"1-14","source":"Wiley Online Library","title":"Description of Parkinson's Disease as a Clinical Syndrome","volume":"991","author":[{"family":"Fahn","given":"Stanley"}],"issued":{"date-parts":[["2003"]]}}},{"id":257,"uris":["http://zotero.org/users/9293396/items/QQRSB63Y"],"itemData":{"id":257,"type":"article-journal","abstract":"Parkinson's disease is a progressive neurodegenerative disorder. The classical motor symptoms include resting tremors, bradykinesia, rigidity and postural instability and are accompanied by the loss of dopaminergic neurons and Lewy pathology. Diminished neurotransmitter level, oxidative stress, mitochondrial dysfunction and perturbed protein homeostasis over time worsen the disease manifestations in elderly people. Current management strategies aim to provide symptomatic relief and to slow down the disease progression. However, no pharmacological breakthrough has been made to protect dopaminergic neurons and associated motor circuitry components. Deep brain stimulation, stem cells-derived dopaminergic neurons transplantation, gene editing and gene transfer remain promising approaches for the potential management of neurodegenerative disease. Toxin or genetically induced rodent models replicating Parkinson's disease pathology are of high predictive value for translational research. This review addresses the current understanding, management strategies and the Parkinson's disease models for translational research. Preclinical research may provide powerful tools to quest the potential therapeutic and neuroprotective compounds for dopaminergic neurons and hence possible cure for the Parkinson's disease.","container-title":"Life Sciences","DOI":"10.1016/j.lfs.2019.03.057","ISSN":"1879-0631","journalAbbreviation":"Life Sci","language":"eng","note":"PMID: 30980848","page":"77-90","source":"PubMed","title":"Parkinson's disease: Mechanisms, translational models and management strategies","title-short":"Parkinson's disease","volume":"226","author":[{"family":"Raza","given":"Chand"},{"family":"Anjum","given":"Rabia"},{"family":"Shakeel","given":"Noor Ul Ain"}],"issued":{"date-parts":[["2019",6,1]]}}}],"schema":"https://github.com/citation-style-language/schema/raw/master/csl-citation.json"}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(Dexter &amp; Jenner, 2013; Fahn, 2003; Raza et al., 2019)</w:t>
      </w:r>
      <w:r>
        <w:rPr>
          <w:rFonts w:asciiTheme="majorBidi" w:eastAsiaTheme="majorEastAsia" w:hAnsiTheme="majorBidi" w:cstheme="majorBidi"/>
          <w:bCs/>
        </w:rPr>
        <w:fldChar w:fldCharType="end"/>
      </w:r>
      <w:r>
        <w:rPr>
          <w:rFonts w:asciiTheme="majorBidi" w:eastAsiaTheme="majorEastAsia" w:hAnsiTheme="majorBidi" w:cstheme="majorBidi"/>
          <w:bCs/>
        </w:rPr>
        <w:t>.</w:t>
      </w:r>
    </w:p>
    <w:p w14:paraId="70F24F51" w14:textId="56048D00" w:rsidR="003B273A" w:rsidRDefault="003B273A" w:rsidP="00942C40">
      <w:pPr>
        <w:widowControl w:val="0"/>
        <w:jc w:val="left"/>
        <w:rPr>
          <w:rFonts w:asciiTheme="majorBidi" w:eastAsiaTheme="majorEastAsia" w:hAnsiTheme="majorBidi" w:cstheme="majorBidi"/>
          <w:bCs/>
          <w:rtl/>
        </w:rPr>
      </w:pPr>
      <w:r>
        <w:rPr>
          <w:rFonts w:asciiTheme="majorBidi" w:eastAsiaTheme="majorEastAsia" w:hAnsiTheme="majorBidi" w:cstheme="majorBidi"/>
          <w:bCs/>
        </w:rPr>
        <w:t xml:space="preserve"> </w:t>
      </w:r>
      <w:r w:rsidRPr="000D67AF">
        <w:rPr>
          <w:rFonts w:asciiTheme="majorBidi" w:eastAsiaTheme="majorEastAsia" w:hAnsiTheme="majorBidi" w:cstheme="majorBidi"/>
          <w:bCs/>
        </w:rPr>
        <w:t>The</w:t>
      </w:r>
      <w:r>
        <w:rPr>
          <w:rFonts w:asciiTheme="majorBidi" w:eastAsiaTheme="majorEastAsia" w:hAnsiTheme="majorBidi" w:cstheme="majorBidi"/>
          <w:bCs/>
        </w:rPr>
        <w:t xml:space="preserve">re are currently more than </w:t>
      </w:r>
      <w:r w:rsidRPr="000D67AF">
        <w:rPr>
          <w:rFonts w:asciiTheme="majorBidi" w:eastAsiaTheme="majorEastAsia" w:hAnsiTheme="majorBidi" w:cstheme="majorBidi"/>
          <w:bCs/>
        </w:rPr>
        <w:t>6 million individuals</w:t>
      </w:r>
      <w:r>
        <w:rPr>
          <w:rFonts w:asciiTheme="majorBidi" w:eastAsiaTheme="majorEastAsia" w:hAnsiTheme="majorBidi" w:cstheme="majorBidi" w:hint="cs"/>
          <w:bCs/>
        </w:rPr>
        <w:t xml:space="preserve"> </w:t>
      </w:r>
      <w:r>
        <w:rPr>
          <w:rFonts w:asciiTheme="majorBidi" w:eastAsiaTheme="majorEastAsia" w:hAnsiTheme="majorBidi" w:cstheme="majorBidi"/>
          <w:bCs/>
        </w:rPr>
        <w:t>living with PD</w:t>
      </w:r>
      <w:r w:rsidRPr="000D67AF">
        <w:rPr>
          <w:rFonts w:asciiTheme="majorBidi" w:eastAsiaTheme="majorEastAsia" w:hAnsiTheme="majorBidi" w:cstheme="majorBidi"/>
          <w:bCs/>
        </w:rPr>
        <w:t xml:space="preserve"> worldwide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{"citationID":"qvP2uU3r","properties":{"formattedCitation":"(Tolosa et al., 2021)","plainCitation":"(Tolosa et al., 2021)","noteIndex":0},"citationItems":[{"id":110,"uris":["http://zotero.org/users/9293396/items/6HQABFCR"],"itemData":{"id":110,"type":"article-journal","container-title":"The Lancet Neurology","DOI":"10.1016/S1474-4422(21)00030-2","ISSN":"14744422","issue":"5","journalAbbreviation":"The Lancet Neurology","language":"en","page":"385-397","source":"DOI.org (Crossref)","title":"Challenges in the diagnosis of Parkinson's disease","volume":"20","author":[{"family":"Tolosa","given":"Eduardo"},{"family":"Garrido","given":"Alicia"},{"family":"Scholz","given":"Sonja W"},{"family":"Poewe","given":"Werner"}],"issued":{"date-parts":[["2021",5]]}}}],"schema":"https://github.com/citation-style-language/schema/raw/master/csl-citation.json"}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(Tolosa et al., 2021)</w:t>
      </w:r>
      <w:r>
        <w:rPr>
          <w:rFonts w:asciiTheme="majorBidi" w:eastAsiaTheme="majorEastAsia" w:hAnsiTheme="majorBidi" w:cstheme="majorBidi"/>
          <w:bCs/>
        </w:rPr>
        <w:fldChar w:fldCharType="end"/>
      </w:r>
      <w:r>
        <w:rPr>
          <w:rFonts w:asciiTheme="majorBidi" w:eastAsiaTheme="majorEastAsia" w:hAnsiTheme="majorBidi" w:cstheme="majorBidi"/>
          <w:bCs/>
        </w:rPr>
        <w:t>. T</w:t>
      </w:r>
      <w:r w:rsidRPr="00FB5DB4">
        <w:rPr>
          <w:rFonts w:asciiTheme="majorBidi" w:eastAsiaTheme="majorEastAsia" w:hAnsiTheme="majorBidi" w:cstheme="majorBidi"/>
          <w:bCs/>
        </w:rPr>
        <w:t xml:space="preserve">he most significant risk factor </w:t>
      </w:r>
      <w:r>
        <w:rPr>
          <w:rFonts w:asciiTheme="majorBidi" w:eastAsiaTheme="majorEastAsia" w:hAnsiTheme="majorBidi" w:cstheme="majorBidi"/>
          <w:bCs/>
        </w:rPr>
        <w:t xml:space="preserve">is age and with the world population aging, the number of individuals with the disorder is expected to increase in the coming years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{"citationID":"7aoJMQ2q","properties":{"formattedCitation":"(Dorsey et al., 2007; Elbaz et al., 2016)","plainCitation":"(Dorsey et al., 2007; Elbaz et al., 2016)","noteIndex":0},"citationItems":[{"id":17,"uris":["http://zotero.org/users/9293396/items/VPWMPW7R"],"itemData":{"id":17,"type":"article-journal","abstract":"Based on published prevalence studies, we used two different methodologies to project the number of individuals with Parkinson disease (PD) in Western Europe’s 5 most and the world’s 10 most populous nations. The number of individuals with PD over age 50 in these countries was between 4.1 and 4.6 million in 2005 and will double to between 8.7 and 9.3 million by 2030.","container-title":"Neurology","DOI":"10.1212/01.wnl.0000247740.47667.03","ISSN":"0028-3878, 1526-632X","issue":"5","language":"en","license":"© 2007","note":"publisher: Wolters Kluwer Health, Inc. on behalf of the American Academy of Neurology\nsection: Articles\nPMID: 17082464","page":"384-386","source":"n.neurology.org","title":"Projected number of people with Parkinson disease in the most populous nations, 2005 through 2030","volume":"68","author":[{"family":"Dorsey","given":"E. R."},{"family":"Constantinescu","given":"R."},{"family":"Thompson","given":"J. P."},{"family":"Biglan","given":"K. M."},{"family":"Holloway","given":"R. G."},{"family":"Kieburtz","given":"K."},{"family":"Marshall","given":"F. J."},{"family":"Ravina","given":"B. M."},{"family":"Schifitto","given":"G."},{"family":"Siderowf","given":"A."},{"family":"Tanner","given":"C. M."}],"issued":{"date-parts":[["2007",1,30]]}}},{"id":16,"uris":["http://zotero.org/users/9293396/items/GJDUN2AN"],"itemData":{"id":16,"type":"article-journal","container-title":"Revue Neurologique","DOI":"10.1016/j.neurol.2015.09.012","ISSN":"00353787","issue":"1","journalAbbreviation":"Revue Neurologique","language":"en","page":"14-26","source":"DOI.org (Crossref)","title":"Epidemiology of Parkinson's disease","volume":"172","author":[{"family":"Elbaz","given":"A."},{"family":"Carcaillon","given":"L."},{"family":"Kab","given":"S."},{"family":"Moisan","given":"F."}],"issued":{"date-parts":[["2016",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(Dorsey et al., 2007; Elbaz et al., 2016)</w:t>
      </w:r>
      <w:r>
        <w:rPr>
          <w:rFonts w:asciiTheme="majorBidi" w:eastAsiaTheme="majorEastAsia" w:hAnsiTheme="majorBidi" w:cstheme="majorBidi"/>
          <w:bCs/>
        </w:rPr>
        <w:fldChar w:fldCharType="end"/>
      </w:r>
      <w:r>
        <w:rPr>
          <w:rFonts w:asciiTheme="majorBidi" w:eastAsiaTheme="majorEastAsia" w:hAnsiTheme="majorBidi" w:cstheme="majorBidi"/>
          <w:bCs/>
        </w:rPr>
        <w:t xml:space="preserve">. The incidence of PD is higher among men than among women </w:t>
      </w:r>
      <w:r w:rsidRPr="00EC4B92">
        <w:rPr>
          <w:rFonts w:asciiTheme="majorBidi" w:eastAsiaTheme="majorEastAsia" w:hAnsiTheme="majorBidi" w:cstheme="majorBidi"/>
          <w:bCs/>
        </w:rPr>
        <w:t>with a ratio of 1.5: 1 when they are from a European country of origin</w:t>
      </w:r>
      <w:r w:rsidR="00DF4FEA">
        <w:rPr>
          <w:rFonts w:asciiTheme="majorBidi" w:eastAsiaTheme="majorEastAsia" w:hAnsiTheme="majorBidi" w:cstheme="majorBidi"/>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{"citationID":"VcwRemAW","properties":{"formattedCitation":"(Blauwendraat et al., 2021; Dorsey et al., 2018; Moisan et al., 2016)","plainCitation":"(Blauwendraat et al., 2021; Dorsey et al., 2018; Moisan et al., 2016)","noteIndex":0},"citationItems":[{"id":139,"uris":["http://zotero.org/users/9293396/items/W74UCIQH"],"itemData":{"id":139,"type":"article-journal","abstract":"Objective\nParkinson's disease (PD) is a complex neurodegenerative disorder. Men are on average ~ 1.5 times more likely to develop PD compared to women with European ancestry. Over the years, genomewide association studies (GWAS) have identified numerous genetic risk factors for PD, however, it is unclear whether genetics contribute to disease etiology in a sex‐specific manner.\n\nMethods\nIn an effort to study sex‐specific genetic factors associated with PD, we explored 2 large genetic datasets from the International Parkinson's Disease Genomics Consortium and the UK Biobank consisting of 13,020 male PD cases, 7,936 paternal proxy cases, 89,660 male controls, 7,947 female PD cases, 5,473 maternal proxy cases, and 90,662 female controls. We performed GWAS meta‐analyses to identify distinct patterns of genetic risk contributing to disease in male versus female PD cases.\n\nResults\nIn total, 19 genomewide significant regions were identified and no sex‐specific effects were observed. A high genetic correlation between the male and female PD GWAS were identified (rg = 0.877) and heritability estimates were identical between male and female PD cases (~ 20%).\n\nInterpretation\nWe did not detect any significant genetic differences between male or female PD cases. Our study does not support the notion that common genetic variation on the autosomes could explain the difference in prevalence of PD between males and females cases at least when considering the current sample size under study. Further studies are warranted to investigate the genetic architecture of PD explained by X and Y chromosomes and further evaluate environmental effects that could potentially contribute to PD etiology in male versus female patients. ANN NEUROL 2021;90:41–48","container-title":"Annals of Neurology","DOI":"10.1002/ana.26090","ISSN":"0364-5134","issue":"1","journalAbbreviation":"Ann Neurol","note":"PMID: 33901317\nPMCID: PMC8422907","page":"35-42","source":"PubMed Central","title":"Investigation of Autosomal Genetic Sex Differences in Parkinson's Disease","volume":"90","author":[{"family":"Blauwendraat","given":"Cornelis"},{"family":"Iwaki","given":"Hirotaka"},{"family":"Makarious","given":"Mary B."},{"family":"Bandres‐Ciga","given":"Sara"},{"family":"Leonard","given":"Hampton L."},{"family":"Grenn","given":"Francis P."},{"family":"Lake","given":"Julie"},{"family":"Krohn","given":"Lynne"},{"family":"Tan","given":"Manuela"},{"family":"Kim","given":"Jonggeol J."},{"family":"Gibbs","given":"Jesse R."},{"family":"Hernandez","given":"Dena G."},{"family":"Ruskey","given":"Jennifer A."},{"family":"Pihlstrøm","given":"Lasse"},{"family":"Toft","given":"Mathias"},{"family":"Hilten","given":"Jacobus J.","non-dropping-particle":"van"},{"family":"Marinus","given":"Johan"},{"family":"Schulte","given":"Claudia"},{"family":"Brockmann","given":"Kathrin"},{"family":"Sharma","given":"Manu"},{"family":"Siitonen","given":"Ari"},{"family":"Majamaa","given":"Kari"},{"family":"Eerola‐Rautio","given":"Johanna"},{"family":"Tienari","given":"Pentti J."},{"family":"Grosset","given":"Donald G."},{"family":"Lesage","given":"Suzanne"},{"family":"Corvol","given":"Jean‐Christophe"},{"family":"Brice","given":"Alexis"},{"family":"Wood","given":"Nick"},{"family":"Hardy","given":"John"},{"family":"Gan‐Or","given":"Ziv"},{"family":"Heutink","given":"Peter"},{"family":"Gasser","given":"Thomas"},{"family":"Morris","given":"Huw R."},{"family":"Noyce","given":"Alastair J."},{"family":"Nalls","given":"Mike A."},{"family":"Singleton","given":"Andrew B."}],"issued":{"date-parts":[["2021",7]]}}},{"id":21,"uris":["http://zotero.org/users/9293396/items/EC4FQHHR"],"itemData":{"id":21,"type":"article-journal","abstract":"Background Neurological disorders are now the leading source of disability globally, and ageing is increasing the burden of neurodegenerative disorders, including Parkinson’s disease. We aimed to determine the global burden of Parkinson’s disease between 1990 and 2016 to identify trends and to enable appropriate public health, medical, and scientific responses.","container-title":"The Lancet Neurology","DOI":"10.1016/S1474-4422(18)30295-3","ISSN":"14744422","issue":"11","journalAbbreviation":"The Lancet Neurology","language":"en","page":"939-953","source":"DOI.org (Crossref)","title":"Global, regional, and national burden of Parkinson's disease, 1990–2016: a systematic analysis for the Global Burden of Disease Study 2016","title-short":"Global, regional, and national burden of Parkinson's disease, 1990–2016","volume":"17","author":[{"family":"Dorsey","given":"E. Ray"},{"family":"Elbaz","given":"Alexis"},{"family":"Nichols","given":"Emma"},{"family":"Abbasi","given":"Nooshin"},{"family":"Abd-Allah","given":"Foad"},{"family":"Abdelalim","given":"Ahmed"},{"family":"Adsuar","given":"Jose C."},{"family":"Ansha","given":"Mustafa Geleto"},{"family":"Brayne","given":"Carol"},{"family":"Choi","given":"Jee-Young J"},{"family":"Collado-Mateo","given":"Daniel"},{"family":"Dahodwala","given":"Nabila"},{"family":"Do","given":"Huyen Phuc"},{"family":"Edessa","given":"Dumessa"},{"family":"Endres","given":"Matthias"},{"family":"Fereshtehnejad","given":"Seyed-Mohammad"},{"family":"Foreman","given":"Kyle J"},{"family":"Gankpe","given":"Fortune Gbetoho"},{"family":"Gupta","given":"Rahul"},{"family":"Hamidi","given":"Samer"},{"family":"Hankey","given":"Graeme J."},{"family":"Hay","given":"Simon I."},{"family":"Hegazy","given":"Mohamed I"},{"family":"Hibstu","given":"Desalegn T."},{"family":"Kasaeian","given":"Amir"},{"family":"Khader","given":"Yousef"},{"family":"Khalil","given":"Ibrahim"},{"family":"Khang","given":"Young-Ho"},{"family":"Kim","given":"Yun Jin"},{"family":"Kokubo","given":"Yoshihiro"},{"family":"Logroscino","given":"Giancarlo"},{"family":"Massano","given":"João"},{"family":"Mohamed Ibrahim","given":"Norlinah"},{"family":"Mohammed","given":"Mohammed A."},{"family":"Mohammadi","given":"Alireza"},{"family":"Moradi-Lakeh","given":"Maziar"},{"family":"Naghavi","given":"Mohsen"},{"family":"Nguyen","given":"Binh Thanh"},{"family":"Nirayo","given":"Yirga Legesse"},{"family":"Ogbo","given":"Felix Akpojene"},{"family":"Owolabi","given":"Mayowa Ojo"},{"family":"Pereira","given":"David M."},{"family":"Postma","given":"Maarten J"},{"family":"Qorbani","given":"Mostafa"},{"family":"Rahman","given":"Muhammad Aziz"},{"family":"Roba","given":"Kedir T."},{"family":"Safari","given":"Hosein"},{"family":"Safiri","given":"Saeid"},{"family":"Satpathy","given":"Maheswar"},{"family":"Sawhney","given":"Monika"},{"family":"Shafieesabet","given":"Azadeh"},{"family":"Shiferaw","given":"Mekonnen Sisay"},{"family":"Smith","given":"Mari"},{"family":"Szoeke","given":"Cassandra E I"},{"family":"Tabarés-Seisdedos","given":"Rafael"},{"family":"Truong","given":"Nu Thi"},{"family":"Ukwaja","given":"Kingsley Nnanna"},{"family":"Venketasubramanian","given":"Narayanaswamy"},{"family":"Villafaina","given":"Santos"},{"family":"weldegwergs","given":"Kidu","dropping-particle":"gidey"},{"family":"Westerman","given":"Ronny"},{"family":"Wijeratne","given":"Tissa"},{"family":"Winkler","given":"Andrea S."},{"family":"Xuan","given":"Bach Tran"},{"family":"Yonemoto","given":"Naohiro"},{"family":"Feigin","given":"Valery L"},{"family":"Vos","given":"Theo"},{"family":"Murray","given":"Christopher J L"}],"issued":{"date-parts":[["2018",11]]}}},{"id":137,"uris":["http://zotero.org/users/9293396/items/N793GMER"],"itemData":{"id":137,"type":"article-journal","abstract":"Background Parkinson’s disease (PD) is 1.5 times more frequent in men than women. Whether age modiﬁes this ratio is unclear. We examined whether male-to-female (M–F) ratios change with age through a French nationwide prevalence/incidence study (2010) and a meta-analysis of incidence studies.\nMethods We used French national drug claims databases to identify PD cases using a validated algorithm. We computed M–F prevalence/incidence ratios overall and by age using Poisson regression. Ratios were regressed on age to estimate their annual change. We identiﬁed all PD incidence studies with age/sexspeciﬁc data, and performed a meta-analysis of M–F ratios.\nResults On the basis of 149 672 prevalent (50% women) and 25 438 incident (49% women) cases, agestandardised rates were higher in men ( prevalence=2.865/1000; incidence=0.490/1000 person-years) than women ( prevalence=1.934/1000; incidence=0.328/1000 person-years). The overall M–F ratio was 1.48 for prevalence and 1.49 for incidence. Prevalence and incidence M–F ratios increased by 0.05 and 0.14, respectively, per 10 years of age. Incidence was similar in men and women under 50 years (M–F ratio &lt;1.2, p&gt;0.20), and over 1.6 ( p&lt;0.001) times higher in men than women above 80 years ( p trend &lt;0.001). A meta-analysis of 22 incidence studies (14 126 cases, 46% women) conﬁrmed that M– F ratios increased with age (0.26 per 10 years, p trend=0.005).\nConclusions Age-increasing M–F ratios suggest that PD aetiology changes with age. Sex-related risk/ protective factors may play a different role across the continuum of age at onset. This ﬁnding may inform aetiological PD research.","container-title":"Journal of Neurology, Neurosurgery &amp; Psychiatry","DOI":"10.1136/jnnp-2015-312283","ISSN":"0022-3050, 1468-330X","issue":"9","journalAbbreviation":"J Neurol Neurosurg Psychiatry","language":"en","page":"952-957","source":"DOI.org (Crossref)","title":"Parkinson disease male-to-female ratios increase with age: French nationwide study and meta-analysis","title-short":"Parkinson disease male-to-female ratios increase with age","volume":"87","author":[{"family":"Moisan","given":"Frédéric"},{"family":"Kab","given":"Sofiane"},{"family":"Mohamed","given":"Fatima"},{"family":"Canonico","given":"Marianne"},{"family":"Le Guern","given":"Morgane"},{"family":"Quintin","given":"Cécile"},{"family":"Carcaillon","given":"Laure"},{"family":"Nicolau","given":"Javier"},{"family":"Duport","given":"Nicolas"},{"family":"Singh-Manoux","given":"Archana"},{"family":"Boussac-Zarebska","given":"Marjorie"},{"family":"Elbaz","given":"Alexis"}],"issued":{"date-parts":[["2016",9]]}}}],"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w:t>
      </w:r>
      <w:proofErr w:type="spellStart"/>
      <w:r w:rsidR="00942C40" w:rsidRPr="00942C40">
        <w:rPr>
          <w:rFonts w:eastAsiaTheme="majorEastAsia"/>
        </w:rPr>
        <w:t>Blauwendraat</w:t>
      </w:r>
      <w:proofErr w:type="spellEnd"/>
      <w:r w:rsidR="00942C40" w:rsidRPr="00942C40">
        <w:rPr>
          <w:rFonts w:eastAsiaTheme="majorEastAsia"/>
        </w:rPr>
        <w:t xml:space="preserve"> et al., 2021; Dorsey et al., 2018; Moisan et al., 2016)</w:t>
      </w:r>
      <w:r>
        <w:rPr>
          <w:rFonts w:asciiTheme="majorBidi" w:eastAsiaTheme="majorEastAsia" w:hAnsiTheme="majorBidi" w:cstheme="majorBidi"/>
          <w:bCs/>
        </w:rPr>
        <w:fldChar w:fldCharType="end"/>
      </w:r>
      <w:r>
        <w:rPr>
          <w:rFonts w:asciiTheme="majorBidi" w:eastAsiaTheme="majorEastAsia" w:hAnsiTheme="majorBidi" w:cstheme="majorBidi"/>
          <w:bCs/>
        </w:rPr>
        <w:t>. Factors such as</w:t>
      </w:r>
      <w:r w:rsidRPr="00FB5DB4">
        <w:rPr>
          <w:rFonts w:asciiTheme="majorBidi" w:eastAsiaTheme="majorEastAsia" w:hAnsiTheme="majorBidi" w:cstheme="majorBidi"/>
          <w:bCs/>
        </w:rPr>
        <w:t xml:space="preserve"> </w:t>
      </w:r>
      <w:r>
        <w:rPr>
          <w:rFonts w:asciiTheme="majorBidi" w:eastAsiaTheme="majorEastAsia" w:hAnsiTheme="majorBidi" w:cstheme="majorBidi"/>
          <w:bCs/>
        </w:rPr>
        <w:t xml:space="preserve">head trauma, smoking and the </w:t>
      </w:r>
      <w:r w:rsidRPr="00FB5DB4">
        <w:rPr>
          <w:rFonts w:asciiTheme="majorBidi" w:eastAsiaTheme="majorEastAsia" w:hAnsiTheme="majorBidi" w:cstheme="majorBidi"/>
          <w:bCs/>
        </w:rPr>
        <w:t>exposure to chemicals such as pesticides and metals</w:t>
      </w:r>
      <w:r>
        <w:rPr>
          <w:rFonts w:asciiTheme="majorBidi" w:eastAsiaTheme="majorEastAsia" w:hAnsiTheme="majorBidi" w:cstheme="majorBidi"/>
          <w:bCs/>
        </w:rPr>
        <w:t xml:space="preserve"> make individuals more prone to developing PD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{"citationID":"qLnfLj0F","properties":{"formattedCitation":"(Pezzoli &amp; Cereda, 2013; Rocca, 2018)","plainCitation":"(Pezzoli &amp; Cereda, 2013; Rocca, 2018)","noteIndex":0},"citationItems":[{"id":23,"uris":["http://zotero.org/users/9293396/items/VVZXI6VL"],"itemData":{"id":23,"type":"article-journal","abstract":"Objective: To investigate the risk of Parkinson disease (PD) associated with exposure to pesticides and solvents using meta-analyses of data from cohort and case-control studies.\nMethods: Prospective cohort and case-control studies providing risk and precision estimates relating PD to exposure to pesticides or solvents or to proxies of exposure were considered eligible. The heterogeneity in risk estimates associated with objective study quality was also investigated.\nResults: A total of 104 studies/3,087 citations fulfilled inclusion criteria for meta-analysis. In prospective studies, study quality was not a source of heterogeneity. PD was associated with farming and the association with pesticides was highly significant in the studies in which PD diagnosis was self-reported. In case-control studies, study quality appeared to be a source of heterogeneity in risk estimates for some exposures. Higher study quality was frequently associated with a reduction in heterogeneity. In high-quality case-control studies, PD risk was increased by exposure to any-type pesticides, herbicides, and solvents. Exposure to paraquat or maneb/mancozeb was associated with about a 2-fold increase in risk. In high-quality case-control studies including an appreciable number of cases (.200), heterogeneity remained significantly high (.40%) only for insecticides, organochlorines, organophosphates, and farming; also, the risk associated with rural living was found to be significant.\nConclusions: The literature supports the hypothesis that exposure to pesticides or solvents is a risk factor for PD. Further prospective and high-quality case-control studies are required to substantiate a cause-effect relationship. The studies should also focus on specific chemical agents. Neurologyâ 2013;80:2035–2041","container-title":"Neurology","DOI":"10.1212/WNL.0b013e318294b3c8","ISSN":"0028-3878, 1526-632X","issue":"22","journalAbbreviation":"Neurology","language":"en","page":"2035-2041","source":"DOI.org (Crossref)","title":"Exposure to pesticides or solvents and risk of Parkinson disease","volume":"80","author":[{"family":"Pezzoli","given":"G."},{"family":"Cereda","given":"E."}],"issued":{"date-parts":[["2013",5,28]]}}},{"id":260,"uris":["http://zotero.org/users/9293396/items/YBK6CEXL"],"itemData":{"id":260,"type":"article-journal","container-title":"The Lancet Neurology","DOI":"10.1016/S1474-4422(18)30355-7","ISSN":"14744422","issue":"11","journalAbbreviation":"The Lancet Neurology","language":"en","page":"928-929","source":"DOI.org (Crossref)","title":"The burden of Parkinson's disease: a worldwide perspective","title-short":"The burden of Parkinson's disease","volume":"17","author":[{"family":"Rocca","given":"Walter A"}],"issued":{"date-parts":[["2018",11]]}}}],"schema":"https://github.com/citation-style-language/schema/raw/master/csl-citation.json"}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(Pezzoli &amp; Cereda, 2013; Rocca, 2018)</w:t>
      </w:r>
      <w:r>
        <w:rPr>
          <w:rFonts w:asciiTheme="majorBidi" w:eastAsiaTheme="majorEastAsia" w:hAnsiTheme="majorBidi" w:cstheme="majorBidi"/>
          <w:bCs/>
        </w:rPr>
        <w:fldChar w:fldCharType="end"/>
      </w:r>
      <w:r>
        <w:rPr>
          <w:rFonts w:asciiTheme="majorBidi" w:eastAsiaTheme="majorEastAsia" w:hAnsiTheme="majorBidi" w:cstheme="majorBidi"/>
          <w:bCs/>
        </w:rPr>
        <w:t>.</w:t>
      </w:r>
    </w:p>
    <w:p w14:paraId="1AD9D3C9" w14:textId="070EC591" w:rsidR="003B273A" w:rsidRDefault="003B273A" w:rsidP="00942C40">
      <w:pPr>
        <w:widowControl w:val="0"/>
        <w:jc w:val="left"/>
      </w:pPr>
      <w:r w:rsidRPr="009B0D31">
        <w:rPr>
          <w:rFonts w:asciiTheme="majorBidi" w:eastAsiaTheme="majorEastAsia" w:hAnsiTheme="majorBidi" w:cstheme="majorBidi"/>
          <w:bCs/>
        </w:rPr>
        <w:t xml:space="preserve">The disease is manifested in a variety of </w:t>
      </w:r>
      <w:r>
        <w:rPr>
          <w:rFonts w:asciiTheme="majorBidi" w:eastAsiaTheme="majorEastAsia" w:hAnsiTheme="majorBidi" w:cstheme="majorBidi"/>
          <w:bCs/>
        </w:rPr>
        <w:t xml:space="preserve">motor and non-motor </w:t>
      </w:r>
      <w:r w:rsidRPr="009B0D31">
        <w:rPr>
          <w:rFonts w:asciiTheme="majorBidi" w:eastAsiaTheme="majorEastAsia" w:hAnsiTheme="majorBidi" w:cstheme="majorBidi"/>
          <w:bCs/>
        </w:rPr>
        <w:t>symptoms</w:t>
      </w:r>
      <w:r>
        <w:rPr>
          <w:rFonts w:asciiTheme="majorBidi" w:eastAsiaTheme="majorEastAsia" w:hAnsiTheme="majorBidi" w:cstheme="majorBidi" w:hint="cs"/>
          <w:bCs/>
          <w:rtl/>
        </w:rPr>
        <w:t xml:space="preserve"> </w:t>
      </w:r>
      <w:r w:rsidRPr="00FB5DB4">
        <w:rPr>
          <w:rFonts w:asciiTheme="majorBidi" w:eastAsiaTheme="majorEastAsia" w:hAnsiTheme="majorBidi" w:cstheme="majorBidi"/>
          <w:bCs/>
        </w:rPr>
        <w:t>such as tremors, bradykinesia</w:t>
      </w:r>
      <w:r>
        <w:rPr>
          <w:rFonts w:asciiTheme="majorBidi" w:eastAsiaTheme="majorEastAsia" w:hAnsiTheme="majorBidi" w:cstheme="majorBidi" w:hint="cs"/>
          <w:bCs/>
          <w:rtl/>
        </w:rPr>
        <w:t xml:space="preserve"> </w:t>
      </w:r>
      <w:r w:rsidRPr="00D556AB">
        <w:rPr>
          <w:rFonts w:asciiTheme="majorBidi" w:eastAsiaTheme="majorEastAsia" w:hAnsiTheme="majorBidi" w:cstheme="majorBidi"/>
          <w:bCs/>
        </w:rPr>
        <w:t>(</w:t>
      </w:r>
      <w:r>
        <w:t>slowness in movement</w:t>
      </w:r>
      <w:r>
        <w:rPr>
          <w:rFonts w:asciiTheme="majorBidi" w:eastAsiaTheme="majorEastAsia" w:hAnsiTheme="majorBidi" w:cstheme="majorBidi"/>
          <w:bCs/>
        </w:rPr>
        <w:t>),</w:t>
      </w:r>
      <w:r w:rsidRPr="00FB5DB4">
        <w:rPr>
          <w:rFonts w:asciiTheme="majorBidi" w:eastAsiaTheme="majorEastAsia" w:hAnsiTheme="majorBidi" w:cstheme="majorBidi"/>
          <w:bCs/>
        </w:rPr>
        <w:t xml:space="preserve"> sleep disorders</w:t>
      </w:r>
      <w:r>
        <w:rPr>
          <w:rFonts w:asciiTheme="majorBidi" w:eastAsiaTheme="majorEastAsia" w:hAnsiTheme="majorBidi" w:cstheme="majorBidi"/>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{"citationID":"j8SIvLQL","properties":{"formattedCitation":"(Bloem et al., 2021; Jankovic, 2008)","plainCitation":"(Bloem et al., 2021; Jankovic, 2008)","noteIndex":0},"citationItems":[{"id":14,"uris":["http://zotero.org/users/9293396/items/RPID2WGM"],"itemData":{"id":14,"type":"article-journal","container-title":"The Lancet","DOI":"10.1016/S0140-6736(21)00218-X","ISSN":"01406736","issue":"10291","journalAbbreviation":"The Lancet","language":"en","page":"2284-2303","source":"DOI.org (Crossref)","title":"Parkinson's disease","volume":"397","author":[{"family":"Bloem","given":"Bastiaan R"},{"family":"Okun","given":"Michael S"},{"family":"Klein","given":"Christine"}],"issued":{"date-parts":[["2021",6]]}}},{"id":12,"uris":["http://zotero.org/users/9293396/items/9HT2S4HE"],"itemData":{"id":12,"type":"article-journal","abstract":"Objective: Parkinson’s disease (PD) is a progressive neurological disorder characterised by a large number of motor and non-motor features that can impact on function to a variable degree. This review describes the clinical characteristics of PD with emphasis on those features that differentiate the disease from other parkinsonian disorders.\nMethods: A MedLine search was performed to identify studies that assess the clinical characteristics of PD. Search terms included ‘‘Parkinson’s disease’’, ‘‘diagnosis’’ and ‘‘signs and symptoms’’.\nResults: Because there is no definitive test for the diagnosis of PD, the disease must be diagnosed based on clinical criteria. Rest tremor, bradykinesia, rigidity and loss of postural reflexes are generally considered the cardinal signs of PD. The presence and specific presentation of these features are used to differentiate PD from related parkinsonian disorders. Other clinical features include secondary motor symptoms (eg, hypomimia, dysarthria, dysphagia, sialorrhoea, micrographia, shuffling gait, festination, freezing, dystonia, glabellar reflexes), nonmotor symptoms (eg, autonomic dysfunction, cognitive/ neurobehavioral abnormalities, sleep disorders and sensory abnormalities such as anosmia, paresthesias and pain). Absence of rest tremor, early occurrence of gait difficulty, postural instability, dementia, hallucinations, and the presence of dysautonomia, ophthalmoparesis, ataxia and other atypical features, coupled with poor or no response to levodopa, suggest diagnoses other than PD.\nConclusions: A thorough understanding of the broad spectrum of clinical manifestations of PD is essential to the proper diagnosis of the disease. Genetic mutations or variants, neuroimaging abnormalities and other tests are potential biomarkers that may improve diagnosis and allow the identification of persons at risk.","container-title":"Journal of Neurology, Neurosurgery &amp; Psychiatry","DOI":"10.1136/jnnp.2007.131045","ISSN":"0022-3050","issue":"4","journalAbbreviation":"Journal of Neurology, Neurosurgery &amp; Psychiatry","language":"en","page":"368-376","source":"DOI.org (Crossref)","title":"Parkinson's disease: clinical features and diagnosis","title-short":"Parkinson's disease","volume":"79","author":[{"family":"Jankovic","given":"J"}],"issued":{"date-parts":[["2008",4,1]]}}}],"schema":"https://github.com/citation-style-language/schema/raw/master/csl-citation.json"}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(Bloem et al., 2021; Jankovic, 2008)</w:t>
      </w:r>
      <w:r>
        <w:rPr>
          <w:rFonts w:asciiTheme="majorBidi" w:eastAsiaTheme="majorEastAsia" w:hAnsiTheme="majorBidi" w:cstheme="majorBidi"/>
          <w:bCs/>
        </w:rPr>
        <w:fldChar w:fldCharType="end"/>
      </w:r>
      <w:r>
        <w:rPr>
          <w:rFonts w:asciiTheme="majorBidi" w:eastAsiaTheme="majorEastAsia" w:hAnsiTheme="majorBidi" w:cstheme="majorBidi"/>
          <w:bCs/>
        </w:rPr>
        <w:t xml:space="preserve">, </w:t>
      </w:r>
      <w:r w:rsidRPr="009B0D31">
        <w:rPr>
          <w:rFonts w:asciiTheme="majorBidi" w:eastAsiaTheme="majorEastAsia" w:hAnsiTheme="majorBidi" w:cstheme="majorBidi"/>
          <w:bCs/>
        </w:rPr>
        <w:t>olfactory deficits,</w:t>
      </w:r>
      <w:r>
        <w:rPr>
          <w:rFonts w:asciiTheme="majorBidi" w:eastAsiaTheme="majorEastAsia" w:hAnsiTheme="majorBidi" w:cstheme="majorBidi"/>
          <w:bCs/>
        </w:rPr>
        <w:t xml:space="preserve"> and </w:t>
      </w:r>
      <w:r w:rsidRPr="009B0D31">
        <w:rPr>
          <w:rFonts w:asciiTheme="majorBidi" w:eastAsiaTheme="majorEastAsia" w:hAnsiTheme="majorBidi" w:cstheme="majorBidi"/>
          <w:bCs/>
        </w:rPr>
        <w:t>visual changes</w:t>
      </w:r>
      <w:r>
        <w:rPr>
          <w:rFonts w:asciiTheme="majorBidi" w:eastAsiaTheme="majorEastAsia" w:hAnsiTheme="majorBidi" w:cstheme="majorBidi"/>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{"citationID":"kQavVQ7D","properties":{"formattedCitation":"(Postuma et al., 2012)","plainCitation":"(Postuma et al., 2012)","noteIndex":0},"citationItems":[{"id":26,"uris":["http://zotero.org/users/9293396/items/3W2937A6"],"itemData":{"id":26,"type":"article-journal","abstract":"Increasing recognition that Parkinson's disease (PD) may start outside of the substantia nigra has led to a rapidly expanding effort to define prodromal stages of PD, before motor signs permit classical diagnosis. Many of these efforts center around the identification of clinical non-motor symptoms and signs of disease. There is now direct evidence that olfaction, rapid eye movement (REM) sleep behavior disorder (RBD), constipation, and depression can be present in prodromal PD. In addition, there is suggestive evidence that visual changes, other autonomic symptoms, and subtle cognitive changes may also be present at prodromal stages. A critical issue in utility of these prodromal markers will be assessment of sensitivity, specificity, and positive and negative predictive values. Although these have yet to be fully defined, olfactory deficits, some visual changes, and autonomic symptoms occur in the majority of PD patients at diagnosis, suggesting good potential sensitivity. However, with the exception of RBD and perhaps some specific autonomic measures, specificity, and positive predictive value of these markers may be insufficient to be used alone as identifiers of prodromal disease. The evidence for the utility of olfaction, RBD, autonomic markers, visual changes, mood disorders, and cognitive loss as markers of prodromal PD and the potential sensitivity and specificity of these markers are summarized. © 2012 Movement Disorder Society","container-title":"Movement Disorders","DOI":"10.1002/mds.24996","ISSN":"1531-8257","issue":"5","language":"en","note":"_eprint: https://movementdisorders.onlinelibrary.wiley.com/doi/pdf/10.1002/mds.24996","page":"617-626","source":"Wiley Online Library","title":"Identifying prodromal Parkinson's disease: Pre-Motor disorders in Parkinson's disease","title-short":"Identifying prodromal Parkinson's disease","volume":"27","author":[{"family":"Postuma","given":"Ronald B."},{"family":"Aarsland","given":"Dag"},{"family":"Barone","given":"Paolo"},{"family":"Burn","given":"David J."},{"family":"Hawkes","given":"Christopher H."},{"family":"Oertel","given":"Wolfgang"},{"family":"Ziemssen","given":"Tjalf"}],"issued":{"date-parts":[["2012"]]}}}],"schema":"https://github.com/citation-style-language/schema/raw/master/csl-citation.json"}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(Postuma et al., 2012)</w:t>
      </w:r>
      <w:r>
        <w:rPr>
          <w:rFonts w:asciiTheme="majorBidi" w:eastAsiaTheme="majorEastAsia" w:hAnsiTheme="majorBidi" w:cstheme="majorBidi"/>
          <w:bCs/>
        </w:rPr>
        <w:fldChar w:fldCharType="end"/>
      </w:r>
      <w:r>
        <w:rPr>
          <w:rFonts w:asciiTheme="majorBidi" w:eastAsiaTheme="majorEastAsia" w:hAnsiTheme="majorBidi" w:cstheme="majorBidi"/>
          <w:bCs/>
        </w:rPr>
        <w:t>.</w:t>
      </w:r>
      <w:r>
        <w:rPr>
          <w:rFonts w:asciiTheme="majorBidi" w:eastAsiaTheme="majorEastAsia" w:hAnsiTheme="majorBidi" w:cstheme="majorBidi" w:hint="cs"/>
          <w:bCs/>
          <w:rtl/>
        </w:rPr>
        <w:t xml:space="preserve"> </w:t>
      </w:r>
      <w:r w:rsidRPr="00E22A30">
        <w:rPr>
          <w:rFonts w:asciiTheme="majorBidi" w:eastAsiaTheme="majorEastAsia" w:hAnsiTheme="majorBidi" w:cstheme="majorBidi"/>
          <w:bCs/>
        </w:rPr>
        <w:t xml:space="preserve">These and other symptoms </w:t>
      </w:r>
      <w:r w:rsidRPr="006C25D9">
        <w:rPr>
          <w:rFonts w:asciiTheme="majorBidi" w:eastAsiaTheme="majorEastAsia" w:hAnsiTheme="majorBidi" w:cstheme="majorBidi"/>
          <w:bCs/>
          <w:lang w:val="en-CA"/>
        </w:rPr>
        <w:lastRenderedPageBreak/>
        <w:t>b</w:t>
      </w:r>
      <w:r>
        <w:rPr>
          <w:rFonts w:asciiTheme="majorBidi" w:eastAsiaTheme="majorEastAsia" w:hAnsiTheme="majorBidi" w:cstheme="majorBidi"/>
          <w:bCs/>
          <w:lang w:val="en-CA"/>
        </w:rPr>
        <w:t xml:space="preserve">ecome more detrimental </w:t>
      </w:r>
      <w:r w:rsidRPr="00E22A30">
        <w:rPr>
          <w:rFonts w:asciiTheme="majorBidi" w:eastAsiaTheme="majorEastAsia" w:hAnsiTheme="majorBidi" w:cstheme="majorBidi"/>
          <w:bCs/>
        </w:rPr>
        <w:t xml:space="preserve">with the </w:t>
      </w:r>
      <w:r>
        <w:rPr>
          <w:rFonts w:cstheme="minorHAnsi"/>
        </w:rPr>
        <w:t xml:space="preserve">progression </w:t>
      </w:r>
      <w:r w:rsidRPr="00E22A30">
        <w:rPr>
          <w:rFonts w:asciiTheme="majorBidi" w:eastAsiaTheme="majorEastAsia" w:hAnsiTheme="majorBidi" w:cstheme="majorBidi"/>
          <w:bCs/>
        </w:rPr>
        <w:t>of the disease</w:t>
      </w:r>
      <w:r>
        <w:rPr>
          <w:rFonts w:asciiTheme="majorBidi" w:eastAsiaTheme="majorEastAsia" w:hAnsiTheme="majorBidi" w:cstheme="majorBidi" w:hint="cs"/>
          <w:bCs/>
          <w:rtl/>
        </w:rPr>
        <w:t xml:space="preserve"> </w:t>
      </w:r>
      <w:r>
        <w:rPr>
          <w:rFonts w:asciiTheme="majorBidi" w:eastAsiaTheme="majorEastAsia" w:hAnsiTheme="majorBidi" w:cstheme="majorBidi"/>
          <w:bCs/>
          <w:rtl/>
        </w:rPr>
        <w:fldChar w:fldCharType="begin"/>
      </w:r>
      <w:r>
        <w:rPr>
          <w:rFonts w:asciiTheme="majorBidi" w:eastAsiaTheme="majorEastAsia" w:hAnsiTheme="majorBidi" w:cstheme="majorBidi"/>
          <w:bCs/>
          <w:rtl/>
        </w:rPr>
        <w:instrText xml:space="preserve"> </w:instrText>
      </w:r>
      <w:r>
        <w:rPr>
          <w:rFonts w:asciiTheme="majorBidi" w:eastAsiaTheme="majorEastAsia" w:hAnsiTheme="majorBidi" w:cstheme="majorBidi"/>
          <w:bCs/>
        </w:rPr>
        <w:instrText>ADDIN ZOTERO_ITEM CSL_CITATION {"citationID":"4LRRcigi","properties":{"formattedCitation":"(Elbaz et al., 2016)","plainCitation":"(Elbaz et al., 2016)","noteIndex":0},"citationItems":[{"id":16,"uris":["http://zotero.org/users/9293396/items/GJDUN2AN"],"itemData":{"id":16,"type":"article-journal","container-title":"Revue Neurologique","DOI":"10.1016/j.neurol.2015.09.012","ISSN":"00353787","issue":"1","journalAbbreviation":"Revue Neurologique","language":"en","page":"14-26","source":"DOI.org (Crossref)","title":"Epidemiology of Parkinson's disease","volume":"172","author":[{"family":"Elbaz","given":"A."},{"family":"Carcaillon","given":"L."},{"family":"Kab","given":"S."},{"family":"Moisan","given":"F."}],"issued":{"date-parts</w:instrText>
      </w:r>
      <w:r>
        <w:rPr>
          <w:rFonts w:asciiTheme="majorBidi" w:eastAsiaTheme="majorEastAsia" w:hAnsiTheme="majorBidi" w:cstheme="majorBidi"/>
          <w:bCs/>
          <w:rtl/>
        </w:rPr>
        <w:instrText>":[["2016",1]]</w:instrText>
      </w:r>
      <w:r>
        <w:rPr>
          <w:rFonts w:asciiTheme="majorBidi" w:eastAsiaTheme="majorEastAsia" w:hAnsiTheme="majorBidi" w:cstheme="majorBidi"/>
          <w:bCs/>
        </w:rPr>
        <w:instrText>}}}],"schema":"https://github.com/citation-style-language/schema/raw/master/csl-citation.json</w:instrText>
      </w:r>
      <w:r>
        <w:rPr>
          <w:rFonts w:asciiTheme="majorBidi" w:eastAsiaTheme="majorEastAsia" w:hAnsiTheme="majorBidi" w:cstheme="majorBidi"/>
          <w:bCs/>
          <w:rtl/>
        </w:rPr>
        <w:instrText xml:space="preserve">"} </w:instrText>
      </w:r>
      <w:r>
        <w:rPr>
          <w:rFonts w:asciiTheme="majorBidi" w:eastAsiaTheme="majorEastAsia" w:hAnsiTheme="majorBidi" w:cstheme="majorBidi"/>
          <w:bCs/>
          <w:rtl/>
        </w:rPr>
        <w:fldChar w:fldCharType="separate"/>
      </w:r>
      <w:r w:rsidR="00942C40" w:rsidRPr="00942C40">
        <w:rPr>
          <w:rFonts w:eastAsiaTheme="majorEastAsia"/>
        </w:rPr>
        <w:t>(Elbaz et al., 2016)</w:t>
      </w:r>
      <w:r>
        <w:rPr>
          <w:rFonts w:asciiTheme="majorBidi" w:eastAsiaTheme="majorEastAsia" w:hAnsiTheme="majorBidi" w:cstheme="majorBidi"/>
          <w:bCs/>
          <w:rtl/>
        </w:rPr>
        <w:fldChar w:fldCharType="end"/>
      </w:r>
      <w:r>
        <w:rPr>
          <w:rFonts w:asciiTheme="majorBidi" w:eastAsiaTheme="majorEastAsia" w:hAnsiTheme="majorBidi" w:cstheme="majorBidi"/>
          <w:bCs/>
        </w:rPr>
        <w:t>.</w:t>
      </w:r>
      <w:r>
        <w:rPr>
          <w:rFonts w:asciiTheme="majorBidi" w:eastAsiaTheme="majorEastAsia" w:hAnsiTheme="majorBidi" w:cstheme="majorBidi" w:hint="cs"/>
          <w:bCs/>
          <w:rtl/>
        </w:rPr>
        <w:t xml:space="preserve"> </w:t>
      </w:r>
      <w:r>
        <w:rPr>
          <w:rFonts w:asciiTheme="majorBidi" w:eastAsiaTheme="majorEastAsia" w:hAnsiTheme="majorBidi" w:cstheme="majorBidi"/>
          <w:bCs/>
        </w:rPr>
        <w:t xml:space="preserve">Likewise, the symptoms triggered by PD can lead to impairment in performing activities of daily living (ADL), </w:t>
      </w:r>
      <w:r w:rsidRPr="00B25364">
        <w:rPr>
          <w:rFonts w:asciiTheme="majorBidi" w:eastAsiaTheme="majorEastAsia" w:hAnsiTheme="majorBidi" w:cstheme="majorBidi"/>
          <w:bCs/>
        </w:rPr>
        <w:t>such as walking, transition</w:t>
      </w:r>
      <w:r>
        <w:rPr>
          <w:rFonts w:asciiTheme="majorBidi" w:eastAsiaTheme="majorEastAsia" w:hAnsiTheme="majorBidi" w:cstheme="majorBidi"/>
          <w:bCs/>
        </w:rPr>
        <w:t>ing</w:t>
      </w:r>
      <w:r w:rsidRPr="00B25364">
        <w:rPr>
          <w:rFonts w:asciiTheme="majorBidi" w:eastAsiaTheme="majorEastAsia" w:hAnsiTheme="majorBidi" w:cstheme="majorBidi"/>
          <w:bCs/>
        </w:rPr>
        <w:t xml:space="preserve"> (e.g.</w:t>
      </w:r>
      <w:r>
        <w:rPr>
          <w:rFonts w:asciiTheme="majorBidi" w:eastAsiaTheme="majorEastAsia" w:hAnsiTheme="majorBidi" w:cstheme="majorBidi"/>
          <w:bCs/>
        </w:rPr>
        <w:t>,</w:t>
      </w:r>
      <w:r w:rsidRPr="00B25364">
        <w:rPr>
          <w:rFonts w:asciiTheme="majorBidi" w:eastAsiaTheme="majorEastAsia" w:hAnsiTheme="majorBidi" w:cstheme="majorBidi"/>
          <w:bCs/>
        </w:rPr>
        <w:t xml:space="preserve"> </w:t>
      </w:r>
      <w:r>
        <w:rPr>
          <w:rFonts w:asciiTheme="majorBidi" w:eastAsiaTheme="majorEastAsia" w:hAnsiTheme="majorBidi" w:cstheme="majorBidi"/>
          <w:bCs/>
        </w:rPr>
        <w:t xml:space="preserve">changing one’s position from </w:t>
      </w:r>
      <w:r w:rsidRPr="00B25364">
        <w:rPr>
          <w:rFonts w:asciiTheme="majorBidi" w:eastAsiaTheme="majorEastAsia" w:hAnsiTheme="majorBidi" w:cstheme="majorBidi"/>
          <w:bCs/>
        </w:rPr>
        <w:t xml:space="preserve">sitting to standing, </w:t>
      </w:r>
      <w:r>
        <w:rPr>
          <w:rFonts w:asciiTheme="majorBidi" w:eastAsiaTheme="majorEastAsia" w:hAnsiTheme="majorBidi" w:cstheme="majorBidi"/>
          <w:bCs/>
        </w:rPr>
        <w:t xml:space="preserve">or from </w:t>
      </w:r>
      <w:r w:rsidRPr="00B25364">
        <w:rPr>
          <w:rFonts w:asciiTheme="majorBidi" w:eastAsiaTheme="majorEastAsia" w:hAnsiTheme="majorBidi" w:cstheme="majorBidi"/>
          <w:bCs/>
        </w:rPr>
        <w:t>lying to sitting), eating, and dressing</w:t>
      </w:r>
      <w:r>
        <w:rPr>
          <w:rFonts w:asciiTheme="majorBidi" w:eastAsiaTheme="majorEastAsia" w:hAnsiTheme="majorBidi" w:cstheme="majorBidi"/>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{"citationID":"6VM3Uzh6","properties":{"formattedCitation":"(Elbaz et al., 2016; Koerts et al., 2011)","plainCitation":"(Elbaz et al., 2016; Koerts et al., 2011)","noteIndex":0},"citationItems":[{"id":16,"uris":["http://zotero.org/users/9293396/items/GJDUN2AN"],"itemData":{"id":16,"type":"article-journal","container-title":"Revue Neurologique","DOI":"10.1016/j.neurol.2015.09.012","ISSN":"00353787","issue":"1","journalAbbreviation":"Revue Neurologique","language":"en","page":"14-26","source":"DOI.org (Crossref)","title":"Epidemiology of Parkinson's disease","volume":"172","author":[{"family":"Elbaz","given":"A."},{"family":"Carcaillon","given":"L."},{"family":"Kab","given":"S."},{"family":"Moisan","given":"F."}],"issued":{"date-parts":[["2016",1]]}}},{"id":27,"uris":["http://zotero.org/users/9293396/items/92Q938M5"],"itemData":{"id":27,"type":"article-journal","abstract":"Impairments in executive functioning are frequently observed in Parkinson's disease (PD). However, executive functioning needed in daily life is difficult to measure. Considering this difficulty the Cognitive Effort Test (CET) was recently developed. In this multi-task test the goals are specified but participants are free in their approach. This study applies the CET in PD patients and investigates whether initiative, planning and multi-tasking are associated with aspects of executive functions and psychomotor speed. Thirty-six PD patients with a mild to moderate disease severity and thirty-four healthy participants were included in this study. PD patients planned and demonstrated more sequential task execution, which was associated with a decreased psychomotor speed. Furthermore, patients with a moderate PD planned to execute fewer tasks at the same time than patients with a mild PD. No differences were found between these groups for multi-tasking. In conclusion, PD patients planned and executed the tasks of the CET sequentially rather than in parallel presumably reflecting a compensation strategy for a decreased psychomotor speed. Furthermore, patients with moderate PD appeared to take their impairments into consideration when planning how to engage the tasks of the test. This compensation could not be detected in patients with mild PD.","container-title":"PLoS ONE","DOI":"10.1371/journal.pone.0029254","ISSN":"1932-6203","issue":"12","journalAbbreviation":"PLoS One","note":"PMID: 22206004\nPMCID: PMC3243690","page":"e29254","source":"PubMed Central","title":"Executive Functioning in Daily Life in Parkinson's Disease: Initiative, Planning and Multi-Task Performance","title-short":"Executive Functioning in Daily Life in Parkinson's Disease","volume":"6","author":[{"family":"Koerts","given":"Janneke"},{"family":"Van Beilen","given":"Marije"},{"family":"Tucha","given":"Oliver"},{"family":"Leenders","given":"Klaus L."},{"family":"Brouwer","given":"Wiebo H."}],"issued":{"date-parts":[["2011",12,20]]}}}],"schema":"https://github.com/citation-style-language/schema/raw/master/csl-citation.json"}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(Elbaz et al., 2016; Koerts et al., 2011)</w:t>
      </w:r>
      <w:r>
        <w:rPr>
          <w:rFonts w:asciiTheme="majorBidi" w:eastAsiaTheme="majorEastAsia" w:hAnsiTheme="majorBidi" w:cstheme="majorBidi"/>
          <w:bCs/>
        </w:rPr>
        <w:fldChar w:fldCharType="end"/>
      </w:r>
      <w:r>
        <w:rPr>
          <w:rFonts w:asciiTheme="majorBidi" w:eastAsiaTheme="majorEastAsia" w:hAnsiTheme="majorBidi" w:cstheme="majorBidi"/>
          <w:bCs/>
        </w:rPr>
        <w:t>. T</w:t>
      </w:r>
      <w:r w:rsidRPr="00BD71CA">
        <w:rPr>
          <w:rFonts w:asciiTheme="majorBidi" w:eastAsiaTheme="majorEastAsia" w:hAnsiTheme="majorBidi" w:cstheme="majorBidi"/>
          <w:bCs/>
        </w:rPr>
        <w:t xml:space="preserve">he ability to </w:t>
      </w:r>
      <w:r>
        <w:rPr>
          <w:rFonts w:asciiTheme="majorBidi" w:eastAsiaTheme="majorEastAsia" w:hAnsiTheme="majorBidi" w:cstheme="majorBidi"/>
          <w:bCs/>
        </w:rPr>
        <w:t xml:space="preserve">maintain their position in the workforce </w:t>
      </w:r>
      <w:r w:rsidRPr="00BD71CA">
        <w:rPr>
          <w:rFonts w:asciiTheme="majorBidi" w:eastAsiaTheme="majorEastAsia" w:hAnsiTheme="majorBidi" w:cstheme="majorBidi"/>
          <w:bCs/>
        </w:rPr>
        <w:t>is also impaired, with</w:t>
      </w:r>
      <w:r>
        <w:rPr>
          <w:rFonts w:asciiTheme="majorBidi" w:eastAsiaTheme="majorEastAsia" w:hAnsiTheme="majorBidi" w:cstheme="majorBidi" w:hint="cs"/>
          <w:bCs/>
        </w:rPr>
        <w:t xml:space="preserve"> </w:t>
      </w:r>
      <w:r>
        <w:rPr>
          <w:rFonts w:asciiTheme="majorBidi" w:eastAsiaTheme="majorEastAsia" w:hAnsiTheme="majorBidi" w:cstheme="majorBidi"/>
          <w:bCs/>
        </w:rPr>
        <w:t>23-92 percentage of people</w:t>
      </w:r>
      <w:r w:rsidRPr="00BD71CA">
        <w:rPr>
          <w:rFonts w:asciiTheme="majorBidi" w:eastAsiaTheme="majorEastAsia" w:hAnsiTheme="majorBidi" w:cstheme="majorBidi"/>
          <w:bCs/>
        </w:rPr>
        <w:t xml:space="preserve"> who developed PD before retirement</w:t>
      </w:r>
      <w:r w:rsidRPr="00BD71CA">
        <w:t xml:space="preserve"> </w:t>
      </w:r>
      <w:r w:rsidRPr="009102EF">
        <w:t xml:space="preserve">retiring </w:t>
      </w:r>
      <w:r>
        <w:t xml:space="preserve">early because of their disease </w:t>
      </w:r>
      <w:r>
        <w:fldChar w:fldCharType="begin"/>
      </w:r>
      <w:r>
        <w:instrText xml:space="preserve"> ADDIN ZOTERO_ITEM CSL_CITATION {"citationID":"lCgGPwWA","properties":{"formattedCitation":"(Koerts et al., 2016)","plainCitation":"(Koerts et al., 2016)","noteIndex":0},"citationItems":[{"id":35,"uris":["http://zotero.org/users/9293396/items/WCEAPBY5"],"itemData":{"id":35,"type":"article-journal","abstract":"Introduction\nParkinson's disease (PD) is characterized by motor and non-motor symptoms and has a median age-of-onset around 55 years. Many PD patients are thus diagnosed before reaching retirement age and it is likely that they are confronted with a reduced working capacity or loss of employment. This systematic literature review gives an overview of the research conducted on work capacity in PD.\nMethods\nA systematic literature search was performed in PsycINFO and PubMed (Keywords: “Parkinson” or “Parkinson's disease” combined with “employment”, “work”, “working”, “retire” or “retirement”).\nResults\nThirteen studies were identified and showed that PD patients retired 4–7 years earlier than the general population. Furthermore, 23%–75% of patients report that they retired early because of PD and slowness and fatigue were reported as the most debilitating symptoms in relation to working capacity. Early retirement of PD patients is associated with high societal costs and a high loss of individual lifetime earnings. Although many employed PD patients asked for adjustments at their workplace, their employers did not always support these.\nConclusions\nPD has a detrimental effect on working capacity and is associated with high costs. Employed PD patients do not, however, always receive the support they need. It is therefore very relevant that employers and patients are informed about strategies and techniques developed for counteracting symptoms of PD which might support patients to stay in the workforce for a longer period of time.","container-title":"Parkinsonism &amp; Related Disorders","DOI":"10.1016/j.parkreldis.2016.03.017","ISSN":"1353-8020","journalAbbreviation":"Parkinsonism &amp; Related Disorders","language":"en","page":"9-24","source":"ScienceDirect","title":"Working capacity of patients with Parkinson's disease – A systematic review","volume":"27","author":[{"family":"Koerts","given":"Janneke"},{"family":"König","given":"Miriam"},{"family":"Tucha","given":"Lara"},{"family":"Tucha","given":"Oliver"}],"issued":{"date-parts":[["2016",6,1]]}}}],"schema":"https://github.com/citation-style-language/schema/raw/master/csl-citation.json"} </w:instrText>
      </w:r>
      <w:r>
        <w:fldChar w:fldCharType="separate"/>
      </w:r>
      <w:r w:rsidR="00942C40" w:rsidRPr="00942C40">
        <w:t>(Koerts et al., 2016)</w:t>
      </w:r>
      <w:r>
        <w:fldChar w:fldCharType="end"/>
      </w:r>
      <w:r>
        <w:t xml:space="preserve">. </w:t>
      </w:r>
      <w:r w:rsidRPr="00B25364">
        <w:rPr>
          <w:rFonts w:asciiTheme="majorBidi" w:eastAsiaTheme="majorEastAsia" w:hAnsiTheme="majorBidi" w:cstheme="majorBidi"/>
          <w:bCs/>
        </w:rPr>
        <w:t xml:space="preserve">The symptoms </w:t>
      </w:r>
      <w:r>
        <w:rPr>
          <w:rFonts w:asciiTheme="majorBidi" w:eastAsiaTheme="majorEastAsia" w:hAnsiTheme="majorBidi" w:cstheme="majorBidi"/>
          <w:bCs/>
        </w:rPr>
        <w:t xml:space="preserve">experienced in individuals with PD </w:t>
      </w:r>
      <w:r w:rsidRPr="00B25364">
        <w:rPr>
          <w:rFonts w:asciiTheme="majorBidi" w:eastAsiaTheme="majorEastAsia" w:hAnsiTheme="majorBidi" w:cstheme="majorBidi"/>
          <w:bCs/>
        </w:rPr>
        <w:t xml:space="preserve">often cause embarrassment and </w:t>
      </w:r>
      <w:r>
        <w:rPr>
          <w:rFonts w:asciiTheme="majorBidi" w:eastAsiaTheme="majorEastAsia" w:hAnsiTheme="majorBidi" w:cstheme="majorBidi"/>
          <w:bCs/>
        </w:rPr>
        <w:t>the execution of common</w:t>
      </w:r>
      <w:r w:rsidRPr="00B25364">
        <w:rPr>
          <w:rFonts w:asciiTheme="majorBidi" w:eastAsiaTheme="majorEastAsia" w:hAnsiTheme="majorBidi" w:cstheme="majorBidi"/>
          <w:bCs/>
        </w:rPr>
        <w:t xml:space="preserve"> actions require</w:t>
      </w:r>
      <w:r>
        <w:rPr>
          <w:rFonts w:asciiTheme="majorBidi" w:eastAsiaTheme="majorEastAsia" w:hAnsiTheme="majorBidi" w:cstheme="majorBidi"/>
          <w:bCs/>
        </w:rPr>
        <w:t>s</w:t>
      </w:r>
      <w:r w:rsidRPr="00B25364">
        <w:rPr>
          <w:rFonts w:asciiTheme="majorBidi" w:eastAsiaTheme="majorEastAsia" w:hAnsiTheme="majorBidi" w:cstheme="majorBidi"/>
          <w:bCs/>
        </w:rPr>
        <w:t xml:space="preserve"> </w:t>
      </w:r>
      <w:r>
        <w:rPr>
          <w:rFonts w:asciiTheme="majorBidi" w:eastAsiaTheme="majorEastAsia" w:hAnsiTheme="majorBidi" w:cstheme="majorBidi"/>
          <w:bCs/>
        </w:rPr>
        <w:t xml:space="preserve">more </w:t>
      </w:r>
      <w:r w:rsidRPr="00B25364">
        <w:rPr>
          <w:rFonts w:asciiTheme="majorBidi" w:eastAsiaTheme="majorEastAsia" w:hAnsiTheme="majorBidi" w:cstheme="majorBidi"/>
          <w:bCs/>
        </w:rPr>
        <w:t>time and effort</w:t>
      </w:r>
      <w:r>
        <w:rPr>
          <w:rFonts w:asciiTheme="majorBidi" w:eastAsiaTheme="majorEastAsia" w:hAnsiTheme="majorBidi" w:cstheme="majorBidi"/>
          <w:bCs/>
        </w:rPr>
        <w:t xml:space="preserve"> than for healthy individuals</w:t>
      </w:r>
      <w:r>
        <w:rPr>
          <w:rFonts w:asciiTheme="majorBidi" w:eastAsiaTheme="majorEastAsia" w:hAnsiTheme="majorBidi" w:cstheme="majorBidi" w:hint="cs"/>
          <w:bCs/>
        </w:rPr>
        <w:t xml:space="preserve">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{"citationID":"MzCVxMbt","properties":{"formattedCitation":"(Elliott &amp; Velde, 2006)","plainCitation":"(Elliott &amp; Velde, 2006)","noteIndex":0},"citationItems":[{"id":33,"uris":["http://zotero.org/users/9293396/items/NXFPLZ5S"],"itemData":{"id":33,"type":"article-journal","container-title":"Physical &amp; Occupational Therapy In Geriatrics","DOI":"10.1080/J148v24n01_04","ISSN":"0270-3181, 1541-3152","issue":"1","journalAbbreviation":"Physical &amp; Occupational Therapy In Geriatrics","language":"en","page":"61-80","source":"DOI.org (Crossref)","title":"Integration of Occupation for Individuals Affected by Parkinson's Disease","volume":"24","author":[{"family":"Elliott","given":"Sharon J."},{"family":"Velde","given":"Beth P."}],"issued":{"date-parts":[["2006",1]]}}}],"schema":"https://github.com/citation-style-language/schema/raw/master/csl-citation.json"}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(Elliott &amp; Velde, 2006)</w:t>
      </w:r>
      <w:r>
        <w:rPr>
          <w:rFonts w:asciiTheme="majorBidi" w:eastAsiaTheme="majorEastAsia" w:hAnsiTheme="majorBidi" w:cstheme="majorBidi"/>
          <w:bCs/>
        </w:rPr>
        <w:fldChar w:fldCharType="end"/>
      </w:r>
      <w:r w:rsidRPr="00B25364">
        <w:rPr>
          <w:rFonts w:asciiTheme="majorBidi" w:eastAsiaTheme="majorEastAsia" w:hAnsiTheme="majorBidi" w:cstheme="majorBidi"/>
          <w:bCs/>
        </w:rPr>
        <w:t>.</w:t>
      </w:r>
      <w:r>
        <w:rPr>
          <w:rFonts w:asciiTheme="majorBidi" w:eastAsiaTheme="majorEastAsia" w:hAnsiTheme="majorBidi" w:cstheme="majorBidi"/>
          <w:bCs/>
        </w:rPr>
        <w:t xml:space="preserve"> </w:t>
      </w:r>
      <w:r w:rsidRPr="00B25364">
        <w:rPr>
          <w:rFonts w:asciiTheme="majorBidi" w:eastAsiaTheme="majorEastAsia" w:hAnsiTheme="majorBidi" w:cstheme="majorBidi"/>
          <w:bCs/>
        </w:rPr>
        <w:t xml:space="preserve"> As a result, </w:t>
      </w:r>
      <w:r>
        <w:rPr>
          <w:rFonts w:asciiTheme="majorBidi" w:eastAsiaTheme="majorEastAsia" w:hAnsiTheme="majorBidi" w:cstheme="majorBidi"/>
          <w:bCs/>
        </w:rPr>
        <w:t>people with PD</w:t>
      </w:r>
      <w:r w:rsidRPr="00B25364">
        <w:rPr>
          <w:rFonts w:asciiTheme="majorBidi" w:eastAsiaTheme="majorEastAsia" w:hAnsiTheme="majorBidi" w:cstheme="majorBidi"/>
          <w:bCs/>
        </w:rPr>
        <w:t xml:space="preserve"> are </w:t>
      </w:r>
      <w:r>
        <w:rPr>
          <w:rFonts w:asciiTheme="majorBidi" w:eastAsiaTheme="majorEastAsia" w:hAnsiTheme="majorBidi" w:cstheme="majorBidi"/>
          <w:bCs/>
        </w:rPr>
        <w:t xml:space="preserve">reported to </w:t>
      </w:r>
      <w:r w:rsidRPr="00B25364">
        <w:rPr>
          <w:rFonts w:asciiTheme="majorBidi" w:eastAsiaTheme="majorEastAsia" w:hAnsiTheme="majorBidi" w:cstheme="majorBidi"/>
          <w:bCs/>
        </w:rPr>
        <w:t>participat</w:t>
      </w:r>
      <w:r>
        <w:rPr>
          <w:rFonts w:asciiTheme="majorBidi" w:eastAsiaTheme="majorEastAsia" w:hAnsiTheme="majorBidi" w:cstheme="majorBidi"/>
          <w:bCs/>
        </w:rPr>
        <w:t>e less</w:t>
      </w:r>
      <w:r w:rsidRPr="00B25364">
        <w:rPr>
          <w:rFonts w:asciiTheme="majorBidi" w:eastAsiaTheme="majorEastAsia" w:hAnsiTheme="majorBidi" w:cstheme="majorBidi"/>
          <w:bCs/>
        </w:rPr>
        <w:t xml:space="preserve"> in leisure and social activities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{"citationID":"U1cAGzNl","properties":{"formattedCitation":"(Foster &amp; Hershey, 2011)","plainCitation":"(Foster &amp; Hershey, 2011)","noteIndex":0},"citationItems":[{"id":30,"uris":["http://zotero.org/users/9293396/items/N8D87GMW"],"itemData":{"id":30,"type":"article-journal","abstract":"Individuals with Parkinson disease (PD) who do not have dementia reliably demonstrate mild executive deficits on laboratory-based tests, but the impact of these deficits on occupational performance is unclear. The purpose of this study was to determine the relevance of executive dysfunction in PD without dementia to instrumental, leisure, and social activity participation. Twenty-four individuals with PD and 30 matched adult volunteers performed an experimental working memory test and rated their everyday executive function and activity participation. Participants with PD had worse working memory performance, tended to report more everyday executive problems, and reported lower activity participation compared to controls. Within PD, lower everyday executive function was associated with reduced activity participation after controlling for motor dysfunction and depressive symptoms. Executive function is an independent predictor of complex activity participation in early PD. These results suggest the need for occupational therapists to consider executive dysfunction during evaluation and treatment of individuals with PD.","container-title":"OTJR: Occupation, Participation and Health","DOI":"10.3928/15394492-20101108-04","ISSN":"1539-4492","issue":"1_suppl","journalAbbreviation":"OTJR: Occupation, Participation and Health","note":"publisher: SAGE Publications Inc","page":"S16-S22","source":"SAGE Journals","title":"Everyday Executive Function is Associated with Activity Participation in Parkinson Disease without Dementia","volume":"31","author":[{"family":"Foster","given":"Erin R."},{"family":"Hershey","given":"Tamara"}],"issued":{"date-parts":[["2011",1,1]]}}}],"schema":"https://github.com/citation-style-language/schema/raw/master/csl-citation.json"}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(Foster &amp; Hershey, 2011)</w:t>
      </w:r>
      <w:r>
        <w:rPr>
          <w:rFonts w:asciiTheme="majorBidi" w:eastAsiaTheme="majorEastAsia" w:hAnsiTheme="majorBidi" w:cstheme="majorBidi"/>
          <w:bCs/>
        </w:rPr>
        <w:fldChar w:fldCharType="end"/>
      </w:r>
      <w:r>
        <w:rPr>
          <w:rFonts w:asciiTheme="majorBidi" w:eastAsiaTheme="majorEastAsia" w:hAnsiTheme="majorBidi" w:cstheme="majorBidi"/>
          <w:bCs/>
        </w:rPr>
        <w:t>.</w:t>
      </w:r>
    </w:p>
    <w:p w14:paraId="319E7527" w14:textId="1E22606B" w:rsidR="003B273A" w:rsidRPr="000E4D7C" w:rsidRDefault="003B273A" w:rsidP="00942C40">
      <w:pPr>
        <w:rPr>
          <w:color w:val="C45911" w:themeColor="accent2" w:themeShade="BF"/>
        </w:rPr>
      </w:pPr>
      <w:r>
        <w:t>With the progression of the disease</w:t>
      </w:r>
      <w:r w:rsidRPr="0042730B">
        <w:t xml:space="preserve">, people with PD require more </w:t>
      </w:r>
      <w:r>
        <w:t>assistance</w:t>
      </w:r>
      <w:r w:rsidRPr="0042730B">
        <w:t xml:space="preserve"> in ADL and</w:t>
      </w:r>
      <w:r>
        <w:t xml:space="preserve"> in order to be able to participate in social events.</w:t>
      </w:r>
      <w:r w:rsidRPr="0005797C">
        <w:t xml:space="preserve"> </w:t>
      </w:r>
      <w:r>
        <w:t xml:space="preserve">In Canada, this crucial assistance is </w:t>
      </w:r>
      <w:r w:rsidRPr="0042730B">
        <w:t>often delivered by informal caregivers</w:t>
      </w:r>
      <w:r>
        <w:t xml:space="preserve"> that tend to be </w:t>
      </w:r>
      <w:r w:rsidRPr="00987E8D">
        <w:t>spouse</w:t>
      </w:r>
      <w:r>
        <w:t xml:space="preserve">s (64%); However, other relatives, friends and neighbors (36%) also provide assistance to individuals who live with PD </w:t>
      </w:r>
      <w:r>
        <w:fldChar w:fldCharType="begin"/>
      </w:r>
      <w:r>
        <w:instrText xml:space="preserve"> ADDIN ZOTERO_ITEM CSL_CITATION {"citationID":"TnvQ3Foa","properties":{"formattedCitation":"(Wong et al., 2014)","plainCitation":"(Wong et al., 2014)","noteIndex":0},"citationItems":[{"id":88,"uris":["http://zotero.org/users/9293396/items/WYHP6TIE"],"itemData":{"id":88,"type":"article-journal","abstract":"This article provides information on Parkinson’s disease, using the 2010/2011 Canadian Community Health Survey, the 2011/2012 Survey of Neurological Conditions in Institutions in Canada, and the 2011 Survey of Living with Neurological Conditions in Canada. An estimated 0.2% of Canadian adults in private households (55,000), and 4.9% of those in residential institutions (12,500) had Parkinson’s disease. Younger age at symptom onset was associated with a longer period to disease diagnosis. As a result of the condition, 58% reported that social interactions were negatively affected, 61% reported out-of-pocket expenses, and 56% reported receiving assistance with activities such as housework, transportation or personal care. Among those receiving assistance, 84% relied at least in part on family, friends or neighbours. The primary informal caregiver tended to be a spouse (64%), female (62%), live in the same household (72%), and provide assistance on a daily basis (76%).","container-title":"Health Reports","issue":"11","language":"en","page":"7","source":"Zotero","title":"Parkinson’s disease: Prevalence, diagnosis and impact","volume":"25","author":[{"family":"Wong","given":"Suzy L"},{"family":"Gilmour","given":"Heather"},{"family":"Ramage-Morin","given":"Pamela L"}],"issued":{"date-parts":[["2014"]]}}}],"schema":"https://github.com/citation-style-language/schema/raw/master/csl-citation.json"} </w:instrText>
      </w:r>
      <w:r>
        <w:fldChar w:fldCharType="separate"/>
      </w:r>
      <w:r w:rsidR="00942C40" w:rsidRPr="00942C40">
        <w:t>(Wong et al., 2014)</w:t>
      </w:r>
      <w:r>
        <w:fldChar w:fldCharType="end"/>
      </w:r>
      <w:r>
        <w:t>.</w:t>
      </w:r>
      <w:r w:rsidRPr="0042730B">
        <w:t xml:space="preserve"> Having effective caregivers is associated with benefits in health-related conditions</w:t>
      </w:r>
      <w:r>
        <w:t xml:space="preserve"> for people with PD </w:t>
      </w:r>
      <w:r w:rsidRPr="00CD2452">
        <w:rPr>
          <w:color w:val="000000" w:themeColor="text1"/>
        </w:rPr>
        <w:fldChar w:fldCharType="begin"/>
      </w:r>
      <w:r w:rsidRPr="00CD2452">
        <w:rPr>
          <w:color w:val="000000" w:themeColor="text1"/>
        </w:rPr>
        <w:instrText xml:space="preserve"> ADDIN ZOTERO_ITEM CSL_CITATION {"citationID":"aXb5WQ8H","properties":{"formattedCitation":"(Mosley et al., 2017)","plainCitation":"(Mosley et al., 2017)","noteIndex":0},"citationItems":[{"id":43,"uris":["http://zotero.org/users/9293396/items/9QRH7ZWJ"],"itemData":{"id":43,"type":"article-journal","abstract":"Burden is a negative psychological state induced in caregivers by the demands of providing care to a person with an illness or a disability. Managing caregiver burden in Parkinson disease (PD) is significant because informal caregivers make a substantial contribution to the well-being of persons with PD, incurring financial, social, and personal losses. Failure to recognize and manage caregiver burden may lead to burnout and premature institutionalization of the person with PD. We conducted a comprehensive literature review to identify and summarize factors that may amplify burden, including motor and nonmotor symptoms of PD, caregiver psychiatric symptoms, and caregiver coping style. We review instruments designed to sample the construct of burden among caregivers and evaluate interventions that may reduce burden, either by directly targeting caregivers or by treating PD symptoms associated with burden. We aim to provide a concise synopsis of these issues for the clinician or researcher working with this population in order to facilitate recognition of caregiver burden, provide accurate assessment, administer appropriate interventions, and stimulate further research in this area.","container-title":"Journal of Geriatric Psychiatry and Neurology","DOI":"10.1177/0891988717720302","ISSN":"0891-9887","issue":"5","journalAbbreviation":"J Geriatr Psychiatry Neurol","note":"publisher: SAGE Publications Inc STM","page":"235-252","source":"SAGE Journals","title":"Caregiver Burden in Parkinson Disease: A Critical Review of Recent Literature","title-short":"Caregiver Burden in Parkinson Disease","volume":"30","author":[{"family":"Mosley","given":"Philip E."},{"family":"Moodie","given":"Rebecca"},{"family":"Dissanayaka","given":"Nadeeka"}],"issued":{"date-parts":[["2017",9,1]]}}}],"schema":"https://github.com/citation-style-language/schema/raw/master/csl-citation.json"} </w:instrText>
      </w:r>
      <w:r w:rsidRPr="00CD2452">
        <w:rPr>
          <w:color w:val="000000" w:themeColor="text1"/>
        </w:rPr>
        <w:fldChar w:fldCharType="separate"/>
      </w:r>
      <w:r w:rsidR="00942C40" w:rsidRPr="00942C40">
        <w:t>(Mosley et al., 2017)</w:t>
      </w:r>
      <w:r w:rsidRPr="00CD2452">
        <w:rPr>
          <w:color w:val="000000" w:themeColor="text1"/>
        </w:rPr>
        <w:fldChar w:fldCharType="end"/>
      </w:r>
      <w:r w:rsidRPr="00CD2452">
        <w:rPr>
          <w:color w:val="000000" w:themeColor="text1"/>
        </w:rPr>
        <w:t>. However</w:t>
      </w:r>
      <w:r>
        <w:t xml:space="preserve">, caregiver burden increases with the progressive stages of the disease affecting their wellbeing, quality of life and the relationship they have with those living with PD </w:t>
      </w:r>
      <w:r>
        <w:fldChar w:fldCharType="begin"/>
      </w:r>
      <w:r>
        <w:instrText xml:space="preserve"> ADDIN ZOTERO_ITEM CSL_CITATION {"citationID":"jqiyx8RI","properties":{"formattedCitation":"(Gr\\uc0\\u252{}n et al., 2016; Karlstedt et al., 2020; Krol et al., 2015; Mosley et al., 2017)","plainCitation":"(Grün et al., 2016; Karlstedt et al., 2020; Krol et al., 2015; Mosley et al., 2017)","noteIndex":0},"citationItems":[{"id":39,"uris":["http://zotero.org/users/9293396/items/QBYGE7B9"],"itemData":{"id":39,"type":"article-journal","abstract":"Background: In Parkinson disease (PD), patients often require burdensome assistance, delivered by informal caregivers (eg, spouse). Design: Prospective questionnaire and clinical-based investigation.\nObjectives: To investigate both patient- and caregiver-derived factors contributing to caregiver burden (CB).\nMethods: We assessed, in 59 patient-caregiver pairs, various motor, nonmotor, and cognitive symptoms as well as quality of life by standardized tests and questionnaires. Repercussions on the caregiver were evaluated by Zarit Burden Interview, Health-related Quality of Life (HrQoL), Generalized Anxiety Disorder Assessment-7, Patient Health Questionnaire-9, and the Montreal Cognitive Assessment. Transcultural comparison was ensured by validation of the tests in the 3 used languages.\nResults: Sleep problems and autonomic dysfunction of the patient strongly impact CB (r ¼ À0.414 to À0.335, P &lt; .01) and HrQoL of the caregiver (r ¼ À0.335 to À0.314, P &lt; .05). Higher CB is less strongly linked with patient’s motor impairment (P &lt; .05). Large time investment, including nocturnal care in 41% of the caregivers, strongly inﬂuences CB (P &lt; .001). The mood, but not the cognitive status, of the caregiver is directly linked to CB and HrQoL of the caregiver (P &lt; .01).\nConclusion: In PD, the CB is primarily dependent on patients’ nonmotor symptoms. Patient care requires considerable time investment and can trigger depression in the caregiver. Ó 2016 AMDA e The Society for Post-Acute and Long-Term Care Medicine. This is an open access article under the CC BY-NC-ND license (http://creativecommons.org/licenses/by-nc-nd/4.0/).","container-title":"Journal of the American Medical Directors Association","DOI":"10.1016/j.jamda.2016.03.004","ISSN":"15258610","issue":"7","journalAbbreviation":"Journal of the American Medical Directors Association","language":"en","page":"626-632","source":"DOI.org (Crossref)","title":"Contributory Factors to Caregiver Burden in Parkinson Disease","volume":"17","author":[{"family":"Grün","given":"Daniel"},{"family":"Pieri","given":"Vannina"},{"family":"Vaillant","given":"Michel"},{"family":"Diederich","given":"Nico J."}],"issued":{"date-parts":[["2016",7]]}}},{"id":262,"uris":["http://zotero.org/users/9293396/items/9VQ8T7Q2"],"itemData":{"id":262,"type":"article-journal","abstract":"Objectives: Parkinson’s disease (PD) is a complex neurodegenerative disorder with a broad list of motor and non-motor symptoms (NMS) that has been shown to affect the relationship quality (mutuality) and caregiver burden. However, little is known if the effect of motor and NMS on caregiver burden is mediated by mutuality. Therefore, the aim of this study was to explore if perceived mutuality by patients and partners mediates the effect of motor and NMS on caregiver burden.\nMethods: Data were collected from 51 dyads with one PD patient, including measures of motor signs, NMS, impaired cognition, patients’ and partners’ perceived mutuality, caregiver burden and dependency in activities in daily life (ADL). Structural equation model with manifest variables were applied to explore if patients’ and partners’ mutuality score mediated the effect of motor signs, NMS, ADL or impaired cognition on caregiver burden.\nResult: Our results suggest that having a partner with PD who is dependent in ADL or has impaired cognition decreases partners’ mutuality which leads to elevated burden. Motor symptoms or other NMS were not associated with partners’ mutuality or caregiver burden. Instead, increasing severity of motor symptoms decrease patients’ mutuality in turn leading to lower level of partners’ mutuality.\nConclusion: Our findings enhance the understanding of the complexity of living with PD for the partner and suggest that clinical assessment should include evaluation of how PD symptoms influence the quality of the relationship between partners and patients.","container-title":"Aging &amp; Mental Health","DOI":"10.1080/13607863.2019.1619165","ISSN":"1360-7863, 1364-6915","issue":"9","journalAbbreviation":"Aging &amp; Mental Health","language":"en","page":"1421-1428","source":"DOI.org (Crossref)","title":"Mediating effect of mutuality on caregiver burden in Parkinson’s disease partners","volume":"24","author":[{"family":"Karlstedt","given":"Michaela"},{"family":"Fereshtehnejad","given":"Seyed-Mohammad"},{"family":"Aarsland","given":"Dag"},{"family":"Lökk","given":"Johan"}],"issued":{"date-parts":[["2020",9,1]]}}},{"id":264,"uris":["http://zotero.org/users/9293396/items/99P734Q5"],"itemData":{"id":264,"type":"article-journal","abstract":"Background Informal care makes an important contribution to societal welfare. However, it may involve substantial time costs and can have a considerable negative effect on the health and well-being of informal caregivers. These costs and effects of informal caregiving are often excluded in economic evaluations of healthcare interventions. The impact of this exclusion on the outcomes of these evaluations is largely unknown.","container-title":"PharmacoEconomics","DOI":"10.1007/s40273-014-0218-y","ISSN":"1170-7690, 1179-2027","issue":"2","journalAbbreviation":"PharmacoEconomics","language":"en","page":"123-135","source":"DOI.org (Crossref)","title":"Does Including Informal Care in Economic Evaluations Matter? A Systematic Review of Inclusion and Impact of Informal Care in Cost-Effectiveness Studies","title-short":"Does Including Informal Care in Economic Evaluations Matter?","volume":"33","author":[{"family":"Krol","given":"Marieke"},{"family":"Papenburg","given":"Jocé"},{"family":"Exel","given":"Job","non-dropping-particle":"van"}],"issued":{"date-parts":[["2015",2]]}}},{"id":43,"uris":["http://zotero.org/users/9293396/items/9QRH7ZWJ"],"itemData":{"id":43,"type":"article-journal","abstract":"Burden is a negative psychological state induced in caregivers by the demands of providing care to a person with an illness or a disability. Managing caregiver burden in Parkinson disease (PD) is significant because informal caregivers make a substantial contribution to the well-being of persons with PD, incurring financial, social, and personal losses. Failure to recognize and manage caregiver burden may lead to burnout and premature institutionalization of the person with PD. We conducted a comprehensive literature review to identify and summarize factors that may amplify burden, including motor and nonmotor symptoms of PD, caregiver psychiatric symptoms, and caregiver coping style. We review instruments designed to sample the construct of burden among caregivers and evaluate interventions that may reduce burden, either by directly targeting caregivers or by treating PD symptoms associated with burden. We aim to provide a concise synopsis of these issues for the clinician or researcher working with this population in order to facilitate recognition of caregiver burden, provide accurate assessment, administer appropriate interventions, and stimulate further research in this area.","container-title":"Journal of Geriatric Psychiatry and Neurology","DOI":"10.1177/0891988717720302","ISSN":"0891-9887","issue":"5","journalAbbreviation":"J Geriatr Psychiatry Neurol","note":"publisher: SAGE Publications Inc STM","page":"235-252","source":"SAGE Journals","title":"Caregiver Burden in Parkinson Disease: A Critical Review of Recent Literature","title-short":"Caregiver Burden in Parkinson Disease","volume":"30","author":[{"family":"Mosley","given":"Philip E."},{"family":"Moodie","given":"Rebecca"},{"family":"Dissanayaka","given":"Nadeeka"}],"issued":{"date-parts":[["2017",9,1]]}}}],"schema":"https://github.com/citation-style-language/schema/raw/master/csl-citation.json"} </w:instrText>
      </w:r>
      <w:r>
        <w:fldChar w:fldCharType="separate"/>
      </w:r>
      <w:r w:rsidR="00942C40" w:rsidRPr="00942C40">
        <w:t>(Grün et al., 2016; Karlstedt et al., 2020; Krol et al., 2015; Mosley et al., 2017)</w:t>
      </w:r>
      <w:r>
        <w:fldChar w:fldCharType="end"/>
      </w:r>
      <w:r>
        <w:t>.</w:t>
      </w:r>
    </w:p>
    <w:p w14:paraId="27011650" w14:textId="5248CFE4" w:rsidR="003B273A" w:rsidRDefault="003B273A" w:rsidP="003B273A">
      <w:r w:rsidRPr="0042730B">
        <w:t xml:space="preserve"> The combination of motor</w:t>
      </w:r>
      <w:r>
        <w:t xml:space="preserve"> and non-motor</w:t>
      </w:r>
      <w:r w:rsidRPr="0042730B">
        <w:t xml:space="preserve"> symptoms such as falls</w:t>
      </w:r>
      <w:r>
        <w:t>,</w:t>
      </w:r>
      <w:r w:rsidRPr="0042730B">
        <w:t xml:space="preserve"> speech </w:t>
      </w:r>
      <w:r>
        <w:t>impairments,</w:t>
      </w:r>
      <w:r w:rsidRPr="0042730B">
        <w:t xml:space="preserve"> depression</w:t>
      </w:r>
      <w:r>
        <w:t>, diminished attention, impaired executive functions</w:t>
      </w:r>
      <w:r w:rsidRPr="0042730B">
        <w:t xml:space="preserve"> and dementia affect individuals with PD and may amplify the caregiver burden</w:t>
      </w:r>
      <w:r>
        <w:t xml:space="preserve"> </w:t>
      </w:r>
      <w:r>
        <w:fldChar w:fldCharType="begin"/>
      </w:r>
      <w:r>
        <w:instrText xml:space="preserve"> ADDIN ZOTERO_ITEM CSL_CITATION {"citationID":"MBB7R2tk","properties":{"formattedCitation":"(Martinez\\uc0\\u8208{}Martin et al., 2019; Yarnall et al., 2011)","plainCitation":"(Martinez‐Martin et al., 2019; Yarnall et al., 2011)","noteIndex":0},"citationItems":[{"id":45,"uris":["http://zotero.org/users/9293396/items/MQYWIVMD"],"itemData":{"id":45,"type":"article-journal","abstract":"Background\nParkinson's disease is a progressive, disabling neurodegenerative disorder associated with significant economic burden for patients and caregivers. The objective of this study was to compare the direct and indirect economic burden of Parkinson's patients’ caregivers with demographically matched controls in the United States, in the 5 years after first diagnosis of Parkinson's disease.\n\nMethods\nPolicyholders (18‐64 years old) linked to a Parkinson's disease patient (≥2 diagnoses of Parkinson's disease; first diagnosis is the index date) from January 1, 1998 to March 31, 2014, were selected from a private‐insurer claims database and categorized as Parkinson's caregivers. Eligible Parkinson's caregivers were matched 1:5 to policyholders with a non‐Parkinson's dependent (controls). Multivariable regression adjusted for baseline characteristics estimated direct costs (all‐cause insurer cost [medical and prescription] and comorbidity‐related medical costs; patient out‐of‐pocket costs) and indirect costs (disability and medically related absenteeism costs). Income progression was also compared between cohorts.\n\nResults\nA total of 1211 eligible Parkinson's caregivers (mean age, 56 years; 54% female) were matched to 6055 controls. In adjusted analyses, Parkinson's caregivers incurred significantly higher year 1 total all‐cause insurer costs ($8999 vs $7117) and medical costs ($7081 vs $5568) (both P &lt; 0.01) and higher prescription costs (range for years 1‐5, $2506‐2573 vs $1405‐$1687) and total out‐of‐pocket costs ($1259‐1585 vs $902‐$1192) in years 1‐5 (all P &lt; 0.01). Parkinson's caregivers had significantly higher adjusted indirect costs in years 1‐3 (range for years 1‐3, $2054‐$2464 vs $1681‐$1857; all P &lt; 0.05) and higher cumulative income loss over 5 years ($5967 vs $2634 by year 5; P for interaction = 0.03).\n\nConclusions\nParkinson's caregivers exhibited higher direct and indirect costs and greater income loss compared with matched controls. © 2018 International Parkinson and Movement Disorder Society © 2018 The Authors. Movement Disorders published by Wiley Periodicals, Inc. on behalf of International Parkinson and Movement Disorder Society.","container-title":"Movement Disorders","DOI":"10.1002/mds.27579","ISSN":"0885-3185","issue":"2","journalAbbreviation":"Mov Disord","note":"PMID: 30589953\nPMCID: PMC6590233","page":"236-245","source":"PubMed Central","title":"The long‐term direct and indirect economic burden among Parkinson's disease caregivers in the United States","volume":"34","author":[{"family":"Martinez‐Martin","given":"Pablo"},{"family":"Macaulay","given":"Dendy"},{"family":"Jalundhwala","given":"Yash J."},{"family":"Mu","given":"Fan"},{"family":"Ohashi","given":"Erika"},{"family":"Marshall","given":"Thomas"},{"family":"Sail","given":"Kavita"}],"issued":{"date-parts":[["2019",2]]}}},{"id":90,"uris":["http://zotero.org/users/9293396/items/IZ7XUG8U"],"itemData":{"id":90,"type":"article-journal","abstract":"Dopamine loss in the substantia nigra causes several of the motor signs seen in Parkinson's disease, but there is now increasing evidence highlighting the importance of cholinergic loss in the pathophysiology of nonmotor symptoms. The nucleus basalis of Meynert supplies the majority of the cholinergic input to the cerebral cortex, with the pedunculopontine nucleus providing many subcortical structures with acetylcholine. Both these structures undergo degeneration in Parkinson's disease (PD), with more severe loss associated with cognitive impairment. The risk of dementia in PD is greater than that in control subjects, with impairments in attention, visuospatial function, and executive control dominating. Imaging studies have demonstrated degeneration of the cholinergic system in PD, Parkinson's disease dementia, and dementia with Lewy bodies, with improvements in attention seen following the introduction of cholinesterase inhibitors. Conversely, anticholinergic drugs are associated with cognitive decline, with neuropathology studies indicating the presence of increased neurofibrillary tangles and senile plaque formation. In addition, these drugs are also known to precipitate visual hallucinations, lending support to a cholinergic basis for visual hallucinations in PD. Gait, falls, and cognition may also be related, as evidenced by the findings that fallers perform less well on test of attention than nonfallers and that greater postural instability is associated with worse scores on attention and executive function. It is therefore feasible that cognition (namely, attention), visual hallucinations, falls, and gait are subserved by acetylcholine, and this is further explored in this clinically orientated review. © 2011 Movement Disorder Society","container-title":"Movement Disorders","DOI":"10.1002/mds.23932","ISSN":"1531-8257","issue":"14","language":"en","note":"_eprint: https://movementdisorders.onlinelibrary.wiley.com/doi/pdf/10.1002/mds.23932","page":"2496-2503","source":"Wiley Online Library","title":"The interplay of cholinergic function, attention, and falls in Parkinson's disease","volume":"26","author":[{"family":"Yarnall","given":"Alison"},{"family":"Rochester","given":"Lynn"},{"family":"Burn","given":"David J."}],"issued":{"date-parts":[["2011"]]}}}],"schema":"https://github.com/citation-style-language/schema/raw/master/csl-citation.json"} </w:instrText>
      </w:r>
      <w:r>
        <w:fldChar w:fldCharType="separate"/>
      </w:r>
      <w:r w:rsidR="00942C40" w:rsidRPr="00942C40">
        <w:t>(Martinez‐Martin et al., 2019; Yarnall et al., 2011)</w:t>
      </w:r>
      <w:r>
        <w:fldChar w:fldCharType="end"/>
      </w:r>
      <w:r>
        <w:t>.</w:t>
      </w:r>
    </w:p>
    <w:p w14:paraId="6FC1B6ED" w14:textId="01EF9106" w:rsidR="003B273A" w:rsidRDefault="003B273A" w:rsidP="00942C40">
      <w:pPr>
        <w:rPr>
          <w:rtl/>
        </w:rPr>
      </w:pPr>
      <w:r w:rsidRPr="00B95B23">
        <w:lastRenderedPageBreak/>
        <w:t>In recent years</w:t>
      </w:r>
      <w:r>
        <w:t>,</w:t>
      </w:r>
      <w:r w:rsidRPr="00B95B23">
        <w:t xml:space="preserve"> advances in medical research have led to</w:t>
      </w:r>
      <w:r>
        <w:t xml:space="preserve"> treatments such as</w:t>
      </w:r>
      <w:r w:rsidRPr="00B95B23">
        <w:t xml:space="preserve"> new drugs or advanced deep-brain stimulators (DBS)</w:t>
      </w:r>
      <w:r>
        <w:t xml:space="preserve"> </w:t>
      </w:r>
      <w:r>
        <w:fldChar w:fldCharType="begin"/>
      </w:r>
      <w:r w:rsidR="006B7331">
        <w:instrText xml:space="preserve"> ADDIN ZOTERO_ITEM CSL_CITATION {"citationID":"solKkyJP","properties":{"formattedCitation":"(Dhivya &amp; Balachandar, 2017; Espay et al., 2016; Krauss et al., 2021)","plainCitation":"(Dhivya &amp; Balachandar, 2017; Espay et al., 2016; Krauss et al., 2021)","noteIndex":0},"citationItems":[{"id":48,"uris":["http://zotero.org/users/9293396/items/RSPYBXM6"],"itemData":{"id":48,"type":"article-journal","abstract":"The selective degeneration of dopaminergic (DA) neurons in Parkinson’s disease (PD) has made an idol target for cell replacement therapies and other emerging surgical treatments. Certainly, by transplantation method, the therapeutic regimens such as human fetal ventral midbrain (hfVM) cells, human embryonic stem cells (hESCs), human neural stem/precursor/ progenitor cells (hNSCs/hNPCs), human mesenchymal stem cells (hMSCs), human induced neural stem cells (hiNSCs), and human induced pluripotent stem cells (hiPSCs) have been used into DA deficient striatum. In recent decades, surgical methods such as deep brain stimulation (DBS) and gene therapies have been used with the aim of treating PD. Though the technology has improved and many treating options arise, the permanent source for curing PD has not been identified yet. In this review, we examine how stem cell therapies have made advancement as a therapeutic source for PD when compared with surgical treatments.","container-title":"Stem Cell Investigation","DOI":"10.21037/sci.2017.06.08","ISSN":"2306-9759","journalAbbreviation":"Stem Cell Investig","note":"PMID: 28725655\nPMCID: PMC5504089","page":"59","source":"PubMed Central","title":"Cell replacement therapy is the remedial solution for treating Parkinson’s disease","volume":"4","author":[{"family":"Dhivya","given":"Venkatesan"},{"family":"Balachandar","given":"Vellingiri"}],"issued":{"date-parts":[["2017",6,30]]}}},{"id":"gr4NIhwO/d05lKwiX","uris":["http://zotero.org/users/9293396/items/GG9MIJL3"],"itemData":{"id":"rAspmmG2/KfGj8wjD","type":"article-journal","abstract":"The miniaturization, sophistication, proliferation, and accessibility of technologies are enabling the capture of more and previously inaccessible phenomena in Parkinson's disease (PD). However, more information has not translated into a greater understanding of disease complexity to satisfy diagnostic and therapeutic needs. Challenges include noncompatible technology platforms, the need for wide-scale and long-term deployment of sensor technology (among vulnerable elderly patients in particular), and the gap between the “big data” acquired with sensitive measurement technologies and their limited clinical application. Major opportunities could be realized if new technologies are developed as part of open-source and/or open-hardware platforms that enable multichannel data capture sensitive to the broad range of motor and nonmotor problems that characterize PD and are adaptable into self-adjusting, individualized treatment delivery systems. The International Parkinson and Movement Disorders Society Task Force on Technology is entrusted to convene engineers, clinicians, researchers, and patients to promote the development of integrated measurement and closed-loop therapeutic systems with high patient adherence that also serve to (1) encourage the adoption of clinico-pathophysiologic phenotyping and early detection of critical disease milestones, (2) enhance the tailoring of symptomatic therapy, (3) improve subgroup targeting of patients for future testing of disease-modifying treatments, and (4) identify objective biomarkers to improve the longitudinal tracking of impairments in clinical care and research. This article summarizes the work carried out by the task force toward identifying challenges and opportunities in the development of technologies with potential for improving the clinical management and the quality of life of individuals with PD. © 2016 International Parkinson and Movement Disorder Society","container-title":"Movement Disorders","DOI":"10.1002/mds.26642","ISSN":"1531-8257","issue":"9","language":"en","note":"_eprint: https://movementdisorders.onlinelibrary.wiley.com/doi/pdf/10.1002/mds.26642","page":"1272-1282","source":"Wiley Online Library","title":"Technology in Parkinson's disease: Challenges and opportunities","title-short":"Technology in Parkinson's disease","volume":"31","author":[{"family":"Espay","given":"Alberto J."},{"family":"Bonato","given":"Paolo"},{"family":"Nahab","given":"Fatta B."},{"family":"Maetzler","given":"Walter"},{"family":"Dean","given":"John M."},{"family":"Klucken","given":"Jochen"},{"family":"Eskofier","given":"Bjoern M."},{"family":"Merola","given":"Aristide"},{"family":"Horak","given":"Fay"},{"family":"Lang","given":"Anthony E."},{"family":"Reilmann","given":"Ralf"},{"family":"Giuffrida","given":"Joe"},{"family":"Nieuwboer","given":"Alice"},{"family":"Horne","given":"Malcolm"},{"family":"Little","given":"Max A."},{"family":"Litvan","given":"Irene"},{"family":"Simuni","given":"Tanya"},{"family":"Dorsey","given":"E. Ray"},{"family":"Burack","given":"Michelle A."},{"family":"Kubota","given":"Ken"},{"family":"Kamondi","given":"Anita"},{"family":"Godinho","given":"Catarina"},{"family":"Daneault","given":"Jean-Francois"},{"family":"Mitsi","given":"Georgia"},{"family":"Krinke","given":"Lothar"},{"family":"Hausdorff","given":"Jeffery M."},{"family":"Bloem","given":"Bastiaan R."},{"family":"Papapetropoulos","given":"Spyros"},{"family":"Technology","given":"on behalf of the Movement Disorders Society Task Force","dropping-particle":"on"}],"issued":{"date-parts":[["2016"]]}}},{"id":51,"uris":["http://zotero.org/users/9293396/items/UTMVNG9S"],"itemData":{"id":51,"type":"article-journal","abstract":"Deep brain stimulation (DBS) is a neurosurgical procedure that allows targeted circuit-based neuromodulation. DBS is a standard of care in Parkinson disease, essential tremor and dystonia, and is also under active investigation for other conditions linked to pathological circuitry, including major depressive disorder and Alzheimer disease. Modern DBS systems, borrowed from the cardiac field, consist of an intracranial electrode, an extension wire and a pulse generator, and have evolved slowly over the past two decades. Advances in engineering and imaging along with an improved understanding of brain disorders are poised to reshape how DBS is viewed and delivered to patients. Breakthroughs in electrode and battery designs, stimulation paradigms, closed-loop and on-demand stimulation, and sensing technologies are expected to enhance the efficacy and tolerability of DBS. In this Review, we provide a comprehensive overview of the technical development of DBS, from its origins to its future. Understanding the evolution of DBS technology helps put the currently available systems in perspective and allows us to predict the next major technological advances and hurdles in the field.","container-title":"Nature reviews. Neurology","DOI":"10.1038/s41582-020-00426-z","ISSN":"1759-4758","issue":"2","journalAbbreviation":"Nat Rev Neurol","note":"PMID: 33244188\nPMCID: PMC7116699","page":"75-87","source":"PubMed Central","title":"Technology of deep brain stimulation: current status and future directions","title-short":"Technology of deep brain stimulation","volume":"17","author":[{"family":"Krauss","given":"Joachim K."},{"family":"Lipsman","given":"Nir"},{"family":"Aziz","given":"Tipu"},{"family":"Boutet","given":"Alexandre"},{"family":"Brown","given":"Peter"},{"family":"Chang","given":"Jin Woo"},{"family":"Davidson","given":"Benjamin"},{"family":"Grill","given":"Warren M."},{"family":"Hariz","given":"Marwan I."},{"family":"Horn","given":"Andreas"},{"family":"Schulder","given":"Michael"},{"family":"Mammis","given":"Antonios"},{"family":"Tass","given":"Peter A."},{"family":"Volkmann","given":"Jens"},{"family":"Lozano","given":"Andres M."}],"issued":{"date-parts":[["2021",2,1]]}}}],"schema":"https://github.com/citation-style-language/schema/raw/master/csl-citation.json"} </w:instrText>
      </w:r>
      <w:r>
        <w:fldChar w:fldCharType="separate"/>
      </w:r>
      <w:r w:rsidR="00942C40" w:rsidRPr="00942C40">
        <w:t>(Dhivya &amp; Balachandar, 2017; Espay et al., 2016; Krauss et al., 2021)</w:t>
      </w:r>
      <w:r>
        <w:fldChar w:fldCharType="end"/>
      </w:r>
      <w:r w:rsidRPr="00B95B23">
        <w:t xml:space="preserve"> Nevertheless, these solutions</w:t>
      </w:r>
      <w:r>
        <w:t xml:space="preserve">, while helpful for some aspects of the disease, </w:t>
      </w:r>
      <w:r w:rsidRPr="00B95B23">
        <w:t xml:space="preserve">do not </w:t>
      </w:r>
      <w:r>
        <w:t>eliminate</w:t>
      </w:r>
      <w:r w:rsidRPr="00B95B23">
        <w:t xml:space="preserve"> the burden on </w:t>
      </w:r>
      <w:r>
        <w:t>people with PD</w:t>
      </w:r>
      <w:r w:rsidRPr="00B95B23">
        <w:t xml:space="preserve"> and their caregivers, </w:t>
      </w:r>
      <w:r>
        <w:t>since assistance is still needed</w:t>
      </w:r>
      <w:r w:rsidRPr="00B95B23">
        <w:t>. For example, Mosley et al. (2017) showed that while</w:t>
      </w:r>
      <w:r>
        <w:rPr>
          <w:rFonts w:hint="cs"/>
        </w:rPr>
        <w:t xml:space="preserve"> </w:t>
      </w:r>
      <w:r w:rsidRPr="00B95B23">
        <w:t>DBS reduces motor symptoms, non-motor symptoms increase, and therefore, the caregivers</w:t>
      </w:r>
      <w:r>
        <w:t>’</w:t>
      </w:r>
      <w:r w:rsidRPr="00B95B23">
        <w:t xml:space="preserve"> burden may not change and may even worsen.</w:t>
      </w:r>
    </w:p>
    <w:p w14:paraId="7593A751" w14:textId="4AB91569" w:rsidR="003B273A" w:rsidRDefault="003B273A" w:rsidP="00884D23">
      <w:r>
        <w:t>To date, v</w:t>
      </w:r>
      <w:r w:rsidRPr="005238BD">
        <w:t>arious technologies have been developed for people with PD</w:t>
      </w:r>
      <w:r>
        <w:t xml:space="preserve">, </w:t>
      </w:r>
      <w:r>
        <w:rPr>
          <w:rFonts w:hint="cs"/>
          <w:rtl/>
        </w:rPr>
        <w:t xml:space="preserve"> </w:t>
      </w:r>
      <w:r>
        <w:t xml:space="preserve">such as </w:t>
      </w:r>
      <w:r w:rsidRPr="001856AA">
        <w:t>wearable sensors that measure symptoms</w:t>
      </w:r>
      <w:r>
        <w:t xml:space="preserve"> </w:t>
      </w:r>
      <w:r>
        <w:fldChar w:fldCharType="begin"/>
      </w:r>
      <w:r w:rsidR="006B7331">
        <w:instrText xml:space="preserve"> ADDIN ZOTERO_ITEM CSL_CITATION {"citationID":"HsJfKG0S","properties":{"formattedCitation":"(Espay et al., 2016; Maetzler et al., 2016; Ramdhani et al., 2018)","plainCitation":"(Espay et al., 2016; Maetzler et al., 2016; Ramdhani et al., 2018)","noteIndex":0},"citationItems":[{"id":"gr4NIhwO/d05lKwiX","uris":["http://zotero.org/users/9293396/items/GG9MIJL3"],"itemData":{"id":54,"type":"article-journal","abstract":"The miniaturization, sophistication, proliferation, and accessibility of technologies are enabling the capture of more and previously inaccessible phenomena in Parkinson's disease (PD). However, more information has not translated into a greater understanding of disease complexity to satisfy diagnostic and therapeutic needs. Challenges include noncompatible technology platforms, the need for wide-scale and long-term deployment of sensor technology (among vulnerable elderly patients in particular), and the gap between the “big data” acquired with sensitive measurement technologies and their limited clinical application. Major opportunities could be realized if new technologies are developed as part of open-source and/or open-hardware platforms that enable multichannel data capture sensitive to the broad range of motor and nonmotor problems that characterize PD and are adaptable into self-adjusting, individualized treatment delivery systems. The International Parkinson and Movement Disorders Society Task Force on Technology is entrusted to convene engineers, clinicians, researchers, and patients to promote the development of integrated measurement and closed-loop therapeutic systems with high patient adherence that also serve to (1) encourage the adoption of clinico-pathophysiologic phenotyping and early detection of critical disease milestones, (2) enhance the tailoring of symptomatic therapy, (3) improve subgroup targeting of patients for future testing of disease-modifying treatments, and (4) identify objective biomarkers to improve the longitudinal tracking of impairments in clinical care and research. This article summarizes the work carried out by the task force toward identifying challenges and opportunities in the development of technologies with potential for improving the clinical management and the quality of life of individuals with PD. © 2016 International Parkinson and Movement Disorder Society","container-title":"Movement Disorders","DOI":"10.1002/mds.26642","ISSN":"1531-8257","issue":"9","language":"en","note":"_eprint: https://movementdisorders.onlinelibrary.wiley.com/doi/pdf/10.1002/mds.26642","page":"1272-1282","source":"Wiley Online Library","title":"Technology in Parkinson's disease: Challenges and opportunities","title-short":"Technology in Parkinson's disease","volume":"31","author":[{"family":"Espay","given":"Alberto J."},{"family":"Bonato","given":"Paolo"},{"family":"Nahab","given":"Fatta B."},{"family":"Maetzler","given":"Walter"},{"family":"Dean","given":"John M."},{"family":"Klucken","given":"Jochen"},{"family":"Eskofier","given":"Bjoern M."},{"family":"Merola","given":"Aristide"},{"family":"Horak","given":"Fay"},{"family":"Lang","given":"Anthony E."},{"family":"Reilmann","given":"Ralf"},{"family":"Giuffrida","given":"Joe"},{"family":"Nieuwboer","given":"Alice"},{"family":"Horne","given":"Malcolm"},{"family":"Little","given":"Max A."},{"family":"Litvan","given":"Irene"},{"family":"Simuni","given":"Tanya"},{"family":"Dorsey","given":"E. Ray"},{"family":"Burack","given":"Michelle A."},{"family":"Kubota","given":"Ken"},{"family":"Kamondi","given":"Anita"},{"family":"Godinho","given":"Catarina"},{"family":"Daneault","given":"Jean-Francois"},{"family":"Mitsi","given":"Georgia"},{"family":"Krinke","given":"Lothar"},{"family":"Hausdorff","given":"Jeffery M."},{"family":"Bloem","given":"Bastiaan R."},{"family":"Papapetropoulos","given":"Spyros"},{"family":"Technology","given":"on behalf of the Movement Disorders Society Task Force","dropping-particle":"on"}],"issued":{"date-parts":[["2016"]]}}},{"id":122,"uris":["http://zotero.org/users/9293396/items/MBB5VNSX"],"itemData":{"id":122,"type":"article-journal","abstract":"Recently, quantitative, objective, and easy-to-use technology-based tools that can assess PD features over long time periods have been developed and generate clinically relevant and comparable patient information. Herein, we present a clinician's view on technological developments that have the potential to revolutionize clinical management concepts in PD. According to prominent examples in clinical medicine (e.g., blood glycosylated hemoglobin and blood pressure), we argue that the consideration of technology-based assessment in the clinical management of PD must be based on specific assumptions: (1) It provides a valid and accurate parameter of a clinically relevant feature of the disease; (2) there is confirmed evidence that the parameter has an ecologically relevant effect on the specific clinical application; (3) a target range can be defined wherein the parameter reflects the adequate treatment response; and (4) implementation is simple to allow repetitive use. Currently, there are no technology-based tools available that fulfil all these assumptions; however, assessments of akinesia, dyskinesia, motor fluctuations, physical inactivity, gait impairment, and postural instability seem relatively close to the specifications described. An iterative process of integration is recommended to bring technology-based tools into clinical practice. © 2016 International Parkinson and Movement Disorder Society","container-title":"Movement Disorders","DOI":"10.1002/mds.26673","ISSN":"1531-8257","issue":"9","language":"en","note":"_eprint: https://movementdisorders.onlinelibrary.wiley.com/doi/pdf/10.1002/mds.26673","page":"1263-1271","source":"Wiley Online Library","title":"A clinical view on the development of technology-based tools in managing Parkinson's disease","volume":"31","author":[{"family":"Maetzler","given":"Walter"},{"family":"Klucken","given":"Jochen"},{"family":"Horne","given":"Malcolm"}],"issued":{"date-parts":[["2016"]]}}},{"id":124,"uris":["http://zotero.org/users/9293396/items/D7KVRR7D"],"itemData":{"id":124,"type":"article-journal","abstract":"The emergence of motion sensors as a tool that provides objective motor performance data on individuals afflicted with Parkinson's disease offers an opportunity to expand the horizon of clinical care for this neurodegenerative condition. Subjective clinical scales and patient based motor diaries have limited clinometric properties and produce a glimpse rather than continuous real time perspective into motor disability. Furthermore, the expansion of machine learn algorithms is yielding novel classification and probabilistic clinical models that stand to change existing treatment paradigms, refine the application of advance therapeutics, and may facilitate the development and testing of disease modifying agents for this disease. We review the use of inertial sensors and machine learning algorithms in Parkinson's disease.","container-title":"Frontiers in Computational Neuroscience","ISSN":"1662-5188","source":"Frontiers","title":"Optimizing Clinical Assessments in Parkinson's Disease Through the Use of Wearable Sensors and Data Driven Modeling","URL":"https://www.frontiersin.org/article/10.3389/fncom.2018.00072","volume":"12","author":[{"family":"Ramdhani","given":"Ritesh A."},{"family":"Khojandi","given":"Anahita"},{"family":"Shylo","given":"Oleg"},{"family":"Kopell","given":"Brian H."}],"accessed":{"date-parts":[["2022",5,11]]},"issued":{"date-parts":[["2018"]]}}}],"schema":"https://github.com/citation-style-language/schema/raw/master/csl-citation.json"} </w:instrText>
      </w:r>
      <w:r>
        <w:fldChar w:fldCharType="separate"/>
      </w:r>
      <w:r w:rsidR="00942C40" w:rsidRPr="00942C40">
        <w:t>(Espay et al., 2016; Maetzler et al., 2016; Ramdhani et al., 2018)</w:t>
      </w:r>
      <w:r>
        <w:fldChar w:fldCharType="end"/>
      </w:r>
      <w:r>
        <w:t xml:space="preserve"> or help tailor users’ </w:t>
      </w:r>
      <w:r w:rsidRPr="00BE6B7B">
        <w:t>medication regimen</w:t>
      </w:r>
      <w:r>
        <w:t xml:space="preserve"> </w:t>
      </w:r>
      <w:r>
        <w:fldChar w:fldCharType="begin"/>
      </w:r>
      <w:r w:rsidR="00884D23">
        <w:instrText xml:space="preserve"> ADDIN ZOTERO_ITEM CSL_CITATION {"citationID":"SlL0AFKB","properties":{"formattedCitation":"(Watts et al., 2021)","plainCitation":"(Watts et al., 2021)","noteIndex":0},"citationItems":[{"id":130,"uris":["http://zotero.org/users/9293396/items/Q4WKVHL8"],"itemData":{"id":130,"type":"article-journal","abstract":"Parkinson’s disease medication treatment planning is generally based on subjective data obtained through clinical, physician-patient interactions. The Personal KinetiGraph™ (PKG) and similar wearable sensors have shown promise in enabling objective, continuous remote health monitoring for Parkinson’s patients. In this proof-of-concept study, we propose to use objective sensor data from the PKG and apply machine learning to cluster patients based on levodopa regimens and response. The resulting clusters are then used to enhance treatment planning by providing improved initial treatment estimates to supplement a physician’s initial assessment. We apply k-means clustering to a dataset of within-subject Parkinson’s medication changes—clinically assessed by the MDS-Unified Parkinson’s Disease Rating Scale-III (MDS-UPDRS-III) and the PKG sensor for movement staging. A random forest classification model was then used to predict patients’ cluster allocation based on their respective demographic information, MDS-UPDRS-III scores, and PKG time-series data. Clinically relevant clusters were partitioned by levodopa dose, medication administration frequency, and total levodopa equivalent daily dose—with the PKG providing similar symptomatic assessments to physician MDS-UPDRS-III scores. A random forest classifier trained on demographic information, MDS-UPDRS-III scores, and PKG time-series data was able to accurately classify subjects of the two most demographically similar clusters with an accuracy of 86.9%, an F1 score of 90.7%, and an AUC of 0.871. A model that relied solely on demographic information and PKG time-series data provided the next best performance with an accuracy of 83.8%, an F1 score of 88.5%, and an AUC of 0.831, hence further enabling fully remote assessments. These computational methods demonstrate the feasibility of using sensor-based data to cluster patients based on their medication responses with further potential to assist with medication recommendations.","container-title":"Sensors","DOI":"10.3390/s21103553","ISSN":"1424-8220","issue":"10","language":"en","license":"http://creativecommons.org/licenses/by/3.0/","note":"number: 10\npublisher: Multidisciplinary Digital Publishing Institute","page":"3553","source":"www.mdpi.com","title":"Improving Medication Regimen Recommendation for Parkinson’s Disease Using Sensor Technology","volume":"21","author":[{"family":"Watts","given":"Jeremy"},{"family":"Khojandi","given":"Anahita"},{"family":"Vasudevan","given":"Rama"},{"family":"Nahab","given":"Fatta B."},{"family":"Ramdhani","given":"Ritesh A."}],"issued":{"date-parts":[["2021",1]]}}}],"schema":"https://github.com/citation-style-language/schema/raw/master/csl-citation.json"} </w:instrText>
      </w:r>
      <w:r>
        <w:fldChar w:fldCharType="separate"/>
      </w:r>
      <w:r w:rsidR="00884D23" w:rsidRPr="00884D23">
        <w:t>(Watts et al., 2021)</w:t>
      </w:r>
      <w:r>
        <w:fldChar w:fldCharType="end"/>
      </w:r>
      <w:r>
        <w:t xml:space="preserve">. An underexplored technological tool for use by individuals with PD is the </w:t>
      </w:r>
      <w:r w:rsidRPr="005238BD">
        <w:t>socially assistive robot (SAR)</w:t>
      </w:r>
      <w:r>
        <w:t xml:space="preserve">. </w:t>
      </w:r>
      <w:r w:rsidRPr="005238BD">
        <w:t xml:space="preserve">SARs are robots that </w:t>
      </w:r>
      <w:proofErr w:type="gramStart"/>
      <w:r>
        <w:t xml:space="preserve">offer </w:t>
      </w:r>
      <w:r w:rsidRPr="005238BD">
        <w:t>assist</w:t>
      </w:r>
      <w:r>
        <w:t>ance</w:t>
      </w:r>
      <w:proofErr w:type="gramEnd"/>
      <w:r w:rsidRPr="005238BD">
        <w:t xml:space="preserve"> through social interactions. SARs </w:t>
      </w:r>
      <w:r>
        <w:t xml:space="preserve">have been investigated with other specific populations, such as individuals with stroke, individuals with dementia (including Alzheimer’s disease, individuals who have suffered a heart attack, and healthy young individuals </w:t>
      </w:r>
      <w:r>
        <w:fldChar w:fldCharType="begin"/>
      </w:r>
      <w:r w:rsidR="00C43B4F">
        <w:instrText xml:space="preserve"> ADDIN ZOTERO_ITEM CSL_CITATION {"citationID":"Y7or3W6f","properties":{"formattedCitation":"(C\\uc0\\u233{}spedes et al., 2021; Cohavi &amp; Levy-Tzedek, 2022; Eizicovits et al., n.d.; Feingold-Polak et al., 2021; Geva et al., 2020a; Kashi &amp; Levy-Tzedek, 2018; Koutentakis et al., 2020; Langer et al., 2019)","plainCitation":"(Céspedes et al., 2021; Cohavi &amp; Levy-Tzedek, 2022; Eizicovits et al., n.d.; Feingold-Polak et al., 2021; Geva et al., 2020a; Kashi &amp; Levy-Tzedek, 2018; Koutentakis et al., 2020; Langer et al., 2019)","noteIndex":0},"citationItems":[{"id":76,"uris":["http://zotero.org/users/9293396/items/CD4MSVQE"],"itemData":{"id":76,"type":"article-journal","abstract":"What are the benefits of using a socially assistive robot for long-term cardiac rehabilitation? To answer this question we designed and conducted a real-world long-term study, in collaboration with medical specialists, at the Fundación Cardioinfantil-Instituto de Cardiología clinic (Bogotá, Colombia) lasting 2.5 years. The study took place within the context of the outpatient phase of patients' cardiac rehabilitation programme and aimed to compare the patients' progress and adherence in the conventional cardiac rehabilitation programme (control condition) against rehabilitation supported by a fully autonomous socially assistive robot which continuously monitored the patients during exercise to provide immediate feedback and motivation based on sensory measures (robot condition). The explicit aim of the social robot is to improve patient motivation and increase adherence to the programme to ensure a complete recovery. We recruited 15 patients per condition. The cardiac rehabilitation programme was designed to last 36 sessions (18 weeks) per patient. The findings suggest that robot increases adherence (by 13.3%) and leads to faster completion of the programme. In addition, the patients assisted by the robot had more rapid improvement in their recovery heart rate, better physical activity performance and a higher improvement in cardiovascular functioning, which indicate a successful cardiac rehabilitation programme performance. Moreover, the medical staff and the patients acknowledged that the robot improved the patient motivation and adherence to the programme, supporting its potential in addressing the major challenges in rehabilitation programmes.","container-title":"Frontiers in Neurorobotics","DOI":"10.3389/fnbot.2021.633248","ISSN":"1662-5218","journalAbbreviation":"Front Neurorobot","note":"PMID: 33828473\nPMCID: PMC8020889","page":"633248","source":"PubMed Central","title":"A Socially Assistive Robot for Long-Term Cardiac Rehabilitation in the Real World","volume":"15","author":[{"family":"Céspedes","given":"Nathalia"},{"family":"Irfan","given":"Bahar"},{"family":"Senft","given":"Emmanuel"},{"family":"Cifuentes","given":"Carlos A."},{"family":"Gutierrez","given":"Luisa F."},{"family":"Rincon-Roncancio","given":"Mónica"},{"family":"Belpaeme","given":"Tony"},{"family":"Múnera","given":"Marcela"}],"issued":{"date-parts":[["2021",3,16]]}}},{"id":97,"uris":["http://zotero.org/users/9293396/items/3G79D6JN"],"itemData":{"id":97,"type":"article-journal","abstract":"Socially Assistive Robots (SARs) and immersive Virtual Reality (iVR) are interactive platforms that promote user engagement, which can motivate users to adhere to therapeutic frameworks. SARs use social presence to create affective relationships with users, leveraging the human tendency to be driven by social interactions. iVR uses spatial presence to provide an intense multisensory experience that submerges users in a virtual world. We adapted two such platforms – a SAR and an iVR – to deliver cognitive training (CT), by integrating established cognitive tasks in gamified environments that convey a strong sense of presence. Sixty-four participants un­ derwent CT with both platforms. We tested: (1) their perception of both platforms; (2) whether they preferred one over the other in the short term; (3) their projected preferences for long-term training; and (4) whether their preferences correlated with personal characteristics. They preferred the virtual experience in the short term across age and gender. For long-term CT, there was equal projected preference for both platforms. It may be that a combination of social and spatial presence might yield engagement in long-term training.","container-title":"International Journal of Human-Computer Studies","DOI":"10.1016/j.ijhcs.2022.102775","ISSN":"10715819","journalAbbreviation":"International Journal of Human-Computer Studies","language":"en","page":"102775","source":"DOI.org (Crossref)","title":"Young and old users prefer immersive virtual reality over a social robot for short-term cognitive training","volume":"161","author":[{"family":"Cohavi","given":"Orit"},{"family":"Levy-Tzedek","given":"Shelly"}],"issued":{"date-parts":[["2022",5]]}}},{"id":102,"uris":["http://zotero.org/users/9293396/items/MHV49HYM"],"itemData":{"id":102,"type":"article-journal","abstract":"Background:\nEffective human-robot interactions in rehabilitation necessitates an understanding of how these should be tailored to the needs of the human. We report on a robotic system developed as a partner on a 3-D everyday task, using a gamified approach.\n\nObjectives:\nTo: (1) design and test a prototype system, to be ultimately used for upper-limb rehabilitation; (2) evaluate how age affects the response to such a robotic system; and (3) identify whether the robot’s physical embodiment is an important aspect in motivating users to complete a set of repetitive tasks.\n\nMethods:\n62 healthy participants, young (&lt;30 yo) and old (&gt;60 yo), played a 3D tic-tac-toe game against an embodied (a robotic arm) and a non-embodied (a computer-controlled lighting system) partner. To win, participants had to place three cups in sequence on a physical 3D grid. Cup picking-and-placing was chosen as a functional task that is often practiced in post-stroke rehabilitation. Movement of the participants was recorded using a Kinect camera.\n\nResults:\nThe timing of the participants’ movement was primed by the response time of the system: participants moved slower when playing with the slower embodied system (p = 0.006). The majority of participants preferred the robot over the computer-controlled system. Slower response time of the robot compared to the computer-controlled one only affected the young group’s motivation to continue playing.\n\nConclusion:\nWe demonstrated the feasibility of the system to encourage the performance of repetitive 3D functional movements, and track these movements. Young and old participants preferred to interact with the robot, compared with the non-embodied system. We contribute to the growing knowledge concerning personalized human-robot interactions by (1) demonstrating the priming of the human movement by the robotic movement – an important design feature, and (2) identifying response-speed as a design variable, the importance of which depends on the age of the user.","container-title":"Restorative Neurology and Neuroscience","DOI":"10.3233/RNN-170802","ISSN":"0922-6028","issue":"2","journalAbbreviation":"Restor Neurol Neurosci","note":"PMID: 29526862\nPMCID: PMC5870005","page":"261-274","source":"PubMed Central","title":"Robotic gaming prototype for upper limb exercise: Effects of age and embodiment on user preferences and movement","title-short":"Robotic gaming prototype for upper limb exercise","volume":"36","author":[{"family":"Eizicovits","given":"Danny"},{"family":"Edan","given":"Yael"},{"family":"Tabak","given":"Iris"},{"family":"Levy-Tzedek","given":"Shelly"}]}},{"id":99,"uris":["http://zotero.org/users/9293396/items/S3RXEVE9"],"itemData":{"id":99,"type":"article-journal","abstract":"Background:  Socially assistive robots (SARs) have been proposed as a tool to help individuals who have had a stroke to perform their exercise during their rehabilitation process. Yet, to date, there are no data on the motivating benefit of SARs in a long-term interaction with post-stroke patients.\nMethods:  Here, we describe a robot-based gamified exercise platform, which we developed for long-term poststroke rehabilitation. The platform uses the humanoid robot Pepper, and also has a computer-based configuration (with no robot). It includes seven gamified sets of exercises, which are based on functional tasks from the everyday life of the patients. The platform gives the patients instructions, as well as feedback on their performance, and can track their performance over time. We performed a long-term patient-usability study, where 24 post-stroke patients were randomly allocated to exercise with this platform—either with the robot or the computer configuration—over a 5–7 week period, 3 times per week, for a total of 306 sessions.\nResults:  The participants in both groups reported that this rehabilitation platform addressed their arm rehabilitation needs, and they expressed their desire to continue training with it even after the study ended. We found a trend for higher acceptance of the system by the participants in the robot group on all parameters; however, this difference was not significant. We found that system failures did not affect the long-term trust that users felt towards the system.\nConclusions:  We demonstrated the usability of using this platform for a long-term rehabilitation with post-stroke patients in a clinical setting. We found high levels of acceptance of both platform configurations by patients following this interaction, with higher ratings given to the SAR configuration. We show that it is not the mere use of technology that increases the motivation of the person to practice, but rather it is the appreciation of the technology’s effective‑ness and its perceived contribution to the rehabilitation process. In addition, we provide a list of guidelines that can be used when designing and implementing other technological tools for rehabilitation. Trial registration: This trial is registered in the NIH ClinicalTrials.gov database. Registration number NCT03651063, regis‑tration date 21.08.2018. https://clinicaltrials.gov/ct2/show/NCT03651063.","container-title":"Journal of NeuroEngineering and Rehabilitation","DOI":"10.1186/s12984-021-00915-2","ISSN":"1743-0003","issue":"1","journalAbbreviation":"J NeuroEngineering Rehabil","language":"en","page":"122","source":"DOI.org (Crossref)","title":"A robot goes to rehab: a novel gamified system for long-term stroke rehabilitation using a socially assistive robot—methodology and usability testing","title-short":"A robot goes to rehab","volume":"18","author":[{"family":"Feingold-Polak","given":"Ronit"},{"family":"Barzel","given":"Oren"},{"family":"Levy-Tzedek","given":"Shelly"}],"issued":{"date-parts":[["2021",12]]}}},{"id":101,"uris":["http://zotero.org/users/9293396/items/893XZE8W"],"itemData":{"id":101,"type":"article-journal","abstract":"Abstract\n            Human-human social touch improves mood and alleviates pain. No studies have so far tested the effect of human-robot emotional touch on experimentally induced pain ratings, on mood and on oxytocin levels in healthy young adults. Here, we assessed the effect of touching the robot PARO on pain perception, on mood and on salivary oxytocin levels, in 83 young adults. We measured their perceived pain, happiness state, and salivary oxytocin. For the 63 participants in the PARO group, pain was assessed in three conditions: Baseline, Touch (touching PARO) and No-Touch (PARO present). The control group (20 participants) underwent the same measurements without ever encountering PARO. There was a decrease in pain ratings and in oxytocin levels and an increase in happiness ratings compared to baseline only in the PARO group. The Touch condition yielded a larger decrease in pain ratings compared to No-Touch. These effects correlated with the participants’ positive perceptions of the interaction with PARO. Participants with higher perceived ability to communicate with PARO experienced a greater hypoalgesic effect when touching PARO. We show that human-robot social touch is effective in reducing pain ratings, improving mood and - surprisingly - reducing salivary oxytocin levels in adults.","container-title":"Scientific Reports","DOI":"10.1038/s41598-020-66982-y","ISSN":"2045-2322","issue":"1","journalAbbreviation":"Sci Rep","language":"en","page":"9814","source":"DOI.org (Crossref)","title":"Touching the social robot PARO reduces pain perception and salivary oxytocin levels","volume":"10","author":[{"family":"Geva","given":"Nirit"},{"family":"Uzefovsky","given":"Florina"},{"family":"Levy-Tzedek","given":"Shelly"}],"issued":{"date-parts":[["2020",12]]}}},{"id":106,"uris":["http://zotero.org/users/9293396/items/6NP2XDBG"],"itemData":{"id":106,"type":"article-journal","abstract":"Background: The increasing number of opportunities for human-robot interactions in various settings, from industry through home use to rehabilitation, creates a need to understand how to best personalize human-robot interactions to ﬁt both the user and the task at hand. In the current experiment, we explored a human-robot collaborative task of joint movement, in the context of an interactive game.\nObjective: We set out to test people’s preferences when interacting with a robotic arm, playing a leader-follower imitation game (the mirror game).\nMethods: Twenty two young participants played the mirror game with the robotic arm, where one player (person or robot) followed the movements of the other. Each partner (person and robot) was leading part of the time, and following part of the time. When the robotic arm was leading the joint movement, it performed movements that were either sharp or smooth, which participants were later asked to rate.\nResults: The greatest preference was given to smooth movements. Half of the participants preferred to lead, and half preferred to follow. Importantly, we found that the movements of the robotic arm primed the subsequent movements performed by the participants.\nConclusion: The priming effect by the robot on the movements of the human should be considered when designing interactions with robots. Our results demonstrate individual differences in preferences regarding the role of the human and the joint motion path of the robot and the human when performing the mirror game collaborative task, and highlight the importance of personalized human-robot interactions.","container-title":"Restorative Neurology and Neuroscience","DOI":"10.3233/RNN-170756","ISSN":"09226028, 18783627","issue":"2","journalAbbreviation":"RNN","language":"en","page":"147-159","source":"DOI.org (Crossref)","title":"Smooth leader or sharp follower? Playing the mirror game with a robot","title-short":"Smooth leader or sharp follower?","volume":"36","author":[{"family":"Kashi","given":"Shir"},{"family":"Levy-Tzedek","given":"Shelly"}],"issued":{"date-parts":[["2018",3,8]]}}},{"id":59,"uris":["http://zotero.org/users/9293396/items/72HR7QY8"],"itemData":{"id":59,"type":"article-journal","abstract":"Over the past few years there has been a large rise in the field of robotics. Robots are being in used in many industries, but there has not been a large surge of robots in the medical field, especially the robots for healthcare use. However, as the aging population keeps growing, current medical staff and healthcare providers are increasingly burdened by caring for the ever-growing number of senior patients, especially those with cognitive impairment of Alzheimer’s disease (AD) and Alzheimer’s disease-related dementia (ADRD) patients. As a result, we can expect to see a large increase in the field of medical robotics, especially in forms of socially assistive robots (SARs) for senior patients and healthcare providers. In fact, SARs can alleviate AD and ADRD patients and their caregivers’ unmet medical needs. Herein, we propose a design outline for such a SAR, based on a review of the current literature. We believe the next generation of SARs will enhance health and well-being, reduce illness and disability, and improve quality of life for AD and ADRD patients and their caregivers.","container-title":"Healthcare","DOI":"10.3390/healthcare8020073","ISSN":"2227-9032","issue":"2","language":"en","license":"http://creativecommons.org/licenses/by/3.0/","note":"number: 2\npublisher: Multidisciplinary Digital Publishing Institute","page":"73","source":"www.mdpi.com","title":"Designing Socially Assistive Robots for Alzheimer’s Disease and Related Dementia Patients and Their Caregivers: Where We Are and Where We Are Headed","title-short":"Designing Socially Assistive Robots for Alzheimer’s Disease and Related Dementia Patients and Their Caregivers","volume":"8","author":[{"family":"Koutentakis","given":"Dimitrios"},{"family":"Pilozzi","given":"Alexander"},{"family":"Huang","given":"Xudong"}],"issued":{"date-parts":[["2020",6]]}}},{"id":63,"uris":["http://zotero.org/users/9293396/items/TNQ4ILXL"],"itemData":{"id":63,"type":"article-journal","abstract":"Incorporation of social robots into rehabilitation calls for understanding what factors affect user motivation and success of the interaction. Trust between the user and the robot has been identified as important in human-robot interaction and in human-human interactions in therapy. Trust has been studied in the context of automation technology, (e.g., autonomous cars), but not in the context of social robots for rehabilitation. In this narrative review, we address the unique patient-clinician-robot triad, and argue that this context calls for specific design features in order to foster trust with the users. We review pertinent methods for measuring trust, and studies demonstrating that culture, prior experience and propensity-to-trust affect to what extent users trust robots. We suggest design guidelines for fostering trust and methods for measuring trust in human-robot interactions in rehabilitation. We stress the need to create measures of trust that are accessible to people who suffer from speech or cognitive impairments. This review is pertinent to researchers, roboticists, and clinicians interested in designing and using social robots for rehabilitation.","container-title":"Neuroscience &amp; Biobehavioral Reviews","DOI":"10.1016/j.neubiorev.2019.07.014","ISSN":"01497634","journalAbbreviation":"Neuroscience &amp; Biobehavioral Reviews","language":"en","page":"231-239","source":"DOI.org (Crossref)","title":"Trust in socially assistive robots: Considerations for use in rehabilitation","title-short":"Trust in socially assistive robots","volume":"104","author":[{"family":"Langer","given":"Allison"},{"family":"Feingold-Polak","given":"Ronit"},{"family":"Mueller","given":"Oliver"},{"family":"Kellmeyer","given":"Philipp"},{"family":"Levy-Tzedek","given":"Shelly"}],"issued":{"date-parts":[["2019",9]]}}}],"schema":"https://github.com/citation-style-language/schema/raw/master/csl-citation.json"} </w:instrText>
      </w:r>
      <w:r>
        <w:fldChar w:fldCharType="separate"/>
      </w:r>
      <w:r w:rsidR="00942C40" w:rsidRPr="00942C40">
        <w:t>(Céspedes et al., 2021; Cohavi &amp; Levy-Tzedek, 2022; Eizicovits et al., n.d.; Feingold-Polak et al., 2021; Geva et al., 2020a; Kashi &amp; Levy-Tzedek, 2018; Koutentakis et al., 2020; Langer et al., 2019)</w:t>
      </w:r>
      <w:r>
        <w:fldChar w:fldCharType="end"/>
      </w:r>
      <w:r>
        <w:t xml:space="preserve">; To the best of our knowledge, less than a handful of studies explored the potential benefits of SARs for individuals with </w:t>
      </w:r>
      <w:r w:rsidRPr="005238BD">
        <w:t>PD</w:t>
      </w:r>
      <w:r>
        <w:t xml:space="preserve"> </w:t>
      </w:r>
      <w:r>
        <w:fldChar w:fldCharType="begin"/>
      </w:r>
      <w:r w:rsidR="00C43B4F">
        <w:instrText xml:space="preserve"> ADDIN ZOTERO_ITEM CSL_CITATION {"citationID":"d8S3i8hw","properties":{"formattedCitation":"(Briggs et al., 2015; Eizicovits et al., n.d.; Feingold-Polak et al., 2021; Geva et al., 2020a; Kashi &amp; Levy-Tzedek, 2018; Miyake, 2009; Wilson et al., 2020)","plainCitation":"(Briggs et al., 2015; Eizicovits et al., n.d.; Feingold-Polak et al., 2021; Geva et al., 2020a; Kashi &amp; Levy-Tzedek, 2018; Miyake, 2009; Wilson et al., 2020)","noteIndex":0},"citationItems":[{"id":116,"uris":["http://zotero.org/users/9293396/items/2EBQMWYY"],"itemData":{"id":116,"type":"paper-conference","abstract":"Facial masking is a symptom of Parkinson’s disease (PD) in which humans lose the ability to quickly create reﬁned facial expressions. This diﬃculty of people with PD can be mistaken for apathy or dishonesty by their caregivers and lead to a breakdown in social relationships. We envision future “robot mediators” that could ease tensions in these caregiver-client relationships by intervening when interactions go awry. However, it is currently unknown whether people with PD would even accept a robot as part of their healthcare processes. We thus conducted a ﬁrst humanrobot interaction study to assess the extent to which people with PD are willing to discuss their health status with a robot. We speciﬁcally compared a robot interviewer to a human interviewer in a within-subjects design that allowed us to control for individual diﬀerences of the subjects with PD caused by their individual disease progression. We found that participants overall reacted positively to the robot, even though they preferred interactions with the human interviewer. Importantly, the robot performed at a human level at maintaining the participants’ dignity, which is critical for future social mediator robots for people with PD.","container-title":"Proceedings of the Tenth Annual ACM/IEEE International Conference on Human-Robot Interaction","DOI":"10.1145/2696454.2696476","event-place":"Portland Oregon USA","event-title":"HRI '15: ACM/IEEE International Conference on Human-Robot Interaction","ISBN":"978-1-4503-2883-8","language":"en","page":"327-334","publisher":"ACM","publisher-place":"Portland Oregon USA","source":"DOI.org (Crossref)","title":"Are Robots Ready for Administering Health Status Surveys': First Results from an HRI Study with Subjects with Parkinson's Disease","title-short":"Are Robots Ready for Administering Health Status Surveys'","URL":"https://dl.acm.org/doi/10.1145/2696454.2696476","author":[{"family":"Briggs","given":"Priscilla"},{"family":"Scheutz","given":"Matthias"},{"family":"Tickle-Degnen","given":"Linda"}],"accessed":{"date-parts":[["2022",5,11]]},"issued":{"date-parts":[["2015",3,2]]}}},{"id":102,"uris":["http://zotero.org/users/9293396/items/MHV49HYM"],"itemData":{"id":102,"type":"article-journal","abstract":"Background:\nEffective human-robot interactions in rehabilitation necessitates an understanding of how these should be tailored to the needs of the human. We report on a robotic system developed as a partner on a 3-D everyday task, using a gamified approach.\n\nObjectives:\nTo: (1) design and test a prototype system, to be ultimately used for upper-limb rehabilitation; (2) evaluate how age affects the response to such a robotic system; and (3) identify whether the robot’s physical embodiment is an important aspect in motivating users to complete a set of repetitive tasks.\n\nMethods:\n62 healthy participants, young (&lt;30 yo) and old (&gt;60 yo), played a 3D tic-tac-toe game against an embodied (a robotic arm) and a non-embodied (a computer-controlled lighting system) partner. To win, participants had to place three cups in sequence on a physical 3D grid. Cup picking-and-placing was chosen as a functional task that is often practiced in post-stroke rehabilitation. Movement of the participants was recorded using a Kinect camera.\n\nResults:\nThe timing of the participants’ movement was primed by the response time of the system: participants moved slower when playing with the slower embodied system (p = 0.006). The majority of participants preferred the robot over the computer-controlled system. Slower response time of the robot compared to the computer-controlled one only affected the young group’s motivation to continue playing.\n\nConclusion:\nWe demonstrated the feasibility of the system to encourage the performance of repetitive 3D functional movements, and track these movements. Young and old participants preferred to interact with the robot, compared with the non-embodied system. We contribute to the growing knowledge concerning personalized human-robot interactions by (1) demonstrating the priming of the human movement by the robotic movement – an important design feature, and (2) identifying response-speed as a design variable, the importance of which depends on the age of the user.","container-title":"Restorative Neurology and Neuroscience","DOI":"10.3233/RNN-170802","ISSN":"0922-6028","issue":"2","journalAbbreviation":"Restor Neurol Neurosci","note":"PMID: 29526862\nPMCID: PMC5870005","page":"261-274","source":"PubMed Central","title":"Robotic gaming prototype for upper limb exercise: Effects of age and embodiment on user preferences and movement","title-short":"Robotic gaming prototype for upper limb exercise","volume":"36","author":[{"family":"Eizicovits","given":"Danny"},{"family":"Edan","given":"Yael"},{"family":"Tabak","given":"Iris"},{"family":"Levy-Tzedek","given":"Shelly"}]}},{"id":99,"uris":["http://zotero.org/users/9293396/items/S3RXEVE9"],"itemData":{"id":99,"type":"article-journal","abstract":"Background:  Socially assistive robots (SARs) have been proposed as a tool to help individuals who have had a stroke to perform their exercise during their rehabilitation process. Yet, to date, there are no data on the motivating benefit of SARs in a long-term interaction with post-stroke patients.\nMethods:  Here, we describe a robot-based gamified exercise platform, which we developed for long-term poststroke rehabilitation. The platform uses the humanoid robot Pepper, and also has a computer-based configuration (with no robot). It includes seven gamified sets of exercises, which are based on functional tasks from the everyday life of the patients. The platform gives the patients instructions, as well as feedback on their performance, and can track their performance over time. We performed a long-term patient-usability study, where 24 post-stroke patients were randomly allocated to exercise with this platform—either with the robot or the computer configuration—over a 5–7 week period, 3 times per week, for a total of 306 sessions.\nResults:  The participants in both groups reported that this rehabilitation platform addressed their arm rehabilitation needs, and they expressed their desire to continue training with it even after the study ended. We found a trend for higher acceptance of the system by the participants in the robot group on all parameters; however, this difference was not significant. We found that system failures did not affect the long-term trust that users felt towards the system.\nConclusions:  We demonstrated the usability of using this platform for a long-term rehabilitation with post-stroke patients in a clinical setting. We found high levels of acceptance of both platform configurations by patients following this interaction, with higher ratings given to the SAR configuration. We show that it is not the mere use of technology that increases the motivation of the person to practice, but rather it is the appreciation of the technology’s effective‑ness and its perceived contribution to the rehabilitation process. In addition, we provide a list of guidelines that can be used when designing and implementing other technological tools for rehabilitation. Trial registration: This trial is registered in the NIH ClinicalTrials.gov database. Registration number NCT03651063, regis‑tration date 21.08.2018. https://clinicaltrials.gov/ct2/show/NCT03651063.","container-title":"Journal of NeuroEngineering and Rehabilitation","DOI":"10.1186/s12984-021-00915-2","ISSN":"1743-0003","issue":"1","journalAbbreviation":"J NeuroEngineering Rehabil","language":"en","page":"122","source":"DOI.org (Crossref)","title":"A robot goes to rehab: a novel gamified system for long-term stroke rehabilitation using a socially assistive robot—methodology and usability testing","title-short":"A robot goes to rehab","volume":"18","author":[{"family":"Feingold-Polak","given":"Ronit"},{"family":"Barzel","given":"Oren"},{"family":"Levy-Tzedek","given":"Shelly"}],"issued":{"date-parts":[["2021",12]]}}},{"id":101,"uris":["http://zotero.org/users/9293396/items/893XZE8W"],"itemData":{"id":101,"type":"article-journal","abstract":"Abstract\n            Human-human social touch improves mood and alleviates pain. No studies have so far tested the effect of human-robot emotional touch on experimentally induced pain ratings, on mood and on oxytocin levels in healthy young adults. Here, we assessed the effect of touching the robot PARO on pain perception, on mood and on salivary oxytocin levels, in 83 young adults. We measured their perceived pain, happiness state, and salivary oxytocin. For the 63 participants in the PARO group, pain was assessed in three conditions: Baseline, Touch (touching PARO) and No-Touch (PARO present). The control group (20 participants) underwent the same measurements without ever encountering PARO. There was a decrease in pain ratings and in oxytocin levels and an increase in happiness ratings compared to baseline only in the PARO group. The Touch condition yielded a larger decrease in pain ratings compared to No-Touch. These effects correlated with the participants’ positive perceptions of the interaction with PARO. Participants with higher perceived ability to communicate with PARO experienced a greater hypoalgesic effect when touching PARO. We show that human-robot social touch is effective in reducing pain ratings, improving mood and - surprisingly - reducing salivary oxytocin levels in adults.","container-title":"Scientific Reports","DOI":"10.1038/s41598-020-66982-y","ISSN":"2045-2322","issue":"1","journalAbbreviation":"Sci Rep","language":"en","page":"9814","source":"DOI.org (Crossref)","title":"Touching the social robot PARO reduces pain perception and salivary oxytocin levels","volume":"10","author":[{"family":"Geva","given":"Nirit"},{"family":"Uzefovsky","given":"Florina"},{"family":"Levy-Tzedek","given":"Shelly"}],"issued":{"date-parts":[["2020",12]]}}},{"id":106,"uris":["http://zotero.org/users/9293396/items/6NP2XDBG"],"itemData":{"id":106,"type":"article-journal","abstract":"Background: The increasing number of opportunities for human-robot interactions in various settings, from industry through home use to rehabilitation, creates a need to understand how to best personalize human-robot interactions to ﬁt both the user and the task at hand. In the current experiment, we explored a human-robot collaborative task of joint movement, in the context of an interactive game.\nObjective: We set out to test people’s preferences when interacting with a robotic arm, playing a leader-follower imitation game (the mirror game).\nMethods: Twenty two young participants played the mirror game with the robotic arm, where one player (person or robot) followed the movements of the other. Each partner (person and robot) was leading part of the time, and following part of the time. When the robotic arm was leading the joint movement, it performed movements that were either sharp or smooth, which participants were later asked to rate.\nResults: The greatest preference was given to smooth movements. Half of the participants preferred to lead, and half preferred to follow. Importantly, we found that the movements of the robotic arm primed the subsequent movements performed by the participants.\nConclusion: The priming effect by the robot on the movements of the human should be considered when designing interactions with robots. Our results demonstrate individual differences in preferences regarding the role of the human and the joint motion path of the robot and the human when performing the mirror game collaborative task, and highlight the importance of personalized human-robot interactions.","container-title":"Restorative Neurology and Neuroscience","DOI":"10.3233/RNN-170756","ISSN":"09226028, 18783627","issue":"2","journalAbbreviation":"RNN","language":"en","page":"147-159","source":"DOI.org (Crossref)","title":"Smooth leader or sharp follower? Playing the mirror game with a robot","title-short":"Smooth leader or sharp follower?","volume":"36","author":[{"family":"Kashi","given":"Shir"},{"family":"Levy-Tzedek","given":"Shelly"}],"issued":{"date-parts":[["2018",3,8]]}}},{"id":117,"uris":["http://zotero.org/users/9293396/items/C5A5VB2B"],"itemData":{"id":117,"type":"article-journal","abstract":"Everyone has probably experienced the phenomenon where their footsteps unconsciously synchronize with their partner while walking together. This interpersonal synchronization of body motion has been widely observed and is significant in the context of social psychology. However, the mechanism of this embodied cooperation still remains obscure and has not been substantially developed as an engineering application. In this study, by assuming \"mutual entrainment\" as an interpersonal synchronization mechanism, we establish a new cooperative walking system between a walking human and a walking robot (an agent as a virtual robot). In this system, rhythmic sounds corresponding to the timing of footsteps are exchanged between them on the basis of our previous studies. As a result, it was demonstrated that the two walking rhythms adapt mutually after the start of interaction, and stable synchronization is generated automatically. This global entrained state exhibits dynamic stability with small fluctuation in the walking period. Applying this method to walking support for Parkinson's disease and hemiplegia patients, its effectiveness in stabilizing the walking of the patient was shown. These results indicate the importance of interpersonal mutual entrainment of rhythmic motion for walking support, and new human-robot interaction technologies are expected as an extension of this framework.","container-title":"IEEE Transactions on Robotics","DOI":"10.1109/TRO.2009.2020350","ISSN":"1552-3098","issue":"3","journalAbbreviation":"Trans. Rob.","page":"638–644","source":"June 2009","title":"Interpersonal synchronization of body motion and the walk-mate walking support robot","volume":"25","author":[{"family":"Miyake","given":"Yoshihiro"}],"issued":{"date-parts":[["2009"]]}}},{"id":114,"uris":["http://zotero.org/users/9293396/items/5EPQT7UJ"],"itemData":{"id":114,"type":"article-journal","abstract":"Assistive robots are becoming an increasingly important application platform for research in robotics, AI, and HRI, as there is a pressing need to develop systems that support the elderly and people with disabilities, with a clear path to market. Yet, what remains unclear is whether current autonomous systems are already up to the task or whether additional HRI work is needed to make these systems acceptable and useful.\n            In this article, we report our efforts of developing and evaluating an architecture for a fully autonomous robot designed to assist older adults with Parkinson’s disease (PD) in sorting their medications. The main goal for the robot is to aid users in a manner that maintains the autonomy of the user by providing cognitive and social support with varying levels of assistance. We first evaluated the robot with subjects drawn from a pool of university students, which is common practice in experimental work in psychology and HRI. As the results were very positive, we followed up with an evaluation using people with Parkinson’s disease, who surprisingly had mostly negative outcomes. We thus report our analysis of the differences in the evaluations and discuss the challenges for HRI posed by the sources of the negative evaluations: (1) designing a robot to adapt to the many routines the participants use at home, (2) unique needs of participants with PD not present in student participants, and (3) the role of familiar technologies in designing and evaluating a new technology. While it is unlikely, given the current state of technology, that fully autonomous assistive robots for older adults will be available in the near term, we believe that our work exposes a critical need in HRI to involve the target population as early as possible in the design process.","container-title":"ACM Transactions on Human-Robot Interaction","DOI":"10.1145/3379179","ISSN":"2573-9522","issue":"3","journalAbbreviation":"J. Hum.-Robot Interact.","language":"en","page":"1-31","source":"DOI.org (Crossref)","title":"Challenges in Designing a Fully Autonomous Socially Assistive Robot for People with Parkinson’s Disease","volume":"9","author":[{"family":"Wilson","given":"Jason R."},{"family":"Tickle-Degnen","given":"Linda"},{"family":"Scheutz","given":"Matthias"}],"issued":{"date-parts":[["2020",7,13]]}}}],"schema":"https://github.com/citation-style-language/schema/raw/master/csl-citation.json"} </w:instrText>
      </w:r>
      <w:r>
        <w:fldChar w:fldCharType="separate"/>
      </w:r>
      <w:r w:rsidR="00942C40" w:rsidRPr="00942C40">
        <w:t>(Briggs et al., 2015; Eizicovits et al., n.d.; Feingold-Polak et al., 2021; Geva et al., 2020a; Kashi &amp; Levy-Tzedek, 2018; Miyake, 2009; Wilson et al., 2020)</w:t>
      </w:r>
      <w:r>
        <w:fldChar w:fldCharType="end"/>
      </w:r>
      <w:r>
        <w:t>. SARs</w:t>
      </w:r>
      <w:r w:rsidRPr="005238BD">
        <w:t xml:space="preserve"> can assist in various </w:t>
      </w:r>
      <w:r>
        <w:t>ways,</w:t>
      </w:r>
      <w:r w:rsidRPr="005238BD">
        <w:t xml:space="preserve"> such as </w:t>
      </w:r>
      <w:r>
        <w:t>providing</w:t>
      </w:r>
      <w:r w:rsidRPr="005238BD">
        <w:t xml:space="preserve"> company, assist</w:t>
      </w:r>
      <w:r>
        <w:t>ing</w:t>
      </w:r>
      <w:r w:rsidRPr="005238BD">
        <w:t xml:space="preserve"> with ADL, and guid</w:t>
      </w:r>
      <w:r>
        <w:t>ing</w:t>
      </w:r>
      <w:r w:rsidRPr="005238BD">
        <w:t xml:space="preserve"> exercise</w:t>
      </w:r>
      <w:r>
        <w:t xml:space="preserve">s </w:t>
      </w:r>
      <w:r>
        <w:fldChar w:fldCharType="begin"/>
      </w:r>
      <w:r>
        <w:instrText xml:space="preserve"> ADDIN ZOTERO_ITEM CSL_CITATION {"citationID":"94NNhbcX","properties":{"formattedCitation":"(C\\uc0\\u233{}spedes et al., 2021; Zuschnegg et al., 2021)","plainCitation":"(Céspedes et al., 2021; Zuschnegg et al., 2021)","noteIndex":0},"citationItems":[{"id":76,"uris":["http://zotero.org/users/9293396/items/CD4MSVQE"],"itemData":{"id":76,"type":"article-journal","abstract":"What are the benefits of using a socially assistive robot for long-term cardiac rehabilitation? To answer this question we designed and conducted a real-world long-term study, in collaboration with medical specialists, at the Fundación Cardioinfantil-Instituto de Cardiología clinic (Bogotá, Colombia) lasting 2.5 years. The study took place within the context of the outpatient phase of patients' cardiac rehabilitation programme and aimed to compare the patients' progress and adherence in the conventional cardiac rehabilitation programme (control condition) against rehabilitation supported by a fully autonomous socially assistive robot which continuously monitored the patients during exercise to provide immediate feedback and motivation based on sensory measures (robot condition). The explicit aim of the social robot is to improve patient motivation and increase adherence to the programme to ensure a complete recovery. We recruited 15 patients per condition. The cardiac rehabilitation programme was designed to last 36 sessions (18 weeks) per patient. The findings suggest that robot increases adherence (by 13.3%) and leads to faster completion of the programme. In addition, the patients assisted by the robot had more rapid improvement in their recovery heart rate, better physical activity performance and a higher improvement in cardiovascular functioning, which indicate a successful cardiac rehabilitation programme performance. Moreover, the medical staff and the patients acknowledged that the robot improved the patient motivation and adherence to the programme, supporting its potential in addressing the major challenges in rehabilitation programmes.","container-title":"Frontiers in Neurorobotics","DOI":"10.3389/fnbot.2021.633248","ISSN":"1662-5218","journalAbbreviation":"Front Neurorobot","note":"PMID: 33828473\nPMCID: PMC8020889","page":"633248","source":"PubMed Central","title":"A Socially Assistive Robot for Long-Term Cardiac Rehabilitation in the Real World","volume":"15","author":[{"family":"Céspedes","given":"Nathalia"},{"family":"Irfan","given":"Bahar"},{"family":"Senft","given":"Emmanuel"},{"family":"Cifuentes","given":"Carlos A."},{"family":"Gutierrez","given":"Luisa F."},{"family":"Rincon-Roncancio","given":"Mónica"},{"family":"Belpaeme","given":"Tony"},{"family":"Múnera","given":"Marcela"}],"issued":{"date-parts":[["2021",3,16]]}}},{"id":80,"uris":["http://zotero.org/users/9293396/items/4DZSUGTX"],"itemData":{"id":80,"type":"article-journal","abstract":"Objective: To examine the expectations of informal caregivers, nurses, and dementia trainers regarding the support of (physical and psychosocial) human needs by humanoid social assistive robots (SARs) in dementia care.\nMethods: A qualitative study was conducted with 11 homogeneous focus groups of informal caregivers, nurses and dementia trainers providing dementia care at home, in adult daycare centers, or in nursing homes. A qualitative content analysis was performed using a concept- and data-driven coding frame.\nResults: Focus group discussions with 52 individuals were held. Participants reported mostly positive expectations and stated that SARs could offer potential support in all components of human needs, especially in avoiding danger (e.g. recognise danger, organise help), communication/contact with others (e.g. enable telephone calls, provide company), daily activities (e.g. remind of appointments, household obligations), recreational activities (e.g. provide music), eating/drinking (e.g. help cook), and mobility/body posture (e.g. give reminders/instructions for physical exercise). Participants also mentioned some negative expectations in all human needs, predominantly in communication/contact with others (e.g. loss of interpersonal interaction) and avoiding danger (e.g. scepticism regarding emergencies).\nConclusion: Participants stated that SARs had great potential to provide assistance in dementia care, especially by reminding, motivating/encouraging and instructing people with dementia. Informal caregivers and nurses also considered them as useful supportive devices for themselves. However, participants also mentioned negative expectations, especially in communication/contact with others and avoiding danger. These findings demonstrate the support caregivers and dementia trainers expect from humanoid SARs and may contribute to their optimisation for dementia care.","container-title":"Aging &amp; Mental Health","DOI":"10.1080/13607863.2021.1913476","ISSN":"1360-7863, 1364-6915","journalAbbreviation":"Aging &amp; Mental Health","language":"en","page":"1-11","source":"DOI.org (Crossref)","title":"Humanoid socially assistive robots in dementia care: a qualitative study about expectations of caregivers and dementia trainers","title-short":"Humanoid socially assistive robots in dementia care","author":[{"family":"Zuschnegg","given":"Julia"},{"family":"Paletta","given":"Lucas"},{"family":"Fellner","given":"Maria"},{"family":"Steiner","given":"Josef"},{"family":"Pansy-Resch","given":"Sandra"},{"family":"Jos","given":"Anna"},{"family":"Koini","given":"Marisa"},{"family":"Prodromou","given":"Dimitrios"},{"family":"Halfens","given":"Ruud J. G."},{"family":"Lohrmann","given":"Christa"},{"family":"Schüssler","given":"Sandra"}],"issued":{"date-parts":[["2021",4,27]]}}}],"schema":"https://github.com/citation-style-language/schema/raw/master/csl-citation.json"} </w:instrText>
      </w:r>
      <w:r>
        <w:fldChar w:fldCharType="separate"/>
      </w:r>
      <w:r w:rsidR="00942C40" w:rsidRPr="00942C40">
        <w:t>(Céspedes et al., 2021; Zuschnegg et al., 2021)</w:t>
      </w:r>
      <w:r>
        <w:fldChar w:fldCharType="end"/>
      </w:r>
      <w:r w:rsidRPr="005238BD">
        <w:t xml:space="preserve">. Studies on people with dementia </w:t>
      </w:r>
      <w:r>
        <w:fldChar w:fldCharType="begin"/>
      </w:r>
      <w:r>
        <w:instrText xml:space="preserve"> ADDIN ZOTERO_ITEM CSL_CITATION {"citationID":"ahxQuXwd","properties":{"formattedCitation":"(Koutentakis et al., 2020)","plainCitation":"(Koutentakis et al., 2020)","noteIndex":0},"citationItems":[{"id":59,"uris":["http://zotero.org/users/9293396/items/72HR7QY8"],"itemData":{"id":59,"type":"article-journal","abstract":"Over the past few years there has been a large rise in the field of robotics. Robots are being in used in many industries, but there has not been a large surge of robots in the medical field, especially the robots for healthcare use. However, as the aging population keeps growing, current medical staff and healthcare providers are increasingly burdened by caring for the ever-growing number of senior patients, especially those with cognitive impairment of Alzheimer’s disease (AD) and Alzheimer’s disease-related dementia (ADRD) patients. As a result, we can expect to see a large increase in the field of medical robotics, especially in forms of socially assistive robots (SARs) for senior patients and healthcare providers. In fact, SARs can alleviate AD and ADRD patients and their caregivers’ unmet medical needs. Herein, we propose a design outline for such a SAR, based on a review of the current literature. We believe the next generation of SARs will enhance health and well-being, reduce illness and disability, and improve quality of life for AD and ADRD patients and their caregivers.","container-title":"Healthcare","DOI":"10.3390/healthcare8020073","ISSN":"2227-9032","issue":"2","language":"en","license":"http://creativecommons.org/licenses/by/3.0/","note":"number: 2\npublisher: Multidisciplinary Digital Publishing Institute","page":"73","source":"www.mdpi.com","title":"Designing Socially Assistive Robots for Alzheimer’s Disease and Related Dementia Patients and Their Caregivers: Where We Are and Where We Are Headed","title-short":"Designing Socially Assistive Robots for Alzheimer’s Disease and Related Dementia Patients and Their Caregivers","volume":"8","author":[{"family":"Koutentakis","given":"Dimitrios"},{"family":"Pilozzi","given":"Alexander"},{"family":"Huang","given":"Xudong"}],"issued":{"date-parts":[["2020",6]]}}}],"schema":"https://github.com/citation-style-language/schema/raw/master/csl-citation.json"} </w:instrText>
      </w:r>
      <w:r>
        <w:fldChar w:fldCharType="separate"/>
      </w:r>
      <w:r w:rsidR="00942C40" w:rsidRPr="00942C40">
        <w:t>(Koutentakis et al., 2020)</w:t>
      </w:r>
      <w:r>
        <w:fldChar w:fldCharType="end"/>
      </w:r>
      <w:r w:rsidRPr="005238BD">
        <w:t xml:space="preserve"> and Alzheimer's</w:t>
      </w:r>
      <w:r>
        <w:t xml:space="preserve"> </w:t>
      </w:r>
      <w:r>
        <w:fldChar w:fldCharType="begin"/>
      </w:r>
      <w:r>
        <w:instrText xml:space="preserve"> ADDIN ZOTERO_ITEM CSL_CITATION {"citationID":"1TiAwa3k","properties":{"formattedCitation":"(Koutentakis et al., 2020; Zuschnegg et al., 2021)","plainCitation":"(Koutentakis et al., 2020; Zuschnegg et al., 2021)","noteIndex":0},"citationItems":[{"id":59,"uris":["http://zotero.org/users/9293396/items/72HR7QY8"],"itemData":{"id":59,"type":"article-journal","abstract":"Over the past few years there has been a large rise in the field of robotics. Robots are being in used in many industries, but there has not been a large surge of robots in the medical field, especially the robots for healthcare use. However, as the aging population keeps growing, current medical staff and healthcare providers are increasingly burdened by caring for the ever-growing number of senior patients, especially those with cognitive impairment of Alzheimer’s disease (AD) and Alzheimer’s disease-related dementia (ADRD) patients. As a result, we can expect to see a large increase in the field of medical robotics, especially in forms of socially assistive robots (SARs) for senior patients and healthcare providers. In fact, SARs can alleviate AD and ADRD patients and their caregivers’ unmet medical needs. Herein, we propose a design outline for such a SAR, based on a review of the current literature. We believe the next generation of SARs will enhance health and well-being, reduce illness and disability, and improve quality of life for AD and ADRD patients and their caregivers.","container-title":"Healthcare","DOI":"10.3390/healthcare8020073","ISSN":"2227-9032","issue":"2","language":"en","license":"http://creativecommons.org/licenses/by/3.0/","note":"number: 2\npublisher: Multidisciplinary Digital Publishing Institute","page":"73","source":"www.mdpi.com","title":"Designing Socially Assistive Robots for Alzheimer’s Disease and Related Dementia Patients and Their Caregivers: Where We Are and Where We Are Headed","title-short":"Designing Socially Assistive Robots for Alzheimer’s Disease and Related Dementia Patients and Their Caregivers","volume":"8","author":[{"family":"Koutentakis","given":"Dimitrios"},{"family":"Pilozzi","given":"Alexander"},{"family":"Huang","given":"Xudong"}],"issued":{"date-parts":[["2020",6]]}}},{"id":80,"uris":["http://zotero.org/users/9293396/items/4DZSUGTX"],"itemData":{"id":80,"type":"article-journal","abstract":"Objective: To examine the expectations of informal caregivers, nurses, and dementia trainers regarding the support of (physical and psychosocial) human needs by humanoid social assistive robots (SARs) in dementia care.\nMethods: A qualitative study was conducted with 11 homogeneous focus groups of informal caregivers, nurses and dementia trainers providing dementia care at home, in adult daycare centers, or in nursing homes. A qualitative content analysis was performed using a concept- and data-driven coding frame.\nResults: Focus group discussions with 52 individuals were held. Participants reported mostly positive expectations and stated that SARs could offer potential support in all components of human needs, especially in avoiding danger (e.g. recognise danger, organise help), communication/contact with others (e.g. enable telephone calls, provide company), daily activities (e.g. remind of appointments, household obligations), recreational activities (e.g. provide music), eating/drinking (e.g. help cook), and mobility/body posture (e.g. give reminders/instructions for physical exercise). Participants also mentioned some negative expectations in all human needs, predominantly in communication/contact with others (e.g. loss of interpersonal interaction) and avoiding danger (e.g. scepticism regarding emergencies).\nConclusion: Participants stated that SARs had great potential to provide assistance in dementia care, especially by reminding, motivating/encouraging and instructing people with dementia. Informal caregivers and nurses also considered them as useful supportive devices for themselves. However, participants also mentioned negative expectations, especially in communication/contact with others and avoiding danger. These findings demonstrate the support caregivers and dementia trainers expect from humanoid SARs and may contribute to their optimisation for dementia care.","container-title":"Aging &amp; Mental Health","DOI":"10.1080/13607863.2021.1913476","ISSN":"1360-7863, 1364-6915","journalAbbreviation":"Aging &amp; Mental Health","language":"en","page":"1-11","source":"DOI.org (Crossref)","title":"Humanoid socially assistive robots in dementia care: a qualitative study about expectations of caregivers and dementia trainers","title-short":"Humanoid socially assistive robots in dementia care","author":[{"family":"Zuschnegg","given":"Julia"},{"family":"Paletta","given":"Lucas"},{"family":"Fellner","given":"Maria"},{"family":"Steiner","given":"Josef"},{"family":"Pansy-Resch","given":"Sandra"},{"family":"Jos","given":"Anna"},{"family":"Koini","given":"Marisa"},{"family":"Prodromou","given":"Dimitrios"},{"family":"Halfens","given":"Ruud J. G."},{"family":"Lohrmann","given":"Christa"},{"family":"Schüssler","given":"Sandra"}],"issued":{"date-parts":[["2021",4,27]]}}}],"schema":"https://github.com/citation-style-language/schema/raw/master/csl-citation.json"} </w:instrText>
      </w:r>
      <w:r>
        <w:fldChar w:fldCharType="separate"/>
      </w:r>
      <w:r w:rsidR="00942C40" w:rsidRPr="00942C40">
        <w:t>(Koutentakis et al., 2020; Zuschnegg et al., 2021)</w:t>
      </w:r>
      <w:r>
        <w:fldChar w:fldCharType="end"/>
      </w:r>
      <w:r>
        <w:t xml:space="preserve"> </w:t>
      </w:r>
      <w:r w:rsidRPr="005238BD">
        <w:t>have shown that social robots have improved the quality of life of patients and informal caregivers, reducing the burden on them.</w:t>
      </w:r>
    </w:p>
    <w:p w14:paraId="70051FC6" w14:textId="24D2E241" w:rsidR="00EB3695" w:rsidRDefault="003B273A" w:rsidP="00942C40">
      <w:pPr>
        <w:widowControl w:val="0"/>
        <w:jc w:val="left"/>
        <w:rPr>
          <w:rtl/>
        </w:rPr>
      </w:pPr>
      <w:r w:rsidRPr="00323659">
        <w:t xml:space="preserve">Given the potential benefits of assistive robots, as demonstrated with other population groups, </w:t>
      </w:r>
      <w:r w:rsidRPr="00323659">
        <w:lastRenderedPageBreak/>
        <w:t xml:space="preserve">we aimed to explore how they can be of assistance to individuals with PD, by using the </w:t>
      </w:r>
      <w:r w:rsidRPr="00323659">
        <w:rPr>
          <w:b/>
          <w:bCs/>
        </w:rPr>
        <w:t>participatory-design</w:t>
      </w:r>
      <w:r w:rsidRPr="00323659">
        <w:t xml:space="preserve"> approach </w:t>
      </w:r>
      <w:r w:rsidRPr="00323659">
        <w:fldChar w:fldCharType="begin"/>
      </w:r>
      <w:r w:rsidR="00884D23">
        <w:instrText xml:space="preserve"> ADDIN ZOTERO_ITEM CSL_CITATION {"citationID":"qimjaq8l","properties":{"formattedCitation":"(Gill et al., 2008a; H. R. Lee &amp; Riek, 2018; Wilson et al., 2018)","plainCitation":"(Gill et al., 2008a; H. R. Lee &amp; Riek, 2018; Wilson et al., 2018)","dontUpdate":true,"noteIndex":0},"citationItems":[{"id":"gr4NIhwO/eqIpfxKL","uris":["http://zotero.org/users/local/Zc5jBSmF/items/XCGHLXHA"],"itemData":{"id":6,"type":"article-journal","container-title":"British Dental Journal","DOI":"10.1038/bdj.2008.192","ISSN":"0007-0610, 1476-5373","issue":"6","journalAbbreviation":"Br Dent J","language":"en","page":"291-295","source":"DOI.org (Crossref)","title":"Methods of data collection in qualitative research: interviews and focus groups","title-short":"Methods of data collection in qualitative research","volume":"204","author":[{"family":"Gill","given":"P."},{"family":"Stewart","given":"K."},{"family":"Treasure","given":"E."},{"family":"Chadwick","given":"B."}],"issued":{"date-parts":[["2008",3]]}}},{"id":"gr4NIhwO/iFvtk7di","uris":["http://zotero.org/users/local/Zc5jBSmF/items/BBDRJNR2"],"itemData":{"id":229,"type":"article-journal","abstract":"We are living in an exciting time, as people are living longer, more active lives. This is reshaping how we think about aging. Rather than viewing aging as a problem to be fixed (i.e., a deficit model of aging), many aging researchers are viewing aging as a developmental stage of life to be celebrated and supported, that is, “successful aging.” In this article, we embrace this approach and consider it in the context of assistive robot design in an aim to steer the conversation away from deficit models that have limited robot design possibilities. To explore an alternative design approach to the study of aging in human-robot interaction (HRI), we invited five aging researchers (three geriatricians, one gerontologist, and one epidemiologist) and nine older adults to participate in our research. In the study, participants illustrated their interpretations of aging and suggested potential assistive robots. We found that while all participants perceived the importance of potential disabilities due to aging, they considered potential disabilities as only one aspect of the experience of aging. They highlighted other key themes to consider in designing robots to support successful aging, such as older adults’ autonomy and resilience. We discuss these findings for the HRI community and call for “robots for successful aging.”","container-title":"ACM Transactions on Human-Robot Interaction","DOI":"10.1145/3203303","ISSN":"2573-9522","issue":"1","journalAbbreviation":"J. Hum.-Robot Interact.","language":"en","page":"1-23","source":"DOI.org (Crossref)","title":"Reframing Assistive Robots to Promote Successful Aging","volume":"7","author":[{"family":"Lee","given":"Hee Rin"},{"family":"Riek","given":"Laurel D."}],"issued":{"date-parts":[["2018",5,21]]}}},{"id":"gr4NIhwO/uKFBF5G1","uris":["http://zotero.org/users/local/Zc5jBSmF/items/ZDG92K86"],"itemData":{"id":230,"type":"article-journal","abstract":"Medication management is a signiﬁcant challenge for older adults, and the resultant drug-related problems are linked with hospitalizations and increased need for nursing homes. In this work, we explored the role of a socially assistive robot for one aspect of medication management: sorting. Speciﬁcally, we proposed a human-centric approach towards the design of a robot assisting in a medication sorting task. The approach is based on the analyses of occupational therapists who are trained in evaluating and assisting older adults in important self-care skills and emphasizes the role of autonomy on the part of the person performing a medication sorting task. We developed and evaluated two robot prototypes that assist a person in a medication sorting task. In both prototypes, evaluated by students (N = 31) at an American university, we found that subjects voluntarily greeting the robot experienced the emotion of the interaction differently from non-greeters. Greeters of the physical robot gave a lower emotional rating of the interaction, whereas greeters of the virtual robot found the emotion of the experience to be better than the non-greeters.","container-title":"International Journal of Social Robotics","DOI":"10.1007/s12369-017-0456-1","ISSN":"1875-4791, 1875-4805","issue":"5","journalAbbreviation":"Int J of Soc Robotics","language":"en","page":"621-641","source":"DOI.org (Crossref)","title":"Supporting Human Autonomy in a Robot-Assisted Medication Sorting Task","volume":"10","author":[{"family":"Wilson","given":"Jason R."},{"family":"Lee","given":"Nah Young"},{"family":"Saechao","given":"Annie"},{"family":"Tickle-Degnen","given":"Linda"},{"family":"Scheutz","given":"Matthias"}],"issued":{"date-parts":[["2018",11]]}}}],"schema":"https://github.com/citation-style-language/schema/raw/master/csl-citation.json"} </w:instrText>
      </w:r>
      <w:r w:rsidRPr="00323659">
        <w:fldChar w:fldCharType="separate"/>
      </w:r>
      <w:r w:rsidR="00942C40" w:rsidRPr="00942C40">
        <w:t>(Gill et al., 2008; H. R. Lee &amp; Riek, 2018; Wilson et al., 2018)</w:t>
      </w:r>
      <w:r w:rsidRPr="00323659">
        <w:fldChar w:fldCharType="end"/>
      </w:r>
      <w:r w:rsidRPr="00323659">
        <w:t>.</w:t>
      </w:r>
    </w:p>
    <w:p w14:paraId="3C86CD21" w14:textId="1D5503B4" w:rsidR="003B273A" w:rsidRPr="00323659" w:rsidRDefault="00EB3695" w:rsidP="00884D23">
      <w:pPr>
        <w:widowControl w:val="0"/>
        <w:jc w:val="left"/>
      </w:pPr>
      <w:r>
        <w:t xml:space="preserve">When designing </w:t>
      </w:r>
      <w:r w:rsidR="006D1B71">
        <w:t>technology</w:t>
      </w:r>
      <w:r>
        <w:t xml:space="preserve"> for specific populations is it important to consider the </w:t>
      </w:r>
      <w:r w:rsidR="006D1B71">
        <w:t xml:space="preserve">particular </w:t>
      </w:r>
      <w:r>
        <w:t xml:space="preserve">context and the </w:t>
      </w:r>
      <w:r w:rsidR="006D1B71">
        <w:t xml:space="preserve">desired </w:t>
      </w:r>
      <w:r>
        <w:t>interaction between robot and humans</w:t>
      </w:r>
      <w:r w:rsidR="006D1B71">
        <w:t>, in order</w:t>
      </w:r>
      <w:r>
        <w:t xml:space="preserve"> to </w:t>
      </w:r>
      <w:r w:rsidR="006D1B71">
        <w:t>improve</w:t>
      </w:r>
      <w:r>
        <w:t xml:space="preserve"> the relationship between the robot and the end-user </w:t>
      </w:r>
      <w:r w:rsidR="00007BA3">
        <w:fldChar w:fldCharType="begin"/>
      </w:r>
      <w:r w:rsidR="00007BA3">
        <w:instrText xml:space="preserve"> ADDIN ZOTERO_ITEM CSL_CITATION {"citationID":"Nx3U5WX2","properties":{"formattedCitation":"(Liberman-Pincu et al., 2021)","plainCitation":"(Liberman-Pincu et al., 2021)","noteIndex":0},"citationItems":[{"id":336,"uris":["http://zotero.org/users/9293396/items/DFFDMI5T"],"itemData":{"id":336,"type":"paper-conference","abstract":"Relationships are crucial for human existence. People form relationships with other humans, pets, objects, and places. We argue that the nature of human-SAR (Socially assistive robot) relationship changes by context of use and interaction level. Therefore, context and interaction must be incorporated into the design requirements. Earlier studies identified design-related preference differences among users, depending on their personal characteristics and on their role in specific contexts. To align the robotic visual qualities (VQ) with users' expectations, we propose two human-SAR relationship models: context-based model- Situational based model and interaction-based model- Dynamic based model. Together with the VQ's evaluation, these models aim to guide industrial designers in the design process of new SARs. An evaluation method and preliminary findings are presented.","collection-title":"HRI '21 Companion","container-title":"Companion of the 2021 ACM/IEEE International Conference on Human-Robot Interaction","DOI":"10.1145/3434074.3447125","event-place":"New York, NY, USA","ISBN":"978-1-4503-8290-8","page":"555–558","publisher":"Association for Computing Machinery","publisher-place":"New York, NY, USA","source":"ACM Digital Library","title":"Designing Robots with Relationships in Mind: Suggesting Two Models of Human-socially Assistive Robot (SAR) Relationship","title-short":"Designing Robots with Relationships in Mind","URL":"http://doi.org/10.1145/3434074.3447125","author":[{"family":"Liberman-Pincu","given":"Ela"},{"family":"Grondelle","given":"Elmer D.","non-dropping-particle":"van"},{"family":"Oron-Gilad","given":"Tal"}],"accessed":{"date-parts":[["2022",12,24]]},"issued":{"date-parts":[["2021"]]}}}],"schema":"https://github.com/citation-style-language/schema/raw/master/csl-citation.json"} </w:instrText>
      </w:r>
      <w:r w:rsidR="00007BA3">
        <w:fldChar w:fldCharType="separate"/>
      </w:r>
      <w:r w:rsidR="00007BA3" w:rsidRPr="00007BA3">
        <w:t>(Liberman-Pincu et al., 2021)</w:t>
      </w:r>
      <w:r w:rsidR="00007BA3">
        <w:fldChar w:fldCharType="end"/>
      </w:r>
      <w:r w:rsidR="00007BA3">
        <w:t>.</w:t>
      </w:r>
      <w:r>
        <w:t xml:space="preserve"> </w:t>
      </w:r>
      <w:r w:rsidR="006D1B71">
        <w:t>T</w:t>
      </w:r>
      <w:r>
        <w:t xml:space="preserve">he personalization of the </w:t>
      </w:r>
      <w:r w:rsidR="006D1B71">
        <w:t>technology</w:t>
      </w:r>
      <w:r>
        <w:t xml:space="preserve"> to the person's needs and level of impairment can enhance the interaction between the </w:t>
      </w:r>
      <w:r w:rsidR="006D1B71">
        <w:t>technology</w:t>
      </w:r>
      <w:r>
        <w:t xml:space="preserve"> and </w:t>
      </w:r>
      <w:r w:rsidR="006D1B71">
        <w:t xml:space="preserve">the users, and contribute to </w:t>
      </w:r>
      <w:r>
        <w:t>the success of the rehabilitation</w:t>
      </w:r>
      <w:r w:rsidR="006D1B71">
        <w:t xml:space="preserve"> process</w:t>
      </w:r>
      <w:r>
        <w:t xml:space="preserve"> </w:t>
      </w:r>
      <w:r w:rsidR="00007BA3">
        <w:fldChar w:fldCharType="begin"/>
      </w:r>
      <w:r w:rsidR="00007BA3">
        <w:instrText xml:space="preserve"> ADDIN ZOTERO_ITEM CSL_CITATION {"citationID":"OTQym2bg","properties":{"formattedCitation":"(Feingold-Polak &amp; Levy-Tzedek, 2021)","plainCitation":"(Feingold-Polak &amp; Levy-Tzedek, 2021)","noteIndex":0},"citationItems":[{"id":292,"uris":["http://zotero.org/users/9293396/items/PV9Q9H9I"],"itemData":{"id":292,"type":"paper-conference","abstract":"Socially assistive robots (SARs) can help meet the growing need for rehabilitation assistance; We argue that personalization of human-robot interactions in the context of rehabilitation is multi-layered, and needs to be frequently updated, as opposed to a single setting that might suffice in other contexts. In rehabilitation, personalization is not only important in order to establish engagement, but it is an essential component for the recovery of motor and cognitive abilities over a long-term interaction, and is an essential part of establishing trust between the patient and the SAR.","collection-title":"UMAP '21","container-title":"Adjunct Proceedings of the 29th ACM Conference on User Modeling, Adaptation and Personalization","DOI":"10.1145/3450614.3463415","event-place":"New York, NY, USA","ISBN":"978-1-4503-8367-7","page":"126–127","publisher":"Association for Computing Machinery","publisher-place":"New York, NY, USA","source":"ACM Digital Library","title":"Personalized Human Robot Interaction in the Unique Context of Rehabilitation","URL":"http://doi.org/10.1145/3450614.3463415","author":[{"family":"Feingold-Polak","given":"Ronit"},{"family":"Levy-Tzedek","given":"Shelly"}],"accessed":{"date-parts":[["2022",11,15]]},"issued":{"date-parts":[["2021"]]}}}],"schema":"https://github.com/citation-style-language/schema/raw/master/csl-citation.json"} </w:instrText>
      </w:r>
      <w:r w:rsidR="00007BA3">
        <w:fldChar w:fldCharType="separate"/>
      </w:r>
      <w:r w:rsidR="00007BA3" w:rsidRPr="00007BA3">
        <w:t>(Feingold-Polak &amp; Levy-Tzedek, 2021)</w:t>
      </w:r>
      <w:r w:rsidR="00007BA3">
        <w:fldChar w:fldCharType="end"/>
      </w:r>
      <w:r w:rsidR="006D1B71">
        <w:t xml:space="preserve">, while maintaining patient safety </w:t>
      </w:r>
      <w:r w:rsidR="006D1B71">
        <w:fldChar w:fldCharType="begin"/>
      </w:r>
      <w:r w:rsidR="006D1B71">
        <w:instrText xml:space="preserve"> ADDIN ZOTERO_ITEM CSL_CITATION {"citationID":"luTXvckU","properties":{"formattedCitation":"(Kubota et al., 2021)","plainCitation":"(Kubota et al., 2021)","noteIndex":0},"citationItems":[{"id":338,"uris":["http://zotero.org/users/9293396/items/P8P4PM3D"],"itemData":{"id":338,"type":"article","abstract":"Robots have great potential to support people with dementia (PwD) and their caregivers. They can provide support for daily living tasks, conduct household chores, provide companionship, and deliver cognitive stimulation and training. Personalizing these robots to an individual's abilities and preferences can help enhance the quality of support they provide, increase their usability and acceptability, and alleviate caregiver burden. However, personalization can also introduce many risks, including risks to the safety and autonomy of PwD, the potential to exacerbate social isolation, and risks of being taken advantage of due to  dark patterns in robot design. In this article, we weigh the risks and benefits by drawing on empirical data garnered from the existing ecosystem of robots used for dementia caregiving. We also explore ethical considerations for developing personalized cognitively assistive robots for PwD, including how a robot can practice beneficence to PwD, where responsibility falls when harm to a PwD occurs because of a robot, and how a robot can acquire informed consent from a PwD. We propose key technical and policy concepts to help robot designers, lawmakers, and others to develop personalized robots that protect users from unintended consequences, particularly for people with cognitive impairments.","event-place":"Rochester, NY","genre":"SSRN Scholarly Paper","language":"en","number":"3910089","publisher-place":"Rochester, NY","source":"Social Science Research Network","title":"Somebody That I Used to Know: The Risks of Personalizing Robots for Dementia Care","title-short":"Somebody That I Used to Know","URL":"https://papers.ssrn.com/abstract=3910089","author":[{"family":"Kubota","given":"Alyssa"},{"family":"Pourebadi","given":"Maryam"},{"family":"Banh","given":"Sharon"},{"family":"Kim","given":"Soyon"},{"family":"Riek","given":"Laurel"}],"accessed":{"date-parts":[["2022",12,25]]},"issued":{"date-parts":[["2021",8,23]]}}}],"schema":"https://github.com/citation-style-language/schema/raw/master/csl-citation.json"} </w:instrText>
      </w:r>
      <w:r w:rsidR="006D1B71">
        <w:fldChar w:fldCharType="separate"/>
      </w:r>
      <w:r w:rsidR="006D1B71" w:rsidRPr="00007BA3">
        <w:t>(Kubota et al., 2021)</w:t>
      </w:r>
      <w:r w:rsidR="006D1B71">
        <w:fldChar w:fldCharType="end"/>
      </w:r>
      <w:r w:rsidR="00007BA3">
        <w:t xml:space="preserve">. </w:t>
      </w:r>
      <w:r w:rsidR="006D1B71">
        <w:t xml:space="preserve">In order to develop technologies that can address the specific needs of individuals with PD in their rehabilitation cycle, we aimed to </w:t>
      </w:r>
      <w:r w:rsidR="003B273A" w:rsidRPr="00323659">
        <w:t xml:space="preserve">use focus groups </w:t>
      </w:r>
      <w:r w:rsidR="003B273A" w:rsidRPr="00323659">
        <w:fldChar w:fldCharType="begin"/>
      </w:r>
      <w:r w:rsidR="006B7331">
        <w:instrText xml:space="preserve"> ADDIN ZOTERO_ITEM CSL_CITATION {"citationID":"e3vTn0HP","properties":{"formattedCitation":"(Rogers et al., 2021; Winkle et al., 2020)","plainCitation":"(Rogers et al., 2021; Winkle et al., 2020)","noteIndex":0},"citationItems":[{"id":"gr4NIhwO/0ECgbS8F","uris":["http://zotero.org/users/local/Zc5jBSmF/items/BR5NWTST"],"itemData":{"id":236,"type":"article-journal","abstract":"Objective:  We reviewed human–robot interaction (HRI) participatory design (PD) research with older adults. The goal was to identify methods used, determine their value for design of robots with older adults, and provide guidance for best practices.\nBackground:  Assistive robots may promote aging-­ in-­place and quality of life for older adults. However, the robots must be designed to meet older adults’ specific needs and preferences. PD and other user-c­ entered methods may be used to engage older adults in the robot development process to accommodate their needs and preferences and to assure usability of emergent assistive robots.\nMethod:  This targeted review of HRI PD studies with older adults draws on a detailed review of 26 articles. Our assessment focused on the HRI methods and their utility for use with older adults who have a range of needs and capabilities.\nResults:  Our review highlighted the importance of using mixed methods and including multiple stakeholders throughout the design process. These approaches can encourage mutual learning (to improve design by developers and to increase acceptance by users). We identified key phases used in HRI PD workshops (e.g., initial interview phase, series of focus groups phase, and presentation phase). These approaches can provide inspiration for future efforts.\nConclusion:  HRI PD strategies can support designers in developing assistive robots that meet older adults’ needs, capabilities, and preferences to promote acceptance. More HRI research is needed to understand potential implications for aging-i­n-­place. PD methods provide a promising approach.","container-title":"Human Factors: The Journal of the Human Factors and Ergonomics Society","DOI":"10.1177/00187208211037465","ISSN":"0018-7208, 1547-8181","journalAbbreviation":"Hum Factors","language":"en","page":"001872082110374","source":"DOI.org (Crossref)","title":"Maximizing the Benefits of Participatory Design for Human–Robot Interaction Research With Older Adults","author":[{"family":"Rogers","given":"Wendy A."},{"family":"Kadylak","given":"Travis"},{"family":"Bayles","given":"Megan A."}],"issued":{"date-parts":[["2021",8,30]]}}},{"id":"gr4NIhwO/M82hMBhc","uris":["http://zotero.org/users/local/Zc5jBSmF/items/7TVA4XA6"],"itemData":{"id":283,"type":"article-journal","abstract":"This paper offers a case study in undertaking a mutual shaping approach to the design of socially assistive robots. We consider the use of social robots in therapy, and we present our results regarding this application, but the approach is generalisable. Our methodology combines elements of user-centered and participatory design with a focus on mutual learning. We present it in full alongside a more general guide for application to other areas. This approach led to valuable results concerning mutual shaping effects and societal factors regarding the use of such robots early in the design process. We also measured a signiﬁcant shift in participant robot acceptance pre-/post-study, demonstrating that our approach led to the two-way sharing and shaping of knowledge, ideas and acceptance.","container-title":"International Journal of Social Robotics","DOI":"10.1007/s12369-019-00536-9","ISSN":"1875-4791, 1875-4805","issue":"4","journalAbbreviation":"Int J of Soc Robotics","language":"en","page":"847-866","source":"DOI.org (Crossref)","title":"Mutual Shaping in the Design of Socially Assistive Robots: A Case Study on Social Robots for Therapy","title-short":"Mutual Shaping in the Design of Socially Assistive Robots","volume":"12","author":[{"family":"Winkle","given":"Katie"},{"family":"Caleb-Solly","given":"Praminda"},{"family":"Turton","given":"Ailie"},{"family":"Bremner","given":"Paul"}],"issued":{"date-parts":[["2020",8]]}}}],"schema":"https://github.com/citation-style-language/schema/raw/master/csl-citation.json"} </w:instrText>
      </w:r>
      <w:r w:rsidR="003B273A" w:rsidRPr="00323659">
        <w:fldChar w:fldCharType="separate"/>
      </w:r>
      <w:r w:rsidR="00942C40" w:rsidRPr="00942C40">
        <w:t>(Rogers et al., 2021; Winkle et al., 2020)</w:t>
      </w:r>
      <w:r w:rsidR="003B273A" w:rsidRPr="00323659">
        <w:fldChar w:fldCharType="end"/>
      </w:r>
      <w:r w:rsidR="003B273A" w:rsidRPr="00323659">
        <w:t xml:space="preserve"> to understand what are </w:t>
      </w:r>
      <w:r w:rsidR="003E20B1">
        <w:t>the</w:t>
      </w:r>
      <w:r w:rsidR="003B273A" w:rsidRPr="00323659">
        <w:t xml:space="preserve"> needs, concerns and expectations of the main stakeholders. Focus groups are a qualitative research method for </w:t>
      </w:r>
      <w:r w:rsidR="003B273A">
        <w:t xml:space="preserve">holding </w:t>
      </w:r>
      <w:r w:rsidR="003B273A" w:rsidRPr="00323659">
        <w:t>group interviews</w:t>
      </w:r>
      <w:r w:rsidR="003B273A">
        <w:rPr>
          <w:rFonts w:hint="cs"/>
          <w:rtl/>
        </w:rPr>
        <w:t xml:space="preserve"> </w:t>
      </w:r>
      <w:r w:rsidR="003B273A">
        <w:rPr>
          <w:rtl/>
        </w:rPr>
        <w:fldChar w:fldCharType="begin"/>
      </w:r>
      <w:r w:rsidR="00884D23">
        <w:rPr>
          <w:rtl/>
        </w:rPr>
        <w:instrText xml:space="preserve"> </w:instrText>
      </w:r>
      <w:r w:rsidR="00884D23">
        <w:instrText>ADDIN ZOTERO_ITEM CSL_CITATION {"citationID":"uko6Sj4B","properties":{"formattedCitation":"(Gill et al., 2008a; Halliday et al., 2021; Morgan, 1997)","plainCitation":"(Gill et al., 2008a; Halliday et al., 2021; Morgan, 1997)","dontUpdate":true,"noteIndex</w:instrText>
      </w:r>
      <w:r w:rsidR="00884D23">
        <w:rPr>
          <w:rtl/>
        </w:rPr>
        <w:instrText>":0},"</w:instrText>
      </w:r>
      <w:r w:rsidR="00884D23">
        <w:instrText>citationItems":[{"id":"gr4NIhwO/eqIpfxKL","uris":["http://zotero.org/users/local/Zc5jBSmF/items/XCGHLXHA"],"itemData":{"id":"C6tf5YS3/6y7C3u3T","type":"article-journal","container-title":"British Dental Journal","DOI":"10.1038/bdj.2008.192","ISSN</w:instrText>
      </w:r>
      <w:r w:rsidR="00884D23">
        <w:rPr>
          <w:rtl/>
        </w:rPr>
        <w:instrText>":"0007-0610, 1476-5373","</w:instrText>
      </w:r>
      <w:r w:rsidR="00884D23">
        <w:instrText>issue":"6","journalAbbreviation":"Br Dent J","language":"en","page":"291-295","source":"DOI.org (Crossref)","title":"Methods of data collection in qualitative research: interviews and focus groups","title-short":"Methods of data collection in qualitative research","volume":"204","author":[{"family":"Gill","given":"P."},{"family":"Stewart","given":"K."},{"family":"Treasure","given":"E."},{"family":"Chadwick","given":"B."}],"issued":{"date-parts</w:instrText>
      </w:r>
      <w:r w:rsidR="00884D23">
        <w:rPr>
          <w:rtl/>
        </w:rPr>
        <w:instrText>":[["2008",3]]</w:instrText>
      </w:r>
      <w:r w:rsidR="00884D23">
        <w:instrText>}}},{"id":146,"uris":["http://zotero.org/users/9293396/items/9AQ9NZVF"],"itemData":{"id":146,"type":"article-journal","abstract":"Background: Focus group discussions typically involve face-to-face facilitation. There is growing interest in uti­ lising digital technologies to facilitate aspects of focus group research. To date, no study in the pharmacy pro­ fession has comprehensively described and evaluated a fully virtual process to focus group research, from recruitment to reimbursement. Objective(s): This study aims to describe</w:instrText>
      </w:r>
      <w:r w:rsidR="00884D23">
        <w:rPr>
          <w:rtl/>
        </w:rPr>
        <w:instrText xml:space="preserve"> </w:instrText>
      </w:r>
      <w:r w:rsidR="00884D23">
        <w:instrText>an entirely online approach to: recruiting for and facilitating virtual focus group discussions, and reimbursement of participants within the pharmacy profession. Specifically, our objectives were to identify 1) the dropout rate, 2) the geographic diversity of focus group participants, and 3) the occurrence of technological issues.\nMethod: Traditional face-to-face focus group recruitment and facilitation methods were adapted, pre-tested, and conducted using online platforms for advertising, participant</w:instrText>
      </w:r>
      <w:r w:rsidR="00884D23">
        <w:rPr>
          <w:rtl/>
        </w:rPr>
        <w:instrText xml:space="preserve"> </w:instrText>
      </w:r>
      <w:r w:rsidR="00884D23">
        <w:instrText>expressions of interest, participant consent, focus group facilitation, and participant reimbursement. Populations of interest included community pharmacists, specialty practice pharmacists, hospital pharmacists, and pharmacy assistants and technicians across Australia.\nResults: Of the 153 potential participants who either completed an expression of interest to participate (135/153) or agreed to participate after direct contact (18/153), 59 confirmed that they would attend the focus group discussion (39%</w:instrText>
      </w:r>
      <w:r w:rsidR="00884D23">
        <w:rPr>
          <w:rtl/>
        </w:rPr>
        <w:instrText xml:space="preserve">); 49 </w:instrText>
      </w:r>
      <w:r w:rsidR="00884D23">
        <w:instrText>of the 59 (dropout rate: 17%) participated in one of eight focus groups. Collectively, there was representation from all States and Territories in Australia, as well as representation in each of the pop­ ulations of interest. Three of 49 participants (6%) experienced minor technological issues during the process; no participant encountered major technological issues that precluded successful participation.\nConclusions: Our study demonstrates that an entirely online approach to focus group methodology is possible, has the potential to recruit demographically and geographically-diverse participants with low dropout rates, and can be successfully conducted with minimal technological issues. Despite the recent COVID-19 pandemic making physical focus group facilitation untenable, this fully-online approach enables research to be completed uninterrupted.","container-title":"Research in Social and Administrative Pharmacy","DOI":"10.1016/j.sapharm.2021.02.003","ISSN":"15517411","issue":"12","journalAbbreviation":"Research in Social and Administrative Pharmacy","language":"en","page":"2145-2150","source":"DOI.org (Crossref)","title":"Let's talk virtual! Online focus group facilitation for the modern researcher","volume":"17","author":[{"family":"Halliday</w:instrText>
      </w:r>
      <w:r w:rsidR="00884D23">
        <w:rPr>
          <w:rtl/>
        </w:rPr>
        <w:instrText>","</w:instrText>
      </w:r>
      <w:r w:rsidR="00884D23">
        <w:instrText>given":"Matthew"},{"family":"Mill","given":"Deanna"},{"family":"Johnson","given":"Jacinta"},{"family":"Lee","given":"Kenneth"}],"issued":{"date-parts":[["2021",12]]}}},{"id":142,"uris":["http://zotero.org/users/9293396/items/Z2U8MSIW"],"itemData":{"id":14</w:instrText>
      </w:r>
      <w:r w:rsidR="00884D23">
        <w:rPr>
          <w:rtl/>
        </w:rPr>
        <w:instrText>2,"</w:instrText>
      </w:r>
      <w:r w:rsidR="00884D23">
        <w:instrText>type":"book","event-place":"Thousand Oaks, UNITED STATES","ISBN":"978-1-4522-5015-1","publisher":"SAGE Publications","publisher-place":"Thousand Oaks, UNITED STATES","source":"ProQuest Ebook Central","title":"The Focus Group Guidebook","URL":"http://ebookcentral.proquest.com/lib/bgu-ebooks/detail.action?docID=997152","author":[{"family":"Morgan","given":"David L."}],"accessed":{"date-parts</w:instrText>
      </w:r>
      <w:r w:rsidR="00884D23">
        <w:rPr>
          <w:rtl/>
        </w:rPr>
        <w:instrText>":[["2022",5,12]]</w:instrText>
      </w:r>
      <w:r w:rsidR="00884D23">
        <w:instrText>},"issued":{"date-parts</w:instrText>
      </w:r>
      <w:r w:rsidR="00884D23">
        <w:rPr>
          <w:rtl/>
        </w:rPr>
        <w:instrText>":[["1997"]]</w:instrText>
      </w:r>
      <w:r w:rsidR="00884D23">
        <w:instrText>}}}],"schema":"https://github.com/citation-style-language/schema/raw/master/csl-citation.json</w:instrText>
      </w:r>
      <w:r w:rsidR="00884D23">
        <w:rPr>
          <w:rtl/>
        </w:rPr>
        <w:instrText xml:space="preserve">"} </w:instrText>
      </w:r>
      <w:r w:rsidR="003B273A">
        <w:rPr>
          <w:rtl/>
        </w:rPr>
        <w:fldChar w:fldCharType="separate"/>
      </w:r>
      <w:r w:rsidR="00942C40" w:rsidRPr="00942C40">
        <w:t>(Gill et al., 2008; Halliday et al., 2021; Morgan, 1997)</w:t>
      </w:r>
      <w:r w:rsidR="003B273A">
        <w:rPr>
          <w:rtl/>
        </w:rPr>
        <w:fldChar w:fldCharType="end"/>
      </w:r>
      <w:r w:rsidR="003B273A">
        <w:t xml:space="preserve">. </w:t>
      </w:r>
      <w:r w:rsidR="003E20B1">
        <w:t>In this group setting, a variety of opinions may be expressed and discussed within the group</w:t>
      </w:r>
      <w:r w:rsidR="009D19D8">
        <w:t xml:space="preserve"> </w:t>
      </w:r>
      <w:r w:rsidR="009D19D8">
        <w:fldChar w:fldCharType="begin"/>
      </w:r>
      <w:r w:rsidR="009D19D8">
        <w:instrText xml:space="preserve"> ADDIN ZOTERO_ITEM CSL_CITATION {"citationID":"pUOxYQ1J","properties":{"formattedCitation":"(Morgan, 1997)","plainCitation":"(Morgan, 1997)","noteIndex":0},"citationItems":[{"id":142,"uris":["http://zotero.org/users/9293396/items/Z2U8MSIW"],"itemData":{"id":142,"type":"book","event-place":"Thousand Oaks, UNITED STATES","ISBN":"978-1-4522-5015-1","publisher":"SAGE Publications","publisher-place":"Thousand Oaks, UNITED STATES","source":"ProQuest Ebook Central","title":"The Focus Group Guidebook","URL":"http://ebookcentral.proquest.com/lib/bgu-ebooks/detail.action?docID=997152","author":[{"family":"Morgan","given":"David L."}],"accessed":{"date-parts":[["2022",5,12]]},"issued":{"date-parts":[["1997"]]}}}],"schema":"https://github.com/citation-style-language/schema/raw/master/csl-citation.json"} </w:instrText>
      </w:r>
      <w:r w:rsidR="009D19D8">
        <w:fldChar w:fldCharType="separate"/>
      </w:r>
      <w:r w:rsidR="009D19D8" w:rsidRPr="009D19D8">
        <w:t>(Morgan, 1997)</w:t>
      </w:r>
      <w:r w:rsidR="009D19D8">
        <w:fldChar w:fldCharType="end"/>
      </w:r>
      <w:r w:rsidR="003E20B1">
        <w:t>.</w:t>
      </w:r>
      <w:r w:rsidR="003B273A" w:rsidRPr="00323659">
        <w:t xml:space="preserve"> </w:t>
      </w:r>
      <w:r w:rsidR="003E20B1">
        <w:t>These discussion may</w:t>
      </w:r>
      <w:r w:rsidR="003B273A" w:rsidRPr="00323659">
        <w:t xml:space="preserve"> </w:t>
      </w:r>
      <w:r w:rsidR="003E20B1">
        <w:t>offer</w:t>
      </w:r>
      <w:r w:rsidR="003B273A" w:rsidRPr="00323659">
        <w:t xml:space="preserve"> insights into the subject being researched </w:t>
      </w:r>
      <w:r w:rsidR="00884D23">
        <w:fldChar w:fldCharType="begin"/>
      </w:r>
      <w:r w:rsidR="00884D23">
        <w:instrText xml:space="preserve"> ADDIN ZOTERO_ITEM CSL_CITATION {"citationID":"ueIFIYLO","properties":{"formattedCitation":"(Kingry et al., 1990; Morgan, 1997; Tausch &amp; Menold, 2016)","plainCitation":"(Kingry et al., 1990; Morgan, 1997; Tausch &amp; Menold, 2016)","noteIndex":0},"citationItems":[{"id":340,"uris":["http://zotero.org/users/9293396/items/FFXBAQH6"],"itemData":{"id":340,"type":"article-journal","container-title":"Nursing Research","ISSN":"0029-6562","issue":"2","journalAbbreviation":"Nurs Res","language":"eng","note":"PMID: 2315067","page":"124-125","source":"PubMed","title":"Focus groups: a research technique for nursing","title-short":"Focus groups","volume":"39","author":[{"family":"Kingry","given":"M. J."},{"family":"Tiedje","given":"L. B."},{"family":"Friedman","given":"L. L."}],"issued":{"date-parts":[["1990"]]}}},{"id":142,"uris":["http://zotero.org/users/9293396/items/Z2U8MSIW"],"itemData":{"id":142,"type":"book","event-place":"Thousand Oaks, UNITED STATES","ISBN":"978-1-4522-5015-1","publisher":"SAGE Publications","publisher-place":"Thousand Oaks, UNITED STATES","source":"ProQuest Ebook Central","title":"The Focus Group Guidebook","URL":"http://ebookcentral.proquest.com/lib/bgu-ebooks/detail.action?docID=997152","author":[{"family":"Morgan","given":"David L."}],"accessed":{"date-parts":[["2022",5,12]]},"issued":{"date-parts":[["1997"]]}}},{"id":342,"uris":["http://zotero.org/users/9293396/items/AFRYER7X"],"itemData":{"id":342,"type":"article-journal","abstract":"Although focus groups are commonly used in health research to explore the perspectives of patients or health care professionals, few studies consider methodological aspects in this specific context. For this reason, we interviewed nine researchers who had conducted focus groups in the context of a project devoted to the development of an electronic personal health record. We performed qualitative content analysis on the interview data relating to recruitment, communication between the focus group participants, and appraisal of the focus group method. The interview data revealed aspects of the focus group method that are particularly relevant for health research and that should be considered in that context. They include, for example, the preferability of face-to-face recruitment, the necessity to allow participants in patient groups sufficient time to introduce themselves, and the use of methods such as participant-generated cards and prioritization.","container-title":"Global Qualitative Nursing Research","DOI":"10.1177/2333393616630466","ISSN":"2333-3936","journalAbbreviation":"Glob Qual Nurs Res","language":"eng","note":"PMID: 28462326\nPMCID: PMC5342644","page":"2333393616630466","source":"PubMed","title":"Methodological Aspects of Focus Groups in Health Research: Results of Qualitative Interviews With Focus Group Moderators","title-short":"Methodological Aspects of Focus Groups in Health Research","volume":"3","author":[{"family":"Tausch","given":"Anja P."},{"family":"Menold","given":"Natalja"}],"issued":{"date-parts":[["2016"]]}}}],"schema":"https://github.com/citation-style-language/schema/raw/master/csl-citation.json"} </w:instrText>
      </w:r>
      <w:r w:rsidR="00884D23">
        <w:fldChar w:fldCharType="separate"/>
      </w:r>
      <w:r w:rsidR="00884D23" w:rsidRPr="00884D23">
        <w:t>(Kingry et al., 1990; Morgan, 1997; Tausch &amp; Menold, 2016)</w:t>
      </w:r>
      <w:r w:rsidR="00884D23">
        <w:fldChar w:fldCharType="end"/>
      </w:r>
    </w:p>
    <w:p w14:paraId="1A784AD3" w14:textId="21E5DDA3" w:rsidR="003B273A" w:rsidRPr="00323659" w:rsidRDefault="003B273A" w:rsidP="00884D23">
      <w:pPr>
        <w:pStyle w:val="CommentText"/>
        <w:spacing w:after="0" w:line="480" w:lineRule="auto"/>
        <w:rPr>
          <w:sz w:val="24"/>
          <w:szCs w:val="24"/>
        </w:rPr>
      </w:pPr>
      <w:r w:rsidRPr="00323659">
        <w:rPr>
          <w:sz w:val="24"/>
          <w:szCs w:val="24"/>
        </w:rPr>
        <w:t xml:space="preserve">In a previous study </w:t>
      </w:r>
      <w:r w:rsidR="00884D23">
        <w:rPr>
          <w:sz w:val="24"/>
          <w:szCs w:val="24"/>
        </w:rPr>
        <w:fldChar w:fldCharType="begin"/>
      </w:r>
      <w:r w:rsidR="00884D23">
        <w:rPr>
          <w:sz w:val="24"/>
          <w:szCs w:val="24"/>
        </w:rPr>
        <w:instrText xml:space="preserve"> ADDIN ZOTERO_ITEM CSL_CITATION {"citationID":"6JEeS2yj","properties":{"formattedCitation":"(Bar-On et al., 2022)","plainCitation":"(Bar-On et al., 2022)","noteIndex":0},"citationItems":[{"id":322,"uris":["http://zotero.org/users/9293396/items/45QJZW3M"],"itemData":{"id":322,"type":"article-journal","abstract":"To explore how socially assistive robots (SARs) may assist the specific needs of individuals with Parkinson's disease (IwPD), we conducted three focus groups with 12 clinicians who treat IwPD. We present a thematic analysis of their perceptions of the needs of the patients, and their own expectations, perceived advantages, disadvantages and concerns regarding the use of SARs for IwPD. Clinicians were positive towards using SARs for IwPD, if used in the patient's home, for motor, communication, emotional, and cognitive needs, especially for practice and for help with activities of daily living. They were concerned that a SAR might be used to replace clinicians’ work, and stressed it should only augment the clinicians’ work. They thought a SAR may relieve some of the burden experienced by informal caregivers, and identified specific applications for SARs for PD. We asked 18 stakeholders (nine IwPD, nine family members) to rate their level of agreement with the clinicians’ statements. The greatest divergence between their views and those of the clinicians was on the topic of using a SAR as a companion, or as a feeding assistant, to which they objected. This work may be used as a basis for future studies designing SARs for IwPD.","container-title":"ACM Transactions on Human-Robot Interaction","DOI":"10.1145/3570168","journalAbbreviation":"J. Hum.-Robot Interact.","note":"Just Accepted","source":"ACM Digital Library","title":"Socially Assistive Robots for Parkinson's Disease: Needs, Attitudes and Specific Applications as Identified by Healthcare Professionals","title-short":"Socially Assistive Robots for Parkinson's Disease","URL":"http://doi.org/10.1145/3570168","author":[{"family":"Bar-On","given":"Inbal"},{"family":"Mayo","given":"Gili"},{"family":"Levy-Tzedek","given":"Shelly"}],"accessed":{"date-parts":[["2022",12,6]]},"issued":{"date-parts":[["2022"]]}}}],"schema":"https://github.com/citation-style-language/schema/raw/master/csl-citation.json"} </w:instrText>
      </w:r>
      <w:r w:rsidR="00884D23">
        <w:rPr>
          <w:sz w:val="24"/>
          <w:szCs w:val="24"/>
        </w:rPr>
        <w:fldChar w:fldCharType="separate"/>
      </w:r>
      <w:r w:rsidR="00884D23" w:rsidRPr="00884D23">
        <w:rPr>
          <w:sz w:val="24"/>
        </w:rPr>
        <w:t>(Bar-On et al., 2022)</w:t>
      </w:r>
      <w:r w:rsidR="00884D23">
        <w:rPr>
          <w:sz w:val="24"/>
          <w:szCs w:val="24"/>
        </w:rPr>
        <w:fldChar w:fldCharType="end"/>
      </w:r>
      <w:r w:rsidR="00007BA3" w:rsidRPr="00323659">
        <w:rPr>
          <w:sz w:val="24"/>
          <w:szCs w:val="24"/>
        </w:rPr>
        <w:t xml:space="preserve"> we</w:t>
      </w:r>
      <w:r w:rsidRPr="00323659">
        <w:rPr>
          <w:sz w:val="24"/>
          <w:szCs w:val="24"/>
        </w:rPr>
        <w:t xml:space="preserve"> conducted focus groups with clinicians who treat individuals with PD. In the current study, we conducted two sets of focus groups: one set of meetings was held with individuals with PD, and one set of meetings was held with family members of individuals with PD. We were interested in these groups’ perspective on how they can benefit from technology, their thoughts towards a potential interaction with a SAR, what they identify as pressing needs, their expectations from the use of assistive robotic technology, and what would encourage them to use or discourage them from using a SAR. The combination of the perspectives of people with PD and their caregivers will provide a holistic perspective </w:t>
      </w:r>
      <w:r w:rsidRPr="00323659">
        <w:rPr>
          <w:sz w:val="24"/>
          <w:szCs w:val="24"/>
        </w:rPr>
        <w:lastRenderedPageBreak/>
        <w:t xml:space="preserve">from those who are expected to use the assistive technology, or be affected by its use </w:t>
      </w:r>
      <w:r w:rsidRPr="00323659">
        <w:rPr>
          <w:sz w:val="24"/>
          <w:szCs w:val="24"/>
        </w:rPr>
        <w:fldChar w:fldCharType="begin"/>
      </w:r>
      <w:r w:rsidRPr="00323659">
        <w:rPr>
          <w:sz w:val="24"/>
          <w:szCs w:val="24"/>
        </w:rPr>
        <w:instrText xml:space="preserve"> ADDIN ZOTERO_ITEM CSL_CITATION {"citationID":"yi2L74fa","properties":{"formattedCitation":"(Dembovski et al., 2022)","plainCitation":"(Dembovski et al., 2022)","noteIndex":0},"citationItems":[{"id":58,"uris":["http://zotero.org/users/9293396/items/CEHEMHQ8"],"itemData":{"id":58,"type":"article-journal","abstract":"Stroke patients often contend with long-term physical challenges that require treatment and support from both formal and informal caregivers. Socially Assistive Robots (SARs) can assist patients in their physical rehabilitation process and relieve some of the burden on the informal caregivers, such as spouses and family members. We collected and analyzed information from 23 participants (11 stroke patients and 12 informal caregivers) who participated in a total of six focus-group discussions. The participants responded to questions regarding using a SAR to promote physical exercises during the rehabilitation process: (a) the advantages and disadvantages of doing so; (b) specific needs that they wish a SAR would address; (c) patient-specific adaptations they would propose to include; and (d) concerns they had regarding the use of such technology in stroke rehabilitation. We found that the majority of the participants in both groups were interested in experiencing the use of a SAR for rehabilitation, in the clinic and at home. Both groups noted the advantage of having the constant presence of a motivating entity with whom they can practice their rehabilitative exercises. The patients noted how such a device can assist\n              formal\n              caregivers in managing their workload, while the informal caregivers indicated that such a system could ease\n              their own\n              workload and sense of burden. The main disadvantages that participants noted related to the robot not possessing human abilities, such as the ability to hold a conversation, to physically guide the patient's movements, and to express or understand emotions. We anticipate that the data collected in this study—input from the patients and their family members, including the similarities and differences between their points of view—will aid in improving the development of SARs for rehabilitation, so that they can better suit people who have had a stroke, and meet their individual needs.","container-title":"Frontiers in Rehabilitation Sciences","DOI":"10.3389/fresc.2021.793233","ISSN":"2673-6861","journalAbbreviation":"Front. Rehabilit. Sci.","language":"en","page":"793233","source":"DOI.org (Crossref)","title":"A Socially Assistive Robot for Stroke Patients: Acceptance, Needs, and Concerns of Patients and Informal Caregivers","title-short":"A Socially Assistive Robot for Stroke Patients","volume":"2","author":[{"family":"Dembovski","given":"Ayelet"},{"family":"Amitai","given":"Yael"},{"family":"Levy-Tzedek","given":"Shelly"}],"issued":{"date-parts":[["2022",1,25]]}}}],"schema":"https://github.com/citation-style-language/schema/raw/master/csl-citation.json"} </w:instrText>
      </w:r>
      <w:r w:rsidRPr="00323659">
        <w:rPr>
          <w:sz w:val="24"/>
          <w:szCs w:val="24"/>
        </w:rPr>
        <w:fldChar w:fldCharType="separate"/>
      </w:r>
      <w:r w:rsidR="00942C40" w:rsidRPr="00942C40">
        <w:rPr>
          <w:sz w:val="24"/>
        </w:rPr>
        <w:t>(Dembovski et al., 2022)</w:t>
      </w:r>
      <w:r w:rsidRPr="00323659">
        <w:rPr>
          <w:sz w:val="24"/>
          <w:szCs w:val="24"/>
        </w:rPr>
        <w:fldChar w:fldCharType="end"/>
      </w:r>
      <w:r w:rsidRPr="00323659">
        <w:rPr>
          <w:sz w:val="24"/>
          <w:szCs w:val="24"/>
        </w:rPr>
        <w:t>.</w:t>
      </w:r>
    </w:p>
    <w:p w14:paraId="13DB4058" w14:textId="77777777" w:rsidR="003B273A" w:rsidRPr="00323659" w:rsidRDefault="003B273A" w:rsidP="003B273A">
      <w:pPr>
        <w:pStyle w:val="CommentText"/>
        <w:spacing w:after="0" w:line="480" w:lineRule="auto"/>
        <w:rPr>
          <w:sz w:val="24"/>
          <w:szCs w:val="24"/>
          <w:rtl/>
        </w:rPr>
      </w:pPr>
    </w:p>
    <w:p w14:paraId="02E143F7" w14:textId="7CDA843D" w:rsidR="003B273A" w:rsidRPr="00323659" w:rsidRDefault="003B273A" w:rsidP="00175F29">
      <w:bookmarkStart w:id="0" w:name="_Hlk95212603"/>
      <w:r w:rsidRPr="00323659">
        <w:t>The main contributions of this paper are</w:t>
      </w:r>
      <w:r>
        <w:t xml:space="preserve">: (1) The collection and analysis of the perspectives of </w:t>
      </w:r>
      <w:r w:rsidRPr="00323659">
        <w:t>individuals with PD and by family members of individuals with PD</w:t>
      </w:r>
      <w:r>
        <w:t xml:space="preserve"> regarding</w:t>
      </w:r>
      <w:r w:rsidRPr="00323659">
        <w:t>: (</w:t>
      </w:r>
      <w:r>
        <w:t>a</w:t>
      </w:r>
      <w:r w:rsidRPr="00323659">
        <w:t>) The major needs of people living with PD; (</w:t>
      </w:r>
      <w:r>
        <w:t>b</w:t>
      </w:r>
      <w:r w:rsidRPr="00323659">
        <w:t>) The advantages</w:t>
      </w:r>
      <w:r>
        <w:t>,</w:t>
      </w:r>
      <w:r w:rsidRPr="00323659">
        <w:t xml:space="preserve"> disadvantages and concerns with regards to using SARs with individuals with PD; (</w:t>
      </w:r>
      <w:r>
        <w:t>2</w:t>
      </w:r>
      <w:r w:rsidRPr="00323659">
        <w:t>) The compilation of a set of specific potential applications for SARs for PD, as identified by these groups; and (</w:t>
      </w:r>
      <w:r>
        <w:t>3</w:t>
      </w:r>
      <w:r w:rsidRPr="00323659">
        <w:t>) The identification of points of agreement and disagreement between the individuals with PD and the family members of individuals with PD</w:t>
      </w:r>
      <w:r>
        <w:t>.</w:t>
      </w:r>
    </w:p>
    <w:bookmarkEnd w:id="0"/>
    <w:p w14:paraId="4BC9A63A" w14:textId="77777777" w:rsidR="003B273A" w:rsidRPr="00222C81" w:rsidRDefault="003B273A" w:rsidP="003B273A">
      <w:pPr>
        <w:pStyle w:val="ListParagraph"/>
        <w:widowControl w:val="0"/>
        <w:numPr>
          <w:ilvl w:val="0"/>
          <w:numId w:val="2"/>
        </w:numPr>
        <w:jc w:val="left"/>
        <w:rPr>
          <w:rFonts w:asciiTheme="majorBidi" w:eastAsiaTheme="majorEastAsia" w:hAnsiTheme="majorBidi" w:cstheme="majorBidi"/>
          <w:b/>
          <w:u w:val="single"/>
        </w:rPr>
      </w:pPr>
      <w:r w:rsidRPr="00222C81">
        <w:rPr>
          <w:rFonts w:asciiTheme="majorBidi" w:eastAsiaTheme="majorEastAsia" w:hAnsiTheme="majorBidi" w:cstheme="majorBidi"/>
          <w:b/>
          <w:u w:val="single"/>
        </w:rPr>
        <w:t>Methods</w:t>
      </w:r>
    </w:p>
    <w:p w14:paraId="11FAE414" w14:textId="77777777" w:rsidR="003B273A" w:rsidRDefault="003B273A" w:rsidP="003B273A">
      <w:pPr>
        <w:widowControl w:val="0"/>
        <w:jc w:val="left"/>
        <w:rPr>
          <w:rFonts w:asciiTheme="majorBidi" w:eastAsiaTheme="majorEastAsia" w:hAnsiTheme="majorBidi" w:cstheme="majorBidi"/>
          <w:bCs/>
        </w:rPr>
      </w:pPr>
      <w:r w:rsidRPr="00FC2DEC">
        <w:rPr>
          <w:rFonts w:asciiTheme="majorBidi" w:eastAsiaTheme="majorEastAsia" w:hAnsiTheme="majorBidi" w:cstheme="majorBidi"/>
          <w:b/>
        </w:rPr>
        <w:t>Participants</w:t>
      </w:r>
      <w:r>
        <w:rPr>
          <w:rFonts w:asciiTheme="majorBidi" w:eastAsiaTheme="majorEastAsia" w:hAnsiTheme="majorBidi" w:cstheme="majorBidi"/>
          <w:bCs/>
        </w:rPr>
        <w:t xml:space="preserve"> </w:t>
      </w:r>
    </w:p>
    <w:p w14:paraId="610C810C" w14:textId="77777777" w:rsidR="003B273A" w:rsidRPr="00DF16C1" w:rsidRDefault="003B273A" w:rsidP="003B273A">
      <w:pPr>
        <w:widowControl w:val="0"/>
        <w:jc w:val="left"/>
        <w:rPr>
          <w:rFonts w:asciiTheme="majorBidi" w:eastAsiaTheme="majorEastAsia" w:hAnsiTheme="majorBidi" w:cstheme="majorBidi"/>
          <w:bCs/>
        </w:rPr>
      </w:pPr>
      <w:r>
        <w:rPr>
          <w:rFonts w:asciiTheme="majorBidi" w:eastAsiaTheme="majorEastAsia" w:hAnsiTheme="majorBidi" w:cstheme="majorBidi"/>
          <w:bCs/>
        </w:rPr>
        <w:t xml:space="preserve">A total of </w:t>
      </w:r>
      <w:r w:rsidRPr="00980609">
        <w:rPr>
          <w:rFonts w:asciiTheme="majorBidi" w:eastAsiaTheme="majorEastAsia" w:hAnsiTheme="majorBidi" w:cstheme="majorBidi"/>
          <w:b/>
          <w:rtl/>
        </w:rPr>
        <w:t>46</w:t>
      </w:r>
      <w:r>
        <w:rPr>
          <w:rFonts w:asciiTheme="majorBidi" w:eastAsiaTheme="majorEastAsia" w:hAnsiTheme="majorBidi" w:cstheme="majorBidi"/>
          <w:bCs/>
        </w:rPr>
        <w:t xml:space="preserve"> participants participated in this focus-group study, which is comprised of two experiments. Groups were held separately for the individuals with PD (experiment 1) and for the family members (experiment 2), as detailed below. We</w:t>
      </w:r>
      <w:r w:rsidRPr="00FC2DEC">
        <w:rPr>
          <w:rFonts w:asciiTheme="majorBidi" w:eastAsiaTheme="majorEastAsia" w:hAnsiTheme="majorBidi" w:cstheme="majorBidi"/>
          <w:bCs/>
        </w:rPr>
        <w:t xml:space="preserve"> recruited a convenience sample </w:t>
      </w:r>
      <w:r>
        <w:rPr>
          <w:rFonts w:asciiTheme="majorBidi" w:eastAsiaTheme="majorEastAsia" w:hAnsiTheme="majorBidi" w:cstheme="majorBidi"/>
          <w:bCs/>
        </w:rPr>
        <w:t>using</w:t>
      </w:r>
      <w:r w:rsidRPr="00FC2DEC">
        <w:rPr>
          <w:rFonts w:asciiTheme="majorBidi" w:eastAsiaTheme="majorEastAsia" w:hAnsiTheme="majorBidi" w:cstheme="majorBidi"/>
          <w:bCs/>
        </w:rPr>
        <w:t xml:space="preserve"> information sheets distributed </w:t>
      </w:r>
      <w:r>
        <w:rPr>
          <w:rFonts w:asciiTheme="majorBidi" w:eastAsiaTheme="majorEastAsia" w:hAnsiTheme="majorBidi" w:cstheme="majorBidi"/>
          <w:bCs/>
        </w:rPr>
        <w:t xml:space="preserve">by branch leaders of the </w:t>
      </w:r>
      <w:r w:rsidRPr="00FC2DEC">
        <w:rPr>
          <w:rFonts w:asciiTheme="majorBidi" w:eastAsiaTheme="majorEastAsia" w:hAnsiTheme="majorBidi" w:cstheme="majorBidi"/>
          <w:bCs/>
        </w:rPr>
        <w:t>Parkinson's Association. Those interested contacted one of the researchers via email</w:t>
      </w:r>
      <w:r>
        <w:rPr>
          <w:rFonts w:asciiTheme="majorBidi" w:eastAsiaTheme="majorEastAsia" w:hAnsiTheme="majorBidi" w:cstheme="majorBidi"/>
          <w:bCs/>
        </w:rPr>
        <w:t xml:space="preserve">, </w:t>
      </w:r>
      <w:r w:rsidRPr="00FC2DEC">
        <w:rPr>
          <w:rFonts w:asciiTheme="majorBidi" w:eastAsiaTheme="majorEastAsia" w:hAnsiTheme="majorBidi" w:cstheme="majorBidi"/>
          <w:bCs/>
        </w:rPr>
        <w:t>phone</w:t>
      </w:r>
      <w:r>
        <w:rPr>
          <w:rFonts w:asciiTheme="majorBidi" w:eastAsiaTheme="majorEastAsia" w:hAnsiTheme="majorBidi" w:cstheme="majorBidi"/>
          <w:bCs/>
        </w:rPr>
        <w:t>, or social media</w:t>
      </w:r>
      <w:r w:rsidRPr="00FC2DEC">
        <w:rPr>
          <w:rFonts w:asciiTheme="majorBidi" w:eastAsiaTheme="majorEastAsia" w:hAnsiTheme="majorBidi" w:cstheme="majorBidi"/>
          <w:bCs/>
        </w:rPr>
        <w:t>.</w:t>
      </w:r>
    </w:p>
    <w:p w14:paraId="37BF8286" w14:textId="77777777" w:rsidR="003B273A" w:rsidRDefault="003B273A" w:rsidP="003B273A">
      <w:pPr>
        <w:widowControl w:val="0"/>
        <w:jc w:val="left"/>
        <w:rPr>
          <w:rFonts w:asciiTheme="majorBidi" w:eastAsiaTheme="majorEastAsia" w:hAnsiTheme="majorBidi" w:cstheme="majorBidi"/>
          <w:b/>
        </w:rPr>
      </w:pPr>
      <w:r w:rsidRPr="00FC2DEC">
        <w:rPr>
          <w:rFonts w:asciiTheme="majorBidi" w:eastAsiaTheme="majorEastAsia" w:hAnsiTheme="majorBidi" w:cstheme="majorBidi"/>
          <w:b/>
        </w:rPr>
        <w:t>Participants</w:t>
      </w:r>
      <w:r>
        <w:rPr>
          <w:rFonts w:asciiTheme="majorBidi" w:eastAsiaTheme="majorEastAsia" w:hAnsiTheme="majorBidi" w:cstheme="majorBidi"/>
          <w:b/>
        </w:rPr>
        <w:t xml:space="preserve"> – Experiment 1: Individuals with PD</w:t>
      </w:r>
    </w:p>
    <w:p w14:paraId="48FF2E5D" w14:textId="474350F4" w:rsidR="003B273A" w:rsidRDefault="003B273A" w:rsidP="003B273A">
      <w:pPr>
        <w:widowControl w:val="0"/>
        <w:jc w:val="left"/>
        <w:rPr>
          <w:rFonts w:asciiTheme="majorBidi" w:eastAsiaTheme="majorEastAsia" w:hAnsiTheme="majorBidi" w:cstheme="majorBidi"/>
          <w:bCs/>
        </w:rPr>
      </w:pPr>
      <w:r w:rsidRPr="00980609">
        <w:rPr>
          <w:rFonts w:asciiTheme="majorBidi" w:eastAsiaTheme="majorEastAsia" w:hAnsiTheme="majorBidi" w:cstheme="majorBidi"/>
          <w:b/>
          <w:rtl/>
        </w:rPr>
        <w:t>24</w:t>
      </w:r>
      <w:r w:rsidRPr="00FC2DEC">
        <w:rPr>
          <w:rFonts w:asciiTheme="majorBidi" w:eastAsiaTheme="majorEastAsia" w:hAnsiTheme="majorBidi" w:cstheme="majorBidi"/>
          <w:bCs/>
        </w:rPr>
        <w:t xml:space="preserve"> individuals with P</w:t>
      </w:r>
      <w:r>
        <w:rPr>
          <w:rFonts w:asciiTheme="majorBidi" w:eastAsiaTheme="majorEastAsia" w:hAnsiTheme="majorBidi" w:cstheme="majorBidi"/>
          <w:bCs/>
        </w:rPr>
        <w:t>D</w:t>
      </w:r>
      <w:r w:rsidRPr="00FC2DEC">
        <w:rPr>
          <w:rFonts w:asciiTheme="majorBidi" w:eastAsiaTheme="majorEastAsia" w:hAnsiTheme="majorBidi" w:cstheme="majorBidi"/>
          <w:bCs/>
        </w:rPr>
        <w:t xml:space="preserve"> (</w:t>
      </w:r>
      <w:r w:rsidRPr="00980609">
        <w:rPr>
          <w:rFonts w:asciiTheme="majorBidi" w:eastAsiaTheme="majorEastAsia" w:hAnsiTheme="majorBidi" w:cstheme="majorBidi"/>
          <w:b/>
          <w:rtl/>
        </w:rPr>
        <w:t>9</w:t>
      </w:r>
      <w:r w:rsidRPr="00FC2DEC">
        <w:rPr>
          <w:rFonts w:asciiTheme="majorBidi" w:eastAsiaTheme="majorEastAsia" w:hAnsiTheme="majorBidi" w:cstheme="majorBidi"/>
          <w:bCs/>
        </w:rPr>
        <w:t xml:space="preserve"> </w:t>
      </w:r>
      <w:r w:rsidR="00DF4FEA">
        <w:rPr>
          <w:rFonts w:asciiTheme="majorBidi" w:eastAsiaTheme="majorEastAsia" w:hAnsiTheme="majorBidi" w:cstheme="majorBidi"/>
          <w:bCs/>
        </w:rPr>
        <w:t>women</w:t>
      </w:r>
      <w:r w:rsidRPr="00FC2DEC">
        <w:rPr>
          <w:rFonts w:asciiTheme="majorBidi" w:eastAsiaTheme="majorEastAsia" w:hAnsiTheme="majorBidi" w:cstheme="majorBidi"/>
          <w:bCs/>
        </w:rPr>
        <w:t xml:space="preserve">, </w:t>
      </w:r>
      <w:r w:rsidRPr="00980609">
        <w:rPr>
          <w:rFonts w:asciiTheme="majorBidi" w:eastAsiaTheme="majorEastAsia" w:hAnsiTheme="majorBidi" w:cstheme="majorBidi"/>
          <w:b/>
          <w:rtl/>
        </w:rPr>
        <w:t>15</w:t>
      </w:r>
      <w:r w:rsidRPr="00FC2DEC">
        <w:rPr>
          <w:rFonts w:asciiTheme="majorBidi" w:eastAsiaTheme="majorEastAsia" w:hAnsiTheme="majorBidi" w:cstheme="majorBidi"/>
          <w:bCs/>
        </w:rPr>
        <w:t xml:space="preserve"> </w:t>
      </w:r>
      <w:r w:rsidR="00DF4FEA">
        <w:rPr>
          <w:rFonts w:asciiTheme="majorBidi" w:eastAsiaTheme="majorEastAsia" w:hAnsiTheme="majorBidi" w:cstheme="majorBidi"/>
          <w:bCs/>
        </w:rPr>
        <w:t>men</w:t>
      </w:r>
      <w:r w:rsidRPr="00FC2DEC">
        <w:rPr>
          <w:rFonts w:asciiTheme="majorBidi" w:eastAsiaTheme="majorEastAsia" w:hAnsiTheme="majorBidi" w:cstheme="majorBidi"/>
          <w:bCs/>
        </w:rPr>
        <w:t xml:space="preserve">; age range </w:t>
      </w:r>
      <w:r>
        <w:rPr>
          <w:rFonts w:asciiTheme="majorBidi" w:eastAsiaTheme="majorEastAsia" w:hAnsiTheme="majorBidi" w:cstheme="majorBidi" w:hint="cs"/>
          <w:b/>
          <w:rtl/>
        </w:rPr>
        <w:t>59-83</w:t>
      </w:r>
      <w:r>
        <w:rPr>
          <w:rFonts w:asciiTheme="majorBidi" w:eastAsiaTheme="majorEastAsia" w:hAnsiTheme="majorBidi" w:cstheme="majorBidi"/>
          <w:b/>
        </w:rPr>
        <w:t xml:space="preserve"> </w:t>
      </w:r>
      <w:r w:rsidRPr="00FC2DEC">
        <w:rPr>
          <w:rFonts w:asciiTheme="majorBidi" w:eastAsiaTheme="majorEastAsia" w:hAnsiTheme="majorBidi" w:cstheme="majorBidi"/>
          <w:bCs/>
        </w:rPr>
        <w:t xml:space="preserve">years, mean </w:t>
      </w:r>
      <w:r w:rsidRPr="00980609">
        <w:rPr>
          <w:rFonts w:asciiTheme="majorBidi" w:eastAsiaTheme="majorEastAsia" w:hAnsiTheme="majorBidi" w:cstheme="majorBidi"/>
          <w:b/>
          <w:rtl/>
        </w:rPr>
        <w:t>71</w:t>
      </w:r>
      <w:r w:rsidRPr="00980609">
        <w:rPr>
          <w:rFonts w:asciiTheme="majorBidi" w:eastAsiaTheme="majorEastAsia" w:hAnsiTheme="majorBidi" w:cstheme="majorBidi"/>
          <w:b/>
        </w:rPr>
        <w:t xml:space="preserve"> ± </w:t>
      </w:r>
      <w:r w:rsidRPr="00980609">
        <w:rPr>
          <w:rFonts w:asciiTheme="majorBidi" w:eastAsiaTheme="majorEastAsia" w:hAnsiTheme="majorBidi" w:cstheme="majorBidi"/>
          <w:b/>
          <w:rtl/>
        </w:rPr>
        <w:t>6.8</w:t>
      </w:r>
      <w:r w:rsidRPr="00FC2DEC">
        <w:rPr>
          <w:rFonts w:asciiTheme="majorBidi" w:eastAsiaTheme="majorEastAsia" w:hAnsiTheme="majorBidi" w:cstheme="majorBidi"/>
          <w:bCs/>
        </w:rPr>
        <w:t xml:space="preserve">; </w:t>
      </w:r>
      <w:r w:rsidRPr="00980609">
        <w:rPr>
          <w:rFonts w:asciiTheme="majorBidi" w:eastAsiaTheme="majorEastAsia" w:hAnsiTheme="majorBidi" w:cstheme="majorBidi"/>
          <w:b/>
          <w:rtl/>
        </w:rPr>
        <w:t>1-25</w:t>
      </w:r>
      <w:r>
        <w:rPr>
          <w:rFonts w:asciiTheme="majorBidi" w:eastAsiaTheme="majorEastAsia" w:hAnsiTheme="majorBidi" w:cstheme="majorBidi"/>
          <w:b/>
        </w:rPr>
        <w:t xml:space="preserve"> </w:t>
      </w:r>
      <w:r w:rsidRPr="00FC2DEC">
        <w:rPr>
          <w:rFonts w:asciiTheme="majorBidi" w:eastAsiaTheme="majorEastAsia" w:hAnsiTheme="majorBidi" w:cstheme="majorBidi"/>
          <w:bCs/>
        </w:rPr>
        <w:t xml:space="preserve">years from PD onset, mean </w:t>
      </w:r>
      <w:r w:rsidRPr="00980609">
        <w:rPr>
          <w:rFonts w:asciiTheme="majorBidi" w:eastAsiaTheme="majorEastAsia" w:hAnsiTheme="majorBidi" w:cstheme="majorBidi"/>
          <w:b/>
          <w:rtl/>
        </w:rPr>
        <w:t>10.3</w:t>
      </w:r>
      <w:r w:rsidRPr="00980609">
        <w:rPr>
          <w:rFonts w:asciiTheme="majorBidi" w:eastAsiaTheme="majorEastAsia" w:hAnsiTheme="majorBidi" w:cstheme="majorBidi"/>
          <w:b/>
        </w:rPr>
        <w:t xml:space="preserve"> ± </w:t>
      </w:r>
      <w:r w:rsidRPr="00980609">
        <w:rPr>
          <w:rFonts w:asciiTheme="majorBidi" w:eastAsiaTheme="majorEastAsia" w:hAnsiTheme="majorBidi" w:cstheme="majorBidi"/>
          <w:b/>
          <w:rtl/>
        </w:rPr>
        <w:t>6.6</w:t>
      </w:r>
      <w:r w:rsidRPr="00FC2DEC">
        <w:rPr>
          <w:rFonts w:asciiTheme="majorBidi" w:eastAsiaTheme="majorEastAsia" w:hAnsiTheme="majorBidi" w:cstheme="majorBidi"/>
          <w:bCs/>
        </w:rPr>
        <w:t xml:space="preserve">) participated in this study. Participants who met the following inclusion criteria were recruited to the study: (1) Diagnosis of </w:t>
      </w:r>
      <w:r>
        <w:rPr>
          <w:rFonts w:asciiTheme="majorBidi" w:eastAsiaTheme="majorEastAsia" w:hAnsiTheme="majorBidi" w:cstheme="majorBidi"/>
          <w:bCs/>
        </w:rPr>
        <w:t>PD;</w:t>
      </w:r>
      <w:r w:rsidRPr="00FC2DEC">
        <w:rPr>
          <w:rFonts w:asciiTheme="majorBidi" w:eastAsiaTheme="majorEastAsia" w:hAnsiTheme="majorBidi" w:cstheme="majorBidi"/>
          <w:bCs/>
        </w:rPr>
        <w:t xml:space="preserve"> (2) Age 18-85 years; (3) Fluency in the Hebrew language. Exclusion criteria for the study group were as follows: (1) Diagnosis of </w:t>
      </w:r>
      <w:r>
        <w:rPr>
          <w:rFonts w:asciiTheme="majorBidi" w:eastAsiaTheme="majorEastAsia" w:hAnsiTheme="majorBidi" w:cstheme="majorBidi"/>
          <w:bCs/>
        </w:rPr>
        <w:t>additional</w:t>
      </w:r>
      <w:r w:rsidRPr="00FC2DEC">
        <w:rPr>
          <w:rFonts w:asciiTheme="majorBidi" w:eastAsiaTheme="majorEastAsia" w:hAnsiTheme="majorBidi" w:cstheme="majorBidi"/>
          <w:bCs/>
        </w:rPr>
        <w:t xml:space="preserve"> non-</w:t>
      </w:r>
      <w:r>
        <w:rPr>
          <w:rFonts w:asciiTheme="majorBidi" w:eastAsiaTheme="majorEastAsia" w:hAnsiTheme="majorBidi" w:cstheme="majorBidi"/>
          <w:bCs/>
        </w:rPr>
        <w:t>PD-related</w:t>
      </w:r>
      <w:r w:rsidRPr="00FC2DEC">
        <w:rPr>
          <w:rFonts w:asciiTheme="majorBidi" w:eastAsiaTheme="majorEastAsia" w:hAnsiTheme="majorBidi" w:cstheme="majorBidi"/>
          <w:bCs/>
        </w:rPr>
        <w:t xml:space="preserve"> neurological disease; (2) Significant </w:t>
      </w:r>
      <w:r>
        <w:rPr>
          <w:rFonts w:asciiTheme="majorBidi" w:eastAsiaTheme="majorEastAsia" w:hAnsiTheme="majorBidi" w:cstheme="majorBidi"/>
          <w:bCs/>
        </w:rPr>
        <w:lastRenderedPageBreak/>
        <w:t xml:space="preserve">uncorrected </w:t>
      </w:r>
      <w:r w:rsidRPr="00FC2DEC">
        <w:rPr>
          <w:rFonts w:asciiTheme="majorBidi" w:eastAsiaTheme="majorEastAsia" w:hAnsiTheme="majorBidi" w:cstheme="majorBidi"/>
          <w:bCs/>
        </w:rPr>
        <w:t xml:space="preserve">visual </w:t>
      </w:r>
      <w:r>
        <w:rPr>
          <w:rFonts w:asciiTheme="majorBidi" w:eastAsiaTheme="majorEastAsia" w:hAnsiTheme="majorBidi" w:cstheme="majorBidi"/>
          <w:bCs/>
        </w:rPr>
        <w:t>impairment</w:t>
      </w:r>
      <w:r w:rsidRPr="00FC2DEC">
        <w:rPr>
          <w:rFonts w:asciiTheme="majorBidi" w:eastAsiaTheme="majorEastAsia" w:hAnsiTheme="majorBidi" w:cstheme="majorBidi"/>
          <w:bCs/>
        </w:rPr>
        <w:t xml:space="preserve">. </w:t>
      </w:r>
    </w:p>
    <w:p w14:paraId="00A27DE8" w14:textId="77777777" w:rsidR="003B273A" w:rsidRDefault="003B273A" w:rsidP="003B273A">
      <w:pPr>
        <w:widowControl w:val="0"/>
        <w:jc w:val="left"/>
        <w:rPr>
          <w:rFonts w:asciiTheme="majorBidi" w:eastAsiaTheme="majorEastAsia" w:hAnsiTheme="majorBidi" w:cstheme="majorBidi"/>
          <w:b/>
        </w:rPr>
      </w:pPr>
      <w:r w:rsidRPr="00FC2DEC">
        <w:rPr>
          <w:rFonts w:asciiTheme="majorBidi" w:eastAsiaTheme="majorEastAsia" w:hAnsiTheme="majorBidi" w:cstheme="majorBidi"/>
          <w:b/>
        </w:rPr>
        <w:t>Participants</w:t>
      </w:r>
      <w:r>
        <w:rPr>
          <w:rFonts w:asciiTheme="majorBidi" w:eastAsiaTheme="majorEastAsia" w:hAnsiTheme="majorBidi" w:cstheme="majorBidi"/>
          <w:b/>
        </w:rPr>
        <w:t xml:space="preserve"> – Experiment 2: Family members of individuals with PD</w:t>
      </w:r>
    </w:p>
    <w:p w14:paraId="3213909A" w14:textId="702852FC" w:rsidR="003B273A" w:rsidRDefault="003B273A" w:rsidP="003B273A">
      <w:pPr>
        <w:widowControl w:val="0"/>
        <w:jc w:val="left"/>
        <w:rPr>
          <w:rFonts w:asciiTheme="majorBidi" w:eastAsiaTheme="majorEastAsia" w:hAnsiTheme="majorBidi" w:cstheme="majorBidi"/>
          <w:bCs/>
        </w:rPr>
      </w:pPr>
      <w:r>
        <w:rPr>
          <w:rFonts w:hint="cs"/>
          <w:rtl/>
        </w:rPr>
        <w:t>22</w:t>
      </w:r>
      <w:r w:rsidRPr="00C646FA">
        <w:t xml:space="preserve"> family members of </w:t>
      </w:r>
      <w:r>
        <w:t>individuals</w:t>
      </w:r>
      <w:r w:rsidRPr="00C646FA">
        <w:t xml:space="preserve"> with </w:t>
      </w:r>
      <w:r>
        <w:t>PD</w:t>
      </w:r>
      <w:r w:rsidRPr="00C646FA">
        <w:t xml:space="preserve"> (</w:t>
      </w:r>
      <w:r>
        <w:rPr>
          <w:rFonts w:hint="cs"/>
          <w:rtl/>
        </w:rPr>
        <w:t>17</w:t>
      </w:r>
      <w:r w:rsidRPr="00C646FA">
        <w:t xml:space="preserve"> </w:t>
      </w:r>
      <w:r w:rsidR="00DF4FEA">
        <w:t>women</w:t>
      </w:r>
      <w:r w:rsidRPr="00C646FA">
        <w:t xml:space="preserve">, </w:t>
      </w:r>
      <w:r>
        <w:rPr>
          <w:rFonts w:hint="cs"/>
          <w:rtl/>
        </w:rPr>
        <w:t>5</w:t>
      </w:r>
      <w:r w:rsidRPr="00C646FA">
        <w:t xml:space="preserve"> </w:t>
      </w:r>
      <w:r w:rsidR="00DF4FEA">
        <w:t>men</w:t>
      </w:r>
      <w:r w:rsidRPr="00C646FA">
        <w:t xml:space="preserve">; age range </w:t>
      </w:r>
      <w:r>
        <w:t xml:space="preserve">43-82 years </w:t>
      </w:r>
      <w:r w:rsidRPr="003B4F90">
        <w:t xml:space="preserve">,mean </w:t>
      </w:r>
      <w:r>
        <w:t>68.5</w:t>
      </w:r>
      <w:r w:rsidRPr="003B4F90">
        <w:t xml:space="preserve">± </w:t>
      </w:r>
      <w:r>
        <w:t xml:space="preserve">9.7; age range of their </w:t>
      </w:r>
      <w:r w:rsidRPr="00C646FA">
        <w:t xml:space="preserve">family member </w:t>
      </w:r>
      <w:r>
        <w:t xml:space="preserve">with PD 61-81 </w:t>
      </w:r>
      <w:r w:rsidRPr="003B4F90">
        <w:t xml:space="preserve">years, mean </w:t>
      </w:r>
      <w:r>
        <w:t>72.6</w:t>
      </w:r>
      <w:r w:rsidRPr="003B4F90">
        <w:t xml:space="preserve">± </w:t>
      </w:r>
      <w:r>
        <w:t>6.1</w:t>
      </w:r>
      <w:r w:rsidRPr="003B4F90">
        <w:t>;</w:t>
      </w:r>
      <w:r w:rsidRPr="00C646FA">
        <w:t xml:space="preserve"> </w:t>
      </w:r>
      <w:r>
        <w:t>1-25</w:t>
      </w:r>
      <w:r w:rsidRPr="00C646FA">
        <w:t xml:space="preserve"> years from family member PD onset, mean </w:t>
      </w:r>
      <w:r>
        <w:t>12</w:t>
      </w:r>
      <w:r w:rsidRPr="00C646FA">
        <w:t xml:space="preserve"> ± </w:t>
      </w:r>
      <w:r>
        <w:t>7.8</w:t>
      </w:r>
      <w:r w:rsidRPr="00C646FA">
        <w:t>)</w:t>
      </w:r>
      <w:r>
        <w:t xml:space="preserve"> </w:t>
      </w:r>
      <w:r w:rsidRPr="00FC2DEC">
        <w:rPr>
          <w:rFonts w:asciiTheme="majorBidi" w:eastAsiaTheme="majorEastAsia" w:hAnsiTheme="majorBidi" w:cstheme="majorBidi"/>
          <w:bCs/>
        </w:rPr>
        <w:t xml:space="preserve">participated in this study. Participants who met the following inclusion criteria were recruited to the study: (1) </w:t>
      </w:r>
      <w:r w:rsidRPr="000746A2">
        <w:rPr>
          <w:rFonts w:asciiTheme="majorBidi" w:eastAsiaTheme="majorEastAsia" w:hAnsiTheme="majorBidi" w:cstheme="majorBidi"/>
          <w:bCs/>
        </w:rPr>
        <w:t xml:space="preserve">Family members of people diagnosed with </w:t>
      </w:r>
      <w:r>
        <w:rPr>
          <w:rFonts w:asciiTheme="majorBidi" w:eastAsiaTheme="majorEastAsia" w:hAnsiTheme="majorBidi" w:cstheme="majorBidi"/>
          <w:bCs/>
        </w:rPr>
        <w:t>PD</w:t>
      </w:r>
      <w:r w:rsidRPr="000746A2">
        <w:rPr>
          <w:rFonts w:asciiTheme="majorBidi" w:eastAsiaTheme="majorEastAsia" w:hAnsiTheme="majorBidi" w:cstheme="majorBidi"/>
          <w:bCs/>
        </w:rPr>
        <w:t xml:space="preserve"> </w:t>
      </w:r>
      <w:r w:rsidRPr="00FC2DEC">
        <w:rPr>
          <w:rFonts w:asciiTheme="majorBidi" w:eastAsiaTheme="majorEastAsia" w:hAnsiTheme="majorBidi" w:cstheme="majorBidi"/>
          <w:bCs/>
        </w:rPr>
        <w:t>(2)</w:t>
      </w:r>
      <w:r w:rsidRPr="00CD6EDB">
        <w:rPr>
          <w:rFonts w:asciiTheme="majorBidi" w:eastAsiaTheme="majorEastAsia" w:hAnsiTheme="majorBidi" w:cstheme="majorBidi"/>
          <w:bCs/>
        </w:rPr>
        <w:t xml:space="preserve"> </w:t>
      </w:r>
      <w:r w:rsidRPr="00FC2DEC">
        <w:rPr>
          <w:rFonts w:asciiTheme="majorBidi" w:eastAsiaTheme="majorEastAsia" w:hAnsiTheme="majorBidi" w:cstheme="majorBidi"/>
          <w:bCs/>
        </w:rPr>
        <w:t>Age 18-85 years;</w:t>
      </w:r>
      <w:r>
        <w:rPr>
          <w:rFonts w:asciiTheme="majorBidi" w:eastAsiaTheme="majorEastAsia" w:hAnsiTheme="majorBidi" w:cstheme="majorBidi" w:hint="cs"/>
          <w:bCs/>
        </w:rPr>
        <w:t xml:space="preserve"> </w:t>
      </w:r>
      <w:r w:rsidRPr="00061FA6">
        <w:rPr>
          <w:rFonts w:asciiTheme="majorBidi" w:eastAsiaTheme="majorEastAsia" w:hAnsiTheme="majorBidi" w:cstheme="majorBidi"/>
          <w:bCs/>
        </w:rPr>
        <w:t>(3)</w:t>
      </w:r>
      <w:r w:rsidRPr="00FC2DEC">
        <w:rPr>
          <w:rFonts w:asciiTheme="majorBidi" w:eastAsiaTheme="majorEastAsia" w:hAnsiTheme="majorBidi" w:cstheme="majorBidi"/>
          <w:bCs/>
        </w:rPr>
        <w:t xml:space="preserve"> </w:t>
      </w:r>
      <w:r w:rsidRPr="00895D0A">
        <w:rPr>
          <w:rFonts w:asciiTheme="majorBidi" w:eastAsiaTheme="majorEastAsia" w:hAnsiTheme="majorBidi" w:cstheme="majorBidi"/>
          <w:bCs/>
        </w:rPr>
        <w:t xml:space="preserve">Their family member with </w:t>
      </w:r>
      <w:r>
        <w:rPr>
          <w:rFonts w:asciiTheme="majorBidi" w:eastAsiaTheme="majorEastAsia" w:hAnsiTheme="majorBidi" w:cstheme="majorBidi"/>
          <w:bCs/>
        </w:rPr>
        <w:t>PD</w:t>
      </w:r>
      <w:r w:rsidRPr="00895D0A">
        <w:rPr>
          <w:rFonts w:asciiTheme="majorBidi" w:eastAsiaTheme="majorEastAsia" w:hAnsiTheme="majorBidi" w:cstheme="majorBidi"/>
          <w:bCs/>
        </w:rPr>
        <w:t xml:space="preserve"> is 18-85 years old</w:t>
      </w:r>
      <w:r w:rsidRPr="00FC2DEC">
        <w:rPr>
          <w:rFonts w:asciiTheme="majorBidi" w:eastAsiaTheme="majorEastAsia" w:hAnsiTheme="majorBidi" w:cstheme="majorBidi"/>
          <w:bCs/>
        </w:rPr>
        <w:t>; (</w:t>
      </w:r>
      <w:r>
        <w:rPr>
          <w:rFonts w:asciiTheme="majorBidi" w:eastAsiaTheme="majorEastAsia" w:hAnsiTheme="majorBidi" w:cstheme="majorBidi"/>
          <w:bCs/>
        </w:rPr>
        <w:t>4</w:t>
      </w:r>
      <w:r w:rsidRPr="00FC2DEC">
        <w:rPr>
          <w:rFonts w:asciiTheme="majorBidi" w:eastAsiaTheme="majorEastAsia" w:hAnsiTheme="majorBidi" w:cstheme="majorBidi"/>
          <w:bCs/>
        </w:rPr>
        <w:t xml:space="preserve">) Fluency in the Hebrew language. Exclusion criteria for the study group were as follows: (1) </w:t>
      </w:r>
      <w:r w:rsidRPr="000746A2">
        <w:rPr>
          <w:rFonts w:asciiTheme="majorBidi" w:eastAsiaTheme="majorEastAsia" w:hAnsiTheme="majorBidi" w:cstheme="majorBidi"/>
          <w:bCs/>
        </w:rPr>
        <w:t xml:space="preserve">Their family member was diagnosed with </w:t>
      </w:r>
      <w:r w:rsidRPr="00FC2DEC">
        <w:rPr>
          <w:rFonts w:asciiTheme="majorBidi" w:eastAsiaTheme="majorEastAsia" w:hAnsiTheme="majorBidi" w:cstheme="majorBidi"/>
          <w:bCs/>
        </w:rPr>
        <w:t>another non-P</w:t>
      </w:r>
      <w:r>
        <w:rPr>
          <w:rFonts w:asciiTheme="majorBidi" w:eastAsiaTheme="majorEastAsia" w:hAnsiTheme="majorBidi" w:cstheme="majorBidi"/>
          <w:bCs/>
        </w:rPr>
        <w:t>D-related</w:t>
      </w:r>
      <w:r w:rsidRPr="00FC2DEC">
        <w:rPr>
          <w:rFonts w:asciiTheme="majorBidi" w:eastAsiaTheme="majorEastAsia" w:hAnsiTheme="majorBidi" w:cstheme="majorBidi"/>
          <w:bCs/>
        </w:rPr>
        <w:t xml:space="preserve"> neurological disease; (2) Significant </w:t>
      </w:r>
      <w:r>
        <w:rPr>
          <w:rFonts w:asciiTheme="majorBidi" w:eastAsiaTheme="majorEastAsia" w:hAnsiTheme="majorBidi" w:cstheme="majorBidi"/>
          <w:bCs/>
        </w:rPr>
        <w:t xml:space="preserve">uncorrected </w:t>
      </w:r>
      <w:r w:rsidRPr="00FC2DEC">
        <w:rPr>
          <w:rFonts w:asciiTheme="majorBidi" w:eastAsiaTheme="majorEastAsia" w:hAnsiTheme="majorBidi" w:cstheme="majorBidi"/>
          <w:bCs/>
        </w:rPr>
        <w:t xml:space="preserve">visual </w:t>
      </w:r>
      <w:r>
        <w:rPr>
          <w:rFonts w:asciiTheme="majorBidi" w:eastAsiaTheme="majorEastAsia" w:hAnsiTheme="majorBidi" w:cstheme="majorBidi"/>
          <w:bCs/>
        </w:rPr>
        <w:t>impairment</w:t>
      </w:r>
      <w:r w:rsidRPr="00FC2DEC">
        <w:rPr>
          <w:rFonts w:asciiTheme="majorBidi" w:eastAsiaTheme="majorEastAsia" w:hAnsiTheme="majorBidi" w:cstheme="majorBidi"/>
          <w:bCs/>
        </w:rPr>
        <w:t xml:space="preserve">. </w:t>
      </w:r>
      <w:r w:rsidRPr="00FC2DEC">
        <w:rPr>
          <w:rFonts w:asciiTheme="majorBidi" w:eastAsiaTheme="majorEastAsia" w:hAnsiTheme="majorBidi" w:cstheme="majorBidi"/>
          <w:b/>
        </w:rPr>
        <w:t xml:space="preserve">Procedure </w:t>
      </w:r>
    </w:p>
    <w:p w14:paraId="339F32EC" w14:textId="6E568184" w:rsidR="003B273A" w:rsidRDefault="003B273A" w:rsidP="00942C40">
      <w:pPr>
        <w:widowControl w:val="0"/>
        <w:jc w:val="left"/>
        <w:rPr>
          <w:rFonts w:asciiTheme="majorBidi" w:eastAsiaTheme="majorEastAsia" w:hAnsiTheme="majorBidi" w:cstheme="majorBidi"/>
          <w:bCs/>
        </w:rPr>
      </w:pPr>
      <w:r w:rsidRPr="00FC2DEC">
        <w:rPr>
          <w:rFonts w:asciiTheme="majorBidi" w:eastAsiaTheme="majorEastAsia" w:hAnsiTheme="majorBidi" w:cstheme="majorBidi"/>
          <w:bCs/>
        </w:rPr>
        <w:t xml:space="preserve">We conducted </w:t>
      </w:r>
      <w:r>
        <w:rPr>
          <w:rFonts w:asciiTheme="majorBidi" w:eastAsiaTheme="majorEastAsia" w:hAnsiTheme="majorBidi" w:cstheme="majorBidi"/>
          <w:bCs/>
        </w:rPr>
        <w:t xml:space="preserve">a total of </w:t>
      </w:r>
      <w:r w:rsidRPr="00FC2DEC">
        <w:rPr>
          <w:rFonts w:asciiTheme="majorBidi" w:eastAsiaTheme="majorEastAsia" w:hAnsiTheme="majorBidi" w:cstheme="majorBidi"/>
          <w:bCs/>
        </w:rPr>
        <w:t>X focus groups, with X</w:t>
      </w:r>
      <w:r>
        <w:rPr>
          <w:rFonts w:asciiTheme="majorBidi" w:eastAsiaTheme="majorEastAsia" w:hAnsiTheme="majorBidi" w:cstheme="majorBidi"/>
          <w:bCs/>
        </w:rPr>
        <w:t>-X</w:t>
      </w:r>
      <w:r w:rsidRPr="00FC2DEC">
        <w:rPr>
          <w:rFonts w:asciiTheme="majorBidi" w:eastAsiaTheme="majorEastAsia" w:hAnsiTheme="majorBidi" w:cstheme="majorBidi"/>
          <w:bCs/>
        </w:rPr>
        <w:t xml:space="preserve"> participants in each group.</w:t>
      </w:r>
      <w:r w:rsidRPr="00FC2DEC">
        <w:rPr>
          <w:rFonts w:asciiTheme="majorBidi" w:eastAsiaTheme="majorEastAsia" w:hAnsiTheme="majorBidi" w:cstheme="majorBidi" w:hint="cs"/>
          <w:bCs/>
          <w:rtl/>
        </w:rPr>
        <w:t xml:space="preserve"> </w:t>
      </w:r>
      <w:r w:rsidRPr="00FC2DEC">
        <w:rPr>
          <w:rFonts w:asciiTheme="majorBidi" w:eastAsiaTheme="majorEastAsia" w:hAnsiTheme="majorBidi" w:cstheme="majorBidi"/>
          <w:bCs/>
        </w:rPr>
        <w:t xml:space="preserve">The number of participants in each group is based on previous studies in which focus groups were conducted </w:t>
      </w:r>
      <w:r>
        <w:rPr>
          <w:rFonts w:asciiTheme="majorBidi" w:eastAsiaTheme="majorEastAsia" w:hAnsiTheme="majorBidi" w:cstheme="majorBidi"/>
          <w:bCs/>
        </w:rPr>
        <w:fldChar w:fldCharType="begin"/>
      </w:r>
      <w:r w:rsidR="00C43B4F">
        <w:rPr>
          <w:rFonts w:asciiTheme="majorBidi" w:eastAsiaTheme="majorEastAsia" w:hAnsiTheme="majorBidi" w:cstheme="majorBidi"/>
          <w:bCs/>
        </w:rPr>
        <w:instrText xml:space="preserve"> ADDIN ZOTERO_ITEM CSL_CITATION {"citationID":"jjgknMj1","properties":{"formattedCitation":"(Dembovski et al., 2022; Feingold-Polak et al., 2021; Gill et al., 2008b; Hollis et al., 2002; Louie et al., 2014; van Teijlingen &amp; Pitchforth, 2006; Wu et al., 2012)","plainCitation":"(Dembovski et al., 2022; Feingold-Polak et al., 2021; Gill et al., 2008b; Hollis et al., 2002; Louie et al., 2014; van Teijlingen &amp; Pitchforth, 2006; Wu et al., 2012)","noteIndex":0},"citationItems":[{"id":58,"uris":["http://zotero.org/users/9293396/items/CEHEMHQ8"],"itemData":{"id":58,"type":"article-journal","abstract":"Stroke patients often contend with long-term physical challenges that require treatment and support from both formal and informal caregivers. Socially Assistive Robots (SARs) can assist patients in their physical rehabilitation process and relieve some of the burden on the informal caregivers, such as spouses and family members. We collected and analyzed information from 23 participants (11 stroke patients and 12 informal caregivers) who participated in a total of six focus-group discussions. The participants responded to questions regarding using a SAR to promote physical exercises during the rehabilitation process: (a) the advantages and disadvantages of doing so; (b) specific needs that they wish a SAR would address; (c) patient-specific adaptations they would propose to include; and (d) concerns they had regarding the use of such technology in stroke rehabilitation. We found that the majority of the participants in both groups were interested in experiencing the use of a SAR for rehabilitation, in the clinic and at home. Both groups noted the advantage of having the constant presence of a motivating entity with whom they can practice their rehabilitative exercises. The patients noted how such a device can assist\n              formal\n              caregivers in managing their workload, while the informal caregivers indicated that such a system could ease\n              their own\n              workload and sense of burden. The main disadvantages that participants noted related to the robot not possessing human abilities, such as the ability to hold a conversation, to physically guide the patient's movements, and to express or understand emotions. We anticipate that the data collected in this study—input from the patients and their family members, including the similarities and differences between their points of view—will aid in improving the development of SARs for rehabilitation, so that they can better suit people who have had a stroke, and meet their individual needs.","container-title":"Frontiers in Rehabilitation Sciences","DOI":"10.3389/fresc.2021.793233","ISSN":"2673-6861","journalAbbreviation":"Front. Rehabilit. Sci.","language":"en","page":"793233","source":"DOI.org (Crossref)","title":"A Socially Assistive Robot for Stroke Patients: Acceptance, Needs, and Concerns of Patients and Informal Caregivers","title-short":"A Socially Assistive Robot for Stroke Patients","volume":"2","author":[{"family":"Dembovski","given":"Ayelet"},{"family":"Amitai","given":"Yael"},{"family":"Levy-Tzedek","given":"Shelly"}],"issued":{"date-parts":[["2022",1,25]]}}},{"id":99,"uris":["http://zotero.org/users/9293396/items/S3RXEVE9"],"itemData":{"id":99,"type":"article-journal","abstract":"Background:  Socially assistive robots (SARs) have been proposed as a tool to help individuals who have had a stroke to perform their exercise during their rehabilitation process. Yet, to date, there are no data on the motivating benefit of SARs in a long-term interaction with post-stroke patients.\nMethods:  Here, we describe a robot-based gamified exercise platform, which we developed for long-term poststroke rehabilitation. The platform uses the humanoid robot Pepper, and also has a computer-based configuration (with no robot). It includes seven gamified sets of exercises, which are based on functional tasks from the everyday life of the patients. The platform gives the patients instructions, as well as feedback on their performance, and can track their performance over time. We performed a long-term patient-usability study, where 24 post-stroke patients were randomly allocated to exercise with this platform—either with the robot or the computer configuration—over a 5–7 week period, 3 times per week, for a total of 306 sessions.\nResults:  The participants in both groups reported that this rehabilitation platform addressed their arm rehabilitation needs, and they expressed their desire to continue training with it even after the study ended. We found a trend for higher acceptance of the system by the participants in the robot group on all parameters; however, this difference was not significant. We found that system failures did not affect the long-term trust that users felt towards the system.\nConclusions:  We demonstrated the usability of using this platform for a long-term rehabilitation with post-stroke patients in a clinical setting. We found high levels of acceptance of both platform configurations by patients following this interaction, with higher ratings given to the SAR configuration. We show that it is not the mere use of technology that increases the motivation of the person to practice, but rather it is the appreciation of the technology’s effective‑ness and its perceived contribution to the rehabilitation process. In addition, we provide a list of guidelines that can be used when designing and implementing other technological tools for rehabilitation. Trial registration: This trial is registered in the NIH ClinicalTrials.gov database. Registration number NCT03651063, regis‑tration date 21.08.2018. https://clinicaltrials.gov/ct2/show/NCT03651063.","container-title":"Journal of NeuroEngineering and Rehabilitation","DOI":"10.1186/s12984-021-00915-2","ISSN":"1743-0003","issue":"1","journalAbbreviation":"J NeuroEngineering Rehabil","language":"en","page":"122","source":"DOI.org (Crossref)","title":"A robot goes to rehab: a novel gamified system for long-term stroke rehabilitation using a socially assistive robot—methodology and usability testing","title-short":"A robot goes to rehab","volume":"18","author":[{"family":"Feingold-Polak","given":"Ronit"},{"family":"Barzel","given":"Oren"},{"family":"Levy-Tzedek","given":"Shelly"}],"issued":{"date-parts":[["2021",12]]}}},{"id":276,"uris":["http://zotero.org/users/9293396/items/UW9K875Y"],"itemData":{"id":276,"type":"article-journal","abstract":"Interviews and focus groups are the most common methods of data collection used in qualitative healthcare researchInterviews can be used to explore the views, experiences, beliefs and motivations of individual participantsFocus group use group dynamics to generate qualitative data","container-title":"British Dental Journal","DOI":"10.1038/bdj.2008.192","ISSN":"1476-5373","issue":"6","journalAbbreviation":"Br Dent J","language":"en","license":"2008 Nature Publishing Group","note":"number: 6\npublisher: Nature Publishing Group","page":"291-295","source":"www.nature.com","title":"Methods of data collection in qualitative research: interviews and focus groups","title-short":"Methods of data collection in qualitative research","volume":"204","author":[{"family":"Gill","given":"P."},{"family":"Stewart","given":"K."},{"family":"Treasure","given":"E."},{"family":"Chadwick","given":"B."}],"issued":{"date-parts":[["2008",3]]}}},{"id":270,"uris":["http://zotero.org/users/9293396/items/F2M462JX"],"itemData":{"id":270,"type":"article-journal","abstract":"Focus groups are increasingly used by health professionals for obtaining research data and for gathering opinions about the perceived qualities of a service. The advantages of this method are that it is easily understood, reflects cultural differences and has a high face validity by providing convincing findings. Focus groups are especially useful for exploring the attitudes and experiences associated with a particular topic.\nAlthough occupational therapists may be using focus groups, only a very few studies have been reported. This paper provides background information on focus groups which will assist in weighing this method against a number of other group techniques. Personal experience and a wide range of published material contribute to guidelines for preparing for and conducting focus groups. Practical suggestions and approaches are offered to help occupational therapists to increase the credibility and dependability of their results.","container-title":"British Journal of Occupational Therapy","DOI":"10.1177/030802260206500102","ISSN":"0308-0226","issue":"1","note":"publisher: SAGE Publications Ltd STM","page":"2-8","source":"journals-sagepub-com.ezproxy.bgu.ac.il (Atypon)","title":"Conducting Focus Groups: Purpose and Practicalities","title-short":"Conducting Focus Groups","volume":"65","author":[{"family":"Hollis","given":"Vivien"},{"family":"Openshaw","given":"Sheila"},{"family":"Goble","given":"Rita"}],"issued":{"date-parts":[["2002",1]]}}},{"id":82,"uris":["http://zotero.org/users/9293396/items/TF32Z72V"],"itemData":{"id":82,"type":"article-journal","abstract":"Recent studies have shown that cognitive and social interventions are crucial to the overall health of older adults including their psychological, cognitive, and physical well-being. However, due to the rapidly growing elderly population of the world, the resources and people to provide these interventions is lacking. Our work focuses on the use of social robotic technologies to provide person-centered cognitive interventions. In this article, we investigate the acceptance and attitudes of older adults toward the human-like expressive socially assistive robot Brian 2.1 in order to determine if the robot’s human-like assistive and social characteristics would promote the use of the robot as a cognitive and social interaction tool to aid with activities of daily living. The results of a robot acceptance questionnaire administered during a robot demonstration session with a group of 46 elderly adults showed that the majority of the individuals had positive attitudes toward the socially assistive robot and its intended applications.","container-title":"Assistive Technology","DOI":"10.1080/10400435.2013.869703","ISSN":"1040-0435, 1949-3614","issue":"3","journalAbbreviation":"Assistive Technology","language":"en","page":"140-150","source":"DOI.org (Crossref)","title":"Acceptance and Attitudes Toward a Human-like Socially Assistive Robot by Older Adults","volume":"26","author":[{"family":"Louie","given":"Wing-Yue Geoffrey"},{"family":"McColl","given":"Derek"},{"family":"Nejat","given":"Goldie"}],"issued":{"date-parts":[["2014",7,3]]}}},{"id":280,"uris":["http://zotero.org/users/9293396/items/7IMGAES9"],"itemData":{"id":280,"type":"article-journal","container-title":"Journal of Family Planning and Reproductive Health Care","DOI":"10.1783/147118906775275299","ISSN":"14711893, 00000000","issue":"1","journalAbbreviation":"j fam plann reprod health care","language":"en","page":"30-32","source":"DOI.org (Crossref)","title":"Focus group research in family planning and reproductive health care","volume":"32","author":[{"family":"Teijlingen","given":"Edwin","non-dropping-particle":"van"},{"family":"Pitchforth","given":"Emma"}],"issued":{"date-parts":[["2006",1,1]]}}},{"id":275,"uris":["http://zotero.org/users/9293396/items/FSQ95ECY"],"itemData":{"id":275,"type":"article-journal","container-title":"Archives of Gerontology and Geriatrics","DOI":"10.1016/j.archger.2011.02.003","ISSN":"01674943","issue":"1","journalAbbreviation":"Archives of Gerontology and Geriatrics","language":"en","page":"121-126","source":"DOI.org (Crossref)","title":"Designing robots for the elderly: Appearance issue and beyond","title-short":"Designing robots for the elderly","volume":"54","author":[{"family":"Wu","given":"Ya-Huei"},{"family":"Fassert","given":"Christine"},{"family":"Rigaud","given":"Anne-Sophie"}],"issued":{"date-parts":[["2012",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(Dembovski et al., 2022; Feingold-Polak et al., 2021; Gill et al., 2008b; Hollis et al., 2002; Louie et al., 2014; van Teijlingen &amp; Pitchforth, 2006; Wu et al., 2012)</w:t>
      </w:r>
      <w:r>
        <w:rPr>
          <w:rFonts w:asciiTheme="majorBidi" w:eastAsiaTheme="majorEastAsia" w:hAnsiTheme="majorBidi" w:cstheme="majorBidi"/>
          <w:bCs/>
        </w:rPr>
        <w:fldChar w:fldCharType="end"/>
      </w:r>
      <w:r w:rsidRPr="00FC2DEC">
        <w:rPr>
          <w:rFonts w:asciiTheme="majorBidi" w:eastAsiaTheme="majorEastAsia" w:hAnsiTheme="majorBidi" w:cstheme="majorBidi" w:hint="cs"/>
          <w:bCs/>
        </w:rPr>
        <w:t xml:space="preserve"> </w:t>
      </w:r>
      <w:r w:rsidRPr="00FC2DEC">
        <w:rPr>
          <w:rFonts w:asciiTheme="majorBidi" w:eastAsiaTheme="majorEastAsia" w:hAnsiTheme="majorBidi" w:cstheme="majorBidi"/>
          <w:bCs/>
        </w:rPr>
        <w:t xml:space="preserve">Each focus group meeting lasted </w:t>
      </w:r>
      <w:r>
        <w:rPr>
          <w:rFonts w:asciiTheme="majorBidi" w:eastAsiaTheme="majorEastAsia" w:hAnsiTheme="majorBidi" w:cstheme="majorBidi"/>
          <w:bCs/>
        </w:rPr>
        <w:t>approximately</w:t>
      </w:r>
      <w:r w:rsidRPr="00FC2DEC">
        <w:rPr>
          <w:rFonts w:asciiTheme="majorBidi" w:eastAsiaTheme="majorEastAsia" w:hAnsiTheme="majorBidi" w:cstheme="majorBidi"/>
          <w:bCs/>
        </w:rPr>
        <w:t xml:space="preserve"> 60 minutes.</w:t>
      </w:r>
      <w:r>
        <w:rPr>
          <w:rFonts w:asciiTheme="majorBidi" w:eastAsiaTheme="majorEastAsia" w:hAnsiTheme="majorBidi" w:cstheme="majorBidi"/>
          <w:bCs/>
        </w:rPr>
        <w:t xml:space="preserve"> </w:t>
      </w:r>
      <w:r w:rsidRPr="00445E62">
        <w:t xml:space="preserve">Two of the sessions </w:t>
      </w:r>
      <w:r>
        <w:t>held with</w:t>
      </w:r>
      <w:r w:rsidRPr="00445E62">
        <w:t xml:space="preserve"> </w:t>
      </w:r>
      <w:r>
        <w:t>individuals</w:t>
      </w:r>
      <w:r w:rsidRPr="00445E62">
        <w:t xml:space="preserve"> with PD and one </w:t>
      </w:r>
      <w:r>
        <w:t xml:space="preserve">family-member session </w:t>
      </w:r>
      <w:r w:rsidRPr="00445E62">
        <w:t xml:space="preserve">were held </w:t>
      </w:r>
      <w:r>
        <w:t xml:space="preserve">as face-to-face meetings; they were held where the local </w:t>
      </w:r>
      <w:r w:rsidRPr="00445E62">
        <w:t>Parkinson's Association branch</w:t>
      </w:r>
      <w:r>
        <w:t xml:space="preserve"> holds its regular meetings</w:t>
      </w:r>
      <w:r w:rsidRPr="00445E62">
        <w:t xml:space="preserve">. </w:t>
      </w:r>
      <w:r w:rsidRPr="005B66AE">
        <w:t xml:space="preserve">Due to </w:t>
      </w:r>
      <w:r>
        <w:t xml:space="preserve">COVID-19-related </w:t>
      </w:r>
      <w:r w:rsidRPr="005B66AE">
        <w:t>limitations</w:t>
      </w:r>
      <w:r>
        <w:t xml:space="preserve">, </w:t>
      </w:r>
      <w:r w:rsidRPr="005B66AE">
        <w:t xml:space="preserve">X sessions </w:t>
      </w:r>
      <w:r>
        <w:t>with individuals</w:t>
      </w:r>
      <w:r w:rsidRPr="005B66AE">
        <w:t xml:space="preserve"> with PD and X </w:t>
      </w:r>
      <w:r>
        <w:t xml:space="preserve">family-member </w:t>
      </w:r>
      <w:r w:rsidRPr="005B66AE">
        <w:t xml:space="preserve">sessions were </w:t>
      </w:r>
      <w:r>
        <w:t>held as online</w:t>
      </w:r>
      <w:r w:rsidRPr="005B66AE">
        <w:t xml:space="preserve"> </w:t>
      </w:r>
      <w:r>
        <w:t xml:space="preserve">sessions </w:t>
      </w:r>
      <w:r w:rsidRPr="005B66AE">
        <w:t xml:space="preserve">using </w:t>
      </w:r>
      <w:r>
        <w:t xml:space="preserve">the </w:t>
      </w:r>
      <w:r w:rsidRPr="005B66AE">
        <w:t>Zoom software</w:t>
      </w:r>
      <w:r>
        <w:t>. This</w:t>
      </w:r>
      <w:r w:rsidRPr="00EC7D19">
        <w:t xml:space="preserve"> gave us the opportunity to hold </w:t>
      </w:r>
      <w:r>
        <w:t xml:space="preserve">focus-group </w:t>
      </w:r>
      <w:r w:rsidRPr="00EC7D19">
        <w:t xml:space="preserve">discussions which included </w:t>
      </w:r>
      <w:r>
        <w:t xml:space="preserve">individuals </w:t>
      </w:r>
      <w:r w:rsidRPr="00EC7D19">
        <w:t>from various geographical locations</w:t>
      </w:r>
      <w:r>
        <w:t xml:space="preserve"> in the same meeting</w:t>
      </w:r>
      <w:r w:rsidRPr="005B66AE">
        <w:t>. All sessions were recorded for future analysis.</w:t>
      </w:r>
      <w:r w:rsidRPr="00FC2DEC">
        <w:rPr>
          <w:rFonts w:asciiTheme="majorBidi" w:eastAsiaTheme="majorEastAsia" w:hAnsiTheme="majorBidi" w:cstheme="majorBidi"/>
          <w:bCs/>
        </w:rPr>
        <w:t xml:space="preserve"> </w:t>
      </w:r>
    </w:p>
    <w:p w14:paraId="7D714C71" w14:textId="721BB4D3" w:rsidR="003B273A" w:rsidRDefault="003B273A" w:rsidP="00942C40">
      <w:pPr>
        <w:widowControl w:val="0"/>
        <w:jc w:val="left"/>
        <w:rPr>
          <w:rFonts w:asciiTheme="majorBidi" w:eastAsiaTheme="majorEastAsia" w:hAnsiTheme="majorBidi" w:cstheme="majorBidi"/>
          <w:bCs/>
        </w:rPr>
      </w:pPr>
      <w:r w:rsidRPr="00AE577D">
        <w:rPr>
          <w:rFonts w:asciiTheme="majorBidi" w:eastAsiaTheme="majorEastAsia" w:hAnsiTheme="majorBidi" w:cstheme="majorBidi"/>
          <w:bCs/>
        </w:rPr>
        <w:t xml:space="preserve">We based the methodology in this study on the list of Consolidated Criteria for Reporting Qualitative Research (the COREQ list), designed to create transparency in the data reporting of qualitative research and focus groups in particular </w:t>
      </w:r>
      <w:r>
        <w:rPr>
          <w:rFonts w:asciiTheme="majorBidi" w:eastAsiaTheme="majorEastAsia" w:hAnsiTheme="majorBidi" w:cstheme="majorBidi"/>
          <w:bCs/>
        </w:rPr>
        <w:fldChar w:fldCharType="begin"/>
      </w:r>
      <w:r>
        <w:rPr>
          <w:rFonts w:asciiTheme="majorBidi" w:eastAsiaTheme="majorEastAsia" w:hAnsiTheme="majorBidi" w:cstheme="majorBidi"/>
          <w:bCs/>
        </w:rPr>
        <w:instrText xml:space="preserve"> ADDIN ZOTERO_ITEM CSL_CITATION {"citationID":"TPF7pRFT","properties":{"formattedCitation":"(Tong et al., 2007)","plainCitation":"(Tong et al., 2007)","noteIndex":0},"citationItems":[{"id":281,"uris":["http://zotero.org/users/9293396/items/NBEFHCBZ"],"itemData":{"id":281,"type":"article-journal","abstract":"Qualitative research explores complex phenomena encountered by clinicians, health care providers, policy makers and consumers. Although partial checklists are available, no consolidated reporting framework exists for any type of qualitative design.To develop a checklist for explicit and comprehensive reporting of qualitative studies (indepth interviews and focus groups).We performed a comprehensive search in Cochrane and Campbell Protocols, Medline, CINAHL, systematic reviews of qualitative studies, author or reviewer guidelines of major medical journals and reference lists of relevant publications for existing checklists used to assess qualitative studies. Seventy-six items from 22 checklists were compiled into a comprehensive list. All items were grouped into three domains: (i) research team and reflexivity, (ii) study design and (iii) data analysis and reporting. Duplicate items and those that were ambiguous, too broadly defined and impractical to assess were removed.Items most frequently included in the checklists related to sampling method, setting for data collection, method of data collection, respondent validation of findings, method of recording data, description of the derivation of themes and inclusion of supporting quotations. We grouped all items into three domains: (i) research team and reflexivity, (ii) study design and (iii) data analysis and reporting.The criteria included in COREQ, a 32-item checklist, can help researchers to report important aspects of the research team, study methods, context of the study, findings, analysis and interpretations.","container-title":"International Journal for Quality in Health Care","DOI":"10.1093/intqhc/mzm042","ISSN":"1353-4505","issue":"6","journalAbbreviation":"International Journal for Quality in Health Care","page":"349-357","source":"Silverchair","title":"Consolidated criteria for reporting qualitative research (COREQ): a 32-item checklist for interviews and focus groups","title-short":"Consolidated criteria for reporting qualitative research (COREQ)","volume":"19","author":[{"family":"Tong","given":"Allison"},{"family":"Sainsbury","given":"Peter"},{"family":"Craig","given":"Jonathan"}],"issued":{"date-parts":[["2007",12,1]]}}}],"schema":"https://github.com/citation-style-language/schema/raw/master/csl-citation.json"} </w:instrText>
      </w:r>
      <w:r>
        <w:rPr>
          <w:rFonts w:asciiTheme="majorBidi" w:eastAsiaTheme="majorEastAsia" w:hAnsiTheme="majorBidi" w:cstheme="majorBidi"/>
          <w:bCs/>
        </w:rPr>
        <w:fldChar w:fldCharType="separate"/>
      </w:r>
      <w:r w:rsidR="00942C40" w:rsidRPr="00942C40">
        <w:rPr>
          <w:rFonts w:eastAsiaTheme="majorEastAsia"/>
        </w:rPr>
        <w:t>(Tong et al., 2007)</w:t>
      </w:r>
      <w:r>
        <w:rPr>
          <w:rFonts w:asciiTheme="majorBidi" w:eastAsiaTheme="majorEastAsia" w:hAnsiTheme="majorBidi" w:cstheme="majorBidi"/>
          <w:bCs/>
        </w:rPr>
        <w:fldChar w:fldCharType="end"/>
      </w:r>
      <w:r>
        <w:rPr>
          <w:rFonts w:asciiTheme="majorBidi" w:eastAsiaTheme="majorEastAsia" w:hAnsiTheme="majorBidi" w:cstheme="majorBidi"/>
          <w:bCs/>
        </w:rPr>
        <w:t>.</w:t>
      </w:r>
    </w:p>
    <w:p w14:paraId="7E8E7A8A" w14:textId="50779986" w:rsidR="003B273A" w:rsidRDefault="003B273A" w:rsidP="003B273A">
      <w:pPr>
        <w:widowControl w:val="0"/>
        <w:jc w:val="left"/>
        <w:rPr>
          <w:rFonts w:asciiTheme="majorBidi" w:eastAsiaTheme="majorEastAsia" w:hAnsiTheme="majorBidi" w:cstheme="majorBidi"/>
          <w:bCs/>
        </w:rPr>
      </w:pPr>
      <w:r>
        <w:lastRenderedPageBreak/>
        <w:t xml:space="preserve">All sessions included a moderator and an </w:t>
      </w:r>
      <w:r>
        <w:rPr>
          <w:rStyle w:val="CommentReference"/>
        </w:rPr>
        <w:annotationRef/>
      </w:r>
      <w:r>
        <w:t xml:space="preserve">observer, with the exception of group 3, which included two observers. </w:t>
      </w:r>
      <w:r w:rsidRPr="009D5D29">
        <w:rPr>
          <w:rFonts w:asciiTheme="majorBidi" w:eastAsiaTheme="majorEastAsia" w:hAnsiTheme="majorBidi" w:cstheme="majorBidi"/>
          <w:bCs/>
        </w:rPr>
        <w:t xml:space="preserve">The group moderator </w:t>
      </w:r>
      <w:r>
        <w:rPr>
          <w:rFonts w:asciiTheme="majorBidi" w:eastAsiaTheme="majorEastAsia" w:hAnsiTheme="majorBidi" w:cstheme="majorBidi"/>
          <w:bCs/>
        </w:rPr>
        <w:t xml:space="preserve">for the focus groups held with individuals with </w:t>
      </w:r>
      <w:r w:rsidRPr="009D5D29">
        <w:rPr>
          <w:rFonts w:asciiTheme="majorBidi" w:eastAsiaTheme="majorEastAsia" w:hAnsiTheme="majorBidi" w:cstheme="majorBidi"/>
          <w:bCs/>
        </w:rPr>
        <w:t xml:space="preserve">PD </w:t>
      </w:r>
      <w:r>
        <w:rPr>
          <w:rFonts w:asciiTheme="majorBidi" w:eastAsiaTheme="majorEastAsia" w:hAnsiTheme="majorBidi" w:cstheme="majorBidi"/>
          <w:bCs/>
        </w:rPr>
        <w:t>wa</w:t>
      </w:r>
      <w:r w:rsidRPr="009D5D29">
        <w:rPr>
          <w:rFonts w:asciiTheme="majorBidi" w:eastAsiaTheme="majorEastAsia" w:hAnsiTheme="majorBidi" w:cstheme="majorBidi"/>
          <w:bCs/>
        </w:rPr>
        <w:t xml:space="preserve">s </w:t>
      </w:r>
      <w:r>
        <w:rPr>
          <w:rFonts w:asciiTheme="majorBidi" w:eastAsiaTheme="majorEastAsia" w:hAnsiTheme="majorBidi" w:cstheme="majorBidi"/>
          <w:bCs/>
        </w:rPr>
        <w:t>author AK, a</w:t>
      </w:r>
      <w:r w:rsidRPr="009D5D29">
        <w:rPr>
          <w:rFonts w:asciiTheme="majorBidi" w:eastAsiaTheme="majorEastAsia" w:hAnsiTheme="majorBidi" w:cstheme="majorBidi"/>
          <w:bCs/>
        </w:rPr>
        <w:t xml:space="preserve"> male undergraduate student in the </w:t>
      </w:r>
      <w:r>
        <w:rPr>
          <w:rFonts w:asciiTheme="majorBidi" w:eastAsiaTheme="majorEastAsia" w:hAnsiTheme="majorBidi" w:cstheme="majorBidi"/>
          <w:bCs/>
        </w:rPr>
        <w:t>d</w:t>
      </w:r>
      <w:r w:rsidRPr="009D5D29">
        <w:rPr>
          <w:rFonts w:asciiTheme="majorBidi" w:eastAsiaTheme="majorEastAsia" w:hAnsiTheme="majorBidi" w:cstheme="majorBidi"/>
          <w:bCs/>
        </w:rPr>
        <w:t>epartment of Physi</w:t>
      </w:r>
      <w:r>
        <w:rPr>
          <w:rFonts w:asciiTheme="majorBidi" w:eastAsiaTheme="majorEastAsia" w:hAnsiTheme="majorBidi" w:cstheme="majorBidi"/>
          <w:bCs/>
        </w:rPr>
        <w:t>cal T</w:t>
      </w:r>
      <w:r w:rsidRPr="009D5D29">
        <w:rPr>
          <w:rFonts w:asciiTheme="majorBidi" w:eastAsiaTheme="majorEastAsia" w:hAnsiTheme="majorBidi" w:cstheme="majorBidi"/>
          <w:bCs/>
        </w:rPr>
        <w:t>herapy. A female</w:t>
      </w:r>
      <w:r>
        <w:rPr>
          <w:rFonts w:asciiTheme="majorBidi" w:eastAsiaTheme="majorEastAsia" w:hAnsiTheme="majorBidi" w:cstheme="majorBidi"/>
          <w:bCs/>
        </w:rPr>
        <w:t xml:space="preserve"> </w:t>
      </w:r>
      <w:r w:rsidRPr="009D5D29">
        <w:rPr>
          <w:rFonts w:asciiTheme="majorBidi" w:eastAsiaTheme="majorEastAsia" w:hAnsiTheme="majorBidi" w:cstheme="majorBidi"/>
          <w:bCs/>
        </w:rPr>
        <w:t>observer was present in each focus group</w:t>
      </w:r>
      <w:r>
        <w:rPr>
          <w:rFonts w:asciiTheme="majorBidi" w:eastAsiaTheme="majorEastAsia" w:hAnsiTheme="majorBidi" w:cstheme="majorBidi"/>
          <w:bCs/>
        </w:rPr>
        <w:t xml:space="preserve">; In Group 1 it was author SL, a university professor, </w:t>
      </w:r>
      <w:r w:rsidRPr="00855CCD">
        <w:rPr>
          <w:rFonts w:asciiTheme="majorBidi" w:eastAsiaTheme="majorEastAsia" w:hAnsiTheme="majorBidi" w:cstheme="majorBidi"/>
          <w:bCs/>
        </w:rPr>
        <w:t>director of the Cognition, Aging &amp; Rehabilitation Laboratory</w:t>
      </w:r>
      <w:r>
        <w:rPr>
          <w:rFonts w:asciiTheme="majorBidi" w:eastAsiaTheme="majorEastAsia" w:hAnsiTheme="majorBidi" w:cstheme="majorBidi"/>
          <w:bCs/>
        </w:rPr>
        <w:t>, and in groups XX-XX, it was author SBS,</w:t>
      </w:r>
      <w:r w:rsidRPr="009D5D29">
        <w:rPr>
          <w:rFonts w:asciiTheme="majorBidi" w:eastAsiaTheme="majorEastAsia" w:hAnsiTheme="majorBidi" w:cstheme="majorBidi"/>
          <w:bCs/>
        </w:rPr>
        <w:t xml:space="preserve"> a graduate student in the </w:t>
      </w:r>
      <w:r>
        <w:rPr>
          <w:rFonts w:asciiTheme="majorBidi" w:eastAsiaTheme="majorEastAsia" w:hAnsiTheme="majorBidi" w:cstheme="majorBidi"/>
          <w:bCs/>
        </w:rPr>
        <w:t>d</w:t>
      </w:r>
      <w:r w:rsidRPr="009D5D29">
        <w:rPr>
          <w:rFonts w:asciiTheme="majorBidi" w:eastAsiaTheme="majorEastAsia" w:hAnsiTheme="majorBidi" w:cstheme="majorBidi"/>
          <w:bCs/>
        </w:rPr>
        <w:t>epartment of</w:t>
      </w:r>
      <w:r w:rsidR="005F4F87">
        <w:rPr>
          <w:rFonts w:asciiTheme="majorBidi" w:eastAsiaTheme="majorEastAsia" w:hAnsiTheme="majorBidi" w:cstheme="majorBidi"/>
          <w:bCs/>
        </w:rPr>
        <w:t xml:space="preserve"> Brain Science and </w:t>
      </w:r>
      <w:r w:rsidRPr="009D5D29">
        <w:rPr>
          <w:rFonts w:asciiTheme="majorBidi" w:eastAsiaTheme="majorEastAsia" w:hAnsiTheme="majorBidi" w:cstheme="majorBidi"/>
          <w:bCs/>
        </w:rPr>
        <w:t xml:space="preserve">Cognition. The group moderator </w:t>
      </w:r>
      <w:r>
        <w:rPr>
          <w:rFonts w:asciiTheme="majorBidi" w:eastAsiaTheme="majorEastAsia" w:hAnsiTheme="majorBidi" w:cstheme="majorBidi"/>
          <w:bCs/>
        </w:rPr>
        <w:t xml:space="preserve">for the focus groups held with family members of individuals with </w:t>
      </w:r>
      <w:r w:rsidRPr="009D5D29">
        <w:rPr>
          <w:rFonts w:asciiTheme="majorBidi" w:eastAsiaTheme="majorEastAsia" w:hAnsiTheme="majorBidi" w:cstheme="majorBidi"/>
          <w:bCs/>
        </w:rPr>
        <w:t xml:space="preserve">PD </w:t>
      </w:r>
      <w:r>
        <w:rPr>
          <w:rFonts w:asciiTheme="majorBidi" w:eastAsiaTheme="majorEastAsia" w:hAnsiTheme="majorBidi" w:cstheme="majorBidi"/>
          <w:bCs/>
        </w:rPr>
        <w:t>wa</w:t>
      </w:r>
      <w:r w:rsidRPr="009D5D29">
        <w:rPr>
          <w:rFonts w:asciiTheme="majorBidi" w:eastAsiaTheme="majorEastAsia" w:hAnsiTheme="majorBidi" w:cstheme="majorBidi"/>
          <w:bCs/>
        </w:rPr>
        <w:t xml:space="preserve">s </w:t>
      </w:r>
      <w:r>
        <w:rPr>
          <w:rFonts w:asciiTheme="majorBidi" w:eastAsiaTheme="majorEastAsia" w:hAnsiTheme="majorBidi" w:cstheme="majorBidi"/>
          <w:bCs/>
        </w:rPr>
        <w:t xml:space="preserve">author SBS. In group X, the observer </w:t>
      </w:r>
      <w:r w:rsidRPr="00855CCD">
        <w:rPr>
          <w:rFonts w:asciiTheme="majorBidi" w:eastAsiaTheme="majorEastAsia" w:hAnsiTheme="majorBidi" w:cstheme="majorBidi"/>
          <w:bCs/>
        </w:rPr>
        <w:t>was a</w:t>
      </w:r>
      <w:r>
        <w:rPr>
          <w:rFonts w:asciiTheme="majorBidi" w:eastAsiaTheme="majorEastAsia" w:hAnsiTheme="majorBidi" w:cstheme="majorBidi"/>
          <w:bCs/>
        </w:rPr>
        <w:t xml:space="preserve"> female</w:t>
      </w:r>
      <w:r w:rsidRPr="00855CCD">
        <w:rPr>
          <w:rFonts w:asciiTheme="majorBidi" w:eastAsiaTheme="majorEastAsia" w:hAnsiTheme="majorBidi" w:cstheme="majorBidi"/>
          <w:bCs/>
        </w:rPr>
        <w:t xml:space="preserve"> undergraduate student </w:t>
      </w:r>
      <w:r>
        <w:rPr>
          <w:rFonts w:asciiTheme="majorBidi" w:eastAsiaTheme="majorEastAsia" w:hAnsiTheme="majorBidi" w:cstheme="majorBidi"/>
          <w:bCs/>
        </w:rPr>
        <w:t>from the department of</w:t>
      </w:r>
      <w:r w:rsidRPr="00855CCD">
        <w:rPr>
          <w:rFonts w:asciiTheme="majorBidi" w:eastAsiaTheme="majorEastAsia" w:hAnsiTheme="majorBidi" w:cstheme="majorBidi"/>
          <w:bCs/>
        </w:rPr>
        <w:t xml:space="preserve"> </w:t>
      </w:r>
      <w:r>
        <w:rPr>
          <w:rFonts w:asciiTheme="majorBidi" w:eastAsiaTheme="majorEastAsia" w:hAnsiTheme="majorBidi" w:cstheme="majorBidi"/>
          <w:bCs/>
        </w:rPr>
        <w:t>M</w:t>
      </w:r>
      <w:r w:rsidRPr="00855CCD">
        <w:rPr>
          <w:rFonts w:asciiTheme="majorBidi" w:eastAsiaTheme="majorEastAsia" w:hAnsiTheme="majorBidi" w:cstheme="majorBidi"/>
          <w:bCs/>
        </w:rPr>
        <w:t xml:space="preserve">echanical </w:t>
      </w:r>
      <w:r>
        <w:rPr>
          <w:rFonts w:asciiTheme="majorBidi" w:eastAsiaTheme="majorEastAsia" w:hAnsiTheme="majorBidi" w:cstheme="majorBidi"/>
          <w:bCs/>
        </w:rPr>
        <w:t>E</w:t>
      </w:r>
      <w:r w:rsidRPr="00855CCD">
        <w:rPr>
          <w:rFonts w:asciiTheme="majorBidi" w:eastAsiaTheme="majorEastAsia" w:hAnsiTheme="majorBidi" w:cstheme="majorBidi"/>
          <w:bCs/>
        </w:rPr>
        <w:t>ngineering</w:t>
      </w:r>
      <w:r>
        <w:rPr>
          <w:rFonts w:asciiTheme="majorBidi" w:eastAsiaTheme="majorEastAsia" w:hAnsiTheme="majorBidi" w:cstheme="majorBidi"/>
          <w:bCs/>
        </w:rPr>
        <w:t xml:space="preserve">. In groups XX-XX the observer was author AK; in group X there was a second male observer, a graduate student from </w:t>
      </w:r>
      <w:r w:rsidRPr="009D5D29">
        <w:rPr>
          <w:rFonts w:asciiTheme="majorBidi" w:eastAsiaTheme="majorEastAsia" w:hAnsiTheme="majorBidi" w:cstheme="majorBidi"/>
          <w:bCs/>
        </w:rPr>
        <w:t xml:space="preserve">the </w:t>
      </w:r>
      <w:r>
        <w:rPr>
          <w:rFonts w:asciiTheme="majorBidi" w:eastAsiaTheme="majorEastAsia" w:hAnsiTheme="majorBidi" w:cstheme="majorBidi"/>
          <w:bCs/>
        </w:rPr>
        <w:t>d</w:t>
      </w:r>
      <w:r w:rsidRPr="009D5D29">
        <w:rPr>
          <w:rFonts w:asciiTheme="majorBidi" w:eastAsiaTheme="majorEastAsia" w:hAnsiTheme="majorBidi" w:cstheme="majorBidi"/>
          <w:bCs/>
        </w:rPr>
        <w:t>epartment of Physi</w:t>
      </w:r>
      <w:r>
        <w:rPr>
          <w:rFonts w:asciiTheme="majorBidi" w:eastAsiaTheme="majorEastAsia" w:hAnsiTheme="majorBidi" w:cstheme="majorBidi"/>
          <w:bCs/>
        </w:rPr>
        <w:t>cal T</w:t>
      </w:r>
      <w:r w:rsidRPr="009D5D29">
        <w:rPr>
          <w:rFonts w:asciiTheme="majorBidi" w:eastAsiaTheme="majorEastAsia" w:hAnsiTheme="majorBidi" w:cstheme="majorBidi"/>
          <w:bCs/>
        </w:rPr>
        <w:t>herapy</w:t>
      </w:r>
      <w:r>
        <w:rPr>
          <w:rFonts w:asciiTheme="majorBidi" w:eastAsiaTheme="majorEastAsia" w:hAnsiTheme="majorBidi" w:cstheme="majorBidi"/>
          <w:bCs/>
        </w:rPr>
        <w:t xml:space="preserve">. There was no prior acquaintance between the participants and the </w:t>
      </w:r>
      <w:r w:rsidRPr="009D5D29">
        <w:rPr>
          <w:rFonts w:asciiTheme="majorBidi" w:eastAsiaTheme="majorEastAsia" w:hAnsiTheme="majorBidi" w:cstheme="majorBidi"/>
          <w:bCs/>
        </w:rPr>
        <w:t xml:space="preserve">moderators </w:t>
      </w:r>
      <w:r>
        <w:rPr>
          <w:rFonts w:asciiTheme="majorBidi" w:eastAsiaTheme="majorEastAsia" w:hAnsiTheme="majorBidi" w:cstheme="majorBidi"/>
          <w:bCs/>
        </w:rPr>
        <w:t>or</w:t>
      </w:r>
      <w:r w:rsidRPr="009D5D29">
        <w:rPr>
          <w:rFonts w:asciiTheme="majorBidi" w:eastAsiaTheme="majorEastAsia" w:hAnsiTheme="majorBidi" w:cstheme="majorBidi"/>
          <w:bCs/>
        </w:rPr>
        <w:t xml:space="preserve"> observers.</w:t>
      </w:r>
    </w:p>
    <w:p w14:paraId="3B000B20" w14:textId="77777777" w:rsidR="003B273A" w:rsidRPr="00FC2DEC" w:rsidRDefault="003B273A" w:rsidP="003B273A">
      <w:pPr>
        <w:widowControl w:val="0"/>
        <w:jc w:val="left"/>
        <w:rPr>
          <w:rFonts w:asciiTheme="majorBidi" w:eastAsiaTheme="majorEastAsia" w:hAnsiTheme="majorBidi" w:cstheme="majorBidi"/>
          <w:bCs/>
          <w:rtl/>
        </w:rPr>
      </w:pPr>
      <w:r w:rsidRPr="00FC2DEC">
        <w:rPr>
          <w:rFonts w:asciiTheme="majorBidi" w:eastAsiaTheme="majorEastAsia" w:hAnsiTheme="majorBidi" w:cstheme="majorBidi"/>
          <w:bCs/>
        </w:rPr>
        <w:t xml:space="preserve">Prior to </w:t>
      </w:r>
      <w:r>
        <w:rPr>
          <w:rFonts w:asciiTheme="majorBidi" w:eastAsiaTheme="majorEastAsia" w:hAnsiTheme="majorBidi" w:cstheme="majorBidi"/>
          <w:bCs/>
        </w:rPr>
        <w:t xml:space="preserve">holding </w:t>
      </w:r>
      <w:r w:rsidRPr="00FC2DEC">
        <w:rPr>
          <w:rFonts w:asciiTheme="majorBidi" w:eastAsiaTheme="majorEastAsia" w:hAnsiTheme="majorBidi" w:cstheme="majorBidi"/>
          <w:bCs/>
        </w:rPr>
        <w:t xml:space="preserve">the first focus group, </w:t>
      </w:r>
      <w:r>
        <w:rPr>
          <w:rFonts w:asciiTheme="majorBidi" w:eastAsiaTheme="majorEastAsia" w:hAnsiTheme="majorBidi" w:cstheme="majorBidi"/>
          <w:bCs/>
        </w:rPr>
        <w:t xml:space="preserve">the research team </w:t>
      </w:r>
      <w:r w:rsidRPr="00FC2DEC">
        <w:rPr>
          <w:rFonts w:asciiTheme="majorBidi" w:eastAsiaTheme="majorEastAsia" w:hAnsiTheme="majorBidi" w:cstheme="majorBidi"/>
          <w:bCs/>
        </w:rPr>
        <w:t>conducted a pilot focus</w:t>
      </w:r>
      <w:r>
        <w:rPr>
          <w:rFonts w:asciiTheme="majorBidi" w:eastAsiaTheme="majorEastAsia" w:hAnsiTheme="majorBidi" w:cstheme="majorBidi"/>
          <w:bCs/>
        </w:rPr>
        <w:t>-</w:t>
      </w:r>
      <w:r w:rsidRPr="00FC2DEC">
        <w:rPr>
          <w:rFonts w:asciiTheme="majorBidi" w:eastAsiaTheme="majorEastAsia" w:hAnsiTheme="majorBidi" w:cstheme="majorBidi"/>
          <w:bCs/>
        </w:rPr>
        <w:t xml:space="preserve">group </w:t>
      </w:r>
      <w:r>
        <w:rPr>
          <w:rFonts w:asciiTheme="majorBidi" w:eastAsiaTheme="majorEastAsia" w:hAnsiTheme="majorBidi" w:cstheme="majorBidi"/>
          <w:bCs/>
        </w:rPr>
        <w:t xml:space="preserve">discussion, </w:t>
      </w:r>
      <w:r w:rsidRPr="00FC2DEC">
        <w:rPr>
          <w:rFonts w:asciiTheme="majorBidi" w:eastAsiaTheme="majorEastAsia" w:hAnsiTheme="majorBidi" w:cstheme="majorBidi"/>
          <w:bCs/>
        </w:rPr>
        <w:t>attended by members</w:t>
      </w:r>
      <w:r>
        <w:rPr>
          <w:rFonts w:asciiTheme="majorBidi" w:eastAsiaTheme="majorEastAsia" w:hAnsiTheme="majorBidi" w:cstheme="majorBidi"/>
          <w:bCs/>
        </w:rPr>
        <w:t xml:space="preserve"> of the research lab</w:t>
      </w:r>
      <w:r w:rsidRPr="00FC2DEC">
        <w:rPr>
          <w:rFonts w:asciiTheme="majorBidi" w:eastAsiaTheme="majorEastAsia" w:hAnsiTheme="majorBidi" w:cstheme="majorBidi"/>
          <w:bCs/>
        </w:rPr>
        <w:t xml:space="preserve">, who gave feedback on the questions and how to </w:t>
      </w:r>
      <w:r>
        <w:rPr>
          <w:rFonts w:asciiTheme="majorBidi" w:eastAsiaTheme="majorEastAsia" w:hAnsiTheme="majorBidi" w:cstheme="majorBidi"/>
          <w:bCs/>
        </w:rPr>
        <w:t>moderate</w:t>
      </w:r>
      <w:r w:rsidRPr="00FC2DEC">
        <w:rPr>
          <w:rFonts w:asciiTheme="majorBidi" w:eastAsiaTheme="majorEastAsia" w:hAnsiTheme="majorBidi" w:cstheme="majorBidi"/>
          <w:bCs/>
        </w:rPr>
        <w:t xml:space="preserve"> the group.</w:t>
      </w:r>
    </w:p>
    <w:p w14:paraId="0BB7A25F" w14:textId="40D1A03B" w:rsidR="003B273A" w:rsidRDefault="003B273A" w:rsidP="00C43B4F">
      <w:pPr>
        <w:widowControl w:val="0"/>
        <w:jc w:val="left"/>
        <w:rPr>
          <w:rtl/>
        </w:rPr>
      </w:pPr>
      <w:r>
        <w:t>At the beginning of each session, the moderator presented the goal of the session; SARs were not mentioned at that time, to reduce bias in participants’ responses to the first two questions. Tables 1 and 2 list the questions used to guide the discussions for the groups of individuals with PD and for the groups of family members, respectively. Before each question was presented by the moderator, participants received the question in writing: in the face-to-face meetings they each received a handout with the question printed in large (</w:t>
      </w:r>
      <w:r>
        <w:rPr>
          <w:rFonts w:hint="cs"/>
          <w:rtl/>
        </w:rPr>
        <w:t>60</w:t>
      </w:r>
      <w:r>
        <w:t>-</w:t>
      </w:r>
      <w:proofErr w:type="spellStart"/>
      <w:r>
        <w:t>pt</w:t>
      </w:r>
      <w:proofErr w:type="spellEnd"/>
      <w:r>
        <w:t xml:space="preserve">) font (a single question at a time); in the online meetings the question appeared on the screen both on a presentation slide, and as text sent through the chat forum of the online meeting. After participants responded to questions 1 and 2, they watched a short video, about 3-minutes long, showing different SARs and their functions (see Table 3 for the list of robots presented </w:t>
      </w:r>
      <w:r>
        <w:lastRenderedPageBreak/>
        <w:t>in the video</w:t>
      </w:r>
      <w:r w:rsidR="00C43B4F">
        <w:t xml:space="preserve"> </w:t>
      </w:r>
      <w:r w:rsidR="00C43B4F">
        <w:fldChar w:fldCharType="begin"/>
      </w:r>
      <w:r w:rsidR="006B7331">
        <w:instrText xml:space="preserve"> ADDIN ZOTERO_ITEM CSL_CITATION {"citationID":"QCFocf3O","properties":{"formattedCitation":"(Bar-On et al., 2022, 2022)","plainCitation":"(Bar-On et al., 2022, 2022)","dontUpdate":true,"noteIndex":0},"citationItems":[{"id":322,"uris":["http://zotero.org/users/9293396/items/45QJZW3M"],"itemData":{"id":322,"type":"article-journal","abstract":"To explore how socially assistive robots (SARs) may assist the specific needs of individuals with Parkinson's disease (IwPD), we conducted three focus groups with 12 clinicians who treat IwPD. We present a thematic analysis of their perceptions of the needs of the patients, and their own expectations, perceived advantages, disadvantages and concerns regarding the use of SARs for IwPD. Clinicians were positive towards using SARs for IwPD, if used in the patient's home, for motor, communication, emotional, and cognitive needs, especially for practice and for help with activities of daily living. They were concerned that a SAR might be used to replace clinicians’ work, and stressed it should only augment the clinicians’ work. They thought a SAR may relieve some of the burden experienced by informal caregivers, and identified specific applications for SARs for PD. We asked 18 stakeholders (nine IwPD, nine family members) to rate their level of agreement with the clinicians’ statements. The greatest divergence between their views and those of the clinicians was on the topic of using a SAR as a companion, or as a feeding assistant, to which they objected. This work may be used as a basis for future studies designing SARs for IwPD.","container-title":"ACM Transactions on Human-Robot Interaction","DOI":"10.1145/3570168","journalAbbreviation":"J. Hum.-Robot Interact.","note":"Just Accepted","source":"ACM Digital Library","title":"Socially Assistive Robots for Parkinson's Disease: Needs, Attitudes and Specific Applications as Identified by Healthcare Professionals","title-short":"Socially Assistive Robots for Parkinson's Disease","URL":"http://doi.org/10.1145/3570168","author":[{"family":"Bar-On","given":"Inbal"},{"family":"Mayo","given":"Gili"},{"family":"Levy-Tzedek","given":"Shelly"}],"accessed":{"date-parts":[["2022",12,6]]},"issued":{"date-parts":[["2022"]]}}},{"id":322,"uris":["http://zotero.org/users/9293396/items/45QJZW3M"],"itemData":{"id":322,"type":"article-journal","abstract":"To explore how socially assistive robots (SARs) may assist the specific needs of individuals with Parkinson's disease (IwPD), we conducted three focus groups with 12 clinicians who treat IwPD. We present a thematic analysis of their perceptions of the needs of the patients, and their own expectations, perceived advantages, disadvantages and concerns regarding the use of SARs for IwPD. Clinicians were positive towards using SARs for IwPD, if used in the patient's home, for motor, communication, emotional, and cognitive needs, especially for practice and for help with activities of daily living. They were concerned that a SAR might be used to replace clinicians’ work, and stressed it should only augment the clinicians’ work. They thought a SAR may relieve some of the burden experienced by informal caregivers, and identified specific applications for SARs for PD. We asked 18 stakeholders (nine IwPD, nine family members) to rate their level of agreement with the clinicians’ statements. The greatest divergence between their views and those of the clinicians was on the topic of using a SAR as a companion, or as a feeding assistant, to which they objected. This work may be used as a basis for future studies designing SARs for IwPD.","container-title":"ACM Transactions on Human-Robot Interaction","DOI":"10.1145/3570168","journalAbbreviation":"J. Hum.-Robot Interact.","note":"Just Accepted","source":"ACM Digital Library","title":"Socially Assistive Robots for Parkinson's Disease: Needs, Attitudes and Specific Applications as Identified by Healthcare Professionals","title-short":"Socially Assistive Robots for Parkinson's Disease","URL":"http://doi.org/10.1145/3570168","author":[{"family":"Bar-On","given":"Inbal"},{"family":"Mayo","given":"Gili"},{"family":"Levy-Tzedek","given":"Shelly"}],"accessed":{"date-parts":[["2022",12,6]]},"issued":{"date-parts":[["2022"]]}}}],"schema":"https://github.com/citation-style-language/schema/raw/master/csl-citation.json"} </w:instrText>
      </w:r>
      <w:r w:rsidR="00C43B4F">
        <w:fldChar w:fldCharType="separate"/>
      </w:r>
      <w:r w:rsidR="00C43B4F" w:rsidRPr="00C43B4F">
        <w:t>(Bar-On et al., 2022)</w:t>
      </w:r>
      <w:r w:rsidR="00C43B4F">
        <w:fldChar w:fldCharType="end"/>
      </w:r>
      <w:r w:rsidR="00C43B4F">
        <w:t>.</w:t>
      </w:r>
      <w:r>
        <w:t>We used the short video, featuring different social robots, to showcase the various tasks that social robots are designed to perform. Participants watched the video several times, as needed.</w:t>
      </w:r>
      <w:r>
        <w:rPr>
          <w:rStyle w:val="Strong"/>
          <w:color w:val="0E101A"/>
        </w:rPr>
        <w:t> </w:t>
      </w:r>
      <w:r>
        <w:t>After watching the video, participants were asked questions 3-6.</w:t>
      </w:r>
    </w:p>
    <w:p w14:paraId="1EDCBE87" w14:textId="77777777" w:rsidR="003B273A" w:rsidRPr="00FC2DEC" w:rsidRDefault="003B273A" w:rsidP="003B273A">
      <w:pPr>
        <w:widowControl w:val="0"/>
        <w:jc w:val="left"/>
        <w:rPr>
          <w:rFonts w:asciiTheme="majorBidi" w:eastAsiaTheme="majorEastAsia" w:hAnsiTheme="majorBidi" w:cstheme="majorBidi"/>
          <w:bCs/>
        </w:rPr>
      </w:pPr>
      <w:r w:rsidRPr="00FC2DEC">
        <w:rPr>
          <w:rFonts w:asciiTheme="majorBidi" w:eastAsiaTheme="majorEastAsia" w:hAnsiTheme="majorBidi" w:cstheme="majorBidi"/>
          <w:bCs/>
        </w:rPr>
        <w:t>At the beginning of each meeting, the meeting</w:t>
      </w:r>
      <w:r>
        <w:rPr>
          <w:rFonts w:asciiTheme="majorBidi" w:eastAsiaTheme="majorEastAsia" w:hAnsiTheme="majorBidi" w:cstheme="majorBidi"/>
          <w:bCs/>
        </w:rPr>
        <w:t>’s</w:t>
      </w:r>
      <w:r w:rsidRPr="00FC2DEC">
        <w:rPr>
          <w:rFonts w:asciiTheme="majorBidi" w:eastAsiaTheme="majorEastAsia" w:hAnsiTheme="majorBidi" w:cstheme="majorBidi"/>
          <w:bCs/>
        </w:rPr>
        <w:t xml:space="preserve"> </w:t>
      </w:r>
      <w:r>
        <w:rPr>
          <w:rFonts w:asciiTheme="majorBidi" w:eastAsiaTheme="majorEastAsia" w:hAnsiTheme="majorBidi" w:cstheme="majorBidi"/>
          <w:bCs/>
        </w:rPr>
        <w:t>moderator</w:t>
      </w:r>
      <w:r w:rsidRPr="00FC2DEC">
        <w:rPr>
          <w:rFonts w:asciiTheme="majorBidi" w:eastAsiaTheme="majorEastAsia" w:hAnsiTheme="majorBidi" w:cstheme="majorBidi"/>
          <w:bCs/>
        </w:rPr>
        <w:t xml:space="preserve"> emphasized that there is no obligation to respond to the question</w:t>
      </w:r>
      <w:r>
        <w:rPr>
          <w:rFonts w:asciiTheme="majorBidi" w:eastAsiaTheme="majorEastAsia" w:hAnsiTheme="majorBidi" w:cstheme="majorBidi"/>
          <w:bCs/>
        </w:rPr>
        <w:t>s</w:t>
      </w:r>
      <w:r w:rsidRPr="00FC2DEC">
        <w:rPr>
          <w:rFonts w:asciiTheme="majorBidi" w:eastAsiaTheme="majorEastAsia" w:hAnsiTheme="majorBidi" w:cstheme="majorBidi"/>
          <w:bCs/>
        </w:rPr>
        <w:t xml:space="preserve"> if they are not interested in answering. To ensure that everyone interested in answering the question does so, the </w:t>
      </w:r>
      <w:r>
        <w:rPr>
          <w:rFonts w:asciiTheme="majorBidi" w:eastAsiaTheme="majorEastAsia" w:hAnsiTheme="majorBidi" w:cstheme="majorBidi"/>
          <w:bCs/>
        </w:rPr>
        <w:t>moderator</w:t>
      </w:r>
      <w:r w:rsidRPr="00FC2DEC">
        <w:rPr>
          <w:rFonts w:asciiTheme="majorBidi" w:eastAsiaTheme="majorEastAsia" w:hAnsiTheme="majorBidi" w:cstheme="majorBidi"/>
          <w:bCs/>
        </w:rPr>
        <w:t xml:space="preserve"> turned to participants who did not participate in the discussion and asked them if they were interested in </w:t>
      </w:r>
      <w:r>
        <w:rPr>
          <w:rFonts w:asciiTheme="majorBidi" w:eastAsiaTheme="majorEastAsia" w:hAnsiTheme="majorBidi" w:cstheme="majorBidi"/>
          <w:bCs/>
        </w:rPr>
        <w:t>providing their view on the topic</w:t>
      </w:r>
      <w:r w:rsidRPr="00FC2DEC">
        <w:rPr>
          <w:rFonts w:asciiTheme="majorBidi" w:eastAsiaTheme="majorEastAsia" w:hAnsiTheme="majorBidi" w:cstheme="majorBidi"/>
          <w:bCs/>
        </w:rPr>
        <w:t>.</w:t>
      </w:r>
    </w:p>
    <w:p w14:paraId="1585F45F" w14:textId="77777777" w:rsidR="003B273A" w:rsidRDefault="003B273A" w:rsidP="003B273A">
      <w:pPr>
        <w:widowControl w:val="0"/>
        <w:jc w:val="left"/>
        <w:rPr>
          <w:rFonts w:asciiTheme="majorBidi" w:eastAsiaTheme="majorEastAsia" w:hAnsiTheme="majorBidi" w:cstheme="majorBidi"/>
          <w:bCs/>
          <w:rtl/>
        </w:rPr>
      </w:pPr>
      <w:r w:rsidRPr="00855CCD">
        <w:rPr>
          <w:rFonts w:asciiTheme="majorBidi" w:eastAsiaTheme="majorEastAsia" w:hAnsiTheme="majorBidi" w:cstheme="majorBidi"/>
          <w:bCs/>
        </w:rPr>
        <w:t xml:space="preserve">The study was approved by </w:t>
      </w:r>
      <w:r>
        <w:rPr>
          <w:rFonts w:asciiTheme="majorBidi" w:eastAsiaTheme="majorEastAsia" w:hAnsiTheme="majorBidi" w:cstheme="majorBidi"/>
          <w:bCs/>
        </w:rPr>
        <w:t xml:space="preserve">the ethics committee of the Ben-Gurion University; Additional approval for the patient study was obtained from </w:t>
      </w:r>
      <w:r w:rsidRPr="00855CCD">
        <w:rPr>
          <w:rFonts w:asciiTheme="majorBidi" w:eastAsiaTheme="majorEastAsia" w:hAnsiTheme="majorBidi" w:cstheme="majorBidi"/>
          <w:bCs/>
        </w:rPr>
        <w:t xml:space="preserve">the Helsinki Committee of </w:t>
      </w:r>
      <w:r>
        <w:rPr>
          <w:rFonts w:asciiTheme="majorBidi" w:eastAsiaTheme="majorEastAsia" w:hAnsiTheme="majorBidi" w:cstheme="majorBidi"/>
          <w:bCs/>
        </w:rPr>
        <w:t xml:space="preserve">the </w:t>
      </w:r>
      <w:proofErr w:type="spellStart"/>
      <w:r w:rsidRPr="00855CCD">
        <w:rPr>
          <w:rFonts w:asciiTheme="majorBidi" w:eastAsiaTheme="majorEastAsia" w:hAnsiTheme="majorBidi" w:cstheme="majorBidi"/>
          <w:bCs/>
        </w:rPr>
        <w:t>Soroka</w:t>
      </w:r>
      <w:proofErr w:type="spellEnd"/>
      <w:r w:rsidRPr="00855CCD">
        <w:rPr>
          <w:rFonts w:asciiTheme="majorBidi" w:eastAsiaTheme="majorEastAsia" w:hAnsiTheme="majorBidi" w:cstheme="majorBidi"/>
          <w:bCs/>
        </w:rPr>
        <w:t xml:space="preserve"> Medical Center (SOR-0185-21). All participants gave their informed consent to participate in the study.</w:t>
      </w:r>
    </w:p>
    <w:p w14:paraId="4EFCA43F" w14:textId="77777777" w:rsidR="003B273A" w:rsidRPr="00FC2DEC" w:rsidRDefault="003B273A" w:rsidP="003B273A">
      <w:pPr>
        <w:widowControl w:val="0"/>
      </w:pPr>
      <w:r w:rsidRPr="00FC2DEC">
        <w:rPr>
          <w:b/>
          <w:color w:val="000000"/>
        </w:rPr>
        <w:t>Data analysis</w:t>
      </w:r>
      <w:r w:rsidRPr="00FC2DEC">
        <w:t xml:space="preserve"> </w:t>
      </w:r>
    </w:p>
    <w:p w14:paraId="4D35E685" w14:textId="48A2BF98" w:rsidR="003B273A" w:rsidRDefault="003B273A" w:rsidP="00942C40">
      <w:pPr>
        <w:rPr>
          <w:rtl/>
        </w:rPr>
      </w:pPr>
      <w:r w:rsidRPr="00FC2DEC">
        <w:t>The recordings from the focus groups were transcribed and coded</w:t>
      </w:r>
      <w:r>
        <w:t xml:space="preserve">, using the thematic-analysis approach </w:t>
      </w:r>
      <w:r>
        <w:fldChar w:fldCharType="begin"/>
      </w:r>
      <w:r>
        <w:instrText xml:space="preserve"> ADDIN ZOTERO_ITEM CSL_CITATION {"citationID":"ZZjwCqPH","properties":{"formattedCitation":"(Kiger &amp; Varpio, 2020)","plainCitation":"(Kiger &amp; Varpio, 2020)","noteIndex":0},"citationItems":[{"id":285,"uris":["http://zotero.org/users/9293396/items/2CZAQDAZ"],"itemData":{"id":285,"type":"article-journal","abstract":"Thematic analysis is a widely used, yet often misunderstood, method of qualitative data analysis. It is a useful and accessible tool for qualitative researchers, but confusion regarding the method's philosophical underpinnings and imprecision in how it has been described have complicated its use and acceptance among researchers. In this Guide, we outline what thematic analysis is, positioning it in relation to other methods of qualitative analysis, and describe when it is appropriate to use the method under a variety of epistemological frameworks. We also provide a detailed definition of a theme, as this term is often misapplied. Next, we describe the most commonly used six-step framework for conducting thematic analysis, illustrating each step using examples from our own research. Finally, we discuss advantages and disadvantages of this method and alert researchers to pitfalls to avoid when using thematic analysis. We aim to highlight thematic analysis as a powerful and flexible method of qualitative analysis and to empower researchers at all levels of experience to conduct thematic analysis in rigorous and thoughtful way.","container-title":"Medical Teacher","DOI":"10.1080/0142159X.2020.1755030","ISSN":"1466-187X","issue":"8","journalAbbreviation":"Med Teach","language":"eng","note":"PMID: 32356468","page":"846-854","source":"PubMed","title":"Thematic analysis of qualitative data: AMEE Guide No. 131","title-short":"Thematic analysis of qualitative data","volume":"42","author":[{"family":"Kiger","given":"Michelle E."},{"family":"Varpio","given":"Lara"}],"issued":{"date-parts":[["2020",8]]}}}],"schema":"https://github.com/citation-style-language/schema/raw/master/csl-citation.json"} </w:instrText>
      </w:r>
      <w:r>
        <w:fldChar w:fldCharType="separate"/>
      </w:r>
      <w:r w:rsidR="00942C40" w:rsidRPr="00942C40">
        <w:t>(Kiger &amp; Varpio, 2020)</w:t>
      </w:r>
      <w:r>
        <w:fldChar w:fldCharType="end"/>
      </w:r>
      <w:r w:rsidRPr="00FC2DEC">
        <w:t>. Two research</w:t>
      </w:r>
      <w:r>
        <w:t>-</w:t>
      </w:r>
      <w:r w:rsidRPr="00FC2DEC">
        <w:t xml:space="preserve">team members </w:t>
      </w:r>
      <w:r>
        <w:t xml:space="preserve">(SBS and AK) </w:t>
      </w:r>
      <w:r w:rsidRPr="00FC2DEC">
        <w:t>read the transcript</w:t>
      </w:r>
      <w:r>
        <w:t>s</w:t>
      </w:r>
      <w:r w:rsidRPr="00FC2DEC">
        <w:t xml:space="preserve"> separately</w:t>
      </w:r>
      <w:r>
        <w:t xml:space="preserve"> and</w:t>
      </w:r>
      <w:r w:rsidRPr="00FC2DEC">
        <w:t xml:space="preserve"> coded </w:t>
      </w:r>
      <w:r>
        <w:t xml:space="preserve">them </w:t>
      </w:r>
      <w:r w:rsidRPr="00FC2DEC">
        <w:t>using a combined deductive and inductive approach for coding</w:t>
      </w:r>
      <w:r>
        <w:t xml:space="preserve"> </w:t>
      </w:r>
      <w:r>
        <w:fldChar w:fldCharType="begin"/>
      </w:r>
      <w:r>
        <w:instrText xml:space="preserve"> ADDIN ZOTERO_ITEM CSL_CITATION {"citationID":"qXkCGHAc","properties":{"formattedCitation":"(Gale et al., 2013)","plainCitation":"(Gale et al., 2013)","noteIndex":0},"citationItems":[{"id":287,"uris":["http://zotero.org/users/9293396/items/E6V6D89K"],"itemData":{"id":287,"type":"article-journal","abstract":"BACKGROUND: The Framework Method is becoming an increasingly popular approach to the management and analysis of qualitative data in health research. However, there is confusion about its potential application and limitations.\nDISCUSSION: The article discusses when it is appropriate to adopt the Framework Method and explains the procedure for using it in multi-disciplinary health research teams, or those that involve clinicians, patients and lay people. The stages of the method are illustrated using examples from a published study.\nSUMMARY: Used effectively, with the leadership of an experienced qualitative researcher, the Framework Method is a systematic and flexible approach to analysing qualitative data and is appropriate for use in research teams even where not all members have previous experience of conducting qualitative research.","container-title":"BMC medical research methodology","DOI":"10.1186/1471-2288-13-117","ISSN":"1471-2288","journalAbbreviation":"BMC Med Res Methodol","language":"eng","note":"PMID: 24047204\nPMCID: PMC3848812","page":"117","source":"PubMed","title":"Using the framework method for the analysis of qualitative data in multi-disciplinary health research","volume":"13","author":[{"family":"Gale","given":"Nicola K."},{"family":"Heath","given":"Gemma"},{"family":"Cameron","given":"Elaine"},{"family":"Rashid","given":"Sabina"},{"family":"Redwood","given":"Sabi"}],"issued":{"date-parts":[["2013",9,18]]}}}],"schema":"https://github.com/citation-style-language/schema/raw/master/csl-citation.json"} </w:instrText>
      </w:r>
      <w:r>
        <w:fldChar w:fldCharType="separate"/>
      </w:r>
      <w:r w:rsidR="00942C40" w:rsidRPr="00942C40">
        <w:t>(Gale et al., 2013)</w:t>
      </w:r>
      <w:r>
        <w:fldChar w:fldCharType="end"/>
      </w:r>
      <w:r>
        <w:t xml:space="preserve">. </w:t>
      </w:r>
      <w:r w:rsidRPr="00FC2DEC">
        <w:t>This method selects predefined codes and adds codes during the process</w:t>
      </w:r>
      <w:r>
        <w:t xml:space="preserve"> </w:t>
      </w:r>
      <w:r>
        <w:fldChar w:fldCharType="begin"/>
      </w:r>
      <w:r>
        <w:instrText xml:space="preserve"> ADDIN ZOTERO_ITEM CSL_CITATION {"citationID":"B1NNfr4z","properties":{"formattedCitation":"(Gale et al., 2013)","plainCitation":"(Gale et al., 2013)","noteIndex":0},"citationItems":[{"id":287,"uris":["http://zotero.org/users/9293396/items/E6V6D89K"],"itemData":{"id":287,"type":"article-journal","abstract":"BACKGROUND: The Framework Method is becoming an increasingly popular approach to the management and analysis of qualitative data in health research. However, there is confusion about its potential application and limitations.\nDISCUSSION: The article discusses when it is appropriate to adopt the Framework Method and explains the procedure for using it in multi-disciplinary health research teams, or those that involve clinicians, patients and lay people. The stages of the method are illustrated using examples from a published study.\nSUMMARY: Used effectively, with the leadership of an experienced qualitative researcher, the Framework Method is a systematic and flexible approach to analysing qualitative data and is appropriate for use in research teams even where not all members have previous experience of conducting qualitative research.","container-title":"BMC medical research methodology","DOI":"10.1186/1471-2288-13-117","ISSN":"1471-2288","journalAbbreviation":"BMC Med Res Methodol","language":"eng","note":"PMID: 24047204\nPMCID: PMC3848812","page":"117","source":"PubMed","title":"Using the framework method for the analysis of qualitative data in multi-disciplinary health research","volume":"13","author":[{"family":"Gale","given":"Nicola K."},{"family":"Heath","given":"Gemma"},{"family":"Cameron","given":"Elaine"},{"family":"Rashid","given":"Sabina"},{"family":"Redwood","given":"Sabi"}],"issued":{"date-parts":[["2013",9,18]]}}}],"schema":"https://github.com/citation-style-language/schema/raw/master/csl-citation.json"} </w:instrText>
      </w:r>
      <w:r>
        <w:fldChar w:fldCharType="separate"/>
      </w:r>
      <w:r w:rsidR="00942C40" w:rsidRPr="00942C40">
        <w:t>(Gale et al., 2013)</w:t>
      </w:r>
      <w:r>
        <w:fldChar w:fldCharType="end"/>
      </w:r>
      <w:r>
        <w:t xml:space="preserve">. Whenever codes were assigned differently by the two team members, they were </w:t>
      </w:r>
      <w:r w:rsidRPr="00FC2DEC">
        <w:t xml:space="preserve">discussed </w:t>
      </w:r>
      <w:r w:rsidR="0070565F">
        <w:t>until</w:t>
      </w:r>
      <w:r>
        <w:t xml:space="preserve"> an agreement was reached. </w:t>
      </w:r>
      <w:r w:rsidR="0070565F">
        <w:t>Then</w:t>
      </w:r>
      <w:r w:rsidRPr="00FC2DEC">
        <w:t xml:space="preserve">, a discussion </w:t>
      </w:r>
      <w:r>
        <w:t>wa</w:t>
      </w:r>
      <w:r w:rsidRPr="00FC2DEC">
        <w:t xml:space="preserve">s </w:t>
      </w:r>
      <w:r>
        <w:t>held</w:t>
      </w:r>
      <w:r w:rsidRPr="00FC2DEC">
        <w:t xml:space="preserve"> within the research team to </w:t>
      </w:r>
      <w:r>
        <w:t>identify</w:t>
      </w:r>
      <w:r w:rsidRPr="00FC2DEC">
        <w:t xml:space="preserve"> the main categories that emerge</w:t>
      </w:r>
      <w:r>
        <w:t>d</w:t>
      </w:r>
      <w:r w:rsidRPr="00FC2DEC">
        <w:t xml:space="preserve"> from the codes. We used</w:t>
      </w:r>
      <w:r>
        <w:t xml:space="preserve"> the</w:t>
      </w:r>
      <w:r w:rsidRPr="00FC2DEC">
        <w:t xml:space="preserve"> </w:t>
      </w:r>
      <w:proofErr w:type="spellStart"/>
      <w:r w:rsidRPr="00FC2DEC">
        <w:t>ATLAS</w:t>
      </w:r>
      <w:r>
        <w:t>.</w:t>
      </w:r>
      <w:r w:rsidRPr="00FC2DEC">
        <w:t>ti</w:t>
      </w:r>
      <w:proofErr w:type="spellEnd"/>
      <w:r w:rsidRPr="00FC2DEC">
        <w:t xml:space="preserve"> software</w:t>
      </w:r>
      <w:r>
        <w:t xml:space="preserve"> (</w:t>
      </w:r>
      <w:r w:rsidRPr="00125986">
        <w:t>version 22</w:t>
      </w:r>
      <w:r>
        <w:t>)</w:t>
      </w:r>
      <w:r w:rsidRPr="00FC2DEC">
        <w:t xml:space="preserve"> for coding. </w:t>
      </w:r>
      <w:r>
        <w:t>Within each experimental group (individuals with PD / family members), data saturation was assessed after</w:t>
      </w:r>
      <w:r w:rsidRPr="00FC2DEC">
        <w:t xml:space="preserve"> analyzing the data </w:t>
      </w:r>
      <w:r>
        <w:t>from</w:t>
      </w:r>
      <w:r w:rsidRPr="00FC2DEC">
        <w:t xml:space="preserve"> the </w:t>
      </w:r>
      <w:r>
        <w:t xml:space="preserve">first </w:t>
      </w:r>
      <w:r>
        <w:lastRenderedPageBreak/>
        <w:t xml:space="preserve">two </w:t>
      </w:r>
      <w:r w:rsidRPr="00FC2DEC">
        <w:t>group</w:t>
      </w:r>
      <w:r>
        <w:t>s</w:t>
      </w:r>
      <w:r w:rsidRPr="00FC2DEC">
        <w:t xml:space="preserve">. </w:t>
      </w:r>
      <w:r w:rsidRPr="004A3339">
        <w:t xml:space="preserve">Hence, </w:t>
      </w:r>
      <w:r>
        <w:t xml:space="preserve">a third and final group session was held for each experimental group </w:t>
      </w:r>
      <w:r w:rsidRPr="004A3339">
        <w:t>due to the repetition of ideas and information.</w:t>
      </w:r>
    </w:p>
    <w:p w14:paraId="27D949CB" w14:textId="77777777" w:rsidR="003B273A" w:rsidRPr="00FC2DEC" w:rsidRDefault="003B273A" w:rsidP="003B273A"/>
    <w:p w14:paraId="55F0C38A" w14:textId="77777777" w:rsidR="003B273A" w:rsidRPr="00FC2DEC" w:rsidRDefault="003B273A" w:rsidP="003B273A">
      <w:pPr>
        <w:spacing w:after="0" w:line="360" w:lineRule="auto"/>
        <w:rPr>
          <w:rFonts w:cstheme="minorHAnsi"/>
          <w:b/>
          <w:bCs/>
        </w:rPr>
      </w:pPr>
      <w:r w:rsidRPr="00FC2DEC">
        <w:rPr>
          <w:rFonts w:cstheme="minorHAnsi"/>
          <w:b/>
          <w:bCs/>
        </w:rPr>
        <w:t>Table 1: Questions that were presented at the focus-group discussion</w:t>
      </w:r>
      <w:r>
        <w:rPr>
          <w:rFonts w:cstheme="minorHAnsi"/>
          <w:b/>
          <w:bCs/>
        </w:rPr>
        <w:t>s of individuals</w:t>
      </w:r>
      <w:r w:rsidRPr="00FC2DEC">
        <w:rPr>
          <w:rFonts w:cstheme="minorHAnsi"/>
          <w:b/>
          <w:bCs/>
        </w:rPr>
        <w:t xml:space="preserve"> with PD</w:t>
      </w:r>
    </w:p>
    <w:tbl>
      <w:tblPr>
        <w:tblStyle w:val="TableGrid"/>
        <w:bidiVisual/>
        <w:tblW w:w="8355" w:type="dxa"/>
        <w:tblInd w:w="666" w:type="dxa"/>
        <w:tblLook w:val="04A0" w:firstRow="1" w:lastRow="0" w:firstColumn="1" w:lastColumn="0" w:noHBand="0" w:noVBand="1"/>
      </w:tblPr>
      <w:tblGrid>
        <w:gridCol w:w="8355"/>
      </w:tblGrid>
      <w:tr w:rsidR="003B273A" w:rsidRPr="00FC2DEC" w14:paraId="2B8378ED" w14:textId="77777777" w:rsidTr="00FA1E2B">
        <w:tc>
          <w:tcPr>
            <w:tcW w:w="8355" w:type="dxa"/>
          </w:tcPr>
          <w:p w14:paraId="108A7A53" w14:textId="77777777" w:rsidR="003B273A" w:rsidRPr="00FC2DEC" w:rsidRDefault="003B273A" w:rsidP="00FA1E2B">
            <w:pPr>
              <w:bidi w:val="0"/>
              <w:spacing w:line="360" w:lineRule="auto"/>
              <w:rPr>
                <w:rFonts w:cstheme="minorHAnsi"/>
              </w:rPr>
            </w:pPr>
            <w:r w:rsidRPr="00FC2DEC">
              <w:rPr>
                <w:rFonts w:cstheme="minorHAnsi"/>
              </w:rPr>
              <w:t>1. Name three main restrictions\limitations you experience, living with PD</w:t>
            </w:r>
          </w:p>
        </w:tc>
      </w:tr>
      <w:tr w:rsidR="003B273A" w:rsidRPr="00FC2DEC" w14:paraId="6A1CF879" w14:textId="77777777" w:rsidTr="00FA1E2B">
        <w:tc>
          <w:tcPr>
            <w:tcW w:w="8355" w:type="dxa"/>
          </w:tcPr>
          <w:p w14:paraId="6DC2ED78" w14:textId="77777777" w:rsidR="003B273A" w:rsidRPr="00FC2DEC" w:rsidRDefault="003B273A" w:rsidP="00FA1E2B">
            <w:pPr>
              <w:bidi w:val="0"/>
              <w:spacing w:line="360" w:lineRule="auto"/>
              <w:rPr>
                <w:rFonts w:cstheme="minorHAnsi"/>
              </w:rPr>
            </w:pPr>
            <w:r w:rsidRPr="00FC2DEC">
              <w:rPr>
                <w:rFonts w:cstheme="minorHAnsi"/>
              </w:rPr>
              <w:t xml:space="preserve">2. </w:t>
            </w:r>
            <w:r w:rsidRPr="00A362A7">
              <w:rPr>
                <w:rFonts w:cstheme="minorHAnsi"/>
              </w:rPr>
              <w:t>How can technology aid with those limitations or other limitations you have not mentioned?</w:t>
            </w:r>
          </w:p>
        </w:tc>
      </w:tr>
      <w:tr w:rsidR="003B273A" w:rsidRPr="00FC2DEC" w14:paraId="4B43023F" w14:textId="77777777" w:rsidTr="00FA1E2B">
        <w:tc>
          <w:tcPr>
            <w:tcW w:w="8355" w:type="dxa"/>
            <w:shd w:val="clear" w:color="auto" w:fill="D5DCE4" w:themeFill="text2" w:themeFillTint="33"/>
          </w:tcPr>
          <w:p w14:paraId="747518BD" w14:textId="77777777" w:rsidR="003B273A" w:rsidRPr="00FC2DEC" w:rsidRDefault="003B273A" w:rsidP="00FA1E2B">
            <w:pPr>
              <w:bidi w:val="0"/>
              <w:spacing w:line="360" w:lineRule="auto"/>
              <w:rPr>
                <w:rFonts w:cstheme="minorHAnsi"/>
              </w:rPr>
            </w:pPr>
            <w:r w:rsidRPr="00FC2DEC">
              <w:rPr>
                <w:rFonts w:cstheme="minorHAnsi"/>
              </w:rPr>
              <w:t xml:space="preserve">/ Participants watched a video showing a variety of functions performed by SARs / </w:t>
            </w:r>
          </w:p>
        </w:tc>
      </w:tr>
      <w:tr w:rsidR="003B273A" w:rsidRPr="00FC2DEC" w14:paraId="4EBEABF7" w14:textId="77777777" w:rsidTr="00FA1E2B">
        <w:tc>
          <w:tcPr>
            <w:tcW w:w="8355" w:type="dxa"/>
          </w:tcPr>
          <w:p w14:paraId="64BA00D4" w14:textId="77777777" w:rsidR="003B273A" w:rsidRPr="00FC2DEC" w:rsidRDefault="003B273A" w:rsidP="00FA1E2B">
            <w:pPr>
              <w:bidi w:val="0"/>
              <w:spacing w:line="360" w:lineRule="auto"/>
              <w:rPr>
                <w:rFonts w:cstheme="minorHAnsi"/>
                <w:rtl/>
              </w:rPr>
            </w:pPr>
            <w:r w:rsidRPr="00FC2DEC">
              <w:rPr>
                <w:rFonts w:cstheme="minorHAnsi"/>
              </w:rPr>
              <w:t>3. How do you think you can benefit from SARs?</w:t>
            </w:r>
          </w:p>
        </w:tc>
      </w:tr>
      <w:tr w:rsidR="003B273A" w:rsidRPr="00FC2DEC" w14:paraId="134E58B1" w14:textId="77777777" w:rsidTr="00FA1E2B">
        <w:tc>
          <w:tcPr>
            <w:tcW w:w="8355" w:type="dxa"/>
          </w:tcPr>
          <w:p w14:paraId="03D8129A" w14:textId="77777777" w:rsidR="003B273A" w:rsidRPr="00FC2DEC" w:rsidRDefault="003B273A" w:rsidP="00FA1E2B">
            <w:pPr>
              <w:bidi w:val="0"/>
              <w:spacing w:line="360" w:lineRule="auto"/>
              <w:rPr>
                <w:rFonts w:cstheme="minorHAnsi"/>
              </w:rPr>
            </w:pPr>
            <w:r w:rsidRPr="00FC2DEC">
              <w:rPr>
                <w:rFonts w:cstheme="minorHAnsi"/>
              </w:rPr>
              <w:t>4. Would you use SARs? for what needs?</w:t>
            </w:r>
          </w:p>
        </w:tc>
      </w:tr>
      <w:tr w:rsidR="003B273A" w:rsidRPr="00FC2DEC" w14:paraId="74B15610" w14:textId="77777777" w:rsidTr="00FA1E2B">
        <w:tc>
          <w:tcPr>
            <w:tcW w:w="8355" w:type="dxa"/>
          </w:tcPr>
          <w:p w14:paraId="3FAD415D" w14:textId="77777777" w:rsidR="003B273A" w:rsidRPr="00FC2DEC" w:rsidRDefault="003B273A" w:rsidP="00FA1E2B">
            <w:pPr>
              <w:bidi w:val="0"/>
              <w:spacing w:line="360" w:lineRule="auto"/>
              <w:rPr>
                <w:rFonts w:cstheme="minorHAnsi"/>
              </w:rPr>
            </w:pPr>
            <w:r w:rsidRPr="00FC2DEC">
              <w:rPr>
                <w:rFonts w:cstheme="minorHAnsi"/>
              </w:rPr>
              <w:t>5. Do you have any concerns regarding the use of SARs? What are they?</w:t>
            </w:r>
          </w:p>
        </w:tc>
      </w:tr>
      <w:tr w:rsidR="003B273A" w:rsidRPr="00FC2DEC" w14:paraId="6C78D6BC" w14:textId="77777777" w:rsidTr="00FA1E2B">
        <w:tc>
          <w:tcPr>
            <w:tcW w:w="8355" w:type="dxa"/>
          </w:tcPr>
          <w:p w14:paraId="523F9661" w14:textId="77777777" w:rsidR="003B273A" w:rsidRPr="00FC2DEC" w:rsidRDefault="003B273A" w:rsidP="00FA1E2B">
            <w:pPr>
              <w:bidi w:val="0"/>
              <w:spacing w:line="360" w:lineRule="auto"/>
              <w:rPr>
                <w:rFonts w:cstheme="minorHAnsi"/>
              </w:rPr>
            </w:pPr>
            <w:r w:rsidRPr="00FC2DEC">
              <w:rPr>
                <w:rFonts w:cstheme="minorHAnsi"/>
              </w:rPr>
              <w:t>6. For which needs would you rather not use SARs? Why?</w:t>
            </w:r>
          </w:p>
        </w:tc>
      </w:tr>
    </w:tbl>
    <w:p w14:paraId="72D2DFC8" w14:textId="77777777" w:rsidR="003B273A" w:rsidRPr="00FC2DEC" w:rsidRDefault="003B273A" w:rsidP="003B273A">
      <w:pPr>
        <w:spacing w:after="0" w:line="360" w:lineRule="auto"/>
        <w:rPr>
          <w:rFonts w:cstheme="minorHAnsi"/>
          <w:b/>
          <w:bCs/>
        </w:rPr>
      </w:pPr>
    </w:p>
    <w:p w14:paraId="1EDFF4AB" w14:textId="77777777" w:rsidR="003B273A" w:rsidRPr="00FC2DEC" w:rsidRDefault="003B273A" w:rsidP="003B273A">
      <w:pPr>
        <w:spacing w:after="0" w:line="360" w:lineRule="auto"/>
        <w:rPr>
          <w:rFonts w:cstheme="minorHAnsi"/>
          <w:b/>
          <w:bCs/>
        </w:rPr>
      </w:pPr>
      <w:r w:rsidRPr="00FC2DEC">
        <w:rPr>
          <w:rFonts w:cstheme="minorHAnsi"/>
          <w:b/>
          <w:bCs/>
        </w:rPr>
        <w:t xml:space="preserve">Table 2: Questions that were presented at the </w:t>
      </w:r>
      <w:r>
        <w:rPr>
          <w:rFonts w:cstheme="minorHAnsi"/>
          <w:b/>
          <w:bCs/>
        </w:rPr>
        <w:t>family members’</w:t>
      </w:r>
      <w:r w:rsidRPr="00FC2DEC">
        <w:rPr>
          <w:rFonts w:cstheme="minorHAnsi"/>
          <w:b/>
          <w:bCs/>
        </w:rPr>
        <w:t xml:space="preserve"> focus-group discussion</w:t>
      </w:r>
      <w:r>
        <w:rPr>
          <w:rFonts w:cstheme="minorHAnsi"/>
          <w:b/>
          <w:bCs/>
        </w:rPr>
        <w:t>s</w:t>
      </w:r>
    </w:p>
    <w:tbl>
      <w:tblPr>
        <w:tblStyle w:val="TableGrid"/>
        <w:bidiVisual/>
        <w:tblW w:w="8355" w:type="dxa"/>
        <w:tblInd w:w="666" w:type="dxa"/>
        <w:tblLook w:val="04A0" w:firstRow="1" w:lastRow="0" w:firstColumn="1" w:lastColumn="0" w:noHBand="0" w:noVBand="1"/>
      </w:tblPr>
      <w:tblGrid>
        <w:gridCol w:w="8355"/>
      </w:tblGrid>
      <w:tr w:rsidR="003B273A" w:rsidRPr="00FC2DEC" w14:paraId="4B61E2FA" w14:textId="77777777" w:rsidTr="00FA1E2B">
        <w:tc>
          <w:tcPr>
            <w:tcW w:w="8355" w:type="dxa"/>
          </w:tcPr>
          <w:p w14:paraId="10BA0516" w14:textId="77777777" w:rsidR="003B273A" w:rsidRPr="00FC2DEC" w:rsidRDefault="003B273A" w:rsidP="00FA1E2B">
            <w:pPr>
              <w:bidi w:val="0"/>
              <w:spacing w:line="360" w:lineRule="auto"/>
              <w:rPr>
                <w:rFonts w:cstheme="minorHAnsi"/>
              </w:rPr>
            </w:pPr>
            <w:r w:rsidRPr="00FC2DEC">
              <w:rPr>
                <w:rFonts w:cstheme="minorHAnsi"/>
              </w:rPr>
              <w:t>1. Name three main restrictions/limitations that your family member face in their everyday lives.</w:t>
            </w:r>
          </w:p>
        </w:tc>
      </w:tr>
      <w:tr w:rsidR="003B273A" w:rsidRPr="00FC2DEC" w14:paraId="0401FE17" w14:textId="77777777" w:rsidTr="00FA1E2B">
        <w:tc>
          <w:tcPr>
            <w:tcW w:w="8355" w:type="dxa"/>
          </w:tcPr>
          <w:p w14:paraId="054D5D53" w14:textId="77777777" w:rsidR="003B273A" w:rsidRPr="00FC2DEC" w:rsidRDefault="003B273A" w:rsidP="00FA1E2B">
            <w:pPr>
              <w:bidi w:val="0"/>
              <w:spacing w:line="360" w:lineRule="auto"/>
              <w:rPr>
                <w:rFonts w:cstheme="minorHAnsi"/>
              </w:rPr>
            </w:pPr>
            <w:r w:rsidRPr="00FC2DEC">
              <w:rPr>
                <w:rFonts w:cstheme="minorHAnsi"/>
              </w:rPr>
              <w:t xml:space="preserve">2. </w:t>
            </w:r>
            <w:r w:rsidRPr="00A362A7">
              <w:rPr>
                <w:rFonts w:cstheme="minorHAnsi"/>
              </w:rPr>
              <w:t>How can technology aid with those limitations or other limitations you have not mentioned?</w:t>
            </w:r>
          </w:p>
        </w:tc>
      </w:tr>
      <w:tr w:rsidR="003B273A" w:rsidRPr="00FC2DEC" w14:paraId="763F94CE" w14:textId="77777777" w:rsidTr="00FA1E2B">
        <w:tc>
          <w:tcPr>
            <w:tcW w:w="8355" w:type="dxa"/>
            <w:shd w:val="clear" w:color="auto" w:fill="D5DCE4" w:themeFill="text2" w:themeFillTint="33"/>
          </w:tcPr>
          <w:p w14:paraId="5B7D7007" w14:textId="77777777" w:rsidR="003B273A" w:rsidRPr="00FC2DEC" w:rsidRDefault="003B273A" w:rsidP="00FA1E2B">
            <w:pPr>
              <w:bidi w:val="0"/>
              <w:spacing w:line="360" w:lineRule="auto"/>
              <w:rPr>
                <w:rFonts w:cstheme="minorHAnsi"/>
              </w:rPr>
            </w:pPr>
            <w:r w:rsidRPr="00FC2DEC">
              <w:rPr>
                <w:rFonts w:cstheme="minorHAnsi"/>
              </w:rPr>
              <w:t xml:space="preserve">/ Participants watched a video showing a variety of functions performed by SARs / </w:t>
            </w:r>
          </w:p>
        </w:tc>
      </w:tr>
      <w:tr w:rsidR="003B273A" w:rsidRPr="00FC2DEC" w14:paraId="311F4A31" w14:textId="77777777" w:rsidTr="00FA1E2B">
        <w:tc>
          <w:tcPr>
            <w:tcW w:w="8355" w:type="dxa"/>
          </w:tcPr>
          <w:p w14:paraId="003CA1FE" w14:textId="77777777" w:rsidR="003B273A" w:rsidRPr="00FC2DEC" w:rsidRDefault="003B273A" w:rsidP="00FA1E2B">
            <w:pPr>
              <w:bidi w:val="0"/>
              <w:spacing w:line="360" w:lineRule="auto"/>
              <w:rPr>
                <w:rFonts w:cstheme="minorHAnsi"/>
                <w:rtl/>
              </w:rPr>
            </w:pPr>
            <w:r w:rsidRPr="00FC2DEC">
              <w:rPr>
                <w:rFonts w:cstheme="minorHAnsi"/>
              </w:rPr>
              <w:t>3. How do you think your PD family member can benefit from SARs?</w:t>
            </w:r>
          </w:p>
        </w:tc>
      </w:tr>
      <w:tr w:rsidR="003B273A" w:rsidRPr="00FC2DEC" w14:paraId="5014503C" w14:textId="77777777" w:rsidTr="00FA1E2B">
        <w:tc>
          <w:tcPr>
            <w:tcW w:w="8355" w:type="dxa"/>
          </w:tcPr>
          <w:p w14:paraId="186E0722" w14:textId="77777777" w:rsidR="003B273A" w:rsidRPr="00FC2DEC" w:rsidRDefault="003B273A" w:rsidP="00FA1E2B">
            <w:pPr>
              <w:bidi w:val="0"/>
              <w:spacing w:line="360" w:lineRule="auto"/>
              <w:rPr>
                <w:rFonts w:cstheme="minorHAnsi"/>
              </w:rPr>
            </w:pPr>
            <w:r w:rsidRPr="00FC2DEC">
              <w:rPr>
                <w:rFonts w:cstheme="minorHAnsi"/>
              </w:rPr>
              <w:t xml:space="preserve">4. </w:t>
            </w:r>
            <w:r w:rsidRPr="00FC2DEC">
              <w:rPr>
                <w:rFonts w:cstheme="minorHAnsi" w:hint="cs"/>
              </w:rPr>
              <w:t>D</w:t>
            </w:r>
            <w:r w:rsidRPr="00FC2DEC">
              <w:rPr>
                <w:rFonts w:cstheme="minorHAnsi"/>
              </w:rPr>
              <w:t xml:space="preserve">o you think your family member would use SARs? </w:t>
            </w:r>
            <w:r>
              <w:rPr>
                <w:rFonts w:cstheme="minorHAnsi"/>
              </w:rPr>
              <w:t>F</w:t>
            </w:r>
            <w:r w:rsidRPr="00FC2DEC">
              <w:rPr>
                <w:rFonts w:cstheme="minorHAnsi"/>
              </w:rPr>
              <w:t>or what needs?</w:t>
            </w:r>
          </w:p>
        </w:tc>
      </w:tr>
      <w:tr w:rsidR="003B273A" w:rsidRPr="00FC2DEC" w14:paraId="3DDED6F3" w14:textId="77777777" w:rsidTr="00FA1E2B">
        <w:tc>
          <w:tcPr>
            <w:tcW w:w="8355" w:type="dxa"/>
          </w:tcPr>
          <w:p w14:paraId="3656E012" w14:textId="77777777" w:rsidR="003B273A" w:rsidRPr="00FC2DEC" w:rsidRDefault="003B273A" w:rsidP="00FA1E2B">
            <w:pPr>
              <w:bidi w:val="0"/>
              <w:spacing w:line="360" w:lineRule="auto"/>
              <w:rPr>
                <w:rFonts w:cstheme="minorHAnsi"/>
              </w:rPr>
            </w:pPr>
            <w:r w:rsidRPr="00FC2DEC">
              <w:rPr>
                <w:rFonts w:cstheme="minorHAnsi"/>
              </w:rPr>
              <w:t>5. Do you have any concerns regarding the use of SARs? What are they?</w:t>
            </w:r>
          </w:p>
        </w:tc>
      </w:tr>
      <w:tr w:rsidR="003B273A" w:rsidRPr="00FC2DEC" w14:paraId="0D14754F" w14:textId="77777777" w:rsidTr="00FA1E2B">
        <w:tc>
          <w:tcPr>
            <w:tcW w:w="8355" w:type="dxa"/>
          </w:tcPr>
          <w:p w14:paraId="28E8FBE6" w14:textId="77777777" w:rsidR="003B273A" w:rsidRPr="00FC2DEC" w:rsidRDefault="003B273A" w:rsidP="00FA1E2B">
            <w:pPr>
              <w:bidi w:val="0"/>
              <w:spacing w:line="360" w:lineRule="auto"/>
              <w:rPr>
                <w:rFonts w:cstheme="minorHAnsi"/>
              </w:rPr>
            </w:pPr>
            <w:r w:rsidRPr="00FC2DEC">
              <w:rPr>
                <w:rFonts w:cstheme="minorHAnsi"/>
              </w:rPr>
              <w:t>6. For which needs do you prefer your family member would not use SARs? Why?</w:t>
            </w:r>
          </w:p>
        </w:tc>
      </w:tr>
    </w:tbl>
    <w:p w14:paraId="64E50780" w14:textId="77777777" w:rsidR="003B273A" w:rsidRDefault="003B273A" w:rsidP="003B273A">
      <w:pPr>
        <w:spacing w:after="120" w:line="360" w:lineRule="auto"/>
        <w:rPr>
          <w:rFonts w:asciiTheme="majorBidi" w:hAnsiTheme="majorBidi" w:cstheme="majorBidi"/>
          <w:b/>
          <w:bCs/>
        </w:rPr>
      </w:pPr>
    </w:p>
    <w:p w14:paraId="415DB55B" w14:textId="77777777" w:rsidR="003B273A" w:rsidRPr="009E7111" w:rsidRDefault="003B273A" w:rsidP="003B273A">
      <w:pPr>
        <w:spacing w:after="120" w:line="360" w:lineRule="auto"/>
        <w:rPr>
          <w:rFonts w:asciiTheme="majorBidi" w:hAnsiTheme="majorBidi" w:cstheme="majorBidi"/>
          <w:b/>
          <w:bCs/>
        </w:rPr>
      </w:pPr>
      <w:r w:rsidRPr="00FC2DEC">
        <w:rPr>
          <w:rFonts w:asciiTheme="majorBidi" w:hAnsiTheme="majorBidi" w:cstheme="majorBidi"/>
          <w:b/>
          <w:bCs/>
        </w:rPr>
        <w:t xml:space="preserve">Table </w:t>
      </w:r>
      <w:r>
        <w:rPr>
          <w:rFonts w:asciiTheme="majorBidi" w:hAnsiTheme="majorBidi" w:cstheme="majorBidi"/>
          <w:b/>
          <w:bCs/>
        </w:rPr>
        <w:t>3</w:t>
      </w:r>
      <w:r w:rsidRPr="00FC2DEC">
        <w:rPr>
          <w:rFonts w:asciiTheme="majorBidi" w:hAnsiTheme="majorBidi" w:cstheme="majorBidi"/>
          <w:b/>
          <w:bCs/>
        </w:rPr>
        <w:t>: Description of the short video clips, demonstrating various functions performed by SARs, which were used in the video shown to participants in the study</w:t>
      </w:r>
    </w:p>
    <w:tbl>
      <w:tblPr>
        <w:tblStyle w:val="TableGrid"/>
        <w:tblpPr w:leftFromText="180" w:rightFromText="180" w:vertAnchor="text" w:horzAnchor="margin" w:tblpXSpec="center" w:tblpY="204"/>
        <w:tblW w:w="0" w:type="auto"/>
        <w:tblInd w:w="0" w:type="dxa"/>
        <w:tblLook w:val="04A0" w:firstRow="1" w:lastRow="0" w:firstColumn="1" w:lastColumn="0" w:noHBand="0" w:noVBand="1"/>
      </w:tblPr>
      <w:tblGrid>
        <w:gridCol w:w="8296"/>
      </w:tblGrid>
      <w:tr w:rsidR="003B273A" w:rsidRPr="00FC2DEC" w14:paraId="6FDD418A" w14:textId="77777777" w:rsidTr="00FA1E2B">
        <w:tc>
          <w:tcPr>
            <w:tcW w:w="8296" w:type="dxa"/>
          </w:tcPr>
          <w:p w14:paraId="43034790" w14:textId="105DABB9" w:rsidR="003B273A" w:rsidRPr="00FC2DEC" w:rsidRDefault="003B273A" w:rsidP="00FA1E2B">
            <w:pPr>
              <w:bidi w:val="0"/>
              <w:spacing w:line="360" w:lineRule="auto"/>
              <w:rPr>
                <w:rFonts w:asciiTheme="majorBidi" w:hAnsiTheme="majorBidi" w:cstheme="majorBidi"/>
                <w:color w:val="323232"/>
              </w:rPr>
            </w:pPr>
            <w:r w:rsidRPr="00FC2DEC">
              <w:rPr>
                <w:rFonts w:asciiTheme="majorBidi" w:hAnsiTheme="majorBidi" w:cstheme="majorBidi"/>
              </w:rPr>
              <w:t xml:space="preserve">1. "ELLIQ": A SAR that acts as a personal assistant and notifies the user about a new text message </w:t>
            </w:r>
            <w:r w:rsidRPr="00FC2DEC">
              <w:rPr>
                <w:rFonts w:asciiTheme="majorBidi" w:hAnsiTheme="majorBidi" w:cstheme="majorBidi"/>
                <w:color w:val="323232"/>
              </w:rPr>
              <w:fldChar w:fldCharType="begin"/>
            </w:r>
            <w:r w:rsidR="006B7331">
              <w:rPr>
                <w:rFonts w:asciiTheme="majorBidi" w:hAnsiTheme="majorBidi" w:cstheme="majorBidi"/>
                <w:color w:val="323232"/>
              </w:rPr>
              <w:instrText xml:space="preserve"> ADDIN ZOTERO_ITEM CSL_CITATION {"citationID":"KdlUkqDI","properties":{"formattedCitation":"({\\i{}Elliq.Com}, n.d.)","plainCitation":"(Elliq.Com, n.d.)","noteIndex":0},"citationItems":[{"id":"gr4NIhwO/odKyYwYY","uris":["http://zotero.org/users/local/Zc5jBSmF/items/YMDNNYZC"],"itemData":{"id":189,"type":"webpage","title":"elliq.com","URL":"https://elliq.com/"}}],"schema":"https://github.com/citation-style-language/schema/raw/master/csl-citation.json"} </w:instrText>
            </w:r>
            <w:r w:rsidRPr="00FC2DEC">
              <w:rPr>
                <w:rFonts w:asciiTheme="majorBidi" w:hAnsiTheme="majorBidi" w:cstheme="majorBidi"/>
                <w:color w:val="323232"/>
              </w:rPr>
              <w:fldChar w:fldCharType="separate"/>
            </w:r>
            <w:r w:rsidR="00942C40" w:rsidRPr="00942C40">
              <w:t>(</w:t>
            </w:r>
            <w:r w:rsidR="00942C40" w:rsidRPr="00942C40">
              <w:rPr>
                <w:i/>
                <w:iCs/>
              </w:rPr>
              <w:t>Elliq.Com</w:t>
            </w:r>
            <w:r w:rsidR="00942C40" w:rsidRPr="00942C40">
              <w:t>, n.d.)</w:t>
            </w:r>
            <w:r w:rsidRPr="00FC2DEC">
              <w:rPr>
                <w:rFonts w:asciiTheme="majorBidi" w:hAnsiTheme="majorBidi" w:cstheme="majorBidi"/>
                <w:color w:val="323232"/>
              </w:rPr>
              <w:fldChar w:fldCharType="end"/>
            </w:r>
          </w:p>
        </w:tc>
      </w:tr>
      <w:tr w:rsidR="003B273A" w:rsidRPr="00FC2DEC" w14:paraId="239F8B67" w14:textId="77777777" w:rsidTr="00FA1E2B">
        <w:tc>
          <w:tcPr>
            <w:tcW w:w="8296" w:type="dxa"/>
          </w:tcPr>
          <w:p w14:paraId="1628505C" w14:textId="49B0D8CC" w:rsidR="003B273A" w:rsidRPr="00FC2DEC" w:rsidRDefault="003B273A" w:rsidP="00FA1E2B">
            <w:pPr>
              <w:bidi w:val="0"/>
              <w:spacing w:after="120" w:line="360" w:lineRule="auto"/>
              <w:rPr>
                <w:rFonts w:asciiTheme="majorBidi" w:hAnsiTheme="majorBidi" w:cstheme="majorBidi"/>
              </w:rPr>
            </w:pPr>
            <w:r w:rsidRPr="00FC2DEC">
              <w:rPr>
                <w:rFonts w:asciiTheme="majorBidi" w:hAnsiTheme="majorBidi" w:cstheme="majorBidi"/>
              </w:rPr>
              <w:t xml:space="preserve">2. "HARI": A SAR brings the user his medications and reminds him to take them </w:t>
            </w:r>
            <w:r w:rsidRPr="00FC2DEC">
              <w:rPr>
                <w:rFonts w:asciiTheme="majorBidi" w:hAnsiTheme="majorBidi" w:cstheme="majorBidi"/>
              </w:rPr>
              <w:fldChar w:fldCharType="begin"/>
            </w:r>
            <w:r w:rsidR="006B7331">
              <w:rPr>
                <w:rFonts w:asciiTheme="majorBidi" w:hAnsiTheme="majorBidi" w:cstheme="majorBidi"/>
              </w:rPr>
              <w:instrText xml:space="preserve"> ADDIN ZOTERO_ITEM CSL_CITATION {"citationID":"TKzKTbCP","properties":{"formattedCitation":"({\\i{}The Associate Laboratory of Robotics and Engineering System, Tecnic Lisboa}, n.d.)","plainCitation":"(The Associate Laboratory of Robotics and Engineering System, Tecnic Lisboa, n.d.)","noteIndex":0},"citationItems":[{"id":"gr4NIhwO/gqZmfCys","uris":["http://zotero.org/users/local/Zc5jBSmF/items/R373JUPV"],"itemData":{"id":190,"type":"webpage","title":"The Associate Laboratory of Robotics and Engineering System, Tecnic Lisboa"}}],"schema":"https://github.com/citation-style-language/schema/raw/master/csl-citation.json"} </w:instrText>
            </w:r>
            <w:r w:rsidRPr="00FC2DEC">
              <w:rPr>
                <w:rFonts w:asciiTheme="majorBidi" w:hAnsiTheme="majorBidi" w:cstheme="majorBidi"/>
              </w:rPr>
              <w:fldChar w:fldCharType="separate"/>
            </w:r>
            <w:r w:rsidR="00942C40" w:rsidRPr="00942C40">
              <w:t>(</w:t>
            </w:r>
            <w:r w:rsidR="00942C40" w:rsidRPr="00942C40">
              <w:rPr>
                <w:i/>
                <w:iCs/>
              </w:rPr>
              <w:t>The Associate Laboratory of Robotics and Engineering System, Tecnic Lisboa</w:t>
            </w:r>
            <w:r w:rsidR="00942C40" w:rsidRPr="00942C40">
              <w:t>, n.d.)</w:t>
            </w:r>
            <w:r w:rsidRPr="00FC2DEC">
              <w:rPr>
                <w:rFonts w:asciiTheme="majorBidi" w:hAnsiTheme="majorBidi" w:cstheme="majorBidi"/>
              </w:rPr>
              <w:fldChar w:fldCharType="end"/>
            </w:r>
            <w:r w:rsidRPr="00FC2DEC">
              <w:rPr>
                <w:rFonts w:asciiTheme="majorBidi" w:hAnsiTheme="majorBidi" w:cstheme="majorBidi"/>
              </w:rPr>
              <w:t xml:space="preserve"> </w:t>
            </w:r>
          </w:p>
        </w:tc>
      </w:tr>
      <w:tr w:rsidR="003B273A" w:rsidRPr="00FC2DEC" w14:paraId="1939B5A6" w14:textId="77777777" w:rsidTr="00FA1E2B">
        <w:tc>
          <w:tcPr>
            <w:tcW w:w="8296" w:type="dxa"/>
          </w:tcPr>
          <w:p w14:paraId="3AB3A7D0" w14:textId="1253D770" w:rsidR="003B273A" w:rsidRPr="00FC2DEC" w:rsidRDefault="003B273A" w:rsidP="00942C40">
            <w:pPr>
              <w:bidi w:val="0"/>
              <w:spacing w:after="120" w:line="360" w:lineRule="auto"/>
              <w:rPr>
                <w:rFonts w:asciiTheme="majorBidi" w:hAnsiTheme="majorBidi" w:cstheme="majorBidi"/>
                <w:b/>
                <w:bCs/>
              </w:rPr>
            </w:pPr>
            <w:r w:rsidRPr="00FC2DEC">
              <w:rPr>
                <w:rFonts w:asciiTheme="majorBidi" w:hAnsiTheme="majorBidi" w:cstheme="majorBidi"/>
              </w:rPr>
              <w:t>3. "JESSIE": A SAR that interacts with the user using a touch screen, asks the user mathematical questions</w:t>
            </w:r>
            <w:r>
              <w:rPr>
                <w:rFonts w:asciiTheme="majorBidi" w:hAnsiTheme="majorBidi" w:cstheme="majorBidi"/>
              </w:rPr>
              <w:t>,</w:t>
            </w:r>
            <w:r w:rsidRPr="00FC2DEC">
              <w:rPr>
                <w:rFonts w:asciiTheme="majorBidi" w:hAnsiTheme="majorBidi" w:cstheme="majorBidi"/>
              </w:rPr>
              <w:t xml:space="preserve"> and the user types the answer on the screen </w:t>
            </w:r>
            <w:r w:rsidRPr="00FC2DEC">
              <w:rPr>
                <w:rFonts w:asciiTheme="majorBidi" w:hAnsiTheme="majorBidi" w:cstheme="majorBidi"/>
              </w:rPr>
              <w:fldChar w:fldCharType="begin"/>
            </w:r>
            <w:r w:rsidR="006B7331">
              <w:rPr>
                <w:rFonts w:asciiTheme="majorBidi" w:hAnsiTheme="majorBidi" w:cstheme="majorBidi"/>
              </w:rPr>
              <w:instrText xml:space="preserve"> ADDIN ZOTERO_ITEM CSL_CITATION {"citationID":"HCRhlldS","properties":{"formattedCitation":"(Kubota et al., 2020)","plainCitation":"(Kubota et al., 2020)","noteIndex":0},"citationItems":[{"id":"gr4NIhwO/861Y53cG","uris":["http://zotero.org/users/local/Zc5jBSmF/items/BVHHGW53"],"itemData":{"id":171,"type":"paper-conference","abstract":"JESSIE is a robotic system that enables novice programmers to program social robots by expressing high-level specifications. We employ control synthesis with a tangible front-end to allow users to define complex behavior for which we automatically generate control code. We demonstrate JESSIE in the context of enabling clinicians to create personalized treatments for people with mild cognitive impairment (MCI) on a Kuri robot, in little time and without error. We evaluated JESSIE with neuropsychologists who reported high usability and learnability. They gave suggestions for improvement, including increased support for personalization, multi-party programming, collaborative goal setting, and re-tasking robot role post-deployment, which each raise technical and sociotechnical issues in HRI. We exhibit JESSIE’s reproducibility by replicating a clinician-created program on a TurtleBot 2. As an open-source means of accessing control synthesis, JESSIE supports reproducibility, scalability, and accessibility of personalized robots for HRI.","container-title":"Proceedings of the 2020 ACM/IEEE International Conference on Human-Robot Interaction","DOI":"10.1145/3319502.3374836","event":"HRI '20: ACM/IEEE International Conference on Human-Robot Interaction","event-place":"Cambridge United Kingdom","ISBN":"978-1-4503-6746-2","language":"en","page":"121-130","publisher":"ACM","publisher-place":"Cambridge United Kingdom","source":"DOI.org (Crossref)","title":"JESSIE: Synthesizing Social Robot Behaviors for Personalized Neurorehabilitation and Beyond","title-short":"JESSIE","URL":"https://dl.acm.org/doi/10.1145/3319502.3374836","author":[{"family":"Kubota","given":"Alyssa"},{"family":"Peterson","given":"Emma I. C."},{"family":"Rajendren","given":"Vaishali"},{"family":"Kress-Gazit","given":"Hadas"},{"family":"Riek","given":"Laurel D."}],"accessed":{"date-parts":[["2021",3,31]]},"issued":{"date-parts":[["2020",3,9]]}}}],"schema":"https://github.com/citation-style-language/schema/raw/master/csl-citation.json"} </w:instrText>
            </w:r>
            <w:r w:rsidRPr="00FC2DEC">
              <w:rPr>
                <w:rFonts w:asciiTheme="majorBidi" w:hAnsiTheme="majorBidi" w:cstheme="majorBidi"/>
              </w:rPr>
              <w:fldChar w:fldCharType="separate"/>
            </w:r>
            <w:r w:rsidR="00942C40" w:rsidRPr="00942C40">
              <w:t>(Kubota et al., 2020)</w:t>
            </w:r>
            <w:r w:rsidRPr="00FC2DEC">
              <w:rPr>
                <w:rFonts w:asciiTheme="majorBidi" w:hAnsiTheme="majorBidi" w:cstheme="majorBidi"/>
              </w:rPr>
              <w:fldChar w:fldCharType="end"/>
            </w:r>
          </w:p>
        </w:tc>
      </w:tr>
      <w:tr w:rsidR="003B273A" w:rsidRPr="00FC2DEC" w14:paraId="02760D18" w14:textId="77777777" w:rsidTr="00FA1E2B">
        <w:tc>
          <w:tcPr>
            <w:tcW w:w="8296" w:type="dxa"/>
          </w:tcPr>
          <w:p w14:paraId="55FA6809" w14:textId="63EBD3FF" w:rsidR="003B273A" w:rsidRPr="00FC2DEC" w:rsidRDefault="003B273A" w:rsidP="00942C40">
            <w:pPr>
              <w:bidi w:val="0"/>
              <w:spacing w:after="120" w:line="360" w:lineRule="auto"/>
              <w:rPr>
                <w:rFonts w:asciiTheme="majorBidi" w:hAnsiTheme="majorBidi" w:cstheme="majorBidi"/>
                <w:b/>
                <w:bCs/>
                <w:rtl/>
              </w:rPr>
            </w:pPr>
            <w:r w:rsidRPr="00FC2DEC">
              <w:rPr>
                <w:rFonts w:asciiTheme="majorBidi" w:hAnsiTheme="majorBidi" w:cstheme="majorBidi"/>
              </w:rPr>
              <w:t>4. "PARO": A SAR designed as a baby seal</w:t>
            </w:r>
            <w:r>
              <w:t xml:space="preserve"> </w:t>
            </w:r>
            <w:r w:rsidRPr="00867A9C">
              <w:rPr>
                <w:rFonts w:asciiTheme="majorBidi" w:hAnsiTheme="majorBidi" w:cstheme="majorBidi"/>
              </w:rPr>
              <w:t xml:space="preserve">that </w:t>
            </w:r>
            <w:r w:rsidRPr="00FC2DEC">
              <w:rPr>
                <w:rFonts w:asciiTheme="majorBidi" w:hAnsiTheme="majorBidi" w:cstheme="majorBidi"/>
              </w:rPr>
              <w:t xml:space="preserve">interacts with the user through movements and sounds to decrease pain and anxiety. The video shows the user cuddling the SAR </w:t>
            </w:r>
            <w:r w:rsidRPr="00FC2DEC">
              <w:rPr>
                <w:rFonts w:asciiTheme="majorBidi" w:hAnsiTheme="majorBidi" w:cstheme="majorBidi"/>
                <w:rtl/>
              </w:rPr>
              <w:fldChar w:fldCharType="begin"/>
            </w:r>
            <w:r w:rsidR="006B7331">
              <w:rPr>
                <w:rFonts w:asciiTheme="majorBidi" w:hAnsiTheme="majorBidi" w:cstheme="majorBidi"/>
                <w:rtl/>
              </w:rPr>
              <w:instrText xml:space="preserve"> </w:instrText>
            </w:r>
            <w:r w:rsidR="006B7331">
              <w:rPr>
                <w:rFonts w:asciiTheme="majorBidi" w:hAnsiTheme="majorBidi" w:cstheme="majorBidi"/>
              </w:rPr>
              <w:instrText>ADDIN ZOTERO_ITEM CSL_CITATION {"citationID":"Dj8AOb7E","properties":{"formattedCitation":"(Geva et al., 2020b)","plainCitation":"(Geva et al., 2020b)","noteIndex":0},"citationItems":[{"id":"gr4NIhwO/PX5YkbHZ","uris":["http://zotero.org/users/local/Zc5jBSmF/items/CULUJVTA"],"itemData":{"id":169,"type":"article-journal","container-title":"Scientific Reports","DOI":"10.1038/s41598-020-66982-y","ISSN":"2045-2322","issue":"1","journalAbbreviation":"Sci Rep","language":"en","page":"9814","source":"DOI.org (Crossref)","title":"Touching the social robot PARO reduces pain perception and salivary oxytocin levels","volume":"10","author":[{"family":"Geva","given":"Nirit"},{"family":"Uzefovsky","given":"Florina"},{"family":"Levy-Tzedek","given":"Shelly"}],"issued</w:instrText>
            </w:r>
            <w:r w:rsidR="006B7331">
              <w:rPr>
                <w:rFonts w:asciiTheme="majorBidi" w:hAnsiTheme="majorBidi" w:cstheme="majorBidi"/>
                <w:rtl/>
              </w:rPr>
              <w:instrText>":{"</w:instrText>
            </w:r>
            <w:r w:rsidR="006B7331">
              <w:rPr>
                <w:rFonts w:asciiTheme="majorBidi" w:hAnsiTheme="majorBidi" w:cstheme="majorBidi"/>
              </w:rPr>
              <w:instrText>date-parts</w:instrText>
            </w:r>
            <w:r w:rsidR="006B7331">
              <w:rPr>
                <w:rFonts w:asciiTheme="majorBidi" w:hAnsiTheme="majorBidi" w:cstheme="majorBidi"/>
                <w:rtl/>
              </w:rPr>
              <w:instrText>":[["2020",12]]}}}],"</w:instrText>
            </w:r>
            <w:r w:rsidR="006B7331">
              <w:rPr>
                <w:rFonts w:asciiTheme="majorBidi" w:hAnsiTheme="majorBidi" w:cstheme="majorBidi"/>
              </w:rPr>
              <w:instrText>schema":"https://github.com/citation-style-language/schema/raw/master/csl-citation.json</w:instrText>
            </w:r>
            <w:r w:rsidR="006B7331">
              <w:rPr>
                <w:rFonts w:asciiTheme="majorBidi" w:hAnsiTheme="majorBidi" w:cstheme="majorBidi"/>
                <w:rtl/>
              </w:rPr>
              <w:instrText xml:space="preserve">"} </w:instrText>
            </w:r>
            <w:r w:rsidRPr="00FC2DEC">
              <w:rPr>
                <w:rFonts w:asciiTheme="majorBidi" w:hAnsiTheme="majorBidi" w:cstheme="majorBidi"/>
                <w:rtl/>
              </w:rPr>
              <w:fldChar w:fldCharType="separate"/>
            </w:r>
            <w:r w:rsidR="00942C40" w:rsidRPr="00942C40">
              <w:t>(Geva et al., 2020b)</w:t>
            </w:r>
            <w:r w:rsidRPr="00FC2DEC">
              <w:rPr>
                <w:rFonts w:asciiTheme="majorBidi" w:hAnsiTheme="majorBidi" w:cstheme="majorBidi"/>
                <w:rtl/>
              </w:rPr>
              <w:fldChar w:fldCharType="end"/>
            </w:r>
            <w:r w:rsidRPr="00FC2DEC">
              <w:rPr>
                <w:rFonts w:asciiTheme="majorBidi" w:hAnsiTheme="majorBidi" w:cstheme="majorBidi"/>
                <w:rtl/>
              </w:rPr>
              <w:t xml:space="preserve"> </w:t>
            </w:r>
          </w:p>
        </w:tc>
      </w:tr>
      <w:tr w:rsidR="003B273A" w:rsidRPr="00FC2DEC" w14:paraId="26C1A79F" w14:textId="77777777" w:rsidTr="00FA1E2B">
        <w:tc>
          <w:tcPr>
            <w:tcW w:w="8296" w:type="dxa"/>
          </w:tcPr>
          <w:p w14:paraId="05E113CF" w14:textId="0E18E017" w:rsidR="003B273A" w:rsidRPr="00FC2DEC" w:rsidRDefault="003B273A" w:rsidP="00942C40">
            <w:pPr>
              <w:bidi w:val="0"/>
              <w:spacing w:after="120" w:line="360" w:lineRule="auto"/>
              <w:rPr>
                <w:rFonts w:asciiTheme="majorBidi" w:hAnsiTheme="majorBidi" w:cstheme="majorBidi"/>
                <w:rtl/>
              </w:rPr>
            </w:pPr>
            <w:r w:rsidRPr="00FC2DEC">
              <w:rPr>
                <w:rFonts w:asciiTheme="majorBidi" w:hAnsiTheme="majorBidi" w:cstheme="majorBidi"/>
              </w:rPr>
              <w:t xml:space="preserve">5. "NAO": A SAR that demonstrates a physical exercise and encourages the user during practice </w:t>
            </w:r>
            <w:r w:rsidRPr="00FC2DEC">
              <w:rPr>
                <w:rFonts w:asciiTheme="majorBidi" w:hAnsiTheme="majorBidi" w:cstheme="majorBidi"/>
                <w:rtl/>
              </w:rPr>
              <w:fldChar w:fldCharType="begin"/>
            </w:r>
            <w:r w:rsidR="006B7331">
              <w:rPr>
                <w:rFonts w:asciiTheme="majorBidi" w:hAnsiTheme="majorBidi" w:cstheme="majorBidi"/>
                <w:rtl/>
              </w:rPr>
              <w:instrText xml:space="preserve"> </w:instrText>
            </w:r>
            <w:r w:rsidR="006B7331">
              <w:rPr>
                <w:rFonts w:asciiTheme="majorBidi" w:hAnsiTheme="majorBidi" w:cstheme="majorBidi"/>
              </w:rPr>
              <w:instrText>ADDIN ZOTERO_ITEM CSL_CITATION {"citationID":"Xusp1ft3","properties":{"formattedCitation":"(Assad-Uz-Zaman et al., 2019)","plainCitation":"(Assad-Uz-Zaman et al., 2019)","noteIndex":0},"citationItems":[{"id":"gr4NIhwO/TJnDiHCF","uris":["http://zotero.org</w:instrText>
            </w:r>
            <w:r w:rsidR="006B7331">
              <w:rPr>
                <w:rFonts w:asciiTheme="majorBidi" w:hAnsiTheme="majorBidi" w:cstheme="majorBidi"/>
                <w:rtl/>
              </w:rPr>
              <w:instrText>/</w:instrText>
            </w:r>
            <w:r w:rsidR="006B7331">
              <w:rPr>
                <w:rFonts w:asciiTheme="majorBidi" w:hAnsiTheme="majorBidi" w:cstheme="majorBidi"/>
              </w:rPr>
              <w:instrText>users/local/Zc5jBSmF/items/HWVLB4PW"],"itemData":{"id":174,"type":"article-journal","abstract":"Introduction: The aim of this research is to develop a robot-assistive training approach for the disabled individuals with impaired upper limb functions. People with impaired upper limb function can regain their motor functionality undergoing intense rehabilitation exercises. With increasing number of disabled individuals, we face deficiency in the number of expert therapists. One promising remedy could be the</w:instrText>
            </w:r>
            <w:r w:rsidR="006B7331">
              <w:rPr>
                <w:rFonts w:asciiTheme="majorBidi" w:hAnsiTheme="majorBidi" w:cstheme="majorBidi"/>
                <w:rtl/>
              </w:rPr>
              <w:instrText xml:space="preserve"> </w:instrText>
            </w:r>
            <w:r w:rsidR="006B7331">
              <w:rPr>
                <w:rFonts w:asciiTheme="majorBidi" w:hAnsiTheme="majorBidi" w:cstheme="majorBidi"/>
              </w:rPr>
              <w:instrText>use of robotic assistive devices.\nMethod: To instruct and demonstrate rehabilitation exercise, this research used NAO robot. A library of recommended rehabilitation exercises involving shoulder (i.e., abduction/adduction, vertical flexion/extension, and</w:instrText>
            </w:r>
            <w:r w:rsidR="006B7331">
              <w:rPr>
                <w:rFonts w:asciiTheme="majorBidi" w:hAnsiTheme="majorBidi" w:cstheme="majorBidi"/>
                <w:rtl/>
              </w:rPr>
              <w:instrText xml:space="preserve"> </w:instrText>
            </w:r>
            <w:r w:rsidR="006B7331">
              <w:rPr>
                <w:rFonts w:asciiTheme="majorBidi" w:hAnsiTheme="majorBidi" w:cstheme="majorBidi"/>
              </w:rPr>
              <w:instrText>internal/external rotation), and elbow (i.e., flexion/extension) joint movements was formed in Choregraphe (graphical programming interface). For this purpose, a kinematic model of human upper-extremity was developed based on modified DenavitHartenberg notations.\nResult: In experiments, NAO robot gave voice instruction and was maneuvered to cooperate and demonstrate the exercises from the library. NAO also plays some complex game with the subject that represents a multi-joint movement’s exercise, which</w:instrText>
            </w:r>
            <w:r w:rsidR="006B7331">
              <w:rPr>
                <w:rFonts w:asciiTheme="majorBidi" w:hAnsiTheme="majorBidi" w:cstheme="majorBidi"/>
                <w:rtl/>
              </w:rPr>
              <w:instrText xml:space="preserve"> </w:instrText>
            </w:r>
            <w:r w:rsidR="006B7331">
              <w:rPr>
                <w:rFonts w:asciiTheme="majorBidi" w:hAnsiTheme="majorBidi" w:cstheme="majorBidi"/>
              </w:rPr>
              <w:instrText>was also included in the library.\nConclusions: Experimental results with healthy participants reveal that the NAO robot can successfully instruct and demonstrate upper-extremity rehabilitation exercises for single and multi-joint movements. It implies a</w:instrText>
            </w:r>
            <w:r w:rsidR="006B7331">
              <w:rPr>
                <w:rFonts w:asciiTheme="majorBidi" w:hAnsiTheme="majorBidi" w:cstheme="majorBidi"/>
                <w:rtl/>
              </w:rPr>
              <w:instrText xml:space="preserve"> </w:instrText>
            </w:r>
            <w:r w:rsidR="006B7331">
              <w:rPr>
                <w:rFonts w:asciiTheme="majorBidi" w:hAnsiTheme="majorBidi" w:cstheme="majorBidi"/>
              </w:rPr>
              <w:instrText>technical development of cooperative rehabilitation system for which target group will be individuals with upper limb impairment.","container-title":"Journal of Rehabilitation and Assistive Technologies Engineering","DOI":"10.1177/2055668319862151","ISSN</w:instrText>
            </w:r>
            <w:r w:rsidR="006B7331">
              <w:rPr>
                <w:rFonts w:asciiTheme="majorBidi" w:hAnsiTheme="majorBidi" w:cstheme="majorBidi"/>
                <w:rtl/>
              </w:rPr>
              <w:instrText>":"2055-6683, 2055-6683","</w:instrText>
            </w:r>
            <w:r w:rsidR="006B7331">
              <w:rPr>
                <w:rFonts w:asciiTheme="majorBidi" w:hAnsiTheme="majorBidi" w:cstheme="majorBidi"/>
              </w:rPr>
              <w:instrText>journalAbbreviation":"Journal of Rehabilitation and Assistive Technologies Engineering","language":"en","page":"205566831986215","source":"DOI.org (Crossref)","title":"NAO robot for cooperative rehabilitation training","volume":"6</w:instrText>
            </w:r>
            <w:r w:rsidR="006B7331">
              <w:rPr>
                <w:rFonts w:asciiTheme="majorBidi" w:hAnsiTheme="majorBidi" w:cstheme="majorBidi"/>
                <w:rtl/>
              </w:rPr>
              <w:instrText>","</w:instrText>
            </w:r>
            <w:r w:rsidR="006B7331">
              <w:rPr>
                <w:rFonts w:asciiTheme="majorBidi" w:hAnsiTheme="majorBidi" w:cstheme="majorBidi"/>
              </w:rPr>
              <w:instrText>author":[{"family":"Assad-Uz-Zaman","given":"Md"},{"family":"Rasedul Islam","given":"Md"},{"family":"Miah","given":"Suruz"},{"family":"Rahman","given":"Mohammad H"}],"issued":{"date-parts</w:instrText>
            </w:r>
            <w:r w:rsidR="006B7331">
              <w:rPr>
                <w:rFonts w:asciiTheme="majorBidi" w:hAnsiTheme="majorBidi" w:cstheme="majorBidi"/>
                <w:rtl/>
              </w:rPr>
              <w:instrText>":[["2019",1]]</w:instrText>
            </w:r>
            <w:r w:rsidR="006B7331">
              <w:rPr>
                <w:rFonts w:asciiTheme="majorBidi" w:hAnsiTheme="majorBidi" w:cstheme="majorBidi"/>
              </w:rPr>
              <w:instrText>}}}],"schema":"https://github.com/citation-style-language/schema/raw/master/csl-citation.json</w:instrText>
            </w:r>
            <w:r w:rsidR="006B7331">
              <w:rPr>
                <w:rFonts w:asciiTheme="majorBidi" w:hAnsiTheme="majorBidi" w:cstheme="majorBidi"/>
                <w:rtl/>
              </w:rPr>
              <w:instrText xml:space="preserve">"} </w:instrText>
            </w:r>
            <w:r w:rsidRPr="00FC2DEC">
              <w:rPr>
                <w:rFonts w:asciiTheme="majorBidi" w:hAnsiTheme="majorBidi" w:cstheme="majorBidi"/>
                <w:rtl/>
              </w:rPr>
              <w:fldChar w:fldCharType="separate"/>
            </w:r>
            <w:r w:rsidR="00942C40" w:rsidRPr="00942C40">
              <w:t>(Assad-Uz-Zaman et al., 2019)</w:t>
            </w:r>
            <w:r w:rsidRPr="00FC2DEC">
              <w:rPr>
                <w:rFonts w:asciiTheme="majorBidi" w:hAnsiTheme="majorBidi" w:cstheme="majorBidi"/>
                <w:rtl/>
              </w:rPr>
              <w:fldChar w:fldCharType="end"/>
            </w:r>
            <w:r w:rsidRPr="00FC2DEC">
              <w:rPr>
                <w:rFonts w:asciiTheme="majorBidi" w:hAnsiTheme="majorBidi" w:cstheme="majorBidi"/>
                <w:rtl/>
              </w:rPr>
              <w:t xml:space="preserve"> </w:t>
            </w:r>
          </w:p>
        </w:tc>
      </w:tr>
      <w:tr w:rsidR="003B273A" w:rsidRPr="00FC2DEC" w14:paraId="666A9970" w14:textId="77777777" w:rsidTr="00FA1E2B">
        <w:tc>
          <w:tcPr>
            <w:tcW w:w="8296" w:type="dxa"/>
          </w:tcPr>
          <w:p w14:paraId="6E484ACD" w14:textId="64E057DD" w:rsidR="003B273A" w:rsidRPr="00FC2DEC" w:rsidRDefault="003B273A" w:rsidP="00942C40">
            <w:pPr>
              <w:bidi w:val="0"/>
              <w:spacing w:after="120" w:line="360" w:lineRule="auto"/>
              <w:rPr>
                <w:rFonts w:asciiTheme="majorBidi" w:hAnsiTheme="majorBidi" w:cstheme="majorBidi"/>
              </w:rPr>
            </w:pPr>
            <w:r w:rsidRPr="00FC2DEC">
              <w:rPr>
                <w:rFonts w:asciiTheme="majorBidi" w:hAnsiTheme="majorBidi" w:cstheme="majorBidi"/>
              </w:rPr>
              <w:t xml:space="preserve">6. "MICO": A SAR that plays Tic-Tac-Toe with the user </w:t>
            </w:r>
            <w:r w:rsidRPr="00FC2DEC">
              <w:rPr>
                <w:rFonts w:asciiTheme="majorBidi" w:hAnsiTheme="majorBidi" w:cstheme="majorBidi"/>
              </w:rPr>
              <w:fldChar w:fldCharType="begin"/>
            </w:r>
            <w:r w:rsidR="006B7331">
              <w:rPr>
                <w:rFonts w:asciiTheme="majorBidi" w:hAnsiTheme="majorBidi" w:cstheme="majorBidi"/>
              </w:rPr>
              <w:instrText xml:space="preserve"> ADDIN ZOTERO_ITEM CSL_CITATION {"citationID":"AZxSgp8g","properties":{"formattedCitation":"(Eizicovits et al., 2018)","plainCitation":"(Eizicovits et al., 2018)","noteIndex":0},"citationItems":[{"id":"gr4NIhwO/cGnyIqwQ","uris":["http://zotero.org/users/local/Zc5jBSmF/items/6LQA4DB7"],"itemData":{"id":168,"type":"article-journal","abstract":"Background: Effective human-robot interactions in rehabilitation necessitates an understanding of how these should be tailored to the needs of the human. We report on a robotic system developed as a partner on a 3-D everyday task, using a gamiﬁed approach.\nObjectives: To: (1) design and test a prototype system, to be ultimately used for upper-limb rehabilitation; (2) evaluate how age affects the response to such a robotic system; and (3) identify whether the robot’s physical embodiment is an important aspect in motivating users to complete a set of repetitive tasks.\nMethods: 62 healthy participants, young (&lt;30 yo) and old (&gt;60 yo), played a 3D tic-tac-toe game against an embodied (a robotic arm) and a non-embodied (a computer-controlled lighting system) partner. To win, participants had to place three cups in sequence on a physical 3D grid. Cup picking-and-placing was chosen as a functional task that is often practiced in post-stroke rehabilitation. Movement of the participants was recorded using a Kinect camera.\nResults: The timing of the participants’ movement was primed by the response time of the system: participants moved slower when playing with the slower embodied system (p = 0.006). The majority of participants preferred the robot over the computer-controlled system. Slower response time of the robot compared to the computer-controlled one only affected the young group’s motivation to continue playing.\nConclusion: We demonstrated the feasibility of the system to encourage the performance of repetitive 3D functional movements, and track these movements. Young and old participants preferred to interact with the robot, compared with the non-embodied system. We contribute to the growing knowledge concerning personalized human-robot interactions by (1) demonstrating the priming of the human movement by the robotic movement – an important design feature, and (2) identifying response-speed as a design variable, the importance of which depends on the age of the user.","container-title":"Restorative Neurology and Neuroscience","DOI":"10.3233/RNN-170802","ISSN":"09226028, 18783627","issue":"2","journalAbbreviation":"RNN","language":"en","page":"261-274","source":"DOI.org (Crossref)","title":"Robotic gaming prototype for upper limb exercise: Effects of age and embodiment on user preferences and movement","title-short":"Robotic gaming prototype for upper limb exercise","volume":"36","author":[{"family":"Eizicovits","given":"Danny"},{"family":"Edan","given":"Yael"},{"family":"Tabak","given":"Iris"},{"family":"Levy-Tzedek","given":"Shelly"}],"issued":{"date-parts":[["2018",3,8]]}}}],"schema":"https://github.com/citation-style-language/schema/raw/master/csl-citation.json"} </w:instrText>
            </w:r>
            <w:r w:rsidRPr="00FC2DEC">
              <w:rPr>
                <w:rFonts w:asciiTheme="majorBidi" w:hAnsiTheme="majorBidi" w:cstheme="majorBidi"/>
              </w:rPr>
              <w:fldChar w:fldCharType="separate"/>
            </w:r>
            <w:r w:rsidR="00942C40" w:rsidRPr="00942C40">
              <w:t>(Eizicovits et al., 2018)</w:t>
            </w:r>
            <w:r w:rsidRPr="00FC2DEC">
              <w:rPr>
                <w:rFonts w:asciiTheme="majorBidi" w:hAnsiTheme="majorBidi" w:cstheme="majorBidi"/>
              </w:rPr>
              <w:fldChar w:fldCharType="end"/>
            </w:r>
          </w:p>
        </w:tc>
      </w:tr>
      <w:tr w:rsidR="003B273A" w:rsidRPr="00FC2DEC" w14:paraId="20473451" w14:textId="77777777" w:rsidTr="00FA1E2B">
        <w:tc>
          <w:tcPr>
            <w:tcW w:w="8296" w:type="dxa"/>
          </w:tcPr>
          <w:p w14:paraId="228D42C5" w14:textId="77777777" w:rsidR="003B273A" w:rsidRPr="00FC2DEC" w:rsidRDefault="003B273A" w:rsidP="00FA1E2B">
            <w:pPr>
              <w:bidi w:val="0"/>
              <w:spacing w:after="120" w:line="360" w:lineRule="auto"/>
              <w:rPr>
                <w:rFonts w:asciiTheme="majorBidi" w:hAnsiTheme="majorBidi" w:cstheme="majorBidi"/>
              </w:rPr>
            </w:pPr>
            <w:r w:rsidRPr="00FC2DEC">
              <w:rPr>
                <w:rFonts w:asciiTheme="majorBidi" w:hAnsiTheme="majorBidi" w:cstheme="majorBidi"/>
              </w:rPr>
              <w:t xml:space="preserve">7. "PEPPER": </w:t>
            </w:r>
            <w:r>
              <w:t xml:space="preserve"> </w:t>
            </w:r>
            <w:r w:rsidRPr="00867A9C">
              <w:rPr>
                <w:rFonts w:asciiTheme="majorBidi" w:hAnsiTheme="majorBidi" w:cstheme="majorBidi"/>
              </w:rPr>
              <w:t xml:space="preserve">A SAR instructs the user to perform an action that requires cognitive and motor skills and gives feedback on the performance. In the video, the user is requested to organize cups and keys by color and receives feedback from the robot (Feingold </w:t>
            </w:r>
            <w:proofErr w:type="spellStart"/>
            <w:r w:rsidRPr="00867A9C">
              <w:rPr>
                <w:rFonts w:asciiTheme="majorBidi" w:hAnsiTheme="majorBidi" w:cstheme="majorBidi"/>
              </w:rPr>
              <w:t>Polak</w:t>
            </w:r>
            <w:proofErr w:type="spellEnd"/>
            <w:r w:rsidRPr="00867A9C">
              <w:rPr>
                <w:rFonts w:asciiTheme="majorBidi" w:hAnsiTheme="majorBidi" w:cstheme="majorBidi"/>
              </w:rPr>
              <w:t xml:space="preserve"> &amp; Tzedek, 2020)</w:t>
            </w:r>
          </w:p>
        </w:tc>
      </w:tr>
    </w:tbl>
    <w:p w14:paraId="31E7A0A9" w14:textId="596EA6E8" w:rsidR="003B273A" w:rsidRDefault="003B273A" w:rsidP="003B273A">
      <w:pPr>
        <w:spacing w:line="360" w:lineRule="auto"/>
        <w:rPr>
          <w:i/>
          <w:iCs/>
        </w:rPr>
      </w:pPr>
      <w:bookmarkStart w:id="1" w:name="_Hlk103681396"/>
      <w:bookmarkEnd w:id="1"/>
    </w:p>
    <w:p w14:paraId="778D765F" w14:textId="73EF78E3" w:rsidR="006B7331" w:rsidRPr="006B7331" w:rsidRDefault="006B7331" w:rsidP="006B7331">
      <w:pPr>
        <w:pStyle w:val="ListParagraph"/>
        <w:widowControl w:val="0"/>
        <w:numPr>
          <w:ilvl w:val="0"/>
          <w:numId w:val="2"/>
        </w:numPr>
        <w:jc w:val="left"/>
        <w:rPr>
          <w:rFonts w:asciiTheme="majorBidi" w:eastAsiaTheme="majorEastAsia" w:hAnsiTheme="majorBidi" w:cstheme="majorBidi"/>
          <w:b/>
          <w:u w:val="single"/>
        </w:rPr>
      </w:pPr>
      <w:r w:rsidRPr="006B7331">
        <w:rPr>
          <w:rFonts w:asciiTheme="majorBidi" w:eastAsiaTheme="majorEastAsia" w:hAnsiTheme="majorBidi" w:cstheme="majorBidi"/>
          <w:b/>
          <w:u w:val="single"/>
        </w:rPr>
        <w:t>Results</w:t>
      </w:r>
    </w:p>
    <w:p w14:paraId="043DF969" w14:textId="77777777" w:rsidR="00C43B4F" w:rsidRPr="0086675F" w:rsidRDefault="00C43B4F" w:rsidP="00C43B4F">
      <w:pPr>
        <w:spacing w:line="360" w:lineRule="auto"/>
        <w:rPr>
          <w:rFonts w:asciiTheme="majorBidi" w:hAnsiTheme="majorBidi" w:cstheme="majorBidi"/>
          <w:b/>
          <w:bCs/>
          <w:u w:val="single"/>
          <w:rtl/>
        </w:rPr>
      </w:pPr>
      <w:r>
        <w:rPr>
          <w:rFonts w:asciiTheme="majorBidi" w:hAnsiTheme="majorBidi" w:cstheme="majorBidi"/>
          <w:b/>
          <w:bCs/>
          <w:u w:val="single"/>
        </w:rPr>
        <w:t xml:space="preserve">3.1 </w:t>
      </w:r>
      <w:r w:rsidRPr="0086675F">
        <w:rPr>
          <w:rFonts w:asciiTheme="majorBidi" w:hAnsiTheme="majorBidi" w:cstheme="majorBidi"/>
          <w:b/>
          <w:bCs/>
          <w:u w:val="single"/>
        </w:rPr>
        <w:t xml:space="preserve">Experiment 1 - </w:t>
      </w:r>
      <w:r w:rsidRPr="00826494">
        <w:rPr>
          <w:rFonts w:asciiTheme="majorBidi" w:hAnsiTheme="majorBidi" w:cstheme="majorBidi"/>
          <w:b/>
          <w:bCs/>
          <w:u w:val="single"/>
        </w:rPr>
        <w:t>Individuals with</w:t>
      </w:r>
      <w:r>
        <w:rPr>
          <w:rFonts w:asciiTheme="majorBidi" w:hAnsiTheme="majorBidi" w:cstheme="majorBidi"/>
          <w:b/>
          <w:bCs/>
          <w:u w:val="single"/>
        </w:rPr>
        <w:t xml:space="preserve"> PD</w:t>
      </w:r>
    </w:p>
    <w:p w14:paraId="5895F315" w14:textId="77777777" w:rsidR="00C43B4F" w:rsidRPr="007565A1" w:rsidRDefault="00C43B4F" w:rsidP="00C43B4F">
      <w:pPr>
        <w:spacing w:line="360" w:lineRule="auto"/>
        <w:rPr>
          <w:rFonts w:asciiTheme="majorBidi" w:hAnsiTheme="majorBidi" w:cstheme="majorBidi"/>
          <w:rtl/>
        </w:rPr>
      </w:pPr>
      <w:r>
        <w:rPr>
          <w:rFonts w:asciiTheme="majorBidi" w:hAnsiTheme="majorBidi" w:cstheme="majorBidi"/>
        </w:rPr>
        <w:t xml:space="preserve">A total of </w:t>
      </w:r>
      <w:r w:rsidRPr="00383B53">
        <w:rPr>
          <w:rFonts w:asciiTheme="majorBidi" w:hAnsiTheme="majorBidi" w:cstheme="majorBidi"/>
          <w:rtl/>
        </w:rPr>
        <w:t>24</w:t>
      </w:r>
      <w:r>
        <w:rPr>
          <w:rFonts w:asciiTheme="majorBidi" w:hAnsiTheme="majorBidi" w:cstheme="majorBidi"/>
        </w:rPr>
        <w:t xml:space="preserve"> individuals with PD (</w:t>
      </w:r>
      <w:r w:rsidRPr="00383B53">
        <w:rPr>
          <w:rFonts w:asciiTheme="majorBidi" w:hAnsiTheme="majorBidi" w:cstheme="majorBidi"/>
          <w:rtl/>
        </w:rPr>
        <w:t>15</w:t>
      </w:r>
      <w:r w:rsidRPr="00383B53">
        <w:rPr>
          <w:rFonts w:asciiTheme="majorBidi" w:hAnsiTheme="majorBidi" w:cstheme="majorBidi"/>
        </w:rPr>
        <w:t xml:space="preserve"> males, </w:t>
      </w:r>
      <w:r w:rsidRPr="00383B53">
        <w:rPr>
          <w:rFonts w:asciiTheme="majorBidi" w:hAnsiTheme="majorBidi" w:cstheme="majorBidi"/>
          <w:rtl/>
        </w:rPr>
        <w:t>9</w:t>
      </w:r>
      <w:r w:rsidRPr="00383B53">
        <w:rPr>
          <w:rFonts w:asciiTheme="majorBidi" w:hAnsiTheme="majorBidi" w:cstheme="majorBidi"/>
        </w:rPr>
        <w:t xml:space="preserve"> females; ages </w:t>
      </w:r>
      <w:r w:rsidRPr="00383B53">
        <w:rPr>
          <w:rFonts w:asciiTheme="majorBidi" w:hAnsiTheme="majorBidi" w:cstheme="majorBidi"/>
          <w:rtl/>
        </w:rPr>
        <w:t>59-84</w:t>
      </w:r>
      <w:r w:rsidRPr="00383B53">
        <w:rPr>
          <w:rFonts w:asciiTheme="majorBidi" w:hAnsiTheme="majorBidi" w:cstheme="majorBidi"/>
        </w:rPr>
        <w:t xml:space="preserve"> years; </w:t>
      </w:r>
      <w:r w:rsidRPr="00383B53">
        <w:rPr>
          <w:rFonts w:asciiTheme="majorBidi" w:hAnsiTheme="majorBidi" w:cstheme="majorBidi"/>
          <w:rtl/>
        </w:rPr>
        <w:t>71</w:t>
      </w:r>
      <w:r w:rsidRPr="00383B53">
        <w:rPr>
          <w:rFonts w:asciiTheme="majorBidi" w:hAnsiTheme="majorBidi" w:cstheme="majorBidi"/>
        </w:rPr>
        <w:t xml:space="preserve">± </w:t>
      </w:r>
      <w:r w:rsidRPr="00383B53">
        <w:rPr>
          <w:rFonts w:asciiTheme="majorBidi" w:hAnsiTheme="majorBidi" w:cstheme="majorBidi"/>
          <w:rtl/>
        </w:rPr>
        <w:t>6.8</w:t>
      </w:r>
      <w:r w:rsidRPr="00383B53">
        <w:rPr>
          <w:rFonts w:asciiTheme="majorBidi" w:hAnsiTheme="majorBidi" w:cstheme="majorBidi"/>
        </w:rPr>
        <w:t xml:space="preserve"> years [mean ± SD]) </w:t>
      </w:r>
      <w:r w:rsidRPr="00383B53">
        <w:rPr>
          <w:rFonts w:asciiTheme="majorBidi" w:hAnsiTheme="majorBidi" w:cstheme="majorBidi"/>
          <w:rtl/>
        </w:rPr>
        <w:t>1-25</w:t>
      </w:r>
      <w:r w:rsidRPr="00383B53">
        <w:rPr>
          <w:rFonts w:asciiTheme="majorBidi" w:hAnsiTheme="majorBidi" w:cstheme="majorBidi"/>
        </w:rPr>
        <w:t xml:space="preserve"> years since </w:t>
      </w:r>
      <w:r>
        <w:rPr>
          <w:rFonts w:asciiTheme="majorBidi" w:hAnsiTheme="majorBidi" w:cstheme="majorBidi"/>
        </w:rPr>
        <w:t>the</w:t>
      </w:r>
      <w:r w:rsidRPr="00383B53">
        <w:rPr>
          <w:rFonts w:asciiTheme="majorBidi" w:hAnsiTheme="majorBidi" w:cstheme="majorBidi"/>
        </w:rPr>
        <w:t xml:space="preserve"> diagnosis</w:t>
      </w:r>
      <w:r>
        <w:rPr>
          <w:rFonts w:asciiTheme="majorBidi" w:hAnsiTheme="majorBidi" w:cstheme="majorBidi"/>
        </w:rPr>
        <w:t xml:space="preserve"> (</w:t>
      </w:r>
      <w:r w:rsidRPr="00383B53">
        <w:rPr>
          <w:rFonts w:asciiTheme="majorBidi" w:hAnsiTheme="majorBidi" w:cstheme="majorBidi"/>
          <w:rtl/>
        </w:rPr>
        <w:t>10.3</w:t>
      </w:r>
      <w:r w:rsidRPr="00383B53">
        <w:rPr>
          <w:rFonts w:asciiTheme="majorBidi" w:hAnsiTheme="majorBidi" w:cstheme="majorBidi"/>
        </w:rPr>
        <w:t xml:space="preserve"> ± </w:t>
      </w:r>
      <w:r w:rsidRPr="00383B53">
        <w:rPr>
          <w:rFonts w:asciiTheme="majorBidi" w:hAnsiTheme="majorBidi" w:cstheme="majorBidi"/>
          <w:rtl/>
        </w:rPr>
        <w:t>6.6</w:t>
      </w:r>
      <w:r w:rsidRPr="00383B53">
        <w:rPr>
          <w:rFonts w:asciiTheme="majorBidi" w:hAnsiTheme="majorBidi" w:cstheme="majorBidi"/>
        </w:rPr>
        <w:t xml:space="preserve"> years</w:t>
      </w:r>
      <w:r>
        <w:rPr>
          <w:rFonts w:asciiTheme="majorBidi" w:hAnsiTheme="majorBidi" w:cstheme="majorBidi"/>
        </w:rPr>
        <w:t>) participated in Experiment 1</w:t>
      </w:r>
      <w:r w:rsidRPr="00383B53">
        <w:rPr>
          <w:rFonts w:asciiTheme="majorBidi" w:hAnsiTheme="majorBidi" w:cstheme="majorBidi"/>
        </w:rPr>
        <w:t xml:space="preserve">. </w:t>
      </w:r>
      <w:r>
        <w:rPr>
          <w:rFonts w:asciiTheme="majorBidi" w:hAnsiTheme="majorBidi" w:cstheme="majorBidi"/>
        </w:rPr>
        <w:t xml:space="preserve">Each took part in one of three focus-group meetings. </w:t>
      </w:r>
      <w:r w:rsidRPr="00383B53">
        <w:rPr>
          <w:rFonts w:asciiTheme="majorBidi" w:hAnsiTheme="majorBidi" w:cstheme="majorBidi"/>
        </w:rPr>
        <w:t xml:space="preserve">The first (N = </w:t>
      </w:r>
      <w:r w:rsidRPr="00383B53">
        <w:rPr>
          <w:rFonts w:asciiTheme="majorBidi" w:hAnsiTheme="majorBidi" w:cstheme="majorBidi"/>
          <w:rtl/>
        </w:rPr>
        <w:t>10</w:t>
      </w:r>
      <w:r w:rsidRPr="00383B53">
        <w:rPr>
          <w:rFonts w:asciiTheme="majorBidi" w:hAnsiTheme="majorBidi" w:cstheme="majorBidi"/>
        </w:rPr>
        <w:t xml:space="preserve">) and the second (N = </w:t>
      </w:r>
      <w:r w:rsidRPr="00383B53">
        <w:rPr>
          <w:rFonts w:asciiTheme="majorBidi" w:hAnsiTheme="majorBidi" w:cstheme="majorBidi"/>
          <w:rtl/>
        </w:rPr>
        <w:t>8</w:t>
      </w:r>
      <w:r w:rsidRPr="00383B53">
        <w:rPr>
          <w:rFonts w:asciiTheme="majorBidi" w:hAnsiTheme="majorBidi" w:cstheme="majorBidi"/>
        </w:rPr>
        <w:t>)</w:t>
      </w:r>
      <w:r>
        <w:rPr>
          <w:rFonts w:asciiTheme="majorBidi" w:hAnsiTheme="majorBidi" w:cstheme="majorBidi"/>
        </w:rPr>
        <w:t xml:space="preserve"> focus-group meetings were</w:t>
      </w:r>
      <w:r w:rsidRPr="00383B53">
        <w:rPr>
          <w:rFonts w:asciiTheme="majorBidi" w:hAnsiTheme="majorBidi" w:cstheme="majorBidi"/>
        </w:rPr>
        <w:t xml:space="preserve"> held </w:t>
      </w:r>
      <w:r>
        <w:rPr>
          <w:rFonts w:asciiTheme="majorBidi" w:hAnsiTheme="majorBidi" w:cstheme="majorBidi"/>
        </w:rPr>
        <w:t>in person</w:t>
      </w:r>
      <w:r w:rsidRPr="00383B53">
        <w:rPr>
          <w:rFonts w:asciiTheme="majorBidi" w:hAnsiTheme="majorBidi" w:cstheme="majorBidi"/>
        </w:rPr>
        <w:t xml:space="preserve">, while the third (N = 6) was held online using the Zoom </w:t>
      </w:r>
      <w:r w:rsidRPr="00383B53">
        <w:rPr>
          <w:rFonts w:asciiTheme="majorBidi" w:hAnsiTheme="majorBidi" w:cstheme="majorBidi"/>
        </w:rPr>
        <w:lastRenderedPageBreak/>
        <w:t>software</w:t>
      </w:r>
      <w:r>
        <w:rPr>
          <w:rFonts w:asciiTheme="majorBidi" w:hAnsiTheme="majorBidi" w:cstheme="majorBidi"/>
        </w:rPr>
        <w:t xml:space="preserve"> due to the Omicron wave of COVID-19. </w:t>
      </w:r>
      <w:r w:rsidRPr="00E77007">
        <w:rPr>
          <w:rFonts w:asciiTheme="majorBidi" w:hAnsiTheme="majorBidi" w:cstheme="majorBidi"/>
        </w:rPr>
        <w:t>As a result, participants from across the country were able to take part in the study.</w:t>
      </w:r>
    </w:p>
    <w:p w14:paraId="0B9B407A" w14:textId="27E2B094" w:rsidR="00C43B4F" w:rsidRPr="00720D17" w:rsidRDefault="00C43B4F" w:rsidP="00C43B4F">
      <w:pPr>
        <w:spacing w:line="360" w:lineRule="auto"/>
        <w:rPr>
          <w:rFonts w:asciiTheme="majorBidi" w:hAnsiTheme="majorBidi" w:cstheme="majorBidi"/>
          <w:rtl/>
        </w:rPr>
      </w:pPr>
      <w:r w:rsidRPr="00E77007">
        <w:rPr>
          <w:rFonts w:asciiTheme="majorBidi" w:hAnsiTheme="majorBidi" w:cstheme="majorBidi"/>
        </w:rPr>
        <w:t xml:space="preserve">The demographic information of the participants appears in Table </w:t>
      </w:r>
      <w:r w:rsidR="000218DC">
        <w:rPr>
          <w:rFonts w:asciiTheme="majorBidi" w:hAnsiTheme="majorBidi" w:cstheme="majorBidi" w:hint="cs"/>
          <w:rtl/>
        </w:rPr>
        <w:t>4</w:t>
      </w:r>
      <w:r w:rsidRPr="00E77007">
        <w:rPr>
          <w:rFonts w:asciiTheme="majorBidi" w:hAnsiTheme="majorBidi" w:cstheme="majorBidi"/>
        </w:rPr>
        <w:t xml:space="preserve">. Each participant is listed using a code name, composed of the location where the meeting took </w:t>
      </w:r>
      <w:r>
        <w:rPr>
          <w:rFonts w:asciiTheme="majorBidi" w:hAnsiTheme="majorBidi" w:cstheme="majorBidi"/>
        </w:rPr>
        <w:t>place</w:t>
      </w:r>
      <w:r w:rsidRPr="00E77007">
        <w:rPr>
          <w:rFonts w:asciiTheme="majorBidi" w:hAnsiTheme="majorBidi" w:cstheme="majorBidi"/>
        </w:rPr>
        <w:t>,</w:t>
      </w:r>
      <w:r w:rsidRPr="008C1C37">
        <w:rPr>
          <w:rFonts w:asciiTheme="majorBidi" w:hAnsiTheme="majorBidi" w:cstheme="majorBidi"/>
        </w:rPr>
        <w:t xml:space="preserve"> </w:t>
      </w:r>
      <w:r w:rsidRPr="00E77007">
        <w:rPr>
          <w:rFonts w:asciiTheme="majorBidi" w:hAnsiTheme="majorBidi" w:cstheme="majorBidi"/>
        </w:rPr>
        <w:t>their group affiliation (</w:t>
      </w:r>
      <w:r>
        <w:rPr>
          <w:rFonts w:asciiTheme="majorBidi" w:hAnsiTheme="majorBidi" w:cstheme="majorBidi" w:hint="cs"/>
        </w:rPr>
        <w:t>PD</w:t>
      </w:r>
      <w:r w:rsidRPr="00E77007">
        <w:rPr>
          <w:rFonts w:asciiTheme="majorBidi" w:hAnsiTheme="majorBidi" w:cstheme="majorBidi"/>
        </w:rPr>
        <w:t xml:space="preserve"> – for family members</w:t>
      </w:r>
      <w:r w:rsidR="006B7331" w:rsidRPr="00E77007">
        <w:rPr>
          <w:rFonts w:asciiTheme="majorBidi" w:hAnsiTheme="majorBidi" w:cstheme="majorBidi"/>
        </w:rPr>
        <w:t>), and</w:t>
      </w:r>
      <w:r w:rsidRPr="00E77007">
        <w:rPr>
          <w:rFonts w:asciiTheme="majorBidi" w:hAnsiTheme="majorBidi" w:cstheme="majorBidi"/>
        </w:rPr>
        <w:t xml:space="preserve"> two numbers (the first number is the group number, and the second is the participant number). The first</w:t>
      </w:r>
      <w:r>
        <w:rPr>
          <w:rFonts w:asciiTheme="majorBidi" w:hAnsiTheme="majorBidi" w:cstheme="majorBidi"/>
        </w:rPr>
        <w:t xml:space="preserve"> two</w:t>
      </w:r>
      <w:r w:rsidRPr="00E77007">
        <w:rPr>
          <w:rFonts w:asciiTheme="majorBidi" w:hAnsiTheme="majorBidi" w:cstheme="majorBidi"/>
        </w:rPr>
        <w:t xml:space="preserve"> meeting</w:t>
      </w:r>
      <w:r>
        <w:rPr>
          <w:rFonts w:asciiTheme="majorBidi" w:hAnsiTheme="majorBidi" w:cstheme="majorBidi"/>
        </w:rPr>
        <w:t>s</w:t>
      </w:r>
      <w:r w:rsidRPr="00E77007">
        <w:rPr>
          <w:rFonts w:asciiTheme="majorBidi" w:hAnsiTheme="majorBidi" w:cstheme="majorBidi"/>
        </w:rPr>
        <w:t xml:space="preserve"> </w:t>
      </w:r>
      <w:r>
        <w:rPr>
          <w:rFonts w:asciiTheme="majorBidi" w:hAnsiTheme="majorBidi" w:cstheme="majorBidi"/>
        </w:rPr>
        <w:t>were</w:t>
      </w:r>
      <w:r w:rsidRPr="00E77007">
        <w:rPr>
          <w:rFonts w:asciiTheme="majorBidi" w:hAnsiTheme="majorBidi" w:cstheme="majorBidi"/>
        </w:rPr>
        <w:t xml:space="preserve"> held in the city of </w:t>
      </w:r>
      <w:proofErr w:type="gramStart"/>
      <w:r w:rsidRPr="00E77007">
        <w:rPr>
          <w:rFonts w:asciiTheme="majorBidi" w:hAnsiTheme="majorBidi" w:cstheme="majorBidi"/>
        </w:rPr>
        <w:t xml:space="preserve">Sderot, </w:t>
      </w:r>
      <w:r>
        <w:rPr>
          <w:rFonts w:asciiTheme="majorBidi" w:hAnsiTheme="majorBidi" w:cstheme="majorBidi"/>
        </w:rPr>
        <w:t>and</w:t>
      </w:r>
      <w:proofErr w:type="gramEnd"/>
      <w:r>
        <w:rPr>
          <w:rFonts w:asciiTheme="majorBidi" w:hAnsiTheme="majorBidi" w:cstheme="majorBidi"/>
        </w:rPr>
        <w:t xml:space="preserve"> are </w:t>
      </w:r>
      <w:r w:rsidRPr="00E77007">
        <w:rPr>
          <w:rFonts w:asciiTheme="majorBidi" w:hAnsiTheme="majorBidi" w:cstheme="majorBidi"/>
        </w:rPr>
        <w:t xml:space="preserve">therefore marked with the letters </w:t>
      </w:r>
      <w:r>
        <w:rPr>
          <w:rFonts w:asciiTheme="majorBidi" w:hAnsiTheme="majorBidi" w:cstheme="majorBidi"/>
        </w:rPr>
        <w:t xml:space="preserve">“S” (Sderot group) and the number of the meeting (1/2), and the third meeting is marked with “O” to denote that the meeting was held online.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016"/>
        <w:gridCol w:w="2645"/>
        <w:gridCol w:w="1322"/>
        <w:gridCol w:w="1691"/>
        <w:gridCol w:w="1342"/>
      </w:tblGrid>
      <w:tr w:rsidR="00C43B4F" w:rsidRPr="00C70AA7" w14:paraId="3D1A5D9C" w14:textId="77777777" w:rsidTr="00C43B4F">
        <w:trPr>
          <w:trHeight w:val="576"/>
        </w:trPr>
        <w:tc>
          <w:tcPr>
            <w:tcW w:w="1118" w:type="pct"/>
            <w:shd w:val="clear" w:color="auto" w:fill="D9E2F3" w:themeFill="accent1" w:themeFillTint="33"/>
            <w:noWrap/>
            <w:vAlign w:val="bottom"/>
            <w:hideMark/>
          </w:tcPr>
          <w:p w14:paraId="5E05459C"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Women/men</w:t>
            </w:r>
          </w:p>
        </w:tc>
        <w:tc>
          <w:tcPr>
            <w:tcW w:w="1467" w:type="pct"/>
            <w:shd w:val="clear" w:color="auto" w:fill="D9E2F3" w:themeFill="accent1" w:themeFillTint="33"/>
            <w:noWrap/>
            <w:vAlign w:val="bottom"/>
            <w:hideMark/>
          </w:tcPr>
          <w:p w14:paraId="0B4C61D8"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xml:space="preserve">Years since diagnosis </w:t>
            </w:r>
          </w:p>
        </w:tc>
        <w:tc>
          <w:tcPr>
            <w:tcW w:w="733" w:type="pct"/>
            <w:shd w:val="clear" w:color="auto" w:fill="D9E2F3" w:themeFill="accent1" w:themeFillTint="33"/>
            <w:noWrap/>
            <w:vAlign w:val="bottom"/>
            <w:hideMark/>
          </w:tcPr>
          <w:p w14:paraId="0C524BBA"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Age</w:t>
            </w:r>
          </w:p>
        </w:tc>
        <w:tc>
          <w:tcPr>
            <w:tcW w:w="938" w:type="pct"/>
            <w:shd w:val="clear" w:color="auto" w:fill="D9E2F3" w:themeFill="accent1" w:themeFillTint="33"/>
            <w:noWrap/>
            <w:vAlign w:val="bottom"/>
            <w:hideMark/>
          </w:tcPr>
          <w:p w14:paraId="4C2FD126"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Participant</w:t>
            </w:r>
          </w:p>
        </w:tc>
        <w:tc>
          <w:tcPr>
            <w:tcW w:w="744" w:type="pct"/>
            <w:shd w:val="clear" w:color="auto" w:fill="D9E2F3" w:themeFill="accent1" w:themeFillTint="33"/>
            <w:vAlign w:val="bottom"/>
            <w:hideMark/>
          </w:tcPr>
          <w:p w14:paraId="61776995"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G1- Sderot</w:t>
            </w:r>
          </w:p>
        </w:tc>
      </w:tr>
      <w:tr w:rsidR="00C43B4F" w:rsidRPr="00C70AA7" w14:paraId="072C1846" w14:textId="77777777" w:rsidTr="00C43B4F">
        <w:trPr>
          <w:trHeight w:val="288"/>
        </w:trPr>
        <w:tc>
          <w:tcPr>
            <w:tcW w:w="1118" w:type="pct"/>
            <w:shd w:val="clear" w:color="auto" w:fill="auto"/>
            <w:noWrap/>
            <w:vAlign w:val="bottom"/>
            <w:hideMark/>
          </w:tcPr>
          <w:p w14:paraId="3785F36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28D7861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w:t>
            </w:r>
          </w:p>
        </w:tc>
        <w:tc>
          <w:tcPr>
            <w:tcW w:w="733" w:type="pct"/>
            <w:shd w:val="clear" w:color="auto" w:fill="auto"/>
            <w:noWrap/>
            <w:vAlign w:val="bottom"/>
            <w:hideMark/>
          </w:tcPr>
          <w:p w14:paraId="6F3F173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74</w:t>
            </w:r>
          </w:p>
        </w:tc>
        <w:tc>
          <w:tcPr>
            <w:tcW w:w="938" w:type="pct"/>
            <w:shd w:val="clear" w:color="auto" w:fill="auto"/>
            <w:noWrap/>
            <w:vAlign w:val="bottom"/>
            <w:hideMark/>
          </w:tcPr>
          <w:p w14:paraId="626B499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1</w:t>
            </w:r>
          </w:p>
        </w:tc>
        <w:tc>
          <w:tcPr>
            <w:tcW w:w="744" w:type="pct"/>
            <w:shd w:val="clear" w:color="auto" w:fill="auto"/>
            <w:vAlign w:val="bottom"/>
            <w:hideMark/>
          </w:tcPr>
          <w:p w14:paraId="48F20163" w14:textId="77777777" w:rsidR="00C43B4F" w:rsidRPr="00C70AA7" w:rsidRDefault="00C43B4F" w:rsidP="00FA1E2B">
            <w:pPr>
              <w:spacing w:after="0" w:line="240" w:lineRule="auto"/>
              <w:rPr>
                <w:rFonts w:ascii="Calibri" w:hAnsi="Calibri" w:cs="Calibri"/>
                <w:color w:val="000000"/>
              </w:rPr>
            </w:pPr>
          </w:p>
        </w:tc>
      </w:tr>
      <w:tr w:rsidR="00C43B4F" w:rsidRPr="00C70AA7" w14:paraId="763AE9E2" w14:textId="77777777" w:rsidTr="00C43B4F">
        <w:trPr>
          <w:trHeight w:val="288"/>
        </w:trPr>
        <w:tc>
          <w:tcPr>
            <w:tcW w:w="1118" w:type="pct"/>
            <w:shd w:val="clear" w:color="auto" w:fill="auto"/>
            <w:noWrap/>
            <w:vAlign w:val="bottom"/>
            <w:hideMark/>
          </w:tcPr>
          <w:p w14:paraId="41ABD8B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78A5F9E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16</w:t>
            </w:r>
          </w:p>
        </w:tc>
        <w:tc>
          <w:tcPr>
            <w:tcW w:w="733" w:type="pct"/>
            <w:shd w:val="clear" w:color="auto" w:fill="auto"/>
            <w:noWrap/>
            <w:vAlign w:val="bottom"/>
            <w:hideMark/>
          </w:tcPr>
          <w:p w14:paraId="12705AA6"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75</w:t>
            </w:r>
          </w:p>
        </w:tc>
        <w:tc>
          <w:tcPr>
            <w:tcW w:w="938" w:type="pct"/>
            <w:shd w:val="clear" w:color="auto" w:fill="auto"/>
            <w:noWrap/>
            <w:vAlign w:val="bottom"/>
            <w:hideMark/>
          </w:tcPr>
          <w:p w14:paraId="7B525C68"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2</w:t>
            </w:r>
          </w:p>
        </w:tc>
        <w:tc>
          <w:tcPr>
            <w:tcW w:w="744" w:type="pct"/>
            <w:shd w:val="clear" w:color="auto" w:fill="auto"/>
            <w:vAlign w:val="bottom"/>
            <w:hideMark/>
          </w:tcPr>
          <w:p w14:paraId="21AFF446" w14:textId="77777777" w:rsidR="00C43B4F" w:rsidRPr="00C70AA7" w:rsidRDefault="00C43B4F" w:rsidP="00FA1E2B">
            <w:pPr>
              <w:spacing w:after="0" w:line="240" w:lineRule="auto"/>
              <w:rPr>
                <w:rFonts w:ascii="Calibri" w:hAnsi="Calibri" w:cs="Calibri"/>
                <w:color w:val="000000"/>
              </w:rPr>
            </w:pPr>
          </w:p>
        </w:tc>
      </w:tr>
      <w:tr w:rsidR="00C43B4F" w:rsidRPr="00C70AA7" w14:paraId="2D0A2CE4" w14:textId="77777777" w:rsidTr="00C43B4F">
        <w:trPr>
          <w:trHeight w:val="288"/>
        </w:trPr>
        <w:tc>
          <w:tcPr>
            <w:tcW w:w="1118" w:type="pct"/>
            <w:shd w:val="clear" w:color="auto" w:fill="auto"/>
            <w:noWrap/>
            <w:vAlign w:val="bottom"/>
            <w:hideMark/>
          </w:tcPr>
          <w:p w14:paraId="4D2B75BE"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1750D09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5</w:t>
            </w:r>
          </w:p>
        </w:tc>
        <w:tc>
          <w:tcPr>
            <w:tcW w:w="733" w:type="pct"/>
            <w:shd w:val="clear" w:color="auto" w:fill="auto"/>
            <w:noWrap/>
            <w:vAlign w:val="bottom"/>
            <w:hideMark/>
          </w:tcPr>
          <w:p w14:paraId="125E1CA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70</w:t>
            </w:r>
          </w:p>
        </w:tc>
        <w:tc>
          <w:tcPr>
            <w:tcW w:w="938" w:type="pct"/>
            <w:shd w:val="clear" w:color="auto" w:fill="auto"/>
            <w:noWrap/>
            <w:vAlign w:val="bottom"/>
            <w:hideMark/>
          </w:tcPr>
          <w:p w14:paraId="3F7DDB3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3</w:t>
            </w:r>
          </w:p>
        </w:tc>
        <w:tc>
          <w:tcPr>
            <w:tcW w:w="744" w:type="pct"/>
            <w:shd w:val="clear" w:color="auto" w:fill="auto"/>
            <w:vAlign w:val="bottom"/>
            <w:hideMark/>
          </w:tcPr>
          <w:p w14:paraId="5A4F3DFE" w14:textId="77777777" w:rsidR="00C43B4F" w:rsidRPr="00C70AA7" w:rsidRDefault="00C43B4F" w:rsidP="00FA1E2B">
            <w:pPr>
              <w:spacing w:after="0" w:line="240" w:lineRule="auto"/>
              <w:rPr>
                <w:rFonts w:ascii="Calibri" w:hAnsi="Calibri" w:cs="Calibri"/>
                <w:color w:val="000000"/>
              </w:rPr>
            </w:pPr>
          </w:p>
        </w:tc>
      </w:tr>
      <w:tr w:rsidR="00C43B4F" w:rsidRPr="00C70AA7" w14:paraId="3295FB6A" w14:textId="77777777" w:rsidTr="00C43B4F">
        <w:trPr>
          <w:trHeight w:val="288"/>
        </w:trPr>
        <w:tc>
          <w:tcPr>
            <w:tcW w:w="1118" w:type="pct"/>
            <w:shd w:val="clear" w:color="auto" w:fill="auto"/>
            <w:noWrap/>
            <w:vAlign w:val="bottom"/>
            <w:hideMark/>
          </w:tcPr>
          <w:p w14:paraId="7A68E4B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251B420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w:t>
            </w:r>
          </w:p>
        </w:tc>
        <w:tc>
          <w:tcPr>
            <w:tcW w:w="733" w:type="pct"/>
            <w:shd w:val="clear" w:color="auto" w:fill="auto"/>
            <w:noWrap/>
            <w:vAlign w:val="bottom"/>
            <w:hideMark/>
          </w:tcPr>
          <w:p w14:paraId="21C108FF"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67</w:t>
            </w:r>
          </w:p>
        </w:tc>
        <w:tc>
          <w:tcPr>
            <w:tcW w:w="938" w:type="pct"/>
            <w:shd w:val="clear" w:color="auto" w:fill="auto"/>
            <w:noWrap/>
            <w:vAlign w:val="bottom"/>
            <w:hideMark/>
          </w:tcPr>
          <w:p w14:paraId="0582DB2F"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4</w:t>
            </w:r>
          </w:p>
        </w:tc>
        <w:tc>
          <w:tcPr>
            <w:tcW w:w="744" w:type="pct"/>
            <w:shd w:val="clear" w:color="auto" w:fill="auto"/>
            <w:vAlign w:val="bottom"/>
            <w:hideMark/>
          </w:tcPr>
          <w:p w14:paraId="081F4490" w14:textId="77777777" w:rsidR="00C43B4F" w:rsidRPr="00C70AA7" w:rsidRDefault="00C43B4F" w:rsidP="00FA1E2B">
            <w:pPr>
              <w:spacing w:after="0" w:line="240" w:lineRule="auto"/>
              <w:rPr>
                <w:rFonts w:ascii="Calibri" w:hAnsi="Calibri" w:cs="Calibri"/>
                <w:color w:val="000000"/>
              </w:rPr>
            </w:pPr>
          </w:p>
        </w:tc>
      </w:tr>
      <w:tr w:rsidR="00C43B4F" w:rsidRPr="00C70AA7" w14:paraId="47E04809" w14:textId="77777777" w:rsidTr="00C43B4F">
        <w:trPr>
          <w:trHeight w:val="288"/>
        </w:trPr>
        <w:tc>
          <w:tcPr>
            <w:tcW w:w="1118" w:type="pct"/>
            <w:shd w:val="clear" w:color="auto" w:fill="auto"/>
            <w:noWrap/>
            <w:vAlign w:val="bottom"/>
            <w:hideMark/>
          </w:tcPr>
          <w:p w14:paraId="3EDAE6B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6ED14F0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10</w:t>
            </w:r>
          </w:p>
        </w:tc>
        <w:tc>
          <w:tcPr>
            <w:tcW w:w="733" w:type="pct"/>
            <w:shd w:val="clear" w:color="auto" w:fill="auto"/>
            <w:noWrap/>
            <w:vAlign w:val="bottom"/>
            <w:hideMark/>
          </w:tcPr>
          <w:p w14:paraId="6ED1658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83</w:t>
            </w:r>
          </w:p>
        </w:tc>
        <w:tc>
          <w:tcPr>
            <w:tcW w:w="938" w:type="pct"/>
            <w:shd w:val="clear" w:color="auto" w:fill="auto"/>
            <w:noWrap/>
            <w:vAlign w:val="bottom"/>
            <w:hideMark/>
          </w:tcPr>
          <w:p w14:paraId="7230EFD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5</w:t>
            </w:r>
          </w:p>
        </w:tc>
        <w:tc>
          <w:tcPr>
            <w:tcW w:w="744" w:type="pct"/>
            <w:shd w:val="clear" w:color="auto" w:fill="auto"/>
            <w:vAlign w:val="bottom"/>
            <w:hideMark/>
          </w:tcPr>
          <w:p w14:paraId="5A6DF86D" w14:textId="77777777" w:rsidR="00C43B4F" w:rsidRPr="00C70AA7" w:rsidRDefault="00C43B4F" w:rsidP="00FA1E2B">
            <w:pPr>
              <w:spacing w:after="0" w:line="240" w:lineRule="auto"/>
              <w:rPr>
                <w:rFonts w:ascii="Calibri" w:hAnsi="Calibri" w:cs="Calibri"/>
                <w:color w:val="000000"/>
              </w:rPr>
            </w:pPr>
          </w:p>
        </w:tc>
      </w:tr>
      <w:tr w:rsidR="00C43B4F" w:rsidRPr="00C70AA7" w14:paraId="5F0BFFDA" w14:textId="77777777" w:rsidTr="00C43B4F">
        <w:trPr>
          <w:trHeight w:val="288"/>
        </w:trPr>
        <w:tc>
          <w:tcPr>
            <w:tcW w:w="1118" w:type="pct"/>
            <w:shd w:val="clear" w:color="auto" w:fill="auto"/>
            <w:noWrap/>
            <w:vAlign w:val="bottom"/>
            <w:hideMark/>
          </w:tcPr>
          <w:p w14:paraId="0238645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486DA2F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17</w:t>
            </w:r>
          </w:p>
        </w:tc>
        <w:tc>
          <w:tcPr>
            <w:tcW w:w="733" w:type="pct"/>
            <w:shd w:val="clear" w:color="auto" w:fill="auto"/>
            <w:noWrap/>
            <w:vAlign w:val="bottom"/>
            <w:hideMark/>
          </w:tcPr>
          <w:p w14:paraId="3110A26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71</w:t>
            </w:r>
          </w:p>
        </w:tc>
        <w:tc>
          <w:tcPr>
            <w:tcW w:w="938" w:type="pct"/>
            <w:shd w:val="clear" w:color="auto" w:fill="auto"/>
            <w:noWrap/>
            <w:vAlign w:val="bottom"/>
            <w:hideMark/>
          </w:tcPr>
          <w:p w14:paraId="6633831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6</w:t>
            </w:r>
          </w:p>
        </w:tc>
        <w:tc>
          <w:tcPr>
            <w:tcW w:w="744" w:type="pct"/>
            <w:shd w:val="clear" w:color="auto" w:fill="auto"/>
            <w:vAlign w:val="bottom"/>
            <w:hideMark/>
          </w:tcPr>
          <w:p w14:paraId="6138E73D" w14:textId="77777777" w:rsidR="00C43B4F" w:rsidRPr="00C70AA7" w:rsidRDefault="00C43B4F" w:rsidP="00FA1E2B">
            <w:pPr>
              <w:spacing w:after="0" w:line="240" w:lineRule="auto"/>
              <w:rPr>
                <w:rFonts w:ascii="Calibri" w:hAnsi="Calibri" w:cs="Calibri"/>
                <w:color w:val="000000"/>
              </w:rPr>
            </w:pPr>
          </w:p>
        </w:tc>
      </w:tr>
      <w:tr w:rsidR="00C43B4F" w:rsidRPr="00C70AA7" w14:paraId="404F021E" w14:textId="77777777" w:rsidTr="00C43B4F">
        <w:trPr>
          <w:trHeight w:val="288"/>
        </w:trPr>
        <w:tc>
          <w:tcPr>
            <w:tcW w:w="1118" w:type="pct"/>
            <w:shd w:val="clear" w:color="auto" w:fill="auto"/>
            <w:noWrap/>
            <w:vAlign w:val="bottom"/>
            <w:hideMark/>
          </w:tcPr>
          <w:p w14:paraId="6A632F3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7A17A686"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w:t>
            </w:r>
          </w:p>
        </w:tc>
        <w:tc>
          <w:tcPr>
            <w:tcW w:w="733" w:type="pct"/>
            <w:shd w:val="clear" w:color="auto" w:fill="auto"/>
            <w:noWrap/>
            <w:vAlign w:val="bottom"/>
            <w:hideMark/>
          </w:tcPr>
          <w:p w14:paraId="785C5671"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65</w:t>
            </w:r>
          </w:p>
        </w:tc>
        <w:tc>
          <w:tcPr>
            <w:tcW w:w="938" w:type="pct"/>
            <w:shd w:val="clear" w:color="auto" w:fill="auto"/>
            <w:noWrap/>
            <w:vAlign w:val="bottom"/>
            <w:hideMark/>
          </w:tcPr>
          <w:p w14:paraId="096D1F5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7</w:t>
            </w:r>
          </w:p>
        </w:tc>
        <w:tc>
          <w:tcPr>
            <w:tcW w:w="744" w:type="pct"/>
            <w:shd w:val="clear" w:color="auto" w:fill="auto"/>
            <w:vAlign w:val="bottom"/>
            <w:hideMark/>
          </w:tcPr>
          <w:p w14:paraId="3A57406A" w14:textId="77777777" w:rsidR="00C43B4F" w:rsidRPr="00C70AA7" w:rsidRDefault="00C43B4F" w:rsidP="00FA1E2B">
            <w:pPr>
              <w:spacing w:after="0" w:line="240" w:lineRule="auto"/>
              <w:rPr>
                <w:rFonts w:ascii="Calibri" w:hAnsi="Calibri" w:cs="Calibri"/>
                <w:color w:val="000000"/>
              </w:rPr>
            </w:pPr>
          </w:p>
        </w:tc>
      </w:tr>
      <w:tr w:rsidR="00C43B4F" w:rsidRPr="00C70AA7" w14:paraId="2C0CC8E8" w14:textId="77777777" w:rsidTr="00C43B4F">
        <w:trPr>
          <w:trHeight w:val="288"/>
        </w:trPr>
        <w:tc>
          <w:tcPr>
            <w:tcW w:w="1118" w:type="pct"/>
            <w:shd w:val="clear" w:color="auto" w:fill="auto"/>
            <w:noWrap/>
            <w:vAlign w:val="bottom"/>
            <w:hideMark/>
          </w:tcPr>
          <w:p w14:paraId="32110A0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52BB3D5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12</w:t>
            </w:r>
          </w:p>
        </w:tc>
        <w:tc>
          <w:tcPr>
            <w:tcW w:w="733" w:type="pct"/>
            <w:shd w:val="clear" w:color="auto" w:fill="auto"/>
            <w:noWrap/>
            <w:vAlign w:val="bottom"/>
            <w:hideMark/>
          </w:tcPr>
          <w:p w14:paraId="742CD0F3"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78</w:t>
            </w:r>
          </w:p>
        </w:tc>
        <w:tc>
          <w:tcPr>
            <w:tcW w:w="938" w:type="pct"/>
            <w:shd w:val="clear" w:color="auto" w:fill="auto"/>
            <w:noWrap/>
            <w:vAlign w:val="bottom"/>
            <w:hideMark/>
          </w:tcPr>
          <w:p w14:paraId="7658E9C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SPD1</w:t>
            </w:r>
            <w:r w:rsidRPr="00C70AA7">
              <w:rPr>
                <w:rFonts w:ascii="Calibri" w:hAnsi="Calibri" w:cs="Calibri"/>
                <w:color w:val="000000"/>
              </w:rPr>
              <w:t xml:space="preserve"> </w:t>
            </w:r>
            <w:r>
              <w:rPr>
                <w:rFonts w:ascii="Calibri" w:hAnsi="Calibri" w:cs="Calibri"/>
                <w:color w:val="000000"/>
              </w:rPr>
              <w:t>–</w:t>
            </w:r>
            <w:r w:rsidRPr="00C70AA7">
              <w:rPr>
                <w:rFonts w:ascii="Calibri" w:hAnsi="Calibri" w:cs="Calibri"/>
                <w:color w:val="000000"/>
              </w:rPr>
              <w:t xml:space="preserve"> 8</w:t>
            </w:r>
          </w:p>
        </w:tc>
        <w:tc>
          <w:tcPr>
            <w:tcW w:w="744" w:type="pct"/>
            <w:shd w:val="clear" w:color="auto" w:fill="auto"/>
            <w:vAlign w:val="bottom"/>
            <w:hideMark/>
          </w:tcPr>
          <w:p w14:paraId="4C0D0F32" w14:textId="77777777" w:rsidR="00C43B4F" w:rsidRPr="00C70AA7" w:rsidRDefault="00C43B4F" w:rsidP="00FA1E2B">
            <w:pPr>
              <w:spacing w:after="0" w:line="240" w:lineRule="auto"/>
              <w:rPr>
                <w:rFonts w:ascii="Calibri" w:hAnsi="Calibri" w:cs="Calibri"/>
                <w:color w:val="000000"/>
              </w:rPr>
            </w:pPr>
          </w:p>
        </w:tc>
      </w:tr>
      <w:tr w:rsidR="00C43B4F" w:rsidRPr="00C70AA7" w14:paraId="1358F05E" w14:textId="77777777" w:rsidTr="00C43B4F">
        <w:trPr>
          <w:trHeight w:val="576"/>
        </w:trPr>
        <w:tc>
          <w:tcPr>
            <w:tcW w:w="1118" w:type="pct"/>
            <w:shd w:val="clear" w:color="auto" w:fill="D9E2F3" w:themeFill="accent1" w:themeFillTint="33"/>
            <w:vAlign w:val="bottom"/>
            <w:hideMark/>
          </w:tcPr>
          <w:p w14:paraId="01843AA9"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1467" w:type="pct"/>
            <w:shd w:val="clear" w:color="auto" w:fill="D9E2F3" w:themeFill="accent1" w:themeFillTint="33"/>
            <w:noWrap/>
            <w:vAlign w:val="bottom"/>
            <w:hideMark/>
          </w:tcPr>
          <w:p w14:paraId="48CB18B8"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733" w:type="pct"/>
            <w:shd w:val="clear" w:color="auto" w:fill="D9E2F3" w:themeFill="accent1" w:themeFillTint="33"/>
            <w:noWrap/>
            <w:vAlign w:val="bottom"/>
            <w:hideMark/>
          </w:tcPr>
          <w:p w14:paraId="328034F2"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938" w:type="pct"/>
            <w:shd w:val="clear" w:color="auto" w:fill="D9E2F3" w:themeFill="accent1" w:themeFillTint="33"/>
            <w:vAlign w:val="bottom"/>
            <w:hideMark/>
          </w:tcPr>
          <w:p w14:paraId="7B7BEEA5"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744" w:type="pct"/>
            <w:shd w:val="clear" w:color="auto" w:fill="D9E2F3" w:themeFill="accent1" w:themeFillTint="33"/>
            <w:vAlign w:val="bottom"/>
            <w:hideMark/>
          </w:tcPr>
          <w:p w14:paraId="5C7F1BC3"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G2- Sderot</w:t>
            </w:r>
          </w:p>
        </w:tc>
      </w:tr>
      <w:tr w:rsidR="00C43B4F" w:rsidRPr="00C70AA7" w14:paraId="6A279082" w14:textId="77777777" w:rsidTr="00C43B4F">
        <w:trPr>
          <w:trHeight w:val="288"/>
        </w:trPr>
        <w:tc>
          <w:tcPr>
            <w:tcW w:w="1118" w:type="pct"/>
            <w:shd w:val="clear" w:color="auto" w:fill="auto"/>
            <w:vAlign w:val="bottom"/>
            <w:hideMark/>
          </w:tcPr>
          <w:p w14:paraId="560A088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59F6470F"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w:t>
            </w:r>
          </w:p>
        </w:tc>
        <w:tc>
          <w:tcPr>
            <w:tcW w:w="733" w:type="pct"/>
            <w:shd w:val="clear" w:color="auto" w:fill="auto"/>
            <w:noWrap/>
            <w:vAlign w:val="bottom"/>
            <w:hideMark/>
          </w:tcPr>
          <w:p w14:paraId="5810FBBD"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64</w:t>
            </w:r>
          </w:p>
        </w:tc>
        <w:tc>
          <w:tcPr>
            <w:tcW w:w="938" w:type="pct"/>
            <w:shd w:val="clear" w:color="auto" w:fill="auto"/>
            <w:noWrap/>
            <w:vAlign w:val="bottom"/>
            <w:hideMark/>
          </w:tcPr>
          <w:p w14:paraId="1E96741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- 1</w:t>
            </w:r>
          </w:p>
        </w:tc>
        <w:tc>
          <w:tcPr>
            <w:tcW w:w="744" w:type="pct"/>
            <w:shd w:val="clear" w:color="auto" w:fill="auto"/>
            <w:vAlign w:val="bottom"/>
            <w:hideMark/>
          </w:tcPr>
          <w:p w14:paraId="0CEFE4C2" w14:textId="77777777" w:rsidR="00C43B4F" w:rsidRPr="00C70AA7" w:rsidRDefault="00C43B4F" w:rsidP="00FA1E2B">
            <w:pPr>
              <w:spacing w:after="0" w:line="240" w:lineRule="auto"/>
              <w:rPr>
                <w:rFonts w:ascii="Calibri" w:hAnsi="Calibri" w:cs="Calibri"/>
                <w:color w:val="000000"/>
              </w:rPr>
            </w:pPr>
          </w:p>
        </w:tc>
      </w:tr>
      <w:tr w:rsidR="00C43B4F" w:rsidRPr="00C70AA7" w14:paraId="0E54BD9E" w14:textId="77777777" w:rsidTr="00C43B4F">
        <w:trPr>
          <w:trHeight w:val="288"/>
        </w:trPr>
        <w:tc>
          <w:tcPr>
            <w:tcW w:w="1118" w:type="pct"/>
            <w:shd w:val="clear" w:color="auto" w:fill="auto"/>
            <w:vAlign w:val="bottom"/>
            <w:hideMark/>
          </w:tcPr>
          <w:p w14:paraId="0ADFC79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45F9733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25</w:t>
            </w:r>
          </w:p>
        </w:tc>
        <w:tc>
          <w:tcPr>
            <w:tcW w:w="733" w:type="pct"/>
            <w:shd w:val="clear" w:color="auto" w:fill="auto"/>
            <w:noWrap/>
            <w:vAlign w:val="bottom"/>
            <w:hideMark/>
          </w:tcPr>
          <w:p w14:paraId="0DC663D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75</w:t>
            </w:r>
          </w:p>
        </w:tc>
        <w:tc>
          <w:tcPr>
            <w:tcW w:w="938" w:type="pct"/>
            <w:shd w:val="clear" w:color="auto" w:fill="auto"/>
            <w:noWrap/>
            <w:vAlign w:val="bottom"/>
            <w:hideMark/>
          </w:tcPr>
          <w:p w14:paraId="0EF02A6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- 2</w:t>
            </w:r>
          </w:p>
        </w:tc>
        <w:tc>
          <w:tcPr>
            <w:tcW w:w="744" w:type="pct"/>
            <w:shd w:val="clear" w:color="auto" w:fill="auto"/>
            <w:vAlign w:val="bottom"/>
            <w:hideMark/>
          </w:tcPr>
          <w:p w14:paraId="2E97BDAF" w14:textId="77777777" w:rsidR="00C43B4F" w:rsidRPr="00C70AA7" w:rsidRDefault="00C43B4F" w:rsidP="00FA1E2B">
            <w:pPr>
              <w:spacing w:after="0" w:line="240" w:lineRule="auto"/>
              <w:rPr>
                <w:rFonts w:ascii="Calibri" w:hAnsi="Calibri" w:cs="Calibri"/>
                <w:color w:val="000000"/>
              </w:rPr>
            </w:pPr>
          </w:p>
        </w:tc>
      </w:tr>
      <w:tr w:rsidR="00C43B4F" w:rsidRPr="00C70AA7" w14:paraId="778D9111" w14:textId="77777777" w:rsidTr="00C43B4F">
        <w:trPr>
          <w:trHeight w:val="288"/>
        </w:trPr>
        <w:tc>
          <w:tcPr>
            <w:tcW w:w="1118" w:type="pct"/>
            <w:shd w:val="clear" w:color="auto" w:fill="auto"/>
            <w:vAlign w:val="bottom"/>
            <w:hideMark/>
          </w:tcPr>
          <w:p w14:paraId="63FAFE1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2EF35C5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20</w:t>
            </w:r>
          </w:p>
        </w:tc>
        <w:tc>
          <w:tcPr>
            <w:tcW w:w="733" w:type="pct"/>
            <w:shd w:val="clear" w:color="auto" w:fill="auto"/>
            <w:noWrap/>
            <w:vAlign w:val="bottom"/>
            <w:hideMark/>
          </w:tcPr>
          <w:p w14:paraId="492ABCE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59</w:t>
            </w:r>
          </w:p>
        </w:tc>
        <w:tc>
          <w:tcPr>
            <w:tcW w:w="938" w:type="pct"/>
            <w:shd w:val="clear" w:color="auto" w:fill="auto"/>
            <w:noWrap/>
            <w:vAlign w:val="bottom"/>
            <w:hideMark/>
          </w:tcPr>
          <w:p w14:paraId="079E3D2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- 3</w:t>
            </w:r>
          </w:p>
        </w:tc>
        <w:tc>
          <w:tcPr>
            <w:tcW w:w="744" w:type="pct"/>
            <w:shd w:val="clear" w:color="auto" w:fill="auto"/>
            <w:vAlign w:val="bottom"/>
            <w:hideMark/>
          </w:tcPr>
          <w:p w14:paraId="5C9C69A4" w14:textId="77777777" w:rsidR="00C43B4F" w:rsidRPr="00C70AA7" w:rsidRDefault="00C43B4F" w:rsidP="00FA1E2B">
            <w:pPr>
              <w:spacing w:after="0" w:line="240" w:lineRule="auto"/>
              <w:rPr>
                <w:rFonts w:ascii="Calibri" w:hAnsi="Calibri" w:cs="Calibri"/>
                <w:color w:val="000000"/>
              </w:rPr>
            </w:pPr>
          </w:p>
        </w:tc>
      </w:tr>
      <w:tr w:rsidR="00C43B4F" w:rsidRPr="00C70AA7" w14:paraId="0DBEC1EB" w14:textId="77777777" w:rsidTr="00C43B4F">
        <w:trPr>
          <w:trHeight w:val="288"/>
        </w:trPr>
        <w:tc>
          <w:tcPr>
            <w:tcW w:w="1118" w:type="pct"/>
            <w:shd w:val="clear" w:color="auto" w:fill="auto"/>
            <w:vAlign w:val="bottom"/>
            <w:hideMark/>
          </w:tcPr>
          <w:p w14:paraId="0D0326E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4CF70FD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16</w:t>
            </w:r>
          </w:p>
        </w:tc>
        <w:tc>
          <w:tcPr>
            <w:tcW w:w="733" w:type="pct"/>
            <w:shd w:val="clear" w:color="auto" w:fill="auto"/>
            <w:noWrap/>
            <w:vAlign w:val="bottom"/>
            <w:hideMark/>
          </w:tcPr>
          <w:p w14:paraId="3D280C0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84</w:t>
            </w:r>
          </w:p>
        </w:tc>
        <w:tc>
          <w:tcPr>
            <w:tcW w:w="938" w:type="pct"/>
            <w:shd w:val="clear" w:color="auto" w:fill="auto"/>
            <w:noWrap/>
            <w:vAlign w:val="bottom"/>
            <w:hideMark/>
          </w:tcPr>
          <w:p w14:paraId="4462C06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- 4</w:t>
            </w:r>
          </w:p>
        </w:tc>
        <w:tc>
          <w:tcPr>
            <w:tcW w:w="744" w:type="pct"/>
            <w:shd w:val="clear" w:color="auto" w:fill="auto"/>
            <w:vAlign w:val="bottom"/>
            <w:hideMark/>
          </w:tcPr>
          <w:p w14:paraId="1B7C61C0" w14:textId="77777777" w:rsidR="00C43B4F" w:rsidRPr="00C70AA7" w:rsidRDefault="00C43B4F" w:rsidP="00FA1E2B">
            <w:pPr>
              <w:spacing w:after="0" w:line="240" w:lineRule="auto"/>
              <w:rPr>
                <w:rFonts w:ascii="Calibri" w:hAnsi="Calibri" w:cs="Calibri"/>
                <w:color w:val="000000"/>
              </w:rPr>
            </w:pPr>
          </w:p>
        </w:tc>
      </w:tr>
      <w:tr w:rsidR="00C43B4F" w:rsidRPr="00C70AA7" w14:paraId="5C490C27" w14:textId="77777777" w:rsidTr="00C43B4F">
        <w:trPr>
          <w:trHeight w:val="288"/>
        </w:trPr>
        <w:tc>
          <w:tcPr>
            <w:tcW w:w="1118" w:type="pct"/>
            <w:shd w:val="clear" w:color="auto" w:fill="auto"/>
            <w:vAlign w:val="bottom"/>
            <w:hideMark/>
          </w:tcPr>
          <w:p w14:paraId="6A220C91"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3748F95B"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w:t>
            </w:r>
          </w:p>
        </w:tc>
        <w:tc>
          <w:tcPr>
            <w:tcW w:w="733" w:type="pct"/>
            <w:shd w:val="clear" w:color="auto" w:fill="auto"/>
            <w:noWrap/>
            <w:vAlign w:val="bottom"/>
            <w:hideMark/>
          </w:tcPr>
          <w:p w14:paraId="0592FA5E"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65</w:t>
            </w:r>
          </w:p>
        </w:tc>
        <w:tc>
          <w:tcPr>
            <w:tcW w:w="938" w:type="pct"/>
            <w:shd w:val="clear" w:color="auto" w:fill="auto"/>
            <w:noWrap/>
            <w:vAlign w:val="bottom"/>
            <w:hideMark/>
          </w:tcPr>
          <w:p w14:paraId="729BA79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- 5</w:t>
            </w:r>
          </w:p>
        </w:tc>
        <w:tc>
          <w:tcPr>
            <w:tcW w:w="744" w:type="pct"/>
            <w:shd w:val="clear" w:color="auto" w:fill="auto"/>
            <w:vAlign w:val="bottom"/>
            <w:hideMark/>
          </w:tcPr>
          <w:p w14:paraId="587A061B" w14:textId="77777777" w:rsidR="00C43B4F" w:rsidRPr="00C70AA7" w:rsidRDefault="00C43B4F" w:rsidP="00FA1E2B">
            <w:pPr>
              <w:spacing w:after="0" w:line="240" w:lineRule="auto"/>
              <w:rPr>
                <w:rFonts w:ascii="Calibri" w:hAnsi="Calibri" w:cs="Calibri"/>
                <w:color w:val="000000"/>
              </w:rPr>
            </w:pPr>
          </w:p>
        </w:tc>
      </w:tr>
      <w:tr w:rsidR="00C43B4F" w:rsidRPr="00C70AA7" w14:paraId="7B5C1436" w14:textId="77777777" w:rsidTr="00C43B4F">
        <w:trPr>
          <w:trHeight w:val="288"/>
        </w:trPr>
        <w:tc>
          <w:tcPr>
            <w:tcW w:w="1118" w:type="pct"/>
            <w:shd w:val="clear" w:color="auto" w:fill="auto"/>
            <w:vAlign w:val="bottom"/>
            <w:hideMark/>
          </w:tcPr>
          <w:p w14:paraId="796425E8"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120F2B26"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4</w:t>
            </w:r>
          </w:p>
        </w:tc>
        <w:tc>
          <w:tcPr>
            <w:tcW w:w="733" w:type="pct"/>
            <w:shd w:val="clear" w:color="auto" w:fill="auto"/>
            <w:noWrap/>
            <w:vAlign w:val="bottom"/>
            <w:hideMark/>
          </w:tcPr>
          <w:p w14:paraId="6AF6F9A3"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72</w:t>
            </w:r>
          </w:p>
        </w:tc>
        <w:tc>
          <w:tcPr>
            <w:tcW w:w="938" w:type="pct"/>
            <w:shd w:val="clear" w:color="auto" w:fill="auto"/>
            <w:noWrap/>
            <w:vAlign w:val="bottom"/>
            <w:hideMark/>
          </w:tcPr>
          <w:p w14:paraId="1FD3E23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- 6</w:t>
            </w:r>
          </w:p>
        </w:tc>
        <w:tc>
          <w:tcPr>
            <w:tcW w:w="744" w:type="pct"/>
            <w:shd w:val="clear" w:color="auto" w:fill="auto"/>
            <w:vAlign w:val="bottom"/>
            <w:hideMark/>
          </w:tcPr>
          <w:p w14:paraId="1E9954EF" w14:textId="77777777" w:rsidR="00C43B4F" w:rsidRPr="00C70AA7" w:rsidRDefault="00C43B4F" w:rsidP="00FA1E2B">
            <w:pPr>
              <w:spacing w:after="0" w:line="240" w:lineRule="auto"/>
              <w:rPr>
                <w:rFonts w:ascii="Calibri" w:hAnsi="Calibri" w:cs="Calibri"/>
                <w:color w:val="000000"/>
              </w:rPr>
            </w:pPr>
          </w:p>
        </w:tc>
      </w:tr>
      <w:tr w:rsidR="00C43B4F" w:rsidRPr="00C70AA7" w14:paraId="231397B2" w14:textId="77777777" w:rsidTr="00C43B4F">
        <w:trPr>
          <w:trHeight w:val="288"/>
        </w:trPr>
        <w:tc>
          <w:tcPr>
            <w:tcW w:w="1118" w:type="pct"/>
            <w:shd w:val="clear" w:color="auto" w:fill="auto"/>
            <w:vAlign w:val="bottom"/>
            <w:hideMark/>
          </w:tcPr>
          <w:p w14:paraId="16804F16"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5366AF0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4</w:t>
            </w:r>
          </w:p>
        </w:tc>
        <w:tc>
          <w:tcPr>
            <w:tcW w:w="733" w:type="pct"/>
            <w:shd w:val="clear" w:color="auto" w:fill="auto"/>
            <w:noWrap/>
            <w:vAlign w:val="bottom"/>
            <w:hideMark/>
          </w:tcPr>
          <w:p w14:paraId="25553D3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69</w:t>
            </w:r>
          </w:p>
        </w:tc>
        <w:tc>
          <w:tcPr>
            <w:tcW w:w="938" w:type="pct"/>
            <w:shd w:val="clear" w:color="auto" w:fill="auto"/>
            <w:noWrap/>
            <w:vAlign w:val="bottom"/>
            <w:hideMark/>
          </w:tcPr>
          <w:p w14:paraId="521A3E1F"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- 7</w:t>
            </w:r>
          </w:p>
        </w:tc>
        <w:tc>
          <w:tcPr>
            <w:tcW w:w="744" w:type="pct"/>
            <w:shd w:val="clear" w:color="auto" w:fill="auto"/>
            <w:vAlign w:val="bottom"/>
            <w:hideMark/>
          </w:tcPr>
          <w:p w14:paraId="53CE0E9E" w14:textId="77777777" w:rsidR="00C43B4F" w:rsidRPr="00C70AA7" w:rsidRDefault="00C43B4F" w:rsidP="00FA1E2B">
            <w:pPr>
              <w:spacing w:after="0" w:line="240" w:lineRule="auto"/>
              <w:rPr>
                <w:rFonts w:ascii="Calibri" w:hAnsi="Calibri" w:cs="Calibri"/>
                <w:color w:val="000000"/>
              </w:rPr>
            </w:pPr>
          </w:p>
        </w:tc>
      </w:tr>
      <w:tr w:rsidR="00C43B4F" w:rsidRPr="00C70AA7" w14:paraId="1DBD3B8E" w14:textId="77777777" w:rsidTr="00C43B4F">
        <w:trPr>
          <w:trHeight w:val="288"/>
        </w:trPr>
        <w:tc>
          <w:tcPr>
            <w:tcW w:w="1118" w:type="pct"/>
            <w:shd w:val="clear" w:color="auto" w:fill="auto"/>
            <w:vAlign w:val="bottom"/>
            <w:hideMark/>
          </w:tcPr>
          <w:p w14:paraId="41AF486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M</w:t>
            </w:r>
          </w:p>
        </w:tc>
        <w:tc>
          <w:tcPr>
            <w:tcW w:w="1467" w:type="pct"/>
            <w:shd w:val="clear" w:color="auto" w:fill="auto"/>
            <w:noWrap/>
            <w:vAlign w:val="bottom"/>
            <w:hideMark/>
          </w:tcPr>
          <w:p w14:paraId="7C796EDB"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5</w:t>
            </w:r>
          </w:p>
        </w:tc>
        <w:tc>
          <w:tcPr>
            <w:tcW w:w="733" w:type="pct"/>
            <w:shd w:val="clear" w:color="auto" w:fill="auto"/>
            <w:noWrap/>
            <w:vAlign w:val="bottom"/>
            <w:hideMark/>
          </w:tcPr>
          <w:p w14:paraId="599EC6C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67</w:t>
            </w:r>
          </w:p>
        </w:tc>
        <w:tc>
          <w:tcPr>
            <w:tcW w:w="938" w:type="pct"/>
            <w:shd w:val="clear" w:color="auto" w:fill="auto"/>
            <w:noWrap/>
            <w:vAlign w:val="bottom"/>
            <w:hideMark/>
          </w:tcPr>
          <w:p w14:paraId="3B3CF758"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SPD2</w:t>
            </w:r>
            <w:r w:rsidRPr="00C70AA7">
              <w:rPr>
                <w:rFonts w:ascii="Calibri" w:hAnsi="Calibri" w:cs="Calibri"/>
                <w:color w:val="000000"/>
              </w:rPr>
              <w:t>- 8</w:t>
            </w:r>
          </w:p>
        </w:tc>
        <w:tc>
          <w:tcPr>
            <w:tcW w:w="744" w:type="pct"/>
            <w:shd w:val="clear" w:color="auto" w:fill="auto"/>
            <w:vAlign w:val="bottom"/>
            <w:hideMark/>
          </w:tcPr>
          <w:p w14:paraId="2CE9BB25" w14:textId="77777777" w:rsidR="00C43B4F" w:rsidRPr="00C70AA7" w:rsidRDefault="00C43B4F" w:rsidP="00FA1E2B">
            <w:pPr>
              <w:spacing w:after="0" w:line="240" w:lineRule="auto"/>
              <w:rPr>
                <w:rFonts w:ascii="Calibri" w:hAnsi="Calibri" w:cs="Calibri"/>
                <w:color w:val="000000"/>
              </w:rPr>
            </w:pPr>
          </w:p>
        </w:tc>
      </w:tr>
      <w:tr w:rsidR="00C43B4F" w:rsidRPr="00C70AA7" w14:paraId="6BC52053" w14:textId="77777777" w:rsidTr="00C43B4F">
        <w:trPr>
          <w:trHeight w:val="288"/>
        </w:trPr>
        <w:tc>
          <w:tcPr>
            <w:tcW w:w="1118" w:type="pct"/>
            <w:shd w:val="clear" w:color="auto" w:fill="D9E2F3" w:themeFill="accent1" w:themeFillTint="33"/>
            <w:vAlign w:val="bottom"/>
            <w:hideMark/>
          </w:tcPr>
          <w:p w14:paraId="7FA28A81"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1467" w:type="pct"/>
            <w:shd w:val="clear" w:color="auto" w:fill="D9E2F3" w:themeFill="accent1" w:themeFillTint="33"/>
            <w:noWrap/>
            <w:vAlign w:val="bottom"/>
            <w:hideMark/>
          </w:tcPr>
          <w:p w14:paraId="19A8617D"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733" w:type="pct"/>
            <w:shd w:val="clear" w:color="auto" w:fill="D9E2F3" w:themeFill="accent1" w:themeFillTint="33"/>
            <w:noWrap/>
            <w:vAlign w:val="bottom"/>
            <w:hideMark/>
          </w:tcPr>
          <w:p w14:paraId="6BB0BE2B"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938" w:type="pct"/>
            <w:shd w:val="clear" w:color="auto" w:fill="D9E2F3" w:themeFill="accent1" w:themeFillTint="33"/>
            <w:vAlign w:val="bottom"/>
            <w:hideMark/>
          </w:tcPr>
          <w:p w14:paraId="767C5594"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744" w:type="pct"/>
            <w:shd w:val="clear" w:color="auto" w:fill="D9E2F3" w:themeFill="accent1" w:themeFillTint="33"/>
            <w:vAlign w:val="bottom"/>
            <w:hideMark/>
          </w:tcPr>
          <w:p w14:paraId="1AEC0694"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G3-Online</w:t>
            </w:r>
          </w:p>
        </w:tc>
      </w:tr>
      <w:tr w:rsidR="00C43B4F" w:rsidRPr="00C70AA7" w14:paraId="4D66B741" w14:textId="77777777" w:rsidTr="00C43B4F">
        <w:trPr>
          <w:trHeight w:val="288"/>
        </w:trPr>
        <w:tc>
          <w:tcPr>
            <w:tcW w:w="1118" w:type="pct"/>
            <w:shd w:val="clear" w:color="auto" w:fill="auto"/>
            <w:vAlign w:val="bottom"/>
            <w:hideMark/>
          </w:tcPr>
          <w:p w14:paraId="0475F1B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3BC699C6"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17</w:t>
            </w:r>
          </w:p>
        </w:tc>
        <w:tc>
          <w:tcPr>
            <w:tcW w:w="733" w:type="pct"/>
            <w:shd w:val="clear" w:color="auto" w:fill="auto"/>
            <w:noWrap/>
            <w:vAlign w:val="bottom"/>
            <w:hideMark/>
          </w:tcPr>
          <w:p w14:paraId="4D0625C8"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63</w:t>
            </w:r>
          </w:p>
        </w:tc>
        <w:tc>
          <w:tcPr>
            <w:tcW w:w="938" w:type="pct"/>
            <w:shd w:val="clear" w:color="auto" w:fill="auto"/>
            <w:vAlign w:val="bottom"/>
            <w:hideMark/>
          </w:tcPr>
          <w:p w14:paraId="7FE4563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-1</w:t>
            </w:r>
          </w:p>
        </w:tc>
        <w:tc>
          <w:tcPr>
            <w:tcW w:w="744" w:type="pct"/>
            <w:shd w:val="clear" w:color="auto" w:fill="auto"/>
            <w:vAlign w:val="bottom"/>
            <w:hideMark/>
          </w:tcPr>
          <w:p w14:paraId="75CCD079" w14:textId="77777777" w:rsidR="00C43B4F" w:rsidRPr="00C70AA7" w:rsidRDefault="00C43B4F" w:rsidP="00FA1E2B">
            <w:pPr>
              <w:spacing w:after="0" w:line="240" w:lineRule="auto"/>
              <w:rPr>
                <w:rFonts w:ascii="Calibri" w:hAnsi="Calibri" w:cs="Calibri"/>
                <w:color w:val="000000"/>
              </w:rPr>
            </w:pPr>
          </w:p>
        </w:tc>
      </w:tr>
      <w:tr w:rsidR="00C43B4F" w:rsidRPr="00C70AA7" w14:paraId="55B115F4" w14:textId="77777777" w:rsidTr="00C43B4F">
        <w:trPr>
          <w:trHeight w:val="288"/>
        </w:trPr>
        <w:tc>
          <w:tcPr>
            <w:tcW w:w="1118" w:type="pct"/>
            <w:shd w:val="clear" w:color="auto" w:fill="auto"/>
            <w:vAlign w:val="bottom"/>
            <w:hideMark/>
          </w:tcPr>
          <w:p w14:paraId="789117D8"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714CB48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16</w:t>
            </w:r>
          </w:p>
        </w:tc>
        <w:tc>
          <w:tcPr>
            <w:tcW w:w="733" w:type="pct"/>
            <w:shd w:val="clear" w:color="auto" w:fill="auto"/>
            <w:noWrap/>
            <w:vAlign w:val="bottom"/>
            <w:hideMark/>
          </w:tcPr>
          <w:p w14:paraId="26B5763B"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70</w:t>
            </w:r>
          </w:p>
        </w:tc>
        <w:tc>
          <w:tcPr>
            <w:tcW w:w="938" w:type="pct"/>
            <w:shd w:val="clear" w:color="auto" w:fill="auto"/>
            <w:vAlign w:val="bottom"/>
            <w:hideMark/>
          </w:tcPr>
          <w:p w14:paraId="1A85864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-2</w:t>
            </w:r>
          </w:p>
        </w:tc>
        <w:tc>
          <w:tcPr>
            <w:tcW w:w="744" w:type="pct"/>
            <w:shd w:val="clear" w:color="auto" w:fill="auto"/>
            <w:vAlign w:val="bottom"/>
            <w:hideMark/>
          </w:tcPr>
          <w:p w14:paraId="0F7D51A0" w14:textId="77777777" w:rsidR="00C43B4F" w:rsidRPr="00C70AA7" w:rsidRDefault="00C43B4F" w:rsidP="00FA1E2B">
            <w:pPr>
              <w:spacing w:after="0" w:line="240" w:lineRule="auto"/>
              <w:rPr>
                <w:rFonts w:ascii="Calibri" w:hAnsi="Calibri" w:cs="Calibri"/>
                <w:color w:val="000000"/>
              </w:rPr>
            </w:pPr>
          </w:p>
        </w:tc>
      </w:tr>
      <w:tr w:rsidR="00C43B4F" w:rsidRPr="00C70AA7" w14:paraId="2AB737B6" w14:textId="77777777" w:rsidTr="00C43B4F">
        <w:trPr>
          <w:trHeight w:val="288"/>
        </w:trPr>
        <w:tc>
          <w:tcPr>
            <w:tcW w:w="1118" w:type="pct"/>
            <w:shd w:val="clear" w:color="auto" w:fill="auto"/>
            <w:vAlign w:val="bottom"/>
            <w:hideMark/>
          </w:tcPr>
          <w:p w14:paraId="05A41FA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045E7C92"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20</w:t>
            </w:r>
          </w:p>
        </w:tc>
        <w:tc>
          <w:tcPr>
            <w:tcW w:w="733" w:type="pct"/>
            <w:shd w:val="clear" w:color="auto" w:fill="auto"/>
            <w:noWrap/>
            <w:vAlign w:val="bottom"/>
            <w:hideMark/>
          </w:tcPr>
          <w:p w14:paraId="37DDA40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80</w:t>
            </w:r>
          </w:p>
        </w:tc>
        <w:tc>
          <w:tcPr>
            <w:tcW w:w="938" w:type="pct"/>
            <w:shd w:val="clear" w:color="auto" w:fill="auto"/>
            <w:vAlign w:val="bottom"/>
            <w:hideMark/>
          </w:tcPr>
          <w:p w14:paraId="4CEAD38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-3</w:t>
            </w:r>
          </w:p>
        </w:tc>
        <w:tc>
          <w:tcPr>
            <w:tcW w:w="744" w:type="pct"/>
            <w:shd w:val="clear" w:color="auto" w:fill="auto"/>
            <w:vAlign w:val="bottom"/>
            <w:hideMark/>
          </w:tcPr>
          <w:p w14:paraId="67C27960" w14:textId="77777777" w:rsidR="00C43B4F" w:rsidRPr="00C70AA7" w:rsidRDefault="00C43B4F" w:rsidP="00FA1E2B">
            <w:pPr>
              <w:spacing w:after="0" w:line="240" w:lineRule="auto"/>
              <w:rPr>
                <w:rFonts w:ascii="Calibri" w:hAnsi="Calibri" w:cs="Calibri"/>
                <w:color w:val="000000"/>
              </w:rPr>
            </w:pPr>
          </w:p>
        </w:tc>
      </w:tr>
      <w:tr w:rsidR="00C43B4F" w:rsidRPr="00C70AA7" w14:paraId="4EAA9F79" w14:textId="77777777" w:rsidTr="00C43B4F">
        <w:trPr>
          <w:trHeight w:val="288"/>
        </w:trPr>
        <w:tc>
          <w:tcPr>
            <w:tcW w:w="1118" w:type="pct"/>
            <w:shd w:val="clear" w:color="auto" w:fill="auto"/>
            <w:vAlign w:val="bottom"/>
            <w:hideMark/>
          </w:tcPr>
          <w:p w14:paraId="51E100CE"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3FE8C7D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4</w:t>
            </w:r>
          </w:p>
        </w:tc>
        <w:tc>
          <w:tcPr>
            <w:tcW w:w="733" w:type="pct"/>
            <w:shd w:val="clear" w:color="auto" w:fill="auto"/>
            <w:noWrap/>
            <w:vAlign w:val="bottom"/>
            <w:hideMark/>
          </w:tcPr>
          <w:p w14:paraId="60463C6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66</w:t>
            </w:r>
          </w:p>
        </w:tc>
        <w:tc>
          <w:tcPr>
            <w:tcW w:w="938" w:type="pct"/>
            <w:shd w:val="clear" w:color="auto" w:fill="auto"/>
            <w:vAlign w:val="bottom"/>
            <w:hideMark/>
          </w:tcPr>
          <w:p w14:paraId="0187D3A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-4</w:t>
            </w:r>
          </w:p>
        </w:tc>
        <w:tc>
          <w:tcPr>
            <w:tcW w:w="744" w:type="pct"/>
            <w:shd w:val="clear" w:color="auto" w:fill="auto"/>
            <w:vAlign w:val="bottom"/>
            <w:hideMark/>
          </w:tcPr>
          <w:p w14:paraId="52CE47F0" w14:textId="77777777" w:rsidR="00C43B4F" w:rsidRPr="00C70AA7" w:rsidRDefault="00C43B4F" w:rsidP="00FA1E2B">
            <w:pPr>
              <w:spacing w:after="0" w:line="240" w:lineRule="auto"/>
              <w:rPr>
                <w:rFonts w:ascii="Calibri" w:hAnsi="Calibri" w:cs="Calibri"/>
                <w:color w:val="000000"/>
              </w:rPr>
            </w:pPr>
          </w:p>
        </w:tc>
      </w:tr>
      <w:tr w:rsidR="00C43B4F" w:rsidRPr="00C70AA7" w14:paraId="3E2E7527" w14:textId="77777777" w:rsidTr="00C43B4F">
        <w:trPr>
          <w:trHeight w:val="288"/>
        </w:trPr>
        <w:tc>
          <w:tcPr>
            <w:tcW w:w="1118" w:type="pct"/>
            <w:shd w:val="clear" w:color="auto" w:fill="auto"/>
            <w:vAlign w:val="bottom"/>
            <w:hideMark/>
          </w:tcPr>
          <w:p w14:paraId="02B4CFB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6D920C8D"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11</w:t>
            </w:r>
          </w:p>
        </w:tc>
        <w:tc>
          <w:tcPr>
            <w:tcW w:w="733" w:type="pct"/>
            <w:shd w:val="clear" w:color="auto" w:fill="auto"/>
            <w:noWrap/>
            <w:vAlign w:val="bottom"/>
            <w:hideMark/>
          </w:tcPr>
          <w:p w14:paraId="16F87257"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71</w:t>
            </w:r>
          </w:p>
        </w:tc>
        <w:tc>
          <w:tcPr>
            <w:tcW w:w="938" w:type="pct"/>
            <w:shd w:val="clear" w:color="auto" w:fill="auto"/>
            <w:vAlign w:val="bottom"/>
            <w:hideMark/>
          </w:tcPr>
          <w:p w14:paraId="54473A69"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-5</w:t>
            </w:r>
          </w:p>
        </w:tc>
        <w:tc>
          <w:tcPr>
            <w:tcW w:w="744" w:type="pct"/>
            <w:shd w:val="clear" w:color="auto" w:fill="auto"/>
            <w:vAlign w:val="bottom"/>
            <w:hideMark/>
          </w:tcPr>
          <w:p w14:paraId="4B98C0EF" w14:textId="77777777" w:rsidR="00C43B4F" w:rsidRPr="00C70AA7" w:rsidRDefault="00C43B4F" w:rsidP="00FA1E2B">
            <w:pPr>
              <w:spacing w:after="0" w:line="240" w:lineRule="auto"/>
              <w:rPr>
                <w:rFonts w:ascii="Calibri" w:hAnsi="Calibri" w:cs="Calibri"/>
                <w:color w:val="000000"/>
              </w:rPr>
            </w:pPr>
          </w:p>
        </w:tc>
      </w:tr>
      <w:tr w:rsidR="00C43B4F" w:rsidRPr="00C70AA7" w14:paraId="26B0B6DC" w14:textId="77777777" w:rsidTr="00C43B4F">
        <w:trPr>
          <w:trHeight w:val="288"/>
        </w:trPr>
        <w:tc>
          <w:tcPr>
            <w:tcW w:w="1118" w:type="pct"/>
            <w:shd w:val="clear" w:color="auto" w:fill="auto"/>
            <w:vAlign w:val="bottom"/>
            <w:hideMark/>
          </w:tcPr>
          <w:p w14:paraId="17513B54"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W</w:t>
            </w:r>
          </w:p>
        </w:tc>
        <w:tc>
          <w:tcPr>
            <w:tcW w:w="1467" w:type="pct"/>
            <w:shd w:val="clear" w:color="auto" w:fill="auto"/>
            <w:noWrap/>
            <w:vAlign w:val="bottom"/>
            <w:hideMark/>
          </w:tcPr>
          <w:p w14:paraId="225DB70C"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13</w:t>
            </w:r>
          </w:p>
        </w:tc>
        <w:tc>
          <w:tcPr>
            <w:tcW w:w="733" w:type="pct"/>
            <w:shd w:val="clear" w:color="auto" w:fill="auto"/>
            <w:noWrap/>
            <w:vAlign w:val="bottom"/>
            <w:hideMark/>
          </w:tcPr>
          <w:p w14:paraId="0043FD50"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75</w:t>
            </w:r>
          </w:p>
        </w:tc>
        <w:tc>
          <w:tcPr>
            <w:tcW w:w="938" w:type="pct"/>
            <w:shd w:val="clear" w:color="auto" w:fill="auto"/>
            <w:vAlign w:val="bottom"/>
            <w:hideMark/>
          </w:tcPr>
          <w:p w14:paraId="4B599125"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OPD</w:t>
            </w:r>
            <w:r w:rsidRPr="00C70AA7">
              <w:rPr>
                <w:rFonts w:ascii="Calibri" w:hAnsi="Calibri" w:cs="Calibri"/>
                <w:color w:val="000000"/>
              </w:rPr>
              <w:t>-6</w:t>
            </w:r>
          </w:p>
        </w:tc>
        <w:tc>
          <w:tcPr>
            <w:tcW w:w="744" w:type="pct"/>
            <w:shd w:val="clear" w:color="auto" w:fill="auto"/>
            <w:vAlign w:val="bottom"/>
            <w:hideMark/>
          </w:tcPr>
          <w:p w14:paraId="4622234A" w14:textId="77777777" w:rsidR="00C43B4F" w:rsidRPr="00C70AA7" w:rsidRDefault="00C43B4F" w:rsidP="00FA1E2B">
            <w:pPr>
              <w:spacing w:after="0" w:line="240" w:lineRule="auto"/>
              <w:rPr>
                <w:rFonts w:ascii="Calibri" w:hAnsi="Calibri" w:cs="Calibri"/>
                <w:color w:val="000000"/>
              </w:rPr>
            </w:pPr>
          </w:p>
        </w:tc>
      </w:tr>
      <w:tr w:rsidR="00C43B4F" w:rsidRPr="00C70AA7" w14:paraId="28D65884" w14:textId="77777777" w:rsidTr="00C43B4F">
        <w:trPr>
          <w:trHeight w:val="288"/>
        </w:trPr>
        <w:tc>
          <w:tcPr>
            <w:tcW w:w="1118" w:type="pct"/>
            <w:shd w:val="clear" w:color="auto" w:fill="8EAADB" w:themeFill="accent1" w:themeFillTint="99"/>
            <w:noWrap/>
            <w:vAlign w:val="bottom"/>
            <w:hideMark/>
          </w:tcPr>
          <w:p w14:paraId="6463DBC1"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1467" w:type="pct"/>
            <w:shd w:val="clear" w:color="auto" w:fill="8EAADB" w:themeFill="accent1" w:themeFillTint="99"/>
            <w:noWrap/>
            <w:vAlign w:val="bottom"/>
            <w:hideMark/>
          </w:tcPr>
          <w:p w14:paraId="65F2600A" w14:textId="77777777" w:rsidR="00C43B4F" w:rsidRPr="00C70AA7" w:rsidRDefault="00C43B4F" w:rsidP="00FA1E2B">
            <w:pPr>
              <w:spacing w:after="0" w:line="240" w:lineRule="auto"/>
              <w:rPr>
                <w:rFonts w:ascii="Calibri" w:hAnsi="Calibri" w:cs="Calibri"/>
                <w:color w:val="000000"/>
              </w:rPr>
            </w:pPr>
            <w:r>
              <w:rPr>
                <w:rFonts w:ascii="Calibri" w:hAnsi="Calibri" w:cs="Calibri"/>
                <w:color w:val="000000"/>
              </w:rPr>
              <w:t>10.3</w:t>
            </w:r>
          </w:p>
        </w:tc>
        <w:tc>
          <w:tcPr>
            <w:tcW w:w="733" w:type="pct"/>
            <w:shd w:val="clear" w:color="auto" w:fill="8EAADB" w:themeFill="accent1" w:themeFillTint="99"/>
            <w:noWrap/>
            <w:vAlign w:val="bottom"/>
            <w:hideMark/>
          </w:tcPr>
          <w:p w14:paraId="1E5B532D"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71</w:t>
            </w:r>
          </w:p>
        </w:tc>
        <w:tc>
          <w:tcPr>
            <w:tcW w:w="938" w:type="pct"/>
            <w:shd w:val="clear" w:color="auto" w:fill="8EAADB" w:themeFill="accent1" w:themeFillTint="99"/>
            <w:noWrap/>
            <w:vAlign w:val="bottom"/>
            <w:hideMark/>
          </w:tcPr>
          <w:p w14:paraId="30929C45" w14:textId="77777777" w:rsidR="00C43B4F" w:rsidRPr="00C70AA7" w:rsidRDefault="00C43B4F" w:rsidP="00FA1E2B">
            <w:pPr>
              <w:spacing w:after="0" w:line="240" w:lineRule="auto"/>
              <w:rPr>
                <w:rFonts w:ascii="Calibri" w:hAnsi="Calibri" w:cs="Calibri"/>
                <w:color w:val="000000"/>
              </w:rPr>
            </w:pPr>
            <w:r w:rsidRPr="00C70AA7">
              <w:rPr>
                <w:rFonts w:ascii="Calibri" w:hAnsi="Calibri" w:cs="Calibri"/>
                <w:color w:val="000000"/>
              </w:rPr>
              <w:t> </w:t>
            </w:r>
          </w:p>
        </w:tc>
        <w:tc>
          <w:tcPr>
            <w:tcW w:w="744" w:type="pct"/>
            <w:shd w:val="clear" w:color="auto" w:fill="8EAADB" w:themeFill="accent1" w:themeFillTint="99"/>
            <w:noWrap/>
            <w:vAlign w:val="bottom"/>
            <w:hideMark/>
          </w:tcPr>
          <w:p w14:paraId="0381E261" w14:textId="77777777" w:rsidR="00C43B4F" w:rsidRPr="00C70AA7" w:rsidRDefault="00C43B4F" w:rsidP="00FA1E2B">
            <w:pPr>
              <w:keepNext/>
              <w:spacing w:after="0" w:line="240" w:lineRule="auto"/>
              <w:rPr>
                <w:rFonts w:ascii="Calibri" w:hAnsi="Calibri" w:cs="Calibri"/>
                <w:color w:val="000000"/>
              </w:rPr>
            </w:pPr>
            <w:r w:rsidRPr="00C70AA7">
              <w:rPr>
                <w:rFonts w:ascii="Calibri" w:hAnsi="Calibri" w:cs="Calibri"/>
                <w:color w:val="000000"/>
              </w:rPr>
              <w:t>Average</w:t>
            </w:r>
          </w:p>
        </w:tc>
      </w:tr>
    </w:tbl>
    <w:p w14:paraId="420E790C" w14:textId="1A80ECEB" w:rsidR="00C43B4F" w:rsidRPr="008C1C37" w:rsidRDefault="00C43B4F" w:rsidP="00C43B4F">
      <w:pPr>
        <w:pStyle w:val="Caption"/>
        <w:jc w:val="both"/>
        <w:rPr>
          <w:b/>
          <w:bCs/>
          <w:i w:val="0"/>
          <w:iCs w:val="0"/>
          <w:color w:val="auto"/>
          <w:sz w:val="22"/>
          <w:szCs w:val="22"/>
        </w:rPr>
      </w:pPr>
      <w:r w:rsidRPr="008C1C37">
        <w:rPr>
          <w:b/>
          <w:bCs/>
          <w:i w:val="0"/>
          <w:iCs w:val="0"/>
          <w:color w:val="auto"/>
          <w:sz w:val="22"/>
          <w:szCs w:val="22"/>
        </w:rPr>
        <w:t xml:space="preserve">Table </w:t>
      </w:r>
      <w:commentRangeStart w:id="2"/>
      <w:commentRangeStart w:id="3"/>
      <w:r w:rsidRPr="008C1C37">
        <w:rPr>
          <w:b/>
          <w:bCs/>
          <w:i w:val="0"/>
          <w:iCs w:val="0"/>
          <w:color w:val="auto"/>
          <w:sz w:val="22"/>
          <w:szCs w:val="22"/>
        </w:rPr>
        <w:t>X</w:t>
      </w:r>
      <w:commentRangeEnd w:id="2"/>
      <w:r>
        <w:rPr>
          <w:rStyle w:val="CommentReference"/>
          <w:color w:val="auto"/>
        </w:rPr>
        <w:commentReference w:id="2"/>
      </w:r>
      <w:commentRangeEnd w:id="3"/>
      <w:r>
        <w:rPr>
          <w:rStyle w:val="CommentReference"/>
          <w:i w:val="0"/>
          <w:iCs w:val="0"/>
          <w:color w:val="auto"/>
        </w:rPr>
        <w:commentReference w:id="3"/>
      </w:r>
      <w:r w:rsidR="000218DC">
        <w:rPr>
          <w:rFonts w:hint="cs"/>
          <w:b/>
          <w:bCs/>
          <w:i w:val="0"/>
          <w:iCs w:val="0"/>
          <w:color w:val="auto"/>
          <w:sz w:val="22"/>
          <w:szCs w:val="22"/>
          <w:rtl/>
        </w:rPr>
        <w:t>4</w:t>
      </w:r>
      <w:r w:rsidRPr="008C1C37">
        <w:rPr>
          <w:b/>
          <w:bCs/>
          <w:i w:val="0"/>
          <w:iCs w:val="0"/>
          <w:color w:val="auto"/>
          <w:sz w:val="22"/>
          <w:szCs w:val="22"/>
        </w:rPr>
        <w:t>. Demographic information of Individuals with PD.</w:t>
      </w:r>
    </w:p>
    <w:p w14:paraId="4046AAEF" w14:textId="77777777" w:rsidR="00C43B4F" w:rsidRPr="00383B53" w:rsidRDefault="00C43B4F" w:rsidP="00C43B4F">
      <w:pPr>
        <w:spacing w:line="360" w:lineRule="auto"/>
        <w:rPr>
          <w:rFonts w:asciiTheme="majorBidi" w:hAnsiTheme="majorBidi" w:cstheme="majorBidi"/>
        </w:rPr>
      </w:pPr>
      <w:r>
        <w:rPr>
          <w:rFonts w:asciiTheme="majorBidi" w:hAnsiTheme="majorBidi" w:cstheme="majorBidi"/>
        </w:rPr>
        <w:t>Six</w:t>
      </w:r>
      <w:r w:rsidRPr="00383B53">
        <w:rPr>
          <w:rFonts w:asciiTheme="majorBidi" w:hAnsiTheme="majorBidi" w:cstheme="majorBidi"/>
        </w:rPr>
        <w:t xml:space="preserve"> key themes </w:t>
      </w:r>
      <w:r>
        <w:rPr>
          <w:rFonts w:asciiTheme="majorBidi" w:hAnsiTheme="majorBidi" w:cstheme="majorBidi"/>
        </w:rPr>
        <w:t xml:space="preserve">emerged </w:t>
      </w:r>
      <w:r w:rsidRPr="00383B53">
        <w:rPr>
          <w:rFonts w:asciiTheme="majorBidi" w:hAnsiTheme="majorBidi" w:cstheme="majorBidi"/>
        </w:rPr>
        <w:t xml:space="preserve">from the </w:t>
      </w:r>
      <w:r>
        <w:rPr>
          <w:rFonts w:asciiTheme="majorBidi" w:hAnsiTheme="majorBidi" w:cstheme="majorBidi"/>
        </w:rPr>
        <w:t xml:space="preserve">thematic analysis we performed: (1) </w:t>
      </w:r>
      <w:bookmarkStart w:id="4" w:name="_Hlk108640882"/>
      <w:r w:rsidRPr="00383B53">
        <w:rPr>
          <w:rFonts w:asciiTheme="majorBidi" w:hAnsiTheme="majorBidi" w:cstheme="majorBidi"/>
        </w:rPr>
        <w:t xml:space="preserve">Key difficulties </w:t>
      </w:r>
      <w:r>
        <w:rPr>
          <w:rFonts w:asciiTheme="majorBidi" w:hAnsiTheme="majorBidi" w:cstheme="majorBidi"/>
        </w:rPr>
        <w:t>of people living with PD</w:t>
      </w:r>
      <w:bookmarkEnd w:id="4"/>
      <w:r>
        <w:rPr>
          <w:rFonts w:asciiTheme="majorBidi" w:hAnsiTheme="majorBidi" w:cstheme="majorBidi"/>
        </w:rPr>
        <w:t xml:space="preserve">; (2) Ideas for assistive technologies for individuals with PD; (3) </w:t>
      </w:r>
      <w:r w:rsidRPr="00BA2831">
        <w:rPr>
          <w:rFonts w:asciiTheme="majorBidi" w:hAnsiTheme="majorBidi" w:cstheme="majorBidi"/>
        </w:rPr>
        <w:t>Perceived</w:t>
      </w:r>
      <w:r w:rsidRPr="00383B53">
        <w:rPr>
          <w:rFonts w:asciiTheme="majorBidi" w:hAnsiTheme="majorBidi" w:cstheme="majorBidi"/>
        </w:rPr>
        <w:t xml:space="preserve"> </w:t>
      </w:r>
      <w:r>
        <w:rPr>
          <w:rFonts w:asciiTheme="majorBidi" w:hAnsiTheme="majorBidi" w:cstheme="majorBidi"/>
        </w:rPr>
        <w:t>a</w:t>
      </w:r>
      <w:r w:rsidRPr="00383B53">
        <w:rPr>
          <w:rFonts w:asciiTheme="majorBidi" w:hAnsiTheme="majorBidi" w:cstheme="majorBidi"/>
        </w:rPr>
        <w:t>dvantages</w:t>
      </w:r>
      <w:r>
        <w:rPr>
          <w:rFonts w:asciiTheme="majorBidi" w:hAnsiTheme="majorBidi" w:cstheme="majorBidi"/>
        </w:rPr>
        <w:t xml:space="preserve"> of </w:t>
      </w:r>
      <w:r w:rsidRPr="00383B53">
        <w:rPr>
          <w:rFonts w:asciiTheme="majorBidi" w:hAnsiTheme="majorBidi" w:cstheme="majorBidi"/>
        </w:rPr>
        <w:t>SARs</w:t>
      </w:r>
      <w:r>
        <w:rPr>
          <w:rFonts w:asciiTheme="majorBidi" w:hAnsiTheme="majorBidi" w:cstheme="majorBidi"/>
        </w:rPr>
        <w:t xml:space="preserve">; (4) </w:t>
      </w:r>
      <w:r w:rsidRPr="00383B53">
        <w:rPr>
          <w:rFonts w:asciiTheme="majorBidi" w:hAnsiTheme="majorBidi" w:cstheme="majorBidi"/>
        </w:rPr>
        <w:t>Suggestions regarding SAR</w:t>
      </w:r>
      <w:r>
        <w:rPr>
          <w:rFonts w:asciiTheme="majorBidi" w:hAnsiTheme="majorBidi" w:cstheme="majorBidi"/>
        </w:rPr>
        <w:t xml:space="preserve"> design, operation and </w:t>
      </w:r>
      <w:r>
        <w:rPr>
          <w:rFonts w:asciiTheme="majorBidi" w:hAnsiTheme="majorBidi" w:cstheme="majorBidi"/>
        </w:rPr>
        <w:lastRenderedPageBreak/>
        <w:t xml:space="preserve">interactive functionality; (5) </w:t>
      </w:r>
      <w:r w:rsidRPr="00383B53">
        <w:rPr>
          <w:rFonts w:asciiTheme="majorBidi" w:hAnsiTheme="majorBidi" w:cstheme="majorBidi"/>
        </w:rPr>
        <w:t xml:space="preserve">Concerns regarding </w:t>
      </w:r>
      <w:r>
        <w:rPr>
          <w:rFonts w:asciiTheme="majorBidi" w:hAnsiTheme="majorBidi" w:cstheme="majorBidi"/>
        </w:rPr>
        <w:t xml:space="preserve">the use of </w:t>
      </w:r>
      <w:r w:rsidRPr="00383B53">
        <w:rPr>
          <w:rFonts w:asciiTheme="majorBidi" w:hAnsiTheme="majorBidi" w:cstheme="majorBidi"/>
        </w:rPr>
        <w:t>SARs</w:t>
      </w:r>
      <w:r>
        <w:rPr>
          <w:rFonts w:asciiTheme="majorBidi" w:hAnsiTheme="majorBidi" w:cstheme="majorBidi"/>
        </w:rPr>
        <w:t xml:space="preserve">, and (6) </w:t>
      </w:r>
      <w:r w:rsidRPr="00F574F0">
        <w:rPr>
          <w:rFonts w:asciiTheme="majorBidi" w:hAnsiTheme="majorBidi" w:cstheme="majorBidi"/>
        </w:rPr>
        <w:t>Attitude</w:t>
      </w:r>
      <w:r>
        <w:rPr>
          <w:rFonts w:asciiTheme="majorBidi" w:hAnsiTheme="majorBidi" w:cstheme="majorBidi"/>
        </w:rPr>
        <w:t>s</w:t>
      </w:r>
      <w:r w:rsidRPr="00F574F0">
        <w:rPr>
          <w:rFonts w:asciiTheme="majorBidi" w:hAnsiTheme="majorBidi" w:cstheme="majorBidi"/>
        </w:rPr>
        <w:t xml:space="preserve"> towards </w:t>
      </w:r>
      <w:r>
        <w:rPr>
          <w:rFonts w:asciiTheme="majorBidi" w:hAnsiTheme="majorBidi" w:cstheme="majorBidi" w:hint="cs"/>
        </w:rPr>
        <w:t>SAR</w:t>
      </w:r>
      <w:r>
        <w:rPr>
          <w:rFonts w:asciiTheme="majorBidi" w:hAnsiTheme="majorBidi" w:cstheme="majorBidi"/>
        </w:rPr>
        <w:t>s.</w:t>
      </w:r>
    </w:p>
    <w:p w14:paraId="72186A0A" w14:textId="77777777" w:rsidR="00C43B4F" w:rsidRPr="00A25505" w:rsidRDefault="00C43B4F" w:rsidP="00C43B4F">
      <w:pPr>
        <w:spacing w:line="360" w:lineRule="auto"/>
        <w:rPr>
          <w:rFonts w:asciiTheme="majorBidi" w:hAnsiTheme="majorBidi" w:cstheme="majorBidi"/>
          <w:rtl/>
        </w:rPr>
      </w:pPr>
      <w:r>
        <w:rPr>
          <w:rFonts w:asciiTheme="majorBidi" w:hAnsiTheme="majorBidi" w:cstheme="majorBidi"/>
        </w:rPr>
        <w:t>W</w:t>
      </w:r>
      <w:r w:rsidRPr="00A25505">
        <w:rPr>
          <w:rFonts w:asciiTheme="majorBidi" w:hAnsiTheme="majorBidi" w:cstheme="majorBidi"/>
        </w:rPr>
        <w:t xml:space="preserve">e </w:t>
      </w:r>
      <w:r>
        <w:rPr>
          <w:rFonts w:asciiTheme="majorBidi" w:hAnsiTheme="majorBidi" w:cstheme="majorBidi"/>
        </w:rPr>
        <w:t xml:space="preserve">further </w:t>
      </w:r>
      <w:r w:rsidRPr="00A25505">
        <w:rPr>
          <w:rFonts w:asciiTheme="majorBidi" w:hAnsiTheme="majorBidi" w:cstheme="majorBidi"/>
        </w:rPr>
        <w:t xml:space="preserve">divided </w:t>
      </w:r>
      <w:r>
        <w:rPr>
          <w:rFonts w:asciiTheme="majorBidi" w:hAnsiTheme="majorBidi" w:cstheme="majorBidi"/>
        </w:rPr>
        <w:t xml:space="preserve">each of </w:t>
      </w:r>
      <w:r w:rsidRPr="00A25505">
        <w:rPr>
          <w:rFonts w:asciiTheme="majorBidi" w:hAnsiTheme="majorBidi" w:cstheme="majorBidi"/>
        </w:rPr>
        <w:t xml:space="preserve">the </w:t>
      </w:r>
      <w:r>
        <w:rPr>
          <w:rFonts w:asciiTheme="majorBidi" w:hAnsiTheme="majorBidi" w:cstheme="majorBidi"/>
        </w:rPr>
        <w:t xml:space="preserve">six </w:t>
      </w:r>
      <w:r w:rsidRPr="00A25505">
        <w:rPr>
          <w:rFonts w:asciiTheme="majorBidi" w:hAnsiTheme="majorBidi" w:cstheme="majorBidi"/>
        </w:rPr>
        <w:t>main themes into sub-categories</w:t>
      </w:r>
      <w:r>
        <w:rPr>
          <w:rFonts w:asciiTheme="majorBidi" w:hAnsiTheme="majorBidi" w:cstheme="majorBidi"/>
        </w:rPr>
        <w:t>, as detailed below</w:t>
      </w:r>
      <w:r w:rsidRPr="00A25505">
        <w:rPr>
          <w:rFonts w:asciiTheme="majorBidi" w:hAnsiTheme="majorBidi" w:cstheme="majorBidi"/>
        </w:rPr>
        <w:t>.</w:t>
      </w:r>
      <w:r>
        <w:rPr>
          <w:rFonts w:asciiTheme="majorBidi" w:hAnsiTheme="majorBidi" w:cstheme="majorBidi"/>
        </w:rPr>
        <w:t xml:space="preserve"> In the detailed description below, ‘N’ denotes the number of items within each category, and ‘n’ denotes </w:t>
      </w:r>
      <w:r w:rsidRPr="00B6378A">
        <w:rPr>
          <w:rFonts w:asciiTheme="majorBidi" w:hAnsiTheme="majorBidi" w:cstheme="majorBidi"/>
        </w:rPr>
        <w:t>the number of participants who mentioned the item.</w:t>
      </w:r>
      <w:r w:rsidRPr="00B6378A" w:rsidDel="00B6378A">
        <w:rPr>
          <w:rFonts w:asciiTheme="majorBidi" w:hAnsiTheme="majorBidi" w:cstheme="majorBidi"/>
        </w:rPr>
        <w:t xml:space="preserve"> </w:t>
      </w:r>
    </w:p>
    <w:p w14:paraId="2DA8EBF5" w14:textId="77777777" w:rsidR="00C43B4F" w:rsidRDefault="00C43B4F" w:rsidP="00C43B4F">
      <w:pPr>
        <w:spacing w:line="360" w:lineRule="auto"/>
        <w:rPr>
          <w:rFonts w:asciiTheme="majorBidi" w:hAnsiTheme="majorBidi" w:cstheme="majorBidi"/>
          <w:b/>
          <w:bCs/>
        </w:rPr>
      </w:pPr>
      <w:r>
        <w:rPr>
          <w:rFonts w:asciiTheme="majorBidi" w:hAnsiTheme="majorBidi" w:cstheme="majorBidi"/>
          <w:b/>
          <w:bCs/>
        </w:rPr>
        <w:t xml:space="preserve">3.1.1 </w:t>
      </w:r>
      <w:r w:rsidRPr="00383B53">
        <w:rPr>
          <w:rFonts w:asciiTheme="majorBidi" w:hAnsiTheme="majorBidi" w:cstheme="majorBidi"/>
          <w:b/>
          <w:bCs/>
        </w:rPr>
        <w:t>Key difficulties</w:t>
      </w:r>
      <w:r>
        <w:rPr>
          <w:rFonts w:asciiTheme="majorBidi" w:hAnsiTheme="majorBidi" w:cstheme="majorBidi"/>
          <w:b/>
          <w:bCs/>
        </w:rPr>
        <w:t xml:space="preserve"> of people living with PD </w:t>
      </w:r>
    </w:p>
    <w:p w14:paraId="4470E641" w14:textId="316992D9" w:rsidR="00C43B4F" w:rsidRDefault="00C43B4F" w:rsidP="00942C40">
      <w:pPr>
        <w:spacing w:line="360" w:lineRule="auto"/>
        <w:rPr>
          <w:rFonts w:asciiTheme="majorBidi" w:hAnsiTheme="majorBidi" w:cstheme="majorBidi"/>
        </w:rPr>
      </w:pPr>
      <w:r>
        <w:rPr>
          <w:color w:val="0E101A"/>
        </w:rPr>
        <w:t>The responses of individuals with PD</w:t>
      </w:r>
      <w:r>
        <w:rPr>
          <w:rFonts w:asciiTheme="majorBidi" w:hAnsiTheme="majorBidi" w:cstheme="majorBidi"/>
        </w:rPr>
        <w:t xml:space="preserve"> to the question “</w:t>
      </w:r>
      <w:r w:rsidRPr="002B5E4B">
        <w:rPr>
          <w:rFonts w:asciiTheme="majorBidi" w:hAnsiTheme="majorBidi" w:cstheme="majorBidi"/>
        </w:rPr>
        <w:t>Name three main restrictions/limitations</w:t>
      </w:r>
      <w:r>
        <w:rPr>
          <w:rFonts w:asciiTheme="majorBidi" w:hAnsiTheme="majorBidi" w:cstheme="majorBidi"/>
        </w:rPr>
        <w:t xml:space="preserve"> you </w:t>
      </w:r>
      <w:r w:rsidRPr="00BA479C">
        <w:rPr>
          <w:rFonts w:asciiTheme="majorBidi" w:hAnsiTheme="majorBidi" w:cstheme="majorBidi"/>
        </w:rPr>
        <w:t>experience, living with PD</w:t>
      </w:r>
      <w:r>
        <w:rPr>
          <w:rFonts w:asciiTheme="majorBidi" w:hAnsiTheme="majorBidi" w:cstheme="majorBidi"/>
        </w:rPr>
        <w:t xml:space="preserve">” fell into one of </w:t>
      </w:r>
      <w:r w:rsidRPr="002A228A">
        <w:rPr>
          <w:rFonts w:asciiTheme="majorBidi" w:hAnsiTheme="majorBidi" w:cstheme="majorBidi"/>
        </w:rPr>
        <w:t>five categories</w:t>
      </w:r>
      <w:r>
        <w:rPr>
          <w:rFonts w:asciiTheme="majorBidi" w:hAnsiTheme="majorBidi" w:cstheme="majorBidi"/>
        </w:rPr>
        <w:t>:</w:t>
      </w:r>
      <w:r w:rsidRPr="00DE57CE">
        <w:rPr>
          <w:rFonts w:asciiTheme="majorBidi" w:hAnsiTheme="majorBidi" w:cstheme="majorBidi"/>
        </w:rPr>
        <w:t xml:space="preserve"> motor (N = 5</w:t>
      </w:r>
      <w:r>
        <w:rPr>
          <w:rFonts w:asciiTheme="majorBidi" w:hAnsiTheme="majorBidi" w:cstheme="majorBidi"/>
        </w:rPr>
        <w:t>2</w:t>
      </w:r>
      <w:r w:rsidRPr="00DE57CE">
        <w:rPr>
          <w:rFonts w:asciiTheme="majorBidi" w:hAnsiTheme="majorBidi" w:cstheme="majorBidi"/>
        </w:rPr>
        <w:t xml:space="preserve">), </w:t>
      </w:r>
      <w:r>
        <w:rPr>
          <w:rFonts w:asciiTheme="majorBidi" w:hAnsiTheme="majorBidi" w:cstheme="majorBidi"/>
        </w:rPr>
        <w:t>a</w:t>
      </w:r>
      <w:r w:rsidRPr="00D9253F">
        <w:rPr>
          <w:rFonts w:asciiTheme="majorBidi" w:hAnsiTheme="majorBidi" w:cstheme="majorBidi"/>
        </w:rPr>
        <w:t xml:space="preserve">utonomic </w:t>
      </w:r>
      <w:r w:rsidRPr="00DE57CE">
        <w:rPr>
          <w:rFonts w:asciiTheme="majorBidi" w:hAnsiTheme="majorBidi" w:cstheme="majorBidi"/>
        </w:rPr>
        <w:t>system (N = 19),</w:t>
      </w:r>
      <w:r w:rsidRPr="00BA479C">
        <w:rPr>
          <w:rFonts w:asciiTheme="majorBidi" w:hAnsiTheme="majorBidi" w:cstheme="majorBidi"/>
        </w:rPr>
        <w:t xml:space="preserve"> </w:t>
      </w:r>
      <w:r w:rsidRPr="00DE57CE">
        <w:rPr>
          <w:rFonts w:asciiTheme="majorBidi" w:hAnsiTheme="majorBidi" w:cstheme="majorBidi"/>
        </w:rPr>
        <w:t xml:space="preserve">communication (N = </w:t>
      </w:r>
      <w:r>
        <w:rPr>
          <w:rFonts w:asciiTheme="majorBidi" w:hAnsiTheme="majorBidi" w:cstheme="majorBidi"/>
        </w:rPr>
        <w:t>18</w:t>
      </w:r>
      <w:r w:rsidRPr="00DE57CE">
        <w:rPr>
          <w:rFonts w:asciiTheme="majorBidi" w:hAnsiTheme="majorBidi" w:cstheme="majorBidi"/>
        </w:rPr>
        <w:t xml:space="preserve">), emotional (N = </w:t>
      </w:r>
      <w:r>
        <w:rPr>
          <w:rFonts w:asciiTheme="majorBidi" w:hAnsiTheme="majorBidi" w:cstheme="majorBidi"/>
        </w:rPr>
        <w:t>8</w:t>
      </w:r>
      <w:r w:rsidRPr="00DE57CE">
        <w:rPr>
          <w:rFonts w:asciiTheme="majorBidi" w:hAnsiTheme="majorBidi" w:cstheme="majorBidi"/>
        </w:rPr>
        <w:t xml:space="preserve">), and cognitive (N = 1). </w:t>
      </w:r>
      <w:r w:rsidRPr="00A6582B">
        <w:rPr>
          <w:rFonts w:asciiTheme="majorBidi" w:hAnsiTheme="majorBidi" w:cstheme="majorBidi"/>
        </w:rPr>
        <w:t xml:space="preserve">The division into these categories is consistent with other studies that discussed the difficulties of people with PD </w:t>
      </w:r>
      <w:r>
        <w:rPr>
          <w:rFonts w:asciiTheme="majorBidi" w:hAnsiTheme="majorBidi" w:cstheme="majorBidi"/>
        </w:rPr>
        <w:fldChar w:fldCharType="begin"/>
      </w:r>
      <w:r>
        <w:rPr>
          <w:rFonts w:asciiTheme="majorBidi" w:hAnsiTheme="majorBidi" w:cstheme="majorBidi"/>
        </w:rPr>
        <w:instrText xml:space="preserve"> ADDIN ZOTERO_ITEM CSL_CITATION {"citationID":"D2AVLS5n","properties":{"formattedCitation":"(Bar-On et al., 2022; Rajiah et al., 2017)","plainCitation":"(Bar-On et al., 2022; Rajiah et al., 2017)","noteIndex":0},"citationItems":[{"id":322,"uris":["http://zotero.org/users/9293396/items/45QJZW3M"],"itemData":{"id":322,"type":"article-journal","abstract":"To explore how socially assistive robots (SARs) may assist the specific needs of individuals with Parkinson's disease (IwPD), we conducted three focus groups with 12 clinicians who treat IwPD. We present a thematic analysis of their perceptions of the needs of the patients, and their own expectations, perceived advantages, disadvantages and concerns regarding the use of SARs for IwPD. Clinicians were positive towards using SARs for IwPD, if used in the patient's home, for motor, communication, emotional, and cognitive needs, especially for practice and for help with activities of daily living. They were concerned that a SAR might be used to replace clinicians’ work, and stressed it should only augment the clinicians’ work. They thought a SAR may relieve some of the burden experienced by informal caregivers, and identified specific applications for SARs for PD. We asked 18 stakeholders (nine IwPD, nine family members) to rate their level of agreement with the clinicians’ statements. The greatest divergence between their views and those of the clinicians was on the topic of using a SAR as a companion, or as a feeding assistant, to which they objected. This work may be used as a basis for future studies designing SARs for IwPD.","container-title":"ACM Transactions on Human-Robot Interaction","DOI":"10.1145/3570168","journalAbbreviation":"J. Hum.-Robot Interact.","note":"Just Accepted","source":"ACM Digital Library","title":"Socially Assistive Robots for Parkinson's Disease: Needs, Attitudes and Specific Applications as Identified by Healthcare Professionals","title-short":"Socially Assistive Robots for Parkinson's Disease","URL":"http://doi.org/10.1145/3570168","author":[{"family":"Bar-On","given":"Inbal"},{"family":"Mayo","given":"Gili"},{"family":"Levy-Tzedek","given":"Shelly"}],"accessed":{"date-parts":[["2022",12,6]]},"issued":{"date-parts":[["2022"]]}}},{"id":148,"uris":["http://zotero.org/users/9293396/items/CCBJYIMF"],"itemData":{"id":148,"type":"article-journal","abstract":"Aim: This study focused on the impact of the clinical features on the quality of life (QoL) of Parkinson's disease (PD) patients and of their caregivers. Methods: This study included PD patients along with their caregivers and was undertaken at the Malaysian Parkinson's Disease Association from June 2016 to November 2016. Clinical features of PD patients were assessed using the Movement Disorder Society revised Unified Parkinson Disease Rating Scale; the Hoehn and Yahr stage and the Schwab and England Activities of Daily Living Scale were used to assess the severity and the ability of PD patients respectively. QoL of PD patients was measured using the Parkinson's Disease Questionnaire-39 (PDQ-39). The revised version of the Zarit Burden Interview assessed caregiver burden. Results: At least one of the clinical features affected PD patients' QoL, and at least one of the QoL domains affected the caregivers' burden. Clinical features “saliva and drooling” and “dyskinesia” explained 29% of variance in QoL of PD patients. The QoL domains “stigma,” along with “emotional well-being” explained 48.6% of variance in caregivers' burden. Conclusions: The clinical features “saliva and drooling” and “dyskinesia” impacted the QoL of PD patients, and the QoL domains “stigma” and “emotional well-being” of PD patients impacted their caregivers' burden.","container-title":"Neuroepidemiology","DOI":"10.1159/000479031","ISSN":"0251-5350, 1423-0208","issue":"3-4","journalAbbreviation":"Neuroepidemiology","language":"en","page":"131-137","source":"DOI.org (Crossref)","title":"Quality of Life and Caregivers' Burden of Parkinson's Disease","volume":"48","author":[{"family":"Rajiah","given":"Kingston"},{"family":"Maharajan","given":"Mari Kannan"},{"family":"Yeen","given":"Si Jen"},{"family":"Lew","given":"Sara"}],"issued":{"date-parts":[["2017"]]}}}],"schema":"https://github.com/citation-style-language/schema/raw/master/csl-citation.json"} </w:instrText>
      </w:r>
      <w:r>
        <w:rPr>
          <w:rFonts w:asciiTheme="majorBidi" w:hAnsiTheme="majorBidi" w:cstheme="majorBidi"/>
        </w:rPr>
        <w:fldChar w:fldCharType="separate"/>
      </w:r>
      <w:r w:rsidR="00942C40" w:rsidRPr="00942C40">
        <w:t>(Bar-On et al., 2022; Rajiah et al., 2017)</w:t>
      </w:r>
      <w:r>
        <w:rPr>
          <w:rFonts w:asciiTheme="majorBidi" w:hAnsiTheme="majorBidi" w:cstheme="majorBidi"/>
        </w:rPr>
        <w:fldChar w:fldCharType="end"/>
      </w:r>
      <w:r>
        <w:rPr>
          <w:rFonts w:asciiTheme="majorBidi" w:hAnsiTheme="majorBidi" w:cstheme="majorBidi"/>
        </w:rPr>
        <w:t>.</w:t>
      </w:r>
    </w:p>
    <w:p w14:paraId="3A3E13B2" w14:textId="22EC0747" w:rsidR="00C43B4F" w:rsidRDefault="00916954" w:rsidP="00C43B4F">
      <w:pPr>
        <w:keepNext/>
        <w:spacing w:line="360" w:lineRule="auto"/>
        <w:rPr>
          <w:rFonts w:asciiTheme="majorBidi" w:hAnsiTheme="majorBidi" w:cstheme="majorBidi"/>
        </w:rPr>
      </w:pPr>
      <w:r w:rsidRPr="00E77007">
        <w:rPr>
          <w:rFonts w:asciiTheme="majorBidi" w:hAnsiTheme="majorBidi" w:cstheme="majorBidi"/>
        </w:rPr>
        <w:lastRenderedPageBreak/>
        <w:t>The specific</w:t>
      </w:r>
      <w:r w:rsidRPr="00E77007">
        <w:rPr>
          <w:rFonts w:asciiTheme="majorBidi" w:hAnsiTheme="majorBidi" w:cstheme="majorBidi"/>
          <w:rtl/>
        </w:rPr>
        <w:t xml:space="preserve"> </w:t>
      </w:r>
      <w:r w:rsidRPr="00E77007">
        <w:rPr>
          <w:rFonts w:asciiTheme="majorBidi" w:hAnsiTheme="majorBidi" w:cstheme="majorBidi"/>
        </w:rPr>
        <w:t xml:space="preserve">difficulties that came up within each category are listed in figure </w:t>
      </w:r>
      <w:proofErr w:type="gramStart"/>
      <w:r>
        <w:rPr>
          <w:rFonts w:asciiTheme="majorBidi" w:hAnsiTheme="majorBidi" w:cstheme="majorBidi"/>
        </w:rPr>
        <w:t>1,</w:t>
      </w:r>
      <w:r w:rsidR="00C43B4F">
        <w:rPr>
          <w:rFonts w:asciiTheme="majorBidi" w:hAnsiTheme="majorBidi" w:cstheme="majorBidi"/>
        </w:rPr>
        <w:t>.</w:t>
      </w:r>
      <w:proofErr w:type="gramEnd"/>
      <w:r w:rsidR="00C43B4F">
        <w:rPr>
          <w:rFonts w:asciiTheme="majorBidi" w:hAnsiTheme="majorBidi" w:cstheme="majorBidi"/>
        </w:rPr>
        <w:t xml:space="preserve"> </w:t>
      </w:r>
      <w:r w:rsidR="00C43B4F">
        <w:rPr>
          <w:noProof/>
        </w:rPr>
        <w:drawing>
          <wp:inline distT="0" distB="0" distL="0" distR="0" wp14:anchorId="230DF804" wp14:editId="69F07350">
            <wp:extent cx="6038426" cy="4528819"/>
            <wp:effectExtent l="0" t="0" r="635" b="5715"/>
            <wp:docPr id="6"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038426" cy="4528819"/>
                    </a:xfrm>
                    <a:prstGeom prst="rect">
                      <a:avLst/>
                    </a:prstGeom>
                  </pic:spPr>
                </pic:pic>
              </a:graphicData>
            </a:graphic>
          </wp:inline>
        </w:drawing>
      </w:r>
    </w:p>
    <w:p w14:paraId="7A866376" w14:textId="77777777" w:rsidR="00C43B4F" w:rsidRDefault="00C43B4F" w:rsidP="00C43B4F">
      <w:pPr>
        <w:keepNext/>
        <w:spacing w:line="360" w:lineRule="auto"/>
        <w:rPr>
          <w:rFonts w:asciiTheme="majorBidi" w:hAnsiTheme="majorBidi" w:cstheme="majorBidi"/>
        </w:rPr>
      </w:pPr>
      <w:r>
        <w:rPr>
          <w:rFonts w:asciiTheme="majorBidi" w:hAnsiTheme="majorBidi" w:cstheme="majorBidi"/>
        </w:rPr>
        <w:t>*</w:t>
      </w:r>
      <w:r w:rsidRPr="00637214">
        <w:t xml:space="preserve"> </w:t>
      </w:r>
      <w:r>
        <w:rPr>
          <w:rFonts w:asciiTheme="majorBidi" w:hAnsiTheme="majorBidi" w:cstheme="majorBidi"/>
        </w:rPr>
        <w:t>For example</w:t>
      </w:r>
      <w:r w:rsidRPr="00637214">
        <w:rPr>
          <w:rFonts w:asciiTheme="majorBidi" w:hAnsiTheme="majorBidi" w:cstheme="majorBidi"/>
        </w:rPr>
        <w:t>, changing one's position from sitting to standing or from lying to sitting</w:t>
      </w:r>
    </w:p>
    <w:p w14:paraId="10A290DE" w14:textId="77777777" w:rsidR="00C43B4F" w:rsidRDefault="00C43B4F" w:rsidP="00C43B4F">
      <w:pPr>
        <w:keepNext/>
        <w:spacing w:line="360" w:lineRule="auto"/>
      </w:pPr>
      <w:r>
        <w:rPr>
          <w:rFonts w:asciiTheme="majorBidi" w:hAnsiTheme="majorBidi" w:cstheme="majorBidi"/>
        </w:rPr>
        <w:t>**</w:t>
      </w:r>
      <w:r w:rsidRPr="001C65F9">
        <w:t xml:space="preserve"> </w:t>
      </w:r>
      <w:r>
        <w:rPr>
          <w:rFonts w:asciiTheme="majorBidi" w:hAnsiTheme="majorBidi" w:cstheme="majorBidi"/>
        </w:rPr>
        <w:t>Changes</w:t>
      </w:r>
      <w:r w:rsidRPr="001C65F9">
        <w:rPr>
          <w:rFonts w:asciiTheme="majorBidi" w:hAnsiTheme="majorBidi" w:cstheme="majorBidi"/>
        </w:rPr>
        <w:t xml:space="preserve"> between mobility and immobility in patients treated with levodopa</w:t>
      </w:r>
    </w:p>
    <w:p w14:paraId="479C56CF" w14:textId="4E983904" w:rsidR="00C43B4F" w:rsidRDefault="00C43B4F" w:rsidP="00C43B4F">
      <w:pPr>
        <w:spacing w:line="360" w:lineRule="auto"/>
        <w:rPr>
          <w:rtl/>
        </w:rPr>
      </w:pPr>
      <w:r w:rsidRPr="003676C2">
        <w:rPr>
          <w:b/>
          <w:bCs/>
        </w:rPr>
        <w:t xml:space="preserve">Figure </w:t>
      </w:r>
      <w:r w:rsidR="000218DC">
        <w:rPr>
          <w:rFonts w:hint="cs"/>
          <w:b/>
          <w:bCs/>
          <w:rtl/>
        </w:rPr>
        <w:t>1</w:t>
      </w:r>
      <w:r w:rsidRPr="003676C2">
        <w:rPr>
          <w:b/>
          <w:bCs/>
        </w:rPr>
        <w:t>.</w:t>
      </w:r>
      <w:r w:rsidRPr="00C13B94">
        <w:t xml:space="preserve"> The </w:t>
      </w:r>
      <w:r>
        <w:t>k</w:t>
      </w:r>
      <w:r w:rsidRPr="00C13B94">
        <w:t>ey difficulties of people living with PD</w:t>
      </w:r>
      <w:r>
        <w:t>, as identified by individuals with PD; We divided the difficulties into five main categories; The order in which they are listed corresponds to the number of times items from each category were brought up.</w:t>
      </w:r>
    </w:p>
    <w:p w14:paraId="53BB2BF3" w14:textId="77777777" w:rsidR="00C43B4F" w:rsidRDefault="00C43B4F" w:rsidP="00C43B4F">
      <w:pPr>
        <w:spacing w:line="360" w:lineRule="auto"/>
        <w:rPr>
          <w:rFonts w:asciiTheme="majorBidi" w:hAnsiTheme="majorBidi" w:cstheme="majorBidi"/>
          <w:b/>
          <w:bCs/>
          <w:rtl/>
        </w:rPr>
      </w:pPr>
      <w:r>
        <w:rPr>
          <w:rFonts w:asciiTheme="majorBidi" w:hAnsiTheme="majorBidi" w:cstheme="majorBidi"/>
          <w:b/>
          <w:bCs/>
        </w:rPr>
        <w:t>3.1.2 I</w:t>
      </w:r>
      <w:r w:rsidRPr="00DB2DCC">
        <w:rPr>
          <w:rFonts w:asciiTheme="majorBidi" w:hAnsiTheme="majorBidi" w:cstheme="majorBidi"/>
          <w:b/>
          <w:bCs/>
        </w:rPr>
        <w:t xml:space="preserve">deas </w:t>
      </w:r>
      <w:r>
        <w:rPr>
          <w:rFonts w:asciiTheme="majorBidi" w:hAnsiTheme="majorBidi" w:cstheme="majorBidi"/>
          <w:b/>
          <w:bCs/>
        </w:rPr>
        <w:t>for assistive technologies</w:t>
      </w:r>
    </w:p>
    <w:p w14:paraId="4E91E091" w14:textId="69D70EE8" w:rsidR="00C43B4F" w:rsidRDefault="00C43B4F" w:rsidP="00C43B4F">
      <w:pPr>
        <w:pStyle w:val="NormalWeb"/>
        <w:spacing w:before="0" w:beforeAutospacing="0" w:after="0" w:afterAutospacing="0" w:line="360" w:lineRule="auto"/>
        <w:jc w:val="both"/>
        <w:rPr>
          <w:color w:val="0E101A"/>
        </w:rPr>
      </w:pPr>
      <w:r>
        <w:rPr>
          <w:color w:val="0E101A"/>
        </w:rPr>
        <w:t>The responses of individuals with PD</w:t>
      </w:r>
      <w:r>
        <w:rPr>
          <w:rFonts w:asciiTheme="majorBidi" w:hAnsiTheme="majorBidi" w:cstheme="majorBidi"/>
        </w:rPr>
        <w:t xml:space="preserve"> to the question “</w:t>
      </w:r>
      <w:r w:rsidRPr="00A362A7">
        <w:rPr>
          <w:rFonts w:cstheme="minorHAnsi"/>
        </w:rPr>
        <w:t>How can technology aid with those limitations or other limitations you have not mentioned?</w:t>
      </w:r>
      <w:r>
        <w:rPr>
          <w:rFonts w:asciiTheme="majorBidi" w:hAnsiTheme="majorBidi" w:cstheme="majorBidi"/>
        </w:rPr>
        <w:t>”</w:t>
      </w:r>
      <w:r w:rsidRPr="00822EDA">
        <w:rPr>
          <w:rFonts w:asciiTheme="majorBidi" w:hAnsiTheme="majorBidi" w:cstheme="majorBidi"/>
        </w:rPr>
        <w:t xml:space="preserve"> </w:t>
      </w:r>
      <w:r>
        <w:rPr>
          <w:rFonts w:asciiTheme="majorBidi" w:hAnsiTheme="majorBidi" w:cstheme="majorBidi"/>
        </w:rPr>
        <w:t xml:space="preserve">fell into one of </w:t>
      </w:r>
      <w:r w:rsidRPr="002A228A">
        <w:rPr>
          <w:rFonts w:asciiTheme="majorBidi" w:hAnsiTheme="majorBidi" w:cstheme="majorBidi"/>
        </w:rPr>
        <w:t>five categories</w:t>
      </w:r>
      <w:r w:rsidDel="00BA35C8">
        <w:rPr>
          <w:rFonts w:asciiTheme="majorBidi" w:hAnsiTheme="majorBidi" w:cstheme="majorBidi"/>
          <w:b/>
          <w:bCs/>
          <w:noProof/>
          <w:rtl/>
          <w:lang w:val="he-IL"/>
        </w:rPr>
        <w:t xml:space="preserve"> </w:t>
      </w:r>
      <w:r>
        <w:rPr>
          <w:color w:val="0E101A"/>
        </w:rPr>
        <w:t>(</w:t>
      </w:r>
      <w:r w:rsidR="000218DC">
        <w:rPr>
          <w:color w:val="0E101A"/>
        </w:rPr>
        <w:t xml:space="preserve">see </w:t>
      </w:r>
      <w:r w:rsidR="008509EB">
        <w:rPr>
          <w:color w:val="0E101A"/>
        </w:rPr>
        <w:t>F</w:t>
      </w:r>
      <w:r w:rsidR="000218DC">
        <w:rPr>
          <w:color w:val="0E101A"/>
        </w:rPr>
        <w:t xml:space="preserve">igure </w:t>
      </w:r>
      <w:r>
        <w:rPr>
          <w:color w:val="0E101A"/>
        </w:rPr>
        <w:t>2): mobility (N=14), reminders and organizers (N=12), help with ADL (N=10), others (N=7)</w:t>
      </w:r>
      <w:r w:rsidR="008509EB">
        <w:rPr>
          <w:color w:val="0E101A"/>
        </w:rPr>
        <w:t xml:space="preserve"> </w:t>
      </w:r>
      <w:r>
        <w:rPr>
          <w:color w:val="0E101A"/>
        </w:rPr>
        <w:t>and fine motor skills (N=6).</w:t>
      </w:r>
    </w:p>
    <w:p w14:paraId="4D610BF8" w14:textId="77777777" w:rsidR="00C43B4F" w:rsidRPr="00C36D9A" w:rsidRDefault="00C43B4F" w:rsidP="00C43B4F">
      <w:pPr>
        <w:pStyle w:val="NormalWeb"/>
        <w:spacing w:before="0" w:beforeAutospacing="0" w:after="0" w:afterAutospacing="0" w:line="360" w:lineRule="auto"/>
        <w:jc w:val="both"/>
        <w:rPr>
          <w:color w:val="0E101A"/>
        </w:rPr>
      </w:pPr>
    </w:p>
    <w:p w14:paraId="1F14F526" w14:textId="53C5399C" w:rsidR="00C43B4F" w:rsidRDefault="00C43B4F" w:rsidP="00C43B4F">
      <w:pPr>
        <w:pStyle w:val="NormalWeb"/>
        <w:spacing w:before="0" w:beforeAutospacing="0" w:after="0" w:afterAutospacing="0" w:line="360" w:lineRule="auto"/>
        <w:jc w:val="both"/>
        <w:rPr>
          <w:color w:val="0E101A"/>
        </w:rPr>
      </w:pPr>
      <w:r>
        <w:rPr>
          <w:rFonts w:asciiTheme="majorBidi" w:hAnsiTheme="majorBidi" w:cstheme="majorBidi"/>
        </w:rPr>
        <w:lastRenderedPageBreak/>
        <w:t xml:space="preserve">The </w:t>
      </w:r>
      <w:r w:rsidRPr="00EE1D14">
        <w:rPr>
          <w:rFonts w:asciiTheme="majorBidi" w:hAnsiTheme="majorBidi" w:cstheme="majorBidi"/>
        </w:rPr>
        <w:t>specific</w:t>
      </w:r>
      <w:r>
        <w:rPr>
          <w:rFonts w:asciiTheme="majorBidi" w:hAnsiTheme="majorBidi" w:cstheme="majorBidi" w:hint="cs"/>
          <w:rtl/>
        </w:rPr>
        <w:t xml:space="preserve"> </w:t>
      </w:r>
      <w:r>
        <w:rPr>
          <w:rFonts w:asciiTheme="majorBidi" w:hAnsiTheme="majorBidi" w:cstheme="majorBidi"/>
        </w:rPr>
        <w:t>ideas that came up within each</w:t>
      </w:r>
      <w:r w:rsidRPr="00C2146D">
        <w:rPr>
          <w:rFonts w:asciiTheme="majorBidi" w:hAnsiTheme="majorBidi" w:cstheme="majorBidi"/>
        </w:rPr>
        <w:t xml:space="preserve"> </w:t>
      </w:r>
      <w:r>
        <w:rPr>
          <w:rFonts w:asciiTheme="majorBidi" w:hAnsiTheme="majorBidi" w:cstheme="majorBidi"/>
        </w:rPr>
        <w:t xml:space="preserve">category are listed in </w:t>
      </w:r>
      <w:r w:rsidR="008509EB">
        <w:rPr>
          <w:rFonts w:asciiTheme="majorBidi" w:hAnsiTheme="majorBidi" w:cstheme="majorBidi"/>
        </w:rPr>
        <w:t>F</w:t>
      </w:r>
      <w:r>
        <w:rPr>
          <w:rFonts w:asciiTheme="majorBidi" w:hAnsiTheme="majorBidi" w:cstheme="majorBidi"/>
        </w:rPr>
        <w:t xml:space="preserve">igure </w:t>
      </w:r>
      <w:bookmarkStart w:id="5" w:name="_Hlk105406076"/>
      <w:r w:rsidR="000218DC">
        <w:rPr>
          <w:rFonts w:asciiTheme="majorBidi" w:hAnsiTheme="majorBidi" w:cstheme="majorBidi"/>
        </w:rPr>
        <w:t>2</w:t>
      </w:r>
      <w:r>
        <w:rPr>
          <w:color w:val="0E101A"/>
        </w:rPr>
        <w:t xml:space="preserve">. Within the </w:t>
      </w:r>
      <w:r w:rsidRPr="00477418">
        <w:rPr>
          <w:i/>
          <w:iCs/>
          <w:color w:val="0E101A"/>
        </w:rPr>
        <w:t>mobility</w:t>
      </w:r>
      <w:r>
        <w:rPr>
          <w:color w:val="0E101A"/>
        </w:rPr>
        <w:t xml:space="preserve"> category, the most frequently mentioned ideas</w:t>
      </w:r>
      <w:r w:rsidRPr="00BB1104">
        <w:rPr>
          <w:color w:val="0E101A"/>
        </w:rPr>
        <w:t xml:space="preserve"> </w:t>
      </w:r>
      <w:r>
        <w:rPr>
          <w:color w:val="0E101A"/>
        </w:rPr>
        <w:t>centered on a</w:t>
      </w:r>
      <w:bookmarkEnd w:id="5"/>
      <w:r>
        <w:rPr>
          <w:color w:val="0E101A"/>
        </w:rPr>
        <w:t xml:space="preserve">ssistance with bed mobility (n=5) and assistance walking outdoors (n=5). </w:t>
      </w:r>
    </w:p>
    <w:p w14:paraId="020D744C" w14:textId="77777777" w:rsidR="00C43B4F" w:rsidRDefault="00C43B4F" w:rsidP="00C43B4F">
      <w:pPr>
        <w:pStyle w:val="NormalWeb"/>
        <w:spacing w:before="0" w:beforeAutospacing="0" w:after="0" w:afterAutospacing="0" w:line="360" w:lineRule="auto"/>
        <w:jc w:val="both"/>
        <w:rPr>
          <w:color w:val="0E101A"/>
          <w:rtl/>
        </w:rPr>
      </w:pPr>
    </w:p>
    <w:p w14:paraId="593331A5" w14:textId="77777777" w:rsidR="00C43B4F" w:rsidRPr="007565A1" w:rsidRDefault="00C43B4F" w:rsidP="00C43B4F">
      <w:pPr>
        <w:pStyle w:val="NormalWeb"/>
        <w:spacing w:before="0" w:beforeAutospacing="0" w:after="0" w:afterAutospacing="0" w:line="360" w:lineRule="auto"/>
        <w:jc w:val="both"/>
        <w:rPr>
          <w:rStyle w:val="Emphasis"/>
          <w:i w:val="0"/>
          <w:iCs w:val="0"/>
          <w:color w:val="0E101A"/>
        </w:rPr>
      </w:pPr>
      <w:r>
        <w:rPr>
          <w:rStyle w:val="Emphasis"/>
          <w:color w:val="0E101A"/>
        </w:rPr>
        <w:t>“As the disease progresses, one avoids being outside. It is a great loss and if there were anything that could prolong the duration of the stay outside, in an environment that is not flat* [it would be helpful]” (SPD1-3)</w:t>
      </w:r>
    </w:p>
    <w:p w14:paraId="1C045CF7" w14:textId="77777777" w:rsidR="00C43B4F" w:rsidRDefault="00C43B4F" w:rsidP="00C43B4F">
      <w:pPr>
        <w:pStyle w:val="NormalWeb"/>
        <w:spacing w:before="0" w:beforeAutospacing="0" w:after="0" w:afterAutospacing="0" w:line="360" w:lineRule="auto"/>
        <w:jc w:val="both"/>
        <w:rPr>
          <w:color w:val="0E101A"/>
        </w:rPr>
      </w:pPr>
    </w:p>
    <w:p w14:paraId="6E6F27ED" w14:textId="77777777" w:rsidR="00C43B4F" w:rsidRPr="002C2B04" w:rsidRDefault="00C43B4F" w:rsidP="00C43B4F">
      <w:pPr>
        <w:pStyle w:val="NormalWeb"/>
        <w:spacing w:before="0" w:beforeAutospacing="0" w:after="0" w:afterAutospacing="0" w:line="360" w:lineRule="auto"/>
        <w:jc w:val="both"/>
        <w:rPr>
          <w:color w:val="0E101A"/>
        </w:rPr>
      </w:pPr>
      <w:r>
        <w:rPr>
          <w:color w:val="0E101A"/>
        </w:rPr>
        <w:t xml:space="preserve">(*the topic of walking in an environment that is not flat came up by several participants, and it appears to refer both to hilly areas as well as to uneven surfaces).  </w:t>
      </w:r>
    </w:p>
    <w:p w14:paraId="395B91C7" w14:textId="77777777" w:rsidR="00C43B4F" w:rsidRPr="001A7F0B" w:rsidRDefault="00C43B4F" w:rsidP="00C43B4F">
      <w:pPr>
        <w:spacing w:after="0" w:line="360" w:lineRule="auto"/>
        <w:rPr>
          <w:i/>
          <w:iCs/>
          <w:color w:val="0E101A"/>
        </w:rPr>
      </w:pPr>
      <w:r w:rsidRPr="007854AE">
        <w:rPr>
          <w:color w:val="0E101A"/>
        </w:rPr>
        <w:t>Within the</w:t>
      </w:r>
      <w:r w:rsidRPr="007854AE" w:rsidDel="007854AE">
        <w:rPr>
          <w:color w:val="0E101A"/>
        </w:rPr>
        <w:t xml:space="preserve"> </w:t>
      </w:r>
      <w:r w:rsidRPr="00C36D9A">
        <w:rPr>
          <w:i/>
          <w:iCs/>
          <w:color w:val="0E101A"/>
        </w:rPr>
        <w:t>reminders and organizers</w:t>
      </w:r>
      <w:r w:rsidRPr="00E71040">
        <w:rPr>
          <w:color w:val="0E101A"/>
        </w:rPr>
        <w:t xml:space="preserve"> category</w:t>
      </w:r>
      <w:r>
        <w:rPr>
          <w:color w:val="0E101A"/>
        </w:rPr>
        <w:t>,</w:t>
      </w:r>
      <w:r w:rsidRPr="00E71040">
        <w:rPr>
          <w:color w:val="0E101A"/>
        </w:rPr>
        <w:t xml:space="preserve"> </w:t>
      </w:r>
      <w:r>
        <w:rPr>
          <w:color w:val="0E101A"/>
        </w:rPr>
        <w:t>ideas</w:t>
      </w:r>
      <w:r w:rsidRPr="00E71040">
        <w:rPr>
          <w:color w:val="0E101A"/>
        </w:rPr>
        <w:t xml:space="preserve"> that came up a relatively large number of times </w:t>
      </w:r>
      <w:r>
        <w:rPr>
          <w:color w:val="0E101A"/>
        </w:rPr>
        <w:t xml:space="preserve">either focused on technology to </w:t>
      </w:r>
      <w:r w:rsidRPr="00E71040">
        <w:rPr>
          <w:color w:val="0E101A"/>
        </w:rPr>
        <w:t>keep the</w:t>
      </w:r>
      <w:r>
        <w:rPr>
          <w:color w:val="0E101A"/>
        </w:rPr>
        <w:t xml:space="preserve"> users</w:t>
      </w:r>
      <w:r w:rsidRPr="00E71040">
        <w:rPr>
          <w:color w:val="0E101A"/>
        </w:rPr>
        <w:t xml:space="preserve"> organized in terms of activities in their daily routine, including their medication schedule</w:t>
      </w:r>
      <w:r>
        <w:rPr>
          <w:color w:val="0E101A"/>
        </w:rPr>
        <w:t>,</w:t>
      </w:r>
      <w:r w:rsidRPr="00E71040">
        <w:rPr>
          <w:color w:val="0E101A"/>
        </w:rPr>
        <w:t xml:space="preserve"> </w:t>
      </w:r>
      <w:r>
        <w:rPr>
          <w:color w:val="0E101A"/>
        </w:rPr>
        <w:t xml:space="preserve">or on </w:t>
      </w:r>
      <w:r w:rsidRPr="00E71040">
        <w:rPr>
          <w:color w:val="0E101A"/>
        </w:rPr>
        <w:t>devices to help maintain good posture and avoid tremor</w:t>
      </w:r>
      <w:r>
        <w:rPr>
          <w:color w:val="0E101A"/>
        </w:rPr>
        <w:t>.</w:t>
      </w:r>
      <w:r w:rsidRPr="00E71040">
        <w:rPr>
          <w:i/>
          <w:iCs/>
          <w:color w:val="0E101A"/>
        </w:rPr>
        <w:t> </w:t>
      </w:r>
    </w:p>
    <w:p w14:paraId="08F461AD" w14:textId="77777777" w:rsidR="00C43B4F" w:rsidRPr="00E71040" w:rsidRDefault="00C43B4F" w:rsidP="00C43B4F">
      <w:pPr>
        <w:spacing w:after="0" w:line="360" w:lineRule="auto"/>
        <w:rPr>
          <w:color w:val="0E101A"/>
        </w:rPr>
      </w:pPr>
      <w:r w:rsidRPr="00E71040">
        <w:rPr>
          <w:i/>
          <w:iCs/>
          <w:color w:val="0E101A"/>
        </w:rPr>
        <w:t xml:space="preserve">“When I’m tired at home, I </w:t>
      </w:r>
      <w:r>
        <w:rPr>
          <w:rFonts w:hint="cs"/>
          <w:i/>
          <w:iCs/>
          <w:color w:val="0E101A"/>
          <w:rtl/>
        </w:rPr>
        <w:t>.</w:t>
      </w:r>
      <w:r w:rsidRPr="00304EE2">
        <w:rPr>
          <w:i/>
          <w:iCs/>
          <w:color w:val="0E101A"/>
        </w:rPr>
        <w:t xml:space="preserve">.. </w:t>
      </w:r>
      <w:r w:rsidRPr="00E71040">
        <w:rPr>
          <w:i/>
          <w:iCs/>
          <w:color w:val="0E101A"/>
        </w:rPr>
        <w:t>drag my feet so as not to fall, and then I remember I can walk</w:t>
      </w:r>
      <w:r>
        <w:rPr>
          <w:i/>
          <w:iCs/>
          <w:color w:val="0E101A"/>
        </w:rPr>
        <w:t xml:space="preserve"> [properly]</w:t>
      </w:r>
      <w:r w:rsidRPr="00E71040">
        <w:rPr>
          <w:i/>
          <w:iCs/>
          <w:color w:val="0E101A"/>
        </w:rPr>
        <w:t xml:space="preserve"> ... </w:t>
      </w:r>
      <w:r>
        <w:rPr>
          <w:i/>
          <w:iCs/>
          <w:color w:val="0E101A"/>
        </w:rPr>
        <w:t>I would like something to help me with that – perhaps a device which will remind me to straighten my back [while I walk]</w:t>
      </w:r>
      <w:r w:rsidRPr="00E71040">
        <w:rPr>
          <w:i/>
          <w:iCs/>
          <w:color w:val="0E101A"/>
        </w:rPr>
        <w:t>” (</w:t>
      </w:r>
      <w:r>
        <w:rPr>
          <w:i/>
          <w:iCs/>
          <w:color w:val="0E101A"/>
        </w:rPr>
        <w:t>SPD2</w:t>
      </w:r>
      <w:r w:rsidRPr="00E71040">
        <w:rPr>
          <w:i/>
          <w:iCs/>
          <w:color w:val="0E101A"/>
        </w:rPr>
        <w:t>-3) </w:t>
      </w:r>
    </w:p>
    <w:p w14:paraId="2253F048" w14:textId="77777777" w:rsidR="00C43B4F" w:rsidRPr="00DF1768" w:rsidRDefault="00C43B4F" w:rsidP="00C43B4F">
      <w:pPr>
        <w:pStyle w:val="NormalWeb"/>
        <w:spacing w:before="0" w:beforeAutospacing="0" w:after="0" w:afterAutospacing="0" w:line="360" w:lineRule="auto"/>
        <w:jc w:val="both"/>
        <w:rPr>
          <w:rStyle w:val="Emphasis"/>
          <w:i w:val="0"/>
          <w:iCs w:val="0"/>
          <w:color w:val="0E101A"/>
        </w:rPr>
      </w:pPr>
    </w:p>
    <w:p w14:paraId="0935CA1C" w14:textId="77777777" w:rsidR="00C43B4F" w:rsidRDefault="00C43B4F" w:rsidP="00C43B4F">
      <w:pPr>
        <w:pStyle w:val="NormalWeb"/>
        <w:spacing w:before="0" w:beforeAutospacing="0" w:after="0" w:afterAutospacing="0" w:line="360" w:lineRule="auto"/>
        <w:jc w:val="both"/>
        <w:rPr>
          <w:color w:val="0E101A"/>
        </w:rPr>
      </w:pPr>
      <w:r>
        <w:rPr>
          <w:color w:val="0E101A"/>
        </w:rPr>
        <w:t>W</w:t>
      </w:r>
      <w:r w:rsidRPr="00E71040">
        <w:rPr>
          <w:color w:val="0E101A"/>
        </w:rPr>
        <w:t xml:space="preserve">ithin the </w:t>
      </w:r>
      <w:r w:rsidRPr="00C36D9A">
        <w:rPr>
          <w:i/>
          <w:iCs/>
          <w:color w:val="0E101A"/>
        </w:rPr>
        <w:t>help with ADL</w:t>
      </w:r>
      <w:r w:rsidRPr="00001A13">
        <w:rPr>
          <w:color w:val="0E101A"/>
        </w:rPr>
        <w:t xml:space="preserve"> </w:t>
      </w:r>
      <w:r w:rsidRPr="00E71040">
        <w:rPr>
          <w:color w:val="0E101A"/>
        </w:rPr>
        <w:t>category</w:t>
      </w:r>
      <w:r>
        <w:rPr>
          <w:color w:val="0E101A"/>
        </w:rPr>
        <w:t>, ideas</w:t>
      </w:r>
      <w:r w:rsidRPr="00E71040">
        <w:rPr>
          <w:color w:val="0E101A"/>
        </w:rPr>
        <w:t xml:space="preserve"> that came up </w:t>
      </w:r>
      <w:r>
        <w:rPr>
          <w:color w:val="0E101A"/>
        </w:rPr>
        <w:t>most frequently</w:t>
      </w:r>
      <w:r w:rsidRPr="00E71040">
        <w:rPr>
          <w:color w:val="0E101A"/>
        </w:rPr>
        <w:t xml:space="preserve"> were</w:t>
      </w:r>
      <w:r>
        <w:rPr>
          <w:color w:val="0E101A"/>
        </w:rPr>
        <w:t xml:space="preserve"> </w:t>
      </w:r>
      <w:r w:rsidRPr="00001A13">
        <w:rPr>
          <w:color w:val="0E101A"/>
        </w:rPr>
        <w:t>technology that could help</w:t>
      </w:r>
      <w:r>
        <w:rPr>
          <w:color w:val="0E101A"/>
        </w:rPr>
        <w:t xml:space="preserve"> them </w:t>
      </w:r>
      <w:r w:rsidRPr="00001A13">
        <w:rPr>
          <w:color w:val="0E101A"/>
        </w:rPr>
        <w:t xml:space="preserve">with </w:t>
      </w:r>
      <w:r>
        <w:rPr>
          <w:color w:val="0E101A"/>
        </w:rPr>
        <w:t xml:space="preserve">housework (n=3) and </w:t>
      </w:r>
      <w:r w:rsidRPr="00001A13">
        <w:rPr>
          <w:color w:val="0E101A"/>
        </w:rPr>
        <w:t xml:space="preserve">technology that would help </w:t>
      </w:r>
      <w:r>
        <w:rPr>
          <w:color w:val="0E101A"/>
        </w:rPr>
        <w:t>users put on their</w:t>
      </w:r>
      <w:r w:rsidRPr="00001A13">
        <w:rPr>
          <w:color w:val="0E101A"/>
        </w:rPr>
        <w:t xml:space="preserve"> socks and shoes</w:t>
      </w:r>
      <w:r>
        <w:rPr>
          <w:color w:val="0E101A"/>
        </w:rPr>
        <w:t xml:space="preserve"> (n=3)</w:t>
      </w:r>
      <w:r w:rsidRPr="00001A13">
        <w:rPr>
          <w:color w:val="0E101A"/>
        </w:rPr>
        <w:t>.</w:t>
      </w:r>
    </w:p>
    <w:p w14:paraId="6F974061" w14:textId="77777777" w:rsidR="00C43B4F" w:rsidRDefault="00C43B4F" w:rsidP="00C43B4F">
      <w:pPr>
        <w:pStyle w:val="NormalWeb"/>
        <w:spacing w:before="0" w:beforeAutospacing="0" w:after="0" w:afterAutospacing="0" w:line="360" w:lineRule="auto"/>
        <w:jc w:val="both"/>
        <w:rPr>
          <w:color w:val="0E101A"/>
        </w:rPr>
      </w:pPr>
    </w:p>
    <w:p w14:paraId="188DA986" w14:textId="77777777" w:rsidR="00C43B4F" w:rsidRDefault="00C43B4F" w:rsidP="00C43B4F">
      <w:pPr>
        <w:pStyle w:val="NormalWeb"/>
        <w:spacing w:before="0" w:beforeAutospacing="0" w:after="0" w:afterAutospacing="0" w:line="360" w:lineRule="auto"/>
        <w:jc w:val="both"/>
        <w:rPr>
          <w:color w:val="0E101A"/>
        </w:rPr>
      </w:pPr>
      <w:r>
        <w:rPr>
          <w:color w:val="0E101A"/>
        </w:rPr>
        <w:t>W</w:t>
      </w:r>
      <w:r w:rsidRPr="00E71040">
        <w:rPr>
          <w:color w:val="0E101A"/>
        </w:rPr>
        <w:t xml:space="preserve">ithin the </w:t>
      </w:r>
      <w:r w:rsidRPr="00C36D9A">
        <w:rPr>
          <w:i/>
          <w:iCs/>
          <w:color w:val="0E101A"/>
        </w:rPr>
        <w:t>communication</w:t>
      </w:r>
      <w:r w:rsidRPr="00001A13">
        <w:rPr>
          <w:color w:val="0E101A"/>
        </w:rPr>
        <w:t xml:space="preserve"> </w:t>
      </w:r>
      <w:r w:rsidRPr="00E71040">
        <w:rPr>
          <w:color w:val="0E101A"/>
        </w:rPr>
        <w:t>category</w:t>
      </w:r>
      <w:r>
        <w:rPr>
          <w:color w:val="0E101A"/>
        </w:rPr>
        <w:t>,</w:t>
      </w:r>
      <w:r w:rsidRPr="00F52C73">
        <w:rPr>
          <w:color w:val="0E101A"/>
        </w:rPr>
        <w:t xml:space="preserve"> </w:t>
      </w:r>
      <w:r>
        <w:rPr>
          <w:color w:val="0E101A"/>
        </w:rPr>
        <w:t>the most frequently noted idea was</w:t>
      </w:r>
      <w:r w:rsidRPr="00E71040" w:rsidDel="00F52C73">
        <w:rPr>
          <w:color w:val="0E101A"/>
        </w:rPr>
        <w:t xml:space="preserve"> </w:t>
      </w:r>
      <w:r w:rsidRPr="00001A13">
        <w:rPr>
          <w:color w:val="0E101A"/>
        </w:rPr>
        <w:t>technology for speech practice</w:t>
      </w:r>
      <w:r>
        <w:rPr>
          <w:color w:val="0E101A"/>
        </w:rPr>
        <w:t xml:space="preserve"> (n=2)</w:t>
      </w:r>
      <w:r w:rsidRPr="00001A13">
        <w:rPr>
          <w:color w:val="0E101A"/>
        </w:rPr>
        <w:t>, an</w:t>
      </w:r>
      <w:r>
        <w:rPr>
          <w:color w:val="0E101A"/>
        </w:rPr>
        <w:t>d w</w:t>
      </w:r>
      <w:r w:rsidRPr="00E71040">
        <w:rPr>
          <w:color w:val="0E101A"/>
        </w:rPr>
        <w:t xml:space="preserve">ithin the </w:t>
      </w:r>
      <w:r w:rsidRPr="00C36D9A">
        <w:rPr>
          <w:i/>
          <w:iCs/>
          <w:color w:val="0E101A"/>
        </w:rPr>
        <w:t>fine motor skills</w:t>
      </w:r>
      <w:r w:rsidRPr="00001A13">
        <w:rPr>
          <w:color w:val="0E101A"/>
        </w:rPr>
        <w:t xml:space="preserve"> </w:t>
      </w:r>
      <w:r w:rsidRPr="00E71040">
        <w:rPr>
          <w:color w:val="0E101A"/>
        </w:rPr>
        <w:t>category</w:t>
      </w:r>
      <w:r>
        <w:rPr>
          <w:color w:val="0E101A"/>
        </w:rPr>
        <w:t>,</w:t>
      </w:r>
      <w:r w:rsidRPr="00E71040">
        <w:rPr>
          <w:color w:val="0E101A"/>
        </w:rPr>
        <w:t xml:space="preserve"> </w:t>
      </w:r>
      <w:r>
        <w:rPr>
          <w:color w:val="0E101A"/>
        </w:rPr>
        <w:t>the most frequently noted idea was</w:t>
      </w:r>
      <w:r w:rsidRPr="00001A13">
        <w:rPr>
          <w:color w:val="0E101A"/>
        </w:rPr>
        <w:t xml:space="preserve"> opening a bottle with one hand</w:t>
      </w:r>
      <w:r>
        <w:rPr>
          <w:color w:val="0E101A"/>
        </w:rPr>
        <w:t xml:space="preserve"> (n=2)</w:t>
      </w:r>
      <w:r w:rsidRPr="00001A13">
        <w:rPr>
          <w:color w:val="0E101A"/>
        </w:rPr>
        <w:t xml:space="preserve">. </w:t>
      </w:r>
    </w:p>
    <w:p w14:paraId="0DAD3CE5" w14:textId="77777777" w:rsidR="00C43B4F" w:rsidRDefault="00C43B4F" w:rsidP="00C43B4F">
      <w:pPr>
        <w:pStyle w:val="NormalWeb"/>
        <w:spacing w:before="0" w:beforeAutospacing="0" w:after="0" w:afterAutospacing="0" w:line="360" w:lineRule="auto"/>
        <w:jc w:val="both"/>
        <w:rPr>
          <w:color w:val="0E101A"/>
        </w:rPr>
      </w:pPr>
      <w:r>
        <w:rPr>
          <w:color w:val="0E101A"/>
        </w:rPr>
        <w:t xml:space="preserve"> </w:t>
      </w:r>
    </w:p>
    <w:p w14:paraId="4A05CE0B" w14:textId="77777777" w:rsidR="00C43B4F" w:rsidRDefault="00C43B4F" w:rsidP="00C43B4F">
      <w:pPr>
        <w:pStyle w:val="NormalWeb"/>
        <w:keepNext/>
        <w:spacing w:before="0" w:beforeAutospacing="0" w:after="0" w:afterAutospacing="0" w:line="360" w:lineRule="auto"/>
        <w:jc w:val="both"/>
        <w:rPr>
          <w:rtl/>
        </w:rPr>
      </w:pPr>
      <w:r>
        <w:rPr>
          <w:noProof/>
        </w:rPr>
        <w:lastRenderedPageBreak/>
        <w:drawing>
          <wp:inline distT="0" distB="0" distL="0" distR="0" wp14:anchorId="4884B74D" wp14:editId="2678ECC0">
            <wp:extent cx="6116320" cy="4587240"/>
            <wp:effectExtent l="0" t="0" r="0" b="3810"/>
            <wp:docPr id="4"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117056" cy="4587792"/>
                    </a:xfrm>
                    <a:prstGeom prst="rect">
                      <a:avLst/>
                    </a:prstGeom>
                  </pic:spPr>
                </pic:pic>
              </a:graphicData>
            </a:graphic>
          </wp:inline>
        </w:drawing>
      </w:r>
    </w:p>
    <w:p w14:paraId="5BBE6651" w14:textId="3F495675" w:rsidR="00C43B4F" w:rsidRDefault="00C43B4F" w:rsidP="00C43B4F">
      <w:pPr>
        <w:pStyle w:val="NormalWeb"/>
        <w:spacing w:before="0" w:beforeAutospacing="0" w:after="0" w:afterAutospacing="0" w:line="360" w:lineRule="auto"/>
        <w:jc w:val="both"/>
      </w:pPr>
      <w:r w:rsidRPr="00C1497E">
        <w:rPr>
          <w:b/>
          <w:bCs/>
        </w:rPr>
        <w:t xml:space="preserve">Figure </w:t>
      </w:r>
      <w:r w:rsidR="000218DC">
        <w:rPr>
          <w:rFonts w:hint="cs"/>
          <w:b/>
          <w:bCs/>
          <w:rtl/>
        </w:rPr>
        <w:t>2</w:t>
      </w:r>
      <w:r w:rsidRPr="00C1497E">
        <w:rPr>
          <w:b/>
          <w:bCs/>
        </w:rPr>
        <w:t>.</w:t>
      </w:r>
      <w:r>
        <w:t xml:space="preserve"> </w:t>
      </w:r>
      <w:r w:rsidRPr="00C13B94">
        <w:t xml:space="preserve">The </w:t>
      </w:r>
      <w:r>
        <w:t>i</w:t>
      </w:r>
      <w:r w:rsidRPr="00C13B94">
        <w:t>deas for assistive technologies for individuals with PD</w:t>
      </w:r>
      <w:r>
        <w:t>, as identified by individuals with PD; We divided the ideas into five main categories; The order in which they are listed corresponds to the number of times items from each category were brought up.</w:t>
      </w:r>
    </w:p>
    <w:p w14:paraId="326827F7" w14:textId="77777777" w:rsidR="00C43B4F" w:rsidRDefault="00C43B4F" w:rsidP="00C43B4F">
      <w:pPr>
        <w:pStyle w:val="NormalWeb"/>
        <w:spacing w:before="0" w:beforeAutospacing="0" w:after="0" w:afterAutospacing="0" w:line="360" w:lineRule="auto"/>
        <w:jc w:val="both"/>
        <w:rPr>
          <w:color w:val="0E101A"/>
        </w:rPr>
      </w:pPr>
    </w:p>
    <w:p w14:paraId="60D1EFD7" w14:textId="77777777" w:rsidR="00C43B4F" w:rsidRPr="003E63B0" w:rsidRDefault="00C43B4F" w:rsidP="00C43B4F">
      <w:pPr>
        <w:spacing w:line="360" w:lineRule="auto"/>
        <w:rPr>
          <w:rFonts w:asciiTheme="majorBidi" w:hAnsiTheme="majorBidi" w:cstheme="majorBidi"/>
          <w:b/>
          <w:bCs/>
        </w:rPr>
      </w:pPr>
      <w:r>
        <w:rPr>
          <w:rFonts w:asciiTheme="majorBidi" w:hAnsiTheme="majorBidi" w:cstheme="majorBidi"/>
          <w:b/>
          <w:bCs/>
        </w:rPr>
        <w:t xml:space="preserve">3.1.3 </w:t>
      </w:r>
      <w:r w:rsidRPr="000909BF">
        <w:rPr>
          <w:rFonts w:asciiTheme="majorBidi" w:hAnsiTheme="majorBidi" w:cstheme="majorBidi"/>
          <w:b/>
          <w:bCs/>
        </w:rPr>
        <w:t xml:space="preserve">SARs </w:t>
      </w:r>
      <w:r>
        <w:rPr>
          <w:rFonts w:asciiTheme="majorBidi" w:hAnsiTheme="majorBidi" w:cstheme="majorBidi"/>
          <w:b/>
          <w:bCs/>
        </w:rPr>
        <w:t>P</w:t>
      </w:r>
      <w:r w:rsidRPr="00D32813">
        <w:rPr>
          <w:rFonts w:asciiTheme="majorBidi" w:hAnsiTheme="majorBidi" w:cstheme="majorBidi"/>
          <w:b/>
          <w:bCs/>
        </w:rPr>
        <w:t xml:space="preserve">erceived </w:t>
      </w:r>
      <w:r w:rsidRPr="000909BF">
        <w:rPr>
          <w:rFonts w:asciiTheme="majorBidi" w:hAnsiTheme="majorBidi" w:cstheme="majorBidi"/>
          <w:b/>
          <w:bCs/>
        </w:rPr>
        <w:t>Advantages</w:t>
      </w:r>
    </w:p>
    <w:p w14:paraId="70EB0563" w14:textId="77777777" w:rsidR="00C43B4F" w:rsidRDefault="00C43B4F" w:rsidP="00C43B4F">
      <w:pPr>
        <w:pStyle w:val="NormalWeb"/>
        <w:spacing w:before="0" w:beforeAutospacing="0" w:after="0" w:afterAutospacing="0" w:line="360" w:lineRule="auto"/>
        <w:jc w:val="both"/>
        <w:rPr>
          <w:color w:val="0E101A"/>
        </w:rPr>
      </w:pPr>
      <w:r>
        <w:rPr>
          <w:color w:val="0E101A"/>
        </w:rPr>
        <w:t>The responses of individuals with PD</w:t>
      </w:r>
      <w:r>
        <w:rPr>
          <w:rFonts w:asciiTheme="majorBidi" w:hAnsiTheme="majorBidi" w:cstheme="majorBidi"/>
        </w:rPr>
        <w:t xml:space="preserve"> to the question “</w:t>
      </w:r>
      <w:r w:rsidRPr="00FC2DEC">
        <w:rPr>
          <w:rFonts w:cstheme="minorHAnsi"/>
        </w:rPr>
        <w:t>How do you think you</w:t>
      </w:r>
      <w:r>
        <w:rPr>
          <w:rFonts w:cstheme="minorHAnsi" w:hint="cs"/>
          <w:rtl/>
        </w:rPr>
        <w:t xml:space="preserve"> </w:t>
      </w:r>
      <w:r w:rsidRPr="00FC2DEC">
        <w:rPr>
          <w:rFonts w:cstheme="minorHAnsi"/>
        </w:rPr>
        <w:t>can benefit from SARs?</w:t>
      </w:r>
      <w:r>
        <w:rPr>
          <w:rFonts w:asciiTheme="majorBidi" w:hAnsiTheme="majorBidi" w:cstheme="majorBidi"/>
        </w:rPr>
        <w:t>”</w:t>
      </w:r>
      <w:r w:rsidRPr="00822EDA">
        <w:rPr>
          <w:rFonts w:asciiTheme="majorBidi" w:hAnsiTheme="majorBidi" w:cstheme="majorBidi"/>
        </w:rPr>
        <w:t xml:space="preserve"> </w:t>
      </w:r>
      <w:r>
        <w:rPr>
          <w:rFonts w:asciiTheme="majorBidi" w:hAnsiTheme="majorBidi" w:cstheme="majorBidi"/>
        </w:rPr>
        <w:t xml:space="preserve">fell into one of </w:t>
      </w:r>
      <w:r>
        <w:rPr>
          <w:color w:val="0E101A"/>
        </w:rPr>
        <w:t>two categories: physical (N = 6) and social and cognitive assistance (N = 6).</w:t>
      </w:r>
    </w:p>
    <w:p w14:paraId="033A9198" w14:textId="77777777" w:rsidR="00C43B4F" w:rsidRPr="0036654C" w:rsidRDefault="00C43B4F" w:rsidP="00C43B4F">
      <w:pPr>
        <w:pStyle w:val="NormalWeb"/>
        <w:spacing w:before="0" w:beforeAutospacing="0" w:after="0" w:afterAutospacing="0" w:line="360" w:lineRule="auto"/>
        <w:jc w:val="both"/>
        <w:rPr>
          <w:color w:val="0E101A"/>
          <w:rtl/>
        </w:rPr>
      </w:pPr>
      <w:r>
        <w:rPr>
          <w:color w:val="0E101A"/>
        </w:rPr>
        <w:t> </w:t>
      </w:r>
    </w:p>
    <w:p w14:paraId="78F0139C" w14:textId="77777777" w:rsidR="00C43B4F" w:rsidRPr="0036654C" w:rsidRDefault="00C43B4F" w:rsidP="00C43B4F">
      <w:pPr>
        <w:pStyle w:val="NormalWeb"/>
        <w:spacing w:before="0" w:beforeAutospacing="0" w:after="0" w:afterAutospacing="0" w:line="360" w:lineRule="auto"/>
        <w:jc w:val="both"/>
        <w:rPr>
          <w:color w:val="0E101A"/>
        </w:rPr>
      </w:pPr>
      <w:r>
        <w:rPr>
          <w:color w:val="0E101A"/>
        </w:rPr>
        <w:t xml:space="preserve">Under the </w:t>
      </w:r>
      <w:r w:rsidRPr="0036654C">
        <w:rPr>
          <w:i/>
          <w:iCs/>
          <w:color w:val="0E101A"/>
        </w:rPr>
        <w:t>physical assistance</w:t>
      </w:r>
      <w:r>
        <w:rPr>
          <w:color w:val="0E101A"/>
        </w:rPr>
        <w:t xml:space="preserve"> category, participants noted several perceived advantages, such as the SAR’s ability to motivate exercise training (n=2): “</w:t>
      </w:r>
      <w:r>
        <w:rPr>
          <w:rStyle w:val="Emphasis"/>
          <w:color w:val="0E101A"/>
        </w:rPr>
        <w:t>[A] robot that does exercises for Parkinson’s... it is essential for us” (SPD2-3)</w:t>
      </w:r>
      <w:r>
        <w:rPr>
          <w:color w:val="0E101A"/>
        </w:rPr>
        <w:t>, for helping with cooking and cleaning (n=2), making multitasking easier (n=1) and reducing the load on the main caregivers (n=1).</w:t>
      </w:r>
    </w:p>
    <w:p w14:paraId="2D2D4C00" w14:textId="77777777" w:rsidR="00C43B4F" w:rsidRDefault="00C43B4F" w:rsidP="00C43B4F">
      <w:pPr>
        <w:pStyle w:val="NormalWeb"/>
        <w:spacing w:before="0" w:beforeAutospacing="0" w:after="0" w:afterAutospacing="0" w:line="360" w:lineRule="auto"/>
        <w:jc w:val="both"/>
        <w:rPr>
          <w:color w:val="0E101A"/>
          <w:rtl/>
        </w:rPr>
      </w:pPr>
      <w:r>
        <w:rPr>
          <w:color w:val="0E101A"/>
        </w:rPr>
        <w:t> </w:t>
      </w:r>
    </w:p>
    <w:p w14:paraId="3DC95E03" w14:textId="77777777" w:rsidR="00C43B4F" w:rsidRDefault="00C43B4F" w:rsidP="00C43B4F">
      <w:pPr>
        <w:pStyle w:val="NormalWeb"/>
        <w:spacing w:before="0" w:beforeAutospacing="0" w:after="0" w:afterAutospacing="0" w:line="360" w:lineRule="auto"/>
        <w:jc w:val="both"/>
        <w:rPr>
          <w:color w:val="0E101A"/>
        </w:rPr>
      </w:pPr>
      <w:r>
        <w:rPr>
          <w:color w:val="0E101A"/>
        </w:rPr>
        <w:lastRenderedPageBreak/>
        <w:t>Under the</w:t>
      </w:r>
      <w:r w:rsidDel="00E27DDB">
        <w:rPr>
          <w:color w:val="0E101A"/>
        </w:rPr>
        <w:t xml:space="preserve"> </w:t>
      </w:r>
      <w:r w:rsidRPr="0036654C">
        <w:rPr>
          <w:i/>
          <w:iCs/>
          <w:color w:val="0E101A"/>
        </w:rPr>
        <w:t>social and cognitive</w:t>
      </w:r>
      <w:r>
        <w:rPr>
          <w:color w:val="0E101A"/>
        </w:rPr>
        <w:t xml:space="preserve"> </w:t>
      </w:r>
      <w:r w:rsidRPr="0036654C">
        <w:rPr>
          <w:i/>
          <w:iCs/>
          <w:color w:val="0E101A"/>
        </w:rPr>
        <w:t>assistance</w:t>
      </w:r>
      <w:r>
        <w:rPr>
          <w:color w:val="0E101A"/>
        </w:rPr>
        <w:t xml:space="preserve"> category, participants noted the following perceived advantages: such as a robot’s potential ability to improve mood (n=2</w:t>
      </w:r>
      <w:r>
        <w:rPr>
          <w:rStyle w:val="Emphasis"/>
          <w:color w:val="0E101A"/>
        </w:rPr>
        <w:t>): “It can be incredible if such a thing can help improve my</w:t>
      </w:r>
      <w:r>
        <w:rPr>
          <w:color w:val="0E101A"/>
        </w:rPr>
        <w:t> </w:t>
      </w:r>
      <w:r>
        <w:rPr>
          <w:rStyle w:val="Emphasis"/>
          <w:color w:val="0E101A"/>
        </w:rPr>
        <w:t>mood, [make me] laugh, rejoice, dance, and sing” (SPD2-5)</w:t>
      </w:r>
    </w:p>
    <w:p w14:paraId="712873E6" w14:textId="77777777" w:rsidR="00C43B4F" w:rsidRDefault="00C43B4F" w:rsidP="00C43B4F">
      <w:pPr>
        <w:pStyle w:val="NormalWeb"/>
        <w:spacing w:before="0" w:beforeAutospacing="0" w:after="0" w:afterAutospacing="0" w:line="360" w:lineRule="auto"/>
        <w:jc w:val="both"/>
        <w:rPr>
          <w:color w:val="0E101A"/>
        </w:rPr>
      </w:pPr>
      <w:r>
        <w:rPr>
          <w:color w:val="0E101A"/>
        </w:rPr>
        <w:t>Another perceived advantage is that interactivity with the robot can encourage practice (n=1), the robot can serve as a companion (n=1), the robot can help to calm down (n=1), and practicing alone can be embarrassing; a robot solves the problem (n=1):</w:t>
      </w:r>
    </w:p>
    <w:p w14:paraId="37F34474" w14:textId="77777777" w:rsidR="00C43B4F" w:rsidRDefault="00C43B4F" w:rsidP="00C43B4F">
      <w:pPr>
        <w:pStyle w:val="NormalWeb"/>
        <w:spacing w:before="0" w:beforeAutospacing="0" w:after="0" w:afterAutospacing="0" w:line="360" w:lineRule="auto"/>
        <w:jc w:val="both"/>
        <w:rPr>
          <w:color w:val="0E101A"/>
        </w:rPr>
      </w:pPr>
      <w:r>
        <w:rPr>
          <w:rStyle w:val="Emphasis"/>
          <w:color w:val="0E101A"/>
        </w:rPr>
        <w:t>“I’m ashamed to practice voice exercises ... I practice sports well; if it’s physically related, I have no problem. Interacting with a robot-like a voice teacher can solve the problem.” (SPD1-8)</w:t>
      </w:r>
    </w:p>
    <w:p w14:paraId="0A95E066" w14:textId="77777777" w:rsidR="00C43B4F" w:rsidRPr="006C1F9C" w:rsidRDefault="00C43B4F" w:rsidP="00C43B4F">
      <w:pPr>
        <w:pStyle w:val="NormalWeb"/>
        <w:spacing w:before="0" w:beforeAutospacing="0" w:after="0" w:afterAutospacing="0" w:line="360" w:lineRule="auto"/>
        <w:jc w:val="both"/>
        <w:rPr>
          <w:color w:val="0E101A"/>
          <w:rtl/>
        </w:rPr>
      </w:pPr>
      <w:r>
        <w:rPr>
          <w:rStyle w:val="Emphasis"/>
          <w:color w:val="0E101A"/>
        </w:rPr>
        <w:t> </w:t>
      </w:r>
    </w:p>
    <w:p w14:paraId="32CE5CC2" w14:textId="77777777" w:rsidR="00C43B4F" w:rsidRPr="00651DC8" w:rsidRDefault="00C43B4F" w:rsidP="00C43B4F">
      <w:pPr>
        <w:spacing w:line="360" w:lineRule="auto"/>
        <w:rPr>
          <w:rFonts w:asciiTheme="majorBidi" w:hAnsiTheme="majorBidi" w:cstheme="majorBidi"/>
          <w:b/>
          <w:bCs/>
        </w:rPr>
      </w:pPr>
      <w:r>
        <w:rPr>
          <w:rFonts w:asciiTheme="majorBidi" w:hAnsiTheme="majorBidi" w:cstheme="majorBidi"/>
          <w:b/>
          <w:bCs/>
        </w:rPr>
        <w:t xml:space="preserve">3.1.4 </w:t>
      </w:r>
      <w:r w:rsidRPr="004C2C01">
        <w:rPr>
          <w:rFonts w:asciiTheme="majorBidi" w:hAnsiTheme="majorBidi" w:cstheme="majorBidi"/>
          <w:b/>
          <w:bCs/>
        </w:rPr>
        <w:t>Suggestions regarding SAR design, operation, and interactive functionality</w:t>
      </w:r>
      <w:r w:rsidRPr="004C2C01" w:rsidDel="004C2C01">
        <w:rPr>
          <w:rFonts w:asciiTheme="majorBidi" w:hAnsiTheme="majorBidi" w:cstheme="majorBidi"/>
          <w:b/>
          <w:bCs/>
        </w:rPr>
        <w:t xml:space="preserve"> </w:t>
      </w:r>
    </w:p>
    <w:p w14:paraId="31C93EB1" w14:textId="642C152E" w:rsidR="00C43B4F" w:rsidRPr="00EB750B" w:rsidRDefault="00C43B4F" w:rsidP="00C43B4F">
      <w:pPr>
        <w:spacing w:after="0" w:line="360" w:lineRule="auto"/>
        <w:rPr>
          <w:color w:val="0E101A"/>
        </w:rPr>
      </w:pPr>
      <w:r>
        <w:rPr>
          <w:color w:val="0E101A"/>
        </w:rPr>
        <w:t xml:space="preserve">Individuals with PD noted the important features that technology for PD should include. </w:t>
      </w:r>
      <w:r w:rsidRPr="00EB750B">
        <w:rPr>
          <w:color w:val="0E101A"/>
        </w:rPr>
        <w:t xml:space="preserve">We divided the suggestions into two </w:t>
      </w:r>
      <w:proofErr w:type="gramStart"/>
      <w:r w:rsidRPr="00EB750B">
        <w:rPr>
          <w:color w:val="0E101A"/>
        </w:rPr>
        <w:t>categories :</w:t>
      </w:r>
      <w:proofErr w:type="gramEnd"/>
      <w:r w:rsidRPr="00EB750B">
        <w:rPr>
          <w:color w:val="0E101A"/>
        </w:rPr>
        <w:t xml:space="preserve"> design and operation (N = 8) and trust and </w:t>
      </w:r>
      <w:r>
        <w:rPr>
          <w:color w:val="0E101A"/>
        </w:rPr>
        <w:t>i</w:t>
      </w:r>
      <w:r w:rsidRPr="00EB750B">
        <w:rPr>
          <w:color w:val="0E101A"/>
        </w:rPr>
        <w:t>nteraction (N = 7).</w:t>
      </w:r>
    </w:p>
    <w:p w14:paraId="1076D955" w14:textId="77777777" w:rsidR="00C43B4F" w:rsidRPr="00EB750B" w:rsidRDefault="00C43B4F" w:rsidP="00C43B4F">
      <w:pPr>
        <w:spacing w:after="0" w:line="360" w:lineRule="auto"/>
        <w:rPr>
          <w:color w:val="0E101A"/>
        </w:rPr>
      </w:pPr>
      <w:r w:rsidRPr="00EB750B">
        <w:rPr>
          <w:color w:val="0E101A"/>
        </w:rPr>
        <w:t xml:space="preserve">Suggestions </w:t>
      </w:r>
      <w:r>
        <w:rPr>
          <w:color w:val="0E101A"/>
        </w:rPr>
        <w:t xml:space="preserve">with the </w:t>
      </w:r>
      <w:r w:rsidRPr="0036654C">
        <w:rPr>
          <w:i/>
          <w:iCs/>
          <w:color w:val="0E101A"/>
        </w:rPr>
        <w:t>design and operation</w:t>
      </w:r>
      <w:r w:rsidRPr="00EB750B">
        <w:rPr>
          <w:color w:val="0E101A"/>
        </w:rPr>
        <w:t xml:space="preserve"> </w:t>
      </w:r>
      <w:r>
        <w:rPr>
          <w:color w:val="0E101A"/>
        </w:rPr>
        <w:t xml:space="preserve">category </w:t>
      </w:r>
      <w:r w:rsidRPr="00EB750B">
        <w:rPr>
          <w:color w:val="0E101A"/>
        </w:rPr>
        <w:t xml:space="preserve">included </w:t>
      </w:r>
      <w:r>
        <w:rPr>
          <w:color w:val="0E101A"/>
        </w:rPr>
        <w:t xml:space="preserve">ensuring that the device is </w:t>
      </w:r>
      <w:r w:rsidRPr="00EB750B">
        <w:rPr>
          <w:color w:val="0E101A"/>
        </w:rPr>
        <w:t xml:space="preserve">simple </w:t>
      </w:r>
      <w:r>
        <w:rPr>
          <w:color w:val="0E101A"/>
        </w:rPr>
        <w:t xml:space="preserve">to </w:t>
      </w:r>
      <w:r w:rsidRPr="00EB750B">
        <w:rPr>
          <w:color w:val="0E101A"/>
        </w:rPr>
        <w:t xml:space="preserve">operate (n=3), </w:t>
      </w:r>
      <w:r>
        <w:rPr>
          <w:color w:val="0E101A"/>
        </w:rPr>
        <w:t xml:space="preserve">has </w:t>
      </w:r>
      <w:r w:rsidRPr="00EB750B">
        <w:rPr>
          <w:color w:val="0E101A"/>
        </w:rPr>
        <w:t xml:space="preserve">small dimensions (n=1), </w:t>
      </w:r>
      <w:r>
        <w:rPr>
          <w:color w:val="0E101A"/>
        </w:rPr>
        <w:t xml:space="preserve">makes use of </w:t>
      </w:r>
      <w:r w:rsidRPr="00EB750B">
        <w:rPr>
          <w:color w:val="0E101A"/>
        </w:rPr>
        <w:t xml:space="preserve">music and dance (n=1), </w:t>
      </w:r>
      <w:r>
        <w:rPr>
          <w:color w:val="0E101A"/>
        </w:rPr>
        <w:t xml:space="preserve">encourages </w:t>
      </w:r>
      <w:r w:rsidRPr="00EB750B">
        <w:rPr>
          <w:color w:val="0E101A"/>
        </w:rPr>
        <w:t>sport exercise (n=1), use</w:t>
      </w:r>
      <w:r>
        <w:rPr>
          <w:color w:val="0E101A"/>
        </w:rPr>
        <w:t xml:space="preserve">s sound and/or voice prompts (e.g., to help with walking; n=1), </w:t>
      </w:r>
      <w:r w:rsidRPr="00EB750B">
        <w:rPr>
          <w:color w:val="0E101A"/>
        </w:rPr>
        <w:t xml:space="preserve">and </w:t>
      </w:r>
      <w:r>
        <w:rPr>
          <w:color w:val="0E101A"/>
        </w:rPr>
        <w:t xml:space="preserve">uses </w:t>
      </w:r>
      <w:r w:rsidRPr="00EB750B">
        <w:rPr>
          <w:color w:val="0E101A"/>
        </w:rPr>
        <w:t>adaptation for people with PD</w:t>
      </w:r>
      <w:r>
        <w:rPr>
          <w:color w:val="0E101A"/>
        </w:rPr>
        <w:t>, such as</w:t>
      </w:r>
      <w:r w:rsidRPr="00EB750B">
        <w:rPr>
          <w:color w:val="0E101A"/>
        </w:rPr>
        <w:t xml:space="preserve"> large fonts (n=1):</w:t>
      </w:r>
    </w:p>
    <w:p w14:paraId="3A7C3ADE" w14:textId="77777777" w:rsidR="00C43B4F" w:rsidRDefault="00C43B4F" w:rsidP="00C43B4F">
      <w:pPr>
        <w:spacing w:after="0" w:line="360" w:lineRule="auto"/>
        <w:rPr>
          <w:i/>
          <w:iCs/>
          <w:color w:val="0E101A"/>
        </w:rPr>
      </w:pPr>
      <w:r w:rsidRPr="00EB750B">
        <w:rPr>
          <w:i/>
          <w:iCs/>
          <w:color w:val="0E101A"/>
        </w:rPr>
        <w:t>"</w:t>
      </w:r>
      <w:r>
        <w:rPr>
          <w:i/>
          <w:iCs/>
          <w:color w:val="0E101A"/>
        </w:rPr>
        <w:t>The fonts you used today [for the discussion questions which were handed to participants in printed form] – you used h</w:t>
      </w:r>
      <w:r w:rsidRPr="00EB750B">
        <w:rPr>
          <w:i/>
          <w:iCs/>
          <w:color w:val="0E101A"/>
        </w:rPr>
        <w:t>uge letters</w:t>
      </w:r>
      <w:r>
        <w:rPr>
          <w:i/>
          <w:iCs/>
          <w:color w:val="0E101A"/>
        </w:rPr>
        <w:t>, and I find that… very considerate;</w:t>
      </w:r>
      <w:r w:rsidRPr="00EB750B">
        <w:rPr>
          <w:i/>
          <w:iCs/>
          <w:color w:val="0E101A"/>
        </w:rPr>
        <w:t xml:space="preserve"> especially considering that we </w:t>
      </w:r>
      <w:r>
        <w:rPr>
          <w:i/>
          <w:iCs/>
          <w:color w:val="0E101A"/>
        </w:rPr>
        <w:t>are loaded with medicine</w:t>
      </w:r>
      <w:r w:rsidRPr="00EB750B">
        <w:rPr>
          <w:i/>
          <w:iCs/>
          <w:color w:val="0E101A"/>
        </w:rPr>
        <w:t>, I cannot read</w:t>
      </w:r>
      <w:r>
        <w:rPr>
          <w:i/>
          <w:iCs/>
          <w:color w:val="0E101A"/>
        </w:rPr>
        <w:t xml:space="preserve"> many things, even with my glasses on,</w:t>
      </w:r>
      <w:r w:rsidRPr="00EB750B">
        <w:rPr>
          <w:i/>
          <w:iCs/>
          <w:color w:val="0E101A"/>
        </w:rPr>
        <w:t xml:space="preserve"> </w:t>
      </w:r>
      <w:r>
        <w:rPr>
          <w:i/>
          <w:iCs/>
          <w:color w:val="0E101A"/>
        </w:rPr>
        <w:t>I can hardly read very small letters</w:t>
      </w:r>
      <w:r w:rsidRPr="00EB750B">
        <w:rPr>
          <w:i/>
          <w:iCs/>
          <w:color w:val="0E101A"/>
        </w:rPr>
        <w:t xml:space="preserve">... I think the robot </w:t>
      </w:r>
      <w:r>
        <w:rPr>
          <w:i/>
          <w:iCs/>
          <w:color w:val="0E101A"/>
        </w:rPr>
        <w:t>[</w:t>
      </w:r>
      <w:r w:rsidRPr="00EB750B">
        <w:rPr>
          <w:i/>
          <w:iCs/>
          <w:color w:val="0E101A"/>
        </w:rPr>
        <w:t>should</w:t>
      </w:r>
      <w:r>
        <w:rPr>
          <w:i/>
          <w:iCs/>
          <w:color w:val="0E101A"/>
        </w:rPr>
        <w:t>]</w:t>
      </w:r>
      <w:r w:rsidRPr="00EB750B">
        <w:rPr>
          <w:i/>
          <w:iCs/>
          <w:color w:val="0E101A"/>
        </w:rPr>
        <w:t xml:space="preserve"> also </w:t>
      </w:r>
      <w:r>
        <w:rPr>
          <w:i/>
          <w:iCs/>
          <w:color w:val="0E101A"/>
        </w:rPr>
        <w:t>[help with this aspect]</w:t>
      </w:r>
      <w:r w:rsidRPr="00EB750B">
        <w:rPr>
          <w:i/>
          <w:iCs/>
          <w:color w:val="0E101A"/>
        </w:rPr>
        <w:t>" (</w:t>
      </w:r>
      <w:r>
        <w:rPr>
          <w:i/>
          <w:iCs/>
          <w:color w:val="0E101A"/>
        </w:rPr>
        <w:t>SPD2</w:t>
      </w:r>
      <w:r w:rsidRPr="00EB750B">
        <w:rPr>
          <w:i/>
          <w:iCs/>
          <w:color w:val="0E101A"/>
        </w:rPr>
        <w:t>-3)</w:t>
      </w:r>
    </w:p>
    <w:p w14:paraId="4AEB17D6" w14:textId="77777777" w:rsidR="00C43B4F" w:rsidRPr="00EB750B" w:rsidRDefault="00C43B4F" w:rsidP="00C43B4F">
      <w:pPr>
        <w:spacing w:after="0" w:line="360" w:lineRule="auto"/>
        <w:rPr>
          <w:color w:val="0E101A"/>
        </w:rPr>
      </w:pPr>
    </w:p>
    <w:p w14:paraId="37FE47A2" w14:textId="77777777" w:rsidR="00C43B4F" w:rsidRDefault="00C43B4F" w:rsidP="00C43B4F">
      <w:pPr>
        <w:spacing w:after="0" w:line="360" w:lineRule="auto"/>
        <w:rPr>
          <w:color w:val="0E101A"/>
        </w:rPr>
      </w:pPr>
      <w:r w:rsidRPr="00EB750B">
        <w:rPr>
          <w:color w:val="0E101A"/>
        </w:rPr>
        <w:t xml:space="preserve">In the </w:t>
      </w:r>
      <w:r w:rsidRPr="00A31775">
        <w:rPr>
          <w:i/>
          <w:iCs/>
          <w:color w:val="0E101A"/>
        </w:rPr>
        <w:t>trust and interaction</w:t>
      </w:r>
      <w:r w:rsidRPr="00EB750B">
        <w:rPr>
          <w:color w:val="0E101A"/>
        </w:rPr>
        <w:t xml:space="preserve"> category, </w:t>
      </w:r>
      <w:r w:rsidRPr="00A31775">
        <w:rPr>
          <w:color w:val="0E101A"/>
        </w:rPr>
        <w:t xml:space="preserve">the importance of adapting the robot’s actions, instructions and levels of assistance </w:t>
      </w:r>
      <w:r w:rsidRPr="00EB750B">
        <w:rPr>
          <w:color w:val="0E101A"/>
        </w:rPr>
        <w:t xml:space="preserve">to the patient's condition - including adaptation to </w:t>
      </w:r>
      <w:r w:rsidRPr="00A31775">
        <w:rPr>
          <w:color w:val="0E101A"/>
        </w:rPr>
        <w:t>the specific</w:t>
      </w:r>
      <w:r w:rsidRPr="00EB750B">
        <w:rPr>
          <w:color w:val="0E101A"/>
        </w:rPr>
        <w:t xml:space="preserve"> cultural context</w:t>
      </w:r>
      <w:r>
        <w:rPr>
          <w:color w:val="0E101A"/>
        </w:rPr>
        <w:t xml:space="preserve"> – was mentioned by five </w:t>
      </w:r>
      <w:r>
        <w:rPr>
          <w:rFonts w:asciiTheme="majorBidi" w:hAnsiTheme="majorBidi" w:cstheme="majorBidi"/>
        </w:rPr>
        <w:t>participants</w:t>
      </w:r>
      <w:r w:rsidRPr="00EB750B">
        <w:rPr>
          <w:color w:val="0E101A"/>
        </w:rPr>
        <w:t>: </w:t>
      </w:r>
      <w:r w:rsidRPr="00EB750B">
        <w:rPr>
          <w:i/>
          <w:iCs/>
          <w:color w:val="0E101A"/>
        </w:rPr>
        <w:t xml:space="preserve">"In my opinion, robots should constantly be </w:t>
      </w:r>
      <w:r>
        <w:rPr>
          <w:i/>
          <w:iCs/>
          <w:color w:val="0E101A"/>
        </w:rPr>
        <w:t>[adapting]…</w:t>
      </w:r>
      <w:r w:rsidRPr="00EB750B">
        <w:rPr>
          <w:i/>
          <w:iCs/>
          <w:color w:val="0E101A"/>
        </w:rPr>
        <w:t xml:space="preserve"> to </w:t>
      </w:r>
      <w:r>
        <w:rPr>
          <w:i/>
          <w:iCs/>
          <w:color w:val="0E101A"/>
        </w:rPr>
        <w:t>…</w:t>
      </w:r>
      <w:r w:rsidRPr="00EB750B">
        <w:rPr>
          <w:i/>
          <w:iCs/>
          <w:color w:val="0E101A"/>
        </w:rPr>
        <w:t xml:space="preserve"> the patient's condition" (</w:t>
      </w:r>
      <w:r>
        <w:rPr>
          <w:i/>
          <w:iCs/>
          <w:color w:val="0E101A"/>
        </w:rPr>
        <w:t>SPD2</w:t>
      </w:r>
      <w:r w:rsidRPr="00EB750B">
        <w:rPr>
          <w:i/>
          <w:iCs/>
          <w:color w:val="0E101A"/>
        </w:rPr>
        <w:t>-4).</w:t>
      </w:r>
      <w:r w:rsidRPr="00EB750B">
        <w:rPr>
          <w:color w:val="0E101A"/>
        </w:rPr>
        <w:t xml:space="preserve"> In addition, </w:t>
      </w:r>
      <w:r>
        <w:rPr>
          <w:color w:val="0E101A"/>
        </w:rPr>
        <w:t xml:space="preserve">the interaction with the robot should provide the user with an </w:t>
      </w:r>
      <w:r w:rsidRPr="00EB750B">
        <w:rPr>
          <w:color w:val="0E101A"/>
        </w:rPr>
        <w:t>experience</w:t>
      </w:r>
      <w:r>
        <w:rPr>
          <w:color w:val="0E101A"/>
        </w:rPr>
        <w:t xml:space="preserve"> of success (rather than create frustration by frequent alerts on failure to maintain good posture, for example) </w:t>
      </w:r>
      <w:r w:rsidRPr="00EB750B">
        <w:rPr>
          <w:color w:val="0E101A"/>
        </w:rPr>
        <w:t xml:space="preserve">(n=1) and </w:t>
      </w:r>
      <w:r>
        <w:rPr>
          <w:color w:val="0E101A"/>
        </w:rPr>
        <w:t xml:space="preserve">promote physical exercise by </w:t>
      </w:r>
      <w:r w:rsidRPr="00EB750B">
        <w:rPr>
          <w:color w:val="0E101A"/>
        </w:rPr>
        <w:t>requir</w:t>
      </w:r>
      <w:r>
        <w:rPr>
          <w:color w:val="0E101A"/>
        </w:rPr>
        <w:t>ing users to perform</w:t>
      </w:r>
      <w:r w:rsidRPr="00EB750B">
        <w:rPr>
          <w:color w:val="0E101A"/>
        </w:rPr>
        <w:t xml:space="preserve"> exercise</w:t>
      </w:r>
      <w:r>
        <w:rPr>
          <w:color w:val="0E101A"/>
        </w:rPr>
        <w:t>s</w:t>
      </w:r>
      <w:r w:rsidRPr="00EB750B">
        <w:rPr>
          <w:color w:val="0E101A"/>
        </w:rPr>
        <w:t xml:space="preserve"> to use the device</w:t>
      </w:r>
      <w:r>
        <w:rPr>
          <w:color w:val="0E101A"/>
        </w:rPr>
        <w:t xml:space="preserve"> (e.g.,</w:t>
      </w:r>
      <w:r w:rsidRPr="00EB750B">
        <w:rPr>
          <w:color w:val="0E101A"/>
        </w:rPr>
        <w:t xml:space="preserve"> doing a squat to open the fridge</w:t>
      </w:r>
      <w:r>
        <w:rPr>
          <w:color w:val="0E101A"/>
        </w:rPr>
        <w:t xml:space="preserve">; </w:t>
      </w:r>
      <w:r w:rsidRPr="00EB750B">
        <w:rPr>
          <w:color w:val="0E101A"/>
        </w:rPr>
        <w:t>n=1).</w:t>
      </w:r>
    </w:p>
    <w:p w14:paraId="310ED1FE" w14:textId="77777777" w:rsidR="00C43B4F" w:rsidRPr="00825496" w:rsidRDefault="00C43B4F" w:rsidP="00C43B4F">
      <w:pPr>
        <w:spacing w:after="0" w:line="360" w:lineRule="auto"/>
        <w:rPr>
          <w:color w:val="0E101A"/>
        </w:rPr>
      </w:pPr>
    </w:p>
    <w:p w14:paraId="209AC355" w14:textId="77777777" w:rsidR="00C43B4F" w:rsidRDefault="00C43B4F" w:rsidP="00C43B4F">
      <w:pPr>
        <w:spacing w:line="360" w:lineRule="auto"/>
        <w:rPr>
          <w:rFonts w:asciiTheme="majorBidi" w:hAnsiTheme="majorBidi" w:cstheme="majorBidi"/>
          <w:b/>
          <w:bCs/>
        </w:rPr>
      </w:pPr>
      <w:r>
        <w:rPr>
          <w:rFonts w:asciiTheme="majorBidi" w:hAnsiTheme="majorBidi" w:cstheme="majorBidi"/>
          <w:b/>
          <w:bCs/>
        </w:rPr>
        <w:t>3.1.5 Concerns</w:t>
      </w:r>
      <w:r w:rsidRPr="0099785E">
        <w:rPr>
          <w:rFonts w:asciiTheme="majorBidi" w:hAnsiTheme="majorBidi" w:cstheme="majorBidi"/>
          <w:b/>
          <w:bCs/>
        </w:rPr>
        <w:t xml:space="preserve"> </w:t>
      </w:r>
      <w:r>
        <w:rPr>
          <w:rFonts w:asciiTheme="majorBidi" w:hAnsiTheme="majorBidi" w:cstheme="majorBidi"/>
          <w:b/>
          <w:bCs/>
        </w:rPr>
        <w:t>R</w:t>
      </w:r>
      <w:r w:rsidRPr="0099785E">
        <w:rPr>
          <w:rFonts w:asciiTheme="majorBidi" w:hAnsiTheme="majorBidi" w:cstheme="majorBidi"/>
          <w:b/>
          <w:bCs/>
        </w:rPr>
        <w:t xml:space="preserve">egarding </w:t>
      </w:r>
      <w:r>
        <w:rPr>
          <w:rFonts w:asciiTheme="majorBidi" w:hAnsiTheme="majorBidi" w:cstheme="majorBidi"/>
          <w:b/>
          <w:bCs/>
        </w:rPr>
        <w:t xml:space="preserve">the use of </w:t>
      </w:r>
      <w:r w:rsidRPr="0099785E">
        <w:rPr>
          <w:rFonts w:asciiTheme="majorBidi" w:hAnsiTheme="majorBidi" w:cstheme="majorBidi"/>
          <w:b/>
          <w:bCs/>
        </w:rPr>
        <w:t>SARs</w:t>
      </w:r>
    </w:p>
    <w:p w14:paraId="6C446759" w14:textId="29EEE7BC" w:rsidR="00C43B4F" w:rsidRPr="009A3A07" w:rsidRDefault="00C43B4F" w:rsidP="00C43B4F">
      <w:pPr>
        <w:spacing w:line="360" w:lineRule="auto"/>
        <w:rPr>
          <w:color w:val="0E101A"/>
        </w:rPr>
      </w:pPr>
      <w:r w:rsidRPr="009A3A07">
        <w:rPr>
          <w:color w:val="0E101A"/>
        </w:rPr>
        <w:t>We divided the concerns</w:t>
      </w:r>
      <w:r w:rsidRPr="000A6B72">
        <w:rPr>
          <w:rFonts w:asciiTheme="majorBidi" w:hAnsiTheme="majorBidi" w:cstheme="majorBidi"/>
          <w:color w:val="0E101A"/>
        </w:rPr>
        <w:t xml:space="preserve"> </w:t>
      </w:r>
      <w:r w:rsidRPr="00590354">
        <w:rPr>
          <w:rFonts w:asciiTheme="majorBidi" w:hAnsiTheme="majorBidi" w:cstheme="majorBidi"/>
          <w:color w:val="0E101A"/>
        </w:rPr>
        <w:t xml:space="preserve">raised by </w:t>
      </w:r>
      <w:r>
        <w:rPr>
          <w:rFonts w:asciiTheme="majorBidi" w:hAnsiTheme="majorBidi" w:cstheme="majorBidi"/>
          <w:color w:val="0E101A"/>
        </w:rPr>
        <w:t>individuals with PD</w:t>
      </w:r>
      <w:r w:rsidRPr="009A3A07">
        <w:rPr>
          <w:color w:val="0E101A"/>
        </w:rPr>
        <w:t xml:space="preserve"> into two sub-categories: design and operation (N = 12) and trust and Interaction (N = 11</w:t>
      </w:r>
      <w:r>
        <w:rPr>
          <w:color w:val="0E101A"/>
        </w:rPr>
        <w:t xml:space="preserve">; see Figure </w:t>
      </w:r>
      <w:r w:rsidR="000218DC">
        <w:rPr>
          <w:color w:val="0E101A"/>
        </w:rPr>
        <w:t>3</w:t>
      </w:r>
      <w:r>
        <w:rPr>
          <w:color w:val="0E101A"/>
        </w:rPr>
        <w:t>)</w:t>
      </w:r>
      <w:r w:rsidRPr="009A3A07">
        <w:rPr>
          <w:color w:val="0E101A"/>
        </w:rPr>
        <w:t>.</w:t>
      </w:r>
    </w:p>
    <w:p w14:paraId="173DA883" w14:textId="77777777" w:rsidR="00C43B4F" w:rsidRDefault="00C43B4F" w:rsidP="00C43B4F">
      <w:pPr>
        <w:pStyle w:val="NormalWeb"/>
        <w:spacing w:before="0" w:beforeAutospacing="0" w:after="0" w:afterAutospacing="0" w:line="360" w:lineRule="auto"/>
        <w:jc w:val="both"/>
        <w:rPr>
          <w:rStyle w:val="Emphasis"/>
          <w:color w:val="0E101A"/>
        </w:rPr>
      </w:pPr>
      <w:r>
        <w:rPr>
          <w:color w:val="0E101A"/>
        </w:rPr>
        <w:t xml:space="preserve">Concerns that came up a relatively large number of times within the </w:t>
      </w:r>
      <w:r w:rsidRPr="00822EDA">
        <w:rPr>
          <w:i/>
          <w:iCs/>
          <w:color w:val="0E101A"/>
        </w:rPr>
        <w:t>design and operation</w:t>
      </w:r>
      <w:r>
        <w:rPr>
          <w:color w:val="0E101A"/>
        </w:rPr>
        <w:t xml:space="preserve"> category were the cost of the robot (n=3), that the robot would be too large (n=3), and </w:t>
      </w:r>
      <w:r w:rsidRPr="00BB5F20">
        <w:rPr>
          <w:color w:val="0E101A"/>
        </w:rPr>
        <w:t>difficulties operating the technology</w:t>
      </w:r>
      <w:r>
        <w:rPr>
          <w:color w:val="0E101A"/>
        </w:rPr>
        <w:t xml:space="preserve"> (n=3): </w:t>
      </w:r>
      <w:r>
        <w:rPr>
          <w:rStyle w:val="Emphasis"/>
          <w:color w:val="0E101A"/>
        </w:rPr>
        <w:t xml:space="preserve">“I’m just too old, </w:t>
      </w:r>
      <w:r w:rsidRPr="00BB5F20">
        <w:rPr>
          <w:rStyle w:val="Emphasis"/>
          <w:color w:val="0E101A"/>
        </w:rPr>
        <w:t xml:space="preserve">it is much easier for </w:t>
      </w:r>
      <w:r>
        <w:rPr>
          <w:rStyle w:val="Emphasis"/>
          <w:color w:val="0E101A"/>
        </w:rPr>
        <w:t>my grandchildren, and I do not know how easily I can use such robots</w:t>
      </w:r>
      <w:r w:rsidRPr="00BB5F20">
        <w:rPr>
          <w:rStyle w:val="Emphasis"/>
          <w:color w:val="0E101A"/>
        </w:rPr>
        <w:t xml:space="preserve"> </w:t>
      </w:r>
      <w:r>
        <w:rPr>
          <w:rStyle w:val="Emphasis"/>
          <w:color w:val="0E101A"/>
        </w:rPr>
        <w:t>at my age.” (SG1-5)</w:t>
      </w:r>
    </w:p>
    <w:p w14:paraId="337661B6" w14:textId="77777777" w:rsidR="00C43B4F" w:rsidRDefault="00C43B4F" w:rsidP="00C43B4F">
      <w:pPr>
        <w:pStyle w:val="NormalWeb"/>
        <w:spacing w:before="0" w:beforeAutospacing="0" w:after="0" w:afterAutospacing="0" w:line="360" w:lineRule="auto"/>
        <w:jc w:val="both"/>
        <w:rPr>
          <w:color w:val="0E101A"/>
        </w:rPr>
      </w:pPr>
    </w:p>
    <w:p w14:paraId="5F8F5ED4" w14:textId="77777777" w:rsidR="00C43B4F" w:rsidRPr="00C13B94" w:rsidRDefault="00C43B4F" w:rsidP="00C43B4F">
      <w:pPr>
        <w:pStyle w:val="NormalWeb"/>
        <w:spacing w:before="0" w:beforeAutospacing="0" w:after="0" w:afterAutospacing="0" w:line="360" w:lineRule="auto"/>
        <w:jc w:val="both"/>
        <w:rPr>
          <w:rStyle w:val="Emphasis"/>
          <w:color w:val="0E101A"/>
        </w:rPr>
      </w:pPr>
      <w:r>
        <w:rPr>
          <w:color w:val="0E101A"/>
        </w:rPr>
        <w:t xml:space="preserve">Concerns that came up a relatively large number of times within the </w:t>
      </w:r>
      <w:r w:rsidRPr="00C13B94">
        <w:rPr>
          <w:i/>
          <w:iCs/>
          <w:color w:val="0E101A"/>
        </w:rPr>
        <w:t>trust and interaction</w:t>
      </w:r>
      <w:r>
        <w:rPr>
          <w:color w:val="0E101A"/>
        </w:rPr>
        <w:t xml:space="preserve"> category were</w:t>
      </w:r>
      <w:r>
        <w:rPr>
          <w:rStyle w:val="Emphasis"/>
          <w:color w:val="0E101A"/>
        </w:rPr>
        <w:t> </w:t>
      </w:r>
      <w:r>
        <w:rPr>
          <w:color w:val="0E101A"/>
        </w:rPr>
        <w:t>the ability to trust the robot (n=3) - including trusting that it would bring the right medicine and that the battery would not run out suddenly. In addition, the concern that the robot will replace human-human communication was brought up twice: </w:t>
      </w:r>
      <w:r>
        <w:rPr>
          <w:rStyle w:val="Emphasis"/>
          <w:color w:val="0E101A"/>
        </w:rPr>
        <w:t>“Those robots are social, and I will lose my social skills as a result of contact only with robots and not with humans” (SPD2-1).</w:t>
      </w:r>
    </w:p>
    <w:p w14:paraId="1A35D172" w14:textId="77777777" w:rsidR="00C43B4F" w:rsidRDefault="00C43B4F" w:rsidP="00C43B4F">
      <w:pPr>
        <w:pStyle w:val="NormalWeb"/>
        <w:spacing w:before="0" w:beforeAutospacing="0" w:after="0" w:afterAutospacing="0" w:line="360" w:lineRule="auto"/>
        <w:jc w:val="both"/>
        <w:rPr>
          <w:color w:val="0E101A"/>
        </w:rPr>
      </w:pPr>
    </w:p>
    <w:p w14:paraId="1DB0C182" w14:textId="77777777" w:rsidR="00C43B4F" w:rsidRDefault="00C43B4F" w:rsidP="00C43B4F">
      <w:pPr>
        <w:pStyle w:val="NormalWeb"/>
        <w:keepNext/>
        <w:spacing w:before="0" w:beforeAutospacing="0" w:after="0" w:afterAutospacing="0" w:line="360" w:lineRule="auto"/>
        <w:jc w:val="both"/>
      </w:pPr>
      <w:r>
        <w:rPr>
          <w:noProof/>
        </w:rPr>
        <w:lastRenderedPageBreak/>
        <w:drawing>
          <wp:inline distT="0" distB="0" distL="0" distR="0" wp14:anchorId="081F4B2F" wp14:editId="3393FDDA">
            <wp:extent cx="5505450" cy="3796086"/>
            <wp:effectExtent l="0" t="0" r="0" b="0"/>
            <wp:docPr id="5"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22224" cy="3807652"/>
                    </a:xfrm>
                    <a:prstGeom prst="rect">
                      <a:avLst/>
                    </a:prstGeom>
                    <a:noFill/>
                    <a:ln>
                      <a:noFill/>
                    </a:ln>
                  </pic:spPr>
                </pic:pic>
              </a:graphicData>
            </a:graphic>
          </wp:inline>
        </w:drawing>
      </w:r>
    </w:p>
    <w:p w14:paraId="20FC4975" w14:textId="07644EA7" w:rsidR="00C43B4F" w:rsidRPr="00CC1C13" w:rsidRDefault="00C43B4F" w:rsidP="00C43B4F">
      <w:pPr>
        <w:pStyle w:val="Caption"/>
        <w:jc w:val="both"/>
        <w:rPr>
          <w:rFonts w:ascii="Times New Roman" w:eastAsia="Times New Roman" w:hAnsi="Times New Roman" w:cs="Times New Roman"/>
          <w:i w:val="0"/>
          <w:iCs w:val="0"/>
          <w:color w:val="auto"/>
          <w:sz w:val="24"/>
          <w:szCs w:val="24"/>
        </w:rPr>
      </w:pPr>
      <w:r w:rsidRPr="00CC1C13">
        <w:rPr>
          <w:rFonts w:ascii="Times New Roman" w:eastAsia="Times New Roman" w:hAnsi="Times New Roman" w:cs="Times New Roman"/>
          <w:b/>
          <w:bCs/>
          <w:i w:val="0"/>
          <w:iCs w:val="0"/>
          <w:color w:val="auto"/>
          <w:sz w:val="24"/>
          <w:szCs w:val="24"/>
        </w:rPr>
        <w:t xml:space="preserve">Figure </w:t>
      </w:r>
      <w:r w:rsidR="000218DC">
        <w:rPr>
          <w:rFonts w:ascii="Times New Roman" w:eastAsia="Times New Roman" w:hAnsi="Times New Roman" w:cs="Times New Roman" w:hint="cs"/>
          <w:b/>
          <w:bCs/>
          <w:i w:val="0"/>
          <w:iCs w:val="0"/>
          <w:color w:val="auto"/>
          <w:sz w:val="24"/>
          <w:szCs w:val="24"/>
          <w:rtl/>
        </w:rPr>
        <w:t>3</w:t>
      </w:r>
      <w:r w:rsidRPr="00CC1C13">
        <w:rPr>
          <w:rFonts w:ascii="Times New Roman" w:eastAsia="Times New Roman" w:hAnsi="Times New Roman" w:cs="Times New Roman"/>
          <w:b/>
          <w:bCs/>
          <w:i w:val="0"/>
          <w:iCs w:val="0"/>
          <w:color w:val="auto"/>
          <w:sz w:val="24"/>
          <w:szCs w:val="24"/>
        </w:rPr>
        <w:t>. Concerns regarding the use of SARs for individuals with PD, as identified by individuals with PD</w:t>
      </w:r>
      <w:r>
        <w:rPr>
          <w:rFonts w:ascii="Times New Roman" w:eastAsia="Times New Roman" w:hAnsi="Times New Roman" w:cs="Times New Roman"/>
          <w:i w:val="0"/>
          <w:iCs w:val="0"/>
          <w:color w:val="auto"/>
          <w:sz w:val="24"/>
          <w:szCs w:val="24"/>
        </w:rPr>
        <w:t>.</w:t>
      </w:r>
      <w:r w:rsidRPr="00CC1C13">
        <w:rPr>
          <w:rFonts w:ascii="Times New Roman" w:eastAsia="Times New Roman" w:hAnsi="Times New Roman" w:cs="Times New Roman"/>
          <w:i w:val="0"/>
          <w:iCs w:val="0"/>
          <w:color w:val="auto"/>
          <w:sz w:val="24"/>
          <w:szCs w:val="24"/>
        </w:rPr>
        <w:t xml:space="preserve"> We divided the concerns into two main categories: Design and operation and Trust and interaction.</w:t>
      </w:r>
    </w:p>
    <w:p w14:paraId="099ACDF2" w14:textId="77777777" w:rsidR="00C43B4F" w:rsidRDefault="00C43B4F" w:rsidP="00C43B4F">
      <w:pPr>
        <w:pStyle w:val="NormalWeb"/>
        <w:spacing w:before="0" w:beforeAutospacing="0" w:after="0" w:afterAutospacing="0" w:line="360" w:lineRule="auto"/>
        <w:jc w:val="both"/>
        <w:rPr>
          <w:rFonts w:asciiTheme="majorBidi" w:hAnsiTheme="majorBidi" w:cstheme="majorBidi"/>
          <w:b/>
          <w:bCs/>
        </w:rPr>
      </w:pPr>
    </w:p>
    <w:p w14:paraId="12DB787C" w14:textId="77777777" w:rsidR="00C43B4F" w:rsidRDefault="00C43B4F" w:rsidP="00C43B4F">
      <w:pPr>
        <w:pStyle w:val="NormalWeb"/>
        <w:spacing w:before="0" w:beforeAutospacing="0" w:after="0" w:afterAutospacing="0" w:line="360" w:lineRule="auto"/>
        <w:jc w:val="both"/>
        <w:rPr>
          <w:color w:val="0E101A"/>
        </w:rPr>
      </w:pPr>
      <w:r>
        <w:rPr>
          <w:rFonts w:asciiTheme="majorBidi" w:hAnsiTheme="majorBidi" w:cstheme="majorBidi"/>
          <w:b/>
          <w:bCs/>
        </w:rPr>
        <w:t xml:space="preserve">3.1.6 </w:t>
      </w:r>
      <w:r>
        <w:rPr>
          <w:rStyle w:val="Strong"/>
          <w:color w:val="0E101A"/>
        </w:rPr>
        <w:t>Attitudes towards SARs</w:t>
      </w:r>
    </w:p>
    <w:p w14:paraId="08A9F009" w14:textId="77777777" w:rsidR="00C43B4F" w:rsidRDefault="00C43B4F" w:rsidP="00C43B4F">
      <w:pPr>
        <w:pStyle w:val="NormalWeb"/>
        <w:spacing w:before="0" w:beforeAutospacing="0" w:after="0" w:afterAutospacing="0" w:line="360" w:lineRule="auto"/>
        <w:jc w:val="both"/>
        <w:rPr>
          <w:color w:val="0E101A"/>
        </w:rPr>
      </w:pPr>
      <w:r>
        <w:rPr>
          <w:color w:val="0E101A"/>
        </w:rPr>
        <w:t>Anecdotally, the group moderators noted their impression that some participants demonstrated a positive attitude toward SARs throughout the focus groups, while others showed a negative attitude throughout the session.</w:t>
      </w:r>
    </w:p>
    <w:p w14:paraId="7A6A4B94" w14:textId="77777777" w:rsidR="00C43B4F" w:rsidRDefault="00C43B4F" w:rsidP="00C43B4F">
      <w:pPr>
        <w:pStyle w:val="NormalWeb"/>
        <w:spacing w:before="0" w:beforeAutospacing="0" w:after="0" w:afterAutospacing="0" w:line="360" w:lineRule="auto"/>
        <w:jc w:val="both"/>
        <w:rPr>
          <w:color w:val="0E101A"/>
        </w:rPr>
      </w:pPr>
    </w:p>
    <w:p w14:paraId="5AE26373" w14:textId="77777777" w:rsidR="00C43B4F" w:rsidRDefault="00C43B4F" w:rsidP="00C43B4F">
      <w:pPr>
        <w:pStyle w:val="NormalWeb"/>
        <w:spacing w:before="0" w:beforeAutospacing="0" w:after="0" w:afterAutospacing="0" w:line="360" w:lineRule="auto"/>
        <w:jc w:val="both"/>
        <w:rPr>
          <w:color w:val="0E101A"/>
        </w:rPr>
      </w:pPr>
      <w:r>
        <w:rPr>
          <w:color w:val="0E101A"/>
        </w:rPr>
        <w:t xml:space="preserve">There was a total of 10 mentions by </w:t>
      </w:r>
      <w:r w:rsidRPr="00AD61A7">
        <w:rPr>
          <w:color w:val="0E101A"/>
        </w:rPr>
        <w:t>eight</w:t>
      </w:r>
      <w:r>
        <w:rPr>
          <w:color w:val="0E101A"/>
        </w:rPr>
        <w:t xml:space="preserve"> </w:t>
      </w:r>
      <w:r>
        <w:rPr>
          <w:rFonts w:asciiTheme="majorBidi" w:hAnsiTheme="majorBidi" w:cstheme="majorBidi"/>
        </w:rPr>
        <w:t>participants</w:t>
      </w:r>
      <w:r>
        <w:rPr>
          <w:color w:val="0E101A"/>
        </w:rPr>
        <w:t xml:space="preserve"> with a positive attitude towards SARs. This attitude is reflected in the positive reactions to the robots they saw in the video, the possible capabilities of the robots, and in reducing of dependence on others:</w:t>
      </w:r>
    </w:p>
    <w:p w14:paraId="3A0E2831" w14:textId="77777777" w:rsidR="00C43B4F" w:rsidRDefault="00C43B4F" w:rsidP="00C43B4F">
      <w:pPr>
        <w:pStyle w:val="NormalWeb"/>
        <w:spacing w:before="0" w:beforeAutospacing="0" w:after="0" w:afterAutospacing="0" w:line="360" w:lineRule="auto"/>
        <w:jc w:val="both"/>
        <w:rPr>
          <w:rStyle w:val="Emphasis"/>
          <w:color w:val="0E101A"/>
        </w:rPr>
      </w:pPr>
      <w:r>
        <w:rPr>
          <w:rStyle w:val="Emphasis"/>
          <w:color w:val="0E101A"/>
        </w:rPr>
        <w:t>"I am able to do a lot of things [independently], but if indeed … technology will enable [more] independence and we would not have to be dependent on a[</w:t>
      </w:r>
      <w:proofErr w:type="spellStart"/>
      <w:r>
        <w:rPr>
          <w:rStyle w:val="Emphasis"/>
          <w:color w:val="0E101A"/>
        </w:rPr>
        <w:t>nother</w:t>
      </w:r>
      <w:proofErr w:type="spellEnd"/>
      <w:r>
        <w:rPr>
          <w:rStyle w:val="Emphasis"/>
          <w:color w:val="0E101A"/>
        </w:rPr>
        <w:t>] person, then it's perfect, what can I tell you" (O1)</w:t>
      </w:r>
    </w:p>
    <w:p w14:paraId="4C28AB7A" w14:textId="77777777" w:rsidR="00C43B4F" w:rsidRDefault="00C43B4F" w:rsidP="00C43B4F">
      <w:pPr>
        <w:pStyle w:val="NormalWeb"/>
        <w:spacing w:before="0" w:beforeAutospacing="0" w:after="0" w:afterAutospacing="0" w:line="360" w:lineRule="auto"/>
        <w:jc w:val="both"/>
        <w:rPr>
          <w:color w:val="0E101A"/>
        </w:rPr>
      </w:pPr>
    </w:p>
    <w:p w14:paraId="4F4752B1" w14:textId="77777777" w:rsidR="00C43B4F" w:rsidRDefault="00C43B4F" w:rsidP="00C43B4F">
      <w:pPr>
        <w:pStyle w:val="NormalWeb"/>
        <w:spacing w:before="0" w:beforeAutospacing="0" w:after="0" w:afterAutospacing="0" w:line="360" w:lineRule="auto"/>
        <w:jc w:val="both"/>
        <w:rPr>
          <w:color w:val="0E101A"/>
        </w:rPr>
      </w:pPr>
      <w:r>
        <w:rPr>
          <w:color w:val="0E101A"/>
        </w:rPr>
        <w:t xml:space="preserve">There </w:t>
      </w:r>
      <w:proofErr w:type="gramStart"/>
      <w:r>
        <w:rPr>
          <w:color w:val="0E101A"/>
        </w:rPr>
        <w:t>were</w:t>
      </w:r>
      <w:proofErr w:type="gramEnd"/>
      <w:r>
        <w:rPr>
          <w:color w:val="0E101A"/>
        </w:rPr>
        <w:t xml:space="preserve"> a total of nine statements by six </w:t>
      </w:r>
      <w:r>
        <w:rPr>
          <w:rFonts w:asciiTheme="majorBidi" w:hAnsiTheme="majorBidi" w:cstheme="majorBidi"/>
        </w:rPr>
        <w:t>participants</w:t>
      </w:r>
      <w:r>
        <w:rPr>
          <w:color w:val="0E101A"/>
        </w:rPr>
        <w:t xml:space="preserve"> that expressed a negative attitude towards SARs. This attitude was reflected in statements that suggested that resources used to develop assistive technology are wasted resources, which should instead be used to find a cure </w:t>
      </w:r>
      <w:r>
        <w:rPr>
          <w:color w:val="0E101A"/>
        </w:rPr>
        <w:lastRenderedPageBreak/>
        <w:t>for the disease; that the robotic approach is not adapted to the local culture (specifically noted with regards to the robot Paro, shown in the short video); and the superiority of a pet over an animal-like robot.</w:t>
      </w:r>
    </w:p>
    <w:p w14:paraId="7E3C354D" w14:textId="77777777" w:rsidR="00C43B4F" w:rsidRDefault="00C43B4F" w:rsidP="00C43B4F">
      <w:pPr>
        <w:pStyle w:val="NormalWeb"/>
        <w:spacing w:before="0" w:beforeAutospacing="0" w:after="0" w:afterAutospacing="0" w:line="360" w:lineRule="auto"/>
        <w:jc w:val="both"/>
        <w:rPr>
          <w:color w:val="0E101A"/>
        </w:rPr>
      </w:pPr>
      <w:r>
        <w:rPr>
          <w:color w:val="0E101A"/>
        </w:rPr>
        <w:t> </w:t>
      </w:r>
    </w:p>
    <w:p w14:paraId="66D5C57A" w14:textId="77777777" w:rsidR="00C43B4F" w:rsidRDefault="00C43B4F" w:rsidP="00C43B4F">
      <w:pPr>
        <w:pStyle w:val="NormalWeb"/>
        <w:spacing w:before="0" w:beforeAutospacing="0" w:after="0" w:afterAutospacing="0" w:line="360" w:lineRule="auto"/>
        <w:jc w:val="both"/>
        <w:rPr>
          <w:color w:val="0E101A"/>
        </w:rPr>
      </w:pPr>
      <w:r>
        <w:rPr>
          <w:rStyle w:val="Emphasis"/>
          <w:color w:val="0E101A"/>
        </w:rPr>
        <w:t>"Will it stop the disease? I think about it, well, it's going to help me drink soup; Big deal, I will not drink soup, (that's not what) really worries me." (SPD1- 1)</w:t>
      </w:r>
    </w:p>
    <w:p w14:paraId="3205D8ED" w14:textId="77777777" w:rsidR="00C43B4F" w:rsidRDefault="00C43B4F" w:rsidP="00C43B4F">
      <w:pPr>
        <w:pStyle w:val="NormalWeb"/>
        <w:spacing w:before="0" w:beforeAutospacing="0" w:after="0" w:afterAutospacing="0" w:line="360" w:lineRule="auto"/>
        <w:jc w:val="both"/>
        <w:rPr>
          <w:color w:val="0E101A"/>
        </w:rPr>
      </w:pPr>
    </w:p>
    <w:p w14:paraId="255FBC63" w14:textId="3422830E" w:rsidR="00C43B4F" w:rsidRDefault="00C43B4F" w:rsidP="00C43B4F">
      <w:pPr>
        <w:pStyle w:val="NormalWeb"/>
        <w:spacing w:before="0" w:beforeAutospacing="0" w:after="0" w:afterAutospacing="0" w:line="360" w:lineRule="auto"/>
        <w:jc w:val="both"/>
        <w:rPr>
          <w:color w:val="0E101A"/>
          <w:rtl/>
        </w:rPr>
      </w:pPr>
      <w:r>
        <w:rPr>
          <w:color w:val="0E101A"/>
        </w:rPr>
        <w:t>Eight of the nine negative statements were made by five participants in one group (G1-S); Four of those were made by a specific participant (SPD1-3).</w:t>
      </w:r>
    </w:p>
    <w:p w14:paraId="2B0A7386" w14:textId="77777777" w:rsidR="006B7331" w:rsidRDefault="006B7331" w:rsidP="00C43B4F">
      <w:pPr>
        <w:pStyle w:val="NormalWeb"/>
        <w:spacing w:before="0" w:beforeAutospacing="0" w:after="0" w:afterAutospacing="0" w:line="360" w:lineRule="auto"/>
        <w:jc w:val="both"/>
        <w:rPr>
          <w:color w:val="0E101A"/>
          <w:rtl/>
        </w:rPr>
      </w:pPr>
    </w:p>
    <w:p w14:paraId="424FA7C5" w14:textId="77777777" w:rsidR="006B7331" w:rsidRPr="00E77007" w:rsidRDefault="006B7331" w:rsidP="006B7331">
      <w:pPr>
        <w:spacing w:line="360" w:lineRule="auto"/>
        <w:rPr>
          <w:rFonts w:asciiTheme="majorBidi" w:hAnsiTheme="majorBidi" w:cstheme="majorBidi"/>
          <w:b/>
          <w:bCs/>
          <w:u w:val="single"/>
          <w:rtl/>
        </w:rPr>
      </w:pPr>
      <w:r w:rsidRPr="00E77007">
        <w:rPr>
          <w:rFonts w:asciiTheme="majorBidi" w:hAnsiTheme="majorBidi" w:cstheme="majorBidi"/>
          <w:b/>
          <w:bCs/>
          <w:u w:val="single"/>
        </w:rPr>
        <w:t>3.2 Experiment 2 – Family members of individuals with P</w:t>
      </w:r>
      <w:commentRangeStart w:id="6"/>
      <w:commentRangeStart w:id="7"/>
      <w:commentRangeStart w:id="8"/>
      <w:r w:rsidRPr="00E77007">
        <w:rPr>
          <w:rFonts w:asciiTheme="majorBidi" w:hAnsiTheme="majorBidi" w:cstheme="majorBidi"/>
          <w:b/>
          <w:bCs/>
          <w:u w:val="single"/>
        </w:rPr>
        <w:t>D</w:t>
      </w:r>
      <w:commentRangeEnd w:id="6"/>
      <w:r w:rsidRPr="00E77007">
        <w:rPr>
          <w:rStyle w:val="CommentReference"/>
          <w:rFonts w:asciiTheme="majorBidi" w:hAnsiTheme="majorBidi" w:cstheme="majorBidi"/>
        </w:rPr>
        <w:commentReference w:id="6"/>
      </w:r>
      <w:commentRangeEnd w:id="7"/>
      <w:r>
        <w:rPr>
          <w:rStyle w:val="CommentReference"/>
        </w:rPr>
        <w:commentReference w:id="7"/>
      </w:r>
      <w:commentRangeEnd w:id="8"/>
      <w:r>
        <w:rPr>
          <w:rStyle w:val="CommentReference"/>
        </w:rPr>
        <w:commentReference w:id="8"/>
      </w:r>
    </w:p>
    <w:p w14:paraId="04E4022B" w14:textId="4451747D" w:rsidR="006B7331" w:rsidRPr="00E77007" w:rsidRDefault="006B7331" w:rsidP="006B7331">
      <w:pPr>
        <w:spacing w:line="360" w:lineRule="auto"/>
        <w:rPr>
          <w:rFonts w:asciiTheme="majorBidi" w:hAnsiTheme="majorBidi" w:cstheme="majorBidi"/>
          <w:rtl/>
        </w:rPr>
      </w:pPr>
      <w:r w:rsidRPr="00E77007">
        <w:rPr>
          <w:rFonts w:asciiTheme="majorBidi" w:hAnsiTheme="majorBidi" w:cstheme="majorBidi"/>
        </w:rPr>
        <w:t xml:space="preserve">A total of </w:t>
      </w:r>
      <w:r w:rsidRPr="00E77007">
        <w:rPr>
          <w:rFonts w:asciiTheme="majorBidi" w:hAnsiTheme="majorBidi" w:cstheme="majorBidi"/>
          <w:rtl/>
        </w:rPr>
        <w:t>22</w:t>
      </w:r>
      <w:r w:rsidRPr="00E77007">
        <w:rPr>
          <w:rFonts w:asciiTheme="majorBidi" w:hAnsiTheme="majorBidi" w:cstheme="majorBidi"/>
        </w:rPr>
        <w:t xml:space="preserve"> family members (17 women</w:t>
      </w:r>
      <w:r w:rsidR="00DF4FEA">
        <w:rPr>
          <w:rFonts w:asciiTheme="majorBidi" w:hAnsiTheme="majorBidi" w:cstheme="majorBidi"/>
        </w:rPr>
        <w:t xml:space="preserve">, </w:t>
      </w:r>
      <w:r w:rsidR="00DF4FEA" w:rsidRPr="00E77007">
        <w:rPr>
          <w:rFonts w:asciiTheme="majorBidi" w:hAnsiTheme="majorBidi" w:cstheme="majorBidi"/>
        </w:rPr>
        <w:t>5 men</w:t>
      </w:r>
      <w:r w:rsidRPr="00E77007">
        <w:rPr>
          <w:rFonts w:asciiTheme="majorBidi" w:hAnsiTheme="majorBidi" w:cstheme="majorBidi"/>
        </w:rPr>
        <w:t xml:space="preserve">; ages 43-82 years; 68.5 ± 9.7 years [mean ± SD]) participated in Experiment 2. Twenty were spouses of individuals with PD, one was a daughter, and one was a son of individuals with PD.  Their family members had been diagnosed with PD up to </w:t>
      </w:r>
      <w:r w:rsidRPr="00E77007">
        <w:rPr>
          <w:rFonts w:asciiTheme="majorBidi" w:hAnsiTheme="majorBidi" w:cstheme="majorBidi"/>
          <w:rtl/>
        </w:rPr>
        <w:t>25</w:t>
      </w:r>
      <w:r w:rsidRPr="00E77007">
        <w:rPr>
          <w:rFonts w:asciiTheme="majorBidi" w:hAnsiTheme="majorBidi" w:cstheme="majorBidi"/>
        </w:rPr>
        <w:t xml:space="preserve"> years earlier (13.6 ± 7.0 years; range 5-18 years). Each participant took part in one of three focus-group meetings. The first (n = 8) focus-group meeting was held in person, while the second (n = </w:t>
      </w:r>
      <w:r w:rsidRPr="00E77007">
        <w:rPr>
          <w:rFonts w:asciiTheme="majorBidi" w:hAnsiTheme="majorBidi" w:cstheme="majorBidi"/>
          <w:rtl/>
        </w:rPr>
        <w:t>8</w:t>
      </w:r>
      <w:r w:rsidRPr="00E77007">
        <w:rPr>
          <w:rFonts w:asciiTheme="majorBidi" w:hAnsiTheme="majorBidi" w:cstheme="majorBidi"/>
        </w:rPr>
        <w:t xml:space="preserve">) and third (n = 6) meetings were held online using the Zoom software due to the Omicron wave of COVID-19. </w:t>
      </w:r>
      <w:bookmarkStart w:id="9" w:name="_Hlk121050590"/>
      <w:r w:rsidRPr="00E77007">
        <w:rPr>
          <w:rFonts w:asciiTheme="majorBidi" w:hAnsiTheme="majorBidi" w:cstheme="majorBidi"/>
        </w:rPr>
        <w:t>As a result, participants from across the country were able to take part in the study.</w:t>
      </w:r>
      <w:bookmarkEnd w:id="9"/>
    </w:p>
    <w:p w14:paraId="3A33D7AE" w14:textId="0E8FC113" w:rsidR="006B7331" w:rsidRPr="00E77007" w:rsidRDefault="006B7331" w:rsidP="006B7331">
      <w:pPr>
        <w:spacing w:line="360" w:lineRule="auto"/>
        <w:rPr>
          <w:rFonts w:asciiTheme="majorBidi" w:hAnsiTheme="majorBidi" w:cstheme="majorBidi"/>
          <w:rtl/>
        </w:rPr>
      </w:pPr>
      <w:bookmarkStart w:id="10" w:name="_Hlk121051052"/>
      <w:r w:rsidRPr="00E77007">
        <w:rPr>
          <w:rFonts w:asciiTheme="majorBidi" w:hAnsiTheme="majorBidi" w:cstheme="majorBidi"/>
        </w:rPr>
        <w:t xml:space="preserve">The demographic information of the participants appears in Table </w:t>
      </w:r>
      <w:r w:rsidR="000218DC">
        <w:rPr>
          <w:rFonts w:asciiTheme="majorBidi" w:hAnsiTheme="majorBidi" w:cstheme="majorBidi"/>
        </w:rPr>
        <w:t>5</w:t>
      </w:r>
      <w:r w:rsidRPr="00E77007">
        <w:rPr>
          <w:rFonts w:asciiTheme="majorBidi" w:hAnsiTheme="majorBidi" w:cstheme="majorBidi"/>
        </w:rPr>
        <w:t xml:space="preserve">. Each participant is listed using a code name, composed of the location where the meeting took </w:t>
      </w:r>
      <w:r>
        <w:rPr>
          <w:rFonts w:asciiTheme="majorBidi" w:hAnsiTheme="majorBidi" w:cstheme="majorBidi"/>
        </w:rPr>
        <w:t>place</w:t>
      </w:r>
      <w:r w:rsidRPr="00E77007">
        <w:rPr>
          <w:rFonts w:asciiTheme="majorBidi" w:hAnsiTheme="majorBidi" w:cstheme="majorBidi"/>
        </w:rPr>
        <w:t xml:space="preserve">, their group affiliation (F – for family members), and two numbers (the first number is the group number, and the second is the participant number). </w:t>
      </w:r>
      <w:bookmarkStart w:id="11" w:name="_Hlk121051225"/>
      <w:bookmarkEnd w:id="10"/>
      <w:r w:rsidRPr="00E77007">
        <w:rPr>
          <w:rFonts w:asciiTheme="majorBidi" w:hAnsiTheme="majorBidi" w:cstheme="majorBidi"/>
        </w:rPr>
        <w:t xml:space="preserve">The first meeting </w:t>
      </w:r>
      <w:proofErr w:type="gramStart"/>
      <w:r>
        <w:rPr>
          <w:rFonts w:asciiTheme="majorBidi" w:hAnsiTheme="majorBidi" w:cstheme="majorBidi"/>
        </w:rPr>
        <w:t>were</w:t>
      </w:r>
      <w:proofErr w:type="gramEnd"/>
      <w:r w:rsidRPr="00E77007">
        <w:rPr>
          <w:rFonts w:asciiTheme="majorBidi" w:hAnsiTheme="majorBidi" w:cstheme="majorBidi"/>
        </w:rPr>
        <w:t xml:space="preserve"> held in the city of Sderot,</w:t>
      </w:r>
      <w:r>
        <w:rPr>
          <w:rFonts w:asciiTheme="majorBidi" w:hAnsiTheme="majorBidi" w:cstheme="majorBidi"/>
        </w:rPr>
        <w:t xml:space="preserve"> </w:t>
      </w:r>
      <w:r w:rsidRPr="00E77007">
        <w:rPr>
          <w:rFonts w:asciiTheme="majorBidi" w:hAnsiTheme="majorBidi" w:cstheme="majorBidi"/>
        </w:rPr>
        <w:t xml:space="preserve">therefore it is marked with the letters </w:t>
      </w:r>
      <w:bookmarkEnd w:id="11"/>
      <w:r w:rsidRPr="00E77007">
        <w:rPr>
          <w:rFonts w:asciiTheme="majorBidi" w:hAnsiTheme="majorBidi" w:cstheme="majorBidi"/>
        </w:rPr>
        <w:t xml:space="preserve">“S” (Sderot group) and the number of the meeting (1), and the second and third meetings (2/3) are marked with an “O” to denote that the meetings were held online.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02"/>
        <w:gridCol w:w="1504"/>
        <w:gridCol w:w="1504"/>
        <w:gridCol w:w="1502"/>
        <w:gridCol w:w="1504"/>
        <w:gridCol w:w="1500"/>
      </w:tblGrid>
      <w:tr w:rsidR="006B7331" w:rsidRPr="00E77007" w14:paraId="35BC00CF" w14:textId="77777777" w:rsidTr="00B47E4D">
        <w:trPr>
          <w:trHeight w:val="576"/>
        </w:trPr>
        <w:tc>
          <w:tcPr>
            <w:tcW w:w="833" w:type="pct"/>
            <w:shd w:val="clear" w:color="auto" w:fill="D9E2F3" w:themeFill="accent1" w:themeFillTint="33"/>
          </w:tcPr>
          <w:p w14:paraId="71E6008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Age of family member with PD</w:t>
            </w:r>
          </w:p>
        </w:tc>
        <w:tc>
          <w:tcPr>
            <w:tcW w:w="834" w:type="pct"/>
            <w:shd w:val="clear" w:color="auto" w:fill="D9E2F3" w:themeFill="accent1" w:themeFillTint="33"/>
            <w:noWrap/>
            <w:vAlign w:val="bottom"/>
            <w:hideMark/>
          </w:tcPr>
          <w:p w14:paraId="1FB0395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Women/men</w:t>
            </w:r>
          </w:p>
        </w:tc>
        <w:tc>
          <w:tcPr>
            <w:tcW w:w="834" w:type="pct"/>
            <w:shd w:val="clear" w:color="auto" w:fill="D9E2F3" w:themeFill="accent1" w:themeFillTint="33"/>
            <w:noWrap/>
            <w:vAlign w:val="bottom"/>
            <w:hideMark/>
          </w:tcPr>
          <w:p w14:paraId="46941B2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Years since the diagnosis of their family member</w:t>
            </w:r>
          </w:p>
        </w:tc>
        <w:tc>
          <w:tcPr>
            <w:tcW w:w="833" w:type="pct"/>
            <w:shd w:val="clear" w:color="auto" w:fill="D9E2F3" w:themeFill="accent1" w:themeFillTint="33"/>
            <w:noWrap/>
            <w:vAlign w:val="bottom"/>
            <w:hideMark/>
          </w:tcPr>
          <w:p w14:paraId="3AE2F75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Age of participant</w:t>
            </w:r>
          </w:p>
        </w:tc>
        <w:tc>
          <w:tcPr>
            <w:tcW w:w="834" w:type="pct"/>
            <w:shd w:val="clear" w:color="auto" w:fill="D9E2F3" w:themeFill="accent1" w:themeFillTint="33"/>
            <w:noWrap/>
            <w:vAlign w:val="bottom"/>
            <w:hideMark/>
          </w:tcPr>
          <w:p w14:paraId="3036CF3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Participant</w:t>
            </w:r>
          </w:p>
        </w:tc>
        <w:tc>
          <w:tcPr>
            <w:tcW w:w="834" w:type="pct"/>
            <w:shd w:val="clear" w:color="auto" w:fill="D9E2F3" w:themeFill="accent1" w:themeFillTint="33"/>
            <w:vAlign w:val="bottom"/>
            <w:hideMark/>
          </w:tcPr>
          <w:p w14:paraId="41B772C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Group1- Sderot</w:t>
            </w:r>
          </w:p>
        </w:tc>
      </w:tr>
      <w:tr w:rsidR="006B7331" w:rsidRPr="00E77007" w14:paraId="54E5176E" w14:textId="77777777" w:rsidTr="00B47E4D">
        <w:trPr>
          <w:trHeight w:val="288"/>
        </w:trPr>
        <w:tc>
          <w:tcPr>
            <w:tcW w:w="833" w:type="pct"/>
          </w:tcPr>
          <w:p w14:paraId="0877D2F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75</w:t>
            </w:r>
          </w:p>
        </w:tc>
        <w:tc>
          <w:tcPr>
            <w:tcW w:w="834" w:type="pct"/>
            <w:shd w:val="clear" w:color="auto" w:fill="auto"/>
            <w:noWrap/>
            <w:vAlign w:val="bottom"/>
            <w:hideMark/>
          </w:tcPr>
          <w:p w14:paraId="77E5891F"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3BCA755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w:t>
            </w:r>
          </w:p>
        </w:tc>
        <w:tc>
          <w:tcPr>
            <w:tcW w:w="833" w:type="pct"/>
            <w:shd w:val="clear" w:color="auto" w:fill="auto"/>
            <w:noWrap/>
            <w:vAlign w:val="bottom"/>
            <w:hideMark/>
          </w:tcPr>
          <w:p w14:paraId="6103F62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66</w:t>
            </w:r>
          </w:p>
        </w:tc>
        <w:tc>
          <w:tcPr>
            <w:tcW w:w="834" w:type="pct"/>
            <w:shd w:val="clear" w:color="auto" w:fill="auto"/>
            <w:noWrap/>
            <w:vAlign w:val="bottom"/>
            <w:hideMark/>
          </w:tcPr>
          <w:p w14:paraId="7006F97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1</w:t>
            </w:r>
          </w:p>
        </w:tc>
        <w:tc>
          <w:tcPr>
            <w:tcW w:w="834" w:type="pct"/>
            <w:shd w:val="clear" w:color="auto" w:fill="auto"/>
            <w:vAlign w:val="bottom"/>
            <w:hideMark/>
          </w:tcPr>
          <w:p w14:paraId="569CB553"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5EE96ED8" w14:textId="77777777" w:rsidTr="00B47E4D">
        <w:trPr>
          <w:trHeight w:val="288"/>
        </w:trPr>
        <w:tc>
          <w:tcPr>
            <w:tcW w:w="833" w:type="pct"/>
          </w:tcPr>
          <w:p w14:paraId="73C0AE7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noWrap/>
            <w:vAlign w:val="bottom"/>
            <w:hideMark/>
          </w:tcPr>
          <w:p w14:paraId="41F25E2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0A12E44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16</w:t>
            </w:r>
          </w:p>
        </w:tc>
        <w:tc>
          <w:tcPr>
            <w:tcW w:w="833" w:type="pct"/>
            <w:shd w:val="clear" w:color="auto" w:fill="auto"/>
            <w:noWrap/>
            <w:vAlign w:val="bottom"/>
            <w:hideMark/>
          </w:tcPr>
          <w:p w14:paraId="11CD013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43</w:t>
            </w:r>
          </w:p>
        </w:tc>
        <w:tc>
          <w:tcPr>
            <w:tcW w:w="834" w:type="pct"/>
            <w:shd w:val="clear" w:color="auto" w:fill="auto"/>
            <w:noWrap/>
            <w:vAlign w:val="bottom"/>
            <w:hideMark/>
          </w:tcPr>
          <w:p w14:paraId="00B3768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2</w:t>
            </w:r>
          </w:p>
        </w:tc>
        <w:tc>
          <w:tcPr>
            <w:tcW w:w="834" w:type="pct"/>
            <w:shd w:val="clear" w:color="auto" w:fill="auto"/>
            <w:vAlign w:val="bottom"/>
            <w:hideMark/>
          </w:tcPr>
          <w:p w14:paraId="7FD664E4"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2DA1819D" w14:textId="77777777" w:rsidTr="00B47E4D">
        <w:trPr>
          <w:trHeight w:val="288"/>
        </w:trPr>
        <w:tc>
          <w:tcPr>
            <w:tcW w:w="833" w:type="pct"/>
          </w:tcPr>
          <w:p w14:paraId="3C4E4F20"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84</w:t>
            </w:r>
          </w:p>
        </w:tc>
        <w:tc>
          <w:tcPr>
            <w:tcW w:w="834" w:type="pct"/>
            <w:shd w:val="clear" w:color="auto" w:fill="auto"/>
            <w:noWrap/>
            <w:vAlign w:val="bottom"/>
            <w:hideMark/>
          </w:tcPr>
          <w:p w14:paraId="233E65B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2BD1680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5</w:t>
            </w:r>
          </w:p>
        </w:tc>
        <w:tc>
          <w:tcPr>
            <w:tcW w:w="833" w:type="pct"/>
            <w:shd w:val="clear" w:color="auto" w:fill="auto"/>
            <w:noWrap/>
            <w:vAlign w:val="bottom"/>
            <w:hideMark/>
          </w:tcPr>
          <w:p w14:paraId="1B9013F5"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82</w:t>
            </w:r>
          </w:p>
        </w:tc>
        <w:tc>
          <w:tcPr>
            <w:tcW w:w="834" w:type="pct"/>
            <w:shd w:val="clear" w:color="auto" w:fill="auto"/>
            <w:noWrap/>
            <w:vAlign w:val="bottom"/>
            <w:hideMark/>
          </w:tcPr>
          <w:p w14:paraId="015A61D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3</w:t>
            </w:r>
          </w:p>
        </w:tc>
        <w:tc>
          <w:tcPr>
            <w:tcW w:w="834" w:type="pct"/>
            <w:shd w:val="clear" w:color="auto" w:fill="auto"/>
            <w:vAlign w:val="bottom"/>
            <w:hideMark/>
          </w:tcPr>
          <w:p w14:paraId="0367512B"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5F1E3979" w14:textId="77777777" w:rsidTr="00B47E4D">
        <w:trPr>
          <w:trHeight w:val="288"/>
        </w:trPr>
        <w:tc>
          <w:tcPr>
            <w:tcW w:w="833" w:type="pct"/>
          </w:tcPr>
          <w:p w14:paraId="27F642B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65</w:t>
            </w:r>
          </w:p>
        </w:tc>
        <w:tc>
          <w:tcPr>
            <w:tcW w:w="834" w:type="pct"/>
            <w:shd w:val="clear" w:color="auto" w:fill="auto"/>
            <w:noWrap/>
            <w:vAlign w:val="bottom"/>
            <w:hideMark/>
          </w:tcPr>
          <w:p w14:paraId="2D69C5B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4DD23F1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w:t>
            </w:r>
          </w:p>
        </w:tc>
        <w:tc>
          <w:tcPr>
            <w:tcW w:w="833" w:type="pct"/>
            <w:shd w:val="clear" w:color="auto" w:fill="auto"/>
            <w:noWrap/>
            <w:vAlign w:val="bottom"/>
            <w:hideMark/>
          </w:tcPr>
          <w:p w14:paraId="15CBAD30"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52</w:t>
            </w:r>
          </w:p>
        </w:tc>
        <w:tc>
          <w:tcPr>
            <w:tcW w:w="834" w:type="pct"/>
            <w:shd w:val="clear" w:color="auto" w:fill="auto"/>
            <w:noWrap/>
            <w:vAlign w:val="bottom"/>
            <w:hideMark/>
          </w:tcPr>
          <w:p w14:paraId="41BFD96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4</w:t>
            </w:r>
          </w:p>
        </w:tc>
        <w:tc>
          <w:tcPr>
            <w:tcW w:w="834" w:type="pct"/>
            <w:shd w:val="clear" w:color="auto" w:fill="auto"/>
            <w:vAlign w:val="bottom"/>
            <w:hideMark/>
          </w:tcPr>
          <w:p w14:paraId="78047C37"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3C2C025B" w14:textId="77777777" w:rsidTr="00B47E4D">
        <w:trPr>
          <w:trHeight w:val="288"/>
        </w:trPr>
        <w:tc>
          <w:tcPr>
            <w:tcW w:w="833" w:type="pct"/>
          </w:tcPr>
          <w:p w14:paraId="258FBB9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lastRenderedPageBreak/>
              <w:t>71</w:t>
            </w:r>
          </w:p>
        </w:tc>
        <w:tc>
          <w:tcPr>
            <w:tcW w:w="834" w:type="pct"/>
            <w:shd w:val="clear" w:color="auto" w:fill="auto"/>
            <w:noWrap/>
            <w:vAlign w:val="bottom"/>
            <w:hideMark/>
          </w:tcPr>
          <w:p w14:paraId="161C412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54FC894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10</w:t>
            </w:r>
          </w:p>
        </w:tc>
        <w:tc>
          <w:tcPr>
            <w:tcW w:w="833" w:type="pct"/>
            <w:shd w:val="clear" w:color="auto" w:fill="auto"/>
            <w:noWrap/>
            <w:vAlign w:val="bottom"/>
            <w:hideMark/>
          </w:tcPr>
          <w:p w14:paraId="772C2CC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69</w:t>
            </w:r>
          </w:p>
        </w:tc>
        <w:tc>
          <w:tcPr>
            <w:tcW w:w="834" w:type="pct"/>
            <w:shd w:val="clear" w:color="auto" w:fill="auto"/>
            <w:noWrap/>
            <w:vAlign w:val="bottom"/>
            <w:hideMark/>
          </w:tcPr>
          <w:p w14:paraId="74BEDE6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5</w:t>
            </w:r>
          </w:p>
        </w:tc>
        <w:tc>
          <w:tcPr>
            <w:tcW w:w="834" w:type="pct"/>
            <w:shd w:val="clear" w:color="auto" w:fill="auto"/>
            <w:vAlign w:val="bottom"/>
            <w:hideMark/>
          </w:tcPr>
          <w:p w14:paraId="59661477"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BAC4F91" w14:textId="77777777" w:rsidTr="00B47E4D">
        <w:trPr>
          <w:trHeight w:val="288"/>
        </w:trPr>
        <w:tc>
          <w:tcPr>
            <w:tcW w:w="833" w:type="pct"/>
          </w:tcPr>
          <w:p w14:paraId="7F6330D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noWrap/>
            <w:vAlign w:val="bottom"/>
            <w:hideMark/>
          </w:tcPr>
          <w:p w14:paraId="1B5511B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2994F465"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17</w:t>
            </w:r>
          </w:p>
        </w:tc>
        <w:tc>
          <w:tcPr>
            <w:tcW w:w="833" w:type="pct"/>
            <w:shd w:val="clear" w:color="auto" w:fill="auto"/>
            <w:noWrap/>
            <w:vAlign w:val="bottom"/>
            <w:hideMark/>
          </w:tcPr>
          <w:p w14:paraId="52707D8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65</w:t>
            </w:r>
          </w:p>
        </w:tc>
        <w:tc>
          <w:tcPr>
            <w:tcW w:w="834" w:type="pct"/>
            <w:shd w:val="clear" w:color="auto" w:fill="auto"/>
            <w:noWrap/>
            <w:vAlign w:val="bottom"/>
            <w:hideMark/>
          </w:tcPr>
          <w:p w14:paraId="408CEF7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6</w:t>
            </w:r>
          </w:p>
        </w:tc>
        <w:tc>
          <w:tcPr>
            <w:tcW w:w="834" w:type="pct"/>
            <w:shd w:val="clear" w:color="auto" w:fill="auto"/>
            <w:vAlign w:val="bottom"/>
            <w:hideMark/>
          </w:tcPr>
          <w:p w14:paraId="79CBD4B6"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9ABF89C" w14:textId="77777777" w:rsidTr="00B47E4D">
        <w:trPr>
          <w:trHeight w:val="288"/>
        </w:trPr>
        <w:tc>
          <w:tcPr>
            <w:tcW w:w="833" w:type="pct"/>
          </w:tcPr>
          <w:p w14:paraId="3C75347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81</w:t>
            </w:r>
          </w:p>
        </w:tc>
        <w:tc>
          <w:tcPr>
            <w:tcW w:w="834" w:type="pct"/>
            <w:shd w:val="clear" w:color="auto" w:fill="auto"/>
            <w:noWrap/>
            <w:vAlign w:val="bottom"/>
            <w:hideMark/>
          </w:tcPr>
          <w:p w14:paraId="776B457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6955174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w:t>
            </w:r>
          </w:p>
        </w:tc>
        <w:tc>
          <w:tcPr>
            <w:tcW w:w="833" w:type="pct"/>
            <w:shd w:val="clear" w:color="auto" w:fill="auto"/>
            <w:noWrap/>
            <w:vAlign w:val="bottom"/>
            <w:hideMark/>
          </w:tcPr>
          <w:p w14:paraId="006B2DC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80</w:t>
            </w:r>
          </w:p>
        </w:tc>
        <w:tc>
          <w:tcPr>
            <w:tcW w:w="834" w:type="pct"/>
            <w:shd w:val="clear" w:color="auto" w:fill="auto"/>
            <w:noWrap/>
            <w:vAlign w:val="bottom"/>
            <w:hideMark/>
          </w:tcPr>
          <w:p w14:paraId="2AC6FD9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7</w:t>
            </w:r>
          </w:p>
        </w:tc>
        <w:tc>
          <w:tcPr>
            <w:tcW w:w="834" w:type="pct"/>
            <w:shd w:val="clear" w:color="auto" w:fill="auto"/>
            <w:vAlign w:val="bottom"/>
            <w:hideMark/>
          </w:tcPr>
          <w:p w14:paraId="2EFC21DD"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EA5CDD9" w14:textId="77777777" w:rsidTr="00B47E4D">
        <w:trPr>
          <w:trHeight w:val="288"/>
        </w:trPr>
        <w:tc>
          <w:tcPr>
            <w:tcW w:w="833" w:type="pct"/>
          </w:tcPr>
          <w:p w14:paraId="756D484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61</w:t>
            </w:r>
          </w:p>
        </w:tc>
        <w:tc>
          <w:tcPr>
            <w:tcW w:w="834" w:type="pct"/>
            <w:shd w:val="clear" w:color="auto" w:fill="auto"/>
            <w:noWrap/>
            <w:vAlign w:val="bottom"/>
            <w:hideMark/>
          </w:tcPr>
          <w:p w14:paraId="7C7ADEE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10C696B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12</w:t>
            </w:r>
          </w:p>
        </w:tc>
        <w:tc>
          <w:tcPr>
            <w:tcW w:w="833" w:type="pct"/>
            <w:shd w:val="clear" w:color="auto" w:fill="auto"/>
            <w:noWrap/>
            <w:vAlign w:val="bottom"/>
            <w:hideMark/>
          </w:tcPr>
          <w:p w14:paraId="2D8FDC7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65</w:t>
            </w:r>
          </w:p>
        </w:tc>
        <w:tc>
          <w:tcPr>
            <w:tcW w:w="834" w:type="pct"/>
            <w:shd w:val="clear" w:color="auto" w:fill="auto"/>
            <w:noWrap/>
            <w:vAlign w:val="bottom"/>
            <w:hideMark/>
          </w:tcPr>
          <w:p w14:paraId="030A9F9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SF1 – 8</w:t>
            </w:r>
          </w:p>
        </w:tc>
        <w:tc>
          <w:tcPr>
            <w:tcW w:w="834" w:type="pct"/>
            <w:shd w:val="clear" w:color="auto" w:fill="auto"/>
            <w:vAlign w:val="bottom"/>
            <w:hideMark/>
          </w:tcPr>
          <w:p w14:paraId="4999718B"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795A5CE2" w14:textId="77777777" w:rsidTr="00B47E4D">
        <w:trPr>
          <w:trHeight w:val="576"/>
        </w:trPr>
        <w:tc>
          <w:tcPr>
            <w:tcW w:w="833" w:type="pct"/>
            <w:shd w:val="clear" w:color="auto" w:fill="D9E2F3" w:themeFill="accent1" w:themeFillTint="33"/>
          </w:tcPr>
          <w:p w14:paraId="59D6BAF9" w14:textId="77777777" w:rsidR="006B7331" w:rsidRPr="00E77007" w:rsidRDefault="006B7331" w:rsidP="00B47E4D">
            <w:pPr>
              <w:spacing w:after="0" w:line="240" w:lineRule="auto"/>
              <w:rPr>
                <w:rFonts w:asciiTheme="majorBidi" w:hAnsiTheme="majorBidi" w:cstheme="majorBidi"/>
                <w:color w:val="000000"/>
              </w:rPr>
            </w:pPr>
          </w:p>
        </w:tc>
        <w:tc>
          <w:tcPr>
            <w:tcW w:w="834" w:type="pct"/>
            <w:shd w:val="clear" w:color="auto" w:fill="D9E2F3" w:themeFill="accent1" w:themeFillTint="33"/>
            <w:vAlign w:val="bottom"/>
            <w:hideMark/>
          </w:tcPr>
          <w:p w14:paraId="1DCFC4B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noWrap/>
            <w:vAlign w:val="bottom"/>
            <w:hideMark/>
          </w:tcPr>
          <w:p w14:paraId="46B972C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3" w:type="pct"/>
            <w:shd w:val="clear" w:color="auto" w:fill="D9E2F3" w:themeFill="accent1" w:themeFillTint="33"/>
            <w:noWrap/>
            <w:vAlign w:val="bottom"/>
            <w:hideMark/>
          </w:tcPr>
          <w:p w14:paraId="5375D44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vAlign w:val="bottom"/>
            <w:hideMark/>
          </w:tcPr>
          <w:p w14:paraId="6A5E5FC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vAlign w:val="bottom"/>
            <w:hideMark/>
          </w:tcPr>
          <w:p w14:paraId="418DD61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Gro</w:t>
            </w:r>
            <w:r>
              <w:rPr>
                <w:rFonts w:asciiTheme="majorBidi" w:hAnsiTheme="majorBidi" w:cstheme="majorBidi"/>
                <w:color w:val="000000"/>
              </w:rPr>
              <w:t>up</w:t>
            </w:r>
            <w:r w:rsidRPr="00E77007">
              <w:rPr>
                <w:rFonts w:asciiTheme="majorBidi" w:hAnsiTheme="majorBidi" w:cstheme="majorBidi"/>
                <w:color w:val="000000"/>
              </w:rPr>
              <w:t>2- Online</w:t>
            </w:r>
          </w:p>
        </w:tc>
      </w:tr>
      <w:tr w:rsidR="006B7331" w:rsidRPr="00E77007" w14:paraId="19581105" w14:textId="77777777" w:rsidTr="00B47E4D">
        <w:trPr>
          <w:trHeight w:val="288"/>
        </w:trPr>
        <w:tc>
          <w:tcPr>
            <w:tcW w:w="833" w:type="pct"/>
          </w:tcPr>
          <w:p w14:paraId="1AAA3CF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72</w:t>
            </w:r>
          </w:p>
        </w:tc>
        <w:tc>
          <w:tcPr>
            <w:tcW w:w="834" w:type="pct"/>
            <w:shd w:val="clear" w:color="auto" w:fill="auto"/>
            <w:vAlign w:val="bottom"/>
            <w:hideMark/>
          </w:tcPr>
          <w:p w14:paraId="0FF1BB1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47A3B97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9</w:t>
            </w:r>
          </w:p>
        </w:tc>
        <w:tc>
          <w:tcPr>
            <w:tcW w:w="833" w:type="pct"/>
            <w:shd w:val="clear" w:color="auto" w:fill="auto"/>
            <w:noWrap/>
            <w:vAlign w:val="bottom"/>
            <w:hideMark/>
          </w:tcPr>
          <w:p w14:paraId="6F0E44E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74</w:t>
            </w:r>
          </w:p>
        </w:tc>
        <w:tc>
          <w:tcPr>
            <w:tcW w:w="834" w:type="pct"/>
            <w:shd w:val="clear" w:color="auto" w:fill="auto"/>
            <w:noWrap/>
            <w:vAlign w:val="bottom"/>
            <w:hideMark/>
          </w:tcPr>
          <w:p w14:paraId="1176EAE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OF1- 1</w:t>
            </w:r>
          </w:p>
        </w:tc>
        <w:tc>
          <w:tcPr>
            <w:tcW w:w="834" w:type="pct"/>
            <w:shd w:val="clear" w:color="auto" w:fill="auto"/>
            <w:vAlign w:val="bottom"/>
            <w:hideMark/>
          </w:tcPr>
          <w:p w14:paraId="1A1E5964"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479F3EC5" w14:textId="77777777" w:rsidTr="00B47E4D">
        <w:trPr>
          <w:trHeight w:val="288"/>
        </w:trPr>
        <w:tc>
          <w:tcPr>
            <w:tcW w:w="833" w:type="pct"/>
          </w:tcPr>
          <w:p w14:paraId="6291AF6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81</w:t>
            </w:r>
          </w:p>
        </w:tc>
        <w:tc>
          <w:tcPr>
            <w:tcW w:w="834" w:type="pct"/>
            <w:shd w:val="clear" w:color="auto" w:fill="auto"/>
            <w:vAlign w:val="bottom"/>
            <w:hideMark/>
          </w:tcPr>
          <w:p w14:paraId="0A03D4C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500754A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12</w:t>
            </w:r>
          </w:p>
        </w:tc>
        <w:tc>
          <w:tcPr>
            <w:tcW w:w="833" w:type="pct"/>
            <w:shd w:val="clear" w:color="auto" w:fill="auto"/>
            <w:noWrap/>
            <w:vAlign w:val="bottom"/>
            <w:hideMark/>
          </w:tcPr>
          <w:p w14:paraId="44483E0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77</w:t>
            </w:r>
          </w:p>
        </w:tc>
        <w:tc>
          <w:tcPr>
            <w:tcW w:w="834" w:type="pct"/>
            <w:shd w:val="clear" w:color="auto" w:fill="auto"/>
            <w:noWrap/>
            <w:vAlign w:val="bottom"/>
            <w:hideMark/>
          </w:tcPr>
          <w:p w14:paraId="2280497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OF1- 2</w:t>
            </w:r>
          </w:p>
        </w:tc>
        <w:tc>
          <w:tcPr>
            <w:tcW w:w="834" w:type="pct"/>
            <w:shd w:val="clear" w:color="auto" w:fill="auto"/>
            <w:vAlign w:val="bottom"/>
            <w:hideMark/>
          </w:tcPr>
          <w:p w14:paraId="2E8F398A"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44C93AFC" w14:textId="77777777" w:rsidTr="00B47E4D">
        <w:trPr>
          <w:trHeight w:val="288"/>
        </w:trPr>
        <w:tc>
          <w:tcPr>
            <w:tcW w:w="833" w:type="pct"/>
          </w:tcPr>
          <w:p w14:paraId="4337EB0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75</w:t>
            </w:r>
          </w:p>
        </w:tc>
        <w:tc>
          <w:tcPr>
            <w:tcW w:w="834" w:type="pct"/>
            <w:shd w:val="clear" w:color="auto" w:fill="auto"/>
            <w:vAlign w:val="bottom"/>
            <w:hideMark/>
          </w:tcPr>
          <w:p w14:paraId="53402EC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604E795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25</w:t>
            </w:r>
          </w:p>
        </w:tc>
        <w:tc>
          <w:tcPr>
            <w:tcW w:w="833" w:type="pct"/>
            <w:shd w:val="clear" w:color="auto" w:fill="auto"/>
            <w:noWrap/>
            <w:vAlign w:val="bottom"/>
            <w:hideMark/>
          </w:tcPr>
          <w:p w14:paraId="3D9175D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75</w:t>
            </w:r>
          </w:p>
        </w:tc>
        <w:tc>
          <w:tcPr>
            <w:tcW w:w="834" w:type="pct"/>
            <w:shd w:val="clear" w:color="auto" w:fill="auto"/>
            <w:noWrap/>
            <w:vAlign w:val="bottom"/>
            <w:hideMark/>
          </w:tcPr>
          <w:p w14:paraId="1062894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OF1- 3</w:t>
            </w:r>
          </w:p>
        </w:tc>
        <w:tc>
          <w:tcPr>
            <w:tcW w:w="834" w:type="pct"/>
            <w:shd w:val="clear" w:color="auto" w:fill="auto"/>
            <w:vAlign w:val="bottom"/>
            <w:hideMark/>
          </w:tcPr>
          <w:p w14:paraId="2F395045"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8E56A41" w14:textId="77777777" w:rsidTr="00B47E4D">
        <w:trPr>
          <w:trHeight w:val="288"/>
        </w:trPr>
        <w:tc>
          <w:tcPr>
            <w:tcW w:w="833" w:type="pct"/>
          </w:tcPr>
          <w:p w14:paraId="76E8C02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62</w:t>
            </w:r>
          </w:p>
        </w:tc>
        <w:tc>
          <w:tcPr>
            <w:tcW w:w="834" w:type="pct"/>
            <w:shd w:val="clear" w:color="auto" w:fill="auto"/>
            <w:vAlign w:val="bottom"/>
            <w:hideMark/>
          </w:tcPr>
          <w:p w14:paraId="5A211DA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437C004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22</w:t>
            </w:r>
          </w:p>
        </w:tc>
        <w:tc>
          <w:tcPr>
            <w:tcW w:w="833" w:type="pct"/>
            <w:shd w:val="clear" w:color="auto" w:fill="auto"/>
            <w:noWrap/>
            <w:vAlign w:val="bottom"/>
            <w:hideMark/>
          </w:tcPr>
          <w:p w14:paraId="0722EDB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69</w:t>
            </w:r>
          </w:p>
        </w:tc>
        <w:tc>
          <w:tcPr>
            <w:tcW w:w="834" w:type="pct"/>
            <w:shd w:val="clear" w:color="auto" w:fill="auto"/>
            <w:noWrap/>
            <w:vAlign w:val="bottom"/>
            <w:hideMark/>
          </w:tcPr>
          <w:p w14:paraId="620599F5"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OF1- 4</w:t>
            </w:r>
          </w:p>
        </w:tc>
        <w:tc>
          <w:tcPr>
            <w:tcW w:w="834" w:type="pct"/>
            <w:shd w:val="clear" w:color="auto" w:fill="auto"/>
            <w:vAlign w:val="bottom"/>
            <w:hideMark/>
          </w:tcPr>
          <w:p w14:paraId="0BF0331C"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269A1D60" w14:textId="77777777" w:rsidTr="00B47E4D">
        <w:trPr>
          <w:trHeight w:val="288"/>
        </w:trPr>
        <w:tc>
          <w:tcPr>
            <w:tcW w:w="833" w:type="pct"/>
          </w:tcPr>
          <w:p w14:paraId="3429F21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67</w:t>
            </w:r>
          </w:p>
        </w:tc>
        <w:tc>
          <w:tcPr>
            <w:tcW w:w="834" w:type="pct"/>
            <w:shd w:val="clear" w:color="auto" w:fill="auto"/>
            <w:vAlign w:val="bottom"/>
            <w:hideMark/>
          </w:tcPr>
          <w:p w14:paraId="483A2CB5"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7AD2045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17</w:t>
            </w:r>
          </w:p>
        </w:tc>
        <w:tc>
          <w:tcPr>
            <w:tcW w:w="833" w:type="pct"/>
            <w:shd w:val="clear" w:color="auto" w:fill="auto"/>
            <w:noWrap/>
            <w:vAlign w:val="bottom"/>
            <w:hideMark/>
          </w:tcPr>
          <w:p w14:paraId="65FDE06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noWrap/>
            <w:vAlign w:val="bottom"/>
            <w:hideMark/>
          </w:tcPr>
          <w:p w14:paraId="579715C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OF1- 5</w:t>
            </w:r>
          </w:p>
        </w:tc>
        <w:tc>
          <w:tcPr>
            <w:tcW w:w="834" w:type="pct"/>
            <w:shd w:val="clear" w:color="auto" w:fill="auto"/>
            <w:vAlign w:val="bottom"/>
            <w:hideMark/>
          </w:tcPr>
          <w:p w14:paraId="5A2A5F62"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C5CA953" w14:textId="77777777" w:rsidTr="00B47E4D">
        <w:trPr>
          <w:trHeight w:val="288"/>
        </w:trPr>
        <w:tc>
          <w:tcPr>
            <w:tcW w:w="833" w:type="pct"/>
          </w:tcPr>
          <w:p w14:paraId="0165BF80"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72</w:t>
            </w:r>
          </w:p>
        </w:tc>
        <w:tc>
          <w:tcPr>
            <w:tcW w:w="834" w:type="pct"/>
            <w:shd w:val="clear" w:color="auto" w:fill="auto"/>
            <w:vAlign w:val="bottom"/>
            <w:hideMark/>
          </w:tcPr>
          <w:p w14:paraId="377039E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67698FA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25</w:t>
            </w:r>
          </w:p>
        </w:tc>
        <w:tc>
          <w:tcPr>
            <w:tcW w:w="833" w:type="pct"/>
            <w:shd w:val="clear" w:color="auto" w:fill="auto"/>
            <w:noWrap/>
            <w:vAlign w:val="bottom"/>
            <w:hideMark/>
          </w:tcPr>
          <w:p w14:paraId="57B81ACF"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69</w:t>
            </w:r>
          </w:p>
        </w:tc>
        <w:tc>
          <w:tcPr>
            <w:tcW w:w="834" w:type="pct"/>
            <w:shd w:val="clear" w:color="auto" w:fill="auto"/>
            <w:noWrap/>
            <w:vAlign w:val="bottom"/>
            <w:hideMark/>
          </w:tcPr>
          <w:p w14:paraId="4CE952B0"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OF1- 6</w:t>
            </w:r>
          </w:p>
        </w:tc>
        <w:tc>
          <w:tcPr>
            <w:tcW w:w="834" w:type="pct"/>
            <w:shd w:val="clear" w:color="auto" w:fill="auto"/>
            <w:vAlign w:val="bottom"/>
            <w:hideMark/>
          </w:tcPr>
          <w:p w14:paraId="2E15FB76"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55FA6904" w14:textId="77777777" w:rsidTr="00B47E4D">
        <w:trPr>
          <w:trHeight w:val="288"/>
        </w:trPr>
        <w:tc>
          <w:tcPr>
            <w:tcW w:w="833" w:type="pct"/>
          </w:tcPr>
          <w:p w14:paraId="29D8854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81</w:t>
            </w:r>
          </w:p>
        </w:tc>
        <w:tc>
          <w:tcPr>
            <w:tcW w:w="834" w:type="pct"/>
            <w:shd w:val="clear" w:color="auto" w:fill="auto"/>
            <w:vAlign w:val="bottom"/>
            <w:hideMark/>
          </w:tcPr>
          <w:p w14:paraId="727CFFF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4075133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12</w:t>
            </w:r>
          </w:p>
        </w:tc>
        <w:tc>
          <w:tcPr>
            <w:tcW w:w="833" w:type="pct"/>
            <w:shd w:val="clear" w:color="auto" w:fill="auto"/>
            <w:noWrap/>
            <w:vAlign w:val="bottom"/>
            <w:hideMark/>
          </w:tcPr>
          <w:p w14:paraId="666E959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48</w:t>
            </w:r>
          </w:p>
        </w:tc>
        <w:tc>
          <w:tcPr>
            <w:tcW w:w="834" w:type="pct"/>
            <w:shd w:val="clear" w:color="auto" w:fill="auto"/>
            <w:noWrap/>
            <w:vAlign w:val="bottom"/>
            <w:hideMark/>
          </w:tcPr>
          <w:p w14:paraId="3B6EC58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OF1- 7</w:t>
            </w:r>
          </w:p>
        </w:tc>
        <w:tc>
          <w:tcPr>
            <w:tcW w:w="834" w:type="pct"/>
            <w:shd w:val="clear" w:color="auto" w:fill="auto"/>
            <w:vAlign w:val="bottom"/>
            <w:hideMark/>
          </w:tcPr>
          <w:p w14:paraId="239CEB45"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DA32EAC" w14:textId="77777777" w:rsidTr="00B47E4D">
        <w:trPr>
          <w:trHeight w:val="288"/>
        </w:trPr>
        <w:tc>
          <w:tcPr>
            <w:tcW w:w="833" w:type="pct"/>
          </w:tcPr>
          <w:p w14:paraId="029BAC1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73</w:t>
            </w:r>
          </w:p>
        </w:tc>
        <w:tc>
          <w:tcPr>
            <w:tcW w:w="834" w:type="pct"/>
            <w:shd w:val="clear" w:color="auto" w:fill="auto"/>
            <w:vAlign w:val="bottom"/>
            <w:hideMark/>
          </w:tcPr>
          <w:p w14:paraId="292524C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1100B1E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5</w:t>
            </w:r>
          </w:p>
        </w:tc>
        <w:tc>
          <w:tcPr>
            <w:tcW w:w="833" w:type="pct"/>
            <w:shd w:val="clear" w:color="auto" w:fill="auto"/>
            <w:noWrap/>
            <w:vAlign w:val="bottom"/>
            <w:hideMark/>
          </w:tcPr>
          <w:p w14:paraId="62B5999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noWrap/>
            <w:vAlign w:val="bottom"/>
            <w:hideMark/>
          </w:tcPr>
          <w:p w14:paraId="6BD262A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OF1- 8</w:t>
            </w:r>
          </w:p>
        </w:tc>
        <w:tc>
          <w:tcPr>
            <w:tcW w:w="834" w:type="pct"/>
            <w:shd w:val="clear" w:color="auto" w:fill="auto"/>
            <w:vAlign w:val="bottom"/>
            <w:hideMark/>
          </w:tcPr>
          <w:p w14:paraId="011F022D"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235783D5" w14:textId="77777777" w:rsidTr="00B47E4D">
        <w:trPr>
          <w:trHeight w:val="288"/>
        </w:trPr>
        <w:tc>
          <w:tcPr>
            <w:tcW w:w="833" w:type="pct"/>
            <w:shd w:val="clear" w:color="auto" w:fill="D9E2F3" w:themeFill="accent1" w:themeFillTint="33"/>
          </w:tcPr>
          <w:p w14:paraId="18424A6A" w14:textId="77777777" w:rsidR="006B7331" w:rsidRPr="00E77007" w:rsidRDefault="006B7331" w:rsidP="00B47E4D">
            <w:pPr>
              <w:spacing w:after="0" w:line="240" w:lineRule="auto"/>
              <w:rPr>
                <w:rFonts w:asciiTheme="majorBidi" w:hAnsiTheme="majorBidi" w:cstheme="majorBidi"/>
                <w:color w:val="000000"/>
              </w:rPr>
            </w:pPr>
          </w:p>
        </w:tc>
        <w:tc>
          <w:tcPr>
            <w:tcW w:w="834" w:type="pct"/>
            <w:shd w:val="clear" w:color="auto" w:fill="D9E2F3" w:themeFill="accent1" w:themeFillTint="33"/>
            <w:vAlign w:val="bottom"/>
            <w:hideMark/>
          </w:tcPr>
          <w:p w14:paraId="422D7FE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noWrap/>
            <w:vAlign w:val="bottom"/>
            <w:hideMark/>
          </w:tcPr>
          <w:p w14:paraId="6690129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3" w:type="pct"/>
            <w:shd w:val="clear" w:color="auto" w:fill="D9E2F3" w:themeFill="accent1" w:themeFillTint="33"/>
            <w:noWrap/>
            <w:vAlign w:val="bottom"/>
            <w:hideMark/>
          </w:tcPr>
          <w:p w14:paraId="4025712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vAlign w:val="bottom"/>
            <w:hideMark/>
          </w:tcPr>
          <w:p w14:paraId="777310FA"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D9E2F3" w:themeFill="accent1" w:themeFillTint="33"/>
            <w:vAlign w:val="bottom"/>
            <w:hideMark/>
          </w:tcPr>
          <w:p w14:paraId="145F33E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Group3-Online</w:t>
            </w:r>
          </w:p>
        </w:tc>
      </w:tr>
      <w:tr w:rsidR="006B7331" w:rsidRPr="00E77007" w14:paraId="4F11701F" w14:textId="77777777" w:rsidTr="00B47E4D">
        <w:trPr>
          <w:trHeight w:val="288"/>
        </w:trPr>
        <w:tc>
          <w:tcPr>
            <w:tcW w:w="833" w:type="pct"/>
          </w:tcPr>
          <w:p w14:paraId="6F69447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76</w:t>
            </w:r>
          </w:p>
        </w:tc>
        <w:tc>
          <w:tcPr>
            <w:tcW w:w="834" w:type="pct"/>
            <w:shd w:val="clear" w:color="auto" w:fill="auto"/>
            <w:vAlign w:val="bottom"/>
            <w:hideMark/>
          </w:tcPr>
          <w:p w14:paraId="34746B0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713A2D9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12</w:t>
            </w:r>
          </w:p>
        </w:tc>
        <w:tc>
          <w:tcPr>
            <w:tcW w:w="833" w:type="pct"/>
            <w:shd w:val="clear" w:color="auto" w:fill="auto"/>
            <w:noWrap/>
            <w:vAlign w:val="bottom"/>
            <w:hideMark/>
          </w:tcPr>
          <w:p w14:paraId="5FF3584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73</w:t>
            </w:r>
          </w:p>
        </w:tc>
        <w:tc>
          <w:tcPr>
            <w:tcW w:w="834" w:type="pct"/>
            <w:shd w:val="clear" w:color="auto" w:fill="auto"/>
            <w:vAlign w:val="bottom"/>
            <w:hideMark/>
          </w:tcPr>
          <w:p w14:paraId="158EDA5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OF2-1</w:t>
            </w:r>
          </w:p>
        </w:tc>
        <w:tc>
          <w:tcPr>
            <w:tcW w:w="834" w:type="pct"/>
            <w:shd w:val="clear" w:color="auto" w:fill="auto"/>
            <w:vAlign w:val="bottom"/>
            <w:hideMark/>
          </w:tcPr>
          <w:p w14:paraId="245AEBB6"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6C8E4B18" w14:textId="77777777" w:rsidTr="00B47E4D">
        <w:trPr>
          <w:trHeight w:val="288"/>
        </w:trPr>
        <w:tc>
          <w:tcPr>
            <w:tcW w:w="833" w:type="pct"/>
          </w:tcPr>
          <w:p w14:paraId="6B07284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vAlign w:val="bottom"/>
            <w:hideMark/>
          </w:tcPr>
          <w:p w14:paraId="0CA135E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1F9D165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10</w:t>
            </w:r>
          </w:p>
        </w:tc>
        <w:tc>
          <w:tcPr>
            <w:tcW w:w="833" w:type="pct"/>
            <w:shd w:val="clear" w:color="auto" w:fill="auto"/>
            <w:noWrap/>
            <w:vAlign w:val="bottom"/>
            <w:hideMark/>
          </w:tcPr>
          <w:p w14:paraId="686DD48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72</w:t>
            </w:r>
          </w:p>
        </w:tc>
        <w:tc>
          <w:tcPr>
            <w:tcW w:w="834" w:type="pct"/>
            <w:shd w:val="clear" w:color="auto" w:fill="auto"/>
            <w:vAlign w:val="bottom"/>
            <w:hideMark/>
          </w:tcPr>
          <w:p w14:paraId="587F143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OF2-2</w:t>
            </w:r>
          </w:p>
        </w:tc>
        <w:tc>
          <w:tcPr>
            <w:tcW w:w="834" w:type="pct"/>
            <w:shd w:val="clear" w:color="auto" w:fill="auto"/>
            <w:vAlign w:val="bottom"/>
            <w:hideMark/>
          </w:tcPr>
          <w:p w14:paraId="1E382FCB"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49BAAB5D" w14:textId="77777777" w:rsidTr="00B47E4D">
        <w:trPr>
          <w:trHeight w:val="288"/>
        </w:trPr>
        <w:tc>
          <w:tcPr>
            <w:tcW w:w="833" w:type="pct"/>
          </w:tcPr>
          <w:p w14:paraId="29E3DB7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72</w:t>
            </w:r>
          </w:p>
        </w:tc>
        <w:tc>
          <w:tcPr>
            <w:tcW w:w="834" w:type="pct"/>
            <w:shd w:val="clear" w:color="auto" w:fill="auto"/>
            <w:vAlign w:val="bottom"/>
            <w:hideMark/>
          </w:tcPr>
          <w:p w14:paraId="2566647B"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642981C5"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4</w:t>
            </w:r>
          </w:p>
        </w:tc>
        <w:tc>
          <w:tcPr>
            <w:tcW w:w="833" w:type="pct"/>
            <w:shd w:val="clear" w:color="auto" w:fill="auto"/>
            <w:noWrap/>
            <w:vAlign w:val="bottom"/>
            <w:hideMark/>
          </w:tcPr>
          <w:p w14:paraId="2764608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70</w:t>
            </w:r>
          </w:p>
        </w:tc>
        <w:tc>
          <w:tcPr>
            <w:tcW w:w="834" w:type="pct"/>
            <w:shd w:val="clear" w:color="auto" w:fill="auto"/>
            <w:vAlign w:val="bottom"/>
            <w:hideMark/>
          </w:tcPr>
          <w:p w14:paraId="50D7B51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OF2-3</w:t>
            </w:r>
          </w:p>
        </w:tc>
        <w:tc>
          <w:tcPr>
            <w:tcW w:w="834" w:type="pct"/>
            <w:shd w:val="clear" w:color="auto" w:fill="auto"/>
            <w:vAlign w:val="bottom"/>
            <w:hideMark/>
          </w:tcPr>
          <w:p w14:paraId="7E4C21D4"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24ADDEC4" w14:textId="77777777" w:rsidTr="00B47E4D">
        <w:trPr>
          <w:trHeight w:val="288"/>
        </w:trPr>
        <w:tc>
          <w:tcPr>
            <w:tcW w:w="833" w:type="pct"/>
          </w:tcPr>
          <w:p w14:paraId="194CF79D"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79</w:t>
            </w:r>
          </w:p>
        </w:tc>
        <w:tc>
          <w:tcPr>
            <w:tcW w:w="834" w:type="pct"/>
            <w:shd w:val="clear" w:color="auto" w:fill="auto"/>
            <w:vAlign w:val="bottom"/>
            <w:hideMark/>
          </w:tcPr>
          <w:p w14:paraId="38C3F9EF" w14:textId="77777777" w:rsidR="006B7331" w:rsidRPr="00E77007" w:rsidRDefault="006B7331" w:rsidP="00B47E4D">
            <w:pPr>
              <w:spacing w:after="0" w:line="240" w:lineRule="auto"/>
              <w:rPr>
                <w:rFonts w:asciiTheme="majorBidi" w:hAnsiTheme="majorBidi" w:cstheme="majorBidi"/>
                <w:color w:val="000000"/>
                <w:rtl/>
              </w:rPr>
            </w:pPr>
            <w:r w:rsidRPr="00E77007">
              <w:rPr>
                <w:rFonts w:asciiTheme="majorBidi" w:hAnsiTheme="majorBidi" w:cstheme="majorBidi"/>
                <w:color w:val="000000"/>
              </w:rPr>
              <w:t>M</w:t>
            </w:r>
          </w:p>
        </w:tc>
        <w:tc>
          <w:tcPr>
            <w:tcW w:w="834" w:type="pct"/>
            <w:shd w:val="clear" w:color="auto" w:fill="auto"/>
            <w:noWrap/>
            <w:vAlign w:val="bottom"/>
            <w:hideMark/>
          </w:tcPr>
          <w:p w14:paraId="51580CA1"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4</w:t>
            </w:r>
          </w:p>
        </w:tc>
        <w:tc>
          <w:tcPr>
            <w:tcW w:w="833" w:type="pct"/>
            <w:shd w:val="clear" w:color="auto" w:fill="auto"/>
            <w:noWrap/>
            <w:vAlign w:val="bottom"/>
            <w:hideMark/>
          </w:tcPr>
          <w:p w14:paraId="39E96F4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73</w:t>
            </w:r>
          </w:p>
        </w:tc>
        <w:tc>
          <w:tcPr>
            <w:tcW w:w="834" w:type="pct"/>
            <w:shd w:val="clear" w:color="auto" w:fill="auto"/>
            <w:vAlign w:val="bottom"/>
            <w:hideMark/>
          </w:tcPr>
          <w:p w14:paraId="4B5EDB1F"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OF2-4</w:t>
            </w:r>
          </w:p>
        </w:tc>
        <w:tc>
          <w:tcPr>
            <w:tcW w:w="834" w:type="pct"/>
            <w:shd w:val="clear" w:color="auto" w:fill="auto"/>
            <w:vAlign w:val="bottom"/>
            <w:hideMark/>
          </w:tcPr>
          <w:p w14:paraId="1109166C"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65F43655" w14:textId="77777777" w:rsidTr="00B47E4D">
        <w:trPr>
          <w:trHeight w:val="288"/>
        </w:trPr>
        <w:tc>
          <w:tcPr>
            <w:tcW w:w="833" w:type="pct"/>
          </w:tcPr>
          <w:p w14:paraId="3D47BB27"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68</w:t>
            </w:r>
          </w:p>
        </w:tc>
        <w:tc>
          <w:tcPr>
            <w:tcW w:w="834" w:type="pct"/>
            <w:shd w:val="clear" w:color="auto" w:fill="auto"/>
            <w:vAlign w:val="bottom"/>
            <w:hideMark/>
          </w:tcPr>
          <w:p w14:paraId="03E3989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M</w:t>
            </w:r>
          </w:p>
        </w:tc>
        <w:tc>
          <w:tcPr>
            <w:tcW w:w="834" w:type="pct"/>
            <w:shd w:val="clear" w:color="auto" w:fill="auto"/>
            <w:noWrap/>
            <w:vAlign w:val="bottom"/>
            <w:hideMark/>
          </w:tcPr>
          <w:p w14:paraId="4D62A9E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14</w:t>
            </w:r>
          </w:p>
        </w:tc>
        <w:tc>
          <w:tcPr>
            <w:tcW w:w="833" w:type="pct"/>
            <w:shd w:val="clear" w:color="auto" w:fill="auto"/>
            <w:noWrap/>
            <w:vAlign w:val="bottom"/>
            <w:hideMark/>
          </w:tcPr>
          <w:p w14:paraId="5D1C1DB0"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67</w:t>
            </w:r>
          </w:p>
        </w:tc>
        <w:tc>
          <w:tcPr>
            <w:tcW w:w="834" w:type="pct"/>
            <w:shd w:val="clear" w:color="auto" w:fill="auto"/>
            <w:vAlign w:val="bottom"/>
            <w:hideMark/>
          </w:tcPr>
          <w:p w14:paraId="1AABD9EF"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OF2-5</w:t>
            </w:r>
          </w:p>
        </w:tc>
        <w:tc>
          <w:tcPr>
            <w:tcW w:w="834" w:type="pct"/>
            <w:shd w:val="clear" w:color="auto" w:fill="auto"/>
            <w:vAlign w:val="bottom"/>
            <w:hideMark/>
          </w:tcPr>
          <w:p w14:paraId="4DD45601"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174A3A88" w14:textId="77777777" w:rsidTr="00B47E4D">
        <w:trPr>
          <w:trHeight w:val="288"/>
        </w:trPr>
        <w:tc>
          <w:tcPr>
            <w:tcW w:w="833" w:type="pct"/>
          </w:tcPr>
          <w:p w14:paraId="64D5502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74</w:t>
            </w:r>
          </w:p>
        </w:tc>
        <w:tc>
          <w:tcPr>
            <w:tcW w:w="834" w:type="pct"/>
            <w:shd w:val="clear" w:color="auto" w:fill="auto"/>
            <w:vAlign w:val="bottom"/>
            <w:hideMark/>
          </w:tcPr>
          <w:p w14:paraId="6670592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W</w:t>
            </w:r>
          </w:p>
        </w:tc>
        <w:tc>
          <w:tcPr>
            <w:tcW w:w="834" w:type="pct"/>
            <w:shd w:val="clear" w:color="auto" w:fill="auto"/>
            <w:noWrap/>
            <w:vAlign w:val="bottom"/>
            <w:hideMark/>
          </w:tcPr>
          <w:p w14:paraId="7F1A2D52"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18</w:t>
            </w:r>
          </w:p>
        </w:tc>
        <w:tc>
          <w:tcPr>
            <w:tcW w:w="833" w:type="pct"/>
            <w:shd w:val="clear" w:color="auto" w:fill="auto"/>
            <w:noWrap/>
            <w:vAlign w:val="bottom"/>
            <w:hideMark/>
          </w:tcPr>
          <w:p w14:paraId="2A49AD68"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78</w:t>
            </w:r>
          </w:p>
        </w:tc>
        <w:tc>
          <w:tcPr>
            <w:tcW w:w="834" w:type="pct"/>
            <w:shd w:val="clear" w:color="auto" w:fill="auto"/>
            <w:vAlign w:val="bottom"/>
            <w:hideMark/>
          </w:tcPr>
          <w:p w14:paraId="678E4A1E"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OF2-6</w:t>
            </w:r>
          </w:p>
        </w:tc>
        <w:tc>
          <w:tcPr>
            <w:tcW w:w="834" w:type="pct"/>
            <w:shd w:val="clear" w:color="auto" w:fill="auto"/>
            <w:vAlign w:val="bottom"/>
            <w:hideMark/>
          </w:tcPr>
          <w:p w14:paraId="58BE4AD9" w14:textId="77777777" w:rsidR="006B7331" w:rsidRPr="00E77007" w:rsidRDefault="006B7331" w:rsidP="00B47E4D">
            <w:pPr>
              <w:spacing w:after="0" w:line="240" w:lineRule="auto"/>
              <w:rPr>
                <w:rFonts w:asciiTheme="majorBidi" w:hAnsiTheme="majorBidi" w:cstheme="majorBidi"/>
                <w:color w:val="000000"/>
              </w:rPr>
            </w:pPr>
          </w:p>
        </w:tc>
      </w:tr>
      <w:tr w:rsidR="006B7331" w:rsidRPr="00E77007" w14:paraId="03F72BD3" w14:textId="77777777" w:rsidTr="00B47E4D">
        <w:trPr>
          <w:trHeight w:val="288"/>
        </w:trPr>
        <w:tc>
          <w:tcPr>
            <w:tcW w:w="833" w:type="pct"/>
            <w:shd w:val="clear" w:color="auto" w:fill="8EAADB" w:themeFill="accent1" w:themeFillTint="99"/>
          </w:tcPr>
          <w:p w14:paraId="15B422C4"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72.7</w:t>
            </w:r>
          </w:p>
        </w:tc>
        <w:tc>
          <w:tcPr>
            <w:tcW w:w="834" w:type="pct"/>
            <w:shd w:val="clear" w:color="auto" w:fill="8EAADB" w:themeFill="accent1" w:themeFillTint="99"/>
            <w:noWrap/>
            <w:vAlign w:val="bottom"/>
            <w:hideMark/>
          </w:tcPr>
          <w:p w14:paraId="3AA664E3"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8EAADB" w:themeFill="accent1" w:themeFillTint="99"/>
            <w:noWrap/>
            <w:vAlign w:val="bottom"/>
            <w:hideMark/>
          </w:tcPr>
          <w:p w14:paraId="1C792E56"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tl/>
              </w:rPr>
              <w:t>13</w:t>
            </w:r>
            <w:r w:rsidRPr="00E77007">
              <w:rPr>
                <w:rFonts w:asciiTheme="majorBidi" w:hAnsiTheme="majorBidi" w:cstheme="majorBidi"/>
                <w:color w:val="000000"/>
              </w:rPr>
              <w:t>.6</w:t>
            </w:r>
          </w:p>
        </w:tc>
        <w:tc>
          <w:tcPr>
            <w:tcW w:w="833" w:type="pct"/>
            <w:shd w:val="clear" w:color="auto" w:fill="8EAADB" w:themeFill="accent1" w:themeFillTint="99"/>
            <w:noWrap/>
            <w:vAlign w:val="bottom"/>
            <w:hideMark/>
          </w:tcPr>
          <w:p w14:paraId="6FF352DC"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68.5</w:t>
            </w:r>
          </w:p>
        </w:tc>
        <w:tc>
          <w:tcPr>
            <w:tcW w:w="834" w:type="pct"/>
            <w:shd w:val="clear" w:color="auto" w:fill="8EAADB" w:themeFill="accent1" w:themeFillTint="99"/>
            <w:noWrap/>
            <w:vAlign w:val="bottom"/>
            <w:hideMark/>
          </w:tcPr>
          <w:p w14:paraId="64BEB5E9" w14:textId="77777777" w:rsidR="006B7331" w:rsidRPr="00E77007" w:rsidRDefault="006B7331" w:rsidP="00B47E4D">
            <w:pPr>
              <w:spacing w:after="0" w:line="240" w:lineRule="auto"/>
              <w:rPr>
                <w:rFonts w:asciiTheme="majorBidi" w:hAnsiTheme="majorBidi" w:cstheme="majorBidi"/>
                <w:color w:val="000000"/>
              </w:rPr>
            </w:pPr>
            <w:r w:rsidRPr="00E77007">
              <w:rPr>
                <w:rFonts w:asciiTheme="majorBidi" w:hAnsiTheme="majorBidi" w:cstheme="majorBidi"/>
                <w:color w:val="000000"/>
              </w:rPr>
              <w:t> </w:t>
            </w:r>
          </w:p>
        </w:tc>
        <w:tc>
          <w:tcPr>
            <w:tcW w:w="834" w:type="pct"/>
            <w:shd w:val="clear" w:color="auto" w:fill="8EAADB" w:themeFill="accent1" w:themeFillTint="99"/>
            <w:noWrap/>
            <w:vAlign w:val="bottom"/>
            <w:hideMark/>
          </w:tcPr>
          <w:p w14:paraId="03558C62" w14:textId="77777777" w:rsidR="006B7331" w:rsidRPr="00E77007" w:rsidRDefault="006B7331" w:rsidP="00B47E4D">
            <w:pPr>
              <w:keepNext/>
              <w:spacing w:after="0" w:line="240" w:lineRule="auto"/>
              <w:rPr>
                <w:rFonts w:asciiTheme="majorBidi" w:hAnsiTheme="majorBidi" w:cstheme="majorBidi"/>
                <w:color w:val="000000"/>
              </w:rPr>
            </w:pPr>
            <w:r w:rsidRPr="00E77007">
              <w:rPr>
                <w:rFonts w:asciiTheme="majorBidi" w:hAnsiTheme="majorBidi" w:cstheme="majorBidi"/>
                <w:color w:val="000000"/>
              </w:rPr>
              <w:t>Average</w:t>
            </w:r>
          </w:p>
        </w:tc>
      </w:tr>
    </w:tbl>
    <w:p w14:paraId="3C58F52D" w14:textId="36A1052E" w:rsidR="006B7331" w:rsidRPr="008509EB" w:rsidRDefault="006B7331" w:rsidP="006B7331">
      <w:pPr>
        <w:pStyle w:val="Caption"/>
        <w:jc w:val="both"/>
        <w:rPr>
          <w:rFonts w:asciiTheme="majorBidi" w:hAnsiTheme="majorBidi" w:cstheme="majorBidi"/>
          <w:b/>
          <w:bCs/>
          <w:i w:val="0"/>
          <w:iCs w:val="0"/>
          <w:color w:val="auto"/>
          <w:sz w:val="22"/>
          <w:szCs w:val="22"/>
        </w:rPr>
      </w:pPr>
      <w:r w:rsidRPr="008509EB">
        <w:rPr>
          <w:rFonts w:asciiTheme="majorBidi" w:hAnsiTheme="majorBidi" w:cstheme="majorBidi"/>
          <w:b/>
          <w:bCs/>
          <w:i w:val="0"/>
          <w:iCs w:val="0"/>
          <w:color w:val="auto"/>
          <w:sz w:val="22"/>
          <w:szCs w:val="22"/>
        </w:rPr>
        <w:t xml:space="preserve">Table </w:t>
      </w:r>
      <w:r w:rsidR="000218DC" w:rsidRPr="008509EB">
        <w:rPr>
          <w:rFonts w:asciiTheme="majorBidi" w:hAnsiTheme="majorBidi" w:cstheme="majorBidi" w:hint="cs"/>
          <w:b/>
          <w:bCs/>
          <w:i w:val="0"/>
          <w:iCs w:val="0"/>
          <w:color w:val="auto"/>
          <w:sz w:val="22"/>
          <w:szCs w:val="22"/>
          <w:rtl/>
        </w:rPr>
        <w:t>5</w:t>
      </w:r>
      <w:r w:rsidRPr="008509EB">
        <w:rPr>
          <w:rFonts w:asciiTheme="majorBidi" w:hAnsiTheme="majorBidi" w:cstheme="majorBidi"/>
          <w:b/>
          <w:bCs/>
          <w:i w:val="0"/>
          <w:iCs w:val="0"/>
          <w:color w:val="auto"/>
          <w:sz w:val="22"/>
          <w:szCs w:val="22"/>
        </w:rPr>
        <w:t xml:space="preserve">. </w:t>
      </w:r>
      <w:bookmarkStart w:id="12" w:name="_Hlk121051086"/>
      <w:r w:rsidRPr="008509EB">
        <w:rPr>
          <w:rFonts w:asciiTheme="majorBidi" w:hAnsiTheme="majorBidi" w:cstheme="majorBidi"/>
          <w:b/>
          <w:bCs/>
          <w:i w:val="0"/>
          <w:iCs w:val="0"/>
          <w:color w:val="auto"/>
          <w:sz w:val="22"/>
          <w:szCs w:val="22"/>
        </w:rPr>
        <w:t>Demographic information of Family Members</w:t>
      </w:r>
    </w:p>
    <w:bookmarkEnd w:id="12"/>
    <w:p w14:paraId="3BC289AD" w14:textId="77777777" w:rsidR="006B7331" w:rsidRPr="00E77007" w:rsidRDefault="006B7331" w:rsidP="006B7331">
      <w:pPr>
        <w:spacing w:line="360" w:lineRule="auto"/>
        <w:rPr>
          <w:rFonts w:asciiTheme="majorBidi" w:hAnsiTheme="majorBidi" w:cstheme="majorBidi"/>
        </w:rPr>
      </w:pPr>
      <w:r w:rsidRPr="00E77007">
        <w:rPr>
          <w:rFonts w:asciiTheme="majorBidi" w:hAnsiTheme="majorBidi" w:cstheme="majorBidi"/>
        </w:rPr>
        <w:t>We performed a thematic analysis of the data we collected in these three meetings; Six key themes emerged from the analysis: (1) Key difficulties of people living with PD; (2) Ideas for assistive technologies for individuals with PD; (3) Perceived advantages of SARs; (4) Suggestions regarding SAR design, operation</w:t>
      </w:r>
      <w:r>
        <w:rPr>
          <w:rFonts w:asciiTheme="majorBidi" w:hAnsiTheme="majorBidi" w:cstheme="majorBidi"/>
        </w:rPr>
        <w:t>,</w:t>
      </w:r>
      <w:r w:rsidRPr="00E77007">
        <w:rPr>
          <w:rFonts w:asciiTheme="majorBidi" w:hAnsiTheme="majorBidi" w:cstheme="majorBidi"/>
        </w:rPr>
        <w:t xml:space="preserve"> and interactive functionality; (5) Concerns regarding the use of SARs, and (6) Attitudes towards SARs.</w:t>
      </w:r>
    </w:p>
    <w:p w14:paraId="312892E2" w14:textId="77777777" w:rsidR="006B7331" w:rsidRPr="00E77007" w:rsidRDefault="006B7331" w:rsidP="006B7331">
      <w:pPr>
        <w:spacing w:line="360" w:lineRule="auto"/>
        <w:rPr>
          <w:rFonts w:asciiTheme="majorBidi" w:hAnsiTheme="majorBidi" w:cstheme="majorBidi"/>
          <w:rtl/>
        </w:rPr>
      </w:pPr>
      <w:r w:rsidRPr="00E77007">
        <w:rPr>
          <w:rFonts w:asciiTheme="majorBidi" w:hAnsiTheme="majorBidi" w:cstheme="majorBidi"/>
        </w:rPr>
        <w:t>We further divided each of the six main themes into sub-categories, as detailed below. In the detailed description below, ‘N’ denotes the number of items within each category, and ‘n’ denotes the number of participants who mentioned the item.</w:t>
      </w:r>
      <w:r w:rsidRPr="00E77007" w:rsidDel="00B6378A">
        <w:rPr>
          <w:rFonts w:asciiTheme="majorBidi" w:hAnsiTheme="majorBidi" w:cstheme="majorBidi"/>
        </w:rPr>
        <w:t xml:space="preserve"> </w:t>
      </w:r>
    </w:p>
    <w:p w14:paraId="7C97A431" w14:textId="77777777" w:rsidR="006B7331" w:rsidRPr="00E77007" w:rsidRDefault="006B7331" w:rsidP="006B7331">
      <w:pPr>
        <w:spacing w:line="360" w:lineRule="auto"/>
        <w:rPr>
          <w:rFonts w:asciiTheme="majorBidi" w:hAnsiTheme="majorBidi" w:cstheme="majorBidi"/>
          <w:b/>
          <w:bCs/>
        </w:rPr>
      </w:pPr>
      <w:r w:rsidRPr="00E77007">
        <w:rPr>
          <w:rFonts w:asciiTheme="majorBidi" w:hAnsiTheme="majorBidi" w:cstheme="majorBidi"/>
          <w:b/>
          <w:bCs/>
        </w:rPr>
        <w:t xml:space="preserve">3.2.1 Key difficulties of people living with PD </w:t>
      </w:r>
    </w:p>
    <w:p w14:paraId="6082DF90" w14:textId="2E4C5E42" w:rsidR="006B7331" w:rsidRPr="00E77007" w:rsidRDefault="006B7331" w:rsidP="006B7331">
      <w:pPr>
        <w:spacing w:line="360" w:lineRule="auto"/>
        <w:rPr>
          <w:rFonts w:asciiTheme="majorBidi" w:hAnsiTheme="majorBidi" w:cstheme="majorBidi"/>
        </w:rPr>
      </w:pPr>
      <w:r w:rsidRPr="00E77007">
        <w:rPr>
          <w:rFonts w:asciiTheme="majorBidi" w:hAnsiTheme="majorBidi" w:cstheme="majorBidi"/>
        </w:rPr>
        <w:t xml:space="preserve">Family members' responses to the question “Name three main restrictions/limitations that your family member with PD experiences” fell into one of five categories (see </w:t>
      </w:r>
      <w:r w:rsidR="008509EB">
        <w:rPr>
          <w:rFonts w:asciiTheme="majorBidi" w:hAnsiTheme="majorBidi" w:cstheme="majorBidi"/>
        </w:rPr>
        <w:t>F</w:t>
      </w:r>
      <w:r w:rsidRPr="00E77007">
        <w:rPr>
          <w:rFonts w:asciiTheme="majorBidi" w:hAnsiTheme="majorBidi" w:cstheme="majorBidi"/>
        </w:rPr>
        <w:t xml:space="preserve">igure </w:t>
      </w:r>
      <w:r w:rsidR="00916954">
        <w:rPr>
          <w:rFonts w:asciiTheme="majorBidi" w:hAnsiTheme="majorBidi" w:cstheme="majorBidi"/>
        </w:rPr>
        <w:t>4</w:t>
      </w:r>
      <w:r w:rsidRPr="00E77007">
        <w:rPr>
          <w:rFonts w:asciiTheme="majorBidi" w:hAnsiTheme="majorBidi" w:cstheme="majorBidi"/>
        </w:rPr>
        <w:t xml:space="preserve">): motor (N = 37), autonomic system (N = 14), communication (N = 11), cognitive (N = 8), and emotional (N = 7). </w:t>
      </w:r>
    </w:p>
    <w:p w14:paraId="17C78995" w14:textId="2A2458BD" w:rsidR="006B7331" w:rsidRPr="00E77007" w:rsidRDefault="006B7331" w:rsidP="006B7331">
      <w:pPr>
        <w:rPr>
          <w:rFonts w:asciiTheme="majorBidi" w:hAnsiTheme="majorBidi" w:cstheme="majorBidi"/>
        </w:rPr>
      </w:pPr>
      <w:r w:rsidRPr="00E77007">
        <w:rPr>
          <w:rFonts w:asciiTheme="majorBidi" w:hAnsiTheme="majorBidi" w:cstheme="majorBidi"/>
        </w:rPr>
        <w:t>The specific</w:t>
      </w:r>
      <w:r w:rsidRPr="00E77007">
        <w:rPr>
          <w:rFonts w:asciiTheme="majorBidi" w:hAnsiTheme="majorBidi" w:cstheme="majorBidi"/>
          <w:rtl/>
        </w:rPr>
        <w:t xml:space="preserve"> </w:t>
      </w:r>
      <w:r w:rsidRPr="00E77007">
        <w:rPr>
          <w:rFonts w:asciiTheme="majorBidi" w:hAnsiTheme="majorBidi" w:cstheme="majorBidi"/>
        </w:rPr>
        <w:t xml:space="preserve">difficulties that came up within each category are listed in </w:t>
      </w:r>
      <w:r w:rsidR="008509EB">
        <w:rPr>
          <w:rFonts w:asciiTheme="majorBidi" w:hAnsiTheme="majorBidi" w:cstheme="majorBidi"/>
        </w:rPr>
        <w:t>F</w:t>
      </w:r>
      <w:r w:rsidRPr="00E77007">
        <w:rPr>
          <w:rFonts w:asciiTheme="majorBidi" w:hAnsiTheme="majorBidi" w:cstheme="majorBidi"/>
        </w:rPr>
        <w:t xml:space="preserve">igure </w:t>
      </w:r>
      <w:r w:rsidR="00916954">
        <w:rPr>
          <w:rFonts w:asciiTheme="majorBidi" w:hAnsiTheme="majorBidi" w:cstheme="majorBidi"/>
        </w:rPr>
        <w:t>4</w:t>
      </w:r>
      <w:r w:rsidRPr="00E77007">
        <w:rPr>
          <w:rFonts w:asciiTheme="majorBidi" w:hAnsiTheme="majorBidi" w:cstheme="majorBidi"/>
        </w:rPr>
        <w:t>.</w:t>
      </w:r>
    </w:p>
    <w:p w14:paraId="5CF5CCAE" w14:textId="77777777" w:rsidR="006B7331" w:rsidRPr="004863C3" w:rsidRDefault="006B7331" w:rsidP="006B7331">
      <w:pPr>
        <w:jc w:val="center"/>
        <w:rPr>
          <w:rFonts w:asciiTheme="majorBidi" w:hAnsiTheme="majorBidi" w:cstheme="majorBidi"/>
        </w:rPr>
      </w:pPr>
      <w:r w:rsidRPr="000B73D1">
        <w:rPr>
          <w:rFonts w:asciiTheme="majorBidi" w:hAnsiTheme="majorBidi" w:cstheme="majorBidi"/>
          <w:noProof/>
        </w:rPr>
        <w:lastRenderedPageBreak/>
        <w:drawing>
          <wp:inline distT="0" distB="0" distL="0" distR="0" wp14:anchorId="1768BBB5" wp14:editId="27F5CD78">
            <wp:extent cx="5198425" cy="38731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1527" cy="3890402"/>
                    </a:xfrm>
                    <a:prstGeom prst="rect">
                      <a:avLst/>
                    </a:prstGeom>
                  </pic:spPr>
                </pic:pic>
              </a:graphicData>
            </a:graphic>
          </wp:inline>
        </w:drawing>
      </w:r>
    </w:p>
    <w:p w14:paraId="5CBA07DA" w14:textId="77777777" w:rsidR="006B7331" w:rsidRPr="00E77007" w:rsidRDefault="006B7331" w:rsidP="006B7331">
      <w:pPr>
        <w:keepNext/>
        <w:spacing w:line="360" w:lineRule="auto"/>
        <w:rPr>
          <w:rFonts w:asciiTheme="majorBidi" w:hAnsiTheme="majorBidi" w:cstheme="majorBidi"/>
        </w:rPr>
      </w:pPr>
      <w:r w:rsidRPr="00E77007">
        <w:rPr>
          <w:rFonts w:asciiTheme="majorBidi" w:hAnsiTheme="majorBidi" w:cstheme="majorBidi"/>
        </w:rPr>
        <w:t>** Changes between mobility and immobility in patients treated with levodopa</w:t>
      </w:r>
    </w:p>
    <w:p w14:paraId="67CC0B76" w14:textId="064EC8B4" w:rsidR="006B7331" w:rsidRPr="004863C3" w:rsidRDefault="006B7331" w:rsidP="006B7331">
      <w:pPr>
        <w:spacing w:line="360" w:lineRule="auto"/>
        <w:rPr>
          <w:rFonts w:asciiTheme="majorBidi" w:hAnsiTheme="majorBidi" w:cstheme="majorBidi"/>
          <w:rtl/>
        </w:rPr>
      </w:pPr>
      <w:r w:rsidRPr="00E77007">
        <w:rPr>
          <w:rFonts w:asciiTheme="majorBidi" w:hAnsiTheme="majorBidi" w:cstheme="majorBidi"/>
          <w:b/>
          <w:bCs/>
        </w:rPr>
        <w:t xml:space="preserve">Figure </w:t>
      </w:r>
      <w:r w:rsidR="000218DC">
        <w:rPr>
          <w:rFonts w:asciiTheme="majorBidi" w:hAnsiTheme="majorBidi" w:cstheme="majorBidi" w:hint="cs"/>
          <w:b/>
          <w:bCs/>
          <w:rtl/>
        </w:rPr>
        <w:t>4</w:t>
      </w:r>
      <w:r w:rsidRPr="00E77007">
        <w:rPr>
          <w:rFonts w:asciiTheme="majorBidi" w:hAnsiTheme="majorBidi" w:cstheme="majorBidi"/>
          <w:b/>
          <w:bCs/>
        </w:rPr>
        <w:t>.</w:t>
      </w:r>
      <w:r w:rsidRPr="00E77007">
        <w:rPr>
          <w:rFonts w:asciiTheme="majorBidi" w:hAnsiTheme="majorBidi" w:cstheme="majorBidi"/>
        </w:rPr>
        <w:t xml:space="preserve"> The key difficulties of people living with PD, as identified by family members of individuals with PD; We divided the difficulties into five main categories; The order in which they are listed corresponds to the number of times items from each category were brought up.</w:t>
      </w:r>
    </w:p>
    <w:p w14:paraId="19E0A2D5" w14:textId="77777777" w:rsidR="006B7331" w:rsidRPr="00E77007" w:rsidRDefault="006B7331" w:rsidP="006B7331">
      <w:pPr>
        <w:spacing w:line="360" w:lineRule="auto"/>
        <w:rPr>
          <w:rFonts w:asciiTheme="majorBidi" w:hAnsiTheme="majorBidi" w:cstheme="majorBidi"/>
          <w:b/>
          <w:bCs/>
          <w:rtl/>
        </w:rPr>
      </w:pPr>
      <w:r w:rsidRPr="00E77007">
        <w:rPr>
          <w:rFonts w:asciiTheme="majorBidi" w:hAnsiTheme="majorBidi" w:cstheme="majorBidi"/>
          <w:b/>
          <w:bCs/>
        </w:rPr>
        <w:t>3.2.2 Ideas for assistive technologies</w:t>
      </w:r>
    </w:p>
    <w:p w14:paraId="59D38D9C" w14:textId="1929CA38" w:rsidR="006B7331" w:rsidRPr="00E77007"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E77007">
        <w:rPr>
          <w:rFonts w:asciiTheme="majorBidi" w:hAnsiTheme="majorBidi" w:cstheme="majorBidi"/>
        </w:rPr>
        <w:t>Family members' responses to the question “</w:t>
      </w:r>
      <w:r w:rsidRPr="004863C3">
        <w:rPr>
          <w:rFonts w:asciiTheme="majorBidi" w:hAnsiTheme="majorBidi" w:cstheme="majorBidi"/>
        </w:rPr>
        <w:t>How can technology aid with those limitations or other limitations you have not mentioned?</w:t>
      </w:r>
      <w:r w:rsidRPr="00E77007">
        <w:rPr>
          <w:rFonts w:asciiTheme="majorBidi" w:hAnsiTheme="majorBidi" w:cstheme="majorBidi"/>
        </w:rPr>
        <w:t>” fell into one of five categories</w:t>
      </w:r>
      <w:r w:rsidRPr="00E77007" w:rsidDel="00BA35C8">
        <w:rPr>
          <w:rFonts w:asciiTheme="majorBidi" w:hAnsiTheme="majorBidi" w:cstheme="majorBidi"/>
          <w:b/>
          <w:bCs/>
          <w:noProof/>
          <w:rtl/>
          <w:lang w:val="he-IL"/>
        </w:rPr>
        <w:t xml:space="preserve"> </w:t>
      </w:r>
      <w:r w:rsidRPr="004863C3">
        <w:rPr>
          <w:rFonts w:asciiTheme="majorBidi" w:hAnsiTheme="majorBidi" w:cstheme="majorBidi"/>
          <w:color w:val="0E101A"/>
        </w:rPr>
        <w:t>(</w:t>
      </w:r>
      <w:r w:rsidR="00916954">
        <w:rPr>
          <w:rFonts w:asciiTheme="majorBidi" w:hAnsiTheme="majorBidi" w:cstheme="majorBidi"/>
          <w:color w:val="0E101A"/>
        </w:rPr>
        <w:t xml:space="preserve">see </w:t>
      </w:r>
      <w:r w:rsidR="008509EB">
        <w:rPr>
          <w:rFonts w:asciiTheme="majorBidi" w:hAnsiTheme="majorBidi" w:cstheme="majorBidi"/>
          <w:color w:val="0E101A"/>
        </w:rPr>
        <w:t>F</w:t>
      </w:r>
      <w:r w:rsidRPr="004863C3">
        <w:rPr>
          <w:rFonts w:asciiTheme="majorBidi" w:hAnsiTheme="majorBidi" w:cstheme="majorBidi"/>
          <w:color w:val="0E101A"/>
        </w:rPr>
        <w:t xml:space="preserve">igure </w:t>
      </w:r>
      <w:r w:rsidR="00916954">
        <w:rPr>
          <w:rFonts w:asciiTheme="majorBidi" w:hAnsiTheme="majorBidi" w:cstheme="majorBidi"/>
          <w:color w:val="0E101A"/>
        </w:rPr>
        <w:t>5</w:t>
      </w:r>
      <w:r w:rsidRPr="004863C3">
        <w:rPr>
          <w:rFonts w:asciiTheme="majorBidi" w:hAnsiTheme="majorBidi" w:cstheme="majorBidi"/>
          <w:color w:val="0E101A"/>
        </w:rPr>
        <w:t xml:space="preserve">): mobility (N=12), reminders and organizers (N=10), others (N=10), help with ADL </w:t>
      </w:r>
      <w:r w:rsidRPr="00E77007">
        <w:rPr>
          <w:rFonts w:asciiTheme="majorBidi" w:hAnsiTheme="majorBidi" w:cstheme="majorBidi"/>
          <w:color w:val="0E101A"/>
        </w:rPr>
        <w:t>(N=5) and fine motor skills (N=1).</w:t>
      </w:r>
    </w:p>
    <w:p w14:paraId="23EC7769" w14:textId="77777777" w:rsidR="006B7331" w:rsidRPr="00E77007"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41ADB389" w14:textId="4064E8D8"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tl/>
        </w:rPr>
      </w:pPr>
      <w:r w:rsidRPr="00E77007">
        <w:rPr>
          <w:rFonts w:asciiTheme="majorBidi" w:hAnsiTheme="majorBidi" w:cstheme="majorBidi"/>
        </w:rPr>
        <w:t>The specific</w:t>
      </w:r>
      <w:r w:rsidRPr="004863C3">
        <w:rPr>
          <w:rFonts w:asciiTheme="majorBidi" w:hAnsiTheme="majorBidi" w:cstheme="majorBidi"/>
          <w:rtl/>
        </w:rPr>
        <w:t xml:space="preserve"> </w:t>
      </w:r>
      <w:r w:rsidRPr="00E77007">
        <w:rPr>
          <w:rFonts w:asciiTheme="majorBidi" w:hAnsiTheme="majorBidi" w:cstheme="majorBidi"/>
        </w:rPr>
        <w:t xml:space="preserve">ideas that came up within each category are listed in </w:t>
      </w:r>
      <w:r w:rsidR="008509EB">
        <w:rPr>
          <w:rFonts w:asciiTheme="majorBidi" w:hAnsiTheme="majorBidi" w:cstheme="majorBidi"/>
        </w:rPr>
        <w:t>F</w:t>
      </w:r>
      <w:r w:rsidRPr="00E77007">
        <w:rPr>
          <w:rFonts w:asciiTheme="majorBidi" w:hAnsiTheme="majorBidi" w:cstheme="majorBidi"/>
        </w:rPr>
        <w:t xml:space="preserve">igure </w:t>
      </w:r>
      <w:r w:rsidR="00916954">
        <w:rPr>
          <w:rFonts w:asciiTheme="majorBidi" w:hAnsiTheme="majorBidi" w:cstheme="majorBidi"/>
        </w:rPr>
        <w:t>5</w:t>
      </w:r>
      <w:r w:rsidRPr="004863C3">
        <w:rPr>
          <w:rFonts w:asciiTheme="majorBidi" w:hAnsiTheme="majorBidi" w:cstheme="majorBidi"/>
          <w:color w:val="0E101A"/>
        </w:rPr>
        <w:t xml:space="preserve">. </w:t>
      </w:r>
      <w:r w:rsidRPr="004863C3">
        <w:rPr>
          <w:rFonts w:asciiTheme="majorBidi" w:hAnsiTheme="majorBidi" w:cstheme="majorBidi"/>
          <w:color w:val="0E101A"/>
        </w:rPr>
        <w:br/>
        <w:t xml:space="preserve">Within the </w:t>
      </w:r>
      <w:r w:rsidRPr="004863C3">
        <w:rPr>
          <w:rFonts w:asciiTheme="majorBidi" w:hAnsiTheme="majorBidi" w:cstheme="majorBidi"/>
          <w:i/>
          <w:iCs/>
          <w:color w:val="0E101A"/>
        </w:rPr>
        <w:t>mobility</w:t>
      </w:r>
      <w:r w:rsidRPr="004863C3">
        <w:rPr>
          <w:rFonts w:asciiTheme="majorBidi" w:hAnsiTheme="majorBidi" w:cstheme="majorBidi"/>
          <w:color w:val="0E101A"/>
        </w:rPr>
        <w:t xml:space="preserve"> category, the most frequently mentioned ideas centered on assistance with bed mobility (n=4</w:t>
      </w:r>
      <w:proofErr w:type="gramStart"/>
      <w:r w:rsidRPr="004863C3">
        <w:rPr>
          <w:rFonts w:asciiTheme="majorBidi" w:hAnsiTheme="majorBidi" w:cstheme="majorBidi"/>
          <w:color w:val="0E101A"/>
        </w:rPr>
        <w:t>), and</w:t>
      </w:r>
      <w:proofErr w:type="gramEnd"/>
      <w:r w:rsidRPr="004863C3">
        <w:rPr>
          <w:rFonts w:asciiTheme="majorBidi" w:hAnsiTheme="majorBidi" w:cstheme="majorBidi"/>
          <w:color w:val="0E101A"/>
        </w:rPr>
        <w:t xml:space="preserve"> help to reach distant objects (n=3).</w:t>
      </w:r>
      <w:r w:rsidRPr="004863C3">
        <w:rPr>
          <w:rFonts w:asciiTheme="majorBidi" w:hAnsiTheme="majorBidi" w:cstheme="majorBidi"/>
          <w:color w:val="0E101A"/>
          <w:rtl/>
        </w:rPr>
        <w:t xml:space="preserve"> </w:t>
      </w:r>
    </w:p>
    <w:p w14:paraId="3FCD780B" w14:textId="77777777" w:rsidR="006B7331" w:rsidRPr="004863C3" w:rsidRDefault="006B7331" w:rsidP="006B7331">
      <w:pPr>
        <w:pStyle w:val="NormalWeb"/>
        <w:spacing w:before="0" w:beforeAutospacing="0" w:after="0" w:afterAutospacing="0" w:line="360" w:lineRule="auto"/>
        <w:jc w:val="both"/>
        <w:rPr>
          <w:rStyle w:val="Emphasis"/>
          <w:rFonts w:asciiTheme="majorBidi" w:hAnsiTheme="majorBidi" w:cstheme="majorBidi"/>
          <w:i w:val="0"/>
          <w:iCs w:val="0"/>
          <w:color w:val="0E101A"/>
        </w:rPr>
      </w:pPr>
      <w:r w:rsidRPr="004863C3">
        <w:rPr>
          <w:rStyle w:val="Emphasis"/>
          <w:rFonts w:asciiTheme="majorBidi" w:hAnsiTheme="majorBidi" w:cstheme="majorBidi"/>
          <w:color w:val="0E101A"/>
        </w:rPr>
        <w:t xml:space="preserve">“I think something that would be very helpful, would be a robot that would help him </w:t>
      </w:r>
      <w:commentRangeStart w:id="13"/>
      <w:commentRangeStart w:id="14"/>
      <w:commentRangeStart w:id="15"/>
      <w:r w:rsidRPr="004863C3">
        <w:rPr>
          <w:rStyle w:val="Emphasis"/>
          <w:rFonts w:asciiTheme="majorBidi" w:hAnsiTheme="majorBidi" w:cstheme="majorBidi"/>
          <w:color w:val="0E101A"/>
        </w:rPr>
        <w:t>get in and out of bed</w:t>
      </w:r>
      <w:commentRangeEnd w:id="13"/>
      <w:r w:rsidRPr="004863C3">
        <w:rPr>
          <w:rStyle w:val="CommentReference"/>
          <w:rFonts w:asciiTheme="majorBidi" w:eastAsiaTheme="minorHAnsi" w:hAnsiTheme="majorBidi" w:cstheme="majorBidi"/>
        </w:rPr>
        <w:commentReference w:id="13"/>
      </w:r>
      <w:commentRangeEnd w:id="14"/>
      <w:r w:rsidRPr="004863C3">
        <w:rPr>
          <w:rStyle w:val="CommentReference"/>
          <w:rFonts w:asciiTheme="majorBidi" w:eastAsiaTheme="minorHAnsi" w:hAnsiTheme="majorBidi" w:cstheme="majorBidi"/>
        </w:rPr>
        <w:commentReference w:id="14"/>
      </w:r>
      <w:commentRangeEnd w:id="15"/>
      <w:r>
        <w:rPr>
          <w:rStyle w:val="CommentReference"/>
        </w:rPr>
        <w:commentReference w:id="15"/>
      </w:r>
      <w:r w:rsidRPr="004863C3">
        <w:rPr>
          <w:rStyle w:val="Emphasis"/>
          <w:rFonts w:asciiTheme="majorBidi" w:hAnsiTheme="majorBidi" w:cstheme="majorBidi"/>
          <w:color w:val="0E101A"/>
        </w:rPr>
        <w:t xml:space="preserve">, sit down or stand up ... That is </w:t>
      </w:r>
      <w:proofErr w:type="gramStart"/>
      <w:r w:rsidRPr="004863C3">
        <w:rPr>
          <w:rStyle w:val="Emphasis"/>
          <w:rFonts w:asciiTheme="majorBidi" w:hAnsiTheme="majorBidi" w:cstheme="majorBidi"/>
          <w:color w:val="0E101A"/>
        </w:rPr>
        <w:t>really hard</w:t>
      </w:r>
      <w:proofErr w:type="gramEnd"/>
      <w:r w:rsidRPr="004863C3">
        <w:rPr>
          <w:rStyle w:val="Emphasis"/>
          <w:rFonts w:asciiTheme="majorBidi" w:hAnsiTheme="majorBidi" w:cstheme="majorBidi"/>
          <w:color w:val="0E101A"/>
        </w:rPr>
        <w:t xml:space="preserve"> for us, even for the [paid] caregiver who tries to help him stand” (SF1-3)</w:t>
      </w:r>
    </w:p>
    <w:p w14:paraId="48831FB4"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696410D5"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3EE6B06B" w14:textId="77777777" w:rsidR="006B7331" w:rsidRPr="004863C3" w:rsidRDefault="006B7331" w:rsidP="006B7331">
      <w:pPr>
        <w:spacing w:after="0" w:line="360" w:lineRule="auto"/>
        <w:rPr>
          <w:rFonts w:asciiTheme="majorBidi" w:hAnsiTheme="majorBidi" w:cstheme="majorBidi"/>
          <w:color w:val="0E101A"/>
        </w:rPr>
      </w:pPr>
      <w:r w:rsidRPr="004863C3">
        <w:rPr>
          <w:rFonts w:asciiTheme="majorBidi" w:hAnsiTheme="majorBidi" w:cstheme="majorBidi"/>
          <w:color w:val="0E101A"/>
        </w:rPr>
        <w:t>Within the</w:t>
      </w:r>
      <w:r w:rsidRPr="004863C3" w:rsidDel="007854AE">
        <w:rPr>
          <w:rFonts w:asciiTheme="majorBidi" w:hAnsiTheme="majorBidi" w:cstheme="majorBidi"/>
          <w:color w:val="0E101A"/>
        </w:rPr>
        <w:t xml:space="preserve"> </w:t>
      </w:r>
      <w:r w:rsidRPr="004863C3">
        <w:rPr>
          <w:rFonts w:asciiTheme="majorBidi" w:hAnsiTheme="majorBidi" w:cstheme="majorBidi"/>
          <w:i/>
          <w:iCs/>
          <w:color w:val="0E101A"/>
        </w:rPr>
        <w:t>reminders and organizers</w:t>
      </w:r>
      <w:r w:rsidRPr="004863C3">
        <w:rPr>
          <w:rFonts w:asciiTheme="majorBidi" w:hAnsiTheme="majorBidi" w:cstheme="majorBidi"/>
          <w:color w:val="0E101A"/>
        </w:rPr>
        <w:t xml:space="preserve"> category, ideas that were mentioned several times focused on technology to help with medication management and reminders (n=5), help finding objects and prompts for where things are, such as one’s keys (n=3), and technology that will collect medical data and transmits them to doctors (n=2).</w:t>
      </w:r>
    </w:p>
    <w:p w14:paraId="330AC812" w14:textId="77777777" w:rsidR="006B7331" w:rsidRPr="004863C3" w:rsidRDefault="006B7331" w:rsidP="006B7331">
      <w:pPr>
        <w:spacing w:after="0" w:line="360" w:lineRule="auto"/>
        <w:rPr>
          <w:rFonts w:asciiTheme="majorBidi" w:hAnsiTheme="majorBidi" w:cstheme="majorBidi"/>
          <w:color w:val="0E101A"/>
        </w:rPr>
      </w:pPr>
      <w:r w:rsidRPr="004863C3">
        <w:rPr>
          <w:rFonts w:asciiTheme="majorBidi" w:hAnsiTheme="majorBidi" w:cstheme="majorBidi"/>
          <w:i/>
          <w:iCs/>
          <w:color w:val="0E101A"/>
        </w:rPr>
        <w:t xml:space="preserve">“When everything started, I opened an Excel sheet and wrote … [symptoms] with [specific] dates. I said we need to collect data… Now the Doctor </w:t>
      </w:r>
      <w:proofErr w:type="gramStart"/>
      <w:r w:rsidRPr="004863C3">
        <w:rPr>
          <w:rFonts w:asciiTheme="majorBidi" w:hAnsiTheme="majorBidi" w:cstheme="majorBidi"/>
          <w:i/>
          <w:iCs/>
          <w:color w:val="0E101A"/>
        </w:rPr>
        <w:t>says</w:t>
      </w:r>
      <w:proofErr w:type="gramEnd"/>
      <w:r w:rsidRPr="004863C3">
        <w:rPr>
          <w:rFonts w:asciiTheme="majorBidi" w:hAnsiTheme="majorBidi" w:cstheme="majorBidi"/>
          <w:i/>
          <w:iCs/>
          <w:color w:val="0E101A"/>
        </w:rPr>
        <w:t xml:space="preserve"> ‘do this’ [e.g., walk in a straight line] and says ‘nothing changed from the last time [I saw you]’. Can… [the doctor] really remember what … [the patient] did four months ago?" (SF1-8) </w:t>
      </w:r>
    </w:p>
    <w:p w14:paraId="3FAA3427"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7F9F9F4B"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4863C3">
        <w:rPr>
          <w:rFonts w:asciiTheme="majorBidi" w:hAnsiTheme="majorBidi" w:cstheme="majorBidi"/>
          <w:color w:val="0E101A"/>
        </w:rPr>
        <w:t xml:space="preserve">Regarding the </w:t>
      </w:r>
      <w:r w:rsidRPr="004863C3">
        <w:rPr>
          <w:rFonts w:asciiTheme="majorBidi" w:hAnsiTheme="majorBidi" w:cstheme="majorBidi"/>
          <w:i/>
          <w:iCs/>
          <w:color w:val="0E101A"/>
        </w:rPr>
        <w:t>others</w:t>
      </w:r>
      <w:r w:rsidRPr="004863C3">
        <w:rPr>
          <w:rFonts w:asciiTheme="majorBidi" w:hAnsiTheme="majorBidi" w:cstheme="majorBidi"/>
          <w:color w:val="0E101A"/>
        </w:rPr>
        <w:t xml:space="preserve"> category, ideas that were mentioned most often were a technology that could help with speech practice (n=3), a technology that would decrease the pain</w:t>
      </w:r>
      <w:r>
        <w:rPr>
          <w:rFonts w:asciiTheme="majorBidi" w:hAnsiTheme="majorBidi" w:cstheme="majorBidi"/>
          <w:color w:val="0E101A"/>
        </w:rPr>
        <w:t xml:space="preserve"> </w:t>
      </w:r>
      <w:r w:rsidRPr="004863C3">
        <w:rPr>
          <w:rFonts w:asciiTheme="majorBidi" w:hAnsiTheme="majorBidi" w:cstheme="majorBidi"/>
          <w:color w:val="0E101A"/>
        </w:rPr>
        <w:t>that individuals with PD experience (n=2) and an adaptable pacemaker for DBS (n=2).</w:t>
      </w:r>
    </w:p>
    <w:p w14:paraId="29AF0C5D" w14:textId="77777777" w:rsidR="006B7331" w:rsidRDefault="006B7331" w:rsidP="006B7331">
      <w:pPr>
        <w:pStyle w:val="NormalWeb"/>
        <w:spacing w:before="0" w:beforeAutospacing="0" w:after="0" w:afterAutospacing="0" w:line="360" w:lineRule="auto"/>
        <w:jc w:val="both"/>
        <w:rPr>
          <w:rFonts w:asciiTheme="majorBidi" w:hAnsiTheme="majorBidi" w:cstheme="majorBidi"/>
          <w:i/>
          <w:iCs/>
          <w:color w:val="0E101A"/>
        </w:rPr>
      </w:pPr>
      <w:r w:rsidRPr="004863C3">
        <w:rPr>
          <w:rFonts w:asciiTheme="majorBidi" w:hAnsiTheme="majorBidi" w:cstheme="majorBidi"/>
          <w:i/>
          <w:iCs/>
          <w:color w:val="0E101A"/>
        </w:rPr>
        <w:t>"Of course, if there was something like a sock that will relieve my wife's pain in her foot, that would be very helpful and would resolve a big part of the problem that she is experiencing" (OF1-4).</w:t>
      </w:r>
    </w:p>
    <w:p w14:paraId="3B7A1909" w14:textId="77777777" w:rsidR="006B7331" w:rsidRPr="00257783" w:rsidRDefault="006B7331" w:rsidP="006B7331">
      <w:pPr>
        <w:spacing w:after="0" w:line="360" w:lineRule="auto"/>
        <w:rPr>
          <w:rFonts w:asciiTheme="majorBidi" w:hAnsiTheme="majorBidi" w:cstheme="majorBidi"/>
          <w:i/>
          <w:iCs/>
          <w:color w:val="0E101A"/>
        </w:rPr>
      </w:pPr>
      <w:commentRangeStart w:id="16"/>
      <w:commentRangeStart w:id="17"/>
      <w:commentRangeStart w:id="18"/>
      <w:commentRangeStart w:id="19"/>
      <w:commentRangeStart w:id="20"/>
      <w:commentRangeStart w:id="21"/>
      <w:commentRangeStart w:id="22"/>
      <w:r w:rsidRPr="00C6623B">
        <w:rPr>
          <w:rFonts w:asciiTheme="majorBidi" w:hAnsiTheme="majorBidi" w:cstheme="majorBidi"/>
          <w:i/>
          <w:iCs/>
          <w:color w:val="0E101A"/>
        </w:rPr>
        <w:t>"We need something that will help [my spouse] go out of the ‘off’ state, something related to music with some sort of lights as cues, or voice instructions that would spur him out [of the ‘off’ state]” (OF2-5)</w:t>
      </w:r>
      <w:commentRangeEnd w:id="16"/>
      <w:r w:rsidRPr="00257783">
        <w:rPr>
          <w:rStyle w:val="CommentReference"/>
          <w:rFonts w:asciiTheme="majorBidi" w:hAnsiTheme="majorBidi" w:cstheme="majorBidi"/>
        </w:rPr>
        <w:commentReference w:id="16"/>
      </w:r>
      <w:commentRangeEnd w:id="17"/>
      <w:r>
        <w:rPr>
          <w:rStyle w:val="CommentReference"/>
        </w:rPr>
        <w:commentReference w:id="17"/>
      </w:r>
      <w:commentRangeEnd w:id="18"/>
      <w:r>
        <w:rPr>
          <w:rStyle w:val="CommentReference"/>
        </w:rPr>
        <w:commentReference w:id="18"/>
      </w:r>
      <w:commentRangeEnd w:id="19"/>
      <w:r>
        <w:rPr>
          <w:rStyle w:val="CommentReference"/>
        </w:rPr>
        <w:commentReference w:id="19"/>
      </w:r>
      <w:commentRangeEnd w:id="20"/>
      <w:r>
        <w:rPr>
          <w:rStyle w:val="CommentReference"/>
        </w:rPr>
        <w:commentReference w:id="20"/>
      </w:r>
      <w:commentRangeEnd w:id="21"/>
      <w:r>
        <w:rPr>
          <w:rStyle w:val="CommentReference"/>
          <w:rtl/>
        </w:rPr>
        <w:commentReference w:id="21"/>
      </w:r>
      <w:commentRangeEnd w:id="22"/>
      <w:r w:rsidR="008509EB">
        <w:rPr>
          <w:rStyle w:val="CommentReference"/>
        </w:rPr>
        <w:commentReference w:id="22"/>
      </w:r>
    </w:p>
    <w:p w14:paraId="561F5286"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i/>
          <w:iCs/>
          <w:color w:val="0E101A"/>
        </w:rPr>
      </w:pPr>
    </w:p>
    <w:p w14:paraId="0AADB9DF"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i/>
          <w:iCs/>
          <w:color w:val="0E101A"/>
        </w:rPr>
      </w:pPr>
    </w:p>
    <w:p w14:paraId="45C055A9"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i/>
          <w:iCs/>
          <w:color w:val="0E101A"/>
        </w:rPr>
      </w:pPr>
      <w:r w:rsidRPr="004863C3">
        <w:rPr>
          <w:rFonts w:asciiTheme="majorBidi" w:hAnsiTheme="majorBidi" w:cstheme="majorBidi"/>
          <w:color w:val="0E101A"/>
        </w:rPr>
        <w:t>Regarding</w:t>
      </w:r>
      <w:r w:rsidRPr="004863C3">
        <w:rPr>
          <w:rFonts w:asciiTheme="majorBidi" w:hAnsiTheme="majorBidi" w:cstheme="majorBidi"/>
          <w:i/>
          <w:iCs/>
          <w:color w:val="0E101A"/>
        </w:rPr>
        <w:t xml:space="preserve"> the help with ADL category,</w:t>
      </w:r>
      <w:r w:rsidRPr="004863C3">
        <w:rPr>
          <w:rFonts w:asciiTheme="majorBidi" w:hAnsiTheme="majorBidi" w:cstheme="majorBidi"/>
          <w:color w:val="0E101A"/>
        </w:rPr>
        <w:t xml:space="preserve"> ideas that came up were regarding help with dressing (n=2), help serving food and liquids (n=1</w:t>
      </w:r>
      <w:proofErr w:type="gramStart"/>
      <w:r w:rsidRPr="004863C3">
        <w:rPr>
          <w:rFonts w:asciiTheme="majorBidi" w:hAnsiTheme="majorBidi" w:cstheme="majorBidi"/>
          <w:color w:val="0E101A"/>
        </w:rPr>
        <w:t>), and</w:t>
      </w:r>
      <w:proofErr w:type="gramEnd"/>
      <w:r w:rsidRPr="004863C3">
        <w:rPr>
          <w:rFonts w:asciiTheme="majorBidi" w:hAnsiTheme="majorBidi" w:cstheme="majorBidi"/>
          <w:color w:val="0E101A"/>
        </w:rPr>
        <w:t xml:space="preserve"> help with bathing (n=1). </w:t>
      </w:r>
      <w:r w:rsidRPr="004863C3">
        <w:rPr>
          <w:rFonts w:asciiTheme="majorBidi" w:hAnsiTheme="majorBidi" w:cstheme="majorBidi"/>
          <w:i/>
          <w:iCs/>
          <w:color w:val="0E101A"/>
        </w:rPr>
        <w:t xml:space="preserve"> </w:t>
      </w:r>
    </w:p>
    <w:p w14:paraId="7EA31054"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50B661D9"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4863C3">
        <w:rPr>
          <w:rFonts w:asciiTheme="majorBidi" w:hAnsiTheme="majorBidi" w:cstheme="majorBidi"/>
          <w:color w:val="0E101A"/>
        </w:rPr>
        <w:t xml:space="preserve">Within the </w:t>
      </w:r>
      <w:r w:rsidRPr="004863C3">
        <w:rPr>
          <w:rFonts w:asciiTheme="majorBidi" w:hAnsiTheme="majorBidi" w:cstheme="majorBidi"/>
          <w:i/>
          <w:iCs/>
          <w:color w:val="0E101A"/>
        </w:rPr>
        <w:t>help with fine motor skills</w:t>
      </w:r>
      <w:r w:rsidRPr="004863C3">
        <w:rPr>
          <w:rFonts w:asciiTheme="majorBidi" w:hAnsiTheme="majorBidi" w:cstheme="majorBidi"/>
          <w:color w:val="0E101A"/>
        </w:rPr>
        <w:t xml:space="preserve"> category, there was only one mention of assistance with holding objects, to overcome hand weakness and tremor. </w:t>
      </w:r>
    </w:p>
    <w:p w14:paraId="7FD49B11"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1A4DE832" w14:textId="77777777" w:rsidR="006B7331" w:rsidRDefault="006B7331" w:rsidP="006B7331">
      <w:pPr>
        <w:rPr>
          <w:noProof/>
        </w:rPr>
      </w:pPr>
      <w:r w:rsidRPr="000B73D1">
        <w:rPr>
          <w:noProof/>
        </w:rPr>
        <w:lastRenderedPageBreak/>
        <w:drawing>
          <wp:inline distT="0" distB="0" distL="0" distR="0" wp14:anchorId="1BD84FB6" wp14:editId="5476A7CC">
            <wp:extent cx="5349527" cy="4036741"/>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3479" cy="4054815"/>
                    </a:xfrm>
                    <a:prstGeom prst="rect">
                      <a:avLst/>
                    </a:prstGeom>
                  </pic:spPr>
                </pic:pic>
              </a:graphicData>
            </a:graphic>
          </wp:inline>
        </w:drawing>
      </w:r>
    </w:p>
    <w:p w14:paraId="39D173F2" w14:textId="77777777" w:rsidR="006B7331" w:rsidRPr="004863C3" w:rsidRDefault="006B7331" w:rsidP="006B7331">
      <w:pPr>
        <w:rPr>
          <w:rFonts w:asciiTheme="majorBidi" w:hAnsiTheme="majorBidi" w:cstheme="majorBidi"/>
        </w:rPr>
      </w:pPr>
      <w:r>
        <w:rPr>
          <w:rFonts w:asciiTheme="majorBidi" w:hAnsiTheme="majorBidi" w:cstheme="majorBidi"/>
        </w:rPr>
        <w:t>*</w:t>
      </w:r>
      <w:r w:rsidRPr="000B73D1">
        <w:rPr>
          <w:rFonts w:asciiTheme="majorBidi" w:hAnsiTheme="majorBidi" w:cstheme="majorBidi"/>
        </w:rPr>
        <w:t xml:space="preserve"> </w:t>
      </w:r>
      <w:r>
        <w:rPr>
          <w:rFonts w:asciiTheme="majorBidi" w:hAnsiTheme="majorBidi" w:cstheme="majorBidi"/>
        </w:rPr>
        <w:t>For example</w:t>
      </w:r>
      <w:r w:rsidRPr="00637214">
        <w:rPr>
          <w:rFonts w:asciiTheme="majorBidi" w:hAnsiTheme="majorBidi" w:cstheme="majorBidi"/>
        </w:rPr>
        <w:t>, changing one's position from sitting to standing or from lying to sitting</w:t>
      </w:r>
      <w:r>
        <w:rPr>
          <w:rFonts w:asciiTheme="majorBidi" w:hAnsiTheme="majorBidi" w:cstheme="majorBidi"/>
        </w:rPr>
        <w:t>.</w:t>
      </w:r>
    </w:p>
    <w:p w14:paraId="3359E414" w14:textId="480B2A1E" w:rsidR="006B7331" w:rsidRPr="004863C3" w:rsidRDefault="006B7331" w:rsidP="006B7331">
      <w:pPr>
        <w:pStyle w:val="NormalWeb"/>
        <w:spacing w:before="0" w:beforeAutospacing="0" w:after="0" w:afterAutospacing="0" w:line="360" w:lineRule="auto"/>
        <w:jc w:val="both"/>
        <w:rPr>
          <w:rFonts w:asciiTheme="majorBidi" w:hAnsiTheme="majorBidi" w:cstheme="majorBidi"/>
        </w:rPr>
      </w:pPr>
      <w:r w:rsidRPr="004863C3">
        <w:rPr>
          <w:rFonts w:asciiTheme="majorBidi" w:hAnsiTheme="majorBidi" w:cstheme="majorBidi"/>
          <w:b/>
          <w:bCs/>
        </w:rPr>
        <w:t xml:space="preserve">Figure </w:t>
      </w:r>
      <w:r w:rsidR="000218DC">
        <w:rPr>
          <w:rFonts w:asciiTheme="majorBidi" w:hAnsiTheme="majorBidi" w:cstheme="majorBidi" w:hint="cs"/>
          <w:b/>
          <w:bCs/>
          <w:rtl/>
        </w:rPr>
        <w:t>5</w:t>
      </w:r>
      <w:r w:rsidRPr="004863C3">
        <w:rPr>
          <w:rFonts w:asciiTheme="majorBidi" w:hAnsiTheme="majorBidi" w:cstheme="majorBidi"/>
          <w:b/>
          <w:bCs/>
        </w:rPr>
        <w:t>.</w:t>
      </w:r>
      <w:r w:rsidRPr="004863C3">
        <w:rPr>
          <w:rFonts w:asciiTheme="majorBidi" w:hAnsiTheme="majorBidi" w:cstheme="majorBidi"/>
        </w:rPr>
        <w:t xml:space="preserve"> </w:t>
      </w:r>
      <w:commentRangeStart w:id="23"/>
      <w:commentRangeStart w:id="24"/>
      <w:commentRangeStart w:id="25"/>
      <w:commentRangeStart w:id="26"/>
      <w:r w:rsidRPr="004863C3">
        <w:rPr>
          <w:rFonts w:asciiTheme="majorBidi" w:hAnsiTheme="majorBidi" w:cstheme="majorBidi"/>
        </w:rPr>
        <w:t xml:space="preserve">The ideas </w:t>
      </w:r>
      <w:commentRangeEnd w:id="23"/>
      <w:r>
        <w:rPr>
          <w:rStyle w:val="CommentReference"/>
        </w:rPr>
        <w:commentReference w:id="23"/>
      </w:r>
      <w:commentRangeEnd w:id="24"/>
      <w:r>
        <w:rPr>
          <w:rStyle w:val="CommentReference"/>
        </w:rPr>
        <w:commentReference w:id="24"/>
      </w:r>
      <w:commentRangeEnd w:id="25"/>
      <w:r>
        <w:rPr>
          <w:rStyle w:val="CommentReference"/>
        </w:rPr>
        <w:commentReference w:id="25"/>
      </w:r>
      <w:commentRangeEnd w:id="26"/>
      <w:r w:rsidR="00755431">
        <w:rPr>
          <w:rStyle w:val="CommentReference"/>
        </w:rPr>
        <w:commentReference w:id="26"/>
      </w:r>
      <w:r w:rsidRPr="004863C3">
        <w:rPr>
          <w:rFonts w:asciiTheme="majorBidi" w:hAnsiTheme="majorBidi" w:cstheme="majorBidi"/>
        </w:rPr>
        <w:t>for assistive technologies for individuals with PD, as identified by family members; We divided the ideas into five main categories; The order in which they are listed corresponds to the number of times items from each category were brought up.</w:t>
      </w:r>
    </w:p>
    <w:p w14:paraId="1A8FB2F4"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15D0EC65" w14:textId="77777777" w:rsidR="006B7331" w:rsidRPr="00E77007" w:rsidRDefault="006B7331" w:rsidP="006B7331">
      <w:pPr>
        <w:spacing w:line="360" w:lineRule="auto"/>
        <w:rPr>
          <w:rFonts w:asciiTheme="majorBidi" w:hAnsiTheme="majorBidi" w:cstheme="majorBidi"/>
          <w:b/>
          <w:bCs/>
        </w:rPr>
      </w:pPr>
      <w:r w:rsidRPr="00E77007">
        <w:rPr>
          <w:rFonts w:asciiTheme="majorBidi" w:hAnsiTheme="majorBidi" w:cstheme="majorBidi"/>
          <w:b/>
          <w:bCs/>
        </w:rPr>
        <w:t>3.2.3 SARs Perceived Advantages</w:t>
      </w:r>
    </w:p>
    <w:p w14:paraId="0B09A98C"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E77007">
        <w:rPr>
          <w:rFonts w:asciiTheme="majorBidi" w:hAnsiTheme="majorBidi" w:cstheme="majorBidi"/>
        </w:rPr>
        <w:t>Family members' responses to the question “</w:t>
      </w:r>
      <w:r w:rsidRPr="004863C3">
        <w:rPr>
          <w:rFonts w:asciiTheme="majorBidi" w:hAnsiTheme="majorBidi" w:cstheme="majorBidi"/>
        </w:rPr>
        <w:t>How do you think your family member can benefit from SARs?</w:t>
      </w:r>
      <w:r w:rsidRPr="00E77007">
        <w:rPr>
          <w:rFonts w:asciiTheme="majorBidi" w:hAnsiTheme="majorBidi" w:cstheme="majorBidi"/>
        </w:rPr>
        <w:t xml:space="preserve">” fell into one of </w:t>
      </w:r>
      <w:r w:rsidRPr="004863C3">
        <w:rPr>
          <w:rFonts w:asciiTheme="majorBidi" w:hAnsiTheme="majorBidi" w:cstheme="majorBidi"/>
          <w:color w:val="0E101A"/>
        </w:rPr>
        <w:t>two categories: social and cognitive assistance (N=7) and physical assistance (N=6).</w:t>
      </w:r>
    </w:p>
    <w:p w14:paraId="0CBA24F2"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tl/>
        </w:rPr>
      </w:pPr>
      <w:r w:rsidRPr="004863C3">
        <w:rPr>
          <w:rFonts w:asciiTheme="majorBidi" w:hAnsiTheme="majorBidi" w:cstheme="majorBidi"/>
          <w:color w:val="0E101A"/>
        </w:rPr>
        <w:t> </w:t>
      </w:r>
    </w:p>
    <w:p w14:paraId="5C281D85" w14:textId="77777777" w:rsidR="006B7331" w:rsidRPr="00E77007" w:rsidRDefault="006B7331" w:rsidP="006B7331">
      <w:pPr>
        <w:rPr>
          <w:rFonts w:asciiTheme="majorBidi" w:hAnsiTheme="majorBidi" w:cstheme="majorBidi"/>
        </w:rPr>
      </w:pPr>
      <w:r w:rsidRPr="00E77007">
        <w:rPr>
          <w:rFonts w:asciiTheme="majorBidi" w:hAnsiTheme="majorBidi" w:cstheme="majorBidi"/>
        </w:rPr>
        <w:t xml:space="preserve">Under the </w:t>
      </w:r>
      <w:r w:rsidRPr="00E77007">
        <w:rPr>
          <w:rFonts w:asciiTheme="majorBidi" w:hAnsiTheme="majorBidi" w:cstheme="majorBidi"/>
          <w:i/>
          <w:iCs/>
        </w:rPr>
        <w:t>social and cognitive assistance</w:t>
      </w:r>
      <w:r w:rsidRPr="00E77007">
        <w:rPr>
          <w:rFonts w:asciiTheme="majorBidi" w:hAnsiTheme="majorBidi" w:cstheme="majorBidi"/>
        </w:rPr>
        <w:t xml:space="preserve"> category, family members noted several perceived advantages, such as the SAR’s potential ability to: (1) train cognition in an enjoyable way (n=3); (2) assist in practicing meditation (n=2); (3) help the patient be less dependent on family members (n=1); (4) serve as a companion (n=1); and (5) serve as a point of attraction to </w:t>
      </w:r>
      <w:r w:rsidRPr="00E77007">
        <w:rPr>
          <w:rFonts w:asciiTheme="majorBidi" w:hAnsiTheme="majorBidi" w:cstheme="majorBidi"/>
        </w:rPr>
        <w:lastRenderedPageBreak/>
        <w:t>grandchildren (who will thus visit more frequently) (n=1). After watching the video with the robots, (SF1-2) said: "</w:t>
      </w:r>
      <w:r w:rsidRPr="00E77007">
        <w:rPr>
          <w:rFonts w:asciiTheme="majorBidi" w:hAnsiTheme="majorBidi" w:cstheme="majorBidi"/>
          <w:i/>
          <w:iCs/>
        </w:rPr>
        <w:t>That cognitive training could be very helpful. The Tic Tac Toe [game], and matching the cups</w:t>
      </w:r>
      <w:r w:rsidRPr="00E77007">
        <w:rPr>
          <w:rFonts w:asciiTheme="majorBidi" w:hAnsiTheme="majorBidi" w:cstheme="majorBidi"/>
        </w:rPr>
        <w:t xml:space="preserve">" </w:t>
      </w:r>
      <w:r>
        <w:rPr>
          <w:rFonts w:asciiTheme="majorBidi" w:hAnsiTheme="majorBidi" w:cstheme="majorBidi"/>
        </w:rPr>
        <w:t>(</w:t>
      </w:r>
      <w:proofErr w:type="spellStart"/>
      <w:r w:rsidRPr="00E77007">
        <w:rPr>
          <w:rFonts w:asciiTheme="majorBidi" w:hAnsiTheme="majorBidi" w:cstheme="majorBidi"/>
        </w:rPr>
        <w:t>Eizicovits</w:t>
      </w:r>
      <w:proofErr w:type="spellEnd"/>
      <w:r w:rsidRPr="00E77007">
        <w:rPr>
          <w:rFonts w:asciiTheme="majorBidi" w:hAnsiTheme="majorBidi" w:cstheme="majorBidi"/>
        </w:rPr>
        <w:t xml:space="preserve"> et al, 2018</w:t>
      </w:r>
      <w:r>
        <w:rPr>
          <w:rFonts w:asciiTheme="majorBidi" w:hAnsiTheme="majorBidi" w:cstheme="majorBidi"/>
        </w:rPr>
        <w:t xml:space="preserve">; </w:t>
      </w:r>
      <w:r w:rsidRPr="00E77007">
        <w:rPr>
          <w:rFonts w:asciiTheme="majorBidi" w:hAnsiTheme="majorBidi" w:cstheme="majorBidi"/>
          <w:color w:val="000000"/>
        </w:rPr>
        <w:t>Feingold-</w:t>
      </w:r>
      <w:proofErr w:type="spellStart"/>
      <w:r w:rsidRPr="00E77007">
        <w:rPr>
          <w:rFonts w:asciiTheme="majorBidi" w:hAnsiTheme="majorBidi" w:cstheme="majorBidi"/>
          <w:color w:val="000000"/>
        </w:rPr>
        <w:t>Polak</w:t>
      </w:r>
      <w:proofErr w:type="spellEnd"/>
      <w:r w:rsidRPr="00E77007">
        <w:rPr>
          <w:rFonts w:asciiTheme="majorBidi" w:hAnsiTheme="majorBidi" w:cstheme="majorBidi"/>
          <w:color w:val="000000"/>
        </w:rPr>
        <w:t>, 2021</w:t>
      </w:r>
      <w:r w:rsidRPr="00E77007">
        <w:rPr>
          <w:rFonts w:asciiTheme="majorBidi" w:hAnsiTheme="majorBidi" w:cstheme="majorBidi"/>
        </w:rPr>
        <w:t>).</w:t>
      </w:r>
    </w:p>
    <w:p w14:paraId="0A016DB5" w14:textId="77777777" w:rsidR="006B7331" w:rsidRPr="004863C3" w:rsidRDefault="006B7331" w:rsidP="006B7331">
      <w:pPr>
        <w:pStyle w:val="NormalWeb"/>
        <w:tabs>
          <w:tab w:val="left" w:pos="1543"/>
        </w:tabs>
        <w:spacing w:before="0" w:beforeAutospacing="0" w:after="0" w:afterAutospacing="0" w:line="360" w:lineRule="auto"/>
        <w:jc w:val="both"/>
        <w:rPr>
          <w:rFonts w:asciiTheme="majorBidi" w:hAnsiTheme="majorBidi" w:cstheme="majorBidi"/>
          <w:color w:val="0E101A"/>
        </w:rPr>
      </w:pPr>
      <w:r w:rsidRPr="004863C3">
        <w:rPr>
          <w:rFonts w:asciiTheme="majorBidi" w:hAnsiTheme="majorBidi" w:cstheme="majorBidi"/>
          <w:color w:val="0E101A"/>
        </w:rPr>
        <w:t> Under the</w:t>
      </w:r>
      <w:r w:rsidRPr="004863C3" w:rsidDel="00E27DDB">
        <w:rPr>
          <w:rFonts w:asciiTheme="majorBidi" w:hAnsiTheme="majorBidi" w:cstheme="majorBidi"/>
          <w:color w:val="0E101A"/>
        </w:rPr>
        <w:t xml:space="preserve"> </w:t>
      </w:r>
      <w:r w:rsidRPr="004863C3">
        <w:rPr>
          <w:rFonts w:asciiTheme="majorBidi" w:hAnsiTheme="majorBidi" w:cstheme="majorBidi"/>
          <w:i/>
          <w:iCs/>
          <w:color w:val="0E101A"/>
        </w:rPr>
        <w:t>physical</w:t>
      </w:r>
      <w:r w:rsidRPr="004863C3">
        <w:rPr>
          <w:rFonts w:asciiTheme="majorBidi" w:hAnsiTheme="majorBidi" w:cstheme="majorBidi"/>
          <w:color w:val="0E101A"/>
        </w:rPr>
        <w:t xml:space="preserve"> </w:t>
      </w:r>
      <w:r w:rsidRPr="004863C3">
        <w:rPr>
          <w:rFonts w:asciiTheme="majorBidi" w:hAnsiTheme="majorBidi" w:cstheme="majorBidi"/>
          <w:i/>
          <w:iCs/>
          <w:color w:val="0E101A"/>
        </w:rPr>
        <w:t>assistance</w:t>
      </w:r>
      <w:r w:rsidRPr="004863C3">
        <w:rPr>
          <w:rFonts w:asciiTheme="majorBidi" w:hAnsiTheme="majorBidi" w:cstheme="majorBidi"/>
          <w:color w:val="0E101A"/>
        </w:rPr>
        <w:t xml:space="preserve"> category, family members noted the SAR’s potential ability to coach exercises (n=5</w:t>
      </w:r>
      <w:r w:rsidRPr="004863C3">
        <w:rPr>
          <w:rStyle w:val="Emphasis"/>
          <w:rFonts w:asciiTheme="majorBidi" w:hAnsiTheme="majorBidi" w:cstheme="majorBidi"/>
          <w:color w:val="0E101A"/>
        </w:rPr>
        <w:t>), and to help with holding objects (n=1) as potential advantages.</w:t>
      </w:r>
    </w:p>
    <w:p w14:paraId="73DA6BED" w14:textId="77777777" w:rsidR="006B7331" w:rsidRPr="004863C3" w:rsidRDefault="006B7331" w:rsidP="006B7331">
      <w:pPr>
        <w:pStyle w:val="NormalWeb"/>
        <w:spacing w:before="0" w:beforeAutospacing="0" w:after="0" w:afterAutospacing="0" w:line="360" w:lineRule="auto"/>
        <w:jc w:val="both"/>
        <w:rPr>
          <w:rFonts w:asciiTheme="majorBidi" w:hAnsiTheme="majorBidi" w:cstheme="majorBidi"/>
          <w:color w:val="0E101A"/>
          <w:rtl/>
        </w:rPr>
      </w:pPr>
      <w:r w:rsidRPr="004863C3">
        <w:rPr>
          <w:rStyle w:val="Emphasis"/>
          <w:rFonts w:asciiTheme="majorBidi" w:hAnsiTheme="majorBidi" w:cstheme="majorBidi"/>
          <w:color w:val="0E101A"/>
        </w:rPr>
        <w:t> </w:t>
      </w:r>
    </w:p>
    <w:p w14:paraId="1D6B65A0" w14:textId="77777777" w:rsidR="006B7331" w:rsidRPr="00E77007" w:rsidRDefault="006B7331" w:rsidP="006B7331">
      <w:pPr>
        <w:spacing w:line="360" w:lineRule="auto"/>
        <w:rPr>
          <w:rFonts w:asciiTheme="majorBidi" w:hAnsiTheme="majorBidi" w:cstheme="majorBidi"/>
          <w:b/>
          <w:bCs/>
        </w:rPr>
      </w:pPr>
      <w:r w:rsidRPr="00E77007">
        <w:rPr>
          <w:rFonts w:asciiTheme="majorBidi" w:hAnsiTheme="majorBidi" w:cstheme="majorBidi"/>
          <w:b/>
          <w:bCs/>
        </w:rPr>
        <w:t xml:space="preserve">3.2.4 Suggestions regarding SAR design, </w:t>
      </w:r>
      <w:proofErr w:type="gramStart"/>
      <w:r w:rsidRPr="00E77007">
        <w:rPr>
          <w:rFonts w:asciiTheme="majorBidi" w:hAnsiTheme="majorBidi" w:cstheme="majorBidi"/>
          <w:b/>
          <w:bCs/>
        </w:rPr>
        <w:t>operation</w:t>
      </w:r>
      <w:proofErr w:type="gramEnd"/>
      <w:r w:rsidRPr="00E77007">
        <w:rPr>
          <w:rFonts w:asciiTheme="majorBidi" w:hAnsiTheme="majorBidi" w:cstheme="majorBidi"/>
          <w:b/>
          <w:bCs/>
        </w:rPr>
        <w:t xml:space="preserve"> and interactive functionality</w:t>
      </w:r>
      <w:r w:rsidRPr="00E77007" w:rsidDel="004C2C01">
        <w:rPr>
          <w:rFonts w:asciiTheme="majorBidi" w:hAnsiTheme="majorBidi" w:cstheme="majorBidi"/>
          <w:b/>
          <w:bCs/>
        </w:rPr>
        <w:t xml:space="preserve"> </w:t>
      </w:r>
    </w:p>
    <w:p w14:paraId="3C266EC9" w14:textId="62D05036" w:rsidR="006B7331" w:rsidRPr="004863C3" w:rsidRDefault="006B7331" w:rsidP="006B7331">
      <w:pPr>
        <w:spacing w:after="0" w:line="360" w:lineRule="auto"/>
        <w:rPr>
          <w:rFonts w:asciiTheme="majorBidi" w:hAnsiTheme="majorBidi" w:cstheme="majorBidi"/>
          <w:color w:val="0E101A"/>
        </w:rPr>
      </w:pPr>
      <w:r w:rsidRPr="004863C3">
        <w:rPr>
          <w:rFonts w:asciiTheme="majorBidi" w:hAnsiTheme="majorBidi" w:cstheme="majorBidi"/>
          <w:color w:val="0E101A"/>
        </w:rPr>
        <w:t>Family members suggested important features that technology for individuals with PD should include. We divided the suggestions into two categories</w:t>
      </w:r>
      <w:r w:rsidR="00916954">
        <w:rPr>
          <w:rFonts w:asciiTheme="majorBidi" w:hAnsiTheme="majorBidi" w:cstheme="majorBidi"/>
          <w:color w:val="0E101A"/>
        </w:rPr>
        <w:t>:</w:t>
      </w:r>
      <w:r w:rsidRPr="004863C3">
        <w:rPr>
          <w:rFonts w:asciiTheme="majorBidi" w:hAnsiTheme="majorBidi" w:cstheme="majorBidi"/>
          <w:color w:val="0E101A"/>
        </w:rPr>
        <w:t xml:space="preserve"> design and operation (N=8) and trust and interaction (N=3).</w:t>
      </w:r>
    </w:p>
    <w:p w14:paraId="2974EFAF" w14:textId="77777777" w:rsidR="006B7331" w:rsidRPr="00C6623B" w:rsidRDefault="006B7331" w:rsidP="006B7331">
      <w:pPr>
        <w:spacing w:after="0" w:line="360" w:lineRule="auto"/>
        <w:rPr>
          <w:rFonts w:asciiTheme="majorBidi" w:hAnsiTheme="majorBidi" w:cstheme="majorBidi"/>
          <w:color w:val="0E101A"/>
        </w:rPr>
      </w:pPr>
      <w:r w:rsidRPr="004863C3">
        <w:rPr>
          <w:rFonts w:asciiTheme="majorBidi" w:hAnsiTheme="majorBidi" w:cstheme="majorBidi"/>
          <w:color w:val="0E101A"/>
        </w:rPr>
        <w:t xml:space="preserve">Suggestions for </w:t>
      </w:r>
      <w:r w:rsidRPr="004863C3">
        <w:rPr>
          <w:rFonts w:asciiTheme="majorBidi" w:hAnsiTheme="majorBidi" w:cstheme="majorBidi"/>
          <w:i/>
          <w:iCs/>
          <w:color w:val="0E101A"/>
        </w:rPr>
        <w:t>design and operation</w:t>
      </w:r>
      <w:r w:rsidRPr="004863C3">
        <w:rPr>
          <w:rFonts w:asciiTheme="majorBidi" w:hAnsiTheme="majorBidi" w:cstheme="majorBidi"/>
          <w:color w:val="0E101A"/>
        </w:rPr>
        <w:t xml:space="preserve"> of the SARs included: (1) small dimensions and ease of operation (n=2) ; (2) voice activation of the robot (n=1); (3) features that encourage the user to dance with music (n=1); (4) integration of phone functionalities into the robot (n=1); (5) the robot should have added benefits compared to existing methods of telerehabilitation </w:t>
      </w:r>
      <w:r>
        <w:rPr>
          <w:rFonts w:asciiTheme="majorBidi" w:hAnsiTheme="majorBidi" w:cstheme="majorBidi"/>
          <w:color w:val="0E101A"/>
        </w:rPr>
        <w:t>\</w:t>
      </w:r>
      <w:r w:rsidRPr="00C6623B">
        <w:rPr>
          <w:rFonts w:asciiTheme="majorBidi" w:hAnsiTheme="majorBidi" w:cstheme="majorBidi"/>
          <w:color w:val="0E101A"/>
        </w:rPr>
        <w:t xml:space="preserve"> (n=1); (6) a humanoid appearance, to better engage the users (n=1); and conversely, (7) a non-humanoid appearance, as a human-like appearance would be disagreeable (n=1).  </w:t>
      </w:r>
    </w:p>
    <w:p w14:paraId="061BDE2D" w14:textId="77777777" w:rsidR="006B7331" w:rsidRPr="00C6623B" w:rsidRDefault="006B7331" w:rsidP="006B7331">
      <w:pPr>
        <w:spacing w:after="0" w:line="360" w:lineRule="auto"/>
        <w:rPr>
          <w:rFonts w:asciiTheme="majorBidi" w:hAnsiTheme="majorBidi" w:cstheme="majorBidi"/>
          <w:i/>
          <w:iCs/>
          <w:color w:val="0E101A"/>
        </w:rPr>
      </w:pPr>
    </w:p>
    <w:p w14:paraId="76271067" w14:textId="77777777" w:rsidR="006B7331" w:rsidRPr="00C6623B" w:rsidRDefault="006B7331" w:rsidP="006B7331">
      <w:pPr>
        <w:spacing w:after="0" w:line="360" w:lineRule="auto"/>
        <w:jc w:val="left"/>
        <w:rPr>
          <w:rFonts w:asciiTheme="majorBidi" w:hAnsiTheme="majorBidi" w:cstheme="majorBidi"/>
          <w:i/>
          <w:iCs/>
          <w:color w:val="0E101A"/>
        </w:rPr>
      </w:pPr>
      <w:r w:rsidRPr="00C6623B">
        <w:rPr>
          <w:rFonts w:asciiTheme="majorBidi" w:hAnsiTheme="majorBidi" w:cstheme="majorBidi"/>
          <w:color w:val="0E101A"/>
        </w:rPr>
        <w:t>"</w:t>
      </w:r>
      <w:r w:rsidRPr="00C6623B">
        <w:rPr>
          <w:rFonts w:asciiTheme="majorBidi" w:hAnsiTheme="majorBidi" w:cstheme="majorBidi"/>
          <w:i/>
          <w:iCs/>
          <w:color w:val="0E101A"/>
        </w:rPr>
        <w:t>I don’t have space in my house for big robots</w:t>
      </w:r>
      <w:proofErr w:type="gramStart"/>
      <w:r>
        <w:rPr>
          <w:rFonts w:asciiTheme="majorBidi" w:hAnsiTheme="majorBidi" w:cstheme="majorBidi"/>
          <w:i/>
          <w:iCs/>
          <w:color w:val="0E101A"/>
        </w:rPr>
        <w:t xml:space="preserve">” </w:t>
      </w:r>
      <w:r w:rsidRPr="00C6623B">
        <w:rPr>
          <w:rFonts w:asciiTheme="majorBidi" w:hAnsiTheme="majorBidi" w:cstheme="majorBidi"/>
          <w:i/>
          <w:iCs/>
          <w:color w:val="0E101A"/>
          <w:rtl/>
        </w:rPr>
        <w:t>)</w:t>
      </w:r>
      <w:r w:rsidRPr="00C6623B">
        <w:rPr>
          <w:rFonts w:asciiTheme="majorBidi" w:hAnsiTheme="majorBidi" w:cstheme="majorBidi"/>
          <w:i/>
          <w:iCs/>
          <w:color w:val="000000"/>
        </w:rPr>
        <w:t>OF</w:t>
      </w:r>
      <w:proofErr w:type="gramEnd"/>
      <w:r w:rsidRPr="00C6623B">
        <w:rPr>
          <w:rFonts w:asciiTheme="majorBidi" w:hAnsiTheme="majorBidi" w:cstheme="majorBidi"/>
          <w:i/>
          <w:iCs/>
          <w:color w:val="000000"/>
        </w:rPr>
        <w:t>2-3</w:t>
      </w:r>
      <w:r w:rsidRPr="00C6623B">
        <w:rPr>
          <w:rFonts w:asciiTheme="majorBidi" w:hAnsiTheme="majorBidi" w:cstheme="majorBidi"/>
          <w:i/>
          <w:iCs/>
          <w:color w:val="000000"/>
          <w:rtl/>
        </w:rPr>
        <w:t>(</w:t>
      </w:r>
      <w:r w:rsidRPr="00C6623B">
        <w:rPr>
          <w:rFonts w:asciiTheme="majorBidi" w:hAnsiTheme="majorBidi" w:cstheme="majorBidi"/>
          <w:i/>
          <w:iCs/>
          <w:color w:val="0E101A"/>
        </w:rPr>
        <w:br/>
        <w:t>" I'm not sure that a sedentary robot, [just] because it's a robot, has an advantage over something like … remote rehabilitation. Except for the fact that it's very nice to pet this dog and it's cute [referring to PARO]. But I’m not sure that this [referring to embodiment]is the part that makes the important difference”</w:t>
      </w:r>
      <w:r w:rsidRPr="00C6623B">
        <w:rPr>
          <w:rFonts w:asciiTheme="majorBidi" w:hAnsiTheme="majorBidi" w:cstheme="majorBidi"/>
          <w:color w:val="0E101A"/>
        </w:rPr>
        <w:t xml:space="preserve"> </w:t>
      </w:r>
      <w:r w:rsidRPr="00C6623B">
        <w:rPr>
          <w:rFonts w:asciiTheme="majorBidi" w:hAnsiTheme="majorBidi" w:cstheme="majorBidi"/>
          <w:i/>
          <w:iCs/>
          <w:color w:val="0E101A"/>
        </w:rPr>
        <w:t>(OF2-1)</w:t>
      </w:r>
    </w:p>
    <w:p w14:paraId="53AD3820" w14:textId="77777777" w:rsidR="006B7331" w:rsidRPr="00C6623B" w:rsidRDefault="006B7331" w:rsidP="006B7331">
      <w:pPr>
        <w:spacing w:after="0" w:line="360" w:lineRule="auto"/>
        <w:rPr>
          <w:rFonts w:asciiTheme="majorBidi" w:hAnsiTheme="majorBidi" w:cstheme="majorBidi"/>
          <w:color w:val="0E101A"/>
        </w:rPr>
      </w:pPr>
    </w:p>
    <w:p w14:paraId="374F1571" w14:textId="77777777" w:rsidR="006B7331" w:rsidRPr="00590354" w:rsidRDefault="006B7331" w:rsidP="006B7331">
      <w:pPr>
        <w:spacing w:after="0" w:line="360" w:lineRule="auto"/>
        <w:rPr>
          <w:rFonts w:asciiTheme="majorBidi" w:hAnsiTheme="majorBidi" w:cstheme="majorBidi"/>
          <w:color w:val="0E101A"/>
        </w:rPr>
      </w:pPr>
      <w:r w:rsidRPr="00C6623B">
        <w:rPr>
          <w:rFonts w:asciiTheme="majorBidi" w:hAnsiTheme="majorBidi" w:cstheme="majorBidi"/>
          <w:color w:val="0E101A"/>
        </w:rPr>
        <w:t xml:space="preserve">In the </w:t>
      </w:r>
      <w:r w:rsidRPr="00C6623B">
        <w:rPr>
          <w:rFonts w:asciiTheme="majorBidi" w:hAnsiTheme="majorBidi" w:cstheme="majorBidi"/>
          <w:i/>
          <w:iCs/>
          <w:color w:val="0E101A"/>
        </w:rPr>
        <w:t>trust and interaction</w:t>
      </w:r>
      <w:r w:rsidRPr="00C6623B">
        <w:rPr>
          <w:rFonts w:asciiTheme="majorBidi" w:hAnsiTheme="majorBidi" w:cstheme="majorBidi"/>
          <w:color w:val="0E101A"/>
        </w:rPr>
        <w:t xml:space="preserve"> category, family members mentioned that a robot should adapt itself to each patient (n=2) and that it should motivate movement</w:t>
      </w:r>
      <w:r>
        <w:rPr>
          <w:rFonts w:asciiTheme="majorBidi" w:hAnsiTheme="majorBidi" w:cstheme="majorBidi"/>
          <w:color w:val="0E101A"/>
        </w:rPr>
        <w:t xml:space="preserve"> through interaction with the patient</w:t>
      </w:r>
      <w:r w:rsidRPr="00C6623B">
        <w:rPr>
          <w:rFonts w:asciiTheme="majorBidi" w:hAnsiTheme="majorBidi" w:cstheme="majorBidi"/>
          <w:color w:val="0E101A"/>
        </w:rPr>
        <w:t xml:space="preserve"> </w:t>
      </w:r>
      <w:r w:rsidRPr="00590354">
        <w:rPr>
          <w:rFonts w:asciiTheme="majorBidi" w:hAnsiTheme="majorBidi" w:cstheme="majorBidi"/>
          <w:color w:val="0E101A"/>
        </w:rPr>
        <w:t>(</w:t>
      </w:r>
      <w:r>
        <w:rPr>
          <w:rFonts w:asciiTheme="majorBidi" w:hAnsiTheme="majorBidi" w:cstheme="majorBidi"/>
          <w:color w:val="0E101A"/>
        </w:rPr>
        <w:t>n=</w:t>
      </w:r>
      <w:r w:rsidRPr="00590354">
        <w:rPr>
          <w:rFonts w:asciiTheme="majorBidi" w:hAnsiTheme="majorBidi" w:cstheme="majorBidi"/>
          <w:color w:val="0E101A"/>
        </w:rPr>
        <w:t xml:space="preserve">1). </w:t>
      </w:r>
    </w:p>
    <w:p w14:paraId="6FF66684" w14:textId="77777777" w:rsidR="006B7331" w:rsidRPr="00590354" w:rsidRDefault="006B7331" w:rsidP="006B7331">
      <w:pPr>
        <w:spacing w:after="0" w:line="360" w:lineRule="auto"/>
        <w:rPr>
          <w:rFonts w:asciiTheme="majorBidi" w:hAnsiTheme="majorBidi" w:cstheme="majorBidi"/>
          <w:color w:val="0E101A"/>
        </w:rPr>
      </w:pPr>
    </w:p>
    <w:p w14:paraId="5AC7C751" w14:textId="77777777" w:rsidR="006B7331" w:rsidRPr="00E77007" w:rsidRDefault="006B7331" w:rsidP="006B7331">
      <w:pPr>
        <w:spacing w:line="360" w:lineRule="auto"/>
        <w:rPr>
          <w:rFonts w:asciiTheme="majorBidi" w:hAnsiTheme="majorBidi" w:cstheme="majorBidi"/>
          <w:b/>
          <w:bCs/>
        </w:rPr>
      </w:pPr>
      <w:r w:rsidRPr="00E77007">
        <w:rPr>
          <w:rFonts w:asciiTheme="majorBidi" w:hAnsiTheme="majorBidi" w:cstheme="majorBidi"/>
          <w:b/>
          <w:bCs/>
        </w:rPr>
        <w:t>3.2.5 Concerns Regarding the use of SARs</w:t>
      </w:r>
    </w:p>
    <w:p w14:paraId="3D3667E3" w14:textId="2F04164E" w:rsidR="006B7331" w:rsidRPr="00590354" w:rsidRDefault="006B7331" w:rsidP="006B7331">
      <w:pPr>
        <w:spacing w:line="360" w:lineRule="auto"/>
        <w:rPr>
          <w:rFonts w:asciiTheme="majorBidi" w:hAnsiTheme="majorBidi" w:cstheme="majorBidi"/>
          <w:color w:val="0E101A"/>
        </w:rPr>
      </w:pPr>
      <w:r w:rsidRPr="00590354">
        <w:rPr>
          <w:rFonts w:asciiTheme="majorBidi" w:hAnsiTheme="majorBidi" w:cstheme="majorBidi"/>
          <w:color w:val="0E101A"/>
        </w:rPr>
        <w:t xml:space="preserve">We divided the concerns </w:t>
      </w:r>
      <w:bookmarkStart w:id="27" w:name="_Hlk121051486"/>
      <w:r w:rsidRPr="00590354">
        <w:rPr>
          <w:rFonts w:asciiTheme="majorBidi" w:hAnsiTheme="majorBidi" w:cstheme="majorBidi"/>
          <w:color w:val="0E101A"/>
        </w:rPr>
        <w:t xml:space="preserve">raised by family members </w:t>
      </w:r>
      <w:bookmarkEnd w:id="27"/>
      <w:r w:rsidRPr="00590354">
        <w:rPr>
          <w:rFonts w:asciiTheme="majorBidi" w:hAnsiTheme="majorBidi" w:cstheme="majorBidi"/>
          <w:color w:val="0E101A"/>
        </w:rPr>
        <w:t xml:space="preserve">into two sub-categories: Trust and Interaction (N = 14) and design and operation (N = 12) (see Figure </w:t>
      </w:r>
      <w:r w:rsidR="00916954">
        <w:rPr>
          <w:rFonts w:asciiTheme="majorBidi" w:hAnsiTheme="majorBidi" w:cstheme="majorBidi"/>
          <w:color w:val="0E101A"/>
        </w:rPr>
        <w:t>6</w:t>
      </w:r>
      <w:r w:rsidRPr="00590354">
        <w:rPr>
          <w:rFonts w:asciiTheme="majorBidi" w:hAnsiTheme="majorBidi" w:cstheme="majorBidi"/>
          <w:color w:val="0E101A"/>
        </w:rPr>
        <w:t>).</w:t>
      </w:r>
    </w:p>
    <w:p w14:paraId="6B3C33CC" w14:textId="77777777" w:rsidR="006B7331" w:rsidRDefault="006B7331" w:rsidP="006B7331">
      <w:pPr>
        <w:pStyle w:val="Default"/>
        <w:spacing w:line="480" w:lineRule="auto"/>
        <w:rPr>
          <w:sz w:val="18"/>
          <w:szCs w:val="18"/>
        </w:rPr>
      </w:pPr>
      <w:r w:rsidRPr="00590354">
        <w:rPr>
          <w:rFonts w:asciiTheme="majorBidi" w:hAnsiTheme="majorBidi" w:cstheme="majorBidi"/>
          <w:color w:val="0E101A"/>
        </w:rPr>
        <w:lastRenderedPageBreak/>
        <w:t xml:space="preserve">Concerns in the </w:t>
      </w:r>
      <w:r w:rsidRPr="00590354">
        <w:rPr>
          <w:rFonts w:asciiTheme="majorBidi" w:hAnsiTheme="majorBidi" w:cstheme="majorBidi"/>
          <w:i/>
          <w:iCs/>
          <w:color w:val="0E101A"/>
        </w:rPr>
        <w:t>trust and interaction</w:t>
      </w:r>
      <w:r w:rsidRPr="00590354">
        <w:rPr>
          <w:rFonts w:asciiTheme="majorBidi" w:hAnsiTheme="majorBidi" w:cstheme="majorBidi"/>
          <w:color w:val="0E101A"/>
        </w:rPr>
        <w:t xml:space="preserve"> sub-category were: (1) </w:t>
      </w:r>
      <w:r w:rsidRPr="00323C38">
        <w:rPr>
          <w:rFonts w:asciiTheme="majorBidi" w:hAnsiTheme="majorBidi" w:cstheme="majorBidi"/>
        </w:rPr>
        <w:t>Degeneration of abilities due to the robot's over-assistance (n=7)</w:t>
      </w:r>
      <w:r>
        <w:rPr>
          <w:rFonts w:asciiTheme="majorBidi" w:hAnsiTheme="majorBidi" w:cstheme="majorBidi"/>
        </w:rPr>
        <w:t>.</w:t>
      </w:r>
      <w:r w:rsidRPr="00323C38">
        <w:rPr>
          <w:rFonts w:asciiTheme="majorBidi" w:hAnsiTheme="majorBidi" w:cstheme="majorBidi"/>
        </w:rPr>
        <w:t xml:space="preserve"> (2) Difficulty to trust the robot (n=4)</w:t>
      </w:r>
      <w:r>
        <w:rPr>
          <w:rFonts w:asciiTheme="majorBidi" w:hAnsiTheme="majorBidi" w:cstheme="majorBidi"/>
        </w:rPr>
        <w:t>.</w:t>
      </w:r>
      <w:r w:rsidRPr="00323C38">
        <w:rPr>
          <w:rFonts w:asciiTheme="majorBidi" w:hAnsiTheme="majorBidi" w:cstheme="majorBidi"/>
        </w:rPr>
        <w:t xml:space="preserve"> (3) Replacement of human-human relations due to the intervention of the robot (n=2). (4). Misunderstanding of speech due to the inability of the robot to comprehend individuals with PD (n=1)</w:t>
      </w:r>
      <w:r>
        <w:rPr>
          <w:sz w:val="18"/>
          <w:szCs w:val="18"/>
        </w:rPr>
        <w:t xml:space="preserve"> </w:t>
      </w:r>
    </w:p>
    <w:p w14:paraId="7F9C0C1F" w14:textId="77777777" w:rsidR="006B7331" w:rsidRPr="00590354" w:rsidRDefault="006B7331" w:rsidP="006B7331">
      <w:pPr>
        <w:pStyle w:val="NormalWeb"/>
        <w:spacing w:before="0" w:beforeAutospacing="0" w:after="0" w:afterAutospacing="0" w:line="360" w:lineRule="auto"/>
        <w:jc w:val="both"/>
        <w:rPr>
          <w:rStyle w:val="Emphasis"/>
          <w:rFonts w:asciiTheme="majorBidi" w:hAnsiTheme="majorBidi" w:cstheme="majorBidi"/>
          <w:i w:val="0"/>
          <w:iCs w:val="0"/>
          <w:color w:val="0E101A"/>
        </w:rPr>
      </w:pPr>
      <w:r w:rsidRPr="00590354">
        <w:rPr>
          <w:rFonts w:asciiTheme="majorBidi" w:hAnsiTheme="majorBidi" w:cstheme="majorBidi"/>
          <w:color w:val="0E101A"/>
        </w:rPr>
        <w:t xml:space="preserve"> </w:t>
      </w:r>
    </w:p>
    <w:p w14:paraId="2089FA93"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685E8FE0" w14:textId="77777777" w:rsidR="006B7331" w:rsidRPr="00603BC5" w:rsidRDefault="006B7331" w:rsidP="006B7331">
      <w:pPr>
        <w:pStyle w:val="Default"/>
        <w:rPr>
          <w:rFonts w:asciiTheme="majorBidi" w:hAnsiTheme="majorBidi" w:cstheme="majorBidi"/>
        </w:rPr>
      </w:pPr>
      <w:r w:rsidRPr="00590354">
        <w:rPr>
          <w:rFonts w:asciiTheme="majorBidi" w:hAnsiTheme="majorBidi" w:cstheme="majorBidi"/>
          <w:color w:val="0E101A"/>
        </w:rPr>
        <w:t xml:space="preserve">Concerns in the </w:t>
      </w:r>
      <w:r w:rsidRPr="00590354">
        <w:rPr>
          <w:rFonts w:asciiTheme="majorBidi" w:hAnsiTheme="majorBidi" w:cstheme="majorBidi"/>
          <w:i/>
          <w:iCs/>
          <w:color w:val="0E101A"/>
        </w:rPr>
        <w:t>design and operation</w:t>
      </w:r>
      <w:r w:rsidRPr="00590354">
        <w:rPr>
          <w:rFonts w:asciiTheme="majorBidi" w:hAnsiTheme="majorBidi" w:cstheme="majorBidi"/>
          <w:color w:val="0E101A"/>
        </w:rPr>
        <w:t xml:space="preserve"> sub-category </w:t>
      </w:r>
      <w:r w:rsidRPr="00603BC5">
        <w:rPr>
          <w:rFonts w:asciiTheme="majorBidi" w:hAnsiTheme="majorBidi" w:cstheme="majorBidi"/>
          <w:color w:val="0E101A"/>
        </w:rPr>
        <w:t xml:space="preserve">were (1) </w:t>
      </w:r>
      <w:r w:rsidRPr="00603BC5">
        <w:rPr>
          <w:rFonts w:asciiTheme="majorBidi" w:hAnsiTheme="majorBidi" w:cstheme="majorBidi"/>
        </w:rPr>
        <w:t>Inability to contact technical support (n=3). (2) Unpleasant similarity of the robot to a human being (n=2)</w:t>
      </w:r>
      <w:r>
        <w:rPr>
          <w:rFonts w:asciiTheme="majorBidi" w:hAnsiTheme="majorBidi" w:cstheme="majorBidi"/>
        </w:rPr>
        <w:t>. (3) Unpleasant ("metallic") voice of the robots</w:t>
      </w:r>
      <w:r w:rsidRPr="00603BC5">
        <w:rPr>
          <w:rFonts w:asciiTheme="majorBidi" w:hAnsiTheme="majorBidi" w:cstheme="majorBidi"/>
        </w:rPr>
        <w:t xml:space="preserve"> (</w:t>
      </w:r>
      <w:r>
        <w:rPr>
          <w:rFonts w:asciiTheme="majorBidi" w:hAnsiTheme="majorBidi" w:cstheme="majorBidi"/>
        </w:rPr>
        <w:t>4</w:t>
      </w:r>
      <w:r w:rsidRPr="00603BC5">
        <w:rPr>
          <w:rFonts w:asciiTheme="majorBidi" w:hAnsiTheme="majorBidi" w:cstheme="majorBidi"/>
        </w:rPr>
        <w:t xml:space="preserve">) Inability to operate the robot (n=1). </w:t>
      </w:r>
    </w:p>
    <w:p w14:paraId="0EC2603E"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51F2D229" w14:textId="77777777" w:rsidR="006B7331" w:rsidRPr="00590354" w:rsidRDefault="006B7331" w:rsidP="006B7331">
      <w:pPr>
        <w:jc w:val="center"/>
        <w:rPr>
          <w:rFonts w:asciiTheme="majorBidi" w:hAnsiTheme="majorBidi" w:cstheme="majorBidi"/>
        </w:rPr>
      </w:pPr>
    </w:p>
    <w:p w14:paraId="6B754C1A" w14:textId="77777777" w:rsidR="006B7331" w:rsidRPr="00590354" w:rsidRDefault="006B7331" w:rsidP="006B7331">
      <w:pPr>
        <w:jc w:val="center"/>
        <w:rPr>
          <w:rFonts w:asciiTheme="majorBidi" w:hAnsiTheme="majorBidi" w:cstheme="majorBidi"/>
        </w:rPr>
      </w:pPr>
      <w:r w:rsidRPr="0060211A">
        <w:rPr>
          <w:rFonts w:asciiTheme="majorBidi" w:hAnsiTheme="majorBidi" w:cstheme="majorBidi"/>
          <w:noProof/>
        </w:rPr>
        <w:drawing>
          <wp:inline distT="0" distB="0" distL="0" distR="0" wp14:anchorId="67101D2A" wp14:editId="703BCF36">
            <wp:extent cx="5238636" cy="388805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9204" cy="3910746"/>
                    </a:xfrm>
                    <a:prstGeom prst="rect">
                      <a:avLst/>
                    </a:prstGeom>
                  </pic:spPr>
                </pic:pic>
              </a:graphicData>
            </a:graphic>
          </wp:inline>
        </w:drawing>
      </w:r>
    </w:p>
    <w:p w14:paraId="0DF58027" w14:textId="184EDDC9" w:rsidR="006B7331" w:rsidRPr="00590354" w:rsidRDefault="006B7331" w:rsidP="006B7331">
      <w:pPr>
        <w:pStyle w:val="Caption"/>
        <w:jc w:val="both"/>
        <w:rPr>
          <w:rFonts w:asciiTheme="majorBidi" w:eastAsia="Times New Roman" w:hAnsiTheme="majorBidi" w:cstheme="majorBidi"/>
          <w:i w:val="0"/>
          <w:iCs w:val="0"/>
          <w:color w:val="auto"/>
          <w:sz w:val="24"/>
          <w:szCs w:val="24"/>
        </w:rPr>
      </w:pPr>
      <w:r w:rsidRPr="008509EB">
        <w:rPr>
          <w:rFonts w:asciiTheme="majorBidi" w:eastAsia="Times New Roman" w:hAnsiTheme="majorBidi" w:cstheme="majorBidi"/>
          <w:b/>
          <w:bCs/>
          <w:i w:val="0"/>
          <w:iCs w:val="0"/>
          <w:color w:val="auto"/>
          <w:sz w:val="24"/>
          <w:szCs w:val="24"/>
        </w:rPr>
        <w:t xml:space="preserve">Figure </w:t>
      </w:r>
      <w:r w:rsidR="000218DC" w:rsidRPr="0049536D">
        <w:rPr>
          <w:rFonts w:asciiTheme="majorBidi" w:eastAsia="Times New Roman" w:hAnsiTheme="majorBidi" w:cstheme="majorBidi"/>
          <w:b/>
          <w:bCs/>
          <w:i w:val="0"/>
          <w:iCs w:val="0"/>
          <w:color w:val="auto"/>
          <w:sz w:val="24"/>
          <w:szCs w:val="24"/>
          <w:rtl/>
        </w:rPr>
        <w:t>6</w:t>
      </w:r>
      <w:r w:rsidRPr="00590354">
        <w:rPr>
          <w:rFonts w:asciiTheme="majorBidi" w:eastAsia="Times New Roman" w:hAnsiTheme="majorBidi" w:cstheme="majorBidi"/>
          <w:i w:val="0"/>
          <w:iCs w:val="0"/>
          <w:color w:val="auto"/>
          <w:sz w:val="24"/>
          <w:szCs w:val="24"/>
        </w:rPr>
        <w:t>. Concerns regarding the use of SARs for individuals with PD, as identified by family members. We divided the concerns into two main categories: Design and operation and Trust and interaction.</w:t>
      </w:r>
    </w:p>
    <w:p w14:paraId="1E4211A4" w14:textId="77777777" w:rsidR="006B7331" w:rsidRPr="00E77007" w:rsidRDefault="006B7331" w:rsidP="006B7331">
      <w:pPr>
        <w:pStyle w:val="NormalWeb"/>
        <w:spacing w:before="0" w:beforeAutospacing="0" w:after="0" w:afterAutospacing="0" w:line="360" w:lineRule="auto"/>
        <w:jc w:val="both"/>
        <w:rPr>
          <w:rFonts w:asciiTheme="majorBidi" w:hAnsiTheme="majorBidi" w:cstheme="majorBidi"/>
          <w:b/>
          <w:bCs/>
        </w:rPr>
      </w:pPr>
    </w:p>
    <w:p w14:paraId="67AB8044"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E77007">
        <w:rPr>
          <w:rFonts w:asciiTheme="majorBidi" w:hAnsiTheme="majorBidi" w:cstheme="majorBidi"/>
          <w:b/>
          <w:bCs/>
        </w:rPr>
        <w:t xml:space="preserve">3.2.6 </w:t>
      </w:r>
      <w:r w:rsidRPr="00590354">
        <w:rPr>
          <w:rStyle w:val="Strong"/>
          <w:rFonts w:asciiTheme="majorBidi" w:hAnsiTheme="majorBidi" w:cstheme="majorBidi"/>
          <w:color w:val="0E101A"/>
        </w:rPr>
        <w:t>Attitudes towards SARs</w:t>
      </w:r>
    </w:p>
    <w:p w14:paraId="396499AE"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590354">
        <w:rPr>
          <w:rFonts w:asciiTheme="majorBidi" w:hAnsiTheme="majorBidi" w:cstheme="majorBidi"/>
          <w:color w:val="0E101A"/>
        </w:rPr>
        <w:lastRenderedPageBreak/>
        <w:t xml:space="preserve">There was a total of five utterances by five </w:t>
      </w:r>
      <w:r w:rsidRPr="00E77007">
        <w:rPr>
          <w:rFonts w:asciiTheme="majorBidi" w:hAnsiTheme="majorBidi" w:cstheme="majorBidi"/>
        </w:rPr>
        <w:t>participants</w:t>
      </w:r>
      <w:r w:rsidRPr="00590354">
        <w:rPr>
          <w:rFonts w:asciiTheme="majorBidi" w:hAnsiTheme="majorBidi" w:cstheme="majorBidi"/>
          <w:color w:val="0E101A"/>
        </w:rPr>
        <w:t xml:space="preserve"> which expressed a positive attitude towards SARs. </w:t>
      </w:r>
    </w:p>
    <w:p w14:paraId="63686E0B" w14:textId="77777777" w:rsidR="006B7331" w:rsidRPr="00590354" w:rsidRDefault="006B7331" w:rsidP="006B7331">
      <w:pPr>
        <w:pStyle w:val="NormalWeb"/>
        <w:spacing w:before="0" w:beforeAutospacing="0" w:after="0" w:afterAutospacing="0" w:line="360" w:lineRule="auto"/>
        <w:jc w:val="both"/>
        <w:rPr>
          <w:rStyle w:val="Emphasis"/>
          <w:rFonts w:asciiTheme="majorBidi" w:hAnsiTheme="majorBidi" w:cstheme="majorBidi"/>
          <w:color w:val="0E101A"/>
        </w:rPr>
      </w:pPr>
      <w:r w:rsidRPr="00590354">
        <w:rPr>
          <w:rStyle w:val="Emphasis"/>
          <w:rFonts w:asciiTheme="majorBidi" w:hAnsiTheme="majorBidi" w:cstheme="majorBidi"/>
          <w:color w:val="0E101A"/>
        </w:rPr>
        <w:t>"This total dependence that makes you ask for everything, including the newspaper, or things like that, is simply dispiriting, I think. If one can reach the objects that they want [with the assistance of the robot] – if it is the TV remote, or the newspaper, it doesn’t matter what – that would really improve [their situation]" (OF1-7)</w:t>
      </w:r>
    </w:p>
    <w:p w14:paraId="385280ED"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5028D146"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r w:rsidRPr="00590354">
        <w:rPr>
          <w:rFonts w:asciiTheme="majorBidi" w:hAnsiTheme="majorBidi" w:cstheme="majorBidi"/>
          <w:color w:val="0E101A"/>
        </w:rPr>
        <w:t xml:space="preserve">There was a total of five statements by five </w:t>
      </w:r>
      <w:r w:rsidRPr="00E77007">
        <w:rPr>
          <w:rFonts w:asciiTheme="majorBidi" w:hAnsiTheme="majorBidi" w:cstheme="majorBidi"/>
        </w:rPr>
        <w:t>participants</w:t>
      </w:r>
      <w:r w:rsidRPr="00590354">
        <w:rPr>
          <w:rFonts w:asciiTheme="majorBidi" w:hAnsiTheme="majorBidi" w:cstheme="majorBidi"/>
          <w:color w:val="0E101A"/>
        </w:rPr>
        <w:t xml:space="preserve"> that expressed a negative attitude toward SARs. This attitude was reflected, for example, by stating that real pets are better than the PARO baby-seal robot (shown in the video participants saw) (n=3), and that robots will never be able to replace humans and the unique interaction between them (n=2). </w:t>
      </w:r>
    </w:p>
    <w:p w14:paraId="48F147B7"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6B5916C9" w14:textId="3D276A6F" w:rsidR="006B7331" w:rsidRPr="00590354" w:rsidRDefault="006B7331" w:rsidP="006B7331">
      <w:pPr>
        <w:pStyle w:val="NormalWeb"/>
        <w:spacing w:before="0" w:beforeAutospacing="0" w:after="0" w:afterAutospacing="0" w:line="480" w:lineRule="auto"/>
        <w:jc w:val="both"/>
        <w:rPr>
          <w:rFonts w:asciiTheme="majorBidi" w:hAnsiTheme="majorBidi" w:cstheme="majorBidi"/>
          <w:color w:val="0E101A"/>
        </w:rPr>
      </w:pPr>
      <w:r w:rsidRPr="00590354">
        <w:rPr>
          <w:rFonts w:asciiTheme="majorBidi" w:hAnsiTheme="majorBidi" w:cstheme="majorBidi"/>
          <w:color w:val="0E101A"/>
        </w:rPr>
        <w:t xml:space="preserve">Table </w:t>
      </w:r>
      <w:r w:rsidR="000218DC">
        <w:rPr>
          <w:rFonts w:asciiTheme="majorBidi" w:hAnsiTheme="majorBidi" w:cstheme="majorBidi"/>
          <w:color w:val="0E101A"/>
        </w:rPr>
        <w:t>6</w:t>
      </w:r>
      <w:r w:rsidR="000218DC" w:rsidRPr="00590354">
        <w:rPr>
          <w:rFonts w:asciiTheme="majorBidi" w:hAnsiTheme="majorBidi" w:cstheme="majorBidi"/>
          <w:color w:val="0E101A"/>
        </w:rPr>
        <w:t xml:space="preserve"> </w:t>
      </w:r>
      <w:r w:rsidRPr="00590354">
        <w:rPr>
          <w:rFonts w:asciiTheme="majorBidi" w:hAnsiTheme="majorBidi" w:cstheme="majorBidi"/>
          <w:color w:val="0E101A"/>
        </w:rPr>
        <w:t>summarizes the main similarities and differences that came up in the two population groups of Experiments 1 and 2.</w:t>
      </w:r>
    </w:p>
    <w:p w14:paraId="53CC1F05" w14:textId="77777777" w:rsidR="006B7331" w:rsidRPr="00590354" w:rsidRDefault="006B7331" w:rsidP="006B7331">
      <w:pPr>
        <w:rPr>
          <w:rFonts w:asciiTheme="majorBidi" w:hAnsiTheme="majorBidi" w:cstheme="majorBidi"/>
        </w:rPr>
      </w:pPr>
      <w:r w:rsidRPr="00590354">
        <w:rPr>
          <w:rFonts w:asciiTheme="majorBidi" w:hAnsiTheme="majorBidi" w:cstheme="majorBidi"/>
        </w:rPr>
        <w:t xml:space="preserve">   </w:t>
      </w:r>
    </w:p>
    <w:p w14:paraId="58CEE259"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13CE60E1" w14:textId="77777777" w:rsidR="006B7331" w:rsidRPr="00590354" w:rsidRDefault="006B7331" w:rsidP="006B7331">
      <w:pPr>
        <w:jc w:val="center"/>
        <w:rPr>
          <w:rFonts w:asciiTheme="majorBidi" w:hAnsiTheme="majorBidi" w:cstheme="majorBidi"/>
          <w:b/>
          <w:bCs/>
          <w:sz w:val="28"/>
          <w:szCs w:val="28"/>
        </w:rPr>
      </w:pPr>
      <w:r w:rsidRPr="00590354">
        <w:rPr>
          <w:rFonts w:asciiTheme="majorBidi" w:hAnsiTheme="majorBidi" w:cstheme="majorBidi"/>
          <w:b/>
          <w:bCs/>
          <w:color w:val="0E101A"/>
          <w:sz w:val="28"/>
          <w:szCs w:val="28"/>
        </w:rPr>
        <w:t>Similarities and differences between the points of view of individuals with PD and family members</w:t>
      </w:r>
      <w:r w:rsidRPr="00590354">
        <w:rPr>
          <w:rFonts w:asciiTheme="majorBidi" w:hAnsiTheme="majorBidi" w:cstheme="majorBidi"/>
          <w:b/>
          <w:bCs/>
          <w:sz w:val="28"/>
          <w:szCs w:val="28"/>
        </w:rPr>
        <w:t xml:space="preserve"> </w:t>
      </w:r>
    </w:p>
    <w:tbl>
      <w:tblPr>
        <w:tblStyle w:val="TableGrid"/>
        <w:tblW w:w="10064" w:type="dxa"/>
        <w:tblInd w:w="0" w:type="dxa"/>
        <w:tblLook w:val="04A0" w:firstRow="1" w:lastRow="0" w:firstColumn="1" w:lastColumn="0" w:noHBand="0" w:noVBand="1"/>
      </w:tblPr>
      <w:tblGrid>
        <w:gridCol w:w="4312"/>
        <w:gridCol w:w="933"/>
        <w:gridCol w:w="3061"/>
        <w:gridCol w:w="1758"/>
      </w:tblGrid>
      <w:tr w:rsidR="006B7331" w:rsidRPr="00590354" w14:paraId="7CBDFBE5" w14:textId="77777777" w:rsidTr="00B47E4D">
        <w:tc>
          <w:tcPr>
            <w:tcW w:w="5245" w:type="dxa"/>
            <w:gridSpan w:val="2"/>
            <w:tcBorders>
              <w:top w:val="nil"/>
              <w:left w:val="nil"/>
              <w:bottom w:val="nil"/>
              <w:right w:val="nil"/>
            </w:tcBorders>
          </w:tcPr>
          <w:p w14:paraId="6F674478" w14:textId="77777777" w:rsidR="006B7331" w:rsidRPr="00590354" w:rsidRDefault="006B7331" w:rsidP="00B47E4D">
            <w:pPr>
              <w:bidi w:val="0"/>
              <w:rPr>
                <w:rFonts w:asciiTheme="majorBidi" w:hAnsiTheme="majorBidi" w:cstheme="majorBidi"/>
              </w:rPr>
            </w:pPr>
            <w:r w:rsidRPr="00590354">
              <w:rPr>
                <w:rFonts w:asciiTheme="majorBidi" w:hAnsiTheme="majorBidi" w:cstheme="majorBidi"/>
              </w:rPr>
              <w:t xml:space="preserve">Individuals with PD </w:t>
            </w:r>
          </w:p>
        </w:tc>
        <w:tc>
          <w:tcPr>
            <w:tcW w:w="4819" w:type="dxa"/>
            <w:gridSpan w:val="2"/>
            <w:tcBorders>
              <w:top w:val="nil"/>
              <w:left w:val="nil"/>
              <w:bottom w:val="nil"/>
              <w:right w:val="nil"/>
            </w:tcBorders>
          </w:tcPr>
          <w:p w14:paraId="67BA9A4A" w14:textId="77777777" w:rsidR="006B7331" w:rsidRPr="00590354" w:rsidRDefault="006B7331" w:rsidP="00B47E4D">
            <w:pPr>
              <w:bidi w:val="0"/>
              <w:rPr>
                <w:rFonts w:asciiTheme="majorBidi" w:hAnsiTheme="majorBidi" w:cstheme="majorBidi"/>
              </w:rPr>
            </w:pPr>
            <w:r w:rsidRPr="00590354">
              <w:rPr>
                <w:rFonts w:asciiTheme="majorBidi" w:hAnsiTheme="majorBidi" w:cstheme="majorBidi"/>
              </w:rPr>
              <w:t>Family members</w:t>
            </w:r>
          </w:p>
        </w:tc>
      </w:tr>
      <w:tr w:rsidR="006B7331" w:rsidRPr="00E77007" w14:paraId="7DAD3515"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8306" w:type="dxa"/>
            <w:gridSpan w:val="3"/>
          </w:tcPr>
          <w:p w14:paraId="1F75796D" w14:textId="77777777" w:rsidR="006B7331" w:rsidRPr="00425846" w:rsidRDefault="006B7331" w:rsidP="00B47E4D">
            <w:pPr>
              <w:bidi w:val="0"/>
              <w:ind w:left="30" w:hanging="30"/>
              <w:jc w:val="center"/>
              <w:rPr>
                <w:rFonts w:asciiTheme="majorBidi" w:hAnsiTheme="majorBidi" w:cstheme="majorBidi"/>
              </w:rPr>
            </w:pPr>
            <w:r w:rsidRPr="00425846">
              <w:rPr>
                <w:rFonts w:asciiTheme="majorBidi" w:hAnsiTheme="majorBidi" w:cstheme="majorBidi"/>
                <w:b/>
                <w:bCs/>
              </w:rPr>
              <w:t>Medication-management technology (reminding and dispensing) would be helpful</w:t>
            </w:r>
          </w:p>
          <w:p w14:paraId="78C0208A" w14:textId="77777777" w:rsidR="006B7331" w:rsidRPr="00425846" w:rsidRDefault="006B7331" w:rsidP="00B47E4D">
            <w:pPr>
              <w:bidi w:val="0"/>
              <w:rPr>
                <w:rFonts w:asciiTheme="majorBidi" w:hAnsiTheme="majorBidi" w:cstheme="majorBidi"/>
              </w:rPr>
            </w:pPr>
          </w:p>
        </w:tc>
      </w:tr>
      <w:tr w:rsidR="006B7331" w:rsidRPr="00E77007" w14:paraId="363C43CD"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4312" w:type="dxa"/>
          </w:tcPr>
          <w:p w14:paraId="78DA56A5" w14:textId="77777777" w:rsidR="006B7331" w:rsidRPr="00425846" w:rsidRDefault="006B7331" w:rsidP="00B47E4D">
            <w:pPr>
              <w:bidi w:val="0"/>
              <w:jc w:val="left"/>
              <w:rPr>
                <w:rFonts w:asciiTheme="majorBidi" w:hAnsiTheme="majorBidi" w:cstheme="majorBidi"/>
              </w:rPr>
            </w:pPr>
            <w:r w:rsidRPr="00425846">
              <w:rPr>
                <w:rFonts w:asciiTheme="majorBidi" w:hAnsiTheme="majorBidi" w:cstheme="majorBidi"/>
              </w:rPr>
              <w:t>A robot that can improve mood and help to calm down would be helpful</w:t>
            </w:r>
          </w:p>
          <w:p w14:paraId="6B3AE70F" w14:textId="77777777" w:rsidR="006B7331" w:rsidRPr="00425846" w:rsidRDefault="006B7331" w:rsidP="00B47E4D">
            <w:pPr>
              <w:bidi w:val="0"/>
              <w:rPr>
                <w:rFonts w:asciiTheme="majorBidi" w:hAnsiTheme="majorBidi" w:cstheme="majorBidi"/>
              </w:rPr>
            </w:pPr>
          </w:p>
        </w:tc>
        <w:tc>
          <w:tcPr>
            <w:tcW w:w="3994" w:type="dxa"/>
            <w:gridSpan w:val="2"/>
          </w:tcPr>
          <w:p w14:paraId="4DBF12AD" w14:textId="77777777" w:rsidR="006B7331" w:rsidRPr="00425846" w:rsidRDefault="006B7331" w:rsidP="00B47E4D">
            <w:pPr>
              <w:bidi w:val="0"/>
              <w:ind w:left="601"/>
              <w:jc w:val="left"/>
              <w:rPr>
                <w:rFonts w:asciiTheme="majorBidi" w:hAnsiTheme="majorBidi" w:cstheme="majorBidi"/>
              </w:rPr>
            </w:pPr>
            <w:r w:rsidRPr="00425846">
              <w:rPr>
                <w:rFonts w:asciiTheme="majorBidi" w:hAnsiTheme="majorBidi" w:cstheme="majorBidi"/>
              </w:rPr>
              <w:t>A robot that can help improve cognitive skills would be helpful</w:t>
            </w:r>
          </w:p>
        </w:tc>
      </w:tr>
      <w:tr w:rsidR="006B7331" w:rsidRPr="00E77007" w14:paraId="0E2E6C2A"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8306" w:type="dxa"/>
            <w:gridSpan w:val="3"/>
          </w:tcPr>
          <w:p w14:paraId="4101D7DB" w14:textId="77777777" w:rsidR="006B7331" w:rsidRPr="00425846" w:rsidRDefault="006B7331" w:rsidP="00B47E4D">
            <w:pPr>
              <w:bidi w:val="0"/>
              <w:jc w:val="center"/>
              <w:rPr>
                <w:rFonts w:asciiTheme="majorBidi" w:hAnsiTheme="majorBidi" w:cstheme="majorBidi"/>
                <w:b/>
                <w:bCs/>
              </w:rPr>
            </w:pPr>
            <w:r w:rsidRPr="00425846">
              <w:rPr>
                <w:rFonts w:asciiTheme="majorBidi" w:hAnsiTheme="majorBidi" w:cstheme="majorBidi"/>
                <w:b/>
                <w:bCs/>
              </w:rPr>
              <w:lastRenderedPageBreak/>
              <w:t>The robot should be easy to operate, have small dimensions, and keep adapting its function to the disease stage of the individual, and their specific needs</w:t>
            </w:r>
          </w:p>
          <w:p w14:paraId="7EC2B1DD" w14:textId="77777777" w:rsidR="006B7331" w:rsidRPr="00425846" w:rsidRDefault="006B7331" w:rsidP="00B47E4D">
            <w:pPr>
              <w:bidi w:val="0"/>
              <w:jc w:val="center"/>
              <w:rPr>
                <w:rFonts w:asciiTheme="majorBidi" w:hAnsiTheme="majorBidi" w:cstheme="majorBidi"/>
              </w:rPr>
            </w:pPr>
          </w:p>
        </w:tc>
      </w:tr>
      <w:tr w:rsidR="006B7331" w:rsidRPr="00E77007" w14:paraId="0340ED13"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4312" w:type="dxa"/>
          </w:tcPr>
          <w:p w14:paraId="25F84AEC" w14:textId="77777777" w:rsidR="006B7331" w:rsidRPr="00425846" w:rsidRDefault="006B7331" w:rsidP="00B47E4D">
            <w:pPr>
              <w:bidi w:val="0"/>
              <w:jc w:val="left"/>
              <w:rPr>
                <w:rFonts w:asciiTheme="majorBidi" w:hAnsiTheme="majorBidi" w:cstheme="majorBidi"/>
              </w:rPr>
            </w:pPr>
            <w:r w:rsidRPr="00425846">
              <w:rPr>
                <w:rFonts w:asciiTheme="majorBidi" w:hAnsiTheme="majorBidi" w:cstheme="majorBidi"/>
              </w:rPr>
              <w:t>Technology could be beneficial to alleviate difficulties with ADL and fine motor skills</w:t>
            </w:r>
          </w:p>
          <w:p w14:paraId="415EF409" w14:textId="77777777" w:rsidR="006B7331" w:rsidRPr="00425846" w:rsidRDefault="006B7331" w:rsidP="00B47E4D">
            <w:pPr>
              <w:bidi w:val="0"/>
              <w:rPr>
                <w:rFonts w:asciiTheme="majorBidi" w:hAnsiTheme="majorBidi" w:cstheme="majorBidi"/>
              </w:rPr>
            </w:pPr>
          </w:p>
        </w:tc>
        <w:tc>
          <w:tcPr>
            <w:tcW w:w="3994" w:type="dxa"/>
            <w:gridSpan w:val="2"/>
          </w:tcPr>
          <w:p w14:paraId="72C4CEDD" w14:textId="77777777" w:rsidR="006B7331" w:rsidRPr="00425846" w:rsidRDefault="006B7331" w:rsidP="00B47E4D">
            <w:pPr>
              <w:bidi w:val="0"/>
              <w:ind w:left="601"/>
              <w:jc w:val="left"/>
              <w:rPr>
                <w:rFonts w:asciiTheme="majorBidi" w:hAnsiTheme="majorBidi" w:cstheme="majorBidi"/>
              </w:rPr>
            </w:pPr>
            <w:r w:rsidRPr="00425846">
              <w:rPr>
                <w:rFonts w:asciiTheme="majorBidi" w:hAnsiTheme="majorBidi" w:cstheme="majorBidi"/>
              </w:rPr>
              <w:t>Technology could be beneficial to decrease pain or as adaptable pacemaker for the DBS</w:t>
            </w:r>
          </w:p>
        </w:tc>
      </w:tr>
      <w:tr w:rsidR="006B7331" w:rsidRPr="00E77007" w14:paraId="3DF7BD0C"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8306" w:type="dxa"/>
            <w:gridSpan w:val="3"/>
          </w:tcPr>
          <w:p w14:paraId="6CD39DE2" w14:textId="77777777" w:rsidR="006B7331" w:rsidRPr="00425846" w:rsidRDefault="006B7331" w:rsidP="00B47E4D">
            <w:pPr>
              <w:bidi w:val="0"/>
              <w:jc w:val="center"/>
              <w:rPr>
                <w:rFonts w:asciiTheme="majorBidi" w:hAnsiTheme="majorBidi" w:cstheme="majorBidi"/>
                <w:b/>
                <w:bCs/>
              </w:rPr>
            </w:pPr>
            <w:r w:rsidRPr="00425846">
              <w:rPr>
                <w:rFonts w:asciiTheme="majorBidi" w:hAnsiTheme="majorBidi" w:cstheme="majorBidi"/>
                <w:b/>
                <w:bCs/>
              </w:rPr>
              <w:t>A robot that over-assists may compromise the user’s autonomy, potentially leading to functional degeneration; Interaction with a robot may replace human-human interaction</w:t>
            </w:r>
          </w:p>
          <w:p w14:paraId="0D5CD8D9" w14:textId="77777777" w:rsidR="006B7331" w:rsidRPr="00425846" w:rsidRDefault="006B7331" w:rsidP="00B47E4D">
            <w:pPr>
              <w:bidi w:val="0"/>
              <w:jc w:val="center"/>
              <w:rPr>
                <w:rFonts w:asciiTheme="majorBidi" w:hAnsiTheme="majorBidi" w:cstheme="majorBidi"/>
              </w:rPr>
            </w:pPr>
          </w:p>
        </w:tc>
      </w:tr>
      <w:tr w:rsidR="006B7331" w:rsidRPr="00E77007" w14:paraId="19BEA03D"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4312" w:type="dxa"/>
          </w:tcPr>
          <w:p w14:paraId="641C4262" w14:textId="77777777" w:rsidR="006B7331" w:rsidRPr="00425846" w:rsidRDefault="006B7331" w:rsidP="00B47E4D">
            <w:pPr>
              <w:bidi w:val="0"/>
              <w:rPr>
                <w:rFonts w:asciiTheme="majorBidi" w:hAnsiTheme="majorBidi" w:cstheme="majorBidi"/>
              </w:rPr>
            </w:pPr>
            <w:r w:rsidRPr="00425846">
              <w:rPr>
                <w:rFonts w:asciiTheme="majorBidi" w:hAnsiTheme="majorBidi" w:cstheme="majorBidi"/>
              </w:rPr>
              <w:t xml:space="preserve">Aspects of </w:t>
            </w:r>
            <w:r w:rsidRPr="00425846">
              <w:rPr>
                <w:rFonts w:asciiTheme="majorBidi" w:hAnsiTheme="majorBidi" w:cstheme="majorBidi"/>
                <w:i/>
                <w:iCs/>
              </w:rPr>
              <w:t>Design and Operation</w:t>
            </w:r>
            <w:r w:rsidRPr="00425846">
              <w:rPr>
                <w:rFonts w:asciiTheme="majorBidi" w:hAnsiTheme="majorBidi" w:cstheme="majorBidi"/>
              </w:rPr>
              <w:t xml:space="preserve"> (e.g., cost and dimensions of the robot) are a primary concern</w:t>
            </w:r>
          </w:p>
          <w:p w14:paraId="2B2B9F51" w14:textId="77777777" w:rsidR="006B7331" w:rsidRPr="00425846" w:rsidRDefault="006B7331" w:rsidP="00B47E4D">
            <w:pPr>
              <w:bidi w:val="0"/>
              <w:rPr>
                <w:rFonts w:asciiTheme="majorBidi" w:hAnsiTheme="majorBidi" w:cstheme="majorBidi"/>
              </w:rPr>
            </w:pPr>
          </w:p>
        </w:tc>
        <w:tc>
          <w:tcPr>
            <w:tcW w:w="3994" w:type="dxa"/>
            <w:gridSpan w:val="2"/>
          </w:tcPr>
          <w:p w14:paraId="438BA79D" w14:textId="77777777" w:rsidR="006B7331" w:rsidRPr="00425846" w:rsidRDefault="006B7331" w:rsidP="00B47E4D">
            <w:pPr>
              <w:bidi w:val="0"/>
              <w:ind w:left="601"/>
              <w:rPr>
                <w:rFonts w:asciiTheme="majorBidi" w:hAnsiTheme="majorBidi" w:cstheme="majorBidi"/>
              </w:rPr>
            </w:pPr>
            <w:r w:rsidRPr="00425846">
              <w:rPr>
                <w:rFonts w:asciiTheme="majorBidi" w:hAnsiTheme="majorBidi" w:cstheme="majorBidi"/>
              </w:rPr>
              <w:t xml:space="preserve">Aspects of </w:t>
            </w:r>
            <w:r w:rsidRPr="00425846">
              <w:rPr>
                <w:rFonts w:asciiTheme="majorBidi" w:hAnsiTheme="majorBidi" w:cstheme="majorBidi"/>
                <w:i/>
                <w:iCs/>
              </w:rPr>
              <w:t>Trust and Interaction</w:t>
            </w:r>
            <w:r w:rsidRPr="00425846">
              <w:rPr>
                <w:rFonts w:asciiTheme="majorBidi" w:hAnsiTheme="majorBidi" w:cstheme="majorBidi"/>
              </w:rPr>
              <w:t xml:space="preserve"> (e.g., the inability of the robot to recognize the speech of individuals with PD) are a primary concern</w:t>
            </w:r>
          </w:p>
          <w:p w14:paraId="5FAA0CEC" w14:textId="77777777" w:rsidR="006B7331" w:rsidRPr="00425846" w:rsidRDefault="006B7331" w:rsidP="00B47E4D">
            <w:pPr>
              <w:bidi w:val="0"/>
              <w:rPr>
                <w:rFonts w:asciiTheme="majorBidi" w:hAnsiTheme="majorBidi" w:cstheme="majorBidi"/>
              </w:rPr>
            </w:pPr>
            <w:r w:rsidRPr="00425846">
              <w:rPr>
                <w:rFonts w:asciiTheme="majorBidi" w:hAnsiTheme="majorBidi" w:cstheme="majorBidi"/>
              </w:rPr>
              <w:t xml:space="preserve"> </w:t>
            </w:r>
          </w:p>
        </w:tc>
      </w:tr>
      <w:tr w:rsidR="006B7331" w:rsidRPr="00590354" w14:paraId="0592D9D1" w14:textId="77777777" w:rsidTr="00B47E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58" w:type="dxa"/>
        </w:trPr>
        <w:tc>
          <w:tcPr>
            <w:tcW w:w="8306" w:type="dxa"/>
            <w:gridSpan w:val="3"/>
          </w:tcPr>
          <w:p w14:paraId="41160A38" w14:textId="77777777" w:rsidR="006B7331" w:rsidRPr="00590354" w:rsidRDefault="006B7331" w:rsidP="00B47E4D">
            <w:pPr>
              <w:bidi w:val="0"/>
              <w:jc w:val="center"/>
              <w:rPr>
                <w:rFonts w:asciiTheme="majorBidi" w:hAnsiTheme="majorBidi" w:cstheme="majorBidi"/>
              </w:rPr>
            </w:pPr>
            <w:r w:rsidRPr="00590354">
              <w:rPr>
                <w:rFonts w:asciiTheme="majorBidi" w:hAnsiTheme="majorBidi" w:cstheme="majorBidi"/>
                <w:b/>
                <w:bCs/>
              </w:rPr>
              <w:t>Real pet animals are more beneficial as companions than a pet-like robot (e.g., PARO)</w:t>
            </w:r>
          </w:p>
        </w:tc>
      </w:tr>
    </w:tbl>
    <w:p w14:paraId="6DBAE7BC" w14:textId="77777777" w:rsidR="006B7331" w:rsidRPr="00590354" w:rsidRDefault="006B7331" w:rsidP="006B7331">
      <w:pPr>
        <w:pStyle w:val="NormalWeb"/>
        <w:spacing w:before="0" w:beforeAutospacing="0" w:after="0" w:afterAutospacing="0" w:line="360" w:lineRule="auto"/>
        <w:jc w:val="both"/>
        <w:rPr>
          <w:rFonts w:asciiTheme="majorBidi" w:hAnsiTheme="majorBidi" w:cstheme="majorBidi"/>
          <w:color w:val="0E101A"/>
        </w:rPr>
      </w:pPr>
    </w:p>
    <w:p w14:paraId="6F1CC933" w14:textId="4E7F3DCF" w:rsidR="006B7331" w:rsidRDefault="006B7331" w:rsidP="00C43B4F">
      <w:pPr>
        <w:pStyle w:val="NormalWeb"/>
        <w:spacing w:before="0" w:beforeAutospacing="0" w:after="0" w:afterAutospacing="0" w:line="360" w:lineRule="auto"/>
        <w:jc w:val="both"/>
        <w:rPr>
          <w:color w:val="0E101A"/>
        </w:rPr>
      </w:pPr>
      <w:r w:rsidRPr="001B493F">
        <w:rPr>
          <w:rFonts w:asciiTheme="majorBidi" w:hAnsiTheme="majorBidi" w:cstheme="majorBidi"/>
          <w:b/>
          <w:bCs/>
          <w:color w:val="0E101A"/>
        </w:rPr>
        <w:t xml:space="preserve"> Table </w:t>
      </w:r>
      <w:r w:rsidR="000218DC">
        <w:rPr>
          <w:rFonts w:asciiTheme="majorBidi" w:hAnsiTheme="majorBidi" w:cstheme="majorBidi" w:hint="cs"/>
          <w:b/>
          <w:bCs/>
          <w:color w:val="0E101A"/>
          <w:rtl/>
        </w:rPr>
        <w:t>6</w:t>
      </w:r>
      <w:r w:rsidRPr="001B493F">
        <w:rPr>
          <w:rFonts w:asciiTheme="majorBidi" w:hAnsiTheme="majorBidi" w:cstheme="majorBidi"/>
          <w:b/>
          <w:bCs/>
          <w:color w:val="0E101A"/>
        </w:rPr>
        <w:t>. Similarities and differences between the points of view of individuals with PD and family members.</w:t>
      </w:r>
      <w:r w:rsidRPr="00425846">
        <w:rPr>
          <w:rFonts w:asciiTheme="majorBidi" w:hAnsiTheme="majorBidi" w:cstheme="majorBidi"/>
          <w:color w:val="0E101A"/>
        </w:rPr>
        <w:t xml:space="preserve"> </w:t>
      </w:r>
      <w:r>
        <w:rPr>
          <w:rFonts w:asciiTheme="majorBidi" w:hAnsiTheme="majorBidi" w:cstheme="majorBidi"/>
          <w:color w:val="0E101A"/>
        </w:rPr>
        <w:t xml:space="preserve">Bolded sentences reflect findings that were similar between the two population groups; </w:t>
      </w:r>
      <w:proofErr w:type="spellStart"/>
      <w:r>
        <w:rPr>
          <w:rFonts w:asciiTheme="majorBidi" w:hAnsiTheme="majorBidi" w:cstheme="majorBidi"/>
          <w:color w:val="0E101A"/>
        </w:rPr>
        <w:t>unbolded</w:t>
      </w:r>
      <w:proofErr w:type="spellEnd"/>
      <w:r>
        <w:rPr>
          <w:rFonts w:asciiTheme="majorBidi" w:hAnsiTheme="majorBidi" w:cstheme="majorBidi"/>
          <w:color w:val="0E101A"/>
        </w:rPr>
        <w:t xml:space="preserve"> sentences reflect findings that differed between the groups. </w:t>
      </w:r>
    </w:p>
    <w:p w14:paraId="77D7915B" w14:textId="23F056DB" w:rsidR="007356A3" w:rsidRDefault="007356A3" w:rsidP="00C43B4F">
      <w:pPr>
        <w:pStyle w:val="NormalWeb"/>
        <w:spacing w:before="0" w:beforeAutospacing="0" w:after="0" w:afterAutospacing="0" w:line="360" w:lineRule="auto"/>
        <w:jc w:val="both"/>
        <w:rPr>
          <w:color w:val="0E101A"/>
        </w:rPr>
      </w:pPr>
    </w:p>
    <w:p w14:paraId="66B3FB53" w14:textId="34B88472" w:rsidR="00E31D12" w:rsidRPr="00942C40" w:rsidRDefault="00E31D12" w:rsidP="00942C40">
      <w:pPr>
        <w:pStyle w:val="ListParagraph"/>
        <w:numPr>
          <w:ilvl w:val="0"/>
          <w:numId w:val="2"/>
        </w:numPr>
        <w:rPr>
          <w:rFonts w:asciiTheme="majorBidi" w:hAnsiTheme="majorBidi" w:cstheme="majorBidi"/>
          <w:b/>
          <w:bCs/>
          <w:u w:val="single"/>
        </w:rPr>
      </w:pPr>
      <w:r w:rsidRPr="00942C40">
        <w:rPr>
          <w:rFonts w:asciiTheme="majorBidi" w:hAnsiTheme="majorBidi" w:cstheme="majorBidi"/>
          <w:b/>
          <w:bCs/>
          <w:u w:val="single"/>
        </w:rPr>
        <w:t>Discussion</w:t>
      </w:r>
    </w:p>
    <w:p w14:paraId="21BD8AC0" w14:textId="36BBD913" w:rsidR="00E31D12" w:rsidRPr="00A36E7F" w:rsidRDefault="00E31D12" w:rsidP="00E31D12">
      <w:pPr>
        <w:rPr>
          <w:rFonts w:asciiTheme="majorBidi" w:hAnsiTheme="majorBidi" w:cstheme="majorBidi"/>
        </w:rPr>
      </w:pPr>
      <w:r w:rsidRPr="007054C0">
        <w:rPr>
          <w:rFonts w:asciiTheme="majorBidi" w:hAnsiTheme="majorBidi" w:cstheme="majorBidi"/>
        </w:rPr>
        <w:t xml:space="preserve">We collected information from </w:t>
      </w:r>
      <w:r>
        <w:rPr>
          <w:rFonts w:asciiTheme="majorBidi" w:hAnsiTheme="majorBidi" w:cstheme="majorBidi"/>
        </w:rPr>
        <w:t xml:space="preserve">a total of 46 participants: </w:t>
      </w:r>
      <w:r w:rsidRPr="007054C0">
        <w:rPr>
          <w:rFonts w:asciiTheme="majorBidi" w:hAnsiTheme="majorBidi" w:cstheme="majorBidi"/>
        </w:rPr>
        <w:t xml:space="preserve">24 individuals with PD and 22 </w:t>
      </w:r>
      <w:r w:rsidR="00DF4FEA">
        <w:rPr>
          <w:rFonts w:asciiTheme="majorBidi" w:hAnsiTheme="majorBidi" w:cstheme="majorBidi"/>
        </w:rPr>
        <w:t>family members</w:t>
      </w:r>
      <w:r w:rsidRPr="007054C0">
        <w:rPr>
          <w:rFonts w:asciiTheme="majorBidi" w:hAnsiTheme="majorBidi" w:cstheme="majorBidi"/>
        </w:rPr>
        <w:t xml:space="preserve"> of individuals with PD</w:t>
      </w:r>
      <w:r>
        <w:rPr>
          <w:rFonts w:asciiTheme="majorBidi" w:hAnsiTheme="majorBidi" w:cstheme="majorBidi"/>
        </w:rPr>
        <w:t xml:space="preserve">, </w:t>
      </w:r>
      <w:r w:rsidRPr="00352239">
        <w:rPr>
          <w:rFonts w:asciiTheme="majorBidi" w:hAnsiTheme="majorBidi" w:cstheme="majorBidi"/>
        </w:rPr>
        <w:t xml:space="preserve">to </w:t>
      </w:r>
      <w:r>
        <w:rPr>
          <w:rFonts w:asciiTheme="majorBidi" w:hAnsiTheme="majorBidi" w:cstheme="majorBidi"/>
        </w:rPr>
        <w:t>better understand their needs, their perspective on technology and SARs, and specifically the use of SARs by</w:t>
      </w:r>
      <w:r w:rsidRPr="00352239">
        <w:rPr>
          <w:rFonts w:asciiTheme="majorBidi" w:hAnsiTheme="majorBidi" w:cstheme="majorBidi"/>
        </w:rPr>
        <w:t xml:space="preserve"> </w:t>
      </w:r>
      <w:r>
        <w:rPr>
          <w:rFonts w:asciiTheme="majorBidi" w:hAnsiTheme="majorBidi" w:cstheme="majorBidi"/>
        </w:rPr>
        <w:t>individuals</w:t>
      </w:r>
      <w:r w:rsidRPr="00352239">
        <w:rPr>
          <w:rFonts w:asciiTheme="majorBidi" w:hAnsiTheme="majorBidi" w:cstheme="majorBidi"/>
        </w:rPr>
        <w:t xml:space="preserve"> with PD. </w:t>
      </w:r>
      <w:r>
        <w:rPr>
          <w:rFonts w:asciiTheme="majorBidi" w:hAnsiTheme="majorBidi" w:cstheme="majorBidi"/>
        </w:rPr>
        <w:t>Additionally, to identify points of similarity and differences between individuals</w:t>
      </w:r>
      <w:r w:rsidRPr="006E3E55">
        <w:rPr>
          <w:rFonts w:asciiTheme="majorBidi" w:hAnsiTheme="majorBidi" w:cstheme="majorBidi"/>
        </w:rPr>
        <w:t xml:space="preserve"> </w:t>
      </w:r>
      <w:r>
        <w:rPr>
          <w:rFonts w:asciiTheme="majorBidi" w:hAnsiTheme="majorBidi" w:cstheme="majorBidi"/>
        </w:rPr>
        <w:t xml:space="preserve">with PD and </w:t>
      </w:r>
      <w:r w:rsidR="00DF4FEA">
        <w:rPr>
          <w:rFonts w:asciiTheme="majorBidi" w:hAnsiTheme="majorBidi" w:cstheme="majorBidi"/>
        </w:rPr>
        <w:t>family members</w:t>
      </w:r>
      <w:r>
        <w:rPr>
          <w:rFonts w:asciiTheme="majorBidi" w:hAnsiTheme="majorBidi" w:cstheme="majorBidi"/>
        </w:rPr>
        <w:t>.</w:t>
      </w:r>
    </w:p>
    <w:p w14:paraId="7F80BB4B" w14:textId="5169134F" w:rsidR="00E31D12" w:rsidRPr="007054C0" w:rsidRDefault="00E31D12" w:rsidP="00E31D12">
      <w:pPr>
        <w:rPr>
          <w:rFonts w:asciiTheme="majorBidi" w:hAnsiTheme="majorBidi" w:cstheme="majorBidi"/>
        </w:rPr>
      </w:pPr>
      <w:r w:rsidRPr="007054C0">
        <w:rPr>
          <w:rFonts w:asciiTheme="majorBidi" w:hAnsiTheme="majorBidi" w:cstheme="majorBidi"/>
        </w:rPr>
        <w:t xml:space="preserve">To the best of our knowledge, this is the first study that explored the potential interaction between SARs and the PD population through focus groups with individuals with PD and </w:t>
      </w:r>
      <w:r w:rsidR="00DF4FEA">
        <w:rPr>
          <w:rFonts w:asciiTheme="majorBidi" w:hAnsiTheme="majorBidi" w:cstheme="majorBidi"/>
        </w:rPr>
        <w:t>family members</w:t>
      </w:r>
      <w:r w:rsidRPr="007054C0">
        <w:rPr>
          <w:rFonts w:asciiTheme="majorBidi" w:hAnsiTheme="majorBidi" w:cstheme="majorBidi"/>
        </w:rPr>
        <w:t xml:space="preserve"> of individuals with PD.  </w:t>
      </w:r>
    </w:p>
    <w:p w14:paraId="089E1A65" w14:textId="77777777" w:rsidR="00E31D12" w:rsidRDefault="00E31D12" w:rsidP="00E31D12">
      <w:pPr>
        <w:rPr>
          <w:rFonts w:asciiTheme="majorBidi" w:hAnsiTheme="majorBidi" w:cstheme="majorBidi"/>
        </w:rPr>
      </w:pPr>
      <w:r w:rsidRPr="007054C0">
        <w:rPr>
          <w:rFonts w:asciiTheme="majorBidi" w:hAnsiTheme="majorBidi" w:cstheme="majorBidi"/>
        </w:rPr>
        <w:t>The present research is a complementary study to a previous investigation done with PD clinicians (</w:t>
      </w:r>
      <w:r>
        <w:rPr>
          <w:rFonts w:asciiTheme="majorBidi" w:hAnsiTheme="majorBidi" w:cstheme="majorBidi"/>
        </w:rPr>
        <w:t>Bar-On</w:t>
      </w:r>
      <w:r w:rsidRPr="007054C0">
        <w:rPr>
          <w:rFonts w:asciiTheme="majorBidi" w:hAnsiTheme="majorBidi" w:cstheme="majorBidi"/>
        </w:rPr>
        <w:t xml:space="preserve"> et al</w:t>
      </w:r>
      <w:r>
        <w:rPr>
          <w:rFonts w:asciiTheme="majorBidi" w:hAnsiTheme="majorBidi" w:cstheme="majorBidi"/>
        </w:rPr>
        <w:t>.</w:t>
      </w:r>
      <w:r w:rsidRPr="007054C0">
        <w:rPr>
          <w:rFonts w:asciiTheme="majorBidi" w:hAnsiTheme="majorBidi" w:cstheme="majorBidi"/>
        </w:rPr>
        <w:t xml:space="preserve">, </w:t>
      </w:r>
      <w:r>
        <w:rPr>
          <w:rFonts w:asciiTheme="majorBidi" w:hAnsiTheme="majorBidi" w:cstheme="majorBidi"/>
        </w:rPr>
        <w:t>2022</w:t>
      </w:r>
      <w:r w:rsidRPr="007054C0">
        <w:rPr>
          <w:rFonts w:asciiTheme="majorBidi" w:hAnsiTheme="majorBidi" w:cstheme="majorBidi"/>
        </w:rPr>
        <w:t xml:space="preserve">). </w:t>
      </w:r>
    </w:p>
    <w:p w14:paraId="346748C5" w14:textId="77777777" w:rsidR="00E31D12" w:rsidRPr="00DD27DC" w:rsidRDefault="00E31D12" w:rsidP="00E31D12">
      <w:pPr>
        <w:rPr>
          <w:rFonts w:asciiTheme="majorBidi" w:hAnsiTheme="majorBidi" w:cstheme="majorBidi"/>
          <w:b/>
          <w:bCs/>
        </w:rPr>
      </w:pPr>
      <w:r w:rsidRPr="00DD27DC">
        <w:rPr>
          <w:rFonts w:asciiTheme="majorBidi" w:hAnsiTheme="majorBidi" w:cstheme="majorBidi"/>
          <w:b/>
          <w:bCs/>
        </w:rPr>
        <w:t>Similarities and differences</w:t>
      </w:r>
      <w:r>
        <w:rPr>
          <w:rFonts w:asciiTheme="majorBidi" w:hAnsiTheme="majorBidi" w:cstheme="majorBidi"/>
          <w:b/>
          <w:bCs/>
        </w:rPr>
        <w:t xml:space="preserve"> across the two population groups</w:t>
      </w:r>
    </w:p>
    <w:p w14:paraId="795F6A41" w14:textId="4C2193E1" w:rsidR="00E31D12" w:rsidRDefault="00E31D12" w:rsidP="00E31D12">
      <w:pPr>
        <w:rPr>
          <w:rFonts w:asciiTheme="majorBidi" w:hAnsiTheme="majorBidi" w:cstheme="majorBidi"/>
        </w:rPr>
      </w:pPr>
      <w:r>
        <w:rPr>
          <w:rFonts w:asciiTheme="majorBidi" w:hAnsiTheme="majorBidi" w:cstheme="majorBidi"/>
        </w:rPr>
        <w:t xml:space="preserve">When examining the results across the two population groups, it is apparent that there were serval of overlap agreement and disagreement between them. Broadly speaking, concerns about technology, including technical and operational issues, as well as the concern that robots will replace human interaction, were shared by both groups. There were specific needs from technology which differed across groups (e.g., the wish for mobility aids outside the home, expressed almost exclusively by PD), as well as specific difficulties (e.g., cognitive decline mentioned almost exclusively by </w:t>
      </w:r>
      <w:r w:rsidR="00DF4FEA">
        <w:rPr>
          <w:rFonts w:asciiTheme="majorBidi" w:hAnsiTheme="majorBidi" w:cstheme="majorBidi"/>
        </w:rPr>
        <w:t>family members</w:t>
      </w:r>
      <w:r>
        <w:rPr>
          <w:rFonts w:asciiTheme="majorBidi" w:hAnsiTheme="majorBidi" w:cstheme="majorBidi"/>
        </w:rPr>
        <w:t xml:space="preserve">). </w:t>
      </w:r>
    </w:p>
    <w:p w14:paraId="5C7C44C2" w14:textId="77777777" w:rsidR="00E31D12" w:rsidRPr="007F5C1E" w:rsidRDefault="00E31D12" w:rsidP="00E31D12">
      <w:pPr>
        <w:rPr>
          <w:rFonts w:asciiTheme="majorBidi" w:hAnsiTheme="majorBidi" w:cstheme="majorBidi"/>
          <w:i/>
          <w:iCs/>
          <w:u w:val="single"/>
          <w:rtl/>
        </w:rPr>
      </w:pPr>
      <w:r w:rsidRPr="00613E8A">
        <w:rPr>
          <w:rFonts w:asciiTheme="majorBidi" w:hAnsiTheme="majorBidi" w:cstheme="majorBidi"/>
          <w:i/>
          <w:iCs/>
          <w:u w:val="single"/>
        </w:rPr>
        <w:t>Similarities</w:t>
      </w:r>
    </w:p>
    <w:p w14:paraId="2666BE24" w14:textId="77777777" w:rsidR="00E31D12" w:rsidRPr="00613E8A" w:rsidRDefault="00E31D12" w:rsidP="00E31D12">
      <w:pPr>
        <w:rPr>
          <w:rFonts w:asciiTheme="majorBidi" w:hAnsiTheme="majorBidi" w:cstheme="majorBidi"/>
          <w:i/>
          <w:iCs/>
        </w:rPr>
      </w:pPr>
      <w:r w:rsidRPr="00613E8A">
        <w:rPr>
          <w:rFonts w:asciiTheme="majorBidi" w:hAnsiTheme="majorBidi" w:cstheme="majorBidi"/>
          <w:i/>
          <w:iCs/>
        </w:rPr>
        <w:t xml:space="preserve">Difficulties </w:t>
      </w:r>
      <w:r>
        <w:rPr>
          <w:rFonts w:asciiTheme="majorBidi" w:hAnsiTheme="majorBidi" w:cstheme="majorBidi"/>
          <w:i/>
          <w:iCs/>
        </w:rPr>
        <w:t>&amp;</w:t>
      </w:r>
      <w:r w:rsidRPr="00613E8A">
        <w:rPr>
          <w:rFonts w:asciiTheme="majorBidi" w:hAnsiTheme="majorBidi" w:cstheme="majorBidi"/>
          <w:i/>
          <w:iCs/>
        </w:rPr>
        <w:t xml:space="preserve"> Ideas</w:t>
      </w:r>
      <w:r>
        <w:rPr>
          <w:rFonts w:asciiTheme="majorBidi" w:hAnsiTheme="majorBidi" w:cstheme="majorBidi"/>
          <w:i/>
          <w:iCs/>
        </w:rPr>
        <w:t xml:space="preserve"> for assistive technology </w:t>
      </w:r>
    </w:p>
    <w:p w14:paraId="4E9921A0" w14:textId="6E984299" w:rsidR="00E31D12" w:rsidRDefault="00E31D12" w:rsidP="00E31D12">
      <w:pPr>
        <w:spacing w:before="240"/>
        <w:rPr>
          <w:rFonts w:asciiTheme="majorBidi" w:hAnsiTheme="majorBidi" w:cstheme="majorBidi"/>
        </w:rPr>
      </w:pPr>
      <w:r w:rsidRPr="006E3E55">
        <w:rPr>
          <w:rFonts w:asciiTheme="majorBidi" w:hAnsiTheme="majorBidi" w:cstheme="majorBidi"/>
        </w:rPr>
        <w:lastRenderedPageBreak/>
        <w:t xml:space="preserve">In both population groups, when the participants were asked to raise difficulties of individuals living with PD, difficulties related to the motor aspect </w:t>
      </w:r>
      <w:r>
        <w:rPr>
          <w:rFonts w:asciiTheme="majorBidi" w:hAnsiTheme="majorBidi" w:cstheme="majorBidi"/>
        </w:rPr>
        <w:t>were most frequently mentioned</w:t>
      </w:r>
      <w:r w:rsidRPr="006E3E55">
        <w:rPr>
          <w:rFonts w:asciiTheme="majorBidi" w:hAnsiTheme="majorBidi" w:cstheme="majorBidi"/>
        </w:rPr>
        <w:t xml:space="preserve">. Motor difficulties accounted for 52% of all difficulties that </w:t>
      </w:r>
      <w:r>
        <w:rPr>
          <w:rFonts w:asciiTheme="majorBidi" w:hAnsiTheme="majorBidi" w:cstheme="majorBidi"/>
        </w:rPr>
        <w:t>were raised</w:t>
      </w:r>
      <w:r w:rsidRPr="006E3E55">
        <w:rPr>
          <w:rFonts w:asciiTheme="majorBidi" w:hAnsiTheme="majorBidi" w:cstheme="majorBidi"/>
        </w:rPr>
        <w:t xml:space="preserve"> </w:t>
      </w:r>
      <w:r>
        <w:rPr>
          <w:rFonts w:asciiTheme="majorBidi" w:hAnsiTheme="majorBidi" w:cstheme="majorBidi"/>
        </w:rPr>
        <w:t>by</w:t>
      </w:r>
      <w:r w:rsidRPr="006E3E55">
        <w:rPr>
          <w:rFonts w:asciiTheme="majorBidi" w:hAnsiTheme="majorBidi" w:cstheme="majorBidi"/>
        </w:rPr>
        <w:t xml:space="preserve"> individuals with PD and 44% in </w:t>
      </w:r>
      <w:r w:rsidR="00DF4FEA">
        <w:rPr>
          <w:rFonts w:asciiTheme="majorBidi" w:hAnsiTheme="majorBidi" w:cstheme="majorBidi"/>
        </w:rPr>
        <w:t>family members</w:t>
      </w:r>
      <w:r w:rsidRPr="006E3E55">
        <w:rPr>
          <w:rFonts w:asciiTheme="majorBidi" w:hAnsiTheme="majorBidi" w:cstheme="majorBidi"/>
        </w:rPr>
        <w:t>. The motor difficulties in Parkinson's are a significant component of the disease (</w:t>
      </w:r>
      <w:proofErr w:type="spellStart"/>
      <w:r w:rsidRPr="006E3E55">
        <w:rPr>
          <w:rFonts w:asciiTheme="majorBidi" w:hAnsiTheme="majorBidi" w:cstheme="majorBidi"/>
        </w:rPr>
        <w:t>Aarsland</w:t>
      </w:r>
      <w:proofErr w:type="spellEnd"/>
      <w:r w:rsidRPr="006E3E55">
        <w:rPr>
          <w:rFonts w:asciiTheme="majorBidi" w:hAnsiTheme="majorBidi" w:cstheme="majorBidi"/>
        </w:rPr>
        <w:t xml:space="preserve"> et al., 2021; Lee &amp; Koh, 2015), and this</w:t>
      </w:r>
      <w:r>
        <w:rPr>
          <w:rFonts w:asciiTheme="majorBidi" w:hAnsiTheme="majorBidi" w:cstheme="majorBidi"/>
        </w:rPr>
        <w:t xml:space="preserve"> is indeed</w:t>
      </w:r>
      <w:r w:rsidRPr="006E3E55">
        <w:rPr>
          <w:rFonts w:asciiTheme="majorBidi" w:hAnsiTheme="majorBidi" w:cstheme="majorBidi"/>
        </w:rPr>
        <w:t xml:space="preserve"> </w:t>
      </w:r>
      <w:r>
        <w:rPr>
          <w:rFonts w:asciiTheme="majorBidi" w:hAnsiTheme="majorBidi" w:cstheme="majorBidi"/>
        </w:rPr>
        <w:t xml:space="preserve">reflected in the reported subjective experience of </w:t>
      </w:r>
      <w:r w:rsidRPr="006E3E55">
        <w:rPr>
          <w:rFonts w:asciiTheme="majorBidi" w:hAnsiTheme="majorBidi" w:cstheme="majorBidi"/>
        </w:rPr>
        <w:t xml:space="preserve">our research participants </w:t>
      </w:r>
      <w:r>
        <w:rPr>
          <w:rFonts w:asciiTheme="majorBidi" w:hAnsiTheme="majorBidi" w:cstheme="majorBidi"/>
        </w:rPr>
        <w:t>as</w:t>
      </w:r>
      <w:r w:rsidRPr="006E3E55">
        <w:rPr>
          <w:rFonts w:asciiTheme="majorBidi" w:hAnsiTheme="majorBidi" w:cstheme="majorBidi"/>
        </w:rPr>
        <w:t xml:space="preserve"> they emphasize motor difficulties above all other difficulties.</w:t>
      </w:r>
      <w:r>
        <w:rPr>
          <w:rFonts w:asciiTheme="majorBidi" w:hAnsiTheme="majorBidi" w:cstheme="majorBidi"/>
        </w:rPr>
        <w:br/>
      </w:r>
      <w:r w:rsidRPr="006E3E55">
        <w:rPr>
          <w:rFonts w:asciiTheme="majorBidi" w:hAnsiTheme="majorBidi" w:cstheme="majorBidi"/>
        </w:rPr>
        <w:t xml:space="preserve">Among the motor difficulties, difficulty </w:t>
      </w:r>
      <w:r>
        <w:rPr>
          <w:rFonts w:asciiTheme="majorBidi" w:hAnsiTheme="majorBidi" w:cstheme="majorBidi"/>
        </w:rPr>
        <w:t xml:space="preserve">in </w:t>
      </w:r>
      <w:r w:rsidRPr="006E3E55">
        <w:rPr>
          <w:rFonts w:asciiTheme="majorBidi" w:hAnsiTheme="majorBidi" w:cstheme="majorBidi"/>
        </w:rPr>
        <w:t xml:space="preserve">walking was </w:t>
      </w:r>
      <w:r>
        <w:rPr>
          <w:rFonts w:asciiTheme="majorBidi" w:hAnsiTheme="majorBidi" w:cstheme="majorBidi"/>
        </w:rPr>
        <w:t xml:space="preserve">raised as </w:t>
      </w:r>
      <w:r w:rsidRPr="006E3E55">
        <w:rPr>
          <w:rFonts w:asciiTheme="majorBidi" w:hAnsiTheme="majorBidi" w:cstheme="majorBidi"/>
        </w:rPr>
        <w:t>significant</w:t>
      </w:r>
      <w:r>
        <w:rPr>
          <w:rFonts w:asciiTheme="majorBidi" w:hAnsiTheme="majorBidi" w:cstheme="majorBidi"/>
        </w:rPr>
        <w:t>ly important</w:t>
      </w:r>
      <w:r w:rsidRPr="006E3E55">
        <w:rPr>
          <w:rFonts w:asciiTheme="majorBidi" w:hAnsiTheme="majorBidi" w:cstheme="majorBidi"/>
        </w:rPr>
        <w:t xml:space="preserve"> and was mentioned by 18 participants from both population groups (combined). Walking is an essential aspect of independence in everyday activities (Jones et al. 2008), which </w:t>
      </w:r>
      <w:r>
        <w:rPr>
          <w:rFonts w:asciiTheme="majorBidi" w:hAnsiTheme="majorBidi" w:cstheme="majorBidi"/>
        </w:rPr>
        <w:t xml:space="preserve">likely explains </w:t>
      </w:r>
      <w:r w:rsidRPr="006E3E55">
        <w:rPr>
          <w:rFonts w:asciiTheme="majorBidi" w:hAnsiTheme="majorBidi" w:cstheme="majorBidi"/>
        </w:rPr>
        <w:t xml:space="preserve">why walking-related issues were frequently brought up in group discussions by </w:t>
      </w:r>
      <w:r>
        <w:rPr>
          <w:rFonts w:asciiTheme="majorBidi" w:hAnsiTheme="majorBidi" w:cstheme="majorBidi"/>
        </w:rPr>
        <w:t xml:space="preserve">both </w:t>
      </w:r>
      <w:r w:rsidRPr="006E3E55">
        <w:rPr>
          <w:rFonts w:asciiTheme="majorBidi" w:hAnsiTheme="majorBidi" w:cstheme="majorBidi"/>
        </w:rPr>
        <w:t xml:space="preserve">individuals with PD and by </w:t>
      </w:r>
      <w:r w:rsidR="00DF4FEA">
        <w:rPr>
          <w:rFonts w:asciiTheme="majorBidi" w:hAnsiTheme="majorBidi" w:cstheme="majorBidi"/>
        </w:rPr>
        <w:t>family members</w:t>
      </w:r>
      <w:r w:rsidRPr="006E3E55">
        <w:rPr>
          <w:rFonts w:asciiTheme="majorBidi" w:hAnsiTheme="majorBidi" w:cstheme="majorBidi"/>
        </w:rPr>
        <w:t>.</w:t>
      </w:r>
    </w:p>
    <w:p w14:paraId="63ABD9F4" w14:textId="3D56731A" w:rsidR="00E31D12" w:rsidRPr="007F03C8" w:rsidRDefault="00E31D12" w:rsidP="00942C40">
      <w:pPr>
        <w:rPr>
          <w:rFonts w:asciiTheme="majorBidi" w:hAnsiTheme="majorBidi" w:cstheme="majorBidi"/>
          <w:rtl/>
        </w:rPr>
      </w:pPr>
      <w:r w:rsidRPr="00E94950">
        <w:rPr>
          <w:rFonts w:asciiTheme="majorBidi" w:hAnsiTheme="majorBidi" w:cstheme="majorBidi"/>
        </w:rPr>
        <w:t xml:space="preserve">After asking the participants to indicate the difficulties, we asked them to </w:t>
      </w:r>
      <w:r>
        <w:rPr>
          <w:rFonts w:asciiTheme="majorBidi" w:hAnsiTheme="majorBidi" w:cstheme="majorBidi"/>
        </w:rPr>
        <w:t>suggest ideas for assistive technology that could assist them with those difficulties</w:t>
      </w:r>
      <w:r w:rsidRPr="00E94950">
        <w:rPr>
          <w:rFonts w:asciiTheme="majorBidi" w:hAnsiTheme="majorBidi" w:cstheme="majorBidi"/>
        </w:rPr>
        <w:t xml:space="preserve"> or </w:t>
      </w:r>
      <w:r>
        <w:rPr>
          <w:rFonts w:asciiTheme="majorBidi" w:hAnsiTheme="majorBidi" w:cstheme="majorBidi"/>
        </w:rPr>
        <w:t xml:space="preserve">with </w:t>
      </w:r>
      <w:r w:rsidRPr="00E94950">
        <w:rPr>
          <w:rFonts w:asciiTheme="majorBidi" w:hAnsiTheme="majorBidi" w:cstheme="majorBidi"/>
        </w:rPr>
        <w:t xml:space="preserve">other difficulties. As in the </w:t>
      </w:r>
      <w:r w:rsidRPr="008F4256">
        <w:rPr>
          <w:rFonts w:asciiTheme="majorBidi" w:hAnsiTheme="majorBidi" w:cstheme="majorBidi"/>
          <w:i/>
          <w:iCs/>
        </w:rPr>
        <w:t>difficulties</w:t>
      </w:r>
      <w:r w:rsidRPr="00E94950">
        <w:rPr>
          <w:rFonts w:asciiTheme="majorBidi" w:hAnsiTheme="majorBidi" w:cstheme="majorBidi"/>
        </w:rPr>
        <w:t xml:space="preserve"> theme, in the </w:t>
      </w:r>
      <w:r w:rsidRPr="008F4256">
        <w:rPr>
          <w:rFonts w:asciiTheme="majorBidi" w:hAnsiTheme="majorBidi" w:cstheme="majorBidi"/>
          <w:i/>
          <w:iCs/>
        </w:rPr>
        <w:t>ideas for assistive technology</w:t>
      </w:r>
      <w:r w:rsidRPr="00E94950">
        <w:rPr>
          <w:rFonts w:asciiTheme="majorBidi" w:hAnsiTheme="majorBidi" w:cstheme="majorBidi"/>
        </w:rPr>
        <w:t xml:space="preserve"> theme, the category of ideas intended to help with </w:t>
      </w:r>
      <w:r w:rsidRPr="00897C39">
        <w:rPr>
          <w:rFonts w:asciiTheme="majorBidi" w:hAnsiTheme="majorBidi" w:cstheme="majorBidi"/>
          <w:i/>
          <w:iCs/>
        </w:rPr>
        <w:t>mobility</w:t>
      </w:r>
      <w:r w:rsidRPr="00E94950">
        <w:rPr>
          <w:rFonts w:asciiTheme="majorBidi" w:hAnsiTheme="majorBidi" w:cstheme="majorBidi"/>
        </w:rPr>
        <w:t xml:space="preserve"> was the </w:t>
      </w:r>
      <w:r>
        <w:rPr>
          <w:rFonts w:asciiTheme="majorBidi" w:hAnsiTheme="majorBidi" w:cstheme="majorBidi"/>
        </w:rPr>
        <w:t>most prominent</w:t>
      </w:r>
      <w:r w:rsidRPr="00E94950">
        <w:rPr>
          <w:rFonts w:asciiTheme="majorBidi" w:hAnsiTheme="majorBidi" w:cstheme="majorBidi"/>
        </w:rPr>
        <w:t xml:space="preserve"> among both populations. An interesting point that was repeated among both population groups was the fact that some participants mentioned some difficulties, but almost no technological solutions were offered to overcome them. For example, </w:t>
      </w:r>
      <w:r>
        <w:rPr>
          <w:rFonts w:asciiTheme="majorBidi" w:hAnsiTheme="majorBidi" w:cstheme="majorBidi"/>
        </w:rPr>
        <w:t>a</w:t>
      </w:r>
      <w:r w:rsidRPr="0071203C">
        <w:rPr>
          <w:rFonts w:asciiTheme="majorBidi" w:hAnsiTheme="majorBidi" w:cstheme="majorBidi"/>
        </w:rPr>
        <w:t xml:space="preserve"> total of 11 participants from both populations mentioned sleep disorders, but no technological solution has been suggested.</w:t>
      </w:r>
      <w:r w:rsidRPr="00E94950">
        <w:rPr>
          <w:rFonts w:asciiTheme="majorBidi" w:hAnsiTheme="majorBidi" w:cstheme="majorBidi"/>
        </w:rPr>
        <w:t xml:space="preserve"> In another example, nine participants from both </w:t>
      </w:r>
      <w:r>
        <w:rPr>
          <w:rFonts w:asciiTheme="majorBidi" w:hAnsiTheme="majorBidi" w:cstheme="majorBidi"/>
        </w:rPr>
        <w:t>population groups</w:t>
      </w:r>
      <w:r w:rsidRPr="00E94950">
        <w:rPr>
          <w:rFonts w:asciiTheme="majorBidi" w:hAnsiTheme="majorBidi" w:cstheme="majorBidi"/>
        </w:rPr>
        <w:t xml:space="preserve"> raised pain-related issues, </w:t>
      </w:r>
      <w:r>
        <w:rPr>
          <w:rFonts w:asciiTheme="majorBidi" w:hAnsiTheme="majorBidi" w:cstheme="majorBidi"/>
        </w:rPr>
        <w:t>corresponding to existing literature on PD</w:t>
      </w:r>
      <w:r w:rsidR="00DF4FEA">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{"citationID":"HPjMZoGr","properties":{"formattedCitation":"(Buhmann et al., 2020; Mostofi et al., 2021)","plainCitation":"(Buhmann et al., 2020; Mostofi et al., 2021)","noteIndex":0},"citationItems":[{"id":303,"uris":["http://zotero.org/users/9293396/items/FXYKZ7TA"],"itemData":{"id":303,"type":"article-journal","abstract":"Pain is a very frequent symptom with influence on the quality of life in Parkinson's disease (PD), but is still underdiagnosed and commonly treated only unsystematically. Pain etiology and pain character are often complex and multi-causal, and data regarding treatment recommendations are limited. Pain can be primarily related to PD but frequently it is associated with secondary diseases, such as arthrosis of the spine or joints. However, even basically PD-unrelated pain often is amplified by motor- or non-motor PD symptoms, such as akinesia or depression. Beyond an optimization of anti-parkinsonian treatment, additional pain treatment strategies are usually needed to properly address pain in PD. A careful pain history and diagnostic work-up is essential to rate the underlying pain pathophysiology and to develop a targeted therapeutic concept. This review gives an overview on how pain is treated in PD patients and how patients assess the effectiveness of these therapies; here, the manuscript focuses on pathophysiology-driven suggestions for a multimodal pain management in clinical practice.","container-title":"Journal of Parkinson's Disease","DOI":"10.3233/JPD-202069","ISSN":"1877-718X","issue":"s1","journalAbbreviation":"J Parkinsons Dis","language":"eng","note":"PMID: 32568113\nPMCID: PMC7592654","page":"S37-S48","source":"PubMed","title":"Management of Pain in Parkinson's Disease","volume":"10","author":[{"family":"Buhmann","given":"Carsten"},{"family":"Kassubek","given":"Jan"},{"family":"Jost","given":"Wolfgang H."}],"issued":{"date-parts":[["2020"]]}}},{"id":305,"uris":["http://zotero.org/users/9293396/items/EHWQZT27"],"itemData":{"id":305,"type":"article-journal","abstract":"Pain is a frequent and poorly treated symptom of Parkinson's disease, mainly due to scarce knowledge of its basic mechanisms. In Parkinson's disease, deep brain stimulation of the subthalamic nucleus is a successful treatment of motor symptoms, but also might be effective in treating pain. However, it has been unclear which type of pain may benefit and how neurostimulation of the subthalamic nucleus might interfere with pain processing in Parkinson's disease. We hypothesized that the subthalamic nucleus may be an effective access point for modulation of neural systems subserving pain perception and processing in Parkinson's disease. To explore this, we discuss data from human neurophysiological and psychophysical investigations. We review studies demonstrating the clinical efficacy of deep brain stimulation of the subthalamic nucleus for pain relief in Parkinson's disease. Finally, we present some of the key insights from investigations in animal models, healthy humans and Parkinson's disease patients into the aberrant neurobiology of pain processing and consider their implications for the pain-relieving effects of subthalamic nucleus neuromodulation. The evidence from clinical and experimental studies supports the hypothesis that altered central processing is critical for pain generation in Parkinson's disease and that the subthalamic nucleus is a key structure in pain perception and modulation. Future preclinical and clinical research should consider the subthalamic nucleus as an entry point to modulate different types of pain, not only in Parkinson's disease but also in other neurological conditions associated with abnormal pain processing.","container-title":"Brain: A Journal of Neurology","DOI":"10.1093/brain/awab001","ISSN":"1460-2156","issue":"5","journalAbbreviation":"Brain","language":"eng","note":"PMID: 34037696\nPMCID: PMC7612468","page":"1342-1350","source":"PubMed","title":"Pain in Parkinson's disease and the role of the subthalamic nucleus","volume":"144","author":[{"family":"Mostofi","given":"Abteen"},{"family":"Morgante","given":"Francesca"},{"family":"Edwards","given":"Mark J."},{"family":"Brown","given":"Peter"},{"family":"Pereira","given":"Erlick A. C."}],"issued":{"date-parts":[["2021",6,22]]}}}],"schema":"https://github.com/citation-style-language/schema/raw/master/csl-citation.json"} </w:instrText>
      </w:r>
      <w:r>
        <w:rPr>
          <w:rFonts w:asciiTheme="majorBidi" w:hAnsiTheme="majorBidi" w:cstheme="majorBidi"/>
        </w:rPr>
        <w:fldChar w:fldCharType="separate"/>
      </w:r>
      <w:r w:rsidR="00942C40" w:rsidRPr="00942C40">
        <w:t>(</w:t>
      </w:r>
      <w:proofErr w:type="spellStart"/>
      <w:r w:rsidR="00942C40" w:rsidRPr="00942C40">
        <w:t>Buhmann</w:t>
      </w:r>
      <w:proofErr w:type="spellEnd"/>
      <w:r w:rsidR="00942C40" w:rsidRPr="00942C40">
        <w:t xml:space="preserve"> et al., 2020; Mostofi et al., 2021)</w:t>
      </w:r>
      <w:r>
        <w:rPr>
          <w:rFonts w:asciiTheme="majorBidi" w:hAnsiTheme="majorBidi" w:cstheme="majorBidi"/>
        </w:rPr>
        <w:fldChar w:fldCharType="end"/>
      </w:r>
      <w:r>
        <w:rPr>
          <w:rFonts w:asciiTheme="majorBidi" w:hAnsiTheme="majorBidi" w:cstheme="majorBidi"/>
        </w:rPr>
        <w:t xml:space="preserve">, </w:t>
      </w:r>
      <w:r w:rsidRPr="00E94950">
        <w:rPr>
          <w:rFonts w:asciiTheme="majorBidi" w:hAnsiTheme="majorBidi" w:cstheme="majorBidi"/>
        </w:rPr>
        <w:t xml:space="preserve">while only two </w:t>
      </w:r>
      <w:r>
        <w:rPr>
          <w:rFonts w:asciiTheme="majorBidi" w:hAnsiTheme="majorBidi" w:cstheme="majorBidi"/>
        </w:rPr>
        <w:t xml:space="preserve">participants </w:t>
      </w:r>
      <w:r w:rsidRPr="00E94950">
        <w:rPr>
          <w:rFonts w:asciiTheme="majorBidi" w:hAnsiTheme="majorBidi" w:cstheme="majorBidi"/>
        </w:rPr>
        <w:t>(both</w:t>
      </w:r>
      <w:r>
        <w:rPr>
          <w:rFonts w:asciiTheme="majorBidi" w:hAnsiTheme="majorBidi" w:cstheme="majorBidi"/>
        </w:rPr>
        <w:t xml:space="preserve"> from the</w:t>
      </w:r>
      <w:r w:rsidRPr="00E94950">
        <w:rPr>
          <w:rFonts w:asciiTheme="majorBidi" w:hAnsiTheme="majorBidi" w:cstheme="majorBidi"/>
        </w:rPr>
        <w:t xml:space="preserve"> </w:t>
      </w:r>
      <w:r w:rsidR="00DF4FEA">
        <w:rPr>
          <w:rFonts w:asciiTheme="majorBidi" w:hAnsiTheme="majorBidi" w:cstheme="majorBidi"/>
        </w:rPr>
        <w:t>family members</w:t>
      </w:r>
      <w:r>
        <w:rPr>
          <w:rFonts w:asciiTheme="majorBidi" w:hAnsiTheme="majorBidi" w:cstheme="majorBidi"/>
        </w:rPr>
        <w:t xml:space="preserve"> group</w:t>
      </w:r>
      <w:r w:rsidRPr="00E94950">
        <w:rPr>
          <w:rFonts w:asciiTheme="majorBidi" w:hAnsiTheme="majorBidi" w:cstheme="majorBidi"/>
        </w:rPr>
        <w:t xml:space="preserve">) proposed a technological solution to this issue. Participants possibly did not believe that technology </w:t>
      </w:r>
      <w:r>
        <w:rPr>
          <w:rFonts w:asciiTheme="majorBidi" w:hAnsiTheme="majorBidi" w:cstheme="majorBidi"/>
        </w:rPr>
        <w:t>c</w:t>
      </w:r>
      <w:r w:rsidRPr="00E94950">
        <w:rPr>
          <w:rFonts w:asciiTheme="majorBidi" w:hAnsiTheme="majorBidi" w:cstheme="majorBidi"/>
        </w:rPr>
        <w:t>ould solve th</w:t>
      </w:r>
      <w:r>
        <w:rPr>
          <w:rFonts w:asciiTheme="majorBidi" w:hAnsiTheme="majorBidi" w:cstheme="majorBidi"/>
        </w:rPr>
        <w:t>e</w:t>
      </w:r>
      <w:r w:rsidRPr="00E94950">
        <w:rPr>
          <w:rFonts w:asciiTheme="majorBidi" w:hAnsiTheme="majorBidi" w:cstheme="majorBidi"/>
        </w:rPr>
        <w:t>s</w:t>
      </w:r>
      <w:r>
        <w:rPr>
          <w:rFonts w:asciiTheme="majorBidi" w:hAnsiTheme="majorBidi" w:cstheme="majorBidi"/>
        </w:rPr>
        <w:t>e</w:t>
      </w:r>
      <w:r w:rsidRPr="00E94950">
        <w:rPr>
          <w:rFonts w:asciiTheme="majorBidi" w:hAnsiTheme="majorBidi" w:cstheme="majorBidi"/>
        </w:rPr>
        <w:t xml:space="preserve"> </w:t>
      </w:r>
      <w:r>
        <w:rPr>
          <w:rFonts w:asciiTheme="majorBidi" w:hAnsiTheme="majorBidi" w:cstheme="majorBidi"/>
        </w:rPr>
        <w:t>difficulties</w:t>
      </w:r>
      <w:r w:rsidRPr="00E94950">
        <w:rPr>
          <w:rFonts w:asciiTheme="majorBidi" w:hAnsiTheme="majorBidi" w:cstheme="majorBidi"/>
        </w:rPr>
        <w:t xml:space="preserve"> and therefore did not </w:t>
      </w:r>
      <w:r>
        <w:rPr>
          <w:rFonts w:asciiTheme="majorBidi" w:hAnsiTheme="majorBidi" w:cstheme="majorBidi"/>
        </w:rPr>
        <w:t>propose</w:t>
      </w:r>
      <w:r w:rsidRPr="00E94950">
        <w:rPr>
          <w:rFonts w:asciiTheme="majorBidi" w:hAnsiTheme="majorBidi" w:cstheme="majorBidi"/>
        </w:rPr>
        <w:t xml:space="preserve"> technological solutions for these problems.</w:t>
      </w:r>
    </w:p>
    <w:p w14:paraId="52D555E2" w14:textId="77777777" w:rsidR="00E31D12" w:rsidRDefault="00E31D12" w:rsidP="00E31D12">
      <w:pPr>
        <w:rPr>
          <w:rFonts w:asciiTheme="majorBidi" w:hAnsiTheme="majorBidi" w:cstheme="majorBidi"/>
          <w:i/>
          <w:iCs/>
        </w:rPr>
      </w:pPr>
      <w:r>
        <w:rPr>
          <w:rFonts w:asciiTheme="majorBidi" w:hAnsiTheme="majorBidi" w:cstheme="majorBidi"/>
          <w:i/>
          <w:iCs/>
        </w:rPr>
        <w:lastRenderedPageBreak/>
        <w:t>Concerns</w:t>
      </w:r>
    </w:p>
    <w:p w14:paraId="5D4C9CAF" w14:textId="6BB9FD64" w:rsidR="00E31D12" w:rsidRDefault="00E31D12" w:rsidP="00E31D12">
      <w:pPr>
        <w:rPr>
          <w:rFonts w:asciiTheme="majorBidi" w:hAnsiTheme="majorBidi" w:cstheme="majorBidi"/>
        </w:rPr>
      </w:pPr>
      <w:r>
        <w:rPr>
          <w:rFonts w:asciiTheme="majorBidi" w:hAnsiTheme="majorBidi" w:cstheme="majorBidi"/>
        </w:rPr>
        <w:t>O</w:t>
      </w:r>
      <w:r w:rsidRPr="00220FEA">
        <w:rPr>
          <w:rFonts w:asciiTheme="majorBidi" w:hAnsiTheme="majorBidi" w:cstheme="majorBidi"/>
        </w:rPr>
        <w:t xml:space="preserve">ver 50% of the concerns raised by individuals with PD and their </w:t>
      </w:r>
      <w:r w:rsidR="00DF4FEA">
        <w:rPr>
          <w:rFonts w:asciiTheme="majorBidi" w:hAnsiTheme="majorBidi" w:cstheme="majorBidi"/>
        </w:rPr>
        <w:t>family members</w:t>
      </w:r>
      <w:r w:rsidRPr="00220FEA">
        <w:rPr>
          <w:rFonts w:asciiTheme="majorBidi" w:hAnsiTheme="majorBidi" w:cstheme="majorBidi"/>
        </w:rPr>
        <w:t xml:space="preserve"> overlapped between the two groups. </w:t>
      </w:r>
      <w:r>
        <w:rPr>
          <w:rFonts w:asciiTheme="majorBidi" w:hAnsiTheme="majorBidi" w:cstheme="majorBidi"/>
        </w:rPr>
        <w:t>S</w:t>
      </w:r>
      <w:r w:rsidRPr="00220FEA">
        <w:rPr>
          <w:rFonts w:asciiTheme="majorBidi" w:hAnsiTheme="majorBidi" w:cstheme="majorBidi"/>
        </w:rPr>
        <w:t xml:space="preserve">everal concerns raised in this study were also </w:t>
      </w:r>
      <w:r>
        <w:rPr>
          <w:rFonts w:asciiTheme="majorBidi" w:hAnsiTheme="majorBidi" w:cstheme="majorBidi"/>
        </w:rPr>
        <w:t>mentioned by</w:t>
      </w:r>
      <w:r w:rsidRPr="00220FEA">
        <w:rPr>
          <w:rFonts w:asciiTheme="majorBidi" w:hAnsiTheme="majorBidi" w:cstheme="majorBidi"/>
        </w:rPr>
        <w:t xml:space="preserve"> clinicians</w:t>
      </w:r>
      <w:r>
        <w:rPr>
          <w:rFonts w:asciiTheme="majorBidi" w:hAnsiTheme="majorBidi" w:cstheme="majorBidi"/>
        </w:rPr>
        <w:t xml:space="preserve"> treating individuals with PD</w:t>
      </w:r>
      <w:r w:rsidRPr="00220FEA">
        <w:rPr>
          <w:rFonts w:asciiTheme="majorBidi" w:hAnsiTheme="majorBidi" w:cstheme="majorBidi"/>
        </w:rPr>
        <w:t xml:space="preserve"> (Bar-On et al., 2022). </w:t>
      </w:r>
    </w:p>
    <w:p w14:paraId="5F23E0C1" w14:textId="0F82E031" w:rsidR="00E31D12" w:rsidRDefault="00E31D12" w:rsidP="00E31D12">
      <w:pPr>
        <w:rPr>
          <w:rFonts w:asciiTheme="majorBidi" w:hAnsiTheme="majorBidi" w:cstheme="majorBidi"/>
          <w:rtl/>
        </w:rPr>
      </w:pPr>
      <w:r w:rsidRPr="007F03C8">
        <w:rPr>
          <w:rFonts w:asciiTheme="majorBidi" w:hAnsiTheme="majorBidi" w:cstheme="majorBidi"/>
        </w:rPr>
        <w:t xml:space="preserve">Specifically, there were </w:t>
      </w:r>
      <w:r>
        <w:rPr>
          <w:rFonts w:asciiTheme="majorBidi" w:hAnsiTheme="majorBidi" w:cstheme="majorBidi"/>
        </w:rPr>
        <w:t>three</w:t>
      </w:r>
      <w:r w:rsidRPr="007F03C8">
        <w:rPr>
          <w:rFonts w:asciiTheme="majorBidi" w:hAnsiTheme="majorBidi" w:cstheme="majorBidi"/>
        </w:rPr>
        <w:t xml:space="preserve"> </w:t>
      </w:r>
      <w:r>
        <w:rPr>
          <w:rFonts w:asciiTheme="majorBidi" w:hAnsiTheme="majorBidi" w:cstheme="majorBidi"/>
        </w:rPr>
        <w:t xml:space="preserve">main </w:t>
      </w:r>
      <w:r w:rsidRPr="007F03C8">
        <w:rPr>
          <w:rFonts w:asciiTheme="majorBidi" w:hAnsiTheme="majorBidi" w:cstheme="majorBidi"/>
        </w:rPr>
        <w:t xml:space="preserve">concerns that were </w:t>
      </w:r>
      <w:r w:rsidRPr="00A42E2C">
        <w:rPr>
          <w:rFonts w:asciiTheme="majorBidi" w:hAnsiTheme="majorBidi" w:cstheme="majorBidi"/>
        </w:rPr>
        <w:t>most frequently raised by</w:t>
      </w:r>
      <w:r w:rsidRPr="007F03C8">
        <w:rPr>
          <w:rFonts w:asciiTheme="majorBidi" w:hAnsiTheme="majorBidi" w:cstheme="majorBidi"/>
        </w:rPr>
        <w:t xml:space="preserve"> both populations</w:t>
      </w:r>
      <w:r>
        <w:rPr>
          <w:rFonts w:asciiTheme="majorBidi" w:hAnsiTheme="majorBidi" w:cstheme="majorBidi"/>
        </w:rPr>
        <w:t xml:space="preserve">; They concerned </w:t>
      </w:r>
      <w:r w:rsidRPr="006D0E2C">
        <w:rPr>
          <w:rFonts w:asciiTheme="majorBidi" w:hAnsiTheme="majorBidi" w:cstheme="majorBidi"/>
        </w:rPr>
        <w:t xml:space="preserve">the preservation of patient autonomy, the smooth operation of </w:t>
      </w:r>
      <w:r>
        <w:rPr>
          <w:rFonts w:asciiTheme="majorBidi" w:hAnsiTheme="majorBidi" w:cstheme="majorBidi"/>
        </w:rPr>
        <w:t xml:space="preserve">the </w:t>
      </w:r>
      <w:r w:rsidRPr="006D0E2C">
        <w:rPr>
          <w:rFonts w:asciiTheme="majorBidi" w:hAnsiTheme="majorBidi" w:cstheme="majorBidi"/>
        </w:rPr>
        <w:t>technology, and the impact of technology on human-human interactions</w:t>
      </w:r>
      <w:r>
        <w:rPr>
          <w:rFonts w:asciiTheme="majorBidi" w:hAnsiTheme="majorBidi" w:cstheme="majorBidi"/>
        </w:rPr>
        <w:t xml:space="preserve">. We detail these below. </w:t>
      </w:r>
    </w:p>
    <w:p w14:paraId="7E723DA0" w14:textId="3E099664" w:rsidR="00E31D12" w:rsidRDefault="00E31D12" w:rsidP="00942C40">
      <w:pPr>
        <w:pStyle w:val="ListParagraph"/>
        <w:numPr>
          <w:ilvl w:val="0"/>
          <w:numId w:val="4"/>
        </w:numPr>
        <w:spacing w:after="160"/>
        <w:jc w:val="left"/>
        <w:rPr>
          <w:rFonts w:asciiTheme="majorBidi" w:hAnsiTheme="majorBidi" w:cstheme="majorBidi"/>
        </w:rPr>
      </w:pPr>
      <w:r w:rsidRPr="00185178">
        <w:rPr>
          <w:rFonts w:asciiTheme="majorBidi" w:hAnsiTheme="majorBidi" w:cstheme="majorBidi"/>
          <w:b/>
          <w:bCs/>
        </w:rPr>
        <w:t>Autonomy</w:t>
      </w:r>
      <w:r>
        <w:rPr>
          <w:rFonts w:asciiTheme="majorBidi" w:hAnsiTheme="majorBidi" w:cstheme="majorBidi"/>
        </w:rPr>
        <w:t xml:space="preserve">. </w:t>
      </w:r>
      <w:r w:rsidRPr="00E94950">
        <w:rPr>
          <w:rFonts w:asciiTheme="majorBidi" w:hAnsiTheme="majorBidi" w:cstheme="majorBidi"/>
        </w:rPr>
        <w:t xml:space="preserve">The concern that the robot will </w:t>
      </w:r>
      <w:r>
        <w:rPr>
          <w:rFonts w:asciiTheme="majorBidi" w:hAnsiTheme="majorBidi" w:cstheme="majorBidi"/>
        </w:rPr>
        <w:t>"</w:t>
      </w:r>
      <w:r w:rsidRPr="00E94950">
        <w:rPr>
          <w:rFonts w:asciiTheme="majorBidi" w:hAnsiTheme="majorBidi" w:cstheme="majorBidi"/>
        </w:rPr>
        <w:t>help too much</w:t>
      </w:r>
      <w:r>
        <w:rPr>
          <w:rFonts w:asciiTheme="majorBidi" w:hAnsiTheme="majorBidi" w:cstheme="majorBidi"/>
        </w:rPr>
        <w:t>"</w:t>
      </w:r>
      <w:r w:rsidRPr="00E94950">
        <w:rPr>
          <w:rFonts w:asciiTheme="majorBidi" w:hAnsiTheme="majorBidi" w:cstheme="majorBidi"/>
        </w:rPr>
        <w:t xml:space="preserve"> causing functional deterioration (n=9).</w:t>
      </w:r>
      <w:r>
        <w:rPr>
          <w:rFonts w:asciiTheme="majorBidi" w:hAnsiTheme="majorBidi" w:cstheme="majorBidi"/>
        </w:rPr>
        <w:t xml:space="preserve"> </w:t>
      </w:r>
      <w:r w:rsidRPr="0071203C">
        <w:rPr>
          <w:rFonts w:asciiTheme="majorBidi" w:hAnsiTheme="majorBidi" w:cstheme="majorBidi"/>
        </w:rPr>
        <w:t xml:space="preserve">This result is consistent with </w:t>
      </w:r>
      <w:r>
        <w:rPr>
          <w:rFonts w:asciiTheme="majorBidi" w:hAnsiTheme="majorBidi" w:cstheme="majorBidi"/>
        </w:rPr>
        <w:t xml:space="preserve">a </w:t>
      </w:r>
      <w:r w:rsidRPr="0071203C">
        <w:rPr>
          <w:rFonts w:asciiTheme="majorBidi" w:hAnsiTheme="majorBidi" w:cstheme="majorBidi"/>
        </w:rPr>
        <w:t>previous stud</w:t>
      </w:r>
      <w:r>
        <w:rPr>
          <w:rFonts w:asciiTheme="majorBidi" w:hAnsiTheme="majorBidi" w:cstheme="majorBidi"/>
        </w:rPr>
        <w:t xml:space="preserve">y which found that PD clinicians expressed concern that robot assistance may lead to degeneration by providing </w:t>
      </w:r>
      <w:r w:rsidRPr="0071203C">
        <w:rPr>
          <w:rFonts w:asciiTheme="majorBidi" w:hAnsiTheme="majorBidi" w:cstheme="majorBidi"/>
        </w:rPr>
        <w:t>over-assistance</w:t>
      </w:r>
      <w:r w:rsidRPr="0071203C" w:rsidDel="0071203C">
        <w:rPr>
          <w:rFonts w:asciiTheme="majorBidi" w:hAnsiTheme="majorBidi" w:cstheme="majorBidi"/>
        </w:rPr>
        <w:t xml:space="preserve"> </w:t>
      </w:r>
      <w:r w:rsidRPr="00E94950">
        <w:rPr>
          <w:rFonts w:asciiTheme="majorBidi" w:hAnsiTheme="majorBidi" w:cstheme="majorBidi"/>
        </w:rPr>
        <w:t>(Bar-On et al., 2022).</w:t>
      </w:r>
      <w:r w:rsidRPr="00E94950">
        <w:rPr>
          <w:rFonts w:asciiTheme="majorBidi" w:hAnsiTheme="majorBidi" w:cstheme="majorBidi" w:hint="cs"/>
          <w:rtl/>
        </w:rPr>
        <w:t xml:space="preserve"> </w:t>
      </w:r>
      <w:r w:rsidRPr="00E94950">
        <w:rPr>
          <w:rFonts w:asciiTheme="majorBidi" w:hAnsiTheme="majorBidi" w:cstheme="majorBidi"/>
        </w:rPr>
        <w:t xml:space="preserve">It has been demonstrated by several studies that a lack of use of muscles results in a loss of motor units and a loss of function </w:t>
      </w:r>
      <w:r w:rsidRPr="00E94950">
        <w:rPr>
          <w:rFonts w:asciiTheme="majorBidi" w:hAnsiTheme="majorBidi" w:cstheme="majorBidi"/>
        </w:rPr>
        <w:fldChar w:fldCharType="begin"/>
      </w:r>
      <w:r w:rsidRPr="00E94950">
        <w:rPr>
          <w:rFonts w:asciiTheme="majorBidi" w:hAnsiTheme="majorBidi" w:cstheme="majorBidi"/>
        </w:rPr>
        <w:instrText xml:space="preserve"> ADDIN ZOTERO_ITEM CSL_CITATION {"citationID":"ctK7HXm3","properties":{"formattedCitation":"(Coletti et al., 2022; Mosole et al., 2016)","plainCitation":"(Coletti et al., 2022; Mosole et al., 2016)","noteIndex":0},"citationItems":[{"id":294,"uris":["http://zotero.org/users/9293396/items/KPQRT2TK"],"itemData":{"id":294,"type":"article-journal","abstract":"Sarcopenia is defined by the loss of muscle mass and function. In aging sarcopenia is due to mild chronic inflammation but also to fiber-intrinsic defects, such as mitochondrial dysfunction. Age-related sarcopenia is associated with physical disability and lowered quality of life. In addition to skeletal muscle, the nervous tissue is also affected in elderly people. With aging, type 2 fast fibers preferentially undergo denervation and are reinnervated by slow-twitch motor neurons. They spread forming new neuro-muscular junctions with the denervated fibers: the result is an increased proportion of slow fibers that group together since they are associated in the same motor unit. Grouping and fiber type shifting are indeed major histological features of aging skeletal muscle. Exercise has been proposed as an intervention for age-related sarcopenia due to its numerous beneficial effects on muscle mechanical and biochemical features. In 2013, a precursor study in humans was published in the European Journal of Translation Myology (formerly known as Basic and Applied Myology), highlighting the occurrence of reinnervation in the musculature of aged, exercise-trained individuals as compared to the matching control. This paper, entitled «Reinnervation of Vastus lateralis is increased significantly in seniors (70-years old) with a lifelong history of high-level exercise», is now being reprinted for the second issue of the «Ejtm Seminal Paper Series». In this short review we discuss those results in the light of the most recent advances confirming the occurrence of exercise-mediated reinnervation, ultimately preserving muscle structure and function in elderly people who exercise.","container-title":"European Journal of Translational Myology","DOI":"10.4081/ejtm.2022.10416","ISSN":"2037-7452","issue":"1","journalAbbreviation":"Eur J Transl Myol","language":"eng","note":"PMID: 35234025\nPMCID: PMC8992679","source":"PubMed","title":"Exercise-mediated reinnervation of skeletal muscle in elderly people: An update","title-short":"Exercise-mediated reinnervation of skeletal muscle in elderly people","volume":"32","author":[{"family":"Coletti","given":"Claudia"},{"family":"Acosta","given":"Gilberto F."},{"family":"Keslacy","given":"Stefan"},{"family":"Coletti","given":"Dario"}],"issued":{"date-parts":[["2022",2,28]]}}},{"id":297,"uris":["http://zotero.org/users/9293396/items/YGKHNMJT"],"itemData":{"id":297,"type":"article-journal","abstract":"Histochemistry, immuno-histochemistry, gel electrophoresis of single muscle fibers and electromyography of aging muscles and nerves suggest that: i) denervation contributes to muscle atrophy, ii) impaired mobility accelerates the process, and iii) lifelong running protects against loss of motor units. Recent corroborating results on the muscle effects of Functional Electrical Stimulation (FES) of aged muscles will be also mentioned, but we will in particular discuss how and why a lifelong increased physical activity sustains reinnervation of muscle fibers. By analyzing distribution and density of muscle fibers co-expressing fast and slow Myosin Heavy Chains (MHC) we are able to distinguish the transforming muscle fibers due to activity related plasticity, to those that adapt muscle fiber properties to denervation and reinnervation. In muscle biopsies from septuagenarians with a history of lifelong high-level recreational activity we recently observed in comparison to sedentary seniors: 1. decreased proportion of small-size angular myofibers (denervated muscle fibers); 2. considerable increase of fiber-type groupings of the slow type (reinnervated muscle fibers); 3. sparse presence of muscle fibers co-expressing fast and slow MHC. Immuno-histochemical characteristics fluctuate from those with scarce fiber-type modulation and groupings to almost complete transformed muscles, going through a process in which isolated fibers co-expressing fast and slow MHC fill the gaps among fiber groupings. Data suggest that lifelong high-level exercise allows the body to adapt to the consequences of the age-related denervation and that it preserves muscle structure and function by saving otherwise lost muscle fibers through recruitment to different slow motor units. This is an opposite behavior of that described in long term denervated or resting muscles. These effects of lifelong high level activity seems to act primarily on motor neurons, in particular on those always more active, i.e., on the slow motoneurons. The preferential reinnervation that follows along decades of increased activity maintains neuron and myofibers. All together the results open interesting perspectives for applications of FES and electroceuticals for rejuvenation of aged muscles to delay functional decline and loss of independence that are unavoidable burdens of advanced aging., Trial Registration: ClinicalTrials.gov: NCT01679977","container-title":"European Journal of Translational Myology","DOI":"10.4081/ejtm.2016.5972","ISSN":"2037-7452","issue":"4","journalAbbreviation":"Eur J Transl Myol","note":"PMID: 28078066\nPMCID: PMC5220213","page":"5972","source":"PubMed Central","title":"Use it or Lose It: Tonic Activity of Slow Motoneurons Promotes Their Survival and Preferentially Increases Slow Fiber-Type Groupings in Muscles of Old Lifelong Recreational Sportsmen","title-short":"Use it or Lose It","volume":"26","author":[{"family":"Mosole","given":"Simone"},{"family":"Carraro","given":"Ugo"},{"family":"Kern","given":"Helmut"},{"family":"Loefler","given":"Stefan"},{"family":"Zampieri","given":"Sandra"}],"issued":{"date-parts":[["2016",11,25]]}}}],"schema":"https://github.com/citation-style-language/schema/raw/master/csl-citation.json"} </w:instrText>
      </w:r>
      <w:r w:rsidRPr="00E94950">
        <w:rPr>
          <w:rFonts w:asciiTheme="majorBidi" w:hAnsiTheme="majorBidi" w:cstheme="majorBidi"/>
        </w:rPr>
        <w:fldChar w:fldCharType="separate"/>
      </w:r>
      <w:r w:rsidR="00942C40" w:rsidRPr="00942C40">
        <w:t>(Coletti et al., 2022; Mosole et al., 2016)</w:t>
      </w:r>
      <w:r w:rsidRPr="00E94950">
        <w:rPr>
          <w:rFonts w:asciiTheme="majorBidi" w:hAnsiTheme="majorBidi" w:cstheme="majorBidi"/>
        </w:rPr>
        <w:fldChar w:fldCharType="end"/>
      </w:r>
      <w:r w:rsidRPr="00E94950">
        <w:rPr>
          <w:rFonts w:asciiTheme="majorBidi" w:hAnsiTheme="majorBidi" w:cstheme="majorBidi"/>
        </w:rPr>
        <w:t xml:space="preserve"> and that a lack of use of cognitive abilities results in cognitive decline </w:t>
      </w:r>
      <w:r w:rsidRPr="00E94950">
        <w:rPr>
          <w:rFonts w:asciiTheme="majorBidi" w:hAnsiTheme="majorBidi" w:cstheme="majorBidi"/>
        </w:rPr>
        <w:fldChar w:fldCharType="begin"/>
      </w:r>
      <w:r w:rsidRPr="00E94950">
        <w:rPr>
          <w:rFonts w:asciiTheme="majorBidi" w:hAnsiTheme="majorBidi" w:cstheme="majorBidi"/>
        </w:rPr>
        <w:instrText xml:space="preserve"> ADDIN ZOTERO_ITEM CSL_CITATION {"citationID":"CSJqFo25","properties":{"formattedCitation":"(Mistridis et al., 2017)","plainCitation":"(Mistridis et al., 2017)","noteIndex":0},"citationItems":[{"id":300,"uris":["http://zotero.org/users/9293396/items/KUR4Y2LS"],"itemData":{"id":300,"type":"article-journal","abstract":"Because of the worldwide aging of populations, Alzheimer's disease and other dementias constitute a devastating experience for patients and families as well as a major social and economic burden for both healthcare systems and society. Multiple potentially modifiable cardiovascular and lifestyle risk factors have been associated with this disease. Thus, modifying these risk factors and identifying protective factors represent important strategies to prevent and delay disease onset and to decrease the social burden. Based on the cognitive reserve hypothesis, evidence from epidemiological studies shows that low education and cognitive inactivity constitute major risk factors for dementia. This indicates that a cognitively active lifestyle may protect against cognitive decline or delay the onset of dementia. We describe a newly developed preventive programme, based on this evidence, to stimulate and increase cognitive activity in older adults at risk for cognitive decline. This programme, called \"BrainCoach\", includes the technique of \"motivational interviewing\" to foster behaviour change. If the planned feasibility study is successful, we propose to add BrainCoach as a module to the already existing \"Health Coaching\" programme, a Swiss preventive programme to address multiple risk factors in primary care.","container-title":"Swiss Medical Weekly","DOI":"10.4414/smw.2017.14407","ISSN":"1424-3997","journalAbbreviation":"Swiss Med Wkly","language":"eng","note":"PMID: 28322422","page":"w14407","source":"PubMed","title":"Use it or lose it! Cognitive activity as a protec-tive factor for cognitive decline associated with Alzheimer's disease","volume":"147","author":[{"family":"Mistridis","given":"Panagiota"},{"family":"Mata","given":"Jutta"},{"family":"Neuner-Jehle","given":"Stefan"},{"family":"Annoni","given":"Jean-Marie"},{"family":"Biedermann","given":"Andreas"},{"family":"Bopp-Kistler","given":"Irene"},{"family":"Brand","given":"Dominique"},{"family":"Brioschi Guevara","given":"Andrea"},{"family":"Decrey-Wick","given":"Hedi"},{"family":"Démonet","given":"Jean-François"},{"family":"Hemmeter","given":"Ulrich"},{"family":"Kressig","given":"Reto W."},{"family":"Martin","given":"Brian"},{"family":"Rampa","given":"Luca"},{"family":"Savaskan","given":"Egemen"},{"family":"Stuck","given":"Andreas"},{"family":"Tschopp","given":"Philipp"},{"family":"Zekry","given":"Dina"},{"family":"Monsch","given":"Andreas"}],"issued":{"date-parts":[["2017"]]}}}],"schema":"https://github.com/citation-style-language/schema/raw/master/csl-citation.json"} </w:instrText>
      </w:r>
      <w:r w:rsidRPr="00E94950">
        <w:rPr>
          <w:rFonts w:asciiTheme="majorBidi" w:hAnsiTheme="majorBidi" w:cstheme="majorBidi"/>
        </w:rPr>
        <w:fldChar w:fldCharType="separate"/>
      </w:r>
      <w:r w:rsidR="00942C40" w:rsidRPr="00942C40">
        <w:t>(Mistridis et al., 2017)</w:t>
      </w:r>
      <w:r w:rsidRPr="00E94950">
        <w:rPr>
          <w:rFonts w:asciiTheme="majorBidi" w:hAnsiTheme="majorBidi" w:cstheme="majorBidi"/>
        </w:rPr>
        <w:fldChar w:fldCharType="end"/>
      </w:r>
      <w:r w:rsidRPr="00E94950">
        <w:rPr>
          <w:rFonts w:asciiTheme="majorBidi" w:hAnsiTheme="majorBidi" w:cstheme="majorBidi"/>
        </w:rPr>
        <w:t>. These studies</w:t>
      </w:r>
      <w:r w:rsidRPr="00E94950">
        <w:rPr>
          <w:rFonts w:asciiTheme="majorBidi" w:hAnsiTheme="majorBidi" w:cstheme="majorBidi" w:hint="cs"/>
          <w:rtl/>
        </w:rPr>
        <w:t xml:space="preserve"> </w:t>
      </w:r>
      <w:r w:rsidRPr="00E94950">
        <w:rPr>
          <w:rFonts w:asciiTheme="majorBidi" w:hAnsiTheme="majorBidi" w:cstheme="majorBidi"/>
        </w:rPr>
        <w:t xml:space="preserve">may explain why this concern has been widely raised </w:t>
      </w:r>
      <w:r>
        <w:rPr>
          <w:rFonts w:asciiTheme="majorBidi" w:hAnsiTheme="majorBidi" w:cstheme="majorBidi"/>
        </w:rPr>
        <w:t xml:space="preserve">across different </w:t>
      </w:r>
      <w:r w:rsidRPr="00E94950">
        <w:rPr>
          <w:rFonts w:asciiTheme="majorBidi" w:hAnsiTheme="majorBidi" w:cstheme="majorBidi"/>
        </w:rPr>
        <w:t>populations.</w:t>
      </w:r>
    </w:p>
    <w:p w14:paraId="7FB32A71" w14:textId="77777777" w:rsidR="00E31D12" w:rsidRPr="00E94950" w:rsidRDefault="00E31D12" w:rsidP="00E31D12">
      <w:pPr>
        <w:pStyle w:val="ListParagraph"/>
        <w:numPr>
          <w:ilvl w:val="0"/>
          <w:numId w:val="4"/>
        </w:numPr>
        <w:spacing w:after="160"/>
        <w:jc w:val="left"/>
        <w:rPr>
          <w:rFonts w:asciiTheme="majorBidi" w:hAnsiTheme="majorBidi" w:cstheme="majorBidi"/>
          <w:rtl/>
        </w:rPr>
      </w:pPr>
      <w:r w:rsidRPr="00BB475C">
        <w:rPr>
          <w:rFonts w:asciiTheme="majorBidi" w:hAnsiTheme="majorBidi" w:cstheme="majorBidi"/>
          <w:b/>
          <w:bCs/>
        </w:rPr>
        <w:t>Operation</w:t>
      </w:r>
      <w:r>
        <w:rPr>
          <w:rFonts w:asciiTheme="majorBidi" w:hAnsiTheme="majorBidi" w:cstheme="majorBidi"/>
        </w:rPr>
        <w:t xml:space="preserve">. </w:t>
      </w:r>
      <w:r w:rsidRPr="00E94950">
        <w:rPr>
          <w:rFonts w:asciiTheme="majorBidi" w:hAnsiTheme="majorBidi" w:cstheme="majorBidi"/>
        </w:rPr>
        <w:t xml:space="preserve">The </w:t>
      </w:r>
      <w:r>
        <w:rPr>
          <w:rFonts w:asciiTheme="majorBidi" w:hAnsiTheme="majorBidi" w:cstheme="majorBidi"/>
        </w:rPr>
        <w:t xml:space="preserve">operational </w:t>
      </w:r>
      <w:r w:rsidRPr="00E94950">
        <w:rPr>
          <w:rFonts w:asciiTheme="majorBidi" w:hAnsiTheme="majorBidi" w:cstheme="majorBidi"/>
        </w:rPr>
        <w:t xml:space="preserve">concern </w:t>
      </w:r>
      <w:r>
        <w:rPr>
          <w:rFonts w:asciiTheme="majorBidi" w:hAnsiTheme="majorBidi" w:cstheme="majorBidi"/>
        </w:rPr>
        <w:t>regarding</w:t>
      </w:r>
      <w:r w:rsidRPr="00E94950">
        <w:rPr>
          <w:rFonts w:asciiTheme="majorBidi" w:hAnsiTheme="majorBidi" w:cstheme="majorBidi"/>
        </w:rPr>
        <w:t xml:space="preserve"> technology</w:t>
      </w:r>
      <w:r w:rsidRPr="00E94950">
        <w:rPr>
          <w:rFonts w:asciiTheme="majorBidi" w:hAnsiTheme="majorBidi" w:cstheme="majorBidi" w:hint="cs"/>
          <w:rtl/>
        </w:rPr>
        <w:t xml:space="preserve"> </w:t>
      </w:r>
      <w:r w:rsidRPr="00E94950">
        <w:rPr>
          <w:rFonts w:asciiTheme="majorBidi" w:hAnsiTheme="majorBidi" w:cstheme="majorBidi"/>
        </w:rPr>
        <w:t>and technical support</w:t>
      </w:r>
      <w:r w:rsidRPr="00E94950">
        <w:rPr>
          <w:rFonts w:asciiTheme="majorBidi" w:hAnsiTheme="majorBidi" w:cstheme="majorBidi" w:hint="cs"/>
          <w:rtl/>
        </w:rPr>
        <w:t xml:space="preserve"> </w:t>
      </w:r>
      <w:r w:rsidRPr="00E94950">
        <w:rPr>
          <w:rFonts w:asciiTheme="majorBidi" w:hAnsiTheme="majorBidi" w:cstheme="majorBidi"/>
        </w:rPr>
        <w:t xml:space="preserve">(n=7). This concern was also </w:t>
      </w:r>
      <w:r>
        <w:rPr>
          <w:rFonts w:asciiTheme="majorBidi" w:hAnsiTheme="majorBidi" w:cstheme="majorBidi"/>
        </w:rPr>
        <w:t>mentioned</w:t>
      </w:r>
      <w:r w:rsidRPr="00E94950">
        <w:rPr>
          <w:rFonts w:asciiTheme="majorBidi" w:hAnsiTheme="majorBidi" w:cstheme="majorBidi"/>
        </w:rPr>
        <w:t xml:space="preserve"> in other studies, in which clinicians indicated that a robot for rehabilitation should be easy to operate (Feingold</w:t>
      </w:r>
      <w:r>
        <w:rPr>
          <w:rFonts w:asciiTheme="majorBidi" w:hAnsiTheme="majorBidi" w:cstheme="majorBidi"/>
        </w:rPr>
        <w:t xml:space="preserve"> </w:t>
      </w:r>
      <w:proofErr w:type="spellStart"/>
      <w:r w:rsidRPr="00E94950">
        <w:rPr>
          <w:rFonts w:asciiTheme="majorBidi" w:hAnsiTheme="majorBidi" w:cstheme="majorBidi"/>
        </w:rPr>
        <w:t>Polak</w:t>
      </w:r>
      <w:proofErr w:type="spellEnd"/>
      <w:r w:rsidRPr="00E94950">
        <w:rPr>
          <w:rFonts w:asciiTheme="majorBidi" w:hAnsiTheme="majorBidi" w:cstheme="majorBidi"/>
        </w:rPr>
        <w:t xml:space="preserve"> et al</w:t>
      </w:r>
      <w:r>
        <w:rPr>
          <w:rFonts w:asciiTheme="majorBidi" w:hAnsiTheme="majorBidi" w:cstheme="majorBidi"/>
        </w:rPr>
        <w:t>.</w:t>
      </w:r>
      <w:r w:rsidRPr="00E94950">
        <w:rPr>
          <w:rFonts w:asciiTheme="majorBidi" w:hAnsiTheme="majorBidi" w:cstheme="majorBidi"/>
        </w:rPr>
        <w:t>, 2022).</w:t>
      </w:r>
    </w:p>
    <w:p w14:paraId="1770330E" w14:textId="77777777" w:rsidR="00E31D12" w:rsidRDefault="00E31D12" w:rsidP="00E31D12">
      <w:pPr>
        <w:pStyle w:val="ListParagraph"/>
        <w:numPr>
          <w:ilvl w:val="0"/>
          <w:numId w:val="4"/>
        </w:numPr>
        <w:spacing w:after="160"/>
        <w:jc w:val="left"/>
        <w:rPr>
          <w:rFonts w:asciiTheme="majorBidi" w:hAnsiTheme="majorBidi" w:cstheme="majorBidi"/>
        </w:rPr>
      </w:pPr>
      <w:r w:rsidRPr="00363E2D">
        <w:rPr>
          <w:rFonts w:asciiTheme="majorBidi" w:hAnsiTheme="majorBidi" w:cstheme="majorBidi"/>
          <w:b/>
          <w:bCs/>
        </w:rPr>
        <w:t>Effect on human-human interactions</w:t>
      </w:r>
      <w:r>
        <w:rPr>
          <w:rFonts w:asciiTheme="majorBidi" w:hAnsiTheme="majorBidi" w:cstheme="majorBidi"/>
        </w:rPr>
        <w:t xml:space="preserve">. </w:t>
      </w:r>
      <w:r w:rsidRPr="005D2D87">
        <w:rPr>
          <w:rFonts w:asciiTheme="majorBidi" w:hAnsiTheme="majorBidi" w:cstheme="majorBidi"/>
        </w:rPr>
        <w:t xml:space="preserve">The </w:t>
      </w:r>
      <w:r>
        <w:rPr>
          <w:rFonts w:asciiTheme="majorBidi" w:hAnsiTheme="majorBidi" w:cstheme="majorBidi"/>
        </w:rPr>
        <w:t>concern</w:t>
      </w:r>
      <w:r w:rsidRPr="005D2D87">
        <w:rPr>
          <w:rFonts w:asciiTheme="majorBidi" w:hAnsiTheme="majorBidi" w:cstheme="majorBidi"/>
        </w:rPr>
        <w:t xml:space="preserve"> that robots will replace human interaction (n=4</w:t>
      </w:r>
      <w:r>
        <w:rPr>
          <w:rFonts w:asciiTheme="majorBidi" w:hAnsiTheme="majorBidi" w:cstheme="majorBidi"/>
        </w:rPr>
        <w:t>).</w:t>
      </w:r>
      <w:r w:rsidRPr="00F919C5">
        <w:rPr>
          <w:rFonts w:asciiTheme="majorBidi" w:hAnsiTheme="majorBidi" w:cstheme="majorBidi"/>
        </w:rPr>
        <w:t xml:space="preserve"> </w:t>
      </w:r>
      <w:r>
        <w:rPr>
          <w:rFonts w:asciiTheme="majorBidi" w:hAnsiTheme="majorBidi" w:cstheme="majorBidi"/>
        </w:rPr>
        <w:t>Other</w:t>
      </w:r>
      <w:r w:rsidRPr="00F919C5">
        <w:rPr>
          <w:rFonts w:asciiTheme="majorBidi" w:hAnsiTheme="majorBidi" w:cstheme="majorBidi"/>
        </w:rPr>
        <w:t xml:space="preserve"> studies</w:t>
      </w:r>
      <w:r>
        <w:rPr>
          <w:rFonts w:asciiTheme="majorBidi" w:hAnsiTheme="majorBidi" w:cstheme="majorBidi"/>
        </w:rPr>
        <w:t xml:space="preserve"> have raised similar concerns as to</w:t>
      </w:r>
      <w:r w:rsidRPr="00086613">
        <w:rPr>
          <w:rFonts w:asciiTheme="majorBidi" w:hAnsiTheme="majorBidi" w:cstheme="majorBidi"/>
        </w:rPr>
        <w:t xml:space="preserve"> the potential effects of robots in roles previously performed by humans (Randall et al, 2019)</w:t>
      </w:r>
      <w:r>
        <w:rPr>
          <w:rFonts w:asciiTheme="majorBidi" w:hAnsiTheme="majorBidi" w:cstheme="majorBidi"/>
        </w:rPr>
        <w:t>.</w:t>
      </w:r>
    </w:p>
    <w:p w14:paraId="46635942" w14:textId="77777777" w:rsidR="00E31D12" w:rsidRDefault="00E31D12" w:rsidP="00E31D12">
      <w:pPr>
        <w:rPr>
          <w:rFonts w:asciiTheme="majorBidi" w:hAnsiTheme="majorBidi" w:cstheme="majorBidi"/>
        </w:rPr>
      </w:pPr>
      <w:r w:rsidRPr="00870172">
        <w:rPr>
          <w:rFonts w:asciiTheme="majorBidi" w:hAnsiTheme="majorBidi" w:cstheme="majorBidi"/>
        </w:rPr>
        <w:t>The significant overlap</w:t>
      </w:r>
      <w:r>
        <w:rPr>
          <w:rFonts w:asciiTheme="majorBidi" w:hAnsiTheme="majorBidi" w:cstheme="majorBidi"/>
        </w:rPr>
        <w:t xml:space="preserve"> of the concerns</w:t>
      </w:r>
      <w:r w:rsidRPr="00870172">
        <w:rPr>
          <w:rFonts w:asciiTheme="majorBidi" w:hAnsiTheme="majorBidi" w:cstheme="majorBidi"/>
        </w:rPr>
        <w:t xml:space="preserve"> between the two population groups in this study, along with the overlap with the group of clinicians treating </w:t>
      </w:r>
      <w:r>
        <w:rPr>
          <w:rFonts w:asciiTheme="majorBidi" w:hAnsiTheme="majorBidi" w:cstheme="majorBidi"/>
        </w:rPr>
        <w:t>individuals</w:t>
      </w:r>
      <w:r w:rsidRPr="00870172">
        <w:rPr>
          <w:rFonts w:asciiTheme="majorBidi" w:hAnsiTheme="majorBidi" w:cstheme="majorBidi"/>
        </w:rPr>
        <w:t xml:space="preserve"> with PD</w:t>
      </w:r>
      <w:r>
        <w:rPr>
          <w:rFonts w:asciiTheme="majorBidi" w:hAnsiTheme="majorBidi" w:cstheme="majorBidi"/>
        </w:rPr>
        <w:t xml:space="preserve">, </w:t>
      </w:r>
      <w:r w:rsidRPr="005D23F3">
        <w:rPr>
          <w:rFonts w:asciiTheme="majorBidi" w:hAnsiTheme="majorBidi" w:cstheme="majorBidi"/>
        </w:rPr>
        <w:t xml:space="preserve">emphasizes the </w:t>
      </w:r>
      <w:r w:rsidRPr="005D23F3">
        <w:rPr>
          <w:rFonts w:asciiTheme="majorBidi" w:hAnsiTheme="majorBidi" w:cstheme="majorBidi"/>
        </w:rPr>
        <w:lastRenderedPageBreak/>
        <w:t xml:space="preserve">prevalence of these concerns among the various relevant stakeholders, and the importance of taking them into account in the development of assistive technologies in general, and </w:t>
      </w:r>
      <w:proofErr w:type="gramStart"/>
      <w:r w:rsidRPr="005D23F3">
        <w:rPr>
          <w:rFonts w:asciiTheme="majorBidi" w:hAnsiTheme="majorBidi" w:cstheme="majorBidi"/>
        </w:rPr>
        <w:t>SARs in particular</w:t>
      </w:r>
      <w:proofErr w:type="gramEnd"/>
      <w:r>
        <w:rPr>
          <w:rFonts w:asciiTheme="majorBidi" w:hAnsiTheme="majorBidi" w:cstheme="majorBidi"/>
        </w:rPr>
        <w:t>.</w:t>
      </w:r>
    </w:p>
    <w:p w14:paraId="6C640327" w14:textId="77777777" w:rsidR="00E31D12" w:rsidRDefault="00E31D12" w:rsidP="00E31D12">
      <w:pPr>
        <w:rPr>
          <w:rFonts w:asciiTheme="majorBidi" w:hAnsiTheme="majorBidi" w:cstheme="majorBidi"/>
        </w:rPr>
      </w:pPr>
      <w:r w:rsidRPr="000627B3">
        <w:rPr>
          <w:rFonts w:asciiTheme="majorBidi" w:hAnsiTheme="majorBidi" w:cstheme="majorBidi"/>
          <w:i/>
          <w:iCs/>
        </w:rPr>
        <w:t>Attitudes towards SARs</w:t>
      </w:r>
      <w:r>
        <w:rPr>
          <w:rFonts w:asciiTheme="majorBidi" w:hAnsiTheme="majorBidi" w:cstheme="majorBidi"/>
          <w:i/>
          <w:iCs/>
        </w:rPr>
        <w:t xml:space="preserve"> &amp; SARs for companionship</w:t>
      </w:r>
      <w:r>
        <w:rPr>
          <w:rFonts w:asciiTheme="majorBidi" w:hAnsiTheme="majorBidi" w:cstheme="majorBidi"/>
          <w:i/>
          <w:iCs/>
        </w:rPr>
        <w:br/>
      </w:r>
      <w:r w:rsidRPr="002A7560">
        <w:rPr>
          <w:rFonts w:asciiTheme="majorBidi" w:hAnsiTheme="majorBidi" w:cstheme="majorBidi"/>
        </w:rPr>
        <w:t xml:space="preserve">Interspersed within the group discussions, participants made comments that exposed their general attitudes toward SARs. Overall, among both populations, there was a positive attitude towards the robots, </w:t>
      </w:r>
      <w:r w:rsidRPr="00F078B2">
        <w:rPr>
          <w:rFonts w:asciiTheme="majorBidi" w:hAnsiTheme="majorBidi" w:cstheme="majorBidi"/>
        </w:rPr>
        <w:t xml:space="preserve">as </w:t>
      </w:r>
      <w:r>
        <w:rPr>
          <w:rFonts w:asciiTheme="majorBidi" w:hAnsiTheme="majorBidi" w:cstheme="majorBidi"/>
        </w:rPr>
        <w:t xml:space="preserve">was </w:t>
      </w:r>
      <w:r w:rsidRPr="00F078B2">
        <w:rPr>
          <w:rFonts w:asciiTheme="majorBidi" w:hAnsiTheme="majorBidi" w:cstheme="majorBidi"/>
        </w:rPr>
        <w:t>demonstrated, inter alia, by comments made when the robots were viewed via video, such as "cute" or "coo</w:t>
      </w:r>
      <w:r>
        <w:rPr>
          <w:rFonts w:asciiTheme="majorBidi" w:hAnsiTheme="majorBidi" w:cstheme="majorBidi"/>
        </w:rPr>
        <w:t>l”.</w:t>
      </w:r>
    </w:p>
    <w:p w14:paraId="53D9E8A0" w14:textId="77777777" w:rsidR="00E31D12" w:rsidRDefault="00E31D12" w:rsidP="00E31D12">
      <w:pPr>
        <w:rPr>
          <w:rFonts w:asciiTheme="majorBidi" w:hAnsiTheme="majorBidi" w:cstheme="majorBidi"/>
        </w:rPr>
      </w:pPr>
      <w:r>
        <w:rPr>
          <w:rFonts w:asciiTheme="majorBidi" w:hAnsiTheme="majorBidi" w:cstheme="majorBidi"/>
        </w:rPr>
        <w:t>Nonetheless, a negative attitude was observed in both population groups regarding</w:t>
      </w:r>
      <w:r w:rsidRPr="002A7560">
        <w:rPr>
          <w:rFonts w:asciiTheme="majorBidi" w:hAnsiTheme="majorBidi" w:cstheme="majorBidi"/>
        </w:rPr>
        <w:t xml:space="preserve"> the use of SARs for companionship, which was demonstrated by the seal-like robot PARO (</w:t>
      </w:r>
      <w:proofErr w:type="spellStart"/>
      <w:r w:rsidRPr="002A7560">
        <w:rPr>
          <w:rFonts w:asciiTheme="majorBidi" w:hAnsiTheme="majorBidi" w:cstheme="majorBidi"/>
        </w:rPr>
        <w:t>Geva</w:t>
      </w:r>
      <w:proofErr w:type="spellEnd"/>
      <w:r w:rsidRPr="002A7560">
        <w:rPr>
          <w:rFonts w:asciiTheme="majorBidi" w:hAnsiTheme="majorBidi" w:cstheme="majorBidi"/>
        </w:rPr>
        <w:t xml:space="preserve"> et al., 2022)</w:t>
      </w:r>
      <w:r>
        <w:rPr>
          <w:rFonts w:asciiTheme="majorBidi" w:hAnsiTheme="majorBidi" w:cstheme="majorBidi"/>
        </w:rPr>
        <w:t xml:space="preserve"> in the 2-min video shown to participants, which covered a variety of social robots</w:t>
      </w:r>
      <w:r w:rsidRPr="002A7560">
        <w:rPr>
          <w:rFonts w:asciiTheme="majorBidi" w:hAnsiTheme="majorBidi" w:cstheme="majorBidi"/>
        </w:rPr>
        <w:t>. The overall perception of PARO as a companion robot was negative, with two participants in each population group expressing the sentiment that a real house pet is better than a robotic one (and others agreeing). According to Shibata et al., (2012), there are cultural differences associated with the acceptance of PARO as a pet; There are thus at least two potential explanations for why participants in our study rejected the use of a robot as a pet/companion: (1)</w:t>
      </w:r>
      <w:r>
        <w:rPr>
          <w:rFonts w:asciiTheme="majorBidi" w:hAnsiTheme="majorBidi" w:cstheme="majorBidi"/>
        </w:rPr>
        <w:t xml:space="preserve"> most participants in our study</w:t>
      </w:r>
      <w:r w:rsidRPr="002A7560">
        <w:rPr>
          <w:rFonts w:asciiTheme="majorBidi" w:hAnsiTheme="majorBidi" w:cstheme="majorBidi"/>
        </w:rPr>
        <w:t xml:space="preserve"> were members in a PD support network; and (2) a cultural-based approach to the use of a robot as a pet/companion may have played a role in their expressed preferences. These specific considerations per population group (including the type of condition they live with, their social network and </w:t>
      </w:r>
      <w:r>
        <w:rPr>
          <w:rFonts w:asciiTheme="majorBidi" w:hAnsiTheme="majorBidi" w:cstheme="majorBidi"/>
        </w:rPr>
        <w:t xml:space="preserve">their </w:t>
      </w:r>
      <w:r w:rsidRPr="002A7560">
        <w:rPr>
          <w:rFonts w:asciiTheme="majorBidi" w:hAnsiTheme="majorBidi" w:cstheme="majorBidi"/>
        </w:rPr>
        <w:t xml:space="preserve">cultural context) highlight the importance of understanding who the specific end users </w:t>
      </w:r>
      <w:proofErr w:type="gramStart"/>
      <w:r w:rsidRPr="002A7560">
        <w:rPr>
          <w:rFonts w:asciiTheme="majorBidi" w:hAnsiTheme="majorBidi" w:cstheme="majorBidi"/>
        </w:rPr>
        <w:t>are, and</w:t>
      </w:r>
      <w:proofErr w:type="gramEnd"/>
      <w:r w:rsidRPr="002A7560">
        <w:rPr>
          <w:rFonts w:asciiTheme="majorBidi" w:hAnsiTheme="majorBidi" w:cstheme="majorBidi"/>
        </w:rPr>
        <w:t xml:space="preserve"> personalizing the technology to them when developing </w:t>
      </w:r>
      <w:r>
        <w:rPr>
          <w:rFonts w:asciiTheme="majorBidi" w:hAnsiTheme="majorBidi" w:cstheme="majorBidi"/>
        </w:rPr>
        <w:t>assistive technology</w:t>
      </w:r>
      <w:r w:rsidRPr="002A7560">
        <w:rPr>
          <w:rFonts w:asciiTheme="majorBidi" w:hAnsiTheme="majorBidi" w:cstheme="majorBidi"/>
        </w:rPr>
        <w:t xml:space="preserve"> (Feingold </w:t>
      </w:r>
      <w:proofErr w:type="spellStart"/>
      <w:r w:rsidRPr="002A7560">
        <w:rPr>
          <w:rFonts w:asciiTheme="majorBidi" w:hAnsiTheme="majorBidi" w:cstheme="majorBidi"/>
        </w:rPr>
        <w:t>Polak</w:t>
      </w:r>
      <w:proofErr w:type="spellEnd"/>
      <w:r w:rsidRPr="002A7560">
        <w:rPr>
          <w:rFonts w:asciiTheme="majorBidi" w:hAnsiTheme="majorBidi" w:cstheme="majorBidi"/>
        </w:rPr>
        <w:t xml:space="preserve"> &amp; Levy-Tzedek, 2021).</w:t>
      </w:r>
    </w:p>
    <w:p w14:paraId="69BE2CE5" w14:textId="10B08ADB" w:rsidR="00E31D12" w:rsidRPr="00EF2AB6" w:rsidRDefault="00E31D12" w:rsidP="00E31D12">
      <w:pPr>
        <w:rPr>
          <w:rFonts w:asciiTheme="majorBidi" w:hAnsiTheme="majorBidi" w:cstheme="majorBidi"/>
        </w:rPr>
      </w:pPr>
      <w:bookmarkStart w:id="28" w:name="_Hlk118024748"/>
      <w:r>
        <w:rPr>
          <w:rFonts w:asciiTheme="majorBidi" w:hAnsiTheme="majorBidi" w:cstheme="majorBidi"/>
        </w:rPr>
        <w:t>Consistent with participants' attitudes toward PARO vs. pets, when</w:t>
      </w:r>
      <w:r w:rsidRPr="00340F54">
        <w:rPr>
          <w:rFonts w:asciiTheme="majorBidi" w:hAnsiTheme="majorBidi" w:cstheme="majorBidi"/>
        </w:rPr>
        <w:t xml:space="preserve"> asked to indicate the expected benefits of SARs,</w:t>
      </w:r>
      <w:r>
        <w:rPr>
          <w:rFonts w:asciiTheme="majorBidi" w:hAnsiTheme="majorBidi" w:cstheme="majorBidi" w:hint="cs"/>
        </w:rPr>
        <w:t xml:space="preserve"> </w:t>
      </w:r>
      <w:r>
        <w:rPr>
          <w:rFonts w:asciiTheme="majorBidi" w:hAnsiTheme="majorBidi" w:cstheme="majorBidi"/>
        </w:rPr>
        <w:t>t</w:t>
      </w:r>
      <w:r w:rsidRPr="000A54A8">
        <w:rPr>
          <w:rFonts w:asciiTheme="majorBidi" w:hAnsiTheme="majorBidi" w:cstheme="majorBidi"/>
        </w:rPr>
        <w:t xml:space="preserve">he use of social robots for companionship has been suggested by </w:t>
      </w:r>
      <w:r>
        <w:rPr>
          <w:rFonts w:asciiTheme="majorBidi" w:hAnsiTheme="majorBidi" w:cstheme="majorBidi"/>
        </w:rPr>
        <w:lastRenderedPageBreak/>
        <w:t xml:space="preserve">only </w:t>
      </w:r>
      <w:r w:rsidRPr="000A54A8">
        <w:rPr>
          <w:rFonts w:asciiTheme="majorBidi" w:hAnsiTheme="majorBidi" w:cstheme="majorBidi"/>
        </w:rPr>
        <w:t xml:space="preserve">one </w:t>
      </w:r>
      <w:r>
        <w:rPr>
          <w:rFonts w:asciiTheme="majorBidi" w:hAnsiTheme="majorBidi" w:cstheme="majorBidi"/>
        </w:rPr>
        <w:t xml:space="preserve">participant </w:t>
      </w:r>
      <w:r w:rsidRPr="000A54A8">
        <w:rPr>
          <w:rFonts w:asciiTheme="majorBidi" w:hAnsiTheme="majorBidi" w:cstheme="majorBidi"/>
        </w:rPr>
        <w:t>from each population group</w:t>
      </w:r>
      <w:r>
        <w:rPr>
          <w:rFonts w:asciiTheme="majorBidi" w:hAnsiTheme="majorBidi" w:cstheme="majorBidi"/>
        </w:rPr>
        <w:t xml:space="preserve"> (i.e., by two participants in total)</w:t>
      </w:r>
      <w:r w:rsidRPr="000A54A8">
        <w:rPr>
          <w:rFonts w:asciiTheme="majorBidi" w:hAnsiTheme="majorBidi" w:cstheme="majorBidi"/>
        </w:rPr>
        <w:t>.</w:t>
      </w:r>
      <w:bookmarkEnd w:id="28"/>
      <w:r w:rsidRPr="007054C0">
        <w:rPr>
          <w:rFonts w:asciiTheme="majorBidi" w:hAnsiTheme="majorBidi" w:cstheme="majorBidi"/>
        </w:rPr>
        <w:t xml:space="preserve"> This </w:t>
      </w:r>
      <w:r>
        <w:rPr>
          <w:rFonts w:asciiTheme="majorBidi" w:hAnsiTheme="majorBidi" w:cstheme="majorBidi"/>
        </w:rPr>
        <w:t xml:space="preserve">relatively low level of interest </w:t>
      </w:r>
      <w:r w:rsidRPr="007054C0">
        <w:rPr>
          <w:rFonts w:asciiTheme="majorBidi" w:hAnsiTheme="majorBidi" w:cstheme="majorBidi"/>
        </w:rPr>
        <w:t xml:space="preserve">differs from </w:t>
      </w:r>
      <w:r>
        <w:rPr>
          <w:rFonts w:asciiTheme="majorBidi" w:hAnsiTheme="majorBidi" w:cstheme="majorBidi"/>
        </w:rPr>
        <w:t>that found in a study by Bradwell.</w:t>
      </w:r>
      <w:r w:rsidRPr="007054C0">
        <w:rPr>
          <w:rFonts w:asciiTheme="majorBidi" w:hAnsiTheme="majorBidi" w:cstheme="majorBidi"/>
        </w:rPr>
        <w:t xml:space="preserve">, </w:t>
      </w:r>
      <w:r>
        <w:rPr>
          <w:rFonts w:asciiTheme="majorBidi" w:hAnsiTheme="majorBidi" w:cstheme="majorBidi"/>
        </w:rPr>
        <w:t>(</w:t>
      </w:r>
      <w:r w:rsidRPr="007054C0">
        <w:rPr>
          <w:rFonts w:asciiTheme="majorBidi" w:hAnsiTheme="majorBidi" w:cstheme="majorBidi"/>
        </w:rPr>
        <w:t>2</w:t>
      </w:r>
      <w:r>
        <w:rPr>
          <w:rFonts w:asciiTheme="majorBidi" w:hAnsiTheme="majorBidi" w:cstheme="majorBidi"/>
        </w:rPr>
        <w:t>021</w:t>
      </w:r>
      <w:r w:rsidRPr="007054C0">
        <w:rPr>
          <w:rFonts w:asciiTheme="majorBidi" w:hAnsiTheme="majorBidi" w:cstheme="majorBidi"/>
        </w:rPr>
        <w:t>)</w:t>
      </w:r>
      <w:r>
        <w:rPr>
          <w:rFonts w:asciiTheme="majorBidi" w:hAnsiTheme="majorBidi" w:cstheme="majorBidi"/>
        </w:rPr>
        <w:t xml:space="preserve">, </w:t>
      </w:r>
      <w:r w:rsidRPr="007054C0">
        <w:rPr>
          <w:rFonts w:asciiTheme="majorBidi" w:hAnsiTheme="majorBidi" w:cstheme="majorBidi"/>
        </w:rPr>
        <w:t xml:space="preserve">where </w:t>
      </w:r>
      <w:r>
        <w:rPr>
          <w:rFonts w:asciiTheme="majorBidi" w:hAnsiTheme="majorBidi" w:cstheme="majorBidi"/>
        </w:rPr>
        <w:t xml:space="preserve">SARs were accepted by stakeholders (older adults, </w:t>
      </w:r>
      <w:r w:rsidR="00DF4FEA">
        <w:rPr>
          <w:rFonts w:asciiTheme="majorBidi" w:hAnsiTheme="majorBidi" w:cstheme="majorBidi"/>
        </w:rPr>
        <w:t>family members</w:t>
      </w:r>
      <w:r w:rsidR="00DF4FEA">
        <w:rPr>
          <w:rFonts w:asciiTheme="majorBidi" w:hAnsiTheme="majorBidi" w:cstheme="majorBidi"/>
        </w:rPr>
        <w:t xml:space="preserve"> </w:t>
      </w:r>
      <w:r>
        <w:rPr>
          <w:rFonts w:asciiTheme="majorBidi" w:hAnsiTheme="majorBidi" w:cstheme="majorBidi"/>
        </w:rPr>
        <w:t>and staff members)</w:t>
      </w:r>
      <w:r w:rsidRPr="007054C0">
        <w:rPr>
          <w:rFonts w:asciiTheme="majorBidi" w:hAnsiTheme="majorBidi" w:cstheme="majorBidi"/>
        </w:rPr>
        <w:t xml:space="preserve"> as companions for older adults living in </w:t>
      </w:r>
      <w:r>
        <w:rPr>
          <w:rFonts w:asciiTheme="majorBidi" w:hAnsiTheme="majorBidi" w:cstheme="majorBidi"/>
        </w:rPr>
        <w:t>long-term facilities</w:t>
      </w:r>
      <w:r w:rsidRPr="007054C0">
        <w:rPr>
          <w:rFonts w:asciiTheme="majorBidi" w:hAnsiTheme="majorBidi" w:cstheme="majorBidi"/>
        </w:rPr>
        <w:t xml:space="preserve">. This difference may stem from the fact that older adults living in long-term facilities are more prone to be lonely than individuals living in </w:t>
      </w:r>
      <w:r>
        <w:rPr>
          <w:rFonts w:asciiTheme="majorBidi" w:hAnsiTheme="majorBidi" w:cstheme="majorBidi"/>
        </w:rPr>
        <w:t>the</w:t>
      </w:r>
      <w:r w:rsidRPr="007054C0">
        <w:rPr>
          <w:rFonts w:asciiTheme="majorBidi" w:hAnsiTheme="majorBidi" w:cstheme="majorBidi"/>
        </w:rPr>
        <w:t xml:space="preserve"> community (Prieto-Flores et al, 2011). </w:t>
      </w:r>
      <w:commentRangeStart w:id="29"/>
      <w:r w:rsidR="00DF4FEA" w:rsidRPr="007054C0">
        <w:rPr>
          <w:rFonts w:asciiTheme="majorBidi" w:hAnsiTheme="majorBidi" w:cstheme="majorBidi"/>
        </w:rPr>
        <w:t>Most of</w:t>
      </w:r>
      <w:r w:rsidRPr="007054C0">
        <w:rPr>
          <w:rFonts w:asciiTheme="majorBidi" w:hAnsiTheme="majorBidi" w:cstheme="majorBidi"/>
        </w:rPr>
        <w:t xml:space="preserve"> </w:t>
      </w:r>
      <w:r>
        <w:rPr>
          <w:rFonts w:asciiTheme="majorBidi" w:hAnsiTheme="majorBidi" w:cstheme="majorBidi"/>
        </w:rPr>
        <w:t xml:space="preserve">the </w:t>
      </w:r>
      <w:r w:rsidRPr="007054C0">
        <w:rPr>
          <w:rFonts w:asciiTheme="majorBidi" w:hAnsiTheme="majorBidi" w:cstheme="majorBidi"/>
        </w:rPr>
        <w:t xml:space="preserve">participants </w:t>
      </w:r>
      <w:r>
        <w:rPr>
          <w:rFonts w:asciiTheme="majorBidi" w:hAnsiTheme="majorBidi" w:cstheme="majorBidi"/>
        </w:rPr>
        <w:t xml:space="preserve">in our study </w:t>
      </w:r>
      <w:r w:rsidRPr="007054C0">
        <w:rPr>
          <w:rFonts w:asciiTheme="majorBidi" w:hAnsiTheme="majorBidi" w:cstheme="majorBidi"/>
        </w:rPr>
        <w:t>live at home with their spouses</w:t>
      </w:r>
      <w:commentRangeEnd w:id="29"/>
      <w:r w:rsidR="00DF4FEA">
        <w:rPr>
          <w:rStyle w:val="CommentReference"/>
        </w:rPr>
        <w:commentReference w:id="29"/>
      </w:r>
      <w:r w:rsidRPr="007054C0">
        <w:rPr>
          <w:rFonts w:asciiTheme="majorBidi" w:hAnsiTheme="majorBidi" w:cstheme="majorBidi"/>
        </w:rPr>
        <w:t xml:space="preserve">, and thus a </w:t>
      </w:r>
      <w:r>
        <w:rPr>
          <w:rFonts w:asciiTheme="majorBidi" w:hAnsiTheme="majorBidi" w:cstheme="majorBidi"/>
        </w:rPr>
        <w:t xml:space="preserve">robotic </w:t>
      </w:r>
      <w:r w:rsidRPr="007054C0">
        <w:rPr>
          <w:rFonts w:asciiTheme="majorBidi" w:hAnsiTheme="majorBidi" w:cstheme="majorBidi"/>
        </w:rPr>
        <w:t>companion is not needed.</w:t>
      </w:r>
      <w:r>
        <w:rPr>
          <w:rFonts w:asciiTheme="majorBidi" w:hAnsiTheme="majorBidi" w:cstheme="majorBidi"/>
        </w:rPr>
        <w:t xml:space="preserve"> We previously reported that clinicians treating individuals with PD thought that SARs could be helpful as companions for individuals with PD, but individuals with PD and their </w:t>
      </w:r>
      <w:r w:rsidR="00DF4FEA">
        <w:rPr>
          <w:rFonts w:asciiTheme="majorBidi" w:hAnsiTheme="majorBidi" w:cstheme="majorBidi"/>
        </w:rPr>
        <w:t>family members</w:t>
      </w:r>
      <w:r w:rsidR="00DF4FEA">
        <w:rPr>
          <w:rFonts w:asciiTheme="majorBidi" w:hAnsiTheme="majorBidi" w:cstheme="majorBidi"/>
        </w:rPr>
        <w:t xml:space="preserve"> </w:t>
      </w:r>
      <w:r>
        <w:rPr>
          <w:rFonts w:asciiTheme="majorBidi" w:hAnsiTheme="majorBidi" w:cstheme="majorBidi"/>
        </w:rPr>
        <w:t xml:space="preserve">disagreed (Bar-On et al., 2022); It may reflect the fact that the clinicians see </w:t>
      </w:r>
      <w:r w:rsidRPr="00C524AB">
        <w:rPr>
          <w:rFonts w:asciiTheme="majorBidi" w:hAnsiTheme="majorBidi" w:cstheme="majorBidi"/>
        </w:rPr>
        <w:t>a wider population sample, which may better represent the overall PD population, and may also include people who experience loneliness</w:t>
      </w:r>
      <w:r>
        <w:rPr>
          <w:rFonts w:asciiTheme="majorBidi" w:hAnsiTheme="majorBidi" w:cstheme="majorBidi"/>
        </w:rPr>
        <w:t xml:space="preserve">, whereas the other two groups (individuals with PD and </w:t>
      </w:r>
      <w:r w:rsidR="00DF4FEA">
        <w:rPr>
          <w:rFonts w:asciiTheme="majorBidi" w:hAnsiTheme="majorBidi" w:cstheme="majorBidi"/>
        </w:rPr>
        <w:t>family members</w:t>
      </w:r>
      <w:r>
        <w:rPr>
          <w:rFonts w:asciiTheme="majorBidi" w:hAnsiTheme="majorBidi" w:cstheme="majorBidi"/>
        </w:rPr>
        <w:t xml:space="preserve">) are part of the Parkinson's Association (a national support network), so they may not experience a lack in social connections. </w:t>
      </w:r>
      <w:r w:rsidRPr="00C524AB">
        <w:rPr>
          <w:rFonts w:asciiTheme="majorBidi" w:hAnsiTheme="majorBidi" w:cstheme="majorBidi"/>
        </w:rPr>
        <w:t xml:space="preserve">It should also be noted that some of the clinicians </w:t>
      </w:r>
      <w:r>
        <w:rPr>
          <w:rFonts w:asciiTheme="majorBidi" w:hAnsiTheme="majorBidi" w:cstheme="majorBidi"/>
        </w:rPr>
        <w:t xml:space="preserve">in (Bar-On et al., 2022) </w:t>
      </w:r>
      <w:r w:rsidRPr="00C524AB">
        <w:rPr>
          <w:rFonts w:asciiTheme="majorBidi" w:hAnsiTheme="majorBidi" w:cstheme="majorBidi"/>
        </w:rPr>
        <w:t xml:space="preserve">expressed their concern that using a robot as a companion may </w:t>
      </w:r>
      <w:r>
        <w:rPr>
          <w:rFonts w:asciiTheme="majorBidi" w:hAnsiTheme="majorBidi" w:cstheme="majorBidi"/>
        </w:rPr>
        <w:t xml:space="preserve">eventually </w:t>
      </w:r>
      <w:r w:rsidRPr="00C524AB">
        <w:rPr>
          <w:rFonts w:asciiTheme="majorBidi" w:hAnsiTheme="majorBidi" w:cstheme="majorBidi"/>
        </w:rPr>
        <w:t xml:space="preserve">lead to increased loneliness and reclusion. </w:t>
      </w:r>
      <w:r>
        <w:rPr>
          <w:rFonts w:asciiTheme="majorBidi" w:hAnsiTheme="majorBidi" w:cstheme="majorBidi"/>
        </w:rPr>
        <w:t xml:space="preserve">Initial investigations into this realm of using robots as companions with older adults with depression produced surprising results: In some cases, having a companion robot increased the frequency of human-human interactions (which started around the robot; Randall et al., 2019). We posit that the question of the utility of a robot as a companion should be explored per context, together with its effect on the </w:t>
      </w:r>
      <w:r w:rsidRPr="00C524AB">
        <w:rPr>
          <w:rFonts w:asciiTheme="majorBidi" w:hAnsiTheme="majorBidi" w:cstheme="majorBidi"/>
        </w:rPr>
        <w:t>users’ human-human interactions (Langer &amp; Levy-Tzedek, 2021).</w:t>
      </w:r>
    </w:p>
    <w:p w14:paraId="3FCD472D" w14:textId="77777777" w:rsidR="00E31D12" w:rsidRDefault="00E31D12" w:rsidP="00E31D12">
      <w:pPr>
        <w:rPr>
          <w:rFonts w:asciiTheme="majorBidi" w:hAnsiTheme="majorBidi" w:cstheme="majorBidi"/>
        </w:rPr>
      </w:pPr>
      <w:r>
        <w:rPr>
          <w:rFonts w:asciiTheme="majorBidi" w:hAnsiTheme="majorBidi" w:cstheme="majorBidi"/>
        </w:rPr>
        <w:t>A</w:t>
      </w:r>
      <w:r w:rsidRPr="00A53DCA">
        <w:rPr>
          <w:rFonts w:asciiTheme="majorBidi" w:hAnsiTheme="majorBidi" w:cstheme="majorBidi"/>
        </w:rPr>
        <w:t xml:space="preserve">longside </w:t>
      </w:r>
      <w:r w:rsidRPr="00871F66">
        <w:rPr>
          <w:rFonts w:asciiTheme="majorBidi" w:hAnsiTheme="majorBidi" w:cstheme="majorBidi"/>
        </w:rPr>
        <w:t>with the</w:t>
      </w:r>
      <w:r>
        <w:rPr>
          <w:rFonts w:asciiTheme="majorBidi" w:hAnsiTheme="majorBidi" w:cstheme="majorBidi" w:hint="cs"/>
          <w:rtl/>
        </w:rPr>
        <w:t xml:space="preserve"> </w:t>
      </w:r>
      <w:r w:rsidRPr="00A53DCA">
        <w:rPr>
          <w:rFonts w:asciiTheme="majorBidi" w:hAnsiTheme="majorBidi" w:cstheme="majorBidi"/>
        </w:rPr>
        <w:t>similarities</w:t>
      </w:r>
      <w:r>
        <w:rPr>
          <w:rFonts w:asciiTheme="majorBidi" w:hAnsiTheme="majorBidi" w:cstheme="majorBidi" w:hint="cs"/>
          <w:rtl/>
        </w:rPr>
        <w:t xml:space="preserve"> </w:t>
      </w:r>
      <w:r w:rsidRPr="00062816">
        <w:rPr>
          <w:rFonts w:asciiTheme="majorBidi" w:hAnsiTheme="majorBidi" w:cstheme="majorBidi"/>
        </w:rPr>
        <w:t>noted above</w:t>
      </w:r>
      <w:r w:rsidRPr="00A53DCA">
        <w:rPr>
          <w:rFonts w:asciiTheme="majorBidi" w:hAnsiTheme="majorBidi" w:cstheme="majorBidi"/>
        </w:rPr>
        <w:t>, several differences also came up between the groups.</w:t>
      </w:r>
    </w:p>
    <w:p w14:paraId="41305819" w14:textId="77777777" w:rsidR="00E31D12" w:rsidRDefault="00E31D12" w:rsidP="00E31D12">
      <w:pPr>
        <w:rPr>
          <w:rFonts w:asciiTheme="majorBidi" w:hAnsiTheme="majorBidi" w:cstheme="majorBidi"/>
          <w:rtl/>
        </w:rPr>
      </w:pPr>
      <w:r w:rsidRPr="00E04556">
        <w:rPr>
          <w:rFonts w:asciiTheme="majorBidi" w:hAnsiTheme="majorBidi" w:cstheme="majorBidi"/>
          <w:i/>
          <w:iCs/>
          <w:u w:val="single"/>
        </w:rPr>
        <w:t>Differences</w:t>
      </w:r>
    </w:p>
    <w:p w14:paraId="76B08D3F" w14:textId="77777777" w:rsidR="00E31D12" w:rsidRDefault="00E31D12" w:rsidP="00E31D12">
      <w:pPr>
        <w:rPr>
          <w:rFonts w:asciiTheme="majorBidi" w:hAnsiTheme="majorBidi" w:cstheme="majorBidi"/>
          <w:i/>
          <w:iCs/>
          <w:rtl/>
        </w:rPr>
      </w:pPr>
      <w:r>
        <w:rPr>
          <w:rFonts w:asciiTheme="majorBidi" w:hAnsiTheme="majorBidi" w:cstheme="majorBidi"/>
          <w:i/>
          <w:iCs/>
        </w:rPr>
        <w:lastRenderedPageBreak/>
        <w:t xml:space="preserve">difficulties &amp; </w:t>
      </w:r>
      <w:r w:rsidRPr="00DD0548">
        <w:rPr>
          <w:rFonts w:asciiTheme="majorBidi" w:hAnsiTheme="majorBidi" w:cstheme="majorBidi"/>
          <w:i/>
          <w:iCs/>
        </w:rPr>
        <w:t>ideas for assistive technology</w:t>
      </w:r>
    </w:p>
    <w:p w14:paraId="6E27A5BE" w14:textId="3E386E13" w:rsidR="00E31D12" w:rsidRPr="00DD0548" w:rsidRDefault="00E31D12" w:rsidP="00E31D12">
      <w:pPr>
        <w:rPr>
          <w:rFonts w:asciiTheme="majorBidi" w:hAnsiTheme="majorBidi" w:cstheme="majorBidi"/>
        </w:rPr>
      </w:pPr>
      <w:r>
        <w:rPr>
          <w:rFonts w:asciiTheme="majorBidi" w:hAnsiTheme="majorBidi" w:cstheme="majorBidi" w:hint="cs"/>
        </w:rPr>
        <w:t>W</w:t>
      </w:r>
      <w:r w:rsidRPr="00285A6A">
        <w:rPr>
          <w:rFonts w:asciiTheme="majorBidi" w:hAnsiTheme="majorBidi" w:cstheme="majorBidi"/>
        </w:rPr>
        <w:t xml:space="preserve">hen the participants were asked </w:t>
      </w:r>
      <w:r>
        <w:rPr>
          <w:rFonts w:asciiTheme="majorBidi" w:hAnsiTheme="majorBidi" w:cstheme="majorBidi"/>
        </w:rPr>
        <w:t>about the</w:t>
      </w:r>
      <w:r w:rsidRPr="00285A6A">
        <w:rPr>
          <w:rFonts w:asciiTheme="majorBidi" w:hAnsiTheme="majorBidi" w:cstheme="majorBidi"/>
        </w:rPr>
        <w:t xml:space="preserve"> difficulties</w:t>
      </w:r>
      <w:r>
        <w:rPr>
          <w:rFonts w:asciiTheme="majorBidi" w:hAnsiTheme="majorBidi" w:cstheme="majorBidi"/>
        </w:rPr>
        <w:t xml:space="preserve"> of individuals living with PD,</w:t>
      </w:r>
      <w:r w:rsidRPr="00285A6A">
        <w:rPr>
          <w:rFonts w:asciiTheme="majorBidi" w:hAnsiTheme="majorBidi" w:cstheme="majorBidi"/>
        </w:rPr>
        <w:t xml:space="preserve"> difficulties related to the </w:t>
      </w:r>
      <w:r w:rsidRPr="00DD0548">
        <w:rPr>
          <w:rFonts w:asciiTheme="majorBidi" w:hAnsiTheme="majorBidi" w:cstheme="majorBidi"/>
        </w:rPr>
        <w:t xml:space="preserve">cognitive </w:t>
      </w:r>
      <w:r w:rsidRPr="00285A6A">
        <w:rPr>
          <w:rFonts w:asciiTheme="majorBidi" w:hAnsiTheme="majorBidi" w:cstheme="majorBidi"/>
        </w:rPr>
        <w:t xml:space="preserve">aspect </w:t>
      </w:r>
      <w:r>
        <w:rPr>
          <w:rFonts w:asciiTheme="majorBidi" w:hAnsiTheme="majorBidi" w:cstheme="majorBidi"/>
        </w:rPr>
        <w:t>differed</w:t>
      </w:r>
      <w:r w:rsidRPr="00DD0548">
        <w:rPr>
          <w:rFonts w:asciiTheme="majorBidi" w:hAnsiTheme="majorBidi" w:cstheme="majorBidi"/>
        </w:rPr>
        <w:t xml:space="preserve"> between the two</w:t>
      </w:r>
      <w:r>
        <w:rPr>
          <w:rFonts w:asciiTheme="majorBidi" w:hAnsiTheme="majorBidi" w:cstheme="majorBidi"/>
        </w:rPr>
        <w:t xml:space="preserve"> population</w:t>
      </w:r>
      <w:r w:rsidRPr="00DD0548">
        <w:rPr>
          <w:rFonts w:asciiTheme="majorBidi" w:hAnsiTheme="majorBidi" w:cstheme="majorBidi"/>
        </w:rPr>
        <w:t xml:space="preserve"> groups.</w:t>
      </w:r>
      <w:r w:rsidRPr="00582A93">
        <w:t xml:space="preserve"> </w:t>
      </w:r>
      <w:r w:rsidRPr="00DD0548">
        <w:rPr>
          <w:rFonts w:asciiTheme="majorBidi" w:hAnsiTheme="majorBidi" w:cstheme="majorBidi"/>
        </w:rPr>
        <w:t xml:space="preserve">While only one participant with PD mentioned a cognitive difficulty, eight </w:t>
      </w:r>
      <w:r w:rsidR="00DF4FEA">
        <w:rPr>
          <w:rFonts w:asciiTheme="majorBidi" w:hAnsiTheme="majorBidi" w:cstheme="majorBidi"/>
        </w:rPr>
        <w:t>family members</w:t>
      </w:r>
      <w:r w:rsidRPr="00DD0548">
        <w:rPr>
          <w:rFonts w:asciiTheme="majorBidi" w:hAnsiTheme="majorBidi" w:cstheme="majorBidi"/>
        </w:rPr>
        <w:t xml:space="preserve"> mentioned cognitive difficulties such as cognitive decline and short-term memory problems. This phenomenon could be explained by the fact that </w:t>
      </w:r>
      <w:r>
        <w:rPr>
          <w:rFonts w:asciiTheme="majorBidi" w:hAnsiTheme="majorBidi" w:cstheme="majorBidi"/>
        </w:rPr>
        <w:t xml:space="preserve">individuals </w:t>
      </w:r>
      <w:r w:rsidRPr="00DD0548">
        <w:rPr>
          <w:rFonts w:asciiTheme="majorBidi" w:hAnsiTheme="majorBidi" w:cstheme="majorBidi"/>
        </w:rPr>
        <w:t>living with PD may not be aware of the cognitive impairment as the disorder advances (</w:t>
      </w:r>
      <w:proofErr w:type="spellStart"/>
      <w:r w:rsidRPr="00DD0548">
        <w:rPr>
          <w:rFonts w:asciiTheme="majorBidi" w:hAnsiTheme="majorBidi" w:cstheme="majorBidi"/>
        </w:rPr>
        <w:t>Orfei</w:t>
      </w:r>
      <w:proofErr w:type="spellEnd"/>
      <w:r w:rsidRPr="00DD0548">
        <w:rPr>
          <w:rFonts w:asciiTheme="majorBidi" w:hAnsiTheme="majorBidi" w:cstheme="majorBidi"/>
        </w:rPr>
        <w:t xml:space="preserve"> et al, 2018).</w:t>
      </w:r>
    </w:p>
    <w:p w14:paraId="020E4D9B" w14:textId="77777777" w:rsidR="00E31D12" w:rsidRPr="00D7297B" w:rsidRDefault="00E31D12" w:rsidP="00E31D12">
      <w:pPr>
        <w:rPr>
          <w:rFonts w:asciiTheme="majorBidi" w:hAnsiTheme="majorBidi" w:cstheme="majorBidi"/>
        </w:rPr>
      </w:pPr>
      <w:r w:rsidRPr="002B3C48">
        <w:rPr>
          <w:rFonts w:asciiTheme="majorBidi" w:hAnsiTheme="majorBidi" w:cstheme="majorBidi"/>
        </w:rPr>
        <w:t>After asking</w:t>
      </w:r>
      <w:r>
        <w:rPr>
          <w:rFonts w:asciiTheme="majorBidi" w:hAnsiTheme="majorBidi" w:cstheme="majorBidi"/>
        </w:rPr>
        <w:t xml:space="preserve"> participants to indicate their difficulties, we asked them to outline ideas for assistive technology that could help them overcome these difficulties</w:t>
      </w:r>
      <w:r w:rsidRPr="002B3C48">
        <w:rPr>
          <w:rFonts w:asciiTheme="majorBidi" w:hAnsiTheme="majorBidi" w:cstheme="majorBidi"/>
        </w:rPr>
        <w:t xml:space="preserve"> or other </w:t>
      </w:r>
      <w:r>
        <w:rPr>
          <w:rFonts w:asciiTheme="majorBidi" w:hAnsiTheme="majorBidi" w:cstheme="majorBidi"/>
        </w:rPr>
        <w:t xml:space="preserve">difficulties. While there were many similarities </w:t>
      </w:r>
      <w:r w:rsidRPr="00DD0548">
        <w:rPr>
          <w:rFonts w:asciiTheme="majorBidi" w:hAnsiTheme="majorBidi" w:cstheme="majorBidi"/>
        </w:rPr>
        <w:t>between the two</w:t>
      </w:r>
      <w:r>
        <w:rPr>
          <w:rFonts w:asciiTheme="majorBidi" w:hAnsiTheme="majorBidi" w:cstheme="majorBidi"/>
        </w:rPr>
        <w:t xml:space="preserve"> population</w:t>
      </w:r>
      <w:r w:rsidRPr="00DD0548">
        <w:rPr>
          <w:rFonts w:asciiTheme="majorBidi" w:hAnsiTheme="majorBidi" w:cstheme="majorBidi"/>
        </w:rPr>
        <w:t xml:space="preserve"> groups</w:t>
      </w:r>
      <w:r>
        <w:rPr>
          <w:rFonts w:asciiTheme="majorBidi" w:hAnsiTheme="majorBidi" w:cstheme="majorBidi"/>
        </w:rPr>
        <w:t>, we identified two key differences, relating to posture and fine-motor skills:</w:t>
      </w:r>
    </w:p>
    <w:p w14:paraId="79C3F637" w14:textId="79FD9E21" w:rsidR="00E31D12" w:rsidRPr="006174F6" w:rsidRDefault="00E31D12" w:rsidP="00E31D12">
      <w:pPr>
        <w:pStyle w:val="ListParagraph"/>
        <w:numPr>
          <w:ilvl w:val="0"/>
          <w:numId w:val="5"/>
        </w:numPr>
        <w:spacing w:after="160"/>
        <w:jc w:val="left"/>
        <w:rPr>
          <w:rFonts w:asciiTheme="majorBidi" w:hAnsiTheme="majorBidi" w:cstheme="majorBidi"/>
        </w:rPr>
      </w:pPr>
      <w:r w:rsidRPr="005B5DEF">
        <w:rPr>
          <w:rFonts w:asciiTheme="majorBidi" w:hAnsiTheme="majorBidi" w:cstheme="majorBidi"/>
          <w:b/>
          <w:bCs/>
        </w:rPr>
        <w:t>Posture-alert technology</w:t>
      </w:r>
      <w:r w:rsidRPr="004E50E9">
        <w:rPr>
          <w:rFonts w:asciiTheme="majorBidi" w:hAnsiTheme="majorBidi" w:cstheme="majorBidi"/>
        </w:rPr>
        <w:t xml:space="preserve"> </w:t>
      </w:r>
      <w:r>
        <w:rPr>
          <w:rFonts w:asciiTheme="majorBidi" w:hAnsiTheme="majorBidi" w:cstheme="majorBidi"/>
        </w:rPr>
        <w:t>wa</w:t>
      </w:r>
      <w:r w:rsidRPr="004E50E9">
        <w:rPr>
          <w:rFonts w:asciiTheme="majorBidi" w:hAnsiTheme="majorBidi" w:cstheme="majorBidi"/>
        </w:rPr>
        <w:t xml:space="preserve">s only mentioned by </w:t>
      </w:r>
      <w:r>
        <w:rPr>
          <w:rFonts w:asciiTheme="majorBidi" w:hAnsiTheme="majorBidi" w:cstheme="majorBidi"/>
        </w:rPr>
        <w:t>individuals</w:t>
      </w:r>
      <w:r w:rsidRPr="006E3E55">
        <w:rPr>
          <w:rFonts w:asciiTheme="majorBidi" w:hAnsiTheme="majorBidi" w:cstheme="majorBidi"/>
        </w:rPr>
        <w:t xml:space="preserve"> </w:t>
      </w:r>
      <w:r w:rsidRPr="004E50E9">
        <w:rPr>
          <w:rFonts w:asciiTheme="majorBidi" w:hAnsiTheme="majorBidi" w:cstheme="majorBidi"/>
        </w:rPr>
        <w:t xml:space="preserve">with PD (n=6). It could be expected that this issue would also arise among </w:t>
      </w:r>
      <w:r w:rsidR="00DF4FEA">
        <w:rPr>
          <w:rFonts w:asciiTheme="majorBidi" w:hAnsiTheme="majorBidi" w:cstheme="majorBidi"/>
        </w:rPr>
        <w:t>family members</w:t>
      </w:r>
      <w:r w:rsidRPr="004E50E9">
        <w:rPr>
          <w:rFonts w:asciiTheme="majorBidi" w:hAnsiTheme="majorBidi" w:cstheme="majorBidi"/>
        </w:rPr>
        <w:t xml:space="preserve">, since they are the ones who can see this </w:t>
      </w:r>
      <w:r>
        <w:rPr>
          <w:rFonts w:asciiTheme="majorBidi" w:hAnsiTheme="majorBidi" w:cstheme="majorBidi"/>
        </w:rPr>
        <w:t xml:space="preserve">as observers </w:t>
      </w:r>
      <w:r w:rsidRPr="004E50E9">
        <w:rPr>
          <w:rFonts w:asciiTheme="majorBidi" w:hAnsiTheme="majorBidi" w:cstheme="majorBidi"/>
        </w:rPr>
        <w:t xml:space="preserve">from the side. </w:t>
      </w:r>
      <w:r>
        <w:rPr>
          <w:rFonts w:asciiTheme="majorBidi" w:hAnsiTheme="majorBidi" w:cstheme="majorBidi"/>
        </w:rPr>
        <w:t>It thus appears that for individuals with PD, poor posture is perceived as affecting their self-image.</w:t>
      </w:r>
      <w:r>
        <w:rPr>
          <w:rFonts w:asciiTheme="majorBidi" w:hAnsiTheme="majorBidi" w:cstheme="majorBidi" w:hint="cs"/>
          <w:rtl/>
        </w:rPr>
        <w:t xml:space="preserve"> </w:t>
      </w:r>
      <w:r>
        <w:rPr>
          <w:rFonts w:asciiTheme="majorBidi" w:hAnsiTheme="majorBidi" w:cstheme="majorBidi"/>
        </w:rPr>
        <w:t xml:space="preserve">A similar relationship has been reported between poor posture and self-perception in previous research </w:t>
      </w:r>
      <w:r>
        <w:rPr>
          <w:rFonts w:asciiTheme="majorBidi" w:hAnsiTheme="majorBidi" w:cstheme="majorBidi"/>
        </w:rPr>
        <w:fldChar w:fldCharType="begin"/>
      </w:r>
      <w:r>
        <w:rPr>
          <w:rFonts w:asciiTheme="majorBidi" w:hAnsiTheme="majorBidi" w:cstheme="majorBidi"/>
        </w:rPr>
        <w:instrText xml:space="preserve"> ADDIN ZOTERO_ITEM CSL_CITATION {"citationID":"MOpvh2Ub","properties":{"formattedCitation":"(Bri\\uc0\\u241{}ol et al., 2009)","plainCitation":"(Briñol et al., 2009)","noteIndex":0},"citationItems":[{"id":335,"uris":["http://zotero.org/users/9293396/items/DKNVWD2Q"],"itemData":{"id":335,"type":"article-journal","abstract":"Building on the notion of embodied attitudes, we examined how body postures can inﬂuence self-evaluations by affecting thought conﬁdence, a meta-cognitive process. Speciﬁcally, participants were asked to think about and write down their best or worse qualities while they were sitting down with their back erect and pushing their chest out (conﬁdent posture) or slouched forward with their back curved (doubtful posture). Then, participants completed a number of measures and reported their self-evaluations. In line with the self-validation hypothesis, we predicted and found that the effect of the direction of thoughts (positive/negative) on self-related attitudes was signiﬁcantly greater when participants wrote their thoughts in the conﬁdent than in the doubtful posture. These postures did not inﬂuence the number or quality of thoughts listed, but did have an impact on the conﬁdence with which people held their thoughts. Copyright # 2009 John Wiley &amp; Sons, Ltd.","container-title":"European Journal of Social Psychology","DOI":"10.1002/ejsp.607","ISSN":"00462772","issue":"6","journalAbbreviation":"Eur. J. Soc. Psychol.","language":"en","page":"1053-1064","source":"DOI.org (Crossref)","title":"Body posture effects on self-evaluation: A self-validation approach","title-short":"Body posture effects on self-evaluation","volume":"39","author":[{"family":"Briñol","given":"Pablo"},{"family":"Petty","given":"Richard E."},{"family":"Wagner","given":"Benjamin"}],"issued":{"date-parts":[["2009",10]]}}}],"schema":"https://github.com/citation-style-language/schema/raw/master/csl-citation.json"} </w:instrText>
      </w:r>
      <w:r>
        <w:rPr>
          <w:rFonts w:asciiTheme="majorBidi" w:hAnsiTheme="majorBidi" w:cstheme="majorBidi"/>
        </w:rPr>
        <w:fldChar w:fldCharType="separate"/>
      </w:r>
      <w:r w:rsidR="00942C40" w:rsidRPr="00942C40">
        <w:t>(Briñol et al., 2009)</w:t>
      </w:r>
      <w:r>
        <w:rPr>
          <w:rFonts w:asciiTheme="majorBidi" w:hAnsiTheme="majorBidi" w:cstheme="majorBidi"/>
        </w:rPr>
        <w:fldChar w:fldCharType="end"/>
      </w:r>
      <w:r>
        <w:rPr>
          <w:rFonts w:asciiTheme="majorBidi" w:hAnsiTheme="majorBidi" w:cstheme="majorBidi"/>
        </w:rPr>
        <w:t>.</w:t>
      </w:r>
    </w:p>
    <w:p w14:paraId="6DC9A40D" w14:textId="77777777" w:rsidR="00E31D12" w:rsidRPr="006F13F3" w:rsidRDefault="00E31D12" w:rsidP="00E31D12">
      <w:pPr>
        <w:pStyle w:val="ListParagraph"/>
        <w:numPr>
          <w:ilvl w:val="0"/>
          <w:numId w:val="5"/>
        </w:numPr>
        <w:spacing w:after="160"/>
        <w:jc w:val="left"/>
        <w:rPr>
          <w:rFonts w:asciiTheme="majorBidi" w:hAnsiTheme="majorBidi" w:cstheme="majorBidi"/>
        </w:rPr>
      </w:pPr>
      <w:r>
        <w:rPr>
          <w:rFonts w:asciiTheme="majorBidi" w:hAnsiTheme="majorBidi" w:cstheme="majorBidi"/>
        </w:rPr>
        <w:t xml:space="preserve"> S</w:t>
      </w:r>
      <w:r w:rsidRPr="00315517">
        <w:rPr>
          <w:rFonts w:asciiTheme="majorBidi" w:hAnsiTheme="majorBidi" w:cstheme="majorBidi"/>
        </w:rPr>
        <w:t xml:space="preserve">ix individuals with PD suggested devices that would help with </w:t>
      </w:r>
      <w:r w:rsidRPr="00AF2249">
        <w:rPr>
          <w:rFonts w:asciiTheme="majorBidi" w:hAnsiTheme="majorBidi" w:cstheme="majorBidi"/>
          <w:b/>
          <w:bCs/>
        </w:rPr>
        <w:t>fine-motor actions</w:t>
      </w:r>
      <w:r w:rsidRPr="00315517">
        <w:rPr>
          <w:rFonts w:asciiTheme="majorBidi" w:hAnsiTheme="majorBidi" w:cstheme="majorBidi"/>
        </w:rPr>
        <w:t xml:space="preserve">, such as opening bottles and pulling </w:t>
      </w:r>
      <w:r>
        <w:rPr>
          <w:rFonts w:asciiTheme="majorBidi" w:hAnsiTheme="majorBidi" w:cstheme="majorBidi"/>
        </w:rPr>
        <w:t xml:space="preserve">out </w:t>
      </w:r>
      <w:r w:rsidRPr="00315517">
        <w:rPr>
          <w:rFonts w:asciiTheme="majorBidi" w:hAnsiTheme="majorBidi" w:cstheme="majorBidi"/>
        </w:rPr>
        <w:t xml:space="preserve">cards from </w:t>
      </w:r>
      <w:r>
        <w:rPr>
          <w:rFonts w:asciiTheme="majorBidi" w:hAnsiTheme="majorBidi" w:cstheme="majorBidi"/>
        </w:rPr>
        <w:t xml:space="preserve">a </w:t>
      </w:r>
      <w:r w:rsidRPr="00315517">
        <w:rPr>
          <w:rFonts w:asciiTheme="majorBidi" w:hAnsiTheme="majorBidi" w:cstheme="majorBidi"/>
        </w:rPr>
        <w:t xml:space="preserve">wallet; this was mentioned by only one person in the family-members groups.  Several solutions are, in fact, available on the commercial market that address issues related to fine motor skills </w:t>
      </w:r>
      <w:r>
        <w:rPr>
          <w:rFonts w:asciiTheme="majorBidi" w:hAnsiTheme="majorBidi" w:cstheme="majorBidi"/>
        </w:rPr>
        <w:t>(</w:t>
      </w:r>
      <w:r w:rsidRPr="00315517">
        <w:rPr>
          <w:rFonts w:asciiTheme="majorBidi" w:hAnsiTheme="majorBidi" w:cstheme="majorBidi"/>
        </w:rPr>
        <w:t xml:space="preserve">e.g., </w:t>
      </w:r>
      <w:r>
        <w:rPr>
          <w:rFonts w:asciiTheme="majorBidi" w:hAnsiTheme="majorBidi" w:cstheme="majorBidi"/>
        </w:rPr>
        <w:t>“</w:t>
      </w:r>
      <w:r w:rsidRPr="00315517">
        <w:rPr>
          <w:rFonts w:asciiTheme="majorBidi" w:hAnsiTheme="majorBidi" w:cstheme="majorBidi"/>
        </w:rPr>
        <w:t>GYENNO SPOON®</w:t>
      </w:r>
      <w:r>
        <w:rPr>
          <w:rFonts w:asciiTheme="majorBidi" w:hAnsiTheme="majorBidi" w:cstheme="majorBidi"/>
        </w:rPr>
        <w:t>”</w:t>
      </w:r>
      <w:r w:rsidRPr="00315517">
        <w:rPr>
          <w:rFonts w:asciiTheme="majorBidi" w:hAnsiTheme="majorBidi" w:cstheme="majorBidi"/>
        </w:rPr>
        <w:t xml:space="preserve"> designed to help eat, despite the tremors</w:t>
      </w:r>
      <w:r>
        <w:rPr>
          <w:rFonts w:asciiTheme="majorBidi" w:hAnsiTheme="majorBidi" w:cstheme="majorBidi"/>
        </w:rPr>
        <w:t>)</w:t>
      </w:r>
      <w:r w:rsidRPr="00315517">
        <w:rPr>
          <w:rFonts w:asciiTheme="majorBidi" w:hAnsiTheme="majorBidi" w:cstheme="majorBidi"/>
        </w:rPr>
        <w:t>.</w:t>
      </w:r>
      <w:r>
        <w:rPr>
          <w:rFonts w:asciiTheme="majorBidi" w:hAnsiTheme="majorBidi" w:cstheme="majorBidi"/>
        </w:rPr>
        <w:t xml:space="preserve"> </w:t>
      </w:r>
      <w:r w:rsidRPr="00315517">
        <w:rPr>
          <w:rFonts w:asciiTheme="majorBidi" w:hAnsiTheme="majorBidi" w:cstheme="majorBidi"/>
        </w:rPr>
        <w:t>Even so, it is possible that these solutions are not widely availabl</w:t>
      </w:r>
      <w:r>
        <w:rPr>
          <w:rFonts w:asciiTheme="majorBidi" w:hAnsiTheme="majorBidi" w:cstheme="majorBidi"/>
        </w:rPr>
        <w:t xml:space="preserve">e </w:t>
      </w:r>
      <w:r w:rsidRPr="00315517">
        <w:rPr>
          <w:rFonts w:asciiTheme="majorBidi" w:hAnsiTheme="majorBidi" w:cstheme="majorBidi"/>
        </w:rPr>
        <w:t xml:space="preserve">or not fully address the needs of </w:t>
      </w:r>
      <w:r w:rsidRPr="00315517">
        <w:rPr>
          <w:rFonts w:asciiTheme="majorBidi" w:hAnsiTheme="majorBidi" w:cstheme="majorBidi"/>
        </w:rPr>
        <w:lastRenderedPageBreak/>
        <w:t>individuals with PD, which may explain why such technology is still in demand</w:t>
      </w:r>
      <w:r>
        <w:rPr>
          <w:rFonts w:asciiTheme="majorBidi" w:hAnsiTheme="majorBidi" w:cstheme="majorBidi"/>
        </w:rPr>
        <w:t xml:space="preserve"> by individuals with PD</w:t>
      </w:r>
      <w:r w:rsidRPr="00315517">
        <w:rPr>
          <w:rFonts w:asciiTheme="majorBidi" w:hAnsiTheme="majorBidi" w:cstheme="majorBidi"/>
        </w:rPr>
        <w:t>.</w:t>
      </w:r>
    </w:p>
    <w:p w14:paraId="6BA7723E" w14:textId="2DA422E7" w:rsidR="00E31D12" w:rsidRPr="00E12302" w:rsidRDefault="00E31D12" w:rsidP="00E31D12">
      <w:pPr>
        <w:rPr>
          <w:rFonts w:asciiTheme="majorBidi" w:hAnsiTheme="majorBidi" w:cstheme="majorBidi"/>
        </w:rPr>
      </w:pPr>
      <w:r>
        <w:rPr>
          <w:rFonts w:asciiTheme="majorBidi" w:hAnsiTheme="majorBidi" w:cstheme="majorBidi"/>
        </w:rPr>
        <w:t xml:space="preserve">It is instructive to examine the relationship between the difficulties and the technological solutions that participants brought up: </w:t>
      </w:r>
      <w:r w:rsidRPr="00E12302">
        <w:rPr>
          <w:rFonts w:asciiTheme="majorBidi" w:hAnsiTheme="majorBidi" w:cstheme="majorBidi"/>
        </w:rPr>
        <w:t xml:space="preserve">Mobility was the largest category under the </w:t>
      </w:r>
      <w:r w:rsidRPr="00E12302">
        <w:rPr>
          <w:rFonts w:asciiTheme="majorBidi" w:hAnsiTheme="majorBidi" w:cstheme="majorBidi"/>
          <w:i/>
          <w:iCs/>
        </w:rPr>
        <w:t>difficulties</w:t>
      </w:r>
      <w:r w:rsidRPr="00E12302">
        <w:rPr>
          <w:rFonts w:asciiTheme="majorBidi" w:hAnsiTheme="majorBidi" w:cstheme="majorBidi"/>
        </w:rPr>
        <w:t xml:space="preserve"> and the </w:t>
      </w:r>
      <w:r w:rsidRPr="00E12302">
        <w:rPr>
          <w:rFonts w:asciiTheme="majorBidi" w:hAnsiTheme="majorBidi" w:cstheme="majorBidi"/>
          <w:i/>
          <w:iCs/>
        </w:rPr>
        <w:t>ideas for assistive technology</w:t>
      </w:r>
      <w:r w:rsidRPr="00E12302">
        <w:rPr>
          <w:rFonts w:asciiTheme="majorBidi" w:hAnsiTheme="majorBidi" w:cstheme="majorBidi"/>
        </w:rPr>
        <w:t xml:space="preserve"> themes, brought up by both population groups</w:t>
      </w:r>
      <w:r>
        <w:rPr>
          <w:rFonts w:asciiTheme="majorBidi" w:hAnsiTheme="majorBidi" w:cstheme="majorBidi"/>
        </w:rPr>
        <w:t>;</w:t>
      </w:r>
      <w:r w:rsidRPr="00E12302">
        <w:rPr>
          <w:rFonts w:asciiTheme="majorBidi" w:hAnsiTheme="majorBidi" w:cstheme="majorBidi"/>
        </w:rPr>
        <w:t xml:space="preserve"> However, the proposed solutions for this category differed</w:t>
      </w:r>
      <w:r>
        <w:rPr>
          <w:rFonts w:asciiTheme="majorBidi" w:hAnsiTheme="majorBidi" w:cstheme="majorBidi"/>
        </w:rPr>
        <w:t xml:space="preserve"> between the groups</w:t>
      </w:r>
      <w:r w:rsidRPr="00E12302">
        <w:rPr>
          <w:rFonts w:asciiTheme="majorBidi" w:hAnsiTheme="majorBidi" w:cstheme="majorBidi"/>
        </w:rPr>
        <w:t xml:space="preserve">: while </w:t>
      </w:r>
      <w:r w:rsidR="00DF4FEA">
        <w:rPr>
          <w:rFonts w:asciiTheme="majorBidi" w:hAnsiTheme="majorBidi" w:cstheme="majorBidi"/>
        </w:rPr>
        <w:t>family members</w:t>
      </w:r>
      <w:r w:rsidR="00DF4FEA" w:rsidRPr="00E12302">
        <w:rPr>
          <w:rFonts w:asciiTheme="majorBidi" w:hAnsiTheme="majorBidi" w:cstheme="majorBidi"/>
        </w:rPr>
        <w:t xml:space="preserve"> </w:t>
      </w:r>
      <w:r w:rsidRPr="00E12302">
        <w:rPr>
          <w:rFonts w:asciiTheme="majorBidi" w:hAnsiTheme="majorBidi" w:cstheme="majorBidi"/>
        </w:rPr>
        <w:t xml:space="preserve">focused on assistance with home-based mobility, </w:t>
      </w:r>
      <w:r>
        <w:rPr>
          <w:rFonts w:asciiTheme="majorBidi" w:hAnsiTheme="majorBidi" w:cstheme="majorBidi"/>
        </w:rPr>
        <w:t xml:space="preserve">individuals with </w:t>
      </w:r>
      <w:r w:rsidRPr="00E12302">
        <w:rPr>
          <w:rFonts w:asciiTheme="majorBidi" w:hAnsiTheme="majorBidi" w:cstheme="majorBidi"/>
        </w:rPr>
        <w:t>PD also proposed solutions for outdoor mobility. A potential explanation</w:t>
      </w:r>
      <w:r>
        <w:rPr>
          <w:rFonts w:asciiTheme="majorBidi" w:hAnsiTheme="majorBidi" w:cstheme="majorBidi"/>
        </w:rPr>
        <w:t xml:space="preserve"> for this difference</w:t>
      </w:r>
      <w:r w:rsidRPr="00E12302">
        <w:rPr>
          <w:rFonts w:asciiTheme="majorBidi" w:hAnsiTheme="majorBidi" w:cstheme="majorBidi"/>
        </w:rPr>
        <w:t xml:space="preserve"> is that the </w:t>
      </w:r>
      <w:r>
        <w:rPr>
          <w:rFonts w:asciiTheme="majorBidi" w:hAnsiTheme="majorBidi" w:cstheme="majorBidi"/>
        </w:rPr>
        <w:t xml:space="preserve">individuals with </w:t>
      </w:r>
      <w:r w:rsidRPr="00E12302">
        <w:rPr>
          <w:rFonts w:asciiTheme="majorBidi" w:hAnsiTheme="majorBidi" w:cstheme="majorBidi"/>
        </w:rPr>
        <w:t xml:space="preserve">PD focus more on what they </w:t>
      </w:r>
      <w:r w:rsidRPr="00897C39">
        <w:rPr>
          <w:rFonts w:asciiTheme="majorBidi" w:hAnsiTheme="majorBidi" w:cstheme="majorBidi"/>
          <w:i/>
          <w:iCs/>
        </w:rPr>
        <w:t xml:space="preserve">lost </w:t>
      </w:r>
      <w:r w:rsidRPr="00E12302">
        <w:rPr>
          <w:rFonts w:asciiTheme="majorBidi" w:hAnsiTheme="majorBidi" w:cstheme="majorBidi"/>
        </w:rPr>
        <w:t xml:space="preserve">or </w:t>
      </w:r>
      <w:r w:rsidRPr="00897C39">
        <w:rPr>
          <w:rFonts w:asciiTheme="majorBidi" w:hAnsiTheme="majorBidi" w:cstheme="majorBidi"/>
          <w:i/>
          <w:iCs/>
        </w:rPr>
        <w:t xml:space="preserve">miss </w:t>
      </w:r>
      <w:r w:rsidRPr="00E12302">
        <w:rPr>
          <w:rFonts w:asciiTheme="majorBidi" w:hAnsiTheme="majorBidi" w:cstheme="majorBidi"/>
        </w:rPr>
        <w:t>in their everyday life, and search for solutions to address these issues</w:t>
      </w:r>
      <w:r w:rsidR="008509EB">
        <w:rPr>
          <w:rFonts w:asciiTheme="majorBidi" w:hAnsiTheme="majorBidi" w:cstheme="majorBidi"/>
        </w:rPr>
        <w:t xml:space="preserve"> – such as engaging in outdoor activities</w:t>
      </w:r>
      <w:r w:rsidRPr="00E12302">
        <w:rPr>
          <w:rFonts w:asciiTheme="majorBidi" w:hAnsiTheme="majorBidi" w:cstheme="majorBidi"/>
        </w:rPr>
        <w:t xml:space="preserve">, </w:t>
      </w:r>
      <w:r>
        <w:rPr>
          <w:rFonts w:asciiTheme="majorBidi" w:hAnsiTheme="majorBidi" w:cstheme="majorBidi"/>
        </w:rPr>
        <w:t>while</w:t>
      </w:r>
      <w:r w:rsidRPr="00E12302">
        <w:rPr>
          <w:rFonts w:asciiTheme="majorBidi" w:hAnsiTheme="majorBidi" w:cstheme="majorBidi"/>
        </w:rPr>
        <w:t xml:space="preserve"> the </w:t>
      </w:r>
      <w:r w:rsidR="00DF4FEA">
        <w:rPr>
          <w:rFonts w:asciiTheme="majorBidi" w:hAnsiTheme="majorBidi" w:cstheme="majorBidi"/>
        </w:rPr>
        <w:t>family members</w:t>
      </w:r>
      <w:r w:rsidR="00DF4FEA" w:rsidRPr="00E12302">
        <w:rPr>
          <w:rFonts w:asciiTheme="majorBidi" w:hAnsiTheme="majorBidi" w:cstheme="majorBidi"/>
        </w:rPr>
        <w:t xml:space="preserve"> </w:t>
      </w:r>
      <w:r w:rsidRPr="00E12302">
        <w:rPr>
          <w:rFonts w:asciiTheme="majorBidi" w:hAnsiTheme="majorBidi" w:cstheme="majorBidi"/>
        </w:rPr>
        <w:t xml:space="preserve">focus more on </w:t>
      </w:r>
      <w:r>
        <w:rPr>
          <w:rFonts w:asciiTheme="majorBidi" w:hAnsiTheme="majorBidi" w:cstheme="majorBidi"/>
        </w:rPr>
        <w:t xml:space="preserve">where individuals with PD </w:t>
      </w:r>
      <w:r w:rsidRPr="00BB475C">
        <w:rPr>
          <w:rFonts w:asciiTheme="majorBidi" w:hAnsiTheme="majorBidi" w:cstheme="majorBidi"/>
          <w:i/>
          <w:iCs/>
        </w:rPr>
        <w:t>need</w:t>
      </w:r>
      <w:r>
        <w:rPr>
          <w:rFonts w:asciiTheme="majorBidi" w:hAnsiTheme="majorBidi" w:cstheme="majorBidi"/>
        </w:rPr>
        <w:t xml:space="preserve"> </w:t>
      </w:r>
      <w:r w:rsidRPr="0014399B">
        <w:rPr>
          <w:rFonts w:asciiTheme="majorBidi" w:hAnsiTheme="majorBidi" w:cstheme="majorBidi"/>
        </w:rPr>
        <w:t>their</w:t>
      </w:r>
      <w:r w:rsidRPr="00E12302">
        <w:rPr>
          <w:rFonts w:asciiTheme="majorBidi" w:hAnsiTheme="majorBidi" w:cstheme="majorBidi"/>
        </w:rPr>
        <w:t xml:space="preserve"> assistance </w:t>
      </w:r>
      <w:r w:rsidRPr="00BB475C">
        <w:rPr>
          <w:rFonts w:asciiTheme="majorBidi" w:hAnsiTheme="majorBidi" w:cstheme="majorBidi"/>
        </w:rPr>
        <w:t>as caregivers</w:t>
      </w:r>
      <w:r w:rsidR="008509EB">
        <w:rPr>
          <w:rFonts w:asciiTheme="majorBidi" w:hAnsiTheme="majorBidi" w:cstheme="majorBidi"/>
        </w:rPr>
        <w:t>, which may occur primarily within the home environment</w:t>
      </w:r>
      <w:r>
        <w:rPr>
          <w:rFonts w:asciiTheme="majorBidi" w:hAnsiTheme="majorBidi" w:cstheme="majorBidi"/>
        </w:rPr>
        <w:t>.</w:t>
      </w:r>
      <w:r w:rsidRPr="00E12302">
        <w:rPr>
          <w:rFonts w:asciiTheme="majorBidi" w:hAnsiTheme="majorBidi" w:cstheme="majorBidi"/>
        </w:rPr>
        <w:t xml:space="preserve"> </w:t>
      </w:r>
    </w:p>
    <w:p w14:paraId="11D6A78B" w14:textId="77777777" w:rsidR="00E31D12" w:rsidRDefault="00E31D12" w:rsidP="00E31D12">
      <w:pPr>
        <w:rPr>
          <w:rFonts w:asciiTheme="majorBidi" w:hAnsiTheme="majorBidi" w:cstheme="majorBidi"/>
        </w:rPr>
      </w:pPr>
      <w:r>
        <w:rPr>
          <w:rFonts w:asciiTheme="majorBidi" w:hAnsiTheme="majorBidi" w:cstheme="majorBidi"/>
        </w:rPr>
        <w:t>T</w:t>
      </w:r>
      <w:r w:rsidRPr="00B7727A">
        <w:rPr>
          <w:rFonts w:asciiTheme="majorBidi" w:hAnsiTheme="majorBidi" w:cstheme="majorBidi"/>
        </w:rPr>
        <w:t xml:space="preserve">he </w:t>
      </w:r>
      <w:r>
        <w:rPr>
          <w:rFonts w:asciiTheme="majorBidi" w:hAnsiTheme="majorBidi" w:cstheme="majorBidi"/>
        </w:rPr>
        <w:t>significant overlap</w:t>
      </w:r>
      <w:r w:rsidRPr="00B7727A">
        <w:rPr>
          <w:rFonts w:asciiTheme="majorBidi" w:hAnsiTheme="majorBidi" w:cstheme="majorBidi"/>
        </w:rPr>
        <w:t xml:space="preserve"> between the </w:t>
      </w:r>
      <w:r>
        <w:rPr>
          <w:rFonts w:asciiTheme="majorBidi" w:hAnsiTheme="majorBidi" w:cstheme="majorBidi"/>
        </w:rPr>
        <w:t>perspectives of the two</w:t>
      </w:r>
      <w:r w:rsidRPr="00B7727A">
        <w:rPr>
          <w:rFonts w:asciiTheme="majorBidi" w:hAnsiTheme="majorBidi" w:cstheme="majorBidi"/>
        </w:rPr>
        <w:t xml:space="preserve"> population groups emphasizes the importance of understanding </w:t>
      </w:r>
      <w:r>
        <w:rPr>
          <w:rFonts w:asciiTheme="majorBidi" w:hAnsiTheme="majorBidi" w:cstheme="majorBidi"/>
        </w:rPr>
        <w:t xml:space="preserve">any </w:t>
      </w:r>
      <w:r w:rsidRPr="00B7727A">
        <w:rPr>
          <w:rFonts w:asciiTheme="majorBidi" w:hAnsiTheme="majorBidi" w:cstheme="majorBidi"/>
        </w:rPr>
        <w:t>differences when they ar</w:t>
      </w:r>
      <w:r>
        <w:rPr>
          <w:rFonts w:asciiTheme="majorBidi" w:hAnsiTheme="majorBidi" w:cstheme="majorBidi"/>
        </w:rPr>
        <w:t xml:space="preserve">ise. </w:t>
      </w:r>
      <w:r w:rsidRPr="0004661D">
        <w:rPr>
          <w:rFonts w:asciiTheme="majorBidi" w:hAnsiTheme="majorBidi" w:cstheme="majorBidi"/>
        </w:rPr>
        <w:t>One way to explain the differences that emerged between the groups is to identify the prism</w:t>
      </w:r>
      <w:r>
        <w:rPr>
          <w:rFonts w:asciiTheme="majorBidi" w:hAnsiTheme="majorBidi" w:cstheme="majorBidi"/>
        </w:rPr>
        <w:t>s</w:t>
      </w:r>
      <w:r w:rsidRPr="0004661D">
        <w:rPr>
          <w:rFonts w:asciiTheme="majorBidi" w:hAnsiTheme="majorBidi" w:cstheme="majorBidi"/>
        </w:rPr>
        <w:t xml:space="preserve"> through which the</w:t>
      </w:r>
      <w:r>
        <w:rPr>
          <w:rFonts w:asciiTheme="majorBidi" w:hAnsiTheme="majorBidi" w:cstheme="majorBidi"/>
        </w:rPr>
        <w:t xml:space="preserve"> two population groups </w:t>
      </w:r>
      <w:r w:rsidRPr="0004661D">
        <w:rPr>
          <w:rFonts w:asciiTheme="majorBidi" w:hAnsiTheme="majorBidi" w:cstheme="majorBidi"/>
        </w:rPr>
        <w:t>seem to have identif</w:t>
      </w:r>
      <w:r>
        <w:rPr>
          <w:rFonts w:asciiTheme="majorBidi" w:hAnsiTheme="majorBidi" w:cstheme="majorBidi"/>
        </w:rPr>
        <w:t>ied</w:t>
      </w:r>
      <w:r w:rsidRPr="0004661D">
        <w:rPr>
          <w:rFonts w:asciiTheme="majorBidi" w:hAnsiTheme="majorBidi" w:cstheme="majorBidi"/>
        </w:rPr>
        <w:t xml:space="preserve"> difficulties and potential solutions.</w:t>
      </w:r>
    </w:p>
    <w:p w14:paraId="72E62C13" w14:textId="77777777" w:rsidR="00E31D12" w:rsidRPr="00BB475C" w:rsidRDefault="00E31D12" w:rsidP="00E31D12">
      <w:pPr>
        <w:rPr>
          <w:rFonts w:asciiTheme="majorBidi" w:hAnsiTheme="majorBidi" w:cstheme="majorBidi"/>
          <w:rtl/>
        </w:rPr>
      </w:pPr>
      <w:r w:rsidRPr="00834675">
        <w:rPr>
          <w:rFonts w:asciiTheme="majorBidi" w:hAnsiTheme="majorBidi" w:cstheme="majorBidi"/>
          <w:b/>
          <w:bCs/>
          <w:i/>
          <w:iCs/>
        </w:rPr>
        <w:t>Prism</w:t>
      </w:r>
    </w:p>
    <w:p w14:paraId="0335D808" w14:textId="13C00E4E" w:rsidR="00E31D12" w:rsidRDefault="00E31D12" w:rsidP="00E31D12">
      <w:pPr>
        <w:rPr>
          <w:rFonts w:asciiTheme="majorBidi" w:hAnsiTheme="majorBidi" w:cstheme="majorBidi"/>
        </w:rPr>
      </w:pPr>
      <w:r w:rsidRPr="00185178">
        <w:rPr>
          <w:rFonts w:asciiTheme="majorBidi" w:hAnsiTheme="majorBidi" w:cstheme="majorBidi"/>
        </w:rPr>
        <w:t xml:space="preserve">It appears that the </w:t>
      </w:r>
      <w:r>
        <w:rPr>
          <w:rFonts w:asciiTheme="majorBidi" w:hAnsiTheme="majorBidi" w:cstheme="majorBidi"/>
        </w:rPr>
        <w:t>individuals with PD</w:t>
      </w:r>
      <w:r w:rsidRPr="00185178">
        <w:rPr>
          <w:rFonts w:asciiTheme="majorBidi" w:hAnsiTheme="majorBidi" w:cstheme="majorBidi"/>
        </w:rPr>
        <w:t xml:space="preserve"> used the prism of </w:t>
      </w:r>
      <w:r w:rsidRPr="007C6BD8">
        <w:rPr>
          <w:rFonts w:asciiTheme="majorBidi" w:hAnsiTheme="majorBidi" w:cstheme="majorBidi"/>
        </w:rPr>
        <w:t>independence</w:t>
      </w:r>
      <w:r w:rsidRPr="00A42E2C">
        <w:rPr>
          <w:rFonts w:asciiTheme="majorBidi" w:hAnsiTheme="majorBidi" w:cstheme="majorBidi"/>
        </w:rPr>
        <w:t xml:space="preserve"> (lost and desired), while the </w:t>
      </w:r>
      <w:r w:rsidR="00DF4FEA">
        <w:rPr>
          <w:rFonts w:asciiTheme="majorBidi" w:hAnsiTheme="majorBidi" w:cstheme="majorBidi"/>
        </w:rPr>
        <w:t>family members</w:t>
      </w:r>
      <w:r w:rsidR="00DF4FEA" w:rsidRPr="00A42E2C">
        <w:rPr>
          <w:rFonts w:asciiTheme="majorBidi" w:hAnsiTheme="majorBidi" w:cstheme="majorBidi"/>
        </w:rPr>
        <w:t xml:space="preserve"> </w:t>
      </w:r>
      <w:r w:rsidRPr="00A42E2C">
        <w:rPr>
          <w:rFonts w:asciiTheme="majorBidi" w:hAnsiTheme="majorBidi" w:cstheme="majorBidi"/>
        </w:rPr>
        <w:t xml:space="preserve">used the prism of burden (physical and emotional) in their everyday dealings with the effects of the disease. These two prisms are closely related, but not identical. </w:t>
      </w:r>
    </w:p>
    <w:p w14:paraId="43AD5996" w14:textId="77777777" w:rsidR="00E31D12" w:rsidRPr="00A42E2C" w:rsidRDefault="00E31D12" w:rsidP="00E31D12">
      <w:pPr>
        <w:rPr>
          <w:rFonts w:asciiTheme="majorBidi" w:hAnsiTheme="majorBidi" w:cstheme="majorBidi"/>
          <w:u w:val="single"/>
        </w:rPr>
      </w:pPr>
      <w:r w:rsidRPr="00A42E2C">
        <w:rPr>
          <w:rFonts w:asciiTheme="majorBidi" w:hAnsiTheme="majorBidi" w:cstheme="majorBidi"/>
          <w:u w:val="single"/>
        </w:rPr>
        <w:t>Independence</w:t>
      </w:r>
    </w:p>
    <w:p w14:paraId="6C52AF8D" w14:textId="3E5D5AB3" w:rsidR="00E31D12" w:rsidRDefault="00E31D12" w:rsidP="00E31D12">
      <w:pPr>
        <w:rPr>
          <w:rFonts w:asciiTheme="majorBidi" w:hAnsiTheme="majorBidi" w:cstheme="majorBidi"/>
        </w:rPr>
      </w:pPr>
      <w:r>
        <w:rPr>
          <w:rFonts w:asciiTheme="majorBidi" w:hAnsiTheme="majorBidi" w:cstheme="majorBidi"/>
        </w:rPr>
        <w:t>Indeed, w</w:t>
      </w:r>
      <w:r w:rsidRPr="002D202A">
        <w:rPr>
          <w:rFonts w:asciiTheme="majorBidi" w:hAnsiTheme="majorBidi" w:cstheme="majorBidi"/>
        </w:rPr>
        <w:t>hen asked to indicate difficulties</w:t>
      </w:r>
      <w:r>
        <w:rPr>
          <w:rFonts w:asciiTheme="majorBidi" w:hAnsiTheme="majorBidi" w:cstheme="majorBidi"/>
        </w:rPr>
        <w:t xml:space="preserve">, </w:t>
      </w:r>
      <w:r w:rsidRPr="007C6BD8">
        <w:rPr>
          <w:rFonts w:asciiTheme="majorBidi" w:hAnsiTheme="majorBidi" w:cstheme="majorBidi"/>
        </w:rPr>
        <w:t xml:space="preserve">five participants with PD listed lack of independence as one of their difficulties, while none of the </w:t>
      </w:r>
      <w:r w:rsidR="00DF4FEA">
        <w:rPr>
          <w:rFonts w:asciiTheme="majorBidi" w:hAnsiTheme="majorBidi" w:cstheme="majorBidi"/>
        </w:rPr>
        <w:t>family members</w:t>
      </w:r>
      <w:r w:rsidR="00DF4FEA" w:rsidRPr="007C6BD8">
        <w:rPr>
          <w:rFonts w:asciiTheme="majorBidi" w:hAnsiTheme="majorBidi" w:cstheme="majorBidi"/>
        </w:rPr>
        <w:t xml:space="preserve"> </w:t>
      </w:r>
      <w:r w:rsidRPr="007C6BD8">
        <w:rPr>
          <w:rFonts w:asciiTheme="majorBidi" w:hAnsiTheme="majorBidi" w:cstheme="majorBidi"/>
        </w:rPr>
        <w:t>did</w:t>
      </w:r>
      <w:r>
        <w:rPr>
          <w:rFonts w:asciiTheme="majorBidi" w:hAnsiTheme="majorBidi" w:cstheme="majorBidi"/>
        </w:rPr>
        <w:t>.</w:t>
      </w:r>
      <w:r w:rsidRPr="007C6BD8">
        <w:rPr>
          <w:rFonts w:asciiTheme="majorBidi" w:hAnsiTheme="majorBidi" w:cstheme="majorBidi"/>
        </w:rPr>
        <w:t xml:space="preserve"> </w:t>
      </w:r>
      <w:r w:rsidRPr="002E6D8C">
        <w:rPr>
          <w:rFonts w:asciiTheme="majorBidi" w:hAnsiTheme="majorBidi" w:cstheme="majorBidi"/>
        </w:rPr>
        <w:t xml:space="preserve">There are also </w:t>
      </w:r>
      <w:r w:rsidRPr="002E6D8C">
        <w:rPr>
          <w:rFonts w:asciiTheme="majorBidi" w:hAnsiTheme="majorBidi" w:cstheme="majorBidi"/>
        </w:rPr>
        <w:lastRenderedPageBreak/>
        <w:t xml:space="preserve">some </w:t>
      </w:r>
      <w:r w:rsidRPr="002D202A">
        <w:rPr>
          <w:rFonts w:asciiTheme="majorBidi" w:hAnsiTheme="majorBidi" w:cstheme="majorBidi"/>
        </w:rPr>
        <w:t>indirect examples</w:t>
      </w:r>
      <w:r>
        <w:rPr>
          <w:rFonts w:asciiTheme="majorBidi" w:hAnsiTheme="majorBidi" w:cstheme="majorBidi"/>
        </w:rPr>
        <w:t>:</w:t>
      </w:r>
      <w:r w:rsidRPr="007C6BD8">
        <w:rPr>
          <w:rFonts w:asciiTheme="majorBidi" w:hAnsiTheme="majorBidi" w:cstheme="majorBidi"/>
        </w:rPr>
        <w:t xml:space="preserve"> </w:t>
      </w:r>
      <w:r>
        <w:rPr>
          <w:rFonts w:asciiTheme="majorBidi" w:hAnsiTheme="majorBidi" w:cstheme="majorBidi"/>
        </w:rPr>
        <w:t>the PD individuals (n=6) discussed several technological solutions for everyday tasks, such as an assistive device for pulling the credit card from their wallet or for inserting a key in</w:t>
      </w:r>
      <w:r w:rsidRPr="006E3E55">
        <w:rPr>
          <w:rFonts w:asciiTheme="majorBidi" w:hAnsiTheme="majorBidi" w:cstheme="majorBidi"/>
        </w:rPr>
        <w:t xml:space="preserve"> the door, </w:t>
      </w:r>
      <w:r>
        <w:rPr>
          <w:rFonts w:asciiTheme="majorBidi" w:hAnsiTheme="majorBidi" w:cstheme="majorBidi"/>
        </w:rPr>
        <w:t>whereas</w:t>
      </w:r>
      <w:r w:rsidRPr="006E3E55">
        <w:rPr>
          <w:rFonts w:asciiTheme="majorBidi" w:hAnsiTheme="majorBidi" w:cstheme="majorBidi"/>
        </w:rPr>
        <w:t xml:space="preserve"> such solutions were only mentioned once by </w:t>
      </w:r>
      <w:r>
        <w:rPr>
          <w:rFonts w:asciiTheme="majorBidi" w:hAnsiTheme="majorBidi" w:cstheme="majorBidi"/>
        </w:rPr>
        <w:t>a family member.</w:t>
      </w:r>
      <w:r>
        <w:rPr>
          <w:rFonts w:asciiTheme="majorBidi" w:hAnsiTheme="majorBidi" w:cstheme="majorBidi" w:hint="cs"/>
          <w:rtl/>
        </w:rPr>
        <w:t xml:space="preserve"> </w:t>
      </w:r>
      <w:r w:rsidRPr="00CA15DF">
        <w:rPr>
          <w:rFonts w:asciiTheme="majorBidi" w:hAnsiTheme="majorBidi" w:cstheme="majorBidi"/>
        </w:rPr>
        <w:t xml:space="preserve">It is possible that </w:t>
      </w:r>
      <w:r>
        <w:rPr>
          <w:rFonts w:asciiTheme="majorBidi" w:hAnsiTheme="majorBidi" w:cstheme="majorBidi"/>
        </w:rPr>
        <w:t>individuals</w:t>
      </w:r>
      <w:r w:rsidRPr="00CA15DF">
        <w:rPr>
          <w:rFonts w:asciiTheme="majorBidi" w:hAnsiTheme="majorBidi" w:cstheme="majorBidi"/>
        </w:rPr>
        <w:t xml:space="preserve"> with </w:t>
      </w:r>
      <w:r>
        <w:rPr>
          <w:rFonts w:asciiTheme="majorBidi" w:hAnsiTheme="majorBidi" w:cstheme="majorBidi" w:hint="cs"/>
        </w:rPr>
        <w:t>PD</w:t>
      </w:r>
      <w:r w:rsidRPr="00CA15DF">
        <w:rPr>
          <w:rFonts w:asciiTheme="majorBidi" w:hAnsiTheme="majorBidi" w:cstheme="majorBidi"/>
        </w:rPr>
        <w:t xml:space="preserve"> focus more on small, day-to-day needs, which can help them be more independent. It </w:t>
      </w:r>
      <w:r>
        <w:rPr>
          <w:rFonts w:asciiTheme="majorBidi" w:hAnsiTheme="majorBidi" w:cstheme="majorBidi"/>
        </w:rPr>
        <w:t>may even be embarrassing to ask for assistance</w:t>
      </w:r>
      <w:r w:rsidRPr="00CA15DF">
        <w:rPr>
          <w:rFonts w:asciiTheme="majorBidi" w:hAnsiTheme="majorBidi" w:cstheme="majorBidi"/>
        </w:rPr>
        <w:t xml:space="preserve"> with such small things</w:t>
      </w:r>
      <w:r>
        <w:t xml:space="preserve">, </w:t>
      </w:r>
      <w:r w:rsidRPr="00CA15DF">
        <w:rPr>
          <w:rFonts w:asciiTheme="majorBidi" w:hAnsiTheme="majorBidi" w:cstheme="majorBidi"/>
        </w:rPr>
        <w:t>so they are interested in assistive technology for these things.</w:t>
      </w:r>
      <w:r>
        <w:rPr>
          <w:rFonts w:asciiTheme="majorBidi" w:hAnsiTheme="majorBidi" w:cstheme="majorBidi"/>
        </w:rPr>
        <w:t xml:space="preserve"> </w:t>
      </w:r>
    </w:p>
    <w:p w14:paraId="3B259FD2" w14:textId="77777777" w:rsidR="00E31D12" w:rsidRDefault="00E31D12" w:rsidP="00E31D12">
      <w:pPr>
        <w:rPr>
          <w:rFonts w:asciiTheme="majorBidi" w:hAnsiTheme="majorBidi" w:cstheme="majorBidi"/>
        </w:rPr>
      </w:pPr>
      <w:r>
        <w:rPr>
          <w:rFonts w:asciiTheme="majorBidi" w:hAnsiTheme="majorBidi" w:cstheme="majorBidi"/>
        </w:rPr>
        <w:t>T</w:t>
      </w:r>
      <w:r w:rsidRPr="006E3E55">
        <w:rPr>
          <w:rFonts w:asciiTheme="majorBidi" w:hAnsiTheme="majorBidi" w:cstheme="majorBidi"/>
        </w:rPr>
        <w:t xml:space="preserve">his difference </w:t>
      </w:r>
      <w:r>
        <w:rPr>
          <w:rFonts w:asciiTheme="majorBidi" w:hAnsiTheme="majorBidi" w:cstheme="majorBidi"/>
        </w:rPr>
        <w:t xml:space="preserve">between the two prisms is also demonstrated in the fact that family members offered </w:t>
      </w:r>
      <w:r w:rsidRPr="006E3E55">
        <w:rPr>
          <w:rFonts w:asciiTheme="majorBidi" w:hAnsiTheme="majorBidi" w:cstheme="majorBidi"/>
        </w:rPr>
        <w:t xml:space="preserve">technological solutions primarily for mobility inside the home, while </w:t>
      </w:r>
      <w:r>
        <w:rPr>
          <w:rFonts w:asciiTheme="majorBidi" w:hAnsiTheme="majorBidi" w:cstheme="majorBidi"/>
        </w:rPr>
        <w:t>individuals</w:t>
      </w:r>
      <w:r w:rsidRPr="006E3E55">
        <w:rPr>
          <w:rFonts w:asciiTheme="majorBidi" w:hAnsiTheme="majorBidi" w:cstheme="majorBidi"/>
        </w:rPr>
        <w:t xml:space="preserve"> with PD provide</w:t>
      </w:r>
      <w:r>
        <w:rPr>
          <w:rFonts w:asciiTheme="majorBidi" w:hAnsiTheme="majorBidi" w:cstheme="majorBidi"/>
        </w:rPr>
        <w:t>d</w:t>
      </w:r>
      <w:r w:rsidRPr="006E3E55">
        <w:rPr>
          <w:rFonts w:asciiTheme="majorBidi" w:hAnsiTheme="majorBidi" w:cstheme="majorBidi"/>
        </w:rPr>
        <w:t xml:space="preserve"> many </w:t>
      </w:r>
      <w:r>
        <w:rPr>
          <w:rFonts w:asciiTheme="majorBidi" w:hAnsiTheme="majorBidi" w:cstheme="majorBidi"/>
        </w:rPr>
        <w:t xml:space="preserve">additional </w:t>
      </w:r>
      <w:r w:rsidRPr="006E3E55">
        <w:rPr>
          <w:rFonts w:asciiTheme="majorBidi" w:hAnsiTheme="majorBidi" w:cstheme="majorBidi"/>
        </w:rPr>
        <w:t>solutions for mobility outside the home as well</w:t>
      </w:r>
      <w:r>
        <w:rPr>
          <w:rFonts w:asciiTheme="majorBidi" w:hAnsiTheme="majorBidi" w:cstheme="majorBidi"/>
        </w:rPr>
        <w:t>. Individuals with PD may experience the loss of the ability to independently spend time outside, and thus emphasized mobility outside</w:t>
      </w:r>
      <w:r w:rsidRPr="00CA15DF">
        <w:rPr>
          <w:rFonts w:asciiTheme="majorBidi" w:hAnsiTheme="majorBidi" w:cstheme="majorBidi"/>
        </w:rPr>
        <w:t xml:space="preserve"> </w:t>
      </w:r>
      <w:r>
        <w:rPr>
          <w:rFonts w:asciiTheme="majorBidi" w:hAnsiTheme="majorBidi" w:cstheme="majorBidi"/>
        </w:rPr>
        <w:t>more than family members did. There are also anecdotes that illustrate similar concept</w:t>
      </w:r>
      <w:r w:rsidRPr="00CA15DF">
        <w:rPr>
          <w:rFonts w:asciiTheme="majorBidi" w:hAnsiTheme="majorBidi" w:cstheme="majorBidi"/>
        </w:rPr>
        <w:t xml:space="preserve">, such as </w:t>
      </w:r>
      <w:r>
        <w:rPr>
          <w:rFonts w:asciiTheme="majorBidi" w:hAnsiTheme="majorBidi" w:cstheme="majorBidi"/>
        </w:rPr>
        <w:t>a</w:t>
      </w:r>
      <w:r w:rsidRPr="00CA15DF">
        <w:rPr>
          <w:rFonts w:asciiTheme="majorBidi" w:hAnsiTheme="majorBidi" w:cstheme="majorBidi"/>
        </w:rPr>
        <w:t xml:space="preserve"> suggestion</w:t>
      </w:r>
      <w:r>
        <w:rPr>
          <w:rFonts w:asciiTheme="majorBidi" w:hAnsiTheme="majorBidi" w:cstheme="majorBidi"/>
        </w:rPr>
        <w:t xml:space="preserve"> provided </w:t>
      </w:r>
      <w:r w:rsidRPr="00CA15DF">
        <w:rPr>
          <w:rFonts w:asciiTheme="majorBidi" w:hAnsiTheme="majorBidi" w:cstheme="majorBidi"/>
        </w:rPr>
        <w:t xml:space="preserve">by one of the </w:t>
      </w:r>
      <w:r>
        <w:rPr>
          <w:rFonts w:asciiTheme="majorBidi" w:hAnsiTheme="majorBidi" w:cstheme="majorBidi"/>
        </w:rPr>
        <w:t>individuals</w:t>
      </w:r>
      <w:r w:rsidRPr="00CA15DF">
        <w:rPr>
          <w:rFonts w:asciiTheme="majorBidi" w:hAnsiTheme="majorBidi" w:cstheme="majorBidi"/>
        </w:rPr>
        <w:t xml:space="preserve"> with PD for a device </w:t>
      </w:r>
      <w:r>
        <w:rPr>
          <w:rFonts w:asciiTheme="majorBidi" w:hAnsiTheme="majorBidi" w:cstheme="majorBidi"/>
        </w:rPr>
        <w:t xml:space="preserve">that would help </w:t>
      </w:r>
      <w:r w:rsidRPr="00CA15DF">
        <w:rPr>
          <w:rFonts w:asciiTheme="majorBidi" w:hAnsiTheme="majorBidi" w:cstheme="majorBidi"/>
        </w:rPr>
        <w:t>return</w:t>
      </w:r>
      <w:r>
        <w:rPr>
          <w:rFonts w:asciiTheme="majorBidi" w:hAnsiTheme="majorBidi" w:cstheme="majorBidi"/>
        </w:rPr>
        <w:t>ing</w:t>
      </w:r>
      <w:r w:rsidRPr="00CA15DF">
        <w:rPr>
          <w:rFonts w:asciiTheme="majorBidi" w:hAnsiTheme="majorBidi" w:cstheme="majorBidi"/>
        </w:rPr>
        <w:t xml:space="preserve"> </w:t>
      </w:r>
      <w:r>
        <w:rPr>
          <w:rFonts w:asciiTheme="majorBidi" w:hAnsiTheme="majorBidi" w:cstheme="majorBidi"/>
        </w:rPr>
        <w:t>basketball</w:t>
      </w:r>
      <w:r w:rsidRPr="00CA15DF">
        <w:rPr>
          <w:rFonts w:asciiTheme="majorBidi" w:hAnsiTheme="majorBidi" w:cstheme="majorBidi"/>
        </w:rPr>
        <w:t xml:space="preserve"> from the basket, </w:t>
      </w:r>
      <w:r>
        <w:rPr>
          <w:rFonts w:asciiTheme="majorBidi" w:hAnsiTheme="majorBidi" w:cstheme="majorBidi"/>
        </w:rPr>
        <w:t xml:space="preserve">while </w:t>
      </w:r>
      <w:r w:rsidRPr="00CA15DF">
        <w:rPr>
          <w:rFonts w:asciiTheme="majorBidi" w:hAnsiTheme="majorBidi" w:cstheme="majorBidi"/>
        </w:rPr>
        <w:t xml:space="preserve">playing basketball. </w:t>
      </w:r>
      <w:r>
        <w:rPr>
          <w:rFonts w:asciiTheme="majorBidi" w:hAnsiTheme="majorBidi" w:cstheme="majorBidi"/>
        </w:rPr>
        <w:t>This proposal may imply that he focuses on his independence, and on what he lacks.</w:t>
      </w:r>
      <w:r>
        <w:t xml:space="preserve"> </w:t>
      </w:r>
      <w:r>
        <w:rPr>
          <w:rFonts w:asciiTheme="majorBidi" w:hAnsiTheme="majorBidi" w:cstheme="majorBidi"/>
        </w:rPr>
        <w:t>The examples above illustrate that individuals with PD tend the focus on their independence and the abilities they have lost or missed.</w:t>
      </w:r>
    </w:p>
    <w:p w14:paraId="2D710ED6" w14:textId="77777777" w:rsidR="00E31D12" w:rsidRPr="008509EB" w:rsidRDefault="00E31D12" w:rsidP="00E31D12">
      <w:pPr>
        <w:rPr>
          <w:u w:val="single"/>
          <w:rtl/>
        </w:rPr>
      </w:pPr>
      <w:r w:rsidRPr="008509EB">
        <w:rPr>
          <w:rFonts w:asciiTheme="majorBidi" w:hAnsiTheme="majorBidi" w:cstheme="majorBidi"/>
          <w:u w:val="single"/>
        </w:rPr>
        <w:t>Burden</w:t>
      </w:r>
    </w:p>
    <w:p w14:paraId="6552EF86" w14:textId="51F53778" w:rsidR="00E31D12" w:rsidRDefault="00E31D12" w:rsidP="00942C40">
      <w:pPr>
        <w:rPr>
          <w:rFonts w:asciiTheme="majorBidi" w:hAnsiTheme="majorBidi" w:cstheme="majorBidi"/>
        </w:rPr>
      </w:pPr>
      <w:r>
        <w:rPr>
          <w:rFonts w:asciiTheme="majorBidi" w:hAnsiTheme="majorBidi" w:cstheme="majorBidi"/>
        </w:rPr>
        <w:t>It is interesting to note that while</w:t>
      </w:r>
      <w:r w:rsidRPr="007215D5">
        <w:rPr>
          <w:rFonts w:asciiTheme="majorBidi" w:hAnsiTheme="majorBidi" w:cstheme="majorBidi"/>
        </w:rPr>
        <w:t xml:space="preserve"> </w:t>
      </w:r>
      <w:r>
        <w:rPr>
          <w:rFonts w:asciiTheme="majorBidi" w:hAnsiTheme="majorBidi" w:cstheme="majorBidi"/>
        </w:rPr>
        <w:t>the family members did not directly address their burden (with one exception), they did address it indirectly in several different instances.</w:t>
      </w:r>
      <w:r w:rsidRPr="00D578F6" w:rsidDel="004C5FDE">
        <w:rPr>
          <w:rFonts w:asciiTheme="majorBidi" w:hAnsiTheme="majorBidi" w:cstheme="majorBidi"/>
        </w:rPr>
        <w:t xml:space="preserve"> </w:t>
      </w:r>
      <w:r>
        <w:rPr>
          <w:rFonts w:asciiTheme="majorBidi" w:hAnsiTheme="majorBidi" w:cstheme="majorBidi"/>
        </w:rPr>
        <w:t xml:space="preserve">For example, there were </w:t>
      </w:r>
      <w:r>
        <w:rPr>
          <w:rFonts w:asciiTheme="majorBidi" w:hAnsiTheme="majorBidi" w:cstheme="majorBidi" w:hint="cs"/>
          <w:rtl/>
        </w:rPr>
        <w:t>37</w:t>
      </w:r>
      <w:r w:rsidRPr="00E320BC">
        <w:rPr>
          <w:rFonts w:asciiTheme="majorBidi" w:hAnsiTheme="majorBidi" w:cstheme="majorBidi"/>
        </w:rPr>
        <w:t xml:space="preserve"> mentions of motor difficulties, and </w:t>
      </w:r>
      <w:r>
        <w:rPr>
          <w:rFonts w:asciiTheme="majorBidi" w:hAnsiTheme="majorBidi" w:cstheme="majorBidi"/>
        </w:rPr>
        <w:t xml:space="preserve">12 mentions of </w:t>
      </w:r>
      <w:r w:rsidRPr="00E320BC">
        <w:rPr>
          <w:rFonts w:asciiTheme="majorBidi" w:hAnsiTheme="majorBidi" w:cstheme="majorBidi"/>
        </w:rPr>
        <w:t xml:space="preserve">the need for assistive technology for motor difficulties, which may be an </w:t>
      </w:r>
      <w:r>
        <w:rPr>
          <w:rFonts w:asciiTheme="majorBidi" w:hAnsiTheme="majorBidi" w:cstheme="majorBidi"/>
        </w:rPr>
        <w:t xml:space="preserve">indirect </w:t>
      </w:r>
      <w:r w:rsidRPr="00E320BC">
        <w:rPr>
          <w:rFonts w:asciiTheme="majorBidi" w:hAnsiTheme="majorBidi" w:cstheme="majorBidi"/>
        </w:rPr>
        <w:t>expression of burden.</w:t>
      </w:r>
      <w:r w:rsidRPr="004C5FDE">
        <w:t xml:space="preserve"> </w:t>
      </w:r>
      <w:r>
        <w:rPr>
          <w:rFonts w:asciiTheme="majorBidi" w:hAnsiTheme="majorBidi" w:cstheme="majorBidi"/>
        </w:rPr>
        <w:t>Another indirect indication of the burden can be seen in the fact that the family members mentioned cognitive difficulties eight times, compared to only one person with PD.</w:t>
      </w:r>
      <w:r w:rsidRPr="004C5FDE">
        <w:rPr>
          <w:rFonts w:asciiTheme="majorBidi" w:hAnsiTheme="majorBidi" w:cstheme="majorBidi"/>
        </w:rPr>
        <w:t xml:space="preserve"> </w:t>
      </w:r>
      <w:commentRangeStart w:id="30"/>
      <w:r>
        <w:rPr>
          <w:rFonts w:asciiTheme="majorBidi" w:hAnsiTheme="majorBidi" w:cstheme="majorBidi"/>
        </w:rPr>
        <w:t>C</w:t>
      </w:r>
      <w:r w:rsidRPr="004C5FDE">
        <w:rPr>
          <w:rFonts w:asciiTheme="majorBidi" w:hAnsiTheme="majorBidi" w:cstheme="majorBidi"/>
        </w:rPr>
        <w:t xml:space="preserve">ognitive decline </w:t>
      </w:r>
      <w:commentRangeEnd w:id="30"/>
      <w:r w:rsidR="0049536D">
        <w:rPr>
          <w:rStyle w:val="CommentReference"/>
        </w:rPr>
        <w:commentReference w:id="30"/>
      </w:r>
      <w:r w:rsidRPr="004C5FDE">
        <w:rPr>
          <w:rFonts w:asciiTheme="majorBidi" w:hAnsiTheme="majorBidi" w:cstheme="majorBidi"/>
        </w:rPr>
        <w:t>causes an increase in the burden</w:t>
      </w:r>
      <w:r>
        <w:rPr>
          <w:rFonts w:asciiTheme="majorBidi" w:hAnsiTheme="majorBidi" w:cstheme="majorBidi"/>
        </w:rPr>
        <w:t xml:space="preserve"> of the caregiver </w:t>
      </w:r>
      <w:r>
        <w:rPr>
          <w:rFonts w:asciiTheme="majorBidi" w:hAnsiTheme="majorBidi" w:cstheme="majorBidi"/>
        </w:rPr>
        <w:fldChar w:fldCharType="begin"/>
      </w:r>
      <w:r>
        <w:rPr>
          <w:rFonts w:asciiTheme="majorBidi" w:hAnsiTheme="majorBidi" w:cstheme="majorBidi"/>
        </w:rPr>
        <w:instrText xml:space="preserve"> ADDIN ZOTERO_ITEM CSL_CITATION {"citationID":"ZSuL5Vx9","properties":{"formattedCitation":"(Gonzalez-Latapi et al., 2021)","plainCitation":"(Gonzalez-Latapi et al., 2021)","noteIndex":0},"citationItems":[{"id":331,"uris":["http://zotero.org/users/9293396/items/YKAHBK39"],"itemData":{"id":331,"type":"article-journal","abstract":"Cognitive impairment is a common non-motor symptom in Parkinson's Disease (PD) and an important source of patient disability and caregiver burden. The timing, profile and rate of cognitive decline varies widely among individuals with PD and can range from normal cognition to mild cognitive impairment (PD-MCI) and dementia (PDD). Beta-amyloid and tau brain accumulation, oxidative stress and neuroinflammation are reported risk factors for cognitive impairment. Traumatic brain injury and pesticide and tobacco exposure have also been described. Genetic risk factors including genes such as COMT, APOE, MAPT and BDNF may also play a role. Less is known about protective factors, although the Mediterranean diet and exercise may fall in this category. Nonetheless, there is conflicting evidence for most of the factors that have been studied. The use of inconsistent criteria and lack of comprehensive assessment in many studies are important methodological issues. Timing of exposure also plays a crucial role, although identification of the correct time window has been historically difficult in PD. Our understanding of the mechanism behind these factors, as well as the interactions between gene and environment as determinants of disease phenotype and the identification of modifiable risk factors will be paramount, as this will allow for potential interventions even in established PD.","container-title":"Behavioral Sciences (Basel, Switzerland)","DOI":"10.3390/bs11050074","ISSN":"2076-328X","issue":"5","journalAbbreviation":"Behav Sci (Basel)","language":"eng","note":"PMID: 34068064\nPMCID: PMC8152515","page":"74","source":"PubMed","title":"Cognitive Impairment in Parkinson's Disease: Epidemiology, Clinical Profile, Protective and Risk Factors","title-short":"Cognitive Impairment in Parkinson's Disease","volume":"11","author":[{"family":"Gonzalez-Latapi","given":"Paulina"},{"family":"Bayram","given":"Ece"},{"family":"Litvan","given":"Irene"},{"family":"Marras","given":"Connie"}],"issued":{"date-parts":[["2021",5,13]]}}}],"schema":"https://github.com/citation-style-language/schema/raw/master/csl-citation.json"} </w:instrText>
      </w:r>
      <w:r>
        <w:rPr>
          <w:rFonts w:asciiTheme="majorBidi" w:hAnsiTheme="majorBidi" w:cstheme="majorBidi"/>
        </w:rPr>
        <w:fldChar w:fldCharType="separate"/>
      </w:r>
      <w:r w:rsidR="00942C40" w:rsidRPr="00942C40">
        <w:t>(Gonzalez-Latapi et al., 2021)</w:t>
      </w:r>
      <w:r>
        <w:rPr>
          <w:rFonts w:asciiTheme="majorBidi" w:hAnsiTheme="majorBidi" w:cstheme="majorBidi"/>
        </w:rPr>
        <w:fldChar w:fldCharType="end"/>
      </w:r>
      <w:r w:rsidRPr="004C5FDE">
        <w:rPr>
          <w:rFonts w:asciiTheme="majorBidi" w:hAnsiTheme="majorBidi" w:cstheme="majorBidi"/>
        </w:rPr>
        <w:t xml:space="preserve">, </w:t>
      </w:r>
      <w:r w:rsidRPr="00F752B3">
        <w:rPr>
          <w:rFonts w:asciiTheme="majorBidi" w:hAnsiTheme="majorBidi" w:cstheme="majorBidi"/>
        </w:rPr>
        <w:t xml:space="preserve">which may </w:t>
      </w:r>
      <w:r w:rsidRPr="00F752B3">
        <w:rPr>
          <w:rFonts w:asciiTheme="majorBidi" w:hAnsiTheme="majorBidi" w:cstheme="majorBidi"/>
        </w:rPr>
        <w:lastRenderedPageBreak/>
        <w:t xml:space="preserve">explain why </w:t>
      </w:r>
      <w:r>
        <w:rPr>
          <w:rFonts w:asciiTheme="majorBidi" w:hAnsiTheme="majorBidi" w:cstheme="majorBidi"/>
        </w:rPr>
        <w:t xml:space="preserve">the family members mentioned it more frequently. Only one family member mentioned assistance with fine motor skills for people with PD, compared to six mentions by individuals with </w:t>
      </w:r>
      <w:r>
        <w:rPr>
          <w:rFonts w:asciiTheme="majorBidi" w:hAnsiTheme="majorBidi" w:cstheme="majorBidi" w:hint="cs"/>
        </w:rPr>
        <w:t>PD</w:t>
      </w:r>
      <w:r>
        <w:rPr>
          <w:rFonts w:asciiTheme="majorBidi" w:hAnsiTheme="majorBidi" w:cstheme="majorBidi"/>
        </w:rPr>
        <w:t>; it is possible that these actions are simple, and therefore do not significantly increase the burden of the family member, compared to other tasks, thus explaining why family members did not mention them more frequently</w:t>
      </w:r>
      <w:r w:rsidRPr="00B113A7">
        <w:rPr>
          <w:rFonts w:asciiTheme="majorBidi" w:hAnsiTheme="majorBidi" w:cstheme="majorBidi"/>
        </w:rPr>
        <w:t>.</w:t>
      </w:r>
    </w:p>
    <w:p w14:paraId="39BBC1F8" w14:textId="541959E0" w:rsidR="00E31D12" w:rsidRDefault="00E31D12" w:rsidP="00942C40">
      <w:pPr>
        <w:rPr>
          <w:rFonts w:asciiTheme="majorBidi" w:hAnsiTheme="majorBidi" w:cstheme="majorBidi"/>
          <w:rtl/>
        </w:rPr>
      </w:pPr>
      <w:r>
        <w:rPr>
          <w:rFonts w:asciiTheme="majorBidi" w:hAnsiTheme="majorBidi" w:cstheme="majorBidi"/>
        </w:rPr>
        <w:t>In a previous focus-group study, clinicians treating individuals with PD</w:t>
      </w:r>
      <w:r w:rsidRPr="001831DE">
        <w:rPr>
          <w:rFonts w:asciiTheme="majorBidi" w:hAnsiTheme="majorBidi" w:cstheme="majorBidi"/>
        </w:rPr>
        <w:t xml:space="preserve"> stressed that the burden experienced by the main</w:t>
      </w:r>
      <w:r>
        <w:rPr>
          <w:rFonts w:asciiTheme="majorBidi" w:hAnsiTheme="majorBidi" w:cstheme="majorBidi"/>
        </w:rPr>
        <w:t xml:space="preserve"> </w:t>
      </w:r>
      <w:r w:rsidRPr="001831DE">
        <w:rPr>
          <w:rFonts w:asciiTheme="majorBidi" w:hAnsiTheme="majorBidi" w:cstheme="majorBidi"/>
        </w:rPr>
        <w:t>caregiver is vast</w:t>
      </w:r>
      <w:r>
        <w:rPr>
          <w:rFonts w:asciiTheme="majorBidi" w:hAnsiTheme="majorBidi" w:cstheme="majorBidi"/>
        </w:rP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{"citationID":"ks31Dvgi","properties":{"formattedCitation":"(Bar-On et al., 2022)","plainCitation":"(Bar-On et al., 2022)","noteIndex":0},"citationItems":[{"id":322,"uris":["http://zotero.org/users/9293396/items/45QJZW3M"],"itemData":{"id":322,"type":"article-journal","abstract":"To explore how socially assistive robots (SARs) may assist the specific needs of individuals with Parkinson's disease (IwPD), we conducted three focus groups with 12 clinicians who treat IwPD. We present a thematic analysis of their perceptions of the needs of the patients, and their own expectations, perceived advantages, disadvantages and concerns regarding the use of SARs for IwPD. Clinicians were positive towards using SARs for IwPD, if used in the patient's home, for motor, communication, emotional, and cognitive needs, especially for practice and for help with activities of daily living. They were concerned that a SAR might be used to replace clinicians’ work, and stressed it should only augment the clinicians’ work. They thought a SAR may relieve some of the burden experienced by informal caregivers, and identified specific applications for SARs for PD. We asked 18 stakeholders (nine IwPD, nine family members) to rate their level of agreement with the clinicians’ statements. The greatest divergence between their views and those of the clinicians was on the topic of using a SAR as a companion, or as a feeding assistant, to which they objected. This work may be used as a basis for future studies designing SARs for IwPD.","container-title":"ACM Transactions on Human-Robot Interaction","DOI":"10.1145/3570168","journalAbbreviation":"J. Hum.-Robot Interact.","note":"Just Accepted","source":"ACM Digital Library","title":"Socially Assistive Robots for Parkinson's Disease: Needs, Attitudes and Specific Applications as Identified by Healthcare Professionals","title-short":"Socially Assistive Robots for Parkinson's Disease","URL":"http://doi.org/10.1145/3570168","author":[{"family":"Bar-On","given":"Inbal"},{"family":"Mayo","given":"Gili"},{"family":"Levy-Tzedek","given":"Shelly"}],"accessed":{"date-parts":[["2022",12,6]]},"issued":{"date-parts":[["2022"]]}}}],"schema":"https://github.com/citation-style-language/schema/raw/master/csl-citation.json"} </w:instrText>
      </w:r>
      <w:r>
        <w:rPr>
          <w:rFonts w:asciiTheme="majorBidi" w:hAnsiTheme="majorBidi" w:cstheme="majorBidi"/>
        </w:rPr>
        <w:fldChar w:fldCharType="separate"/>
      </w:r>
      <w:r w:rsidR="00942C40" w:rsidRPr="00942C40">
        <w:t>(Bar-On et al., 2022)</w:t>
      </w:r>
      <w:r>
        <w:rPr>
          <w:rFonts w:asciiTheme="majorBidi" w:hAnsiTheme="majorBidi" w:cstheme="majorBidi"/>
        </w:rPr>
        <w:fldChar w:fldCharType="end"/>
      </w:r>
      <w:r w:rsidR="0049536D">
        <w:rPr>
          <w:rFonts w:asciiTheme="majorBidi" w:hAnsiTheme="majorBidi" w:cstheme="majorBidi"/>
        </w:rPr>
        <w:t xml:space="preserve">. </w:t>
      </w:r>
      <w:r>
        <w:rPr>
          <w:rFonts w:asciiTheme="majorBidi" w:hAnsiTheme="majorBidi" w:cstheme="majorBidi"/>
        </w:rPr>
        <w:t>And yet, burden was expressed in the current study only indirectly. There may be s</w:t>
      </w:r>
      <w:r w:rsidRPr="001D4C5C">
        <w:rPr>
          <w:rFonts w:asciiTheme="majorBidi" w:hAnsiTheme="majorBidi" w:cstheme="majorBidi"/>
        </w:rPr>
        <w:t xml:space="preserve">everal </w:t>
      </w:r>
      <w:r>
        <w:rPr>
          <w:rFonts w:asciiTheme="majorBidi" w:hAnsiTheme="majorBidi" w:cstheme="majorBidi"/>
        </w:rPr>
        <w:t xml:space="preserve">reasons </w:t>
      </w:r>
      <w:r w:rsidRPr="001D4C5C">
        <w:rPr>
          <w:rFonts w:asciiTheme="majorBidi" w:hAnsiTheme="majorBidi" w:cstheme="majorBidi"/>
        </w:rPr>
        <w:t>as to why</w:t>
      </w:r>
      <w:r>
        <w:rPr>
          <w:rFonts w:asciiTheme="majorBidi" w:hAnsiTheme="majorBidi" w:cstheme="majorBidi"/>
        </w:rPr>
        <w:t xml:space="preserve"> the family members did not raise the burden issue directly: it may be because (1) the family members felt uncomfortable expressing their need for assistance in reducing their burden; (2) they did not believe that technology can help reduce their burden; (3) we did not explicitly ask them about their difficulties vis-à-vis the disease, but rather focused on the difficulties experienced by the individuals with PD. Indeed, when asked about it directly in the Bar-On et al., (2022) study, most family members agreed with a statement that robots would help reduce the burden on informal caregivers.</w:t>
      </w:r>
      <w:r>
        <w:rPr>
          <w:rFonts w:asciiTheme="majorBidi" w:hAnsiTheme="majorBidi" w:cstheme="majorBidi" w:hint="cs"/>
          <w:rtl/>
        </w:rPr>
        <w:t xml:space="preserve"> </w:t>
      </w:r>
      <w:r>
        <w:rPr>
          <w:rFonts w:asciiTheme="majorBidi" w:hAnsiTheme="majorBidi" w:cstheme="majorBidi"/>
          <w:rtl/>
        </w:rPr>
        <w:t xml:space="preserve"> </w:t>
      </w:r>
      <w:r w:rsidRPr="007215D5">
        <w:rPr>
          <w:rFonts w:asciiTheme="majorBidi" w:hAnsiTheme="majorBidi" w:cstheme="majorBidi"/>
        </w:rPr>
        <w:t xml:space="preserve">Importantly, it was the researchers' uniform impression that the </w:t>
      </w:r>
      <w:r>
        <w:rPr>
          <w:rFonts w:asciiTheme="majorBidi" w:hAnsiTheme="majorBidi" w:cstheme="majorBidi"/>
        </w:rPr>
        <w:t>family members</w:t>
      </w:r>
      <w:r w:rsidRPr="007215D5">
        <w:rPr>
          <w:rFonts w:asciiTheme="majorBidi" w:hAnsiTheme="majorBidi" w:cstheme="majorBidi"/>
        </w:rPr>
        <w:t xml:space="preserve"> were deeply empathetic to the situation of the </w:t>
      </w:r>
      <w:r>
        <w:rPr>
          <w:rFonts w:asciiTheme="majorBidi" w:hAnsiTheme="majorBidi" w:cstheme="majorBidi"/>
        </w:rPr>
        <w:t>individuals with PD, and any mention of burden – be it direct or indirect – does not reflect a focus on themselves rather than on their family members</w:t>
      </w:r>
      <w:r w:rsidRPr="004A642C">
        <w:rPr>
          <w:rFonts w:asciiTheme="majorBidi" w:hAnsiTheme="majorBidi" w:cstheme="majorBidi"/>
        </w:rPr>
        <w:t>.</w:t>
      </w:r>
      <w:r>
        <w:rPr>
          <w:rFonts w:asciiTheme="majorBidi" w:hAnsiTheme="majorBidi" w:cstheme="majorBidi"/>
        </w:rPr>
        <w:t xml:space="preserve"> </w:t>
      </w:r>
    </w:p>
    <w:p w14:paraId="730D1C36" w14:textId="77777777" w:rsidR="00E31D12" w:rsidRPr="004A642C" w:rsidRDefault="00E31D12" w:rsidP="00E31D12">
      <w:pPr>
        <w:rPr>
          <w:rFonts w:asciiTheme="majorBidi" w:hAnsiTheme="majorBidi" w:cstheme="majorBidi"/>
        </w:rPr>
      </w:pPr>
      <w:r>
        <w:rPr>
          <w:rFonts w:asciiTheme="majorBidi" w:hAnsiTheme="majorBidi" w:cstheme="majorBidi"/>
        </w:rPr>
        <w:t xml:space="preserve">Together, </w:t>
      </w:r>
      <w:r w:rsidRPr="000E2EC3">
        <w:rPr>
          <w:rFonts w:asciiTheme="majorBidi" w:hAnsiTheme="majorBidi" w:cstheme="majorBidi"/>
        </w:rPr>
        <w:t xml:space="preserve">these two </w:t>
      </w:r>
      <w:r>
        <w:rPr>
          <w:rFonts w:asciiTheme="majorBidi" w:hAnsiTheme="majorBidi" w:cstheme="majorBidi"/>
        </w:rPr>
        <w:t>lenses –</w:t>
      </w:r>
      <w:r w:rsidRPr="000E2EC3">
        <w:rPr>
          <w:rFonts w:asciiTheme="majorBidi" w:hAnsiTheme="majorBidi" w:cstheme="majorBidi"/>
        </w:rPr>
        <w:t xml:space="preserve"> of</w:t>
      </w:r>
      <w:r>
        <w:rPr>
          <w:rFonts w:asciiTheme="majorBidi" w:hAnsiTheme="majorBidi" w:cstheme="majorBidi"/>
        </w:rPr>
        <w:t xml:space="preserve"> independence vs. burden – provide an explanation for the differences that were observed between the groups, as well as </w:t>
      </w:r>
      <w:r w:rsidRPr="00675288">
        <w:rPr>
          <w:rFonts w:asciiTheme="majorBidi" w:hAnsiTheme="majorBidi" w:cstheme="majorBidi"/>
        </w:rPr>
        <w:t xml:space="preserve">a better understanding </w:t>
      </w:r>
      <w:r>
        <w:rPr>
          <w:rFonts w:asciiTheme="majorBidi" w:hAnsiTheme="majorBidi" w:cstheme="majorBidi"/>
        </w:rPr>
        <w:t xml:space="preserve">of </w:t>
      </w:r>
      <w:r w:rsidRPr="00675288">
        <w:rPr>
          <w:rFonts w:asciiTheme="majorBidi" w:hAnsiTheme="majorBidi" w:cstheme="majorBidi"/>
        </w:rPr>
        <w:t>what is fundamentally important to each of the groups.</w:t>
      </w:r>
      <w:r>
        <w:rPr>
          <w:rFonts w:asciiTheme="majorBidi" w:hAnsiTheme="majorBidi" w:cstheme="majorBidi"/>
        </w:rPr>
        <w:t xml:space="preserve"> In this way, we will be able to develop a more complete picture of the needs, which will include all stakeholders. For this reason, we believe that it is essential to consider both perspectives when developing technology to assist individuals with PD.</w:t>
      </w:r>
    </w:p>
    <w:p w14:paraId="6061BB5D" w14:textId="3DBC76E0" w:rsidR="00E31D12" w:rsidRPr="0087032A" w:rsidRDefault="00E31D12" w:rsidP="00E31D12">
      <w:pPr>
        <w:rPr>
          <w:rFonts w:asciiTheme="majorBidi" w:hAnsiTheme="majorBidi" w:cstheme="majorBidi"/>
          <w:b/>
          <w:bCs/>
        </w:rPr>
      </w:pPr>
      <w:r>
        <w:rPr>
          <w:rFonts w:asciiTheme="majorBidi" w:hAnsiTheme="majorBidi" w:cstheme="majorBidi"/>
          <w:b/>
          <w:bCs/>
        </w:rPr>
        <w:lastRenderedPageBreak/>
        <w:t>Study</w:t>
      </w:r>
      <w:r w:rsidRPr="0087032A">
        <w:rPr>
          <w:rFonts w:asciiTheme="majorBidi" w:hAnsiTheme="majorBidi" w:cstheme="majorBidi"/>
          <w:b/>
          <w:bCs/>
        </w:rPr>
        <w:t xml:space="preserve"> limitations</w:t>
      </w:r>
    </w:p>
    <w:p w14:paraId="205DC49D" w14:textId="77777777" w:rsidR="00E31D12" w:rsidRDefault="00E31D12" w:rsidP="00E31D12">
      <w:pPr>
        <w:rPr>
          <w:rFonts w:asciiTheme="majorBidi" w:hAnsiTheme="majorBidi" w:cstheme="majorBidi"/>
          <w:rtl/>
        </w:rPr>
      </w:pPr>
      <w:r w:rsidRPr="0087032A">
        <w:rPr>
          <w:rFonts w:asciiTheme="majorBidi" w:hAnsiTheme="majorBidi" w:cstheme="majorBidi"/>
        </w:rPr>
        <w:t>The use of qualitative methods such as focus groups and open-ended questions allowed participants to share their views and personal thoughts</w:t>
      </w:r>
      <w:r>
        <w:rPr>
          <w:rFonts w:asciiTheme="majorBidi" w:hAnsiTheme="majorBidi" w:cstheme="majorBidi"/>
        </w:rPr>
        <w:t>;</w:t>
      </w:r>
      <w:r w:rsidRPr="0087032A">
        <w:rPr>
          <w:rFonts w:asciiTheme="majorBidi" w:hAnsiTheme="majorBidi" w:cstheme="majorBidi"/>
        </w:rPr>
        <w:t xml:space="preserve"> </w:t>
      </w:r>
      <w:r>
        <w:rPr>
          <w:rFonts w:asciiTheme="majorBidi" w:hAnsiTheme="majorBidi" w:cstheme="majorBidi"/>
        </w:rPr>
        <w:t>T</w:t>
      </w:r>
      <w:r w:rsidRPr="0087032A">
        <w:rPr>
          <w:rFonts w:asciiTheme="majorBidi" w:hAnsiTheme="majorBidi" w:cstheme="majorBidi"/>
        </w:rPr>
        <w:t xml:space="preserve">his </w:t>
      </w:r>
      <w:r>
        <w:rPr>
          <w:rFonts w:asciiTheme="majorBidi" w:hAnsiTheme="majorBidi" w:cstheme="majorBidi"/>
        </w:rPr>
        <w:t xml:space="preserve">approach </w:t>
      </w:r>
      <w:r w:rsidRPr="0087032A">
        <w:rPr>
          <w:rFonts w:asciiTheme="majorBidi" w:hAnsiTheme="majorBidi" w:cstheme="majorBidi"/>
        </w:rPr>
        <w:t>provided us with insights into the potential</w:t>
      </w:r>
      <w:r>
        <w:rPr>
          <w:rFonts w:asciiTheme="majorBidi" w:hAnsiTheme="majorBidi" w:cstheme="majorBidi"/>
        </w:rPr>
        <w:t xml:space="preserve"> benefits of</w:t>
      </w:r>
      <w:r w:rsidRPr="0087032A">
        <w:rPr>
          <w:rFonts w:asciiTheme="majorBidi" w:hAnsiTheme="majorBidi" w:cstheme="majorBidi"/>
        </w:rPr>
        <w:t xml:space="preserve"> interaction</w:t>
      </w:r>
      <w:r>
        <w:rPr>
          <w:rFonts w:asciiTheme="majorBidi" w:hAnsiTheme="majorBidi" w:cstheme="majorBidi"/>
        </w:rPr>
        <w:t>s</w:t>
      </w:r>
      <w:r w:rsidRPr="0087032A">
        <w:rPr>
          <w:rFonts w:asciiTheme="majorBidi" w:hAnsiTheme="majorBidi" w:cstheme="majorBidi"/>
        </w:rPr>
        <w:t xml:space="preserve"> between SARs and the PD population.  </w:t>
      </w:r>
    </w:p>
    <w:p w14:paraId="484C8F1B" w14:textId="65A39365" w:rsidR="00E31D12" w:rsidRPr="0087032A" w:rsidRDefault="00E31D12" w:rsidP="00E31D12">
      <w:pPr>
        <w:rPr>
          <w:rFonts w:asciiTheme="majorBidi" w:hAnsiTheme="majorBidi" w:cstheme="majorBidi"/>
        </w:rPr>
      </w:pPr>
      <w:r>
        <w:rPr>
          <w:rFonts w:asciiTheme="majorBidi" w:hAnsiTheme="majorBidi" w:cstheme="majorBidi"/>
        </w:rPr>
        <w:t>At the same time, t</w:t>
      </w:r>
      <w:r w:rsidRPr="0087032A">
        <w:rPr>
          <w:rFonts w:asciiTheme="majorBidi" w:hAnsiTheme="majorBidi" w:cstheme="majorBidi"/>
        </w:rPr>
        <w:t>he current study has several limitations.</w:t>
      </w:r>
      <w:r>
        <w:rPr>
          <w:rFonts w:asciiTheme="majorBidi" w:hAnsiTheme="majorBidi" w:cstheme="majorBidi" w:hint="cs"/>
          <w:rtl/>
        </w:rPr>
        <w:t xml:space="preserve"> </w:t>
      </w:r>
      <w:r w:rsidRPr="0087032A">
        <w:rPr>
          <w:rFonts w:asciiTheme="majorBidi" w:hAnsiTheme="majorBidi" w:cstheme="majorBidi"/>
        </w:rPr>
        <w:t xml:space="preserve">All our participants </w:t>
      </w:r>
      <w:r>
        <w:rPr>
          <w:rFonts w:asciiTheme="majorBidi" w:hAnsiTheme="majorBidi" w:cstheme="majorBidi"/>
        </w:rPr>
        <w:t>we</w:t>
      </w:r>
      <w:r w:rsidRPr="0087032A">
        <w:rPr>
          <w:rFonts w:asciiTheme="majorBidi" w:hAnsiTheme="majorBidi" w:cstheme="majorBidi"/>
        </w:rPr>
        <w:t xml:space="preserve">re members of the Parkinson's Association, which acts as a support </w:t>
      </w:r>
      <w:r>
        <w:rPr>
          <w:rFonts w:asciiTheme="majorBidi" w:hAnsiTheme="majorBidi" w:cstheme="majorBidi"/>
        </w:rPr>
        <w:t>network</w:t>
      </w:r>
      <w:r w:rsidRPr="0087032A">
        <w:rPr>
          <w:rFonts w:asciiTheme="majorBidi" w:hAnsiTheme="majorBidi" w:cstheme="majorBidi"/>
        </w:rPr>
        <w:t xml:space="preserve"> for individuals with PD and their </w:t>
      </w:r>
      <w:r w:rsidR="00DF4FEA">
        <w:rPr>
          <w:rFonts w:asciiTheme="majorBidi" w:hAnsiTheme="majorBidi" w:cstheme="majorBidi"/>
        </w:rPr>
        <w:t>family members</w:t>
      </w:r>
      <w:r w:rsidRPr="0087032A">
        <w:rPr>
          <w:rFonts w:asciiTheme="majorBidi" w:hAnsiTheme="majorBidi" w:cstheme="majorBidi"/>
        </w:rPr>
        <w:t>; This may have affected the results in several ways: the familiarity among participants may have</w:t>
      </w:r>
      <w:r>
        <w:rPr>
          <w:rFonts w:asciiTheme="majorBidi" w:hAnsiTheme="majorBidi" w:cstheme="majorBidi"/>
        </w:rPr>
        <w:t xml:space="preserve"> </w:t>
      </w:r>
      <w:r w:rsidRPr="0087032A">
        <w:rPr>
          <w:rFonts w:asciiTheme="majorBidi" w:hAnsiTheme="majorBidi" w:cstheme="majorBidi"/>
        </w:rPr>
        <w:t xml:space="preserve">helped people share their thoughts freely, or </w:t>
      </w:r>
      <w:r>
        <w:rPr>
          <w:rFonts w:asciiTheme="majorBidi" w:hAnsiTheme="majorBidi" w:cstheme="majorBidi"/>
        </w:rPr>
        <w:t>conversely</w:t>
      </w:r>
      <w:r w:rsidRPr="0087032A">
        <w:rPr>
          <w:rFonts w:asciiTheme="majorBidi" w:hAnsiTheme="majorBidi" w:cstheme="majorBidi"/>
        </w:rPr>
        <w:t xml:space="preserve">, it may have made it uncomfortable to disagree with each other. Furthermore, the </w:t>
      </w:r>
      <w:r>
        <w:rPr>
          <w:rFonts w:asciiTheme="majorBidi" w:hAnsiTheme="majorBidi" w:cstheme="majorBidi"/>
        </w:rPr>
        <w:t>specific views expressed in this study (e.g., rejecting the use of robots as companions) may be related to the fact that the participants are</w:t>
      </w:r>
      <w:r w:rsidRPr="0087032A">
        <w:rPr>
          <w:rFonts w:asciiTheme="majorBidi" w:hAnsiTheme="majorBidi" w:cstheme="majorBidi"/>
        </w:rPr>
        <w:t xml:space="preserve"> part of a support network. </w:t>
      </w:r>
    </w:p>
    <w:p w14:paraId="3C1AD101" w14:textId="6DD4CD0D" w:rsidR="00E31D12" w:rsidRDefault="00E31D12" w:rsidP="00E31D12">
      <w:pPr>
        <w:rPr>
          <w:rFonts w:asciiTheme="majorBidi" w:hAnsiTheme="majorBidi" w:cstheme="majorBidi"/>
        </w:rPr>
      </w:pPr>
      <w:r w:rsidRPr="0087032A">
        <w:rPr>
          <w:rFonts w:asciiTheme="majorBidi" w:hAnsiTheme="majorBidi" w:cstheme="majorBidi"/>
        </w:rPr>
        <w:t xml:space="preserve">Additionally, there were cases where an individual brought up a point that was generally agreed upon by all (or most) members of the group, but as they expressed their agreement using – for example – head nodding, this was not captured in the transcriptions, which were used to count the number of occurrences of each topic. </w:t>
      </w:r>
      <w:r>
        <w:rPr>
          <w:rFonts w:asciiTheme="majorBidi" w:hAnsiTheme="majorBidi" w:cstheme="majorBidi"/>
        </w:rPr>
        <w:t>The level of agreement among group members may therefore be higher than captured in the transcripts.</w:t>
      </w:r>
    </w:p>
    <w:p w14:paraId="17CB61D0" w14:textId="32EB6BB8" w:rsidR="00942C40" w:rsidRDefault="00942C40" w:rsidP="00E31D12">
      <w:pPr>
        <w:rPr>
          <w:rFonts w:asciiTheme="majorBidi" w:hAnsiTheme="majorBidi" w:cstheme="majorBidi"/>
        </w:rPr>
      </w:pPr>
    </w:p>
    <w:p w14:paraId="0C903402" w14:textId="53296DF1" w:rsidR="00942C40" w:rsidRDefault="00942C40" w:rsidP="00E31D12">
      <w:pPr>
        <w:rPr>
          <w:rFonts w:asciiTheme="majorBidi" w:hAnsiTheme="majorBidi" w:cstheme="majorBidi"/>
        </w:rPr>
      </w:pPr>
    </w:p>
    <w:p w14:paraId="776BA8F7" w14:textId="77777777" w:rsidR="00942C40" w:rsidRPr="00F74684" w:rsidRDefault="00942C40" w:rsidP="00E31D12">
      <w:pPr>
        <w:rPr>
          <w:rFonts w:asciiTheme="majorBidi" w:hAnsiTheme="majorBidi" w:cstheme="majorBidi"/>
        </w:rPr>
      </w:pPr>
    </w:p>
    <w:p w14:paraId="4DEE6E51" w14:textId="2B77B79E" w:rsidR="00E31D12" w:rsidRDefault="00E31D12" w:rsidP="00E31D12">
      <w:pPr>
        <w:rPr>
          <w:rFonts w:asciiTheme="majorBidi" w:hAnsiTheme="majorBidi" w:cstheme="majorBidi"/>
          <w:color w:val="0E101A"/>
        </w:rPr>
      </w:pPr>
    </w:p>
    <w:p w14:paraId="2ACBF56D" w14:textId="0E365C46" w:rsidR="006B7331" w:rsidRDefault="006B7331" w:rsidP="00E31D12">
      <w:pPr>
        <w:rPr>
          <w:rFonts w:asciiTheme="majorBidi" w:hAnsiTheme="majorBidi" w:cstheme="majorBidi"/>
          <w:color w:val="0E101A"/>
        </w:rPr>
      </w:pPr>
    </w:p>
    <w:p w14:paraId="567E9124" w14:textId="204DAFE1" w:rsidR="006B7331" w:rsidRDefault="006B7331" w:rsidP="00E31D12">
      <w:pPr>
        <w:rPr>
          <w:rFonts w:asciiTheme="majorBidi" w:hAnsiTheme="majorBidi" w:cstheme="majorBidi"/>
          <w:color w:val="0E101A"/>
        </w:rPr>
      </w:pPr>
    </w:p>
    <w:p w14:paraId="5F611118" w14:textId="54211DC5" w:rsidR="00942C40" w:rsidRDefault="00942C40" w:rsidP="00E31D12">
      <w:pPr>
        <w:rPr>
          <w:rFonts w:asciiTheme="majorBidi" w:hAnsiTheme="majorBidi" w:cstheme="majorBidi"/>
          <w:color w:val="0E101A"/>
        </w:rPr>
      </w:pPr>
    </w:p>
    <w:p w14:paraId="157FFB97" w14:textId="6374ECCC" w:rsidR="00942C40" w:rsidRPr="00942C40" w:rsidRDefault="00942C40" w:rsidP="00942C40">
      <w:pPr>
        <w:pStyle w:val="ListParagraph"/>
        <w:numPr>
          <w:ilvl w:val="0"/>
          <w:numId w:val="2"/>
        </w:numPr>
        <w:rPr>
          <w:rFonts w:asciiTheme="majorBidi" w:hAnsiTheme="majorBidi" w:cstheme="majorBidi"/>
          <w:b/>
          <w:bCs/>
          <w:u w:val="single"/>
        </w:rPr>
      </w:pPr>
      <w:r w:rsidRPr="00942C40">
        <w:rPr>
          <w:rFonts w:asciiTheme="majorBidi" w:hAnsiTheme="majorBidi" w:cstheme="majorBidi"/>
          <w:b/>
          <w:bCs/>
          <w:u w:val="single"/>
        </w:rPr>
        <w:t>References</w:t>
      </w:r>
    </w:p>
    <w:p w14:paraId="47CC79CE" w14:textId="77777777" w:rsidR="00884D23" w:rsidRDefault="006B7331" w:rsidP="00884D23">
      <w:pPr>
        <w:pStyle w:val="Bibliography"/>
      </w:pPr>
      <w:r>
        <w:rPr>
          <w:rFonts w:asciiTheme="majorBidi" w:hAnsiTheme="majorBidi" w:cstheme="majorBidi"/>
          <w:color w:val="0E101A"/>
        </w:rPr>
        <w:fldChar w:fldCharType="begin"/>
      </w:r>
      <w:r w:rsidR="00884D23">
        <w:rPr>
          <w:rFonts w:asciiTheme="majorBidi" w:hAnsiTheme="majorBidi" w:cstheme="majorBidi"/>
          <w:color w:val="0E101A"/>
        </w:rPr>
        <w:instrText xml:space="preserve"> ADDIN ZOTERO_BIBL {"uncited":[],"omitted":[],"custom":[]} CSL_BIBLIOGRAPHY </w:instrText>
      </w:r>
      <w:r>
        <w:rPr>
          <w:rFonts w:asciiTheme="majorBidi" w:hAnsiTheme="majorBidi" w:cstheme="majorBidi"/>
          <w:color w:val="0E101A"/>
        </w:rPr>
        <w:fldChar w:fldCharType="separate"/>
      </w:r>
      <w:r w:rsidR="00884D23">
        <w:t xml:space="preserve">Aarsland, D., Batzu, L., Halliday, G. M., Geurtsen, G. J., Ballard, C., Ray Chaudhuri, K., &amp; Weintraub, D. (2021). Parkinson disease-associated cognitive impairment. </w:t>
      </w:r>
      <w:r w:rsidR="00884D23">
        <w:rPr>
          <w:i/>
          <w:iCs/>
        </w:rPr>
        <w:t>Nature Reviews Disease Primers</w:t>
      </w:r>
      <w:r w:rsidR="00884D23">
        <w:t xml:space="preserve">, </w:t>
      </w:r>
      <w:r w:rsidR="00884D23">
        <w:rPr>
          <w:i/>
          <w:iCs/>
        </w:rPr>
        <w:t>7</w:t>
      </w:r>
      <w:r w:rsidR="00884D23">
        <w:t>(1), 47. https://doi.org/10.1038/s41572-021-00280-3</w:t>
      </w:r>
    </w:p>
    <w:p w14:paraId="0A69A9B5" w14:textId="77777777" w:rsidR="00884D23" w:rsidRDefault="00884D23" w:rsidP="00884D23">
      <w:pPr>
        <w:pStyle w:val="Bibliography"/>
      </w:pPr>
      <w:r>
        <w:t xml:space="preserve">Assad-Uz-Zaman, M., Rasedul Islam, M., Miah, S., &amp; Rahman, M. H. (2019). NAO robot for cooperative rehabilitation training. </w:t>
      </w:r>
      <w:r>
        <w:rPr>
          <w:i/>
          <w:iCs/>
        </w:rPr>
        <w:t>Journal of Rehabilitation and Assistive Technologies Engineering</w:t>
      </w:r>
      <w:r>
        <w:t xml:space="preserve">, </w:t>
      </w:r>
      <w:r>
        <w:rPr>
          <w:i/>
          <w:iCs/>
        </w:rPr>
        <w:t>6</w:t>
      </w:r>
      <w:r>
        <w:t>, 205566831986215. https://doi.org/10.1177/2055668319862151</w:t>
      </w:r>
    </w:p>
    <w:p w14:paraId="12A03E60" w14:textId="77777777" w:rsidR="00884D23" w:rsidRDefault="00884D23" w:rsidP="00884D23">
      <w:pPr>
        <w:pStyle w:val="Bibliography"/>
      </w:pPr>
      <w:r>
        <w:t xml:space="preserve">Bar-On, I., Mayo, G., &amp; Levy-Tzedek, S. (2022). Socially Assistive Robots for Parkinson’s Disease: Needs, Attitudes and Specific Applications as Identified by Healthcare Professionals. </w:t>
      </w:r>
      <w:r>
        <w:rPr>
          <w:i/>
          <w:iCs/>
        </w:rPr>
        <w:t>ACM Transactions on Human-Robot Interaction</w:t>
      </w:r>
      <w:r>
        <w:t>. https://doi.org/10.1145/3570168</w:t>
      </w:r>
    </w:p>
    <w:p w14:paraId="2885B681" w14:textId="77777777" w:rsidR="00884D23" w:rsidRDefault="00884D23" w:rsidP="00884D23">
      <w:pPr>
        <w:pStyle w:val="Bibliography"/>
      </w:pPr>
      <w:r>
        <w:t xml:space="preserve">Blauwendraat, C., Iwaki, H., Makarious, M. B., Bandres‐Ciga, S., Leonard, H. L., Grenn, F. P., Lake, J., Krohn, L., Tan, M., Kim, J. J., Gibbs, J. R., Hernandez, D. G., Ruskey, J. A., Pihlstrøm, L., Toft, M., van Hilten, J. J., Marinus, J., Schulte, C., Brockmann, K., … Singleton, A. B. (2021). Investigation of Autosomal Genetic Sex Differences in Parkinson’s Disease. </w:t>
      </w:r>
      <w:r>
        <w:rPr>
          <w:i/>
          <w:iCs/>
        </w:rPr>
        <w:t>Annals of Neurology</w:t>
      </w:r>
      <w:r>
        <w:t xml:space="preserve">, </w:t>
      </w:r>
      <w:r>
        <w:rPr>
          <w:i/>
          <w:iCs/>
        </w:rPr>
        <w:t>90</w:t>
      </w:r>
      <w:r>
        <w:t>(1), 35–42. https://doi.org/10.1002/ana.26090</w:t>
      </w:r>
    </w:p>
    <w:p w14:paraId="2CB72D3C" w14:textId="77777777" w:rsidR="00884D23" w:rsidRDefault="00884D23" w:rsidP="00884D23">
      <w:pPr>
        <w:pStyle w:val="Bibliography"/>
      </w:pPr>
      <w:r>
        <w:t xml:space="preserve">Bloem, B. R., Okun, M. S., &amp; Klein, C. (2021). Parkinson’s disease. </w:t>
      </w:r>
      <w:r>
        <w:rPr>
          <w:i/>
          <w:iCs/>
        </w:rPr>
        <w:t>The Lancet</w:t>
      </w:r>
      <w:r>
        <w:t xml:space="preserve">, </w:t>
      </w:r>
      <w:r>
        <w:rPr>
          <w:i/>
          <w:iCs/>
        </w:rPr>
        <w:t>397</w:t>
      </w:r>
      <w:r>
        <w:t>(10291), 2284–2303. https://doi.org/10.1016/S0140-6736(21)00218-X</w:t>
      </w:r>
    </w:p>
    <w:p w14:paraId="0A4F1D62" w14:textId="77777777" w:rsidR="00884D23" w:rsidRDefault="00884D23" w:rsidP="00884D23">
      <w:pPr>
        <w:pStyle w:val="Bibliography"/>
      </w:pPr>
      <w:r>
        <w:t xml:space="preserve">Briggs, P., Scheutz, M., &amp; Tickle-Degnen, L. (2015). Are Robots Ready for Administering Health Status Surveys’: First Results from an HRI Study with Subjects with Parkinson’s Disease. </w:t>
      </w:r>
      <w:r>
        <w:rPr>
          <w:i/>
          <w:iCs/>
        </w:rPr>
        <w:t>Proceedings of the Tenth Annual ACM/IEEE International Conference on Human-Robot Interaction</w:t>
      </w:r>
      <w:r>
        <w:t>, 327–334. https://doi.org/10.1145/2696454.2696476</w:t>
      </w:r>
    </w:p>
    <w:p w14:paraId="1826F020" w14:textId="77777777" w:rsidR="00884D23" w:rsidRDefault="00884D23" w:rsidP="00884D23">
      <w:pPr>
        <w:pStyle w:val="Bibliography"/>
      </w:pPr>
      <w:r>
        <w:lastRenderedPageBreak/>
        <w:t xml:space="preserve">Briñol, P., Petty, R. E., &amp; Wagner, B. (2009). Body posture effects on self-evaluation: A self-validation approach. </w:t>
      </w:r>
      <w:r>
        <w:rPr>
          <w:i/>
          <w:iCs/>
        </w:rPr>
        <w:t>European Journal of Social Psychology</w:t>
      </w:r>
      <w:r>
        <w:t xml:space="preserve">, </w:t>
      </w:r>
      <w:r>
        <w:rPr>
          <w:i/>
          <w:iCs/>
        </w:rPr>
        <w:t>39</w:t>
      </w:r>
      <w:r>
        <w:t>(6), 1053–1064. https://doi.org/10.1002/ejsp.607</w:t>
      </w:r>
    </w:p>
    <w:p w14:paraId="28D6C5F5" w14:textId="77777777" w:rsidR="00884D23" w:rsidRDefault="00884D23" w:rsidP="00884D23">
      <w:pPr>
        <w:pStyle w:val="Bibliography"/>
      </w:pPr>
      <w:r>
        <w:t xml:space="preserve">Buhmann, C., Kassubek, J., &amp; Jost, W. H. (2020). Management of Pain in Parkinson’s Disease. </w:t>
      </w:r>
      <w:r>
        <w:rPr>
          <w:i/>
          <w:iCs/>
        </w:rPr>
        <w:t>Journal of Parkinson’s Disease</w:t>
      </w:r>
      <w:r>
        <w:t xml:space="preserve">, </w:t>
      </w:r>
      <w:r>
        <w:rPr>
          <w:i/>
          <w:iCs/>
        </w:rPr>
        <w:t>10</w:t>
      </w:r>
      <w:r>
        <w:t>(s1), S37–S48. https://doi.org/10.3233/JPD-202069</w:t>
      </w:r>
    </w:p>
    <w:p w14:paraId="527502AC" w14:textId="77777777" w:rsidR="00884D23" w:rsidRDefault="00884D23" w:rsidP="00884D23">
      <w:pPr>
        <w:pStyle w:val="Bibliography"/>
      </w:pPr>
      <w:r>
        <w:t xml:space="preserve">Céspedes, N., Irfan, B., Senft, E., Cifuentes, C. A., Gutierrez, L. F., Rincon-Roncancio, M., Belpaeme, T., &amp; Múnera, M. (2021). A Socially Assistive Robot for Long-Term Cardiac Rehabilitation in the Real World. </w:t>
      </w:r>
      <w:r>
        <w:rPr>
          <w:i/>
          <w:iCs/>
        </w:rPr>
        <w:t>Frontiers in Neurorobotics</w:t>
      </w:r>
      <w:r>
        <w:t xml:space="preserve">, </w:t>
      </w:r>
      <w:r>
        <w:rPr>
          <w:i/>
          <w:iCs/>
        </w:rPr>
        <w:t>15</w:t>
      </w:r>
      <w:r>
        <w:t>, 633248. https://doi.org/10.3389/fnbot.2021.633248</w:t>
      </w:r>
    </w:p>
    <w:p w14:paraId="6DF462F0" w14:textId="77777777" w:rsidR="00884D23" w:rsidRDefault="00884D23" w:rsidP="00884D23">
      <w:pPr>
        <w:pStyle w:val="Bibliography"/>
      </w:pPr>
      <w:r>
        <w:t xml:space="preserve">Cohavi, O., &amp; Levy-Tzedek, S. (2022). Young and old users prefer immersive virtual reality over a social robot for short-term cognitive training. </w:t>
      </w:r>
      <w:r>
        <w:rPr>
          <w:i/>
          <w:iCs/>
        </w:rPr>
        <w:t>International Journal of Human-Computer Studies</w:t>
      </w:r>
      <w:r>
        <w:t xml:space="preserve">, </w:t>
      </w:r>
      <w:r>
        <w:rPr>
          <w:i/>
          <w:iCs/>
        </w:rPr>
        <w:t>161</w:t>
      </w:r>
      <w:r>
        <w:t>, 102775. https://doi.org/10.1016/j.ijhcs.2022.102775</w:t>
      </w:r>
    </w:p>
    <w:p w14:paraId="538484F3" w14:textId="77777777" w:rsidR="00884D23" w:rsidRDefault="00884D23" w:rsidP="00884D23">
      <w:pPr>
        <w:pStyle w:val="Bibliography"/>
      </w:pPr>
      <w:r>
        <w:t xml:space="preserve">Coletti, C., Acosta, G. F., Keslacy, S., &amp; Coletti, D. (2022). Exercise-mediated reinnervation of skeletal muscle in elderly people: An update. </w:t>
      </w:r>
      <w:r>
        <w:rPr>
          <w:i/>
          <w:iCs/>
        </w:rPr>
        <w:t>European Journal of Translational Myology</w:t>
      </w:r>
      <w:r>
        <w:t xml:space="preserve">, </w:t>
      </w:r>
      <w:r>
        <w:rPr>
          <w:i/>
          <w:iCs/>
        </w:rPr>
        <w:t>32</w:t>
      </w:r>
      <w:r>
        <w:t>(1). https://doi.org/10.4081/ejtm.2022.10416</w:t>
      </w:r>
    </w:p>
    <w:p w14:paraId="1DED508C" w14:textId="77777777" w:rsidR="00884D23" w:rsidRDefault="00884D23" w:rsidP="00884D23">
      <w:pPr>
        <w:pStyle w:val="Bibliography"/>
      </w:pPr>
      <w:r>
        <w:t xml:space="preserve">Dembovski, A., Amitai, Y., &amp; Levy-Tzedek, S. (2022). A Socially Assistive Robot for Stroke Patients: Acceptance, Needs, and Concerns of Patients and Informal Caregivers. </w:t>
      </w:r>
      <w:r>
        <w:rPr>
          <w:i/>
          <w:iCs/>
        </w:rPr>
        <w:t>Frontiers in Rehabilitation Sciences</w:t>
      </w:r>
      <w:r>
        <w:t xml:space="preserve">, </w:t>
      </w:r>
      <w:r>
        <w:rPr>
          <w:i/>
          <w:iCs/>
        </w:rPr>
        <w:t>2</w:t>
      </w:r>
      <w:r>
        <w:t>, 793233. https://doi.org/10.3389/fresc.2021.793233</w:t>
      </w:r>
    </w:p>
    <w:p w14:paraId="3437BE69" w14:textId="77777777" w:rsidR="00884D23" w:rsidRDefault="00884D23" w:rsidP="00884D23">
      <w:pPr>
        <w:pStyle w:val="Bibliography"/>
      </w:pPr>
      <w:r>
        <w:t xml:space="preserve">Dexter, D. T., &amp; Jenner, P. (2013). Parkinson disease: From pathology to molecular disease mechanisms. </w:t>
      </w:r>
      <w:r>
        <w:rPr>
          <w:i/>
          <w:iCs/>
        </w:rPr>
        <w:t>Free Radical Biology and Medicine</w:t>
      </w:r>
      <w:r>
        <w:t xml:space="preserve">, </w:t>
      </w:r>
      <w:r>
        <w:rPr>
          <w:i/>
          <w:iCs/>
        </w:rPr>
        <w:t>62</w:t>
      </w:r>
      <w:r>
        <w:t>, 132–144. https://doi.org/10.1016/j.freeradbiomed.2013.01.018</w:t>
      </w:r>
    </w:p>
    <w:p w14:paraId="59909AC9" w14:textId="77777777" w:rsidR="00884D23" w:rsidRDefault="00884D23" w:rsidP="00884D23">
      <w:pPr>
        <w:pStyle w:val="Bibliography"/>
      </w:pPr>
      <w:r>
        <w:t xml:space="preserve">Dhivya, V., &amp; Balachandar, V. (2017). Cell replacement therapy is the remedial solution for treating Parkinson’s disease. </w:t>
      </w:r>
      <w:r>
        <w:rPr>
          <w:i/>
          <w:iCs/>
        </w:rPr>
        <w:t>Stem Cell Investigation</w:t>
      </w:r>
      <w:r>
        <w:t xml:space="preserve">, </w:t>
      </w:r>
      <w:r>
        <w:rPr>
          <w:i/>
          <w:iCs/>
        </w:rPr>
        <w:t>4</w:t>
      </w:r>
      <w:r>
        <w:t>, 59. https://doi.org/10.21037/sci.2017.06.08</w:t>
      </w:r>
    </w:p>
    <w:p w14:paraId="1B8EE64A" w14:textId="77777777" w:rsidR="00884D23" w:rsidRDefault="00884D23" w:rsidP="00884D23">
      <w:pPr>
        <w:pStyle w:val="Bibliography"/>
      </w:pPr>
      <w:r>
        <w:lastRenderedPageBreak/>
        <w:t xml:space="preserve">Dorsey, E. R., Constantinescu, R., Thompson, J. P., Biglan, K. M., Holloway, R. G., Kieburtz, K., Marshall, F. J., Ravina, B. M., Schifitto, G., Siderowf, A., &amp; Tanner, C. M. (2007). Projected number of people with Parkinson disease in the most populous nations, 2005 through 2030. </w:t>
      </w:r>
      <w:r>
        <w:rPr>
          <w:i/>
          <w:iCs/>
        </w:rPr>
        <w:t>Neurology</w:t>
      </w:r>
      <w:r>
        <w:t xml:space="preserve">, </w:t>
      </w:r>
      <w:r>
        <w:rPr>
          <w:i/>
          <w:iCs/>
        </w:rPr>
        <w:t>68</w:t>
      </w:r>
      <w:r>
        <w:t>(5), 384–386. https://doi.org/10.1212/01.wnl.0000247740.47667.03</w:t>
      </w:r>
    </w:p>
    <w:p w14:paraId="5425737B" w14:textId="77777777" w:rsidR="00884D23" w:rsidRDefault="00884D23" w:rsidP="00884D23">
      <w:pPr>
        <w:pStyle w:val="Bibliography"/>
      </w:pPr>
      <w:r>
        <w:t xml:space="preserve">Dorsey, E. R., Elbaz, A., Nichols, E., Abbasi, N., Abd-Allah, F., Abdelalim, A., Adsuar, J. C., Ansha, M. G., Brayne, C., Choi, J.-Y. J., Collado-Mateo, D., Dahodwala, N., Do, H. P., Edessa, D., Endres, M., Fereshtehnejad, S.-M., Foreman, K. J., Gankpe, F. G., Gupta, R., … Murray, C. J. L. (2018). Global, regional, and national burden of Parkinson’s disease, 1990–2016: A systematic analysis for the Global Burden of Disease Study 2016. </w:t>
      </w:r>
      <w:r>
        <w:rPr>
          <w:i/>
          <w:iCs/>
        </w:rPr>
        <w:t>The Lancet Neurology</w:t>
      </w:r>
      <w:r>
        <w:t xml:space="preserve">, </w:t>
      </w:r>
      <w:r>
        <w:rPr>
          <w:i/>
          <w:iCs/>
        </w:rPr>
        <w:t>17</w:t>
      </w:r>
      <w:r>
        <w:t>(11), 939–953. https://doi.org/10.1016/S1474-4422(18)30295-3</w:t>
      </w:r>
    </w:p>
    <w:p w14:paraId="3BCC2447" w14:textId="77777777" w:rsidR="00884D23" w:rsidRDefault="00884D23" w:rsidP="00884D23">
      <w:pPr>
        <w:pStyle w:val="Bibliography"/>
      </w:pPr>
      <w:r>
        <w:t xml:space="preserve">Eizicovits, D., Edan, Y., Tabak, I., &amp; Levy-Tzedek, S. (n.d.). Robotic gaming prototype for upper limb exercise: Effects of age and embodiment on user preferences and movement. </w:t>
      </w:r>
      <w:r>
        <w:rPr>
          <w:i/>
          <w:iCs/>
        </w:rPr>
        <w:t>Restorative Neurology and Neuroscience</w:t>
      </w:r>
      <w:r>
        <w:t xml:space="preserve">, </w:t>
      </w:r>
      <w:r>
        <w:rPr>
          <w:i/>
          <w:iCs/>
        </w:rPr>
        <w:t>36</w:t>
      </w:r>
      <w:r>
        <w:t>(2), 261–274. https://doi.org/10.3233/RNN-170802</w:t>
      </w:r>
    </w:p>
    <w:p w14:paraId="21989588" w14:textId="77777777" w:rsidR="00884D23" w:rsidRDefault="00884D23" w:rsidP="00884D23">
      <w:pPr>
        <w:pStyle w:val="Bibliography"/>
      </w:pPr>
      <w:r>
        <w:t xml:space="preserve">Eizicovits, D., Edan, Y., Tabak, I., &amp; Levy-Tzedek, S. (2018). Robotic gaming prototype for upper limb exercise: Effects of age and embodiment on user preferences and movement. </w:t>
      </w:r>
      <w:r>
        <w:rPr>
          <w:i/>
          <w:iCs/>
        </w:rPr>
        <w:t>Restorative Neurology and Neuroscience</w:t>
      </w:r>
      <w:r>
        <w:t xml:space="preserve">, </w:t>
      </w:r>
      <w:r>
        <w:rPr>
          <w:i/>
          <w:iCs/>
        </w:rPr>
        <w:t>36</w:t>
      </w:r>
      <w:r>
        <w:t>(2), 261–274. https://doi.org/10.3233/RNN-170802</w:t>
      </w:r>
    </w:p>
    <w:p w14:paraId="75AD3ECC" w14:textId="77777777" w:rsidR="00884D23" w:rsidRDefault="00884D23" w:rsidP="00884D23">
      <w:pPr>
        <w:pStyle w:val="Bibliography"/>
      </w:pPr>
      <w:r>
        <w:t xml:space="preserve">Elbaz, A., Carcaillon, L., Kab, S., &amp; Moisan, F. (2016). Epidemiology of Parkinson’s disease. </w:t>
      </w:r>
      <w:r>
        <w:rPr>
          <w:i/>
          <w:iCs/>
        </w:rPr>
        <w:t>Revue Neurologique</w:t>
      </w:r>
      <w:r>
        <w:t xml:space="preserve">, </w:t>
      </w:r>
      <w:r>
        <w:rPr>
          <w:i/>
          <w:iCs/>
        </w:rPr>
        <w:t>172</w:t>
      </w:r>
      <w:r>
        <w:t>(1), 14–26. https://doi.org/10.1016/j.neurol.2015.09.012</w:t>
      </w:r>
    </w:p>
    <w:p w14:paraId="124F0163" w14:textId="77777777" w:rsidR="00884D23" w:rsidRDefault="00884D23" w:rsidP="00884D23">
      <w:pPr>
        <w:pStyle w:val="Bibliography"/>
      </w:pPr>
      <w:r>
        <w:t xml:space="preserve">Elliott, S. J., &amp; Velde, B. P. (2006). Integration of Occupation for Individuals Affected by Parkinson’s Disease. </w:t>
      </w:r>
      <w:r>
        <w:rPr>
          <w:i/>
          <w:iCs/>
        </w:rPr>
        <w:t>Physical &amp; Occupational Therapy In Geriatrics</w:t>
      </w:r>
      <w:r>
        <w:t xml:space="preserve">, </w:t>
      </w:r>
      <w:r>
        <w:rPr>
          <w:i/>
          <w:iCs/>
        </w:rPr>
        <w:t>24</w:t>
      </w:r>
      <w:r>
        <w:t>(1), 61–80. https://doi.org/10.1080/J148v24n01_04</w:t>
      </w:r>
    </w:p>
    <w:p w14:paraId="7BF4EE61" w14:textId="77777777" w:rsidR="00884D23" w:rsidRDefault="00884D23" w:rsidP="00884D23">
      <w:pPr>
        <w:pStyle w:val="Bibliography"/>
      </w:pPr>
      <w:r>
        <w:rPr>
          <w:i/>
          <w:iCs/>
        </w:rPr>
        <w:lastRenderedPageBreak/>
        <w:t>Elliq.com</w:t>
      </w:r>
      <w:r>
        <w:t>. (n.d.). https://elliq.com/</w:t>
      </w:r>
    </w:p>
    <w:p w14:paraId="7E6A0103" w14:textId="77777777" w:rsidR="00884D23" w:rsidRDefault="00884D23" w:rsidP="00884D23">
      <w:pPr>
        <w:pStyle w:val="Bibliography"/>
      </w:pPr>
      <w:r>
        <w:t xml:space="preserve">Espay, A. J., Bonato, P., Nahab, F. B., Maetzler, W., Dean, J. M., Klucken, J., Eskofier, B. M., Merola, A., Horak, F., Lang, A. E., Reilmann, R., Giuffrida, J., Nieuwboer, A., Horne, M., Little, M. A., Litvan, I., Simuni, T., Dorsey, E. R., Burack, M. A., … Technology,  on behalf of the M. D. S. T. F. on. (2016). Technology in Parkinson’s disease: Challenges and opportunities. </w:t>
      </w:r>
      <w:r>
        <w:rPr>
          <w:i/>
          <w:iCs/>
        </w:rPr>
        <w:t>Movement Disorders</w:t>
      </w:r>
      <w:r>
        <w:t xml:space="preserve">, </w:t>
      </w:r>
      <w:r>
        <w:rPr>
          <w:i/>
          <w:iCs/>
        </w:rPr>
        <w:t>31</w:t>
      </w:r>
      <w:r>
        <w:t>(9), 1272–1282. https://doi.org/10.1002/mds.26642</w:t>
      </w:r>
    </w:p>
    <w:p w14:paraId="43B5C102" w14:textId="77777777" w:rsidR="00884D23" w:rsidRDefault="00884D23" w:rsidP="00884D23">
      <w:pPr>
        <w:pStyle w:val="Bibliography"/>
      </w:pPr>
      <w:r>
        <w:t xml:space="preserve">Fahn, S. (2003). Description of Parkinson’s Disease as a Clinical Syndrome. </w:t>
      </w:r>
      <w:r>
        <w:rPr>
          <w:i/>
          <w:iCs/>
        </w:rPr>
        <w:t>Annals of the New York Academy of Sciences</w:t>
      </w:r>
      <w:r>
        <w:t xml:space="preserve">, </w:t>
      </w:r>
      <w:r>
        <w:rPr>
          <w:i/>
          <w:iCs/>
        </w:rPr>
        <w:t>991</w:t>
      </w:r>
      <w:r>
        <w:t>(1), 1–14. https://doi.org/10.1111/j.1749-6632.2003.tb07458.x</w:t>
      </w:r>
    </w:p>
    <w:p w14:paraId="2EBA3960" w14:textId="77777777" w:rsidR="00884D23" w:rsidRDefault="00884D23" w:rsidP="00884D23">
      <w:pPr>
        <w:pStyle w:val="Bibliography"/>
      </w:pPr>
      <w:r>
        <w:t xml:space="preserve">Feingold-Polak, R., Barzel, O., &amp; Levy-Tzedek, S. (2021). A robot goes to rehab: A novel gamified system for long-term stroke rehabilitation using a socially assistive robot—methodology and usability testing. </w:t>
      </w:r>
      <w:r>
        <w:rPr>
          <w:i/>
          <w:iCs/>
        </w:rPr>
        <w:t>Journal of NeuroEngineering and Rehabilitation</w:t>
      </w:r>
      <w:r>
        <w:t xml:space="preserve">, </w:t>
      </w:r>
      <w:r>
        <w:rPr>
          <w:i/>
          <w:iCs/>
        </w:rPr>
        <w:t>18</w:t>
      </w:r>
      <w:r>
        <w:t>(1), 122. https://doi.org/10.1186/s12984-021-00915-2</w:t>
      </w:r>
    </w:p>
    <w:p w14:paraId="3937F4F0" w14:textId="77777777" w:rsidR="00884D23" w:rsidRDefault="00884D23" w:rsidP="00884D23">
      <w:pPr>
        <w:pStyle w:val="Bibliography"/>
      </w:pPr>
      <w:r>
        <w:t xml:space="preserve">Feingold-Polak, R., &amp; Levy-Tzedek, S. (2021). Personalized Human Robot Interaction in the Unique Context of Rehabilitation. </w:t>
      </w:r>
      <w:r>
        <w:rPr>
          <w:i/>
          <w:iCs/>
        </w:rPr>
        <w:t>Adjunct Proceedings of the 29th ACM Conference on User Modeling, Adaptation and Personalization</w:t>
      </w:r>
      <w:r>
        <w:t>, 126–127. https://doi.org/10.1145/3450614.3463415</w:t>
      </w:r>
    </w:p>
    <w:p w14:paraId="32BC6598" w14:textId="77777777" w:rsidR="00884D23" w:rsidRDefault="00884D23" w:rsidP="00884D23">
      <w:pPr>
        <w:pStyle w:val="Bibliography"/>
      </w:pPr>
      <w:r>
        <w:t xml:space="preserve">Foster, E. R., &amp; Hershey, T. (2011). Everyday Executive Function is Associated with Activity Participation in Parkinson Disease without Dementia. </w:t>
      </w:r>
      <w:r>
        <w:rPr>
          <w:i/>
          <w:iCs/>
        </w:rPr>
        <w:t>OTJR: Occupation, Participation and Health</w:t>
      </w:r>
      <w:r>
        <w:t xml:space="preserve">, </w:t>
      </w:r>
      <w:r>
        <w:rPr>
          <w:i/>
          <w:iCs/>
        </w:rPr>
        <w:t>31</w:t>
      </w:r>
      <w:r>
        <w:t>(1_suppl), S16–S22. https://doi.org/10.3928/15394492-20101108-04</w:t>
      </w:r>
    </w:p>
    <w:p w14:paraId="009239DC" w14:textId="77777777" w:rsidR="00884D23" w:rsidRDefault="00884D23" w:rsidP="00884D23">
      <w:pPr>
        <w:pStyle w:val="Bibliography"/>
      </w:pPr>
      <w:r>
        <w:t xml:space="preserve">Gale, N. K., Heath, G., Cameron, E., Rashid, S., &amp; Redwood, S. (2013). Using the framework method for the analysis of qualitative data in multi-disciplinary health research. </w:t>
      </w:r>
      <w:r>
        <w:rPr>
          <w:i/>
          <w:iCs/>
        </w:rPr>
        <w:t>BMC Medical Research Methodology</w:t>
      </w:r>
      <w:r>
        <w:t xml:space="preserve">, </w:t>
      </w:r>
      <w:r>
        <w:rPr>
          <w:i/>
          <w:iCs/>
        </w:rPr>
        <w:t>13</w:t>
      </w:r>
      <w:r>
        <w:t>, 117. https://doi.org/10.1186/1471-2288-13-117</w:t>
      </w:r>
    </w:p>
    <w:p w14:paraId="04C264E6" w14:textId="77777777" w:rsidR="00884D23" w:rsidRDefault="00884D23" w:rsidP="00884D23">
      <w:pPr>
        <w:pStyle w:val="Bibliography"/>
      </w:pPr>
      <w:r>
        <w:lastRenderedPageBreak/>
        <w:t xml:space="preserve">Geva, N., Uzefovsky, F., &amp; Levy-Tzedek, S. (2020a). Touching the social robot PARO reduces pain perception and salivary oxytocin levels. </w:t>
      </w:r>
      <w:r>
        <w:rPr>
          <w:i/>
          <w:iCs/>
        </w:rPr>
        <w:t>Scientific Reports</w:t>
      </w:r>
      <w:r>
        <w:t xml:space="preserve">, </w:t>
      </w:r>
      <w:r>
        <w:rPr>
          <w:i/>
          <w:iCs/>
        </w:rPr>
        <w:t>10</w:t>
      </w:r>
      <w:r>
        <w:t>(1), 9814. https://doi.org/10.1038/s41598-020-66982-y</w:t>
      </w:r>
    </w:p>
    <w:p w14:paraId="30A572F8" w14:textId="77777777" w:rsidR="00884D23" w:rsidRDefault="00884D23" w:rsidP="00884D23">
      <w:pPr>
        <w:pStyle w:val="Bibliography"/>
      </w:pPr>
      <w:r>
        <w:t xml:space="preserve">Geva, N., Uzefovsky, F., &amp; Levy-Tzedek, S. (2020b). Touching the social robot PARO reduces pain perception and salivary oxytocin levels. </w:t>
      </w:r>
      <w:r>
        <w:rPr>
          <w:i/>
          <w:iCs/>
        </w:rPr>
        <w:t>Scientific Reports</w:t>
      </w:r>
      <w:r>
        <w:t xml:space="preserve">, </w:t>
      </w:r>
      <w:r>
        <w:rPr>
          <w:i/>
          <w:iCs/>
        </w:rPr>
        <w:t>10</w:t>
      </w:r>
      <w:r>
        <w:t>(1), 9814. https://doi.org/10.1038/s41598-020-66982-y</w:t>
      </w:r>
    </w:p>
    <w:p w14:paraId="563867E5" w14:textId="77777777" w:rsidR="00884D23" w:rsidRDefault="00884D23" w:rsidP="00884D23">
      <w:pPr>
        <w:pStyle w:val="Bibliography"/>
      </w:pPr>
      <w:r>
        <w:t xml:space="preserve">Gill, P., Stewart, K., Treasure, E., &amp; Chadwick, B. (2008a). Methods of data collection in qualitative research: Interviews and focus groups. </w:t>
      </w:r>
      <w:r>
        <w:rPr>
          <w:i/>
          <w:iCs/>
        </w:rPr>
        <w:t>British Dental Journal</w:t>
      </w:r>
      <w:r>
        <w:t xml:space="preserve">, </w:t>
      </w:r>
      <w:r>
        <w:rPr>
          <w:i/>
          <w:iCs/>
        </w:rPr>
        <w:t>204</w:t>
      </w:r>
      <w:r>
        <w:t>(6), 291–295. https://doi.org/10.1038/bdj.2008.192</w:t>
      </w:r>
    </w:p>
    <w:p w14:paraId="4CF6A7E6" w14:textId="77777777" w:rsidR="00884D23" w:rsidRDefault="00884D23" w:rsidP="00884D23">
      <w:pPr>
        <w:pStyle w:val="Bibliography"/>
      </w:pPr>
      <w:r>
        <w:t xml:space="preserve">Gill, P., Stewart, K., Treasure, E., &amp; Chadwick, B. (2008b). Methods of data collection in qualitative research: Interviews and focus groups. </w:t>
      </w:r>
      <w:r>
        <w:rPr>
          <w:i/>
          <w:iCs/>
        </w:rPr>
        <w:t>British Dental Journal</w:t>
      </w:r>
      <w:r>
        <w:t xml:space="preserve">, </w:t>
      </w:r>
      <w:r>
        <w:rPr>
          <w:i/>
          <w:iCs/>
        </w:rPr>
        <w:t>204</w:t>
      </w:r>
      <w:r>
        <w:t>(6), Article 6. https://doi.org/10.1038/bdj.2008.192</w:t>
      </w:r>
    </w:p>
    <w:p w14:paraId="2D9413B3" w14:textId="77777777" w:rsidR="00884D23" w:rsidRDefault="00884D23" w:rsidP="00884D23">
      <w:pPr>
        <w:pStyle w:val="Bibliography"/>
      </w:pPr>
      <w:r>
        <w:t xml:space="preserve">Gonzalez-Latapi, P., Bayram, E., Litvan, I., &amp; Marras, C. (2021). Cognitive Impairment in Parkinson’s Disease: Epidemiology, Clinical Profile, Protective and Risk Factors. </w:t>
      </w:r>
      <w:r>
        <w:rPr>
          <w:i/>
          <w:iCs/>
        </w:rPr>
        <w:t>Behavioral Sciences (Basel, Switzerland)</w:t>
      </w:r>
      <w:r>
        <w:t xml:space="preserve">, </w:t>
      </w:r>
      <w:r>
        <w:rPr>
          <w:i/>
          <w:iCs/>
        </w:rPr>
        <w:t>11</w:t>
      </w:r>
      <w:r>
        <w:t>(5), 74. https://doi.org/10.3390/bs11050074</w:t>
      </w:r>
    </w:p>
    <w:p w14:paraId="24C47825" w14:textId="77777777" w:rsidR="00884D23" w:rsidRDefault="00884D23" w:rsidP="00884D23">
      <w:pPr>
        <w:pStyle w:val="Bibliography"/>
      </w:pPr>
      <w:r>
        <w:t xml:space="preserve">Grün, D., Pieri, V., Vaillant, M., &amp; Diederich, N. J. (2016). Contributory Factors to Caregiver Burden in Parkinson Disease. </w:t>
      </w:r>
      <w:r>
        <w:rPr>
          <w:i/>
          <w:iCs/>
        </w:rPr>
        <w:t>Journal of the American Medical Directors Association</w:t>
      </w:r>
      <w:r>
        <w:t xml:space="preserve">, </w:t>
      </w:r>
      <w:r>
        <w:rPr>
          <w:i/>
          <w:iCs/>
        </w:rPr>
        <w:t>17</w:t>
      </w:r>
      <w:r>
        <w:t>(7), 626–632. https://doi.org/10.1016/j.jamda.2016.03.004</w:t>
      </w:r>
    </w:p>
    <w:p w14:paraId="2041ED2C" w14:textId="77777777" w:rsidR="00884D23" w:rsidRDefault="00884D23" w:rsidP="00884D23">
      <w:pPr>
        <w:pStyle w:val="Bibliography"/>
      </w:pPr>
      <w:r>
        <w:t xml:space="preserve">Halliday, M., Mill, D., Johnson, J., &amp; Lee, K. (2021). Let’s talk virtual! Online focus group facilitation for the modern researcher. </w:t>
      </w:r>
      <w:r>
        <w:rPr>
          <w:i/>
          <w:iCs/>
        </w:rPr>
        <w:t>Research in Social and Administrative Pharmacy</w:t>
      </w:r>
      <w:r>
        <w:t xml:space="preserve">, </w:t>
      </w:r>
      <w:r>
        <w:rPr>
          <w:i/>
          <w:iCs/>
        </w:rPr>
        <w:t>17</w:t>
      </w:r>
      <w:r>
        <w:t>(12), 2145–2150. https://doi.org/10.1016/j.sapharm.2021.02.003</w:t>
      </w:r>
    </w:p>
    <w:p w14:paraId="1C3480A3" w14:textId="77777777" w:rsidR="00884D23" w:rsidRDefault="00884D23" w:rsidP="00884D23">
      <w:pPr>
        <w:pStyle w:val="Bibliography"/>
      </w:pPr>
      <w:r>
        <w:t xml:space="preserve">Hollis, V., Openshaw, S., &amp; Goble, R. (2002). Conducting Focus Groups: Purpose and Practicalities. </w:t>
      </w:r>
      <w:r>
        <w:rPr>
          <w:i/>
          <w:iCs/>
        </w:rPr>
        <w:t>British Journal of Occupational Therapy</w:t>
      </w:r>
      <w:r>
        <w:t xml:space="preserve">, </w:t>
      </w:r>
      <w:r>
        <w:rPr>
          <w:i/>
          <w:iCs/>
        </w:rPr>
        <w:t>65</w:t>
      </w:r>
      <w:r>
        <w:t>(1), 2–8. https://doi.org/10.1177/030802260206500102</w:t>
      </w:r>
    </w:p>
    <w:p w14:paraId="2537A3EA" w14:textId="77777777" w:rsidR="00884D23" w:rsidRDefault="00884D23" w:rsidP="00884D23">
      <w:pPr>
        <w:pStyle w:val="Bibliography"/>
      </w:pPr>
      <w:r>
        <w:lastRenderedPageBreak/>
        <w:t xml:space="preserve">Jankovic, J. (2008). Parkinson’s disease: Clinical features and diagnosis. </w:t>
      </w:r>
      <w:r>
        <w:rPr>
          <w:i/>
          <w:iCs/>
        </w:rPr>
        <w:t>Journal of Neurology, Neurosurgery &amp; Psychiatry</w:t>
      </w:r>
      <w:r>
        <w:t xml:space="preserve">, </w:t>
      </w:r>
      <w:r>
        <w:rPr>
          <w:i/>
          <w:iCs/>
        </w:rPr>
        <w:t>79</w:t>
      </w:r>
      <w:r>
        <w:t>(4), 368–376. https://doi.org/10.1136/jnnp.2007.131045</w:t>
      </w:r>
    </w:p>
    <w:p w14:paraId="62981269" w14:textId="77777777" w:rsidR="00884D23" w:rsidRDefault="00884D23" w:rsidP="00884D23">
      <w:pPr>
        <w:pStyle w:val="Bibliography"/>
      </w:pPr>
      <w:r>
        <w:t xml:space="preserve">Karlstedt, M., Fereshtehnejad, S.-M., Aarsland, D., &amp; Lökk, J. (2020). Mediating effect of mutuality on caregiver burden in Parkinson’s disease partners. </w:t>
      </w:r>
      <w:r>
        <w:rPr>
          <w:i/>
          <w:iCs/>
        </w:rPr>
        <w:t>Aging &amp; Mental Health</w:t>
      </w:r>
      <w:r>
        <w:t xml:space="preserve">, </w:t>
      </w:r>
      <w:r>
        <w:rPr>
          <w:i/>
          <w:iCs/>
        </w:rPr>
        <w:t>24</w:t>
      </w:r>
      <w:r>
        <w:t>(9), 1421–1428. https://doi.org/10.1080/13607863.2019.1619165</w:t>
      </w:r>
    </w:p>
    <w:p w14:paraId="7F072E24" w14:textId="77777777" w:rsidR="00884D23" w:rsidRDefault="00884D23" w:rsidP="00884D23">
      <w:pPr>
        <w:pStyle w:val="Bibliography"/>
      </w:pPr>
      <w:r>
        <w:t xml:space="preserve">Kashi, S., &amp; Levy-Tzedek, S. (2018). Smooth leader or sharp follower? Playing the mirror game with a robot. </w:t>
      </w:r>
      <w:r>
        <w:rPr>
          <w:i/>
          <w:iCs/>
        </w:rPr>
        <w:t>Restorative Neurology and Neuroscience</w:t>
      </w:r>
      <w:r>
        <w:t xml:space="preserve">, </w:t>
      </w:r>
      <w:r>
        <w:rPr>
          <w:i/>
          <w:iCs/>
        </w:rPr>
        <w:t>36</w:t>
      </w:r>
      <w:r>
        <w:t>(2), 147–159. https://doi.org/10.3233/RNN-170756</w:t>
      </w:r>
    </w:p>
    <w:p w14:paraId="51821FC6" w14:textId="77777777" w:rsidR="00884D23" w:rsidRDefault="00884D23" w:rsidP="00884D23">
      <w:pPr>
        <w:pStyle w:val="Bibliography"/>
      </w:pPr>
      <w:r>
        <w:t xml:space="preserve">Kiger, M. E., &amp; Varpio, L. (2020). Thematic analysis of qualitative data: AMEE Guide No. 131. </w:t>
      </w:r>
      <w:r>
        <w:rPr>
          <w:i/>
          <w:iCs/>
        </w:rPr>
        <w:t>Medical Teacher</w:t>
      </w:r>
      <w:r>
        <w:t xml:space="preserve">, </w:t>
      </w:r>
      <w:r>
        <w:rPr>
          <w:i/>
          <w:iCs/>
        </w:rPr>
        <w:t>42</w:t>
      </w:r>
      <w:r>
        <w:t>(8), 846–854. https://doi.org/10.1080/0142159X.2020.1755030</w:t>
      </w:r>
    </w:p>
    <w:p w14:paraId="0809E326" w14:textId="77777777" w:rsidR="00884D23" w:rsidRDefault="00884D23" w:rsidP="00884D23">
      <w:pPr>
        <w:pStyle w:val="Bibliography"/>
      </w:pPr>
      <w:r>
        <w:t xml:space="preserve">Kingry, M. J., Tiedje, L. B., &amp; Friedman, L. L. (1990). Focus groups: A research technique for nursing. </w:t>
      </w:r>
      <w:r>
        <w:rPr>
          <w:i/>
          <w:iCs/>
        </w:rPr>
        <w:t>Nursing Research</w:t>
      </w:r>
      <w:r>
        <w:t xml:space="preserve">, </w:t>
      </w:r>
      <w:r>
        <w:rPr>
          <w:i/>
          <w:iCs/>
        </w:rPr>
        <w:t>39</w:t>
      </w:r>
      <w:r>
        <w:t>(2), 124–125.</w:t>
      </w:r>
    </w:p>
    <w:p w14:paraId="7E5BD1B6" w14:textId="77777777" w:rsidR="00884D23" w:rsidRDefault="00884D23" w:rsidP="00884D23">
      <w:pPr>
        <w:pStyle w:val="Bibliography"/>
      </w:pPr>
      <w:r>
        <w:t xml:space="preserve">Koerts, J., König, M., Tucha, L., &amp; Tucha, O. (2016). Working capacity of patients with Parkinson’s disease – A systematic review. </w:t>
      </w:r>
      <w:r>
        <w:rPr>
          <w:i/>
          <w:iCs/>
        </w:rPr>
        <w:t>Parkinsonism &amp; Related Disorders</w:t>
      </w:r>
      <w:r>
        <w:t xml:space="preserve">, </w:t>
      </w:r>
      <w:r>
        <w:rPr>
          <w:i/>
          <w:iCs/>
        </w:rPr>
        <w:t>27</w:t>
      </w:r>
      <w:r>
        <w:t>, 9–24. https://doi.org/10.1016/j.parkreldis.2016.03.017</w:t>
      </w:r>
    </w:p>
    <w:p w14:paraId="23893A11" w14:textId="77777777" w:rsidR="00884D23" w:rsidRDefault="00884D23" w:rsidP="00884D23">
      <w:pPr>
        <w:pStyle w:val="Bibliography"/>
      </w:pPr>
      <w:r>
        <w:t xml:space="preserve">Koerts, J., Van Beilen, M., Tucha, O., Leenders, K. L., &amp; Brouwer, W. H. (2011). Executive Functioning in Daily Life in Parkinson’s Disease: Initiative, Planning and Multi-Task Performance. </w:t>
      </w:r>
      <w:r>
        <w:rPr>
          <w:i/>
          <w:iCs/>
        </w:rPr>
        <w:t>PLoS ONE</w:t>
      </w:r>
      <w:r>
        <w:t xml:space="preserve">, </w:t>
      </w:r>
      <w:r>
        <w:rPr>
          <w:i/>
          <w:iCs/>
        </w:rPr>
        <w:t>6</w:t>
      </w:r>
      <w:r>
        <w:t>(12), e29254. https://doi.org/10.1371/journal.pone.0029254</w:t>
      </w:r>
    </w:p>
    <w:p w14:paraId="628556E5" w14:textId="77777777" w:rsidR="00884D23" w:rsidRDefault="00884D23" w:rsidP="00884D23">
      <w:pPr>
        <w:pStyle w:val="Bibliography"/>
      </w:pPr>
      <w:r>
        <w:t xml:space="preserve">Koutentakis, D., Pilozzi, A., &amp; Huang, X. (2020). Designing Socially Assistive Robots for Alzheimer’s Disease and Related Dementia Patients and Their Caregivers: Where We Are and Where We Are Headed. </w:t>
      </w:r>
      <w:r>
        <w:rPr>
          <w:i/>
          <w:iCs/>
        </w:rPr>
        <w:t>Healthcare</w:t>
      </w:r>
      <w:r>
        <w:t xml:space="preserve">, </w:t>
      </w:r>
      <w:r>
        <w:rPr>
          <w:i/>
          <w:iCs/>
        </w:rPr>
        <w:t>8</w:t>
      </w:r>
      <w:r>
        <w:t>(2), Article 2. https://doi.org/10.3390/healthcare8020073</w:t>
      </w:r>
    </w:p>
    <w:p w14:paraId="30637C4A" w14:textId="77777777" w:rsidR="00884D23" w:rsidRDefault="00884D23" w:rsidP="00884D23">
      <w:pPr>
        <w:pStyle w:val="Bibliography"/>
      </w:pPr>
      <w:r>
        <w:lastRenderedPageBreak/>
        <w:t xml:space="preserve">Krauss, J. K., Lipsman, N., Aziz, T., Boutet, A., Brown, P., Chang, J. W., Davidson, B., Grill, W. M., Hariz, M. I., Horn, A., Schulder, M., Mammis, A., Tass, P. A., Volkmann, J., &amp; Lozano, A. M. (2021). Technology of deep brain stimulation: Current status and future directions. </w:t>
      </w:r>
      <w:r>
        <w:rPr>
          <w:i/>
          <w:iCs/>
        </w:rPr>
        <w:t>Nature Reviews. Neurology</w:t>
      </w:r>
      <w:r>
        <w:t xml:space="preserve">, </w:t>
      </w:r>
      <w:r>
        <w:rPr>
          <w:i/>
          <w:iCs/>
        </w:rPr>
        <w:t>17</w:t>
      </w:r>
      <w:r>
        <w:t>(2), 75–87. https://doi.org/10.1038/s41582-020-00426-z</w:t>
      </w:r>
    </w:p>
    <w:p w14:paraId="73A3E857" w14:textId="77777777" w:rsidR="00884D23" w:rsidRDefault="00884D23" w:rsidP="00884D23">
      <w:pPr>
        <w:pStyle w:val="Bibliography"/>
      </w:pPr>
      <w:r>
        <w:t xml:space="preserve">Krol, M., Papenburg, J., &amp; van Exel, J. (2015). Does Including Informal Care in Economic Evaluations Matter? A Systematic Review of Inclusion and Impact of Informal Care in Cost-Effectiveness Studies. </w:t>
      </w:r>
      <w:r>
        <w:rPr>
          <w:i/>
          <w:iCs/>
        </w:rPr>
        <w:t>PharmacoEconomics</w:t>
      </w:r>
      <w:r>
        <w:t xml:space="preserve">, </w:t>
      </w:r>
      <w:r>
        <w:rPr>
          <w:i/>
          <w:iCs/>
        </w:rPr>
        <w:t>33</w:t>
      </w:r>
      <w:r>
        <w:t>(2), 123–135. https://doi.org/10.1007/s40273-014-0218-y</w:t>
      </w:r>
    </w:p>
    <w:p w14:paraId="72153A0E" w14:textId="77777777" w:rsidR="00884D23" w:rsidRDefault="00884D23" w:rsidP="00884D23">
      <w:pPr>
        <w:pStyle w:val="Bibliography"/>
      </w:pPr>
      <w:r>
        <w:t xml:space="preserve">Kubota, A., Peterson, E. I. C., Rajendren, V., Kress-Gazit, H., &amp; Riek, L. D. (2020). JESSIE: Synthesizing Social Robot Behaviors for Personalized Neurorehabilitation and Beyond. </w:t>
      </w:r>
      <w:r>
        <w:rPr>
          <w:i/>
          <w:iCs/>
        </w:rPr>
        <w:t>Proceedings of the 2020 ACM/IEEE International Conference on Human-Robot Interaction</w:t>
      </w:r>
      <w:r>
        <w:t>, 121–130. https://doi.org/10.1145/3319502.3374836</w:t>
      </w:r>
    </w:p>
    <w:p w14:paraId="33610D05" w14:textId="77777777" w:rsidR="00884D23" w:rsidRDefault="00884D23" w:rsidP="00884D23">
      <w:pPr>
        <w:pStyle w:val="Bibliography"/>
      </w:pPr>
      <w:r>
        <w:t xml:space="preserve">Kubota, A., Pourebadi, M., Banh, S., Kim, S., &amp; Riek, L. (2021). </w:t>
      </w:r>
      <w:r>
        <w:rPr>
          <w:i/>
          <w:iCs/>
        </w:rPr>
        <w:t>Somebody That I Used to Know: The Risks of Personalizing Robots for Dementia Care</w:t>
      </w:r>
      <w:r>
        <w:t xml:space="preserve"> (SSRN Scholarly Paper No. 3910089). https://papers.ssrn.com/abstract=3910089</w:t>
      </w:r>
    </w:p>
    <w:p w14:paraId="2D3D3BE1" w14:textId="77777777" w:rsidR="00884D23" w:rsidRDefault="00884D23" w:rsidP="00884D23">
      <w:pPr>
        <w:pStyle w:val="Bibliography"/>
      </w:pPr>
      <w:r>
        <w:t xml:space="preserve">Langer, A., Feingold-Polak, R., Mueller, O., Kellmeyer, P., &amp; Levy-Tzedek, S. (2019). Trust in socially assistive robots: Considerations for use in rehabilitation. </w:t>
      </w:r>
      <w:r>
        <w:rPr>
          <w:i/>
          <w:iCs/>
        </w:rPr>
        <w:t>Neuroscience &amp; Biobehavioral Reviews</w:t>
      </w:r>
      <w:r>
        <w:t xml:space="preserve">, </w:t>
      </w:r>
      <w:r>
        <w:rPr>
          <w:i/>
          <w:iCs/>
        </w:rPr>
        <w:t>104</w:t>
      </w:r>
      <w:r>
        <w:t>, 231–239. https://doi.org/10.1016/j.neubiorev.2019.07.014</w:t>
      </w:r>
    </w:p>
    <w:p w14:paraId="212EF005" w14:textId="77777777" w:rsidR="00884D23" w:rsidRDefault="00884D23" w:rsidP="00884D23">
      <w:pPr>
        <w:pStyle w:val="Bibliography"/>
      </w:pPr>
      <w:r>
        <w:t xml:space="preserve">Lee, H. M., &amp; Koh, S.-B. (2015). Many Faces of Parkinson’s Disease: Non-Motor Symptoms of Parkinson’s Disease. </w:t>
      </w:r>
      <w:r>
        <w:rPr>
          <w:i/>
          <w:iCs/>
        </w:rPr>
        <w:t>Journal of Movement Disorders</w:t>
      </w:r>
      <w:r>
        <w:t xml:space="preserve">, </w:t>
      </w:r>
      <w:r>
        <w:rPr>
          <w:i/>
          <w:iCs/>
        </w:rPr>
        <w:t>8</w:t>
      </w:r>
      <w:r>
        <w:t>(2), 92–97. https://doi.org/10.14802/jmd.15003</w:t>
      </w:r>
    </w:p>
    <w:p w14:paraId="20BABC05" w14:textId="77777777" w:rsidR="00884D23" w:rsidRDefault="00884D23" w:rsidP="00884D23">
      <w:pPr>
        <w:pStyle w:val="Bibliography"/>
      </w:pPr>
      <w:r>
        <w:lastRenderedPageBreak/>
        <w:t xml:space="preserve">Lee, H. R., &amp; Riek, L. D. (2018). Reframing Assistive Robots to Promote Successful Aging. </w:t>
      </w:r>
      <w:r>
        <w:rPr>
          <w:i/>
          <w:iCs/>
        </w:rPr>
        <w:t>ACM Transactions on Human-Robot Interaction</w:t>
      </w:r>
      <w:r>
        <w:t xml:space="preserve">, </w:t>
      </w:r>
      <w:r>
        <w:rPr>
          <w:i/>
          <w:iCs/>
        </w:rPr>
        <w:t>7</w:t>
      </w:r>
      <w:r>
        <w:t>(1), 1–23. https://doi.org/10.1145/3203303</w:t>
      </w:r>
    </w:p>
    <w:p w14:paraId="36CBDB3E" w14:textId="77777777" w:rsidR="00884D23" w:rsidRDefault="00884D23" w:rsidP="00884D23">
      <w:pPr>
        <w:pStyle w:val="Bibliography"/>
      </w:pPr>
      <w:r>
        <w:t xml:space="preserve">Liberman-Pincu, E., van Grondelle, E. D., &amp; Oron-Gilad, T. (2021). Designing Robots with Relationships in Mind: Suggesting Two Models of Human-socially Assistive Robot (SAR) Relationship. </w:t>
      </w:r>
      <w:r>
        <w:rPr>
          <w:i/>
          <w:iCs/>
        </w:rPr>
        <w:t>Companion of the 2021 ACM/IEEE International Conference on Human-Robot Interaction</w:t>
      </w:r>
      <w:r>
        <w:t>, 555–558. https://doi.org/10.1145/3434074.3447125</w:t>
      </w:r>
    </w:p>
    <w:p w14:paraId="45A6A1AE" w14:textId="77777777" w:rsidR="00884D23" w:rsidRDefault="00884D23" w:rsidP="00884D23">
      <w:pPr>
        <w:pStyle w:val="Bibliography"/>
      </w:pPr>
      <w:r>
        <w:t xml:space="preserve">Louie, W.-Y. G., McColl, D., &amp; Nejat, G. (2014). Acceptance and Attitudes Toward a Human-like Socially Assistive Robot by Older Adults. </w:t>
      </w:r>
      <w:r>
        <w:rPr>
          <w:i/>
          <w:iCs/>
        </w:rPr>
        <w:t>Assistive Technology</w:t>
      </w:r>
      <w:r>
        <w:t xml:space="preserve">, </w:t>
      </w:r>
      <w:r>
        <w:rPr>
          <w:i/>
          <w:iCs/>
        </w:rPr>
        <w:t>26</w:t>
      </w:r>
      <w:r>
        <w:t>(3), 140–150. https://doi.org/10.1080/10400435.2013.869703</w:t>
      </w:r>
    </w:p>
    <w:p w14:paraId="249566FB" w14:textId="77777777" w:rsidR="00884D23" w:rsidRDefault="00884D23" w:rsidP="00884D23">
      <w:pPr>
        <w:pStyle w:val="Bibliography"/>
      </w:pPr>
      <w:r>
        <w:t xml:space="preserve">Maetzler, W., Klucken, J., &amp; Horne, M. (2016). A clinical view on the development of technology-based tools in managing Parkinson’s disease. </w:t>
      </w:r>
      <w:r>
        <w:rPr>
          <w:i/>
          <w:iCs/>
        </w:rPr>
        <w:t>Movement Disorders</w:t>
      </w:r>
      <w:r>
        <w:t xml:space="preserve">, </w:t>
      </w:r>
      <w:r>
        <w:rPr>
          <w:i/>
          <w:iCs/>
        </w:rPr>
        <w:t>31</w:t>
      </w:r>
      <w:r>
        <w:t>(9), 1263–1271. https://doi.org/10.1002/mds.26673</w:t>
      </w:r>
    </w:p>
    <w:p w14:paraId="129C6BB3" w14:textId="77777777" w:rsidR="00884D23" w:rsidRDefault="00884D23" w:rsidP="00884D23">
      <w:pPr>
        <w:pStyle w:val="Bibliography"/>
      </w:pPr>
      <w:r>
        <w:t xml:space="preserve">Martinez‐Martin, P., Macaulay, D., Jalundhwala, Y. J., Mu, F., Ohashi, E., Marshall, T., &amp; Sail, K. (2019). The long‐term direct and indirect economic burden among Parkinson’s disease caregivers in the United States. </w:t>
      </w:r>
      <w:r>
        <w:rPr>
          <w:i/>
          <w:iCs/>
        </w:rPr>
        <w:t>Movement Disorders</w:t>
      </w:r>
      <w:r>
        <w:t xml:space="preserve">, </w:t>
      </w:r>
      <w:r>
        <w:rPr>
          <w:i/>
          <w:iCs/>
        </w:rPr>
        <w:t>34</w:t>
      </w:r>
      <w:r>
        <w:t>(2), 236–245. https://doi.org/10.1002/mds.27579</w:t>
      </w:r>
    </w:p>
    <w:p w14:paraId="15DC7491" w14:textId="77777777" w:rsidR="00884D23" w:rsidRDefault="00884D23" w:rsidP="00884D23">
      <w:pPr>
        <w:pStyle w:val="Bibliography"/>
      </w:pPr>
      <w:r>
        <w:t xml:space="preserve">Mistridis, P., Mata, J., Neuner-Jehle, S., Annoni, J.-M., Biedermann, A., Bopp-Kistler, I., Brand, D., Brioschi Guevara, A., Decrey-Wick, H., Démonet, J.-F., Hemmeter, U., Kressig, R. W., Martin, B., Rampa, L., Savaskan, E., Stuck, A., Tschopp, P., Zekry, D., &amp; Monsch, A. (2017). Use it or lose it! Cognitive activity as a protec-tive factor for cognitive decline associated with Alzheimer’s disease. </w:t>
      </w:r>
      <w:r>
        <w:rPr>
          <w:i/>
          <w:iCs/>
        </w:rPr>
        <w:t>Swiss Medical Weekly</w:t>
      </w:r>
      <w:r>
        <w:t xml:space="preserve">, </w:t>
      </w:r>
      <w:r>
        <w:rPr>
          <w:i/>
          <w:iCs/>
        </w:rPr>
        <w:t>147</w:t>
      </w:r>
      <w:r>
        <w:t>, w14407. https://doi.org/10.4414/smw.2017.14407</w:t>
      </w:r>
    </w:p>
    <w:p w14:paraId="45709D8A" w14:textId="77777777" w:rsidR="00884D23" w:rsidRDefault="00884D23" w:rsidP="00884D23">
      <w:pPr>
        <w:pStyle w:val="Bibliography"/>
      </w:pPr>
      <w:r>
        <w:lastRenderedPageBreak/>
        <w:t xml:space="preserve">Miyake, Y. (2009). Interpersonal synchronization of body motion and the walk-mate walking support robot. </w:t>
      </w:r>
      <w:r>
        <w:rPr>
          <w:i/>
          <w:iCs/>
        </w:rPr>
        <w:t>IEEE Transactions on Robotics</w:t>
      </w:r>
      <w:r>
        <w:t xml:space="preserve">, </w:t>
      </w:r>
      <w:r>
        <w:rPr>
          <w:i/>
          <w:iCs/>
        </w:rPr>
        <w:t>25</w:t>
      </w:r>
      <w:r>
        <w:t>(3), 638–644. https://doi.org/10.1109/TRO.2009.2020350</w:t>
      </w:r>
    </w:p>
    <w:p w14:paraId="0C58A030" w14:textId="77777777" w:rsidR="00884D23" w:rsidRDefault="00884D23" w:rsidP="00884D23">
      <w:pPr>
        <w:pStyle w:val="Bibliography"/>
      </w:pPr>
      <w:r>
        <w:t xml:space="preserve">Moisan, F., Kab, S., Mohamed, F., Canonico, M., Le Guern, M., Quintin, C., Carcaillon, L., Nicolau, J., Duport, N., Singh-Manoux, A., Boussac-Zarebska, M., &amp; Elbaz, A. (2016). Parkinson disease male-to-female ratios increase with age: French nationwide study and meta-analysis. </w:t>
      </w:r>
      <w:r>
        <w:rPr>
          <w:i/>
          <w:iCs/>
        </w:rPr>
        <w:t>Journal of Neurology, Neurosurgery &amp; Psychiatry</w:t>
      </w:r>
      <w:r>
        <w:t xml:space="preserve">, </w:t>
      </w:r>
      <w:r>
        <w:rPr>
          <w:i/>
          <w:iCs/>
        </w:rPr>
        <w:t>87</w:t>
      </w:r>
      <w:r>
        <w:t>(9), 952–957. https://doi.org/10.1136/jnnp-2015-312283</w:t>
      </w:r>
    </w:p>
    <w:p w14:paraId="3F05F7E0" w14:textId="77777777" w:rsidR="00884D23" w:rsidRDefault="00884D23" w:rsidP="00884D23">
      <w:pPr>
        <w:pStyle w:val="Bibliography"/>
      </w:pPr>
      <w:r>
        <w:t xml:space="preserve">Morgan, D. L. (1997). </w:t>
      </w:r>
      <w:r>
        <w:rPr>
          <w:i/>
          <w:iCs/>
        </w:rPr>
        <w:t>The Focus Group Guidebook</w:t>
      </w:r>
      <w:r>
        <w:t>. SAGE Publications. http://ebookcentral.proquest.com/lib/bgu-ebooks/detail.action?docID=997152</w:t>
      </w:r>
    </w:p>
    <w:p w14:paraId="63032D2E" w14:textId="77777777" w:rsidR="00884D23" w:rsidRDefault="00884D23" w:rsidP="00884D23">
      <w:pPr>
        <w:pStyle w:val="Bibliography"/>
      </w:pPr>
      <w:r>
        <w:t xml:space="preserve">Mosley, P. E., Moodie, R., &amp; Dissanayaka, N. (2017). Caregiver Burden in Parkinson Disease: A Critical Review of Recent Literature. </w:t>
      </w:r>
      <w:r>
        <w:rPr>
          <w:i/>
          <w:iCs/>
        </w:rPr>
        <w:t>Journal of Geriatric Psychiatry and Neurology</w:t>
      </w:r>
      <w:r>
        <w:t xml:space="preserve">, </w:t>
      </w:r>
      <w:r>
        <w:rPr>
          <w:i/>
          <w:iCs/>
        </w:rPr>
        <w:t>30</w:t>
      </w:r>
      <w:r>
        <w:t>(5), 235–252. https://doi.org/10.1177/0891988717720302</w:t>
      </w:r>
    </w:p>
    <w:p w14:paraId="0BE931A1" w14:textId="77777777" w:rsidR="00884D23" w:rsidRDefault="00884D23" w:rsidP="00884D23">
      <w:pPr>
        <w:pStyle w:val="Bibliography"/>
      </w:pPr>
      <w:r>
        <w:t xml:space="preserve">Mosole, S., Carraro, U., Kern, H., Loefler, S., &amp; Zampieri, S. (2016). Use it or Lose It: Tonic Activity of Slow Motoneurons Promotes Their Survival and Preferentially Increases Slow Fiber-Type Groupings in Muscles of Old Lifelong Recreational Sportsmen. </w:t>
      </w:r>
      <w:r>
        <w:rPr>
          <w:i/>
          <w:iCs/>
        </w:rPr>
        <w:t>European Journal of Translational Myology</w:t>
      </w:r>
      <w:r>
        <w:t xml:space="preserve">, </w:t>
      </w:r>
      <w:r>
        <w:rPr>
          <w:i/>
          <w:iCs/>
        </w:rPr>
        <w:t>26</w:t>
      </w:r>
      <w:r>
        <w:t>(4), 5972. https://doi.org/10.4081/ejtm.2016.5972</w:t>
      </w:r>
    </w:p>
    <w:p w14:paraId="0C21A0E5" w14:textId="77777777" w:rsidR="00884D23" w:rsidRDefault="00884D23" w:rsidP="00884D23">
      <w:pPr>
        <w:pStyle w:val="Bibliography"/>
      </w:pPr>
      <w:r>
        <w:t xml:space="preserve">Mostofi, A., Morgante, F., Edwards, M. J., Brown, P., &amp; Pereira, E. A. C. (2021). Pain in Parkinson’s disease and the role of the subthalamic nucleus. </w:t>
      </w:r>
      <w:r>
        <w:rPr>
          <w:i/>
          <w:iCs/>
        </w:rPr>
        <w:t>Brain: A Journal of Neurology</w:t>
      </w:r>
      <w:r>
        <w:t xml:space="preserve">, </w:t>
      </w:r>
      <w:r>
        <w:rPr>
          <w:i/>
          <w:iCs/>
        </w:rPr>
        <w:t>144</w:t>
      </w:r>
      <w:r>
        <w:t>(5), 1342–1350. https://doi.org/10.1093/brain/awab001</w:t>
      </w:r>
    </w:p>
    <w:p w14:paraId="01261589" w14:textId="77777777" w:rsidR="00884D23" w:rsidRDefault="00884D23" w:rsidP="00884D23">
      <w:pPr>
        <w:pStyle w:val="Bibliography"/>
      </w:pPr>
      <w:r>
        <w:t xml:space="preserve">Pezzoli, G., &amp; Cereda, E. (2013). Exposure to pesticides or solvents and risk of Parkinson disease. </w:t>
      </w:r>
      <w:r>
        <w:rPr>
          <w:i/>
          <w:iCs/>
        </w:rPr>
        <w:t>Neurology</w:t>
      </w:r>
      <w:r>
        <w:t xml:space="preserve">, </w:t>
      </w:r>
      <w:r>
        <w:rPr>
          <w:i/>
          <w:iCs/>
        </w:rPr>
        <w:t>80</w:t>
      </w:r>
      <w:r>
        <w:t>(22), 2035–2041. https://doi.org/10.1212/WNL.0b013e318294b3c8</w:t>
      </w:r>
    </w:p>
    <w:p w14:paraId="2D14DFEB" w14:textId="77777777" w:rsidR="00884D23" w:rsidRDefault="00884D23" w:rsidP="00884D23">
      <w:pPr>
        <w:pStyle w:val="Bibliography"/>
      </w:pPr>
      <w:r>
        <w:lastRenderedPageBreak/>
        <w:t xml:space="preserve">Postuma, R. B., Aarsland, D., Barone, P., Burn, D. J., Hawkes, C. H., Oertel, W., &amp; Ziemssen, T. (2012). Identifying prodromal Parkinson’s disease: Pre-Motor disorders in Parkinson’s disease. </w:t>
      </w:r>
      <w:r>
        <w:rPr>
          <w:i/>
          <w:iCs/>
        </w:rPr>
        <w:t>Movement Disorders</w:t>
      </w:r>
      <w:r>
        <w:t xml:space="preserve">, </w:t>
      </w:r>
      <w:r>
        <w:rPr>
          <w:i/>
          <w:iCs/>
        </w:rPr>
        <w:t>27</w:t>
      </w:r>
      <w:r>
        <w:t>(5), 617–626. https://doi.org/10.1002/mds.24996</w:t>
      </w:r>
    </w:p>
    <w:p w14:paraId="14DF083A" w14:textId="77777777" w:rsidR="00884D23" w:rsidRDefault="00884D23" w:rsidP="00884D23">
      <w:pPr>
        <w:pStyle w:val="Bibliography"/>
      </w:pPr>
      <w:r>
        <w:t xml:space="preserve">Rajiah, K., Maharajan, M. K., Yeen, S. J., &amp; Lew, S. (2017). Quality of Life and Caregivers’ Burden of Parkinson’s Disease. </w:t>
      </w:r>
      <w:r>
        <w:rPr>
          <w:i/>
          <w:iCs/>
        </w:rPr>
        <w:t>Neuroepidemiology</w:t>
      </w:r>
      <w:r>
        <w:t xml:space="preserve">, </w:t>
      </w:r>
      <w:r>
        <w:rPr>
          <w:i/>
          <w:iCs/>
        </w:rPr>
        <w:t>48</w:t>
      </w:r>
      <w:r>
        <w:t>(3–4), 131–137. https://doi.org/10.1159/000479031</w:t>
      </w:r>
    </w:p>
    <w:p w14:paraId="4B4B4D7B" w14:textId="77777777" w:rsidR="00884D23" w:rsidRDefault="00884D23" w:rsidP="00884D23">
      <w:pPr>
        <w:pStyle w:val="Bibliography"/>
      </w:pPr>
      <w:r>
        <w:t xml:space="preserve">Ramdhani, R. A., Khojandi, A., Shylo, O., &amp; Kopell, B. H. (2018). Optimizing Clinical Assessments in Parkinson’s Disease Through the Use of Wearable Sensors and Data Driven Modeling. </w:t>
      </w:r>
      <w:r>
        <w:rPr>
          <w:i/>
          <w:iCs/>
        </w:rPr>
        <w:t>Frontiers in Computational Neuroscience</w:t>
      </w:r>
      <w:r>
        <w:t xml:space="preserve">, </w:t>
      </w:r>
      <w:r>
        <w:rPr>
          <w:i/>
          <w:iCs/>
        </w:rPr>
        <w:t>12</w:t>
      </w:r>
      <w:r>
        <w:t>. https://www.frontiersin.org/article/10.3389/fncom.2018.00072</w:t>
      </w:r>
    </w:p>
    <w:p w14:paraId="22E856EB" w14:textId="77777777" w:rsidR="00884D23" w:rsidRDefault="00884D23" w:rsidP="00884D23">
      <w:pPr>
        <w:pStyle w:val="Bibliography"/>
      </w:pPr>
      <w:r>
        <w:t xml:space="preserve">Raza, C., Anjum, R., &amp; Shakeel, N. U. A. (2019). Parkinson’s disease: Mechanisms, translational models and management strategies. </w:t>
      </w:r>
      <w:r>
        <w:rPr>
          <w:i/>
          <w:iCs/>
        </w:rPr>
        <w:t>Life Sciences</w:t>
      </w:r>
      <w:r>
        <w:t xml:space="preserve">, </w:t>
      </w:r>
      <w:r>
        <w:rPr>
          <w:i/>
          <w:iCs/>
        </w:rPr>
        <w:t>226</w:t>
      </w:r>
      <w:r>
        <w:t>, 77–90. https://doi.org/10.1016/j.lfs.2019.03.057</w:t>
      </w:r>
    </w:p>
    <w:p w14:paraId="465B2E77" w14:textId="77777777" w:rsidR="00884D23" w:rsidRDefault="00884D23" w:rsidP="00884D23">
      <w:pPr>
        <w:pStyle w:val="Bibliography"/>
      </w:pPr>
      <w:r>
        <w:t xml:space="preserve">Rocca, W. A. (2018). The burden of Parkinson’s disease: A worldwide perspective. </w:t>
      </w:r>
      <w:r>
        <w:rPr>
          <w:i/>
          <w:iCs/>
        </w:rPr>
        <w:t>The Lancet Neurology</w:t>
      </w:r>
      <w:r>
        <w:t xml:space="preserve">, </w:t>
      </w:r>
      <w:r>
        <w:rPr>
          <w:i/>
          <w:iCs/>
        </w:rPr>
        <w:t>17</w:t>
      </w:r>
      <w:r>
        <w:t>(11), 928–929. https://doi.org/10.1016/S1474-4422(18)30355-7</w:t>
      </w:r>
    </w:p>
    <w:p w14:paraId="331274CE" w14:textId="77777777" w:rsidR="00884D23" w:rsidRDefault="00884D23" w:rsidP="00884D23">
      <w:pPr>
        <w:pStyle w:val="Bibliography"/>
      </w:pPr>
      <w:r>
        <w:t xml:space="preserve">Rogers, W. A., Kadylak, T., &amp; Bayles, M. A. (2021). Maximizing the Benefits of Participatory Design for Human–Robot Interaction Research With Older Adults. </w:t>
      </w:r>
      <w:r>
        <w:rPr>
          <w:i/>
          <w:iCs/>
        </w:rPr>
        <w:t>Human Factors: The Journal of the Human Factors and Ergonomics Society</w:t>
      </w:r>
      <w:r>
        <w:t>, 001872082110374. https://doi.org/10.1177/00187208211037465</w:t>
      </w:r>
    </w:p>
    <w:p w14:paraId="6617DA0D" w14:textId="77777777" w:rsidR="00884D23" w:rsidRDefault="00884D23" w:rsidP="00884D23">
      <w:pPr>
        <w:pStyle w:val="Bibliography"/>
      </w:pPr>
      <w:r>
        <w:t xml:space="preserve">Tausch, A. P., &amp; Menold, N. (2016). Methodological Aspects of Focus Groups in Health Research: Results of Qualitative Interviews With Focus Group Moderators. </w:t>
      </w:r>
      <w:r>
        <w:rPr>
          <w:i/>
          <w:iCs/>
        </w:rPr>
        <w:t>Global Qualitative Nursing Research</w:t>
      </w:r>
      <w:r>
        <w:t xml:space="preserve">, </w:t>
      </w:r>
      <w:r>
        <w:rPr>
          <w:i/>
          <w:iCs/>
        </w:rPr>
        <w:t>3</w:t>
      </w:r>
      <w:r>
        <w:t>, 2333393616630466. https://doi.org/10.1177/2333393616630466</w:t>
      </w:r>
    </w:p>
    <w:p w14:paraId="3C150F0C" w14:textId="77777777" w:rsidR="00884D23" w:rsidRDefault="00884D23" w:rsidP="00884D23">
      <w:pPr>
        <w:pStyle w:val="Bibliography"/>
      </w:pPr>
      <w:r>
        <w:rPr>
          <w:i/>
          <w:iCs/>
        </w:rPr>
        <w:t>The Associate Laboratory of Robotics and Engineering System, Tecnic Lisboa</w:t>
      </w:r>
      <w:r>
        <w:t>. (n.d.).</w:t>
      </w:r>
    </w:p>
    <w:p w14:paraId="0EEF0F89" w14:textId="77777777" w:rsidR="00884D23" w:rsidRDefault="00884D23" w:rsidP="00884D23">
      <w:pPr>
        <w:pStyle w:val="Bibliography"/>
      </w:pPr>
      <w:r>
        <w:lastRenderedPageBreak/>
        <w:t xml:space="preserve">Tolosa, E., Garrido, A., Scholz, S. W., &amp; Poewe, W. (2021). Challenges in the diagnosis of Parkinson’s disease. </w:t>
      </w:r>
      <w:r>
        <w:rPr>
          <w:i/>
          <w:iCs/>
        </w:rPr>
        <w:t>The Lancet Neurology</w:t>
      </w:r>
      <w:r>
        <w:t xml:space="preserve">, </w:t>
      </w:r>
      <w:r>
        <w:rPr>
          <w:i/>
          <w:iCs/>
        </w:rPr>
        <w:t>20</w:t>
      </w:r>
      <w:r>
        <w:t>(5), 385–397. https://doi.org/10.1016/S1474-4422(21)00030-2</w:t>
      </w:r>
    </w:p>
    <w:p w14:paraId="0433BBE3" w14:textId="77777777" w:rsidR="00884D23" w:rsidRDefault="00884D23" w:rsidP="00884D23">
      <w:pPr>
        <w:pStyle w:val="Bibliography"/>
      </w:pPr>
      <w:r>
        <w:t xml:space="preserve">Tong, A., Sainsbury, P., &amp; Craig, J. (2007). Consolidated criteria for reporting qualitative research (COREQ): A 32-item checklist for interviews and focus groups. </w:t>
      </w:r>
      <w:r>
        <w:rPr>
          <w:i/>
          <w:iCs/>
        </w:rPr>
        <w:t>International Journal for Quality in Health Care</w:t>
      </w:r>
      <w:r>
        <w:t xml:space="preserve">, </w:t>
      </w:r>
      <w:r>
        <w:rPr>
          <w:i/>
          <w:iCs/>
        </w:rPr>
        <w:t>19</w:t>
      </w:r>
      <w:r>
        <w:t>(6), 349–357. https://doi.org/10.1093/intqhc/mzm042</w:t>
      </w:r>
    </w:p>
    <w:p w14:paraId="4FBBA105" w14:textId="77777777" w:rsidR="00884D23" w:rsidRDefault="00884D23" w:rsidP="00884D23">
      <w:pPr>
        <w:pStyle w:val="Bibliography"/>
      </w:pPr>
      <w:r>
        <w:t xml:space="preserve">van Teijlingen, E., &amp; Pitchforth, E. (2006). Focus group research in family planning and reproductive health care. </w:t>
      </w:r>
      <w:r>
        <w:rPr>
          <w:i/>
          <w:iCs/>
        </w:rPr>
        <w:t>Journal of Family Planning and Reproductive Health Care</w:t>
      </w:r>
      <w:r>
        <w:t xml:space="preserve">, </w:t>
      </w:r>
      <w:r>
        <w:rPr>
          <w:i/>
          <w:iCs/>
        </w:rPr>
        <w:t>32</w:t>
      </w:r>
      <w:r>
        <w:t>(1), 30–32. https://doi.org/10.1783/147118906775275299</w:t>
      </w:r>
    </w:p>
    <w:p w14:paraId="6C1D2770" w14:textId="77777777" w:rsidR="00884D23" w:rsidRDefault="00884D23" w:rsidP="00884D23">
      <w:pPr>
        <w:pStyle w:val="Bibliography"/>
      </w:pPr>
      <w:r>
        <w:t xml:space="preserve">Watts, J., Khojandi, A., Vasudevan, R., Nahab, F. B., &amp; Ramdhani, R. A. (2021). Improving Medication Regimen Recommendation for Parkinson’s Disease Using Sensor Technology. </w:t>
      </w:r>
      <w:r>
        <w:rPr>
          <w:i/>
          <w:iCs/>
        </w:rPr>
        <w:t>Sensors</w:t>
      </w:r>
      <w:r>
        <w:t xml:space="preserve">, </w:t>
      </w:r>
      <w:r>
        <w:rPr>
          <w:i/>
          <w:iCs/>
        </w:rPr>
        <w:t>21</w:t>
      </w:r>
      <w:r>
        <w:t>(10), Article 10. https://doi.org/10.3390/s21103553</w:t>
      </w:r>
    </w:p>
    <w:p w14:paraId="357EDFBC" w14:textId="77777777" w:rsidR="00884D23" w:rsidRDefault="00884D23" w:rsidP="00884D23">
      <w:pPr>
        <w:pStyle w:val="Bibliography"/>
      </w:pPr>
      <w:r>
        <w:t xml:space="preserve">Wilson, J. R., Lee, N. Y., Saechao, A., Tickle-Degnen, L., &amp; Scheutz, M. (2018). Supporting Human Autonomy in a Robot-Assisted Medication Sorting Task. </w:t>
      </w:r>
      <w:r>
        <w:rPr>
          <w:i/>
          <w:iCs/>
        </w:rPr>
        <w:t>International Journal of Social Robotics</w:t>
      </w:r>
      <w:r>
        <w:t xml:space="preserve">, </w:t>
      </w:r>
      <w:r>
        <w:rPr>
          <w:i/>
          <w:iCs/>
        </w:rPr>
        <w:t>10</w:t>
      </w:r>
      <w:r>
        <w:t>(5), 621–641. https://doi.org/10.1007/s12369-017-0456-1</w:t>
      </w:r>
    </w:p>
    <w:p w14:paraId="5F5A0670" w14:textId="77777777" w:rsidR="00884D23" w:rsidRDefault="00884D23" w:rsidP="00884D23">
      <w:pPr>
        <w:pStyle w:val="Bibliography"/>
      </w:pPr>
      <w:r>
        <w:t xml:space="preserve">Wilson, J. R., Tickle-Degnen, L., &amp; Scheutz, M. (2020). Challenges in Designing a Fully Autonomous Socially Assistive Robot for People with Parkinson’s Disease. </w:t>
      </w:r>
      <w:r>
        <w:rPr>
          <w:i/>
          <w:iCs/>
        </w:rPr>
        <w:t>ACM Transactions on Human-Robot Interaction</w:t>
      </w:r>
      <w:r>
        <w:t xml:space="preserve">, </w:t>
      </w:r>
      <w:r>
        <w:rPr>
          <w:i/>
          <w:iCs/>
        </w:rPr>
        <w:t>9</w:t>
      </w:r>
      <w:r>
        <w:t>(3), 1–31. https://doi.org/10.1145/3379179</w:t>
      </w:r>
    </w:p>
    <w:p w14:paraId="1BB5DA0C" w14:textId="77777777" w:rsidR="00884D23" w:rsidRDefault="00884D23" w:rsidP="00884D23">
      <w:pPr>
        <w:pStyle w:val="Bibliography"/>
      </w:pPr>
      <w:r>
        <w:t xml:space="preserve">Winkle, K., Caleb-Solly, P., Turton, A., &amp; Bremner, P. (2020). Mutual Shaping in the Design of Socially Assistive Robots: A Case Study on Social Robots for Therapy. </w:t>
      </w:r>
      <w:r>
        <w:rPr>
          <w:i/>
          <w:iCs/>
        </w:rPr>
        <w:t>International Journal of Social Robotics</w:t>
      </w:r>
      <w:r>
        <w:t xml:space="preserve">, </w:t>
      </w:r>
      <w:r>
        <w:rPr>
          <w:i/>
          <w:iCs/>
        </w:rPr>
        <w:t>12</w:t>
      </w:r>
      <w:r>
        <w:t>(4), 847–866. https://doi.org/10.1007/s12369-019-00536-9</w:t>
      </w:r>
    </w:p>
    <w:p w14:paraId="2A7AAC4B" w14:textId="77777777" w:rsidR="00884D23" w:rsidRDefault="00884D23" w:rsidP="00884D23">
      <w:pPr>
        <w:pStyle w:val="Bibliography"/>
      </w:pPr>
      <w:r>
        <w:lastRenderedPageBreak/>
        <w:t xml:space="preserve">Wong, S. L., Gilmour, H., &amp; Ramage-Morin, P. L. (2014). Parkinson’s disease: Prevalence, diagnosis and impact. </w:t>
      </w:r>
      <w:r>
        <w:rPr>
          <w:i/>
          <w:iCs/>
        </w:rPr>
        <w:t>Health Reports</w:t>
      </w:r>
      <w:r>
        <w:t xml:space="preserve">, </w:t>
      </w:r>
      <w:r>
        <w:rPr>
          <w:i/>
          <w:iCs/>
        </w:rPr>
        <w:t>25</w:t>
      </w:r>
      <w:r>
        <w:t>(11), 7.</w:t>
      </w:r>
    </w:p>
    <w:p w14:paraId="3F3079FC" w14:textId="77777777" w:rsidR="00884D23" w:rsidRDefault="00884D23" w:rsidP="00884D23">
      <w:pPr>
        <w:pStyle w:val="Bibliography"/>
      </w:pPr>
      <w:r>
        <w:t xml:space="preserve">Wu, Y.-H., Fassert, C., &amp; Rigaud, A.-S. (2012). Designing robots for the elderly: Appearance issue and beyond. </w:t>
      </w:r>
      <w:r>
        <w:rPr>
          <w:i/>
          <w:iCs/>
        </w:rPr>
        <w:t>Archives of Gerontology and Geriatrics</w:t>
      </w:r>
      <w:r>
        <w:t xml:space="preserve">, </w:t>
      </w:r>
      <w:r>
        <w:rPr>
          <w:i/>
          <w:iCs/>
        </w:rPr>
        <w:t>54</w:t>
      </w:r>
      <w:r>
        <w:t>(1), 121–126. https://doi.org/10.1016/j.archger.2011.02.003</w:t>
      </w:r>
    </w:p>
    <w:p w14:paraId="41C48FFD" w14:textId="77777777" w:rsidR="00884D23" w:rsidRDefault="00884D23" w:rsidP="00884D23">
      <w:pPr>
        <w:pStyle w:val="Bibliography"/>
      </w:pPr>
      <w:r>
        <w:t xml:space="preserve">Yarnall, A., Rochester, L., &amp; Burn, D. J. (2011). The interplay of cholinergic function, attention, and falls in Parkinson’s disease. </w:t>
      </w:r>
      <w:r>
        <w:rPr>
          <w:i/>
          <w:iCs/>
        </w:rPr>
        <w:t>Movement Disorders</w:t>
      </w:r>
      <w:r>
        <w:t xml:space="preserve">, </w:t>
      </w:r>
      <w:r>
        <w:rPr>
          <w:i/>
          <w:iCs/>
        </w:rPr>
        <w:t>26</w:t>
      </w:r>
      <w:r>
        <w:t>(14), 2496–2503. https://doi.org/10.1002/mds.23932</w:t>
      </w:r>
    </w:p>
    <w:p w14:paraId="2CD4B5C7" w14:textId="77777777" w:rsidR="00884D23" w:rsidRDefault="00884D23" w:rsidP="00884D23">
      <w:pPr>
        <w:pStyle w:val="Bibliography"/>
      </w:pPr>
      <w:r>
        <w:t xml:space="preserve">Zuschnegg, J., Paletta, L., Fellner, M., Steiner, J., Pansy-Resch, S., Jos, A., Koini, M., Prodromou, D., Halfens, R. J. G., Lohrmann, C., &amp; Schüssler, S. (2021). Humanoid socially assistive robots in dementia care: A qualitative study about expectations of caregivers and dementia trainers. </w:t>
      </w:r>
      <w:r>
        <w:rPr>
          <w:i/>
          <w:iCs/>
        </w:rPr>
        <w:t>Aging &amp; Mental Health</w:t>
      </w:r>
      <w:r>
        <w:t>, 1–11. https://doi.org/10.1080/13607863.2021.1913476</w:t>
      </w:r>
    </w:p>
    <w:p w14:paraId="4A04ADF6" w14:textId="1370690C" w:rsidR="006B7331" w:rsidRPr="007356A3" w:rsidRDefault="006B7331" w:rsidP="00E31D12">
      <w:pPr>
        <w:rPr>
          <w:rFonts w:asciiTheme="majorBidi" w:hAnsiTheme="majorBidi" w:cstheme="majorBidi"/>
          <w:color w:val="0E101A"/>
        </w:rPr>
      </w:pPr>
      <w:r>
        <w:rPr>
          <w:rFonts w:asciiTheme="majorBidi" w:hAnsiTheme="majorBidi" w:cstheme="majorBidi"/>
          <w:color w:val="0E101A"/>
        </w:rPr>
        <w:fldChar w:fldCharType="end"/>
      </w:r>
    </w:p>
    <w:sectPr w:rsidR="006B7331" w:rsidRPr="007356A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שלי לוי - צדק" w:date="2022-12-06T10:01:00Z" w:initials="שלצ">
    <w:p w14:paraId="11CD674A" w14:textId="77777777" w:rsidR="00FA1E2B" w:rsidRDefault="00FA1E2B" w:rsidP="00C43B4F">
      <w:pPr>
        <w:pStyle w:val="CommentText"/>
      </w:pPr>
      <w:r>
        <w:rPr>
          <w:rStyle w:val="CommentReference"/>
        </w:rPr>
        <w:annotationRef/>
      </w:r>
      <w:r>
        <w:t>If the journal limits the # of figures and tables that are allowed, then we could potentially join this table with the one of FM</w:t>
      </w:r>
    </w:p>
  </w:comment>
  <w:comment w:id="3" w:author="עזריאל קפלן" w:date="2022-12-06T16:53:00Z" w:initials="עק">
    <w:p w14:paraId="1000482B" w14:textId="77777777" w:rsidR="00FA1E2B" w:rsidRDefault="00FA1E2B" w:rsidP="00C43B4F">
      <w:pPr>
        <w:pStyle w:val="CommentText"/>
        <w:bidi/>
        <w:jc w:val="right"/>
      </w:pPr>
      <w:r>
        <w:rPr>
          <w:rStyle w:val="CommentReference"/>
        </w:rPr>
        <w:annotationRef/>
      </w:r>
      <w:r>
        <w:t>Ok</w:t>
      </w:r>
    </w:p>
  </w:comment>
  <w:comment w:id="6" w:author="Shelly L" w:date="2022-10-03T11:13:00Z" w:initials="SL">
    <w:p w14:paraId="41894D98" w14:textId="77777777" w:rsidR="006B7331" w:rsidRDefault="006B7331" w:rsidP="006B7331">
      <w:pPr>
        <w:pStyle w:val="CommentText"/>
      </w:pPr>
      <w:r>
        <w:rPr>
          <w:rStyle w:val="CommentReference"/>
        </w:rPr>
        <w:annotationRef/>
      </w:r>
      <w:r>
        <w:t>General comment on an issue that repeats itself: the grammar of a list should be consistent across items</w:t>
      </w:r>
    </w:p>
  </w:comment>
  <w:comment w:id="7" w:author="user" w:date="2022-12-01T11:03:00Z" w:initials="u">
    <w:p w14:paraId="4B72872D" w14:textId="77777777" w:rsidR="006B7331" w:rsidRDefault="006B7331" w:rsidP="006B7331">
      <w:pPr>
        <w:pStyle w:val="CommentText"/>
      </w:pPr>
      <w:r>
        <w:rPr>
          <w:rStyle w:val="CommentReference"/>
        </w:rPr>
        <w:annotationRef/>
      </w:r>
      <w:r>
        <w:t xml:space="preserve">I changed some of the things. I will keep looking for inconsistencies. </w:t>
      </w:r>
    </w:p>
  </w:comment>
  <w:comment w:id="8" w:author="user" w:date="2022-12-01T11:03:00Z" w:initials="u">
    <w:p w14:paraId="03B8A3B7" w14:textId="77777777" w:rsidR="006B7331" w:rsidRDefault="006B7331" w:rsidP="006B7331">
      <w:pPr>
        <w:pStyle w:val="CommentText"/>
      </w:pPr>
      <w:r>
        <w:rPr>
          <w:rStyle w:val="CommentReference"/>
        </w:rPr>
        <w:annotationRef/>
      </w:r>
    </w:p>
  </w:comment>
  <w:comment w:id="13" w:author="Shelly L" w:date="2022-10-03T09:40:00Z" w:initials="SL">
    <w:p w14:paraId="1C4B38E4" w14:textId="77777777" w:rsidR="006B7331" w:rsidRDefault="006B7331" w:rsidP="006B7331">
      <w:pPr>
        <w:pStyle w:val="CommentText"/>
      </w:pPr>
      <w:r>
        <w:rPr>
          <w:rStyle w:val="CommentReference"/>
        </w:rPr>
        <w:annotationRef/>
      </w:r>
      <w:r>
        <w:t>This echoes what was said by clinicians in G&amp;I’s work; so make sure to note it in the Discussion</w:t>
      </w:r>
    </w:p>
  </w:comment>
  <w:comment w:id="14" w:author="Shelly L" w:date="2022-11-13T11:29:00Z" w:initials="SL">
    <w:p w14:paraId="0CD23E2D" w14:textId="77777777" w:rsidR="006B7331" w:rsidRDefault="006B7331" w:rsidP="006B7331">
      <w:pPr>
        <w:pStyle w:val="CommentText"/>
      </w:pPr>
      <w:r>
        <w:rPr>
          <w:rStyle w:val="CommentReference"/>
        </w:rPr>
        <w:annotationRef/>
      </w:r>
      <w:r>
        <w:t>I’m leaving the comment here until we verify this indeed happened</w:t>
      </w:r>
    </w:p>
  </w:comment>
  <w:comment w:id="15" w:author="user" w:date="2022-12-07T13:38:00Z" w:initials="u">
    <w:p w14:paraId="78A7F26D" w14:textId="77777777" w:rsidR="006B7331" w:rsidRDefault="006B7331" w:rsidP="006B7331">
      <w:pPr>
        <w:pStyle w:val="CommentText"/>
      </w:pPr>
      <w:r>
        <w:rPr>
          <w:rStyle w:val="CommentReference"/>
        </w:rPr>
        <w:annotationRef/>
      </w:r>
      <w:r>
        <w:t>Let's check who said what between the groups</w:t>
      </w:r>
    </w:p>
  </w:comment>
  <w:comment w:id="16" w:author="Shelly L" w:date="2022-11-13T12:06:00Z" w:initials="SL">
    <w:p w14:paraId="5E0C34A2" w14:textId="77777777" w:rsidR="006B7331" w:rsidRDefault="006B7331" w:rsidP="006B7331">
      <w:pPr>
        <w:pStyle w:val="CommentText"/>
      </w:pPr>
      <w:r>
        <w:rPr>
          <w:rStyle w:val="CommentReference"/>
        </w:rPr>
        <w:annotationRef/>
      </w:r>
      <w:r>
        <w:t>Which of the seven features listed above captures this point?</w:t>
      </w:r>
    </w:p>
  </w:comment>
  <w:comment w:id="17" w:author="user" w:date="2022-12-01T10:50:00Z" w:initials="u">
    <w:p w14:paraId="154C2091" w14:textId="77777777" w:rsidR="006B7331" w:rsidRDefault="006B7331" w:rsidP="006B7331">
      <w:pPr>
        <w:pStyle w:val="CommentText"/>
      </w:pPr>
      <w:r>
        <w:rPr>
          <w:rStyle w:val="CommentReference"/>
        </w:rPr>
        <w:annotationRef/>
      </w:r>
      <w:r>
        <w:t xml:space="preserve">I moved it to ideas , it was in the suggestions part by mistake. </w:t>
      </w:r>
    </w:p>
  </w:comment>
  <w:comment w:id="18" w:author="Shelly Levy-Tzedek" w:date="2022-12-04T09:17:00Z" w:initials="SLT">
    <w:p w14:paraId="248A1BDE" w14:textId="77777777" w:rsidR="006B7331" w:rsidRDefault="006B7331" w:rsidP="006B7331">
      <w:pPr>
        <w:pStyle w:val="CommentText"/>
      </w:pPr>
      <w:r>
        <w:rPr>
          <w:rStyle w:val="CommentReference"/>
        </w:rPr>
        <w:annotationRef/>
      </w:r>
      <w:r>
        <w:t>OK so which of the items in the “others” category does this quote match?</w:t>
      </w:r>
    </w:p>
  </w:comment>
  <w:comment w:id="19" w:author="user" w:date="2022-12-11T14:23:00Z" w:initials="u">
    <w:p w14:paraId="615BC82C" w14:textId="77777777" w:rsidR="006B7331" w:rsidRDefault="006B7331" w:rsidP="006B7331">
      <w:pPr>
        <w:pStyle w:val="CommentText"/>
      </w:pPr>
      <w:r>
        <w:rPr>
          <w:rStyle w:val="CommentReference"/>
        </w:rPr>
        <w:annotationRef/>
      </w:r>
      <w:r w:rsidRPr="004863C3">
        <w:rPr>
          <w:rFonts w:asciiTheme="majorBidi" w:hAnsiTheme="majorBidi" w:cstheme="majorBidi"/>
          <w:color w:val="0E101A"/>
        </w:rPr>
        <w:t>adaptable pacemaker for DBS</w:t>
      </w:r>
    </w:p>
  </w:comment>
  <w:comment w:id="20" w:author="שלי לוי - צדק" w:date="2022-12-20T10:30:00Z" w:initials="שלצ">
    <w:p w14:paraId="191B267D" w14:textId="77777777" w:rsidR="006B7331" w:rsidRDefault="006B7331" w:rsidP="006B7331">
      <w:pPr>
        <w:pStyle w:val="CommentText"/>
        <w:jc w:val="left"/>
      </w:pPr>
      <w:r>
        <w:rPr>
          <w:rStyle w:val="CommentReference"/>
        </w:rPr>
        <w:annotationRef/>
      </w:r>
      <w:r>
        <w:t>I think when they mention "off state" it is usually for medication, not DBS. Was she directly referring to DBS? Can you copy here the Hebrew quote, if yes?</w:t>
      </w:r>
    </w:p>
  </w:comment>
  <w:comment w:id="21" w:author="user" w:date="2022-12-23T10:04:00Z" w:initials="u">
    <w:p w14:paraId="41A04F78" w14:textId="77777777" w:rsidR="006B7331" w:rsidRDefault="006B7331" w:rsidP="006B7331">
      <w:pPr>
        <w:pStyle w:val="CommentText"/>
      </w:pPr>
      <w:r>
        <w:rPr>
          <w:rStyle w:val="CommentReference"/>
        </w:rPr>
        <w:annotationRef/>
      </w:r>
      <w:r>
        <w:t xml:space="preserve">I read now the conversation before the sentences came up. They did talk about the freeze state because of the DBS but the quote came a few participants later. </w:t>
      </w:r>
    </w:p>
    <w:p w14:paraId="3E158210" w14:textId="77777777" w:rsidR="006B7331" w:rsidRPr="00C33FBC" w:rsidRDefault="006B7331" w:rsidP="006B7331">
      <w:pPr>
        <w:tabs>
          <w:tab w:val="left" w:pos="720"/>
          <w:tab w:val="left" w:pos="1440"/>
          <w:tab w:val="left" w:pos="153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s>
        <w:autoSpaceDE w:val="0"/>
        <w:autoSpaceDN w:val="0"/>
        <w:bidi/>
        <w:adjustRightInd w:val="0"/>
        <w:spacing w:after="0" w:line="240" w:lineRule="auto"/>
        <w:ind w:left="1531" w:right="1531"/>
        <w:rPr>
          <w:rFonts w:ascii="David" w:hAnsi="David" w:cs="David"/>
          <w:noProof/>
          <w:szCs w:val="26"/>
          <w:rtl/>
        </w:rPr>
      </w:pPr>
      <w:r w:rsidRPr="00C33FBC">
        <w:rPr>
          <w:rFonts w:ascii="David" w:hAnsi="David" w:cs="David"/>
          <w:noProof/>
          <w:szCs w:val="26"/>
          <w:rtl/>
        </w:rPr>
        <w:t>איילה:</w:t>
      </w:r>
      <w:r w:rsidRPr="00C33FBC">
        <w:rPr>
          <w:rFonts w:ascii="David" w:hAnsi="David" w:cs="David"/>
          <w:noProof/>
          <w:szCs w:val="26"/>
          <w:rtl/>
        </w:rPr>
        <w:tab/>
        <w:t>אני חשבתי על משהו שיעזור כאילו לצאת מ...</w:t>
      </w:r>
    </w:p>
    <w:p w14:paraId="5A2B86FD" w14:textId="77777777" w:rsidR="006B7331" w:rsidRPr="00C33FBC" w:rsidRDefault="006B7331" w:rsidP="006B7331">
      <w:pPr>
        <w:tabs>
          <w:tab w:val="left" w:pos="720"/>
          <w:tab w:val="left" w:pos="1440"/>
          <w:tab w:val="left" w:pos="153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s>
        <w:autoSpaceDE w:val="0"/>
        <w:autoSpaceDN w:val="0"/>
        <w:bidi/>
        <w:adjustRightInd w:val="0"/>
        <w:spacing w:after="0" w:line="240" w:lineRule="auto"/>
        <w:ind w:left="1531" w:right="1531"/>
        <w:rPr>
          <w:rFonts w:ascii="David" w:hAnsi="David" w:cs="David"/>
          <w:noProof/>
          <w:szCs w:val="26"/>
          <w:rtl/>
        </w:rPr>
      </w:pPr>
      <w:r w:rsidRPr="00C33FBC">
        <w:rPr>
          <w:rFonts w:ascii="David" w:hAnsi="David" w:cs="David"/>
          <w:noProof/>
          <w:szCs w:val="26"/>
          <w:rtl/>
        </w:rPr>
        <w:t>דוברת:</w:t>
      </w:r>
      <w:r w:rsidRPr="00C33FBC">
        <w:rPr>
          <w:rFonts w:ascii="David" w:hAnsi="David" w:cs="David"/>
          <w:noProof/>
          <w:szCs w:val="26"/>
          <w:rtl/>
        </w:rPr>
        <w:tab/>
        <w:t>אוקיי.</w:t>
      </w:r>
    </w:p>
    <w:p w14:paraId="52E67652" w14:textId="77777777" w:rsidR="006B7331" w:rsidRPr="00C33FBC" w:rsidRDefault="006B7331" w:rsidP="006B7331">
      <w:pPr>
        <w:tabs>
          <w:tab w:val="left" w:pos="720"/>
          <w:tab w:val="left" w:pos="1440"/>
          <w:tab w:val="left" w:pos="153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s>
        <w:autoSpaceDE w:val="0"/>
        <w:autoSpaceDN w:val="0"/>
        <w:bidi/>
        <w:adjustRightInd w:val="0"/>
        <w:spacing w:after="0" w:line="240" w:lineRule="auto"/>
        <w:ind w:left="1531" w:right="1531"/>
        <w:rPr>
          <w:rFonts w:ascii="David" w:hAnsi="David" w:cs="David"/>
          <w:noProof/>
          <w:szCs w:val="26"/>
          <w:rtl/>
        </w:rPr>
      </w:pPr>
      <w:r w:rsidRPr="00C33FBC">
        <w:rPr>
          <w:rFonts w:ascii="David" w:hAnsi="David" w:cs="David"/>
          <w:noProof/>
          <w:szCs w:val="26"/>
          <w:rtl/>
        </w:rPr>
        <w:t>איילה:</w:t>
      </w:r>
      <w:r w:rsidRPr="00C33FBC">
        <w:rPr>
          <w:rFonts w:ascii="David" w:hAnsi="David" w:cs="David"/>
          <w:noProof/>
          <w:szCs w:val="26"/>
          <w:rtl/>
        </w:rPr>
        <w:tab/>
        <w:t>משהו שקשור במוזיקה או באיזשהו סימנים של אור או קול שידרבן אותו לצאת.</w:t>
      </w:r>
    </w:p>
    <w:p w14:paraId="6E55FC88" w14:textId="77777777" w:rsidR="006B7331" w:rsidRDefault="006B7331" w:rsidP="006B7331">
      <w:pPr>
        <w:pStyle w:val="CommentText"/>
      </w:pPr>
      <w:r>
        <w:t xml:space="preserve">Azriel back then went to the recording and listened to the conversation this is how we know she says getting out of the "off-state". </w:t>
      </w:r>
    </w:p>
    <w:p w14:paraId="73C5D7F4" w14:textId="77777777" w:rsidR="006B7331" w:rsidRDefault="006B7331" w:rsidP="006B7331">
      <w:pPr>
        <w:pStyle w:val="CommentText"/>
      </w:pPr>
    </w:p>
  </w:comment>
  <w:comment w:id="22" w:author="שלי לוי - צדק" w:date="2022-12-27T08:07:00Z" w:initials="שלצ">
    <w:p w14:paraId="67348BCA" w14:textId="77777777" w:rsidR="008509EB" w:rsidRDefault="008509EB" w:rsidP="002C2401">
      <w:pPr>
        <w:pStyle w:val="CommentText"/>
        <w:jc w:val="left"/>
      </w:pPr>
      <w:r>
        <w:rPr>
          <w:rStyle w:val="CommentReference"/>
        </w:rPr>
        <w:annotationRef/>
      </w:r>
      <w:r>
        <w:t>Right. So this is not DBS-related, but related to getting out of the medication-induced off-state, which is not related to this paragraph</w:t>
      </w:r>
    </w:p>
  </w:comment>
  <w:comment w:id="23" w:author="user" w:date="2022-12-20T09:10:00Z" w:initials="u">
    <w:p w14:paraId="45D3677F" w14:textId="6310A26E" w:rsidR="006B7331" w:rsidRDefault="006B7331" w:rsidP="006B7331">
      <w:pPr>
        <w:pStyle w:val="CommentText"/>
      </w:pPr>
      <w:r>
        <w:rPr>
          <w:rStyle w:val="CommentReference"/>
        </w:rPr>
        <w:annotationRef/>
      </w:r>
      <w:r>
        <w:t>Help with preventing and standing:</w:t>
      </w:r>
    </w:p>
    <w:p w14:paraId="5A363DEA" w14:textId="77777777" w:rsidR="006B7331" w:rsidRDefault="006B7331" w:rsidP="006B7331">
      <w:pPr>
        <w:pStyle w:val="CommentText"/>
      </w:pPr>
      <w:r>
        <w:t>7:69 ¶ 141 in 02631-EN-Family members - 1</w:t>
      </w:r>
    </w:p>
    <w:p w14:paraId="6DF21E7C" w14:textId="77777777" w:rsidR="006B7331" w:rsidRDefault="006B7331" w:rsidP="006B7331">
      <w:pPr>
        <w:pStyle w:val="CommentText"/>
      </w:pPr>
      <w:r>
        <w:rPr>
          <w:rtl/>
        </w:rPr>
        <w:t>איזשהו מכשיר שהוא היה כן שומע או ששומר עליו, שיגיד לו. אולי זה היה עוזר שלא יקום</w:t>
      </w:r>
      <w:r>
        <w:t>.</w:t>
      </w:r>
    </w:p>
  </w:comment>
  <w:comment w:id="24" w:author="שלי לוי - צדק" w:date="2022-12-20T10:31:00Z" w:initials="שלצ">
    <w:p w14:paraId="7C886B23" w14:textId="77777777" w:rsidR="006B7331" w:rsidRDefault="006B7331" w:rsidP="006B7331">
      <w:pPr>
        <w:pStyle w:val="CommentText"/>
        <w:jc w:val="left"/>
      </w:pPr>
      <w:r>
        <w:rPr>
          <w:rStyle w:val="CommentReference"/>
        </w:rPr>
        <w:annotationRef/>
      </w:r>
      <w:r>
        <w:t xml:space="preserve">Sorry - what is this quote in relation to? </w:t>
      </w:r>
    </w:p>
  </w:comment>
  <w:comment w:id="25" w:author="user" w:date="2022-12-23T10:07:00Z" w:initials="u">
    <w:p w14:paraId="188313BB" w14:textId="77777777" w:rsidR="006B7331" w:rsidRDefault="006B7331" w:rsidP="006B7331">
      <w:pPr>
        <w:pStyle w:val="CommentText"/>
      </w:pPr>
      <w:r>
        <w:rPr>
          <w:rStyle w:val="CommentReference"/>
        </w:rPr>
        <w:annotationRef/>
      </w:r>
      <w:r>
        <w:t>In the figure, there is a sentence that we did not know if we were being accurate with the name. The sentence is "</w:t>
      </w:r>
      <w:r w:rsidRPr="00C33FBC">
        <w:t xml:space="preserve"> </w:t>
      </w:r>
      <w:r>
        <w:t>Help with preventing and standing" in the Mobility category</w:t>
      </w:r>
    </w:p>
  </w:comment>
  <w:comment w:id="26" w:author="שלי לוי - צדק" w:date="2022-12-27T08:21:00Z" w:initials="שלצ">
    <w:p w14:paraId="1516B987" w14:textId="77777777" w:rsidR="00755431" w:rsidRDefault="00755431" w:rsidP="00BD414B">
      <w:pPr>
        <w:pStyle w:val="CommentText"/>
        <w:jc w:val="left"/>
      </w:pPr>
      <w:r>
        <w:rPr>
          <w:rStyle w:val="CommentReference"/>
        </w:rPr>
        <w:annotationRef/>
      </w:r>
      <w:r>
        <w:t>OK - I'll want to see the fuller text. It is not clear enough without context, why  she doesn't want him to get up</w:t>
      </w:r>
    </w:p>
  </w:comment>
  <w:comment w:id="29" w:author="שלי לוי - צדק" w:date="2022-12-27T08:40:00Z" w:initials="שלצ">
    <w:p w14:paraId="010608DA" w14:textId="77777777" w:rsidR="00DF4FEA" w:rsidRDefault="00DF4FEA" w:rsidP="00172731">
      <w:pPr>
        <w:pStyle w:val="CommentText"/>
        <w:jc w:val="left"/>
      </w:pPr>
      <w:r>
        <w:rPr>
          <w:rStyle w:val="CommentReference"/>
        </w:rPr>
        <w:annotationRef/>
      </w:r>
      <w:r>
        <w:t>Can we substantiate this claim with numbers?</w:t>
      </w:r>
    </w:p>
  </w:comment>
  <w:comment w:id="30" w:author="שלי לוי - צדק" w:date="2022-12-27T08:18:00Z" w:initials="שלצ">
    <w:p w14:paraId="054A7FEB" w14:textId="06327191" w:rsidR="0049536D" w:rsidRDefault="0049536D" w:rsidP="003D347E">
      <w:pPr>
        <w:pStyle w:val="CommentText"/>
        <w:jc w:val="left"/>
      </w:pPr>
      <w:r>
        <w:rPr>
          <w:rStyle w:val="CommentReference"/>
        </w:rPr>
        <w:annotationRef/>
      </w:r>
      <w:r>
        <w:t>Of the patient?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1CD674A" w15:done="1"/>
  <w15:commentEx w15:paraId="1000482B" w15:paraIdParent="11CD674A" w15:done="1"/>
  <w15:commentEx w15:paraId="41894D98" w15:done="0"/>
  <w15:commentEx w15:paraId="4B72872D" w15:paraIdParent="41894D98" w15:done="0"/>
  <w15:commentEx w15:paraId="03B8A3B7" w15:paraIdParent="41894D98" w15:done="0"/>
  <w15:commentEx w15:paraId="1C4B38E4" w15:done="0"/>
  <w15:commentEx w15:paraId="0CD23E2D" w15:paraIdParent="1C4B38E4" w15:done="0"/>
  <w15:commentEx w15:paraId="78A7F26D" w15:paraIdParent="1C4B38E4" w15:done="0"/>
  <w15:commentEx w15:paraId="5E0C34A2" w15:done="0"/>
  <w15:commentEx w15:paraId="154C2091" w15:paraIdParent="5E0C34A2" w15:done="0"/>
  <w15:commentEx w15:paraId="248A1BDE" w15:paraIdParent="5E0C34A2" w15:done="0"/>
  <w15:commentEx w15:paraId="615BC82C" w15:paraIdParent="5E0C34A2" w15:done="0"/>
  <w15:commentEx w15:paraId="191B267D" w15:paraIdParent="5E0C34A2" w15:done="0"/>
  <w15:commentEx w15:paraId="73C5D7F4" w15:paraIdParent="5E0C34A2" w15:done="0"/>
  <w15:commentEx w15:paraId="67348BCA" w15:paraIdParent="5E0C34A2" w15:done="0"/>
  <w15:commentEx w15:paraId="6DF21E7C" w15:done="0"/>
  <w15:commentEx w15:paraId="7C886B23" w15:paraIdParent="6DF21E7C" w15:done="0"/>
  <w15:commentEx w15:paraId="188313BB" w15:paraIdParent="6DF21E7C" w15:done="0"/>
  <w15:commentEx w15:paraId="1516B987" w15:paraIdParent="6DF21E7C" w15:done="0"/>
  <w15:commentEx w15:paraId="010608DA" w15:done="0"/>
  <w15:commentEx w15:paraId="054A7FE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9917A" w16cex:dateUtc="2022-12-06T08:01:00Z"/>
  <w16cex:commentExtensible w16cex:durableId="2739F215" w16cex:dateUtc="2022-12-06T14:53:00Z"/>
  <w16cex:commentExtensible w16cex:durableId="274C0D47" w16cex:dateUtc="2022-12-20T08:30:00Z"/>
  <w16cex:commentExtensible w16cex:durableId="27552629" w16cex:dateUtc="2022-12-27T06:07:00Z"/>
  <w16cex:commentExtensible w16cex:durableId="274C0D7F" w16cex:dateUtc="2022-12-20T08:31:00Z"/>
  <w16cex:commentExtensible w16cex:durableId="2755296E" w16cex:dateUtc="2022-12-27T06:21:00Z"/>
  <w16cex:commentExtensible w16cex:durableId="27552E00" w16cex:dateUtc="2022-12-27T06:40:00Z"/>
  <w16cex:commentExtensible w16cex:durableId="275528EA" w16cex:dateUtc="2022-12-27T06: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1CD674A" w16cid:durableId="2739917A"/>
  <w16cid:commentId w16cid:paraId="1000482B" w16cid:durableId="2739F215"/>
  <w16cid:commentId w16cid:paraId="41894D98" w16cid:durableId="26E54248"/>
  <w16cid:commentId w16cid:paraId="4B72872D" w16cid:durableId="2733086B"/>
  <w16cid:commentId w16cid:paraId="03B8A3B7" w16cid:durableId="2733087C"/>
  <w16cid:commentId w16cid:paraId="1C4B38E4" w16cid:durableId="26E52C9C"/>
  <w16cid:commentId w16cid:paraId="0CD23E2D" w16cid:durableId="271B53A6"/>
  <w16cid:commentId w16cid:paraId="78A7F26D" w16cid:durableId="273B15C9"/>
  <w16cid:commentId w16cid:paraId="5E0C34A2" w16cid:durableId="27330586"/>
  <w16cid:commentId w16cid:paraId="154C2091" w16cid:durableId="2733058C"/>
  <w16cid:commentId w16cid:paraId="248A1BDE" w16cid:durableId="2736E440"/>
  <w16cid:commentId w16cid:paraId="615BC82C" w16cid:durableId="27406663"/>
  <w16cid:commentId w16cid:paraId="191B267D" w16cid:durableId="274C0D47"/>
  <w16cid:commentId w16cid:paraId="73C5D7F4" w16cid:durableId="274FFBA2"/>
  <w16cid:commentId w16cid:paraId="67348BCA" w16cid:durableId="27552629"/>
  <w16cid:commentId w16cid:paraId="6DF21E7C" w16cid:durableId="274BFA68"/>
  <w16cid:commentId w16cid:paraId="7C886B23" w16cid:durableId="274C0D7F"/>
  <w16cid:commentId w16cid:paraId="188313BB" w16cid:durableId="274FFC5D"/>
  <w16cid:commentId w16cid:paraId="1516B987" w16cid:durableId="2755296E"/>
  <w16cid:commentId w16cid:paraId="010608DA" w16cid:durableId="27552E00"/>
  <w16cid:commentId w16cid:paraId="054A7FEB" w16cid:durableId="275528E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nux Libertine">
    <w:altName w:val="Cambria"/>
    <w:charset w:val="00"/>
    <w:family w:val="auto"/>
    <w:pitch w:val="variable"/>
    <w:sig w:usb0="E0000AFF" w:usb1="5200E5FB" w:usb2="02000020" w:usb3="00000000" w:csb0="000001B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26FA3"/>
    <w:multiLevelType w:val="hybridMultilevel"/>
    <w:tmpl w:val="6018D7A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8C1EF0"/>
    <w:multiLevelType w:val="hybridMultilevel"/>
    <w:tmpl w:val="9FFAE77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D770C84"/>
    <w:multiLevelType w:val="hybridMultilevel"/>
    <w:tmpl w:val="E7AC472A"/>
    <w:lvl w:ilvl="0" w:tplc="2F1EF6F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D8528EC"/>
    <w:multiLevelType w:val="hybridMultilevel"/>
    <w:tmpl w:val="6018D7A6"/>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0A35093"/>
    <w:multiLevelType w:val="hybridMultilevel"/>
    <w:tmpl w:val="6018D7A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255EF1"/>
    <w:multiLevelType w:val="hybridMultilevel"/>
    <w:tmpl w:val="6018D7A6"/>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6A14D4E"/>
    <w:multiLevelType w:val="hybridMultilevel"/>
    <w:tmpl w:val="550C4850"/>
    <w:lvl w:ilvl="0" w:tplc="C7AEDC2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59028340">
    <w:abstractNumId w:val="1"/>
  </w:num>
  <w:num w:numId="2" w16cid:durableId="1145244913">
    <w:abstractNumId w:val="3"/>
  </w:num>
  <w:num w:numId="3" w16cid:durableId="1852913865">
    <w:abstractNumId w:val="0"/>
  </w:num>
  <w:num w:numId="4" w16cid:durableId="1153763969">
    <w:abstractNumId w:val="2"/>
  </w:num>
  <w:num w:numId="5" w16cid:durableId="2050834470">
    <w:abstractNumId w:val="6"/>
  </w:num>
  <w:num w:numId="6" w16cid:durableId="1871141811">
    <w:abstractNumId w:val="4"/>
  </w:num>
  <w:num w:numId="7" w16cid:durableId="207056641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שלי לוי - צדק">
    <w15:presenceInfo w15:providerId="None" w15:userId="שלי לוי - צדק"/>
  </w15:person>
  <w15:person w15:author="עזריאל קפלן">
    <w15:presenceInfo w15:providerId="Windows Live" w15:userId="2d827204452d45a5"/>
  </w15:person>
  <w15:person w15:author="Shelly L">
    <w15:presenceInfo w15:providerId="None" w15:userId="Shelly L"/>
  </w15:person>
  <w15:person w15:author="user">
    <w15:presenceInfo w15:providerId="Windows Live" w15:userId="d7f8db5e546033d6"/>
  </w15:person>
  <w15:person w15:author="Shelly Levy-Tzedek">
    <w15:presenceInfo w15:providerId="Windows Live" w15:userId="e056062eead3f5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73A"/>
    <w:rsid w:val="00007BA3"/>
    <w:rsid w:val="000218DC"/>
    <w:rsid w:val="000F10A9"/>
    <w:rsid w:val="00127A2D"/>
    <w:rsid w:val="00175F29"/>
    <w:rsid w:val="00280DB5"/>
    <w:rsid w:val="003B273A"/>
    <w:rsid w:val="003E20B1"/>
    <w:rsid w:val="00427075"/>
    <w:rsid w:val="00491135"/>
    <w:rsid w:val="0049536D"/>
    <w:rsid w:val="005F4F87"/>
    <w:rsid w:val="006B7331"/>
    <w:rsid w:val="006D1B71"/>
    <w:rsid w:val="006F2184"/>
    <w:rsid w:val="0070565F"/>
    <w:rsid w:val="007356A3"/>
    <w:rsid w:val="00755431"/>
    <w:rsid w:val="007E3A56"/>
    <w:rsid w:val="008509EB"/>
    <w:rsid w:val="00884D23"/>
    <w:rsid w:val="00916954"/>
    <w:rsid w:val="00942C40"/>
    <w:rsid w:val="009D19D8"/>
    <w:rsid w:val="00A665AE"/>
    <w:rsid w:val="00AD52AE"/>
    <w:rsid w:val="00B4426A"/>
    <w:rsid w:val="00C43B4F"/>
    <w:rsid w:val="00CA761C"/>
    <w:rsid w:val="00DF4FEA"/>
    <w:rsid w:val="00E31D12"/>
    <w:rsid w:val="00EB3695"/>
    <w:rsid w:val="00FA1E2B"/>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A5547"/>
  <w15:chartTrackingRefBased/>
  <w15:docId w15:val="{1DC6BB62-FB4F-4B82-B5E4-DF1C05814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L"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73A"/>
    <w:pPr>
      <w:spacing w:after="200" w:line="480" w:lineRule="auto"/>
      <w:jc w:val="both"/>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B273A"/>
    <w:rPr>
      <w:sz w:val="16"/>
      <w:szCs w:val="16"/>
    </w:rPr>
  </w:style>
  <w:style w:type="paragraph" w:styleId="CommentText">
    <w:name w:val="annotation text"/>
    <w:basedOn w:val="Normal"/>
    <w:link w:val="CommentTextChar"/>
    <w:uiPriority w:val="99"/>
    <w:unhideWhenUsed/>
    <w:rsid w:val="003B273A"/>
    <w:pPr>
      <w:spacing w:line="240" w:lineRule="auto"/>
    </w:pPr>
    <w:rPr>
      <w:sz w:val="20"/>
      <w:szCs w:val="20"/>
    </w:rPr>
  </w:style>
  <w:style w:type="character" w:customStyle="1" w:styleId="CommentTextChar">
    <w:name w:val="Comment Text Char"/>
    <w:basedOn w:val="DefaultParagraphFont"/>
    <w:link w:val="CommentText"/>
    <w:uiPriority w:val="99"/>
    <w:rsid w:val="003B273A"/>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3B273A"/>
    <w:pPr>
      <w:ind w:left="720"/>
      <w:contextualSpacing/>
    </w:pPr>
  </w:style>
  <w:style w:type="character" w:styleId="Strong">
    <w:name w:val="Strong"/>
    <w:basedOn w:val="DefaultParagraphFont"/>
    <w:uiPriority w:val="22"/>
    <w:qFormat/>
    <w:rsid w:val="003B273A"/>
    <w:rPr>
      <w:b/>
      <w:bCs/>
    </w:rPr>
  </w:style>
  <w:style w:type="table" w:styleId="TableGrid">
    <w:name w:val="Table Grid"/>
    <w:basedOn w:val="TableNormal"/>
    <w:uiPriority w:val="39"/>
    <w:rsid w:val="003B273A"/>
    <w:pPr>
      <w:bidi/>
      <w:spacing w:after="0" w:line="240" w:lineRule="auto"/>
    </w:pPr>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B273A"/>
    <w:pPr>
      <w:spacing w:line="240" w:lineRule="auto"/>
      <w:jc w:val="left"/>
    </w:pPr>
    <w:rPr>
      <w:rFonts w:asciiTheme="minorHAnsi" w:eastAsiaTheme="minorHAnsi" w:hAnsiTheme="minorHAnsi" w:cstheme="minorBidi"/>
      <w:i/>
      <w:iCs/>
      <w:color w:val="44546A" w:themeColor="text2"/>
      <w:sz w:val="18"/>
      <w:szCs w:val="18"/>
    </w:rPr>
  </w:style>
  <w:style w:type="paragraph" w:styleId="NormalWeb">
    <w:name w:val="Normal (Web)"/>
    <w:basedOn w:val="Normal"/>
    <w:uiPriority w:val="99"/>
    <w:unhideWhenUsed/>
    <w:rsid w:val="003B273A"/>
    <w:pPr>
      <w:spacing w:before="100" w:beforeAutospacing="1" w:after="100" w:afterAutospacing="1" w:line="240" w:lineRule="auto"/>
      <w:jc w:val="left"/>
    </w:pPr>
  </w:style>
  <w:style w:type="character" w:styleId="Emphasis">
    <w:name w:val="Emphasis"/>
    <w:basedOn w:val="DefaultParagraphFont"/>
    <w:uiPriority w:val="20"/>
    <w:qFormat/>
    <w:rsid w:val="003B273A"/>
    <w:rPr>
      <w:i/>
      <w:iCs/>
    </w:rPr>
  </w:style>
  <w:style w:type="paragraph" w:styleId="BalloonText">
    <w:name w:val="Balloon Text"/>
    <w:basedOn w:val="Normal"/>
    <w:link w:val="BalloonTextChar"/>
    <w:uiPriority w:val="99"/>
    <w:semiHidden/>
    <w:unhideWhenUsed/>
    <w:rsid w:val="00FA1E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E2B"/>
    <w:rPr>
      <w:rFonts w:ascii="Segoe UI" w:eastAsia="Times New Roman"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FA1E2B"/>
    <w:rPr>
      <w:b/>
      <w:bCs/>
    </w:rPr>
  </w:style>
  <w:style w:type="character" w:customStyle="1" w:styleId="CommentSubjectChar">
    <w:name w:val="Comment Subject Char"/>
    <w:basedOn w:val="CommentTextChar"/>
    <w:link w:val="CommentSubject"/>
    <w:uiPriority w:val="99"/>
    <w:semiHidden/>
    <w:rsid w:val="00FA1E2B"/>
    <w:rPr>
      <w:rFonts w:ascii="Times New Roman" w:eastAsia="Times New Roman" w:hAnsi="Times New Roman" w:cs="Times New Roman"/>
      <w:b/>
      <w:bCs/>
      <w:sz w:val="20"/>
      <w:szCs w:val="20"/>
      <w:lang w:val="en-US"/>
    </w:rPr>
  </w:style>
  <w:style w:type="paragraph" w:styleId="Revision">
    <w:name w:val="Revision"/>
    <w:hidden/>
    <w:uiPriority w:val="99"/>
    <w:semiHidden/>
    <w:rsid w:val="007356A3"/>
    <w:pPr>
      <w:spacing w:after="0" w:line="240" w:lineRule="auto"/>
    </w:pPr>
    <w:rPr>
      <w:rFonts w:ascii="Times New Roman" w:eastAsia="Times New Roman" w:hAnsi="Times New Roman" w:cs="Times New Roman"/>
      <w:sz w:val="24"/>
      <w:szCs w:val="24"/>
      <w:lang w:val="en-US"/>
    </w:rPr>
  </w:style>
  <w:style w:type="paragraph" w:customStyle="1" w:styleId="Default">
    <w:name w:val="Default"/>
    <w:rsid w:val="007356A3"/>
    <w:pPr>
      <w:autoSpaceDE w:val="0"/>
      <w:autoSpaceDN w:val="0"/>
      <w:adjustRightInd w:val="0"/>
      <w:spacing w:after="0" w:line="240" w:lineRule="auto"/>
    </w:pPr>
    <w:rPr>
      <w:rFonts w:ascii="Linux Libertine" w:hAnsi="Linux Libertine" w:cs="Linux Libertine"/>
      <w:color w:val="000000"/>
      <w:sz w:val="24"/>
      <w:szCs w:val="24"/>
      <w:lang w:val="en-US"/>
    </w:rPr>
  </w:style>
  <w:style w:type="paragraph" w:styleId="Bibliography">
    <w:name w:val="Bibliography"/>
    <w:basedOn w:val="Normal"/>
    <w:next w:val="Normal"/>
    <w:uiPriority w:val="37"/>
    <w:unhideWhenUsed/>
    <w:rsid w:val="006B7331"/>
    <w:pPr>
      <w:spacing w:after="0"/>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092405">
      <w:bodyDiv w:val="1"/>
      <w:marLeft w:val="0"/>
      <w:marRight w:val="0"/>
      <w:marTop w:val="0"/>
      <w:marBottom w:val="0"/>
      <w:divBdr>
        <w:top w:val="none" w:sz="0" w:space="0" w:color="auto"/>
        <w:left w:val="none" w:sz="0" w:space="0" w:color="auto"/>
        <w:bottom w:val="none" w:sz="0" w:space="0" w:color="auto"/>
        <w:right w:val="none" w:sz="0" w:space="0" w:color="auto"/>
      </w:divBdr>
    </w:div>
    <w:div w:id="1692336168">
      <w:bodyDiv w:val="1"/>
      <w:marLeft w:val="0"/>
      <w:marRight w:val="0"/>
      <w:marTop w:val="0"/>
      <w:marBottom w:val="0"/>
      <w:divBdr>
        <w:top w:val="none" w:sz="0" w:space="0" w:color="auto"/>
        <w:left w:val="none" w:sz="0" w:space="0" w:color="auto"/>
        <w:bottom w:val="none" w:sz="0" w:space="0" w:color="auto"/>
        <w:right w:val="none" w:sz="0" w:space="0" w:color="auto"/>
      </w:divBdr>
    </w:div>
    <w:div w:id="184119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microsoft.com/office/2018/08/relationships/commentsExtensible" Target="commentsExtensible.xml"/><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AFFAAD-1269-4A09-81E9-B7946096B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44368</Words>
  <Characters>252900</Characters>
  <Application>Microsoft Office Word</Application>
  <DocSecurity>0</DocSecurity>
  <Lines>2107</Lines>
  <Paragraphs>593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296675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עזריאל קפלן</dc:creator>
  <cp:keywords/>
  <dc:description/>
  <cp:lastModifiedBy>שלי לוי - צדק</cp:lastModifiedBy>
  <cp:revision>9</cp:revision>
  <dcterms:created xsi:type="dcterms:W3CDTF">2022-12-25T06:00:00Z</dcterms:created>
  <dcterms:modified xsi:type="dcterms:W3CDTF">2022-12-27T06:42:00Z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id="gr4NIhwO"/&gt;&lt;style id="http://www.zotero.org/styles/apa" locale="en-US" hasBibliography="1" bibliographyStyleHasBeenSet="1"/&gt;&lt;prefs&gt;&lt;pref name="fieldType" value="Field"/&gt;&lt;/prefs&gt;&lt;/data&gt;</vt:lpwstr>
  </property>
  <property fmtid="{D5CDD505-2E9C-101B-9397-08002B2CF9AE}" pid="3" name="GrammarlyDocumentId">
    <vt:lpwstr>c6f18dc6743bd526e376b3f890e7946f21e92a3e3310f9d9e54b355451996877</vt:lpwstr>
  </property>
</Properties>
</file>