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4AF" w:rsidRDefault="005E54AF" w:rsidP="005E54AF">
      <w:pPr>
        <w:jc w:val="center"/>
        <w:rPr>
          <w:b/>
          <w:bCs/>
          <w:sz w:val="28"/>
          <w:szCs w:val="28"/>
          <w:lang w:bidi="he-IL"/>
        </w:rPr>
      </w:pPr>
      <w:bookmarkStart w:id="0" w:name="_GoBack"/>
      <w:bookmarkEnd w:id="0"/>
      <w:r w:rsidRPr="005E54AF">
        <w:rPr>
          <w:b/>
          <w:bCs/>
          <w:sz w:val="28"/>
          <w:szCs w:val="28"/>
          <w:lang w:bidi="he-IL"/>
        </w:rPr>
        <w:t xml:space="preserve">The witness who didn’t testify: Sonia Lewkowicz's missing testimony in the </w:t>
      </w:r>
      <w:proofErr w:type="spellStart"/>
      <w:r w:rsidRPr="005E54AF">
        <w:rPr>
          <w:b/>
          <w:bCs/>
          <w:sz w:val="28"/>
          <w:szCs w:val="28"/>
          <w:lang w:bidi="he-IL"/>
        </w:rPr>
        <w:t>Demjanjuk</w:t>
      </w:r>
      <w:proofErr w:type="spellEnd"/>
      <w:r w:rsidRPr="005E54AF">
        <w:rPr>
          <w:b/>
          <w:bCs/>
          <w:sz w:val="28"/>
          <w:szCs w:val="28"/>
          <w:lang w:bidi="he-IL"/>
        </w:rPr>
        <w:t xml:space="preserve"> trial</w:t>
      </w:r>
    </w:p>
    <w:p w:rsidR="005E54AF" w:rsidRDefault="005E54AF" w:rsidP="005E54AF">
      <w:pPr>
        <w:jc w:val="center"/>
        <w:rPr>
          <w:sz w:val="22"/>
          <w:szCs w:val="22"/>
          <w:lang w:bidi="he-IL"/>
        </w:rPr>
      </w:pPr>
      <w:r>
        <w:rPr>
          <w:sz w:val="22"/>
          <w:szCs w:val="22"/>
          <w:lang w:bidi="he-IL"/>
        </w:rPr>
        <w:t>Yehudit Dori Deston</w:t>
      </w:r>
    </w:p>
    <w:p w:rsidR="005E54AF" w:rsidRPr="005E54AF" w:rsidRDefault="005E54AF" w:rsidP="005E54AF">
      <w:pPr>
        <w:jc w:val="center"/>
        <w:rPr>
          <w:sz w:val="22"/>
          <w:szCs w:val="22"/>
          <w:rtl/>
          <w:lang w:bidi="he-IL"/>
        </w:rPr>
      </w:pPr>
    </w:p>
    <w:p w:rsidR="00484302" w:rsidRDefault="005E54AF" w:rsidP="003945B4">
      <w:pPr>
        <w:ind w:firstLine="720"/>
        <w:rPr>
          <w:rtl/>
          <w:lang w:bidi="he-IL"/>
        </w:rPr>
      </w:pPr>
      <w:r w:rsidRPr="005E54AF">
        <w:rPr>
          <w:rtl/>
          <w:lang w:bidi="he-IL"/>
        </w:rPr>
        <w:t xml:space="preserve">בחודש ספטמבר של שנת 1986 נפתח בבית המשפט המחוזי בירושלים המשפט האחרון שהתנהל במדינת ישראל לפי החוק לעשיית דין בנאצים ובעוזריהם, התש"י-1950. היה זה משפטו של ג'ון איוון </w:t>
      </w:r>
      <w:proofErr w:type="spellStart"/>
      <w:r w:rsidRPr="005E54AF">
        <w:rPr>
          <w:rtl/>
          <w:lang w:bidi="he-IL"/>
        </w:rPr>
        <w:t>דמיאניוק</w:t>
      </w:r>
      <w:proofErr w:type="spellEnd"/>
      <w:r w:rsidRPr="005E54AF">
        <w:rPr>
          <w:rtl/>
          <w:lang w:bidi="he-IL"/>
        </w:rPr>
        <w:t xml:space="preserve">, מי שהואשם בהיותו מפעיל תאי הגזים במחנה ההשמדה טרבלינקה בין השנים 1943-1942. כתב האישום שהגישה התביעה לבית המשפט ייחס לנאשם עבירות של פשעים נגד העם היהודי, פשעים נגד האנושות ופשעי מלחמה. פורטו בו מעשי רצח והתעללות שביצע הנאשם ביהודים שהובלו לתאי הגזים ובעובדי </w:t>
      </w:r>
      <w:proofErr w:type="spellStart"/>
      <w:r w:rsidRPr="005E54AF">
        <w:rPr>
          <w:rtl/>
          <w:lang w:bidi="he-IL"/>
        </w:rPr>
        <w:t>הכפיה</w:t>
      </w:r>
      <w:proofErr w:type="spellEnd"/>
      <w:r w:rsidRPr="005E54AF">
        <w:rPr>
          <w:rtl/>
          <w:lang w:bidi="he-IL"/>
        </w:rPr>
        <w:t xml:space="preserve"> במחנה, בגינם כונה</w:t>
      </w:r>
      <w:r w:rsidR="00C9142B">
        <w:rPr>
          <w:rFonts w:hint="cs"/>
          <w:rtl/>
          <w:lang w:bidi="he-IL"/>
        </w:rPr>
        <w:t xml:space="preserve"> </w:t>
      </w:r>
      <w:r w:rsidRPr="005E54AF">
        <w:rPr>
          <w:rtl/>
          <w:lang w:bidi="he-IL"/>
        </w:rPr>
        <w:t xml:space="preserve">"איוון האיום". בראש רשימת עדי התביעה שצורפה לכתב האישום התנוססו שמונה שמות. היו אלה שמונה מניצולי טרבלינקה שהיו בחיים באותה עת, והיחידים שזיהו את הנאשם במסגרת חקירת המשטרה שקדמה לניהול המשפט. אך מתוך השמונה רק חמישה העידו בסופו של דבר. למרבה הצער, שני ניצולים נפטרו בסמוך לפתיחת ההליך. ניצולה נוספת ששמה </w:t>
      </w:r>
      <w:r w:rsidR="001F3535">
        <w:rPr>
          <w:rtl/>
          <w:lang w:bidi="he-IL"/>
        </w:rPr>
        <w:t xml:space="preserve">הופיע ברשימה זו – </w:t>
      </w:r>
      <w:proofErr w:type="spellStart"/>
      <w:r w:rsidR="001F3535">
        <w:rPr>
          <w:rtl/>
          <w:lang w:bidi="he-IL"/>
        </w:rPr>
        <w:t>סוניה</w:t>
      </w:r>
      <w:proofErr w:type="spellEnd"/>
      <w:r w:rsidR="001F3535">
        <w:rPr>
          <w:rtl/>
          <w:lang w:bidi="he-IL"/>
        </w:rPr>
        <w:t xml:space="preserve"> </w:t>
      </w:r>
      <w:proofErr w:type="spellStart"/>
      <w:r w:rsidR="001F3535">
        <w:rPr>
          <w:rtl/>
          <w:lang w:bidi="he-IL"/>
        </w:rPr>
        <w:t>לבקוביץ</w:t>
      </w:r>
      <w:proofErr w:type="spellEnd"/>
      <w:r w:rsidRPr="005E54AF">
        <w:rPr>
          <w:rtl/>
          <w:lang w:bidi="he-IL"/>
        </w:rPr>
        <w:t xml:space="preserve"> – סירבה בכל תוקף לעלות על דוכן העדים, וכל </w:t>
      </w:r>
      <w:proofErr w:type="spellStart"/>
      <w:r w:rsidRPr="005E54AF">
        <w:rPr>
          <w:rtl/>
          <w:lang w:bidi="he-IL"/>
        </w:rPr>
        <w:t>נסיונות</w:t>
      </w:r>
      <w:proofErr w:type="spellEnd"/>
      <w:r w:rsidRPr="005E54AF">
        <w:rPr>
          <w:rtl/>
          <w:lang w:bidi="he-IL"/>
        </w:rPr>
        <w:t xml:space="preserve"> השכנוע מצד התביעה לא הועילו.</w:t>
      </w:r>
      <w:r w:rsidR="00B31FE5">
        <w:rPr>
          <w:rStyle w:val="FootnoteReference"/>
          <w:rtl/>
          <w:lang w:bidi="he-IL"/>
        </w:rPr>
        <w:footnoteReference w:id="1"/>
      </w:r>
      <w:r w:rsidRPr="005E54AF">
        <w:rPr>
          <w:rtl/>
          <w:lang w:bidi="he-IL"/>
        </w:rPr>
        <w:t xml:space="preserve"> </w:t>
      </w:r>
    </w:p>
    <w:p w:rsidR="00223976" w:rsidRDefault="00223976" w:rsidP="007F1889">
      <w:pPr>
        <w:ind w:firstLine="720"/>
        <w:rPr>
          <w:rtl/>
          <w:lang w:bidi="he-IL"/>
        </w:rPr>
      </w:pPr>
    </w:p>
    <w:p w:rsidR="00484302" w:rsidRDefault="00D13E22" w:rsidP="003945B4">
      <w:pPr>
        <w:ind w:firstLine="720"/>
        <w:rPr>
          <w:rtl/>
          <w:lang w:bidi="he-IL"/>
        </w:rPr>
      </w:pPr>
      <w:proofErr w:type="spellStart"/>
      <w:r>
        <w:rPr>
          <w:rFonts w:hint="cs"/>
          <w:rtl/>
          <w:lang w:bidi="he-IL"/>
        </w:rPr>
        <w:t>לבקוביץ</w:t>
      </w:r>
      <w:proofErr w:type="spellEnd"/>
      <w:r>
        <w:rPr>
          <w:rFonts w:hint="cs"/>
          <w:rtl/>
          <w:lang w:bidi="he-IL"/>
        </w:rPr>
        <w:t xml:space="preserve">, ילידת פולין, </w:t>
      </w:r>
      <w:r w:rsidR="00792202">
        <w:rPr>
          <w:rFonts w:hint="cs"/>
          <w:rtl/>
          <w:lang w:bidi="he-IL"/>
        </w:rPr>
        <w:t>הובלה עם משפחתה</w:t>
      </w:r>
      <w:r w:rsidR="00792202" w:rsidRPr="00792202">
        <w:rPr>
          <w:rtl/>
          <w:lang w:bidi="he-IL"/>
        </w:rPr>
        <w:t xml:space="preserve"> ב-14 לדצמבר 1942</w:t>
      </w:r>
      <w:r w:rsidR="00792202">
        <w:rPr>
          <w:rFonts w:hint="cs"/>
          <w:rtl/>
          <w:lang w:bidi="he-IL"/>
        </w:rPr>
        <w:t xml:space="preserve"> בטרנספורט </w:t>
      </w:r>
      <w:r w:rsidR="00792202" w:rsidRPr="00792202">
        <w:rPr>
          <w:rtl/>
          <w:lang w:bidi="he-IL"/>
        </w:rPr>
        <w:t xml:space="preserve">ממחנה המעבר </w:t>
      </w:r>
      <w:proofErr w:type="spellStart"/>
      <w:r w:rsidR="00792202">
        <w:rPr>
          <w:rtl/>
          <w:lang w:bidi="he-IL"/>
        </w:rPr>
        <w:t>קילבוסינו</w:t>
      </w:r>
      <w:proofErr w:type="spellEnd"/>
      <w:r w:rsidR="00792202" w:rsidRPr="00792202">
        <w:rPr>
          <w:rtl/>
          <w:lang w:bidi="he-IL"/>
        </w:rPr>
        <w:t xml:space="preserve"> (</w:t>
      </w:r>
      <w:proofErr w:type="spellStart"/>
      <w:r w:rsidR="00792202" w:rsidRPr="00792202">
        <w:t>Gielbosian</w:t>
      </w:r>
      <w:proofErr w:type="spellEnd"/>
      <w:r w:rsidR="00792202" w:rsidRPr="00792202">
        <w:rPr>
          <w:rtl/>
          <w:lang w:bidi="he-IL"/>
        </w:rPr>
        <w:t xml:space="preserve">) ליד </w:t>
      </w:r>
      <w:proofErr w:type="spellStart"/>
      <w:r w:rsidR="00792202" w:rsidRPr="00792202">
        <w:rPr>
          <w:rtl/>
          <w:lang w:bidi="he-IL"/>
        </w:rPr>
        <w:t>גרודנו</w:t>
      </w:r>
      <w:proofErr w:type="spellEnd"/>
      <w:r w:rsidR="00792202" w:rsidRPr="00792202">
        <w:rPr>
          <w:rtl/>
          <w:lang w:bidi="he-IL"/>
        </w:rPr>
        <w:t xml:space="preserve"> </w:t>
      </w:r>
      <w:r w:rsidR="008250FF">
        <w:rPr>
          <w:rFonts w:hint="cs"/>
          <w:rtl/>
          <w:lang w:bidi="he-IL"/>
        </w:rPr>
        <w:t>(</w:t>
      </w:r>
      <w:r w:rsidR="008250FF" w:rsidRPr="008250FF">
        <w:rPr>
          <w:lang w:bidi="he-IL"/>
        </w:rPr>
        <w:t>Grodno</w:t>
      </w:r>
      <w:r w:rsidR="008250FF">
        <w:rPr>
          <w:rFonts w:hint="cs"/>
          <w:rtl/>
          <w:lang w:bidi="he-IL"/>
        </w:rPr>
        <w:t xml:space="preserve">) </w:t>
      </w:r>
      <w:r w:rsidR="00792202" w:rsidRPr="00792202">
        <w:rPr>
          <w:rtl/>
          <w:lang w:bidi="he-IL"/>
        </w:rPr>
        <w:t xml:space="preserve">למחנה טרבלינקה, יחד עם </w:t>
      </w:r>
      <w:r w:rsidR="00792202">
        <w:rPr>
          <w:rFonts w:hint="cs"/>
          <w:rtl/>
          <w:lang w:bidi="he-IL"/>
        </w:rPr>
        <w:t>בני משפחתה</w:t>
      </w:r>
      <w:r w:rsidR="00792202" w:rsidRPr="00792202">
        <w:rPr>
          <w:rtl/>
          <w:lang w:bidi="he-IL"/>
        </w:rPr>
        <w:t xml:space="preserve">. הוריה, אחותה, וארבעת הסבים והסבתות שלה – נרצחו בתאי הגזים. </w:t>
      </w:r>
      <w:proofErr w:type="spellStart"/>
      <w:r w:rsidR="003945B4">
        <w:rPr>
          <w:rFonts w:hint="cs"/>
          <w:rtl/>
          <w:lang w:bidi="he-IL"/>
        </w:rPr>
        <w:t>לבקוביץ</w:t>
      </w:r>
      <w:proofErr w:type="spellEnd"/>
      <w:r w:rsidR="00792202" w:rsidRPr="00792202">
        <w:rPr>
          <w:rtl/>
          <w:lang w:bidi="he-IL"/>
        </w:rPr>
        <w:t xml:space="preserve"> עצמה</w:t>
      </w:r>
      <w:r w:rsidR="00792202">
        <w:rPr>
          <w:rFonts w:hint="cs"/>
          <w:rtl/>
          <w:lang w:bidi="he-IL"/>
        </w:rPr>
        <w:t xml:space="preserve"> </w:t>
      </w:r>
      <w:r w:rsidR="00792202">
        <w:rPr>
          <w:rtl/>
          <w:lang w:bidi="he-IL"/>
        </w:rPr>
        <w:t>–</w:t>
      </w:r>
      <w:r w:rsidR="00792202">
        <w:rPr>
          <w:rFonts w:hint="cs"/>
          <w:rtl/>
          <w:lang w:bidi="he-IL"/>
        </w:rPr>
        <w:t xml:space="preserve"> בת 20 אותה עת </w:t>
      </w:r>
      <w:r w:rsidR="00792202">
        <w:rPr>
          <w:rtl/>
          <w:lang w:bidi="he-IL"/>
        </w:rPr>
        <w:t>–</w:t>
      </w:r>
      <w:r w:rsidR="00792202">
        <w:rPr>
          <w:rFonts w:hint="cs"/>
          <w:rtl/>
          <w:lang w:bidi="he-IL"/>
        </w:rPr>
        <w:t xml:space="preserve"> </w:t>
      </w:r>
      <w:r w:rsidR="00C9142B">
        <w:rPr>
          <w:rtl/>
          <w:lang w:bidi="he-IL"/>
        </w:rPr>
        <w:t>הוצאה</w:t>
      </w:r>
      <w:r w:rsidR="00792202">
        <w:rPr>
          <w:rtl/>
          <w:lang w:bidi="he-IL"/>
        </w:rPr>
        <w:t xml:space="preserve"> ערומה</w:t>
      </w:r>
      <w:r w:rsidR="00792202" w:rsidRPr="00792202">
        <w:rPr>
          <w:rtl/>
          <w:lang w:bidi="he-IL"/>
        </w:rPr>
        <w:t xml:space="preserve"> מבין הנשים שהמתינו לגזיזת שערותיהן בטרם נשלחו אל מותן. היא נבחרה, כנראה בשל </w:t>
      </w:r>
      <w:proofErr w:type="spellStart"/>
      <w:r w:rsidR="00792202" w:rsidRPr="00792202">
        <w:rPr>
          <w:rtl/>
          <w:lang w:bidi="he-IL"/>
        </w:rPr>
        <w:t>יופיה</w:t>
      </w:r>
      <w:proofErr w:type="spellEnd"/>
      <w:r w:rsidR="00792202" w:rsidRPr="00792202">
        <w:rPr>
          <w:rtl/>
          <w:lang w:bidi="he-IL"/>
        </w:rPr>
        <w:t>, לה</w:t>
      </w:r>
      <w:r w:rsidR="00792202">
        <w:rPr>
          <w:rtl/>
          <w:lang w:bidi="he-IL"/>
        </w:rPr>
        <w:t xml:space="preserve">יות עובדת כפיה, </w:t>
      </w:r>
      <w:r>
        <w:rPr>
          <w:rFonts w:hint="cs"/>
          <w:rtl/>
          <w:lang w:bidi="he-IL"/>
        </w:rPr>
        <w:t xml:space="preserve">אחת מכ-50 נשים </w:t>
      </w:r>
      <w:r w:rsidR="00792202">
        <w:rPr>
          <w:rFonts w:hint="cs"/>
          <w:rtl/>
          <w:lang w:bidi="he-IL"/>
        </w:rPr>
        <w:t xml:space="preserve">בלבד </w:t>
      </w:r>
      <w:r>
        <w:rPr>
          <w:rFonts w:hint="cs"/>
          <w:rtl/>
          <w:lang w:bidi="he-IL"/>
        </w:rPr>
        <w:t>שהיו עובדות כפיה בטרבלינקה</w:t>
      </w:r>
      <w:r w:rsidR="00792202">
        <w:rPr>
          <w:rFonts w:hint="cs"/>
          <w:rtl/>
          <w:lang w:bidi="he-IL"/>
        </w:rPr>
        <w:t>.</w:t>
      </w:r>
      <w:r>
        <w:rPr>
          <w:rFonts w:hint="cs"/>
          <w:rtl/>
          <w:lang w:bidi="he-IL"/>
        </w:rPr>
        <w:t xml:space="preserve"> </w:t>
      </w:r>
      <w:r w:rsidR="00792202">
        <w:rPr>
          <w:rFonts w:hint="cs"/>
          <w:rtl/>
          <w:lang w:bidi="he-IL"/>
        </w:rPr>
        <w:t>היא הועסקה ככובסת</w:t>
      </w:r>
      <w:r>
        <w:rPr>
          <w:rFonts w:hint="cs"/>
          <w:rtl/>
          <w:lang w:bidi="he-IL"/>
        </w:rPr>
        <w:t xml:space="preserve"> במכבסה </w:t>
      </w:r>
      <w:r w:rsidR="00792202">
        <w:rPr>
          <w:rFonts w:hint="cs"/>
          <w:rtl/>
          <w:lang w:bidi="he-IL"/>
        </w:rPr>
        <w:t xml:space="preserve">ששימשה את </w:t>
      </w:r>
      <w:proofErr w:type="spellStart"/>
      <w:r w:rsidR="00792202">
        <w:rPr>
          <w:rFonts w:hint="cs"/>
          <w:rtl/>
          <w:lang w:bidi="he-IL"/>
        </w:rPr>
        <w:t>הוואכמנים</w:t>
      </w:r>
      <w:proofErr w:type="spellEnd"/>
      <w:r w:rsidR="00792202">
        <w:rPr>
          <w:rFonts w:hint="cs"/>
          <w:rtl/>
          <w:lang w:bidi="he-IL"/>
        </w:rPr>
        <w:t xml:space="preserve"> האוקראינים ששירתו במחנה. שלושה חודשים מאוחר יותר, במרץ 1943, הוקמה מכבסה נוספת </w:t>
      </w:r>
      <w:r>
        <w:rPr>
          <w:rFonts w:hint="cs"/>
          <w:rtl/>
          <w:lang w:bidi="he-IL"/>
        </w:rPr>
        <w:t>בחלק המחנה הסמוך לתאי הגזים</w:t>
      </w:r>
      <w:r w:rsidR="00792202">
        <w:rPr>
          <w:rFonts w:hint="cs"/>
          <w:rtl/>
          <w:lang w:bidi="he-IL"/>
        </w:rPr>
        <w:t xml:space="preserve">, ששימשה את היהודים עובדי </w:t>
      </w:r>
      <w:proofErr w:type="spellStart"/>
      <w:r w:rsidR="00792202">
        <w:rPr>
          <w:rFonts w:hint="cs"/>
          <w:rtl/>
          <w:lang w:bidi="he-IL"/>
        </w:rPr>
        <w:t>הכפיה</w:t>
      </w:r>
      <w:proofErr w:type="spellEnd"/>
      <w:r w:rsidR="00792202">
        <w:rPr>
          <w:rFonts w:hint="cs"/>
          <w:rtl/>
          <w:lang w:bidi="he-IL"/>
        </w:rPr>
        <w:t xml:space="preserve">, </w:t>
      </w:r>
      <w:proofErr w:type="spellStart"/>
      <w:r w:rsidR="00792202">
        <w:rPr>
          <w:rFonts w:hint="cs"/>
          <w:rtl/>
          <w:lang w:bidi="he-IL"/>
        </w:rPr>
        <w:t>וסוניה</w:t>
      </w:r>
      <w:proofErr w:type="spellEnd"/>
      <w:r w:rsidR="00792202">
        <w:rPr>
          <w:rFonts w:hint="cs"/>
          <w:rtl/>
          <w:lang w:bidi="he-IL"/>
        </w:rPr>
        <w:t xml:space="preserve"> נשלחה לעבוד בה יחד עם עוד כ-15 נשים</w:t>
      </w:r>
      <w:r>
        <w:rPr>
          <w:rFonts w:hint="cs"/>
          <w:rtl/>
          <w:lang w:bidi="he-IL"/>
        </w:rPr>
        <w:t xml:space="preserve">. </w:t>
      </w:r>
      <w:r w:rsidR="0027273D">
        <w:rPr>
          <w:rFonts w:hint="cs"/>
          <w:rtl/>
          <w:lang w:bidi="he-IL"/>
        </w:rPr>
        <w:t xml:space="preserve">לפיכך, </w:t>
      </w:r>
      <w:r>
        <w:rPr>
          <w:rFonts w:hint="cs"/>
          <w:rtl/>
          <w:lang w:bidi="he-IL"/>
        </w:rPr>
        <w:t xml:space="preserve">בדומה לחמשת העדים האחרים, ובניגוד לניצולים אחרים שהועסקו בעבודות כפיה בחלק אחר של המחנה, היא </w:t>
      </w:r>
      <w:proofErr w:type="spellStart"/>
      <w:r>
        <w:rPr>
          <w:rFonts w:hint="cs"/>
          <w:rtl/>
          <w:lang w:bidi="he-IL"/>
        </w:rPr>
        <w:t>היתה</w:t>
      </w:r>
      <w:proofErr w:type="spellEnd"/>
      <w:r>
        <w:rPr>
          <w:rFonts w:hint="cs"/>
          <w:rtl/>
          <w:lang w:bidi="he-IL"/>
        </w:rPr>
        <w:t xml:space="preserve"> עדה למעשיו של הנאשם במו עיניה. </w:t>
      </w:r>
    </w:p>
    <w:p w:rsidR="00223976" w:rsidRDefault="00223976" w:rsidP="007F1889">
      <w:pPr>
        <w:ind w:firstLine="720"/>
        <w:rPr>
          <w:rtl/>
          <w:lang w:bidi="he-IL"/>
        </w:rPr>
      </w:pPr>
    </w:p>
    <w:p w:rsidR="00792202" w:rsidRDefault="003945B4" w:rsidP="008250FF">
      <w:pPr>
        <w:ind w:firstLine="720"/>
        <w:rPr>
          <w:rtl/>
          <w:lang w:bidi="he-IL"/>
        </w:rPr>
      </w:pPr>
      <w:r>
        <w:rPr>
          <w:rFonts w:hint="cs"/>
          <w:rtl/>
          <w:lang w:bidi="he-IL"/>
        </w:rPr>
        <w:t xml:space="preserve">לא הרבה ידוע על הקשיים הייחודיים שהיו מנת חלקן של </w:t>
      </w:r>
      <w:proofErr w:type="spellStart"/>
      <w:r>
        <w:rPr>
          <w:rFonts w:hint="cs"/>
          <w:rtl/>
          <w:lang w:bidi="he-IL"/>
        </w:rPr>
        <w:t>לבקוביץ</w:t>
      </w:r>
      <w:proofErr w:type="spellEnd"/>
      <w:r>
        <w:rPr>
          <w:rFonts w:hint="cs"/>
          <w:rtl/>
          <w:lang w:bidi="he-IL"/>
        </w:rPr>
        <w:t xml:space="preserve"> והנשים האחרות שהיו אסירות בטרבלינקה. </w:t>
      </w:r>
      <w:r w:rsidR="00C9142B">
        <w:rPr>
          <w:rFonts w:hint="cs"/>
          <w:rtl/>
          <w:lang w:bidi="he-IL"/>
        </w:rPr>
        <w:t xml:space="preserve">במחקר ההיסטורי </w:t>
      </w:r>
      <w:r w:rsidR="00095FF0">
        <w:rPr>
          <w:rFonts w:hint="cs"/>
          <w:rtl/>
          <w:lang w:bidi="he-IL"/>
        </w:rPr>
        <w:t>צוין כי "</w:t>
      </w:r>
      <w:r w:rsidR="00573EC9" w:rsidRPr="00573EC9">
        <w:rPr>
          <w:rtl/>
          <w:lang w:bidi="he-IL"/>
        </w:rPr>
        <w:t>הנשים האסירות היו נתונות לחסדי אנשי הס"ס, והלל</w:t>
      </w:r>
      <w:r w:rsidR="00095FF0">
        <w:rPr>
          <w:rtl/>
          <w:lang w:bidi="he-IL"/>
        </w:rPr>
        <w:t>ו לא אחת ניצלו אותן מינית"</w:t>
      </w:r>
      <w:r w:rsidR="00095FF0">
        <w:rPr>
          <w:rFonts w:hint="cs"/>
          <w:rtl/>
          <w:lang w:bidi="he-IL"/>
        </w:rPr>
        <w:t>.</w:t>
      </w:r>
      <w:r w:rsidR="00095FF0">
        <w:rPr>
          <w:rStyle w:val="FootnoteReference"/>
          <w:rtl/>
          <w:lang w:bidi="he-IL"/>
        </w:rPr>
        <w:footnoteReference w:id="2"/>
      </w:r>
      <w:r w:rsidR="00095FF0">
        <w:rPr>
          <w:rFonts w:hint="cs"/>
          <w:rtl/>
          <w:lang w:bidi="he-IL"/>
        </w:rPr>
        <w:t xml:space="preserve"> בין הניצולים, היה מי שתיאר כי</w:t>
      </w:r>
      <w:r w:rsidR="00AA54DA">
        <w:rPr>
          <w:rFonts w:hint="cs"/>
          <w:rtl/>
          <w:lang w:bidi="he-IL"/>
        </w:rPr>
        <w:t xml:space="preserve"> </w:t>
      </w:r>
      <w:r w:rsidR="00975799">
        <w:rPr>
          <w:rFonts w:hint="cs"/>
          <w:rtl/>
          <w:lang w:bidi="he-IL"/>
        </w:rPr>
        <w:t>"</w:t>
      </w:r>
      <w:r w:rsidR="00975799" w:rsidRPr="00975799">
        <w:rPr>
          <w:rtl/>
          <w:lang w:bidi="he-IL"/>
        </w:rPr>
        <w:t>שמעתי שהקאפו השתעשעו איתן</w:t>
      </w:r>
      <w:r w:rsidR="00975799">
        <w:rPr>
          <w:rFonts w:hint="cs"/>
          <w:rtl/>
          <w:lang w:bidi="he-IL"/>
        </w:rPr>
        <w:t>"</w:t>
      </w:r>
      <w:r w:rsidR="00975799">
        <w:rPr>
          <w:rStyle w:val="FootnoteReference"/>
          <w:rtl/>
          <w:lang w:bidi="he-IL"/>
        </w:rPr>
        <w:footnoteReference w:id="3"/>
      </w:r>
      <w:r w:rsidR="00975799">
        <w:rPr>
          <w:rFonts w:hint="cs"/>
          <w:rtl/>
          <w:lang w:bidi="he-IL"/>
        </w:rPr>
        <w:t xml:space="preserve"> וכי </w:t>
      </w:r>
      <w:r w:rsidR="00AA54DA">
        <w:rPr>
          <w:rFonts w:hint="cs"/>
          <w:rtl/>
          <w:lang w:bidi="he-IL"/>
        </w:rPr>
        <w:t>הנשים במחנה</w:t>
      </w:r>
      <w:r w:rsidR="00AA54DA" w:rsidRPr="00AA54DA">
        <w:rPr>
          <w:rtl/>
          <w:lang w:bidi="he-IL"/>
        </w:rPr>
        <w:t xml:space="preserve"> </w:t>
      </w:r>
      <w:r w:rsidR="00975799">
        <w:rPr>
          <w:rFonts w:hint="cs"/>
          <w:rtl/>
          <w:lang w:bidi="he-IL"/>
        </w:rPr>
        <w:t>"</w:t>
      </w:r>
      <w:r w:rsidR="00AA54DA">
        <w:rPr>
          <w:rtl/>
          <w:lang w:bidi="he-IL"/>
        </w:rPr>
        <w:t>'חולקו' בין הקאפו 'לשימוש פרטי'</w:t>
      </w:r>
      <w:r w:rsidR="00AA54DA">
        <w:rPr>
          <w:rFonts w:hint="cs"/>
          <w:rtl/>
          <w:lang w:bidi="he-IL"/>
        </w:rPr>
        <w:t>.</w:t>
      </w:r>
      <w:r w:rsidR="00AA54DA" w:rsidRPr="00AA54DA">
        <w:rPr>
          <w:rtl/>
          <w:lang w:bidi="he-IL"/>
        </w:rPr>
        <w:t xml:space="preserve"> הגרמנים הרשו לקאפו לבקר את הנערות כל ערב בן השעות שש עד עשר בערב</w:t>
      </w:r>
      <w:r w:rsidR="00AA54DA">
        <w:rPr>
          <w:rFonts w:hint="cs"/>
          <w:rtl/>
          <w:lang w:bidi="he-IL"/>
        </w:rPr>
        <w:t>"</w:t>
      </w:r>
      <w:r w:rsidR="00AA54DA" w:rsidRPr="00194D1F">
        <w:rPr>
          <w:rFonts w:eastAsia="David"/>
          <w:i/>
          <w:iCs/>
          <w:rtl/>
        </w:rPr>
        <w:t>.</w:t>
      </w:r>
      <w:r w:rsidR="00AA54DA" w:rsidRPr="00194D1F">
        <w:rPr>
          <w:rFonts w:eastAsia="David"/>
          <w:vertAlign w:val="superscript"/>
          <w:rtl/>
        </w:rPr>
        <w:footnoteReference w:id="4"/>
      </w:r>
      <w:r w:rsidR="00665910">
        <w:rPr>
          <w:rFonts w:hint="cs"/>
          <w:rtl/>
          <w:lang w:bidi="he-IL"/>
        </w:rPr>
        <w:t xml:space="preserve"> </w:t>
      </w:r>
      <w:r>
        <w:rPr>
          <w:rFonts w:hint="cs"/>
          <w:rtl/>
          <w:lang w:bidi="he-IL"/>
        </w:rPr>
        <w:t>לעומת זאת</w:t>
      </w:r>
      <w:r w:rsidR="00D97D0F">
        <w:rPr>
          <w:rFonts w:hint="cs"/>
          <w:rtl/>
          <w:lang w:bidi="he-IL"/>
        </w:rPr>
        <w:t xml:space="preserve">, </w:t>
      </w:r>
      <w:r w:rsidR="00C9142B">
        <w:rPr>
          <w:rFonts w:hint="cs"/>
          <w:rtl/>
          <w:lang w:bidi="he-IL"/>
        </w:rPr>
        <w:t>היו</w:t>
      </w:r>
      <w:r w:rsidR="00D97D0F">
        <w:rPr>
          <w:rFonts w:hint="cs"/>
          <w:rtl/>
          <w:lang w:bidi="he-IL"/>
        </w:rPr>
        <w:t xml:space="preserve"> </w:t>
      </w:r>
      <w:r w:rsidR="00C9142B">
        <w:rPr>
          <w:rFonts w:hint="cs"/>
          <w:rtl/>
          <w:lang w:bidi="he-IL"/>
        </w:rPr>
        <w:t xml:space="preserve">ניצולים </w:t>
      </w:r>
      <w:r w:rsidR="00D97D0F">
        <w:rPr>
          <w:rFonts w:hint="cs"/>
          <w:rtl/>
          <w:lang w:bidi="he-IL"/>
        </w:rPr>
        <w:t>שתיאר</w:t>
      </w:r>
      <w:r w:rsidR="00C9142B">
        <w:rPr>
          <w:rFonts w:hint="cs"/>
          <w:rtl/>
          <w:lang w:bidi="he-IL"/>
        </w:rPr>
        <w:t>ו</w:t>
      </w:r>
      <w:r w:rsidR="00D97D0F">
        <w:rPr>
          <w:rFonts w:hint="cs"/>
          <w:rtl/>
          <w:lang w:bidi="he-IL"/>
        </w:rPr>
        <w:t xml:space="preserve"> מציאות </w:t>
      </w:r>
      <w:r w:rsidR="00665910">
        <w:rPr>
          <w:rFonts w:hint="cs"/>
          <w:rtl/>
          <w:lang w:bidi="he-IL"/>
        </w:rPr>
        <w:t xml:space="preserve">מורכבת </w:t>
      </w:r>
      <w:r w:rsidR="00665910">
        <w:rPr>
          <w:rFonts w:hint="cs"/>
          <w:rtl/>
          <w:lang w:bidi="he-IL"/>
        </w:rPr>
        <w:lastRenderedPageBreak/>
        <w:t>יותר</w:t>
      </w:r>
      <w:r w:rsidR="007E175E">
        <w:rPr>
          <w:rFonts w:hint="cs"/>
          <w:rtl/>
          <w:lang w:bidi="he-IL"/>
        </w:rPr>
        <w:t xml:space="preserve">, של קיומן של מערכות יחסים בין חלק מהנשים לאסירים </w:t>
      </w:r>
      <w:r w:rsidR="008250FF">
        <w:rPr>
          <w:rFonts w:hint="cs"/>
          <w:rtl/>
          <w:lang w:bidi="he-IL"/>
        </w:rPr>
        <w:t>הפונקציונרים</w:t>
      </w:r>
      <w:r w:rsidR="00665910">
        <w:rPr>
          <w:rFonts w:hint="cs"/>
          <w:rtl/>
          <w:lang w:bidi="he-IL"/>
        </w:rPr>
        <w:t>:</w:t>
      </w:r>
      <w:r w:rsidR="00D97D0F">
        <w:rPr>
          <w:rFonts w:hint="cs"/>
          <w:rtl/>
          <w:lang w:bidi="he-IL"/>
        </w:rPr>
        <w:t xml:space="preserve"> </w:t>
      </w:r>
      <w:r w:rsidR="002107F5">
        <w:rPr>
          <w:lang w:bidi="he-IL"/>
        </w:rPr>
        <w:t>"of course most of the – few – girls who were there paired off with somebody. Love? It's hard to say; relationship, strong friendship, yes – and yes, perhaps love".</w:t>
      </w:r>
      <w:r w:rsidR="002107F5">
        <w:rPr>
          <w:rStyle w:val="FootnoteReference"/>
          <w:lang w:bidi="he-IL"/>
        </w:rPr>
        <w:footnoteReference w:id="5"/>
      </w:r>
      <w:r w:rsidR="00D97D0F">
        <w:rPr>
          <w:rFonts w:hint="cs"/>
          <w:rtl/>
          <w:lang w:bidi="he-IL"/>
        </w:rPr>
        <w:t xml:space="preserve"> </w:t>
      </w:r>
      <w:proofErr w:type="spellStart"/>
      <w:r w:rsidR="002107F5">
        <w:rPr>
          <w:rFonts w:hint="cs"/>
          <w:rtl/>
          <w:lang w:bidi="he-IL"/>
        </w:rPr>
        <w:t>לבקוביץ</w:t>
      </w:r>
      <w:proofErr w:type="spellEnd"/>
      <w:r w:rsidR="002107F5">
        <w:rPr>
          <w:rFonts w:hint="cs"/>
          <w:rtl/>
          <w:lang w:bidi="he-IL"/>
        </w:rPr>
        <w:t xml:space="preserve"> עצמה מעולם לא סיפרה בפומבי על היבט זה של </w:t>
      </w:r>
      <w:r w:rsidR="00C9142B">
        <w:rPr>
          <w:rFonts w:hint="cs"/>
          <w:rtl/>
          <w:lang w:bidi="he-IL"/>
        </w:rPr>
        <w:t>היותה אסירה</w:t>
      </w:r>
      <w:r w:rsidR="002107F5">
        <w:rPr>
          <w:rFonts w:hint="cs"/>
          <w:rtl/>
          <w:lang w:bidi="he-IL"/>
        </w:rPr>
        <w:t xml:space="preserve"> בטרבלינקה. יחד עם זאת, בספרה של ההיסטוריונית והעיתונאית החוקרת </w:t>
      </w:r>
      <w:proofErr w:type="spellStart"/>
      <w:r w:rsidR="002107F5">
        <w:rPr>
          <w:rFonts w:hint="cs"/>
          <w:rtl/>
          <w:lang w:bidi="he-IL"/>
        </w:rPr>
        <w:t>גיטה</w:t>
      </w:r>
      <w:proofErr w:type="spellEnd"/>
      <w:r w:rsidR="002107F5">
        <w:rPr>
          <w:rFonts w:hint="cs"/>
          <w:rtl/>
          <w:lang w:bidi="he-IL"/>
        </w:rPr>
        <w:t xml:space="preserve"> סרני</w:t>
      </w:r>
      <w:r w:rsidR="00235217">
        <w:rPr>
          <w:rFonts w:hint="cs"/>
          <w:rtl/>
          <w:lang w:bidi="he-IL"/>
        </w:rPr>
        <w:t xml:space="preserve"> (</w:t>
      </w:r>
      <w:r w:rsidR="00235217">
        <w:rPr>
          <w:lang w:bidi="he-IL"/>
        </w:rPr>
        <w:t xml:space="preserve">Gitta </w:t>
      </w:r>
      <w:proofErr w:type="spellStart"/>
      <w:r w:rsidR="00235217">
        <w:rPr>
          <w:lang w:bidi="he-IL"/>
        </w:rPr>
        <w:t>Sereny</w:t>
      </w:r>
      <w:proofErr w:type="spellEnd"/>
      <w:r w:rsidR="00235217">
        <w:rPr>
          <w:rFonts w:hint="cs"/>
          <w:rtl/>
          <w:lang w:bidi="he-IL"/>
        </w:rPr>
        <w:t xml:space="preserve">) </w:t>
      </w:r>
      <w:r w:rsidR="00235217">
        <w:rPr>
          <w:lang w:bidi="he-IL"/>
        </w:rPr>
        <w:t>"Into the Darkness"</w:t>
      </w:r>
      <w:r w:rsidR="002107F5">
        <w:rPr>
          <w:rFonts w:hint="cs"/>
          <w:rtl/>
          <w:lang w:bidi="he-IL"/>
        </w:rPr>
        <w:t>,</w:t>
      </w:r>
      <w:r w:rsidR="00235217">
        <w:rPr>
          <w:rFonts w:hint="cs"/>
          <w:rtl/>
          <w:lang w:bidi="he-IL"/>
        </w:rPr>
        <w:t xml:space="preserve"> המבוסס על ראיונות עם מפקד מחנה טרבלינקה פרנץ </w:t>
      </w:r>
      <w:proofErr w:type="spellStart"/>
      <w:r w:rsidR="00235217">
        <w:rPr>
          <w:rFonts w:hint="cs"/>
          <w:rtl/>
          <w:lang w:bidi="he-IL"/>
        </w:rPr>
        <w:t>שטנגל</w:t>
      </w:r>
      <w:proofErr w:type="spellEnd"/>
      <w:r w:rsidR="00235217">
        <w:rPr>
          <w:rFonts w:hint="cs"/>
          <w:rtl/>
          <w:lang w:bidi="he-IL"/>
        </w:rPr>
        <w:t xml:space="preserve"> ואנשי ס"ס נוספים, כמו גם עם חלק מניצולי טרבלינקה,</w:t>
      </w:r>
      <w:r>
        <w:rPr>
          <w:rFonts w:hint="cs"/>
          <w:rtl/>
          <w:lang w:bidi="he-IL"/>
        </w:rPr>
        <w:t xml:space="preserve"> </w:t>
      </w:r>
      <w:r w:rsidR="002107F5">
        <w:rPr>
          <w:rFonts w:hint="cs"/>
          <w:rtl/>
          <w:lang w:bidi="he-IL"/>
        </w:rPr>
        <w:t>מצוי רמז לכך</w:t>
      </w:r>
      <w:r w:rsidR="00235217">
        <w:rPr>
          <w:rFonts w:hint="cs"/>
          <w:rtl/>
          <w:lang w:bidi="he-IL"/>
        </w:rPr>
        <w:t xml:space="preserve"> </w:t>
      </w:r>
      <w:proofErr w:type="spellStart"/>
      <w:r w:rsidR="00235217">
        <w:rPr>
          <w:rFonts w:hint="cs"/>
          <w:rtl/>
          <w:lang w:bidi="he-IL"/>
        </w:rPr>
        <w:t>שלבקוביץ</w:t>
      </w:r>
      <w:proofErr w:type="spellEnd"/>
      <w:r w:rsidR="00235217">
        <w:rPr>
          <w:rFonts w:hint="cs"/>
          <w:rtl/>
          <w:lang w:bidi="he-IL"/>
        </w:rPr>
        <w:t xml:space="preserve"> ניהלה פרש</w:t>
      </w:r>
      <w:r w:rsidR="00484302">
        <w:rPr>
          <w:rFonts w:hint="cs"/>
          <w:rtl/>
          <w:lang w:bidi="he-IL"/>
        </w:rPr>
        <w:t>יי</w:t>
      </w:r>
      <w:r w:rsidR="00235217">
        <w:rPr>
          <w:rFonts w:hint="cs"/>
          <w:rtl/>
          <w:lang w:bidi="he-IL"/>
        </w:rPr>
        <w:t>ת אהבים עם קובה זינגר</w:t>
      </w:r>
      <w:r w:rsidR="004C6304">
        <w:rPr>
          <w:rFonts w:hint="cs"/>
          <w:rtl/>
          <w:lang w:bidi="he-IL"/>
        </w:rPr>
        <w:t xml:space="preserve"> (</w:t>
      </w:r>
      <w:proofErr w:type="spellStart"/>
      <w:r w:rsidR="004C6304">
        <w:rPr>
          <w:lang w:bidi="he-IL"/>
        </w:rPr>
        <w:t>Kuba</w:t>
      </w:r>
      <w:proofErr w:type="spellEnd"/>
      <w:r w:rsidR="004C6304">
        <w:rPr>
          <w:lang w:bidi="he-IL"/>
        </w:rPr>
        <w:t xml:space="preserve"> Zinger</w:t>
      </w:r>
      <w:r w:rsidR="004C6304">
        <w:rPr>
          <w:rFonts w:hint="cs"/>
          <w:rtl/>
          <w:lang w:bidi="he-IL"/>
        </w:rPr>
        <w:t>)</w:t>
      </w:r>
      <w:r w:rsidR="00235217">
        <w:rPr>
          <w:rFonts w:hint="cs"/>
          <w:rtl/>
          <w:lang w:bidi="he-IL"/>
        </w:rPr>
        <w:t xml:space="preserve">, הלאגראלטסטה ("זקן </w:t>
      </w:r>
      <w:r w:rsidR="00C9142B">
        <w:rPr>
          <w:rFonts w:hint="cs"/>
          <w:rtl/>
          <w:lang w:bidi="he-IL"/>
        </w:rPr>
        <w:t>המחנה</w:t>
      </w:r>
      <w:r w:rsidR="00235217">
        <w:rPr>
          <w:rFonts w:hint="cs"/>
          <w:rtl/>
          <w:lang w:bidi="he-IL"/>
        </w:rPr>
        <w:t>") בטרבלינקה, שנחשד בהלשנה לגרמנים.</w:t>
      </w:r>
      <w:r w:rsidR="00235217">
        <w:rPr>
          <w:rStyle w:val="FootnoteReference"/>
          <w:rtl/>
          <w:lang w:bidi="he-IL"/>
        </w:rPr>
        <w:footnoteReference w:id="6"/>
      </w:r>
      <w:r w:rsidR="00235217">
        <w:rPr>
          <w:rFonts w:hint="cs"/>
          <w:rtl/>
          <w:lang w:bidi="he-IL"/>
        </w:rPr>
        <w:t xml:space="preserve"> </w:t>
      </w:r>
      <w:r w:rsidR="00D13E22">
        <w:rPr>
          <w:rFonts w:hint="cs"/>
          <w:rtl/>
          <w:lang w:bidi="he-IL"/>
        </w:rPr>
        <w:t xml:space="preserve">עם פרוץ המרד במחנה, ב-2 לאוגוסט 1943, הצליחה </w:t>
      </w:r>
      <w:proofErr w:type="spellStart"/>
      <w:r w:rsidR="00D13E22">
        <w:rPr>
          <w:rFonts w:hint="cs"/>
          <w:rtl/>
          <w:lang w:bidi="he-IL"/>
        </w:rPr>
        <w:t>לבקוביץ</w:t>
      </w:r>
      <w:proofErr w:type="spellEnd"/>
      <w:r w:rsidR="00D13E22">
        <w:rPr>
          <w:rFonts w:hint="cs"/>
          <w:rtl/>
          <w:lang w:bidi="he-IL"/>
        </w:rPr>
        <w:t xml:space="preserve"> לברוח מהמחנה</w:t>
      </w:r>
      <w:r w:rsidR="00C34048">
        <w:rPr>
          <w:rFonts w:hint="cs"/>
          <w:rtl/>
          <w:lang w:bidi="he-IL"/>
        </w:rPr>
        <w:t xml:space="preserve"> אל היערות</w:t>
      </w:r>
      <w:r w:rsidR="00D13E22">
        <w:rPr>
          <w:rFonts w:hint="cs"/>
          <w:rtl/>
          <w:lang w:bidi="he-IL"/>
        </w:rPr>
        <w:t xml:space="preserve">, ובכך </w:t>
      </w:r>
      <w:proofErr w:type="spellStart"/>
      <w:r w:rsidR="00D13E22">
        <w:rPr>
          <w:rFonts w:hint="cs"/>
          <w:rtl/>
          <w:lang w:bidi="he-IL"/>
        </w:rPr>
        <w:t>היתה</w:t>
      </w:r>
      <w:proofErr w:type="spellEnd"/>
      <w:r w:rsidR="00D13E22">
        <w:rPr>
          <w:rFonts w:hint="cs"/>
          <w:rtl/>
          <w:lang w:bidi="he-IL"/>
        </w:rPr>
        <w:t xml:space="preserve"> לאחת משתי נשים בלבד שניצלו מטרבלינקה.</w:t>
      </w:r>
      <w:r w:rsidR="007E175E">
        <w:rPr>
          <w:rStyle w:val="FootnoteReference"/>
          <w:rtl/>
          <w:lang w:bidi="he-IL"/>
        </w:rPr>
        <w:footnoteReference w:id="7"/>
      </w:r>
      <w:r w:rsidR="00D13E22">
        <w:rPr>
          <w:rFonts w:hint="cs"/>
          <w:rtl/>
          <w:lang w:bidi="he-IL"/>
        </w:rPr>
        <w:t xml:space="preserve"> מבין השתיים, </w:t>
      </w:r>
      <w:r w:rsidR="007E175E">
        <w:rPr>
          <w:rFonts w:hint="cs"/>
          <w:rtl/>
          <w:lang w:bidi="he-IL"/>
        </w:rPr>
        <w:t>היא לבדה</w:t>
      </w:r>
      <w:r w:rsidR="00D13E22">
        <w:rPr>
          <w:rFonts w:hint="cs"/>
          <w:rtl/>
          <w:lang w:bidi="he-IL"/>
        </w:rPr>
        <w:t xml:space="preserve"> נותרה בחיים בעת שהתנהל המשפט. </w:t>
      </w:r>
      <w:r w:rsidR="00484302">
        <w:rPr>
          <w:rFonts w:hint="cs"/>
          <w:rtl/>
          <w:lang w:bidi="he-IL"/>
        </w:rPr>
        <w:t xml:space="preserve">באותה עת היא </w:t>
      </w:r>
      <w:proofErr w:type="spellStart"/>
      <w:r w:rsidR="00484302">
        <w:rPr>
          <w:rFonts w:hint="cs"/>
          <w:rtl/>
          <w:lang w:bidi="he-IL"/>
        </w:rPr>
        <w:t>היתה</w:t>
      </w:r>
      <w:proofErr w:type="spellEnd"/>
      <w:r w:rsidR="00484302">
        <w:rPr>
          <w:rFonts w:hint="cs"/>
          <w:rtl/>
          <w:lang w:bidi="he-IL"/>
        </w:rPr>
        <w:t xml:space="preserve"> נשואה ואם לבת. </w:t>
      </w:r>
    </w:p>
    <w:p w:rsidR="00223976" w:rsidRDefault="00223976" w:rsidP="007F1889">
      <w:pPr>
        <w:ind w:firstLine="720"/>
        <w:rPr>
          <w:rtl/>
          <w:lang w:bidi="he-IL"/>
        </w:rPr>
      </w:pPr>
    </w:p>
    <w:p w:rsidR="00FF045F" w:rsidRDefault="005E54AF" w:rsidP="00FF045F">
      <w:pPr>
        <w:ind w:firstLine="720"/>
        <w:rPr>
          <w:rtl/>
          <w:lang w:bidi="he-IL"/>
        </w:rPr>
      </w:pPr>
      <w:r>
        <w:rPr>
          <w:rFonts w:hint="cs"/>
          <w:rtl/>
          <w:lang w:bidi="he-IL"/>
        </w:rPr>
        <w:t xml:space="preserve">אין ספק שמבחינת התביעה </w:t>
      </w:r>
      <w:proofErr w:type="spellStart"/>
      <w:r>
        <w:rPr>
          <w:rFonts w:hint="cs"/>
          <w:rtl/>
          <w:lang w:bidi="he-IL"/>
        </w:rPr>
        <w:t>היתה</w:t>
      </w:r>
      <w:proofErr w:type="spellEnd"/>
      <w:r>
        <w:rPr>
          <w:rFonts w:hint="cs"/>
          <w:rtl/>
          <w:lang w:bidi="he-IL"/>
        </w:rPr>
        <w:t xml:space="preserve"> </w:t>
      </w:r>
      <w:proofErr w:type="spellStart"/>
      <w:r>
        <w:rPr>
          <w:rFonts w:hint="cs"/>
          <w:rtl/>
          <w:lang w:bidi="he-IL"/>
        </w:rPr>
        <w:t>לבקוביץ</w:t>
      </w:r>
      <w:proofErr w:type="spellEnd"/>
      <w:r>
        <w:rPr>
          <w:rFonts w:hint="cs"/>
          <w:rtl/>
          <w:lang w:bidi="he-IL"/>
        </w:rPr>
        <w:t xml:space="preserve"> "עדה חזקה", אולי החזקה ביותר. קודם למשפט מסרה </w:t>
      </w:r>
      <w:proofErr w:type="spellStart"/>
      <w:r>
        <w:rPr>
          <w:rFonts w:hint="cs"/>
          <w:rtl/>
          <w:lang w:bidi="he-IL"/>
        </w:rPr>
        <w:t>לבקוביץ</w:t>
      </w:r>
      <w:proofErr w:type="spellEnd"/>
      <w:r>
        <w:rPr>
          <w:rFonts w:hint="cs"/>
          <w:rtl/>
          <w:lang w:bidi="he-IL"/>
        </w:rPr>
        <w:t xml:space="preserve"> עדות רהוטה, מפורטת ומהימנה במשטרה. על פי תוכן אותה עדות, היא זיהתה את הנאשם באופן אותנטי בחקירת המשטרה, וידעה למסור פרטים רבים על מעשיו. בנוסף, </w:t>
      </w:r>
      <w:proofErr w:type="spellStart"/>
      <w:r>
        <w:rPr>
          <w:rFonts w:hint="cs"/>
          <w:rtl/>
          <w:lang w:bidi="he-IL"/>
        </w:rPr>
        <w:t>לבקוביץ</w:t>
      </w:r>
      <w:proofErr w:type="spellEnd"/>
      <w:r>
        <w:rPr>
          <w:rFonts w:hint="cs"/>
          <w:rtl/>
          <w:lang w:bidi="he-IL"/>
        </w:rPr>
        <w:t xml:space="preserve"> העידה בעבר </w:t>
      </w:r>
      <w:r w:rsidR="008D2A49">
        <w:rPr>
          <w:rFonts w:hint="cs"/>
          <w:rtl/>
          <w:lang w:bidi="he-IL"/>
        </w:rPr>
        <w:t xml:space="preserve">(בשנות השישים והשבעים של המאה העשרים) </w:t>
      </w:r>
      <w:r>
        <w:rPr>
          <w:rFonts w:hint="cs"/>
          <w:rtl/>
          <w:lang w:bidi="he-IL"/>
        </w:rPr>
        <w:t>בשני הליכים משפטיים בגרמניה שעסקו בפשעי הנאצים בטרבלינקה: במשפט טרבלינקה הראשון, שבו הועמדו לדין 11 אנשי ס"ס מסגל המחנה,</w:t>
      </w:r>
      <w:r w:rsidR="00676FB6">
        <w:rPr>
          <w:rStyle w:val="FootnoteReference"/>
          <w:rtl/>
          <w:lang w:bidi="he-IL"/>
        </w:rPr>
        <w:footnoteReference w:id="8"/>
      </w:r>
      <w:r>
        <w:rPr>
          <w:rFonts w:hint="cs"/>
          <w:rtl/>
          <w:lang w:bidi="he-IL"/>
        </w:rPr>
        <w:t xml:space="preserve"> ובמשפט</w:t>
      </w:r>
      <w:r w:rsidR="008D2A49">
        <w:rPr>
          <w:rFonts w:hint="cs"/>
          <w:rtl/>
          <w:lang w:bidi="he-IL"/>
        </w:rPr>
        <w:t>ו של מפקד המחנה</w:t>
      </w:r>
      <w:r>
        <w:rPr>
          <w:rFonts w:hint="cs"/>
          <w:rtl/>
          <w:lang w:bidi="he-IL"/>
        </w:rPr>
        <w:t xml:space="preserve"> </w:t>
      </w:r>
      <w:proofErr w:type="spellStart"/>
      <w:r>
        <w:rPr>
          <w:rFonts w:hint="cs"/>
          <w:rtl/>
          <w:lang w:bidi="he-IL"/>
        </w:rPr>
        <w:t>שטנגל</w:t>
      </w:r>
      <w:proofErr w:type="spellEnd"/>
      <w:r>
        <w:rPr>
          <w:rFonts w:hint="cs"/>
          <w:rtl/>
          <w:lang w:bidi="he-IL"/>
        </w:rPr>
        <w:t xml:space="preserve"> (המכונה "משפט טרבלינקה השני")</w:t>
      </w:r>
      <w:r w:rsidR="008D2A49">
        <w:rPr>
          <w:rFonts w:hint="cs"/>
          <w:rtl/>
          <w:lang w:bidi="he-IL"/>
        </w:rPr>
        <w:t>.</w:t>
      </w:r>
      <w:r w:rsidR="00676FB6">
        <w:rPr>
          <w:rStyle w:val="FootnoteReference"/>
          <w:rtl/>
          <w:lang w:bidi="he-IL"/>
        </w:rPr>
        <w:footnoteReference w:id="9"/>
      </w:r>
      <w:r w:rsidR="008D2A49">
        <w:rPr>
          <w:rFonts w:hint="cs"/>
          <w:rtl/>
          <w:lang w:bidi="he-IL"/>
        </w:rPr>
        <w:t xml:space="preserve"> לא זו בלבד, אלא </w:t>
      </w:r>
      <w:proofErr w:type="spellStart"/>
      <w:r w:rsidR="008D2A49">
        <w:rPr>
          <w:rFonts w:hint="cs"/>
          <w:rtl/>
          <w:lang w:bidi="he-IL"/>
        </w:rPr>
        <w:t>שלבקוביץ</w:t>
      </w:r>
      <w:proofErr w:type="spellEnd"/>
      <w:r w:rsidR="008D2A49">
        <w:rPr>
          <w:rFonts w:hint="cs"/>
          <w:rtl/>
          <w:lang w:bidi="he-IL"/>
        </w:rPr>
        <w:t xml:space="preserve"> </w:t>
      </w:r>
      <w:proofErr w:type="spellStart"/>
      <w:r w:rsidR="008D2A49">
        <w:rPr>
          <w:rFonts w:hint="cs"/>
          <w:rtl/>
          <w:lang w:bidi="he-IL"/>
        </w:rPr>
        <w:t>היתה</w:t>
      </w:r>
      <w:proofErr w:type="spellEnd"/>
      <w:r w:rsidR="008D2A49">
        <w:rPr>
          <w:rFonts w:hint="cs"/>
          <w:rtl/>
          <w:lang w:bidi="he-IL"/>
        </w:rPr>
        <w:t xml:space="preserve"> אחת מקומץ העדים ניצולי טרבלינקה שהעידו על מעשיו של </w:t>
      </w:r>
      <w:proofErr w:type="spellStart"/>
      <w:r w:rsidR="008D2A49">
        <w:rPr>
          <w:rFonts w:hint="cs"/>
          <w:rtl/>
          <w:lang w:bidi="he-IL"/>
        </w:rPr>
        <w:t>דמיאניוק</w:t>
      </w:r>
      <w:proofErr w:type="spellEnd"/>
      <w:r w:rsidR="008D2A49">
        <w:rPr>
          <w:rFonts w:hint="cs"/>
          <w:rtl/>
          <w:lang w:bidi="he-IL"/>
        </w:rPr>
        <w:t xml:space="preserve"> גם במשפט שלילת אזרחותו שהתנהל בארצות הברית, ערב הסגרתו לישראל על מנת שיעמוד בה לדין פלילי.</w:t>
      </w:r>
      <w:r w:rsidR="00547DE5">
        <w:rPr>
          <w:rStyle w:val="FootnoteReference"/>
          <w:rtl/>
          <w:lang w:bidi="he-IL"/>
        </w:rPr>
        <w:footnoteReference w:id="10"/>
      </w:r>
      <w:r>
        <w:rPr>
          <w:rFonts w:hint="cs"/>
          <w:rtl/>
          <w:lang w:bidi="he-IL"/>
        </w:rPr>
        <w:t xml:space="preserve"> </w:t>
      </w:r>
      <w:r w:rsidR="00FF045F" w:rsidRPr="00FF045F">
        <w:rPr>
          <w:rtl/>
          <w:lang w:bidi="he-IL"/>
        </w:rPr>
        <w:t xml:space="preserve">הכללתה של </w:t>
      </w:r>
      <w:proofErr w:type="spellStart"/>
      <w:r w:rsidR="00FF045F" w:rsidRPr="00FF045F">
        <w:rPr>
          <w:rtl/>
          <w:lang w:bidi="he-IL"/>
        </w:rPr>
        <w:t>לבקוביץ</w:t>
      </w:r>
      <w:proofErr w:type="spellEnd"/>
      <w:r w:rsidR="00FF045F" w:rsidRPr="00FF045F">
        <w:rPr>
          <w:rtl/>
          <w:lang w:bidi="he-IL"/>
        </w:rPr>
        <w:t xml:space="preserve"> כעדת תביעה בכתב האישום שהוגש נ</w:t>
      </w:r>
      <w:r w:rsidR="00FF045F">
        <w:rPr>
          <w:rtl/>
          <w:lang w:bidi="he-IL"/>
        </w:rPr>
        <w:t xml:space="preserve">גד </w:t>
      </w:r>
      <w:proofErr w:type="spellStart"/>
      <w:r w:rsidR="00FF045F">
        <w:rPr>
          <w:rtl/>
          <w:lang w:bidi="he-IL"/>
        </w:rPr>
        <w:t>דמיאניוק</w:t>
      </w:r>
      <w:proofErr w:type="spellEnd"/>
      <w:r w:rsidR="00FF045F">
        <w:rPr>
          <w:rtl/>
          <w:lang w:bidi="he-IL"/>
        </w:rPr>
        <w:t xml:space="preserve"> </w:t>
      </w:r>
      <w:proofErr w:type="spellStart"/>
      <w:r w:rsidR="00FF045F">
        <w:rPr>
          <w:rtl/>
          <w:lang w:bidi="he-IL"/>
        </w:rPr>
        <w:t>היתה</w:t>
      </w:r>
      <w:proofErr w:type="spellEnd"/>
      <w:r w:rsidR="00FF045F">
        <w:rPr>
          <w:rtl/>
          <w:lang w:bidi="he-IL"/>
        </w:rPr>
        <w:t xml:space="preserve"> אפוא צעד מתבקש</w:t>
      </w:r>
      <w:r w:rsidR="00FF045F">
        <w:rPr>
          <w:rFonts w:hint="cs"/>
          <w:rtl/>
          <w:lang w:bidi="he-IL"/>
        </w:rPr>
        <w:t>.</w:t>
      </w:r>
    </w:p>
    <w:p w:rsidR="00FF045F" w:rsidRDefault="00FF045F" w:rsidP="00FF045F">
      <w:pPr>
        <w:ind w:firstLine="720"/>
        <w:rPr>
          <w:rtl/>
          <w:lang w:bidi="he-IL"/>
        </w:rPr>
      </w:pPr>
    </w:p>
    <w:p w:rsidR="005E54AF" w:rsidRDefault="00C9142B" w:rsidP="00FF045F">
      <w:pPr>
        <w:ind w:firstLine="720"/>
        <w:rPr>
          <w:rtl/>
          <w:lang w:bidi="he-IL"/>
        </w:rPr>
      </w:pPr>
      <w:r>
        <w:rPr>
          <w:rFonts w:hint="cs"/>
          <w:rtl/>
          <w:lang w:bidi="he-IL"/>
        </w:rPr>
        <w:t>מעבר למשקל</w:t>
      </w:r>
      <w:r w:rsidR="0040149E">
        <w:rPr>
          <w:rFonts w:hint="cs"/>
          <w:rtl/>
          <w:lang w:bidi="he-IL"/>
        </w:rPr>
        <w:t xml:space="preserve"> הראייתי </w:t>
      </w:r>
      <w:r>
        <w:rPr>
          <w:rFonts w:hint="cs"/>
          <w:rtl/>
          <w:lang w:bidi="he-IL"/>
        </w:rPr>
        <w:t xml:space="preserve">הרב </w:t>
      </w:r>
      <w:r w:rsidR="0040149E">
        <w:rPr>
          <w:rFonts w:hint="cs"/>
          <w:rtl/>
          <w:lang w:bidi="he-IL"/>
        </w:rPr>
        <w:t xml:space="preserve">של עדותה, נסיבותיה </w:t>
      </w:r>
      <w:r w:rsidR="00FF045F">
        <w:rPr>
          <w:rFonts w:hint="cs"/>
          <w:rtl/>
          <w:lang w:bidi="he-IL"/>
        </w:rPr>
        <w:t xml:space="preserve">האישיות </w:t>
      </w:r>
      <w:r w:rsidR="0040149E">
        <w:rPr>
          <w:rFonts w:hint="cs"/>
          <w:rtl/>
          <w:lang w:bidi="he-IL"/>
        </w:rPr>
        <w:t xml:space="preserve">של </w:t>
      </w:r>
      <w:proofErr w:type="spellStart"/>
      <w:r w:rsidR="0040149E">
        <w:rPr>
          <w:rFonts w:hint="cs"/>
          <w:rtl/>
          <w:lang w:bidi="he-IL"/>
        </w:rPr>
        <w:t>לבקוביץ</w:t>
      </w:r>
      <w:proofErr w:type="spellEnd"/>
      <w:r w:rsidR="0040149E">
        <w:rPr>
          <w:rFonts w:hint="cs"/>
          <w:rtl/>
          <w:lang w:bidi="he-IL"/>
        </w:rPr>
        <w:t xml:space="preserve"> הוסיפו גם הן </w:t>
      </w:r>
      <w:r>
        <w:rPr>
          <w:rFonts w:hint="cs"/>
          <w:rtl/>
          <w:lang w:bidi="he-IL"/>
        </w:rPr>
        <w:t xml:space="preserve">לחשיבות </w:t>
      </w:r>
      <w:r w:rsidR="0040149E">
        <w:rPr>
          <w:rFonts w:hint="cs"/>
          <w:rtl/>
          <w:lang w:bidi="he-IL"/>
        </w:rPr>
        <w:t xml:space="preserve">עדותה הצפויה: עד לפרישתה לגמלאות שנים אחדות לפני שהתנהל המשפט, עבדה </w:t>
      </w:r>
      <w:proofErr w:type="spellStart"/>
      <w:r w:rsidR="0040149E">
        <w:rPr>
          <w:rFonts w:hint="cs"/>
          <w:rtl/>
          <w:lang w:bidi="he-IL"/>
        </w:rPr>
        <w:t>לבקוביץ</w:t>
      </w:r>
      <w:proofErr w:type="spellEnd"/>
      <w:r w:rsidR="0040149E">
        <w:rPr>
          <w:rFonts w:hint="cs"/>
          <w:rtl/>
          <w:lang w:bidi="he-IL"/>
        </w:rPr>
        <w:t xml:space="preserve"> במחלקת </w:t>
      </w:r>
      <w:r w:rsidR="0040149E" w:rsidRPr="0040149E">
        <w:rPr>
          <w:rtl/>
          <w:lang w:bidi="he-IL"/>
        </w:rPr>
        <w:t>העד</w:t>
      </w:r>
      <w:r w:rsidR="0040149E">
        <w:rPr>
          <w:rtl/>
          <w:lang w:bidi="he-IL"/>
        </w:rPr>
        <w:t>ויות של "יד ושם" בשלוחת תל אביב</w:t>
      </w:r>
      <w:r w:rsidR="0040149E">
        <w:rPr>
          <w:rFonts w:hint="cs"/>
          <w:rtl/>
          <w:lang w:bidi="he-IL"/>
        </w:rPr>
        <w:t>,</w:t>
      </w:r>
      <w:r w:rsidR="0040149E" w:rsidRPr="0040149E">
        <w:rPr>
          <w:rtl/>
          <w:lang w:bidi="he-IL"/>
        </w:rPr>
        <w:t xml:space="preserve"> </w:t>
      </w:r>
      <w:proofErr w:type="spellStart"/>
      <w:r w:rsidR="0040149E">
        <w:rPr>
          <w:rFonts w:hint="cs"/>
          <w:rtl/>
          <w:lang w:bidi="he-IL"/>
        </w:rPr>
        <w:t>ו</w:t>
      </w:r>
      <w:r w:rsidR="0040149E" w:rsidRPr="0040149E">
        <w:rPr>
          <w:rtl/>
          <w:lang w:bidi="he-IL"/>
        </w:rPr>
        <w:t>היתה</w:t>
      </w:r>
      <w:proofErr w:type="spellEnd"/>
      <w:r w:rsidR="0040149E" w:rsidRPr="0040149E">
        <w:rPr>
          <w:rtl/>
          <w:lang w:bidi="he-IL"/>
        </w:rPr>
        <w:t xml:space="preserve"> מופקדת על גביית עדויות </w:t>
      </w:r>
      <w:r w:rsidR="0040149E" w:rsidRPr="0040149E">
        <w:rPr>
          <w:rtl/>
          <w:lang w:bidi="he-IL"/>
        </w:rPr>
        <w:lastRenderedPageBreak/>
        <w:t xml:space="preserve">מניצולים ועריכתן. בתפקידה זה סייעה בין היתר, לד"ר יצחק ארד, </w:t>
      </w:r>
      <w:r>
        <w:rPr>
          <w:rFonts w:hint="cs"/>
          <w:rtl/>
          <w:lang w:bidi="he-IL"/>
        </w:rPr>
        <w:t>יושב ראש</w:t>
      </w:r>
      <w:r w:rsidR="0040149E" w:rsidRPr="0040149E">
        <w:rPr>
          <w:rtl/>
          <w:lang w:bidi="he-IL"/>
        </w:rPr>
        <w:t xml:space="preserve"> הנהלת </w:t>
      </w:r>
      <w:r>
        <w:rPr>
          <w:rFonts w:hint="cs"/>
          <w:rtl/>
          <w:lang w:bidi="he-IL"/>
        </w:rPr>
        <w:t>"</w:t>
      </w:r>
      <w:r w:rsidR="0040149E" w:rsidRPr="0040149E">
        <w:rPr>
          <w:rtl/>
          <w:lang w:bidi="he-IL"/>
        </w:rPr>
        <w:t>יד ושם</w:t>
      </w:r>
      <w:r>
        <w:rPr>
          <w:rFonts w:hint="cs"/>
          <w:rtl/>
          <w:lang w:bidi="he-IL"/>
        </w:rPr>
        <w:t>"</w:t>
      </w:r>
      <w:r w:rsidR="0040149E" w:rsidRPr="0040149E">
        <w:rPr>
          <w:rtl/>
          <w:lang w:bidi="he-IL"/>
        </w:rPr>
        <w:t>, באיסוף עדויות של ניצולי מחנה טרבלינקה</w:t>
      </w:r>
      <w:r w:rsidR="0040149E">
        <w:rPr>
          <w:rFonts w:hint="cs"/>
          <w:rtl/>
          <w:lang w:bidi="he-IL"/>
        </w:rPr>
        <w:t>.</w:t>
      </w:r>
      <w:r w:rsidR="00FF045F">
        <w:rPr>
          <w:rFonts w:hint="cs"/>
          <w:rtl/>
          <w:lang w:bidi="he-IL"/>
        </w:rPr>
        <w:t xml:space="preserve"> בעת שהתנהל המשפט הוזמן ארד למסור את עדותו כעד מומחה מטעם התביעה, והיה ראשון העולים על דוכן העדים.</w:t>
      </w:r>
      <w:r w:rsidR="0040149E">
        <w:rPr>
          <w:rFonts w:hint="cs"/>
          <w:rtl/>
          <w:lang w:bidi="he-IL"/>
        </w:rPr>
        <w:t xml:space="preserve"> </w:t>
      </w:r>
      <w:proofErr w:type="spellStart"/>
      <w:r w:rsidR="00FF045F">
        <w:rPr>
          <w:rFonts w:hint="cs"/>
          <w:rtl/>
          <w:lang w:bidi="he-IL"/>
        </w:rPr>
        <w:t>לבקוביץ</w:t>
      </w:r>
      <w:proofErr w:type="spellEnd"/>
      <w:r w:rsidR="00FF045F">
        <w:rPr>
          <w:rFonts w:hint="cs"/>
          <w:rtl/>
          <w:lang w:bidi="he-IL"/>
        </w:rPr>
        <w:t xml:space="preserve"> הכירה אפוא היטב את הנסיבות ההיסטוריות שבהן בוצעו פשעי הנאצים בטרבלינקה, הן במישור התיעודי-מחקרי הן במישור האישי, לאחר שחוותה על בשרה את זוועות המחנה. </w:t>
      </w:r>
      <w:r w:rsidR="005E54AF" w:rsidRPr="005E54AF">
        <w:rPr>
          <w:rtl/>
          <w:lang w:bidi="he-IL"/>
        </w:rPr>
        <w:t xml:space="preserve">תרומתה של עדותה </w:t>
      </w:r>
      <w:r w:rsidR="005E54AF">
        <w:rPr>
          <w:rFonts w:hint="cs"/>
          <w:rtl/>
          <w:lang w:bidi="he-IL"/>
        </w:rPr>
        <w:t>הפוטנציאלית</w:t>
      </w:r>
      <w:r>
        <w:rPr>
          <w:rFonts w:hint="cs"/>
          <w:rtl/>
          <w:lang w:bidi="he-IL"/>
        </w:rPr>
        <w:t xml:space="preserve"> </w:t>
      </w:r>
      <w:r w:rsidR="005E54AF" w:rsidRPr="005E54AF">
        <w:rPr>
          <w:rtl/>
          <w:lang w:bidi="he-IL"/>
        </w:rPr>
        <w:t>ל</w:t>
      </w:r>
      <w:r w:rsidR="008D2A49">
        <w:rPr>
          <w:rFonts w:hint="cs"/>
          <w:rtl/>
          <w:lang w:bidi="he-IL"/>
        </w:rPr>
        <w:t xml:space="preserve">צורך </w:t>
      </w:r>
      <w:r w:rsidR="008D2A49">
        <w:rPr>
          <w:rtl/>
          <w:lang w:bidi="he-IL"/>
        </w:rPr>
        <w:t>הרשעת</w:t>
      </w:r>
      <w:r w:rsidR="008D2A49">
        <w:rPr>
          <w:rFonts w:hint="cs"/>
          <w:rtl/>
          <w:lang w:bidi="he-IL"/>
        </w:rPr>
        <w:t xml:space="preserve">ו </w:t>
      </w:r>
      <w:r w:rsidR="00FF045F">
        <w:rPr>
          <w:rFonts w:hint="cs"/>
          <w:rtl/>
          <w:lang w:bidi="he-IL"/>
        </w:rPr>
        <w:t xml:space="preserve">של </w:t>
      </w:r>
      <w:proofErr w:type="spellStart"/>
      <w:r w:rsidR="00FF045F">
        <w:rPr>
          <w:rFonts w:hint="cs"/>
          <w:rtl/>
          <w:lang w:bidi="he-IL"/>
        </w:rPr>
        <w:t>דמיאניוק</w:t>
      </w:r>
      <w:proofErr w:type="spellEnd"/>
      <w:r w:rsidR="00FF045F">
        <w:rPr>
          <w:rFonts w:hint="cs"/>
          <w:rtl/>
          <w:lang w:bidi="he-IL"/>
        </w:rPr>
        <w:t xml:space="preserve"> </w:t>
      </w:r>
      <w:proofErr w:type="spellStart"/>
      <w:r w:rsidR="005E54AF" w:rsidRPr="005E54AF">
        <w:rPr>
          <w:rtl/>
          <w:lang w:bidi="he-IL"/>
        </w:rPr>
        <w:t>הי</w:t>
      </w:r>
      <w:r w:rsidR="0040149E">
        <w:rPr>
          <w:rFonts w:hint="cs"/>
          <w:rtl/>
          <w:lang w:bidi="he-IL"/>
        </w:rPr>
        <w:t>תה</w:t>
      </w:r>
      <w:proofErr w:type="spellEnd"/>
      <w:r w:rsidR="005E54AF" w:rsidRPr="005E54AF">
        <w:rPr>
          <w:rtl/>
          <w:lang w:bidi="he-IL"/>
        </w:rPr>
        <w:t xml:space="preserve"> </w:t>
      </w:r>
      <w:r w:rsidR="00FF045F">
        <w:rPr>
          <w:rFonts w:hint="cs"/>
          <w:rtl/>
          <w:lang w:bidi="he-IL"/>
        </w:rPr>
        <w:t xml:space="preserve">על כן </w:t>
      </w:r>
      <w:r w:rsidR="005E54AF" w:rsidRPr="005E54AF">
        <w:rPr>
          <w:rtl/>
          <w:lang w:bidi="he-IL"/>
        </w:rPr>
        <w:t>מכרעת.</w:t>
      </w:r>
    </w:p>
    <w:p w:rsidR="00223976" w:rsidRDefault="00223976" w:rsidP="007F1889">
      <w:pPr>
        <w:ind w:firstLine="720"/>
        <w:rPr>
          <w:rtl/>
          <w:lang w:bidi="he-IL"/>
        </w:rPr>
      </w:pPr>
    </w:p>
    <w:p w:rsidR="007F1889" w:rsidRDefault="0097529B" w:rsidP="00675696">
      <w:pPr>
        <w:ind w:firstLine="720"/>
        <w:rPr>
          <w:rtl/>
          <w:lang w:bidi="he-IL"/>
        </w:rPr>
      </w:pPr>
      <w:r>
        <w:rPr>
          <w:rFonts w:hint="cs"/>
          <w:rtl/>
          <w:lang w:bidi="he-IL"/>
        </w:rPr>
        <w:t xml:space="preserve">אף על פי כן, </w:t>
      </w:r>
      <w:r w:rsidRPr="0097529B">
        <w:rPr>
          <w:rtl/>
          <w:lang w:bidi="he-IL"/>
        </w:rPr>
        <w:t xml:space="preserve">בסופו של דבר, </w:t>
      </w:r>
      <w:proofErr w:type="spellStart"/>
      <w:r>
        <w:rPr>
          <w:rFonts w:hint="cs"/>
          <w:rtl/>
          <w:lang w:bidi="he-IL"/>
        </w:rPr>
        <w:t>לבקוביץ</w:t>
      </w:r>
      <w:proofErr w:type="spellEnd"/>
      <w:r>
        <w:rPr>
          <w:rFonts w:hint="cs"/>
          <w:rtl/>
          <w:lang w:bidi="he-IL"/>
        </w:rPr>
        <w:t xml:space="preserve"> סירבה בכל תוקף למסור עדות במשפט</w:t>
      </w:r>
      <w:r w:rsidRPr="0097529B">
        <w:rPr>
          <w:rtl/>
          <w:lang w:bidi="he-IL"/>
        </w:rPr>
        <w:t xml:space="preserve">. </w:t>
      </w:r>
      <w:r>
        <w:rPr>
          <w:rFonts w:hint="cs"/>
          <w:rtl/>
          <w:lang w:bidi="he-IL"/>
        </w:rPr>
        <w:t xml:space="preserve">בתיק בית המשפט בארכיון המדינה מצאתי </w:t>
      </w:r>
      <w:r w:rsidRPr="0097529B">
        <w:rPr>
          <w:rtl/>
          <w:lang w:bidi="he-IL"/>
        </w:rPr>
        <w:t>מכתב בכתב ידה ש</w:t>
      </w:r>
      <w:r>
        <w:rPr>
          <w:rFonts w:hint="cs"/>
          <w:rtl/>
          <w:lang w:bidi="he-IL"/>
        </w:rPr>
        <w:t xml:space="preserve">ל </w:t>
      </w:r>
      <w:proofErr w:type="spellStart"/>
      <w:r>
        <w:rPr>
          <w:rFonts w:hint="cs"/>
          <w:rtl/>
          <w:lang w:bidi="he-IL"/>
        </w:rPr>
        <w:t>לבקוביץ</w:t>
      </w:r>
      <w:proofErr w:type="spellEnd"/>
      <w:r>
        <w:rPr>
          <w:rFonts w:hint="cs"/>
          <w:rtl/>
          <w:lang w:bidi="he-IL"/>
        </w:rPr>
        <w:t xml:space="preserve">, אותו </w:t>
      </w:r>
      <w:r w:rsidRPr="0097529B">
        <w:rPr>
          <w:rtl/>
          <w:lang w:bidi="he-IL"/>
        </w:rPr>
        <w:t xml:space="preserve">שלחה לבית המשפט המחוזי בירושלים שלושה </w:t>
      </w:r>
      <w:r>
        <w:rPr>
          <w:rtl/>
          <w:lang w:bidi="he-IL"/>
        </w:rPr>
        <w:t>ימים לפני המועד שבו זומנה להעיד</w:t>
      </w:r>
      <w:r>
        <w:rPr>
          <w:rFonts w:hint="cs"/>
          <w:rtl/>
          <w:lang w:bidi="he-IL"/>
        </w:rPr>
        <w:t>. וכך כתבה</w:t>
      </w:r>
      <w:r w:rsidRPr="0097529B">
        <w:rPr>
          <w:rtl/>
          <w:lang w:bidi="he-IL"/>
        </w:rPr>
        <w:t>: "היום קיבלתי הזמנה פורמלית להופיע כעדה [במשפט]... לצערי נמנע ממני להיענות להזמנה מאחר ומצב בריאותי אינו מאפשר את הדבר".</w:t>
      </w:r>
      <w:r>
        <w:rPr>
          <w:rStyle w:val="FootnoteReference"/>
          <w:rtl/>
          <w:lang w:bidi="he-IL"/>
        </w:rPr>
        <w:footnoteReference w:id="11"/>
      </w:r>
      <w:r>
        <w:rPr>
          <w:rFonts w:hint="cs"/>
          <w:rtl/>
          <w:lang w:bidi="he-IL"/>
        </w:rPr>
        <w:t xml:space="preserve"> אלא ששיחות שערכתי עם השופטים והתובע במשפט, כמו גם עם בתה של </w:t>
      </w:r>
      <w:proofErr w:type="spellStart"/>
      <w:r>
        <w:rPr>
          <w:rFonts w:hint="cs"/>
          <w:rtl/>
          <w:lang w:bidi="he-IL"/>
        </w:rPr>
        <w:t>לבקוביץ</w:t>
      </w:r>
      <w:proofErr w:type="spellEnd"/>
      <w:r>
        <w:rPr>
          <w:rFonts w:hint="cs"/>
          <w:rtl/>
          <w:lang w:bidi="he-IL"/>
        </w:rPr>
        <w:t xml:space="preserve">, העלו שמכתב זה נכתב לצורך מתן פטור רשמי מזימונה לעדות, ולא נסיבות רפואיות הן שמנעו </w:t>
      </w:r>
      <w:r w:rsidR="00675696">
        <w:rPr>
          <w:rFonts w:hint="cs"/>
          <w:rtl/>
          <w:lang w:bidi="he-IL"/>
        </w:rPr>
        <w:t>ממנה</w:t>
      </w:r>
      <w:r w:rsidR="007F1889">
        <w:rPr>
          <w:rFonts w:hint="cs"/>
          <w:rtl/>
          <w:lang w:bidi="he-IL"/>
        </w:rPr>
        <w:t xml:space="preserve"> לעלות על דוכן העדים. לאמיתו של דבר, </w:t>
      </w:r>
      <w:r w:rsidR="00C9142B">
        <w:rPr>
          <w:rFonts w:hint="cs"/>
          <w:rtl/>
          <w:lang w:bidi="he-IL"/>
        </w:rPr>
        <w:t>סירובה נבע מ</w:t>
      </w:r>
      <w:r w:rsidR="007F1889">
        <w:rPr>
          <w:rFonts w:hint="cs"/>
          <w:rtl/>
          <w:lang w:bidi="he-IL"/>
        </w:rPr>
        <w:t xml:space="preserve">חששה מהאופן שבו ייחשף סיפורה האישי לעין כל, ותופנה אליה השאלה "מדוע דווקא את ניצלת"?. חשש זה התעצם </w:t>
      </w:r>
      <w:r w:rsidR="007F1889" w:rsidRPr="007F1889">
        <w:rPr>
          <w:rtl/>
          <w:lang w:bidi="he-IL"/>
        </w:rPr>
        <w:t>לנוכח</w:t>
      </w:r>
      <w:r w:rsidR="002D4A54">
        <w:rPr>
          <w:rtl/>
          <w:lang w:bidi="he-IL"/>
        </w:rPr>
        <w:t xml:space="preserve"> התהודה הציבורית הרחבה של המשפט</w:t>
      </w:r>
      <w:r w:rsidR="002D4A54">
        <w:rPr>
          <w:rFonts w:hint="cs"/>
          <w:rtl/>
          <w:lang w:bidi="he-IL"/>
        </w:rPr>
        <w:t xml:space="preserve"> </w:t>
      </w:r>
      <w:r w:rsidR="007F1889">
        <w:rPr>
          <w:rFonts w:hint="cs"/>
          <w:rtl/>
          <w:lang w:bidi="he-IL"/>
        </w:rPr>
        <w:t xml:space="preserve">ושידורו מדי יום באמצעי התקשורת, וגבר אף יותר לאחר </w:t>
      </w:r>
      <w:r w:rsidR="002D4A54">
        <w:rPr>
          <w:rFonts w:hint="cs"/>
          <w:rtl/>
          <w:lang w:bidi="he-IL"/>
        </w:rPr>
        <w:t xml:space="preserve">שנוהלו </w:t>
      </w:r>
      <w:r w:rsidR="007F1889">
        <w:rPr>
          <w:rFonts w:hint="cs"/>
          <w:rtl/>
          <w:lang w:bidi="he-IL"/>
        </w:rPr>
        <w:t>חקירותיהם הנגדיות של הניצולים האחרים שהעידו</w:t>
      </w:r>
      <w:r w:rsidR="002D4A54">
        <w:rPr>
          <w:rFonts w:hint="cs"/>
          <w:rtl/>
          <w:lang w:bidi="he-IL"/>
        </w:rPr>
        <w:t xml:space="preserve"> במשפט, שנחוו על ידי</w:t>
      </w:r>
      <w:r w:rsidR="00675696">
        <w:rPr>
          <w:rFonts w:hint="cs"/>
          <w:rtl/>
          <w:lang w:bidi="he-IL"/>
        </w:rPr>
        <w:t>הם</w:t>
      </w:r>
      <w:r w:rsidR="002D4A54">
        <w:rPr>
          <w:rFonts w:hint="cs"/>
          <w:rtl/>
          <w:lang w:bidi="he-IL"/>
        </w:rPr>
        <w:t xml:space="preserve"> כתוקפניות, </w:t>
      </w:r>
      <w:r w:rsidR="007F1889">
        <w:rPr>
          <w:rFonts w:hint="cs"/>
          <w:rtl/>
          <w:lang w:bidi="he-IL"/>
        </w:rPr>
        <w:t>פוגעניות</w:t>
      </w:r>
      <w:r w:rsidR="002D4A54">
        <w:rPr>
          <w:rFonts w:hint="cs"/>
          <w:rtl/>
          <w:lang w:bidi="he-IL"/>
        </w:rPr>
        <w:t xml:space="preserve"> ומטילות ספק במהימנות סיפורם</w:t>
      </w:r>
      <w:r w:rsidR="007F1889">
        <w:rPr>
          <w:rFonts w:hint="cs"/>
          <w:rtl/>
          <w:lang w:bidi="he-IL"/>
        </w:rPr>
        <w:t>.</w:t>
      </w:r>
    </w:p>
    <w:p w:rsidR="00223976" w:rsidRDefault="00223976" w:rsidP="00223976">
      <w:pPr>
        <w:ind w:firstLine="720"/>
        <w:rPr>
          <w:rtl/>
          <w:lang w:bidi="he-IL"/>
        </w:rPr>
      </w:pPr>
    </w:p>
    <w:p w:rsidR="00246022" w:rsidRDefault="005E54AF" w:rsidP="00675696">
      <w:pPr>
        <w:ind w:firstLine="720"/>
        <w:rPr>
          <w:rtl/>
          <w:lang w:bidi="he-IL"/>
        </w:rPr>
      </w:pPr>
      <w:r w:rsidRPr="005E54AF">
        <w:rPr>
          <w:rtl/>
          <w:lang w:bidi="he-IL"/>
        </w:rPr>
        <w:t xml:space="preserve">המאמר יעסוק בסיפורה יוצא הדופן של </w:t>
      </w:r>
      <w:proofErr w:type="spellStart"/>
      <w:r w:rsidR="00DD6FEC">
        <w:rPr>
          <w:rFonts w:hint="cs"/>
          <w:rtl/>
          <w:lang w:bidi="he-IL"/>
        </w:rPr>
        <w:t>לבקוביץ</w:t>
      </w:r>
      <w:proofErr w:type="spellEnd"/>
      <w:r w:rsidR="00675696">
        <w:rPr>
          <w:rFonts w:hint="cs"/>
          <w:rtl/>
          <w:lang w:bidi="he-IL"/>
        </w:rPr>
        <w:t xml:space="preserve"> </w:t>
      </w:r>
      <w:r w:rsidRPr="005E54AF">
        <w:rPr>
          <w:rtl/>
          <w:lang w:bidi="he-IL"/>
        </w:rPr>
        <w:t xml:space="preserve">וינסה להשיב על השאלות מדוע סירבה להעיד במשפט ומה ניתן ללמוד מכך </w:t>
      </w:r>
      <w:r w:rsidR="00223976">
        <w:rPr>
          <w:rFonts w:hint="cs"/>
          <w:rtl/>
          <w:lang w:bidi="he-IL"/>
        </w:rPr>
        <w:t xml:space="preserve">באופן רחב יותר </w:t>
      </w:r>
      <w:r w:rsidRPr="005E54AF">
        <w:rPr>
          <w:rtl/>
          <w:lang w:bidi="he-IL"/>
        </w:rPr>
        <w:t>על מגבלותיו של המשפט הפלילי בעיסוק בפשעי הנאצים</w:t>
      </w:r>
      <w:r w:rsidR="00DD6FEC">
        <w:rPr>
          <w:rFonts w:hint="cs"/>
          <w:rtl/>
          <w:lang w:bidi="he-IL"/>
        </w:rPr>
        <w:t xml:space="preserve">. </w:t>
      </w:r>
      <w:r w:rsidR="0099193D">
        <w:rPr>
          <w:rFonts w:hint="cs"/>
          <w:rtl/>
          <w:lang w:bidi="he-IL"/>
        </w:rPr>
        <w:t xml:space="preserve">כפי שיוצג במאמר, </w:t>
      </w:r>
      <w:r w:rsidR="00DD6FEC" w:rsidRPr="00DD6FEC">
        <w:rPr>
          <w:rtl/>
          <w:lang w:bidi="he-IL"/>
        </w:rPr>
        <w:t>הה</w:t>
      </w:r>
      <w:r w:rsidR="0099193D">
        <w:rPr>
          <w:rtl/>
          <w:lang w:bidi="he-IL"/>
        </w:rPr>
        <w:t>ליך הפלילי מתאפיין בדיכוטומיות</w:t>
      </w:r>
      <w:r w:rsidR="0099193D">
        <w:rPr>
          <w:rFonts w:hint="cs"/>
          <w:rtl/>
          <w:lang w:bidi="he-IL"/>
        </w:rPr>
        <w:t xml:space="preserve"> ו</w:t>
      </w:r>
      <w:r w:rsidR="00DD6FEC" w:rsidRPr="00DD6FEC">
        <w:rPr>
          <w:rtl/>
          <w:lang w:bidi="he-IL"/>
        </w:rPr>
        <w:t>ב</w:t>
      </w:r>
      <w:r w:rsidR="0099193D">
        <w:rPr>
          <w:rtl/>
          <w:lang w:bidi="he-IL"/>
        </w:rPr>
        <w:t>הצגת תמונה בצבעים של שחור ולבן</w:t>
      </w:r>
      <w:r w:rsidR="0099193D">
        <w:rPr>
          <w:rFonts w:hint="cs"/>
          <w:rtl/>
          <w:lang w:bidi="he-IL"/>
        </w:rPr>
        <w:t xml:space="preserve">. הוא מתקשה בהכלת </w:t>
      </w:r>
      <w:r w:rsidR="00246022" w:rsidRPr="00246022">
        <w:rPr>
          <w:rtl/>
          <w:lang w:bidi="he-IL"/>
        </w:rPr>
        <w:t>"</w:t>
      </w:r>
      <w:r w:rsidR="0099193D">
        <w:rPr>
          <w:rFonts w:hint="cs"/>
          <w:rtl/>
          <w:lang w:bidi="he-IL"/>
        </w:rPr>
        <w:t>ה</w:t>
      </w:r>
      <w:r w:rsidR="00246022" w:rsidRPr="00246022">
        <w:rPr>
          <w:rtl/>
          <w:lang w:bidi="he-IL"/>
        </w:rPr>
        <w:t>אזו</w:t>
      </w:r>
      <w:r w:rsidR="00675696">
        <w:rPr>
          <w:rtl/>
          <w:lang w:bidi="he-IL"/>
        </w:rPr>
        <w:t xml:space="preserve">ר האפור", מונח שטבע </w:t>
      </w:r>
      <w:proofErr w:type="spellStart"/>
      <w:r w:rsidR="00675696">
        <w:rPr>
          <w:rtl/>
          <w:lang w:bidi="he-IL"/>
        </w:rPr>
        <w:t>פרימו</w:t>
      </w:r>
      <w:proofErr w:type="spellEnd"/>
      <w:r w:rsidR="00675696">
        <w:rPr>
          <w:rtl/>
          <w:lang w:bidi="he-IL"/>
        </w:rPr>
        <w:t xml:space="preserve"> לוי</w:t>
      </w:r>
      <w:r w:rsidR="0099193D">
        <w:rPr>
          <w:rtl/>
          <w:lang w:bidi="he-IL"/>
        </w:rPr>
        <w:t xml:space="preserve"> </w:t>
      </w:r>
      <w:r w:rsidR="0099193D">
        <w:rPr>
          <w:rFonts w:hint="cs"/>
          <w:rtl/>
          <w:lang w:bidi="he-IL"/>
        </w:rPr>
        <w:t>בהתייחס ל</w:t>
      </w:r>
      <w:r w:rsidR="00246022" w:rsidRPr="00246022">
        <w:rPr>
          <w:rtl/>
          <w:lang w:bidi="he-IL"/>
        </w:rPr>
        <w:t>מרחב הבחירה המצומצם</w:t>
      </w:r>
      <w:r w:rsidR="0099193D">
        <w:rPr>
          <w:rFonts w:hint="cs"/>
          <w:rtl/>
          <w:lang w:bidi="he-IL"/>
        </w:rPr>
        <w:t xml:space="preserve"> של האסירים במחנות</w:t>
      </w:r>
      <w:r w:rsidR="00246022" w:rsidRPr="00246022">
        <w:rPr>
          <w:rtl/>
          <w:lang w:bidi="he-IL"/>
        </w:rPr>
        <w:t xml:space="preserve">, הקושי להבחין בין טוב לרע, </w:t>
      </w:r>
      <w:r w:rsidR="0099193D">
        <w:rPr>
          <w:rFonts w:hint="cs"/>
          <w:rtl/>
          <w:lang w:bidi="he-IL"/>
        </w:rPr>
        <w:t>ו</w:t>
      </w:r>
      <w:r w:rsidR="00246022" w:rsidRPr="00246022">
        <w:rPr>
          <w:rtl/>
          <w:lang w:bidi="he-IL"/>
        </w:rPr>
        <w:t>התמוטטות מערכת הערכים והמוסר המוכרת.</w:t>
      </w:r>
      <w:bookmarkStart w:id="1" w:name="_Ref484968220"/>
      <w:r w:rsidR="0099193D" w:rsidRPr="0099193D">
        <w:rPr>
          <w:rFonts w:eastAsia="Calibri"/>
          <w:vertAlign w:val="superscript"/>
          <w:rtl/>
          <w:lang w:bidi="he-IL"/>
        </w:rPr>
        <w:footnoteReference w:id="12"/>
      </w:r>
      <w:bookmarkEnd w:id="1"/>
      <w:r w:rsidR="0099193D">
        <w:rPr>
          <w:rFonts w:hint="cs"/>
          <w:rtl/>
          <w:lang w:bidi="he-IL"/>
        </w:rPr>
        <w:t xml:space="preserve"> כפי שיטען המאמר, </w:t>
      </w:r>
      <w:proofErr w:type="spellStart"/>
      <w:r w:rsidR="0099193D">
        <w:rPr>
          <w:rFonts w:hint="cs"/>
          <w:rtl/>
          <w:lang w:bidi="he-IL"/>
        </w:rPr>
        <w:t>לבקוביץ</w:t>
      </w:r>
      <w:proofErr w:type="spellEnd"/>
      <w:r w:rsidR="0099193D">
        <w:rPr>
          <w:rFonts w:hint="cs"/>
          <w:rtl/>
          <w:lang w:bidi="he-IL"/>
        </w:rPr>
        <w:t xml:space="preserve">, בחכמתה, השכילה להבין שההליך הפלילי </w:t>
      </w:r>
      <w:r w:rsidR="00246022" w:rsidRPr="00246022">
        <w:rPr>
          <w:rtl/>
          <w:lang w:bidi="he-IL"/>
        </w:rPr>
        <w:t>מוגבל ביכולתו להציג תמונה מורכבת</w:t>
      </w:r>
      <w:r w:rsidR="0099193D">
        <w:rPr>
          <w:rFonts w:hint="cs"/>
          <w:rtl/>
          <w:lang w:bidi="he-IL"/>
        </w:rPr>
        <w:t>,</w:t>
      </w:r>
      <w:r w:rsidR="0099193D">
        <w:rPr>
          <w:rtl/>
          <w:lang w:bidi="he-IL"/>
        </w:rPr>
        <w:t xml:space="preserve"> של קרבנות שאינם מושלמים</w:t>
      </w:r>
      <w:r w:rsidR="0099193D">
        <w:rPr>
          <w:rFonts w:hint="cs"/>
          <w:rtl/>
          <w:lang w:bidi="he-IL"/>
        </w:rPr>
        <w:t xml:space="preserve">, ולפיכך ביכרה את שתיקתה, גם במחיר הכבד של זיכוי הנאשם בדינו. </w:t>
      </w:r>
    </w:p>
    <w:p w:rsidR="00246022" w:rsidRDefault="00246022" w:rsidP="00DD6FEC">
      <w:pPr>
        <w:ind w:firstLine="720"/>
        <w:rPr>
          <w:rtl/>
          <w:lang w:bidi="he-IL"/>
        </w:rPr>
      </w:pPr>
    </w:p>
    <w:p w:rsidR="00792202" w:rsidRDefault="00792202" w:rsidP="00792202">
      <w:pPr>
        <w:rPr>
          <w:rtl/>
        </w:rPr>
      </w:pPr>
    </w:p>
    <w:p w:rsidR="00792202" w:rsidRDefault="00792202" w:rsidP="00792202">
      <w:pPr>
        <w:rPr>
          <w:rtl/>
        </w:rPr>
      </w:pPr>
    </w:p>
    <w:sectPr w:rsidR="00792202" w:rsidSect="00E670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FF1" w:rsidRDefault="00DA1FF1" w:rsidP="00095FF0">
      <w:pPr>
        <w:spacing w:line="240" w:lineRule="auto"/>
      </w:pPr>
      <w:r>
        <w:separator/>
      </w:r>
    </w:p>
  </w:endnote>
  <w:endnote w:type="continuationSeparator" w:id="0">
    <w:p w:rsidR="00DA1FF1" w:rsidRDefault="00DA1FF1" w:rsidP="00095F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FF1" w:rsidRDefault="00DA1FF1" w:rsidP="00095FF0">
      <w:pPr>
        <w:spacing w:line="240" w:lineRule="auto"/>
      </w:pPr>
      <w:r>
        <w:separator/>
      </w:r>
    </w:p>
  </w:footnote>
  <w:footnote w:type="continuationSeparator" w:id="0">
    <w:p w:rsidR="00DA1FF1" w:rsidRDefault="00DA1FF1" w:rsidP="00095FF0">
      <w:pPr>
        <w:spacing w:line="240" w:lineRule="auto"/>
      </w:pPr>
      <w:r>
        <w:continuationSeparator/>
      </w:r>
    </w:p>
  </w:footnote>
  <w:footnote w:id="1">
    <w:p w:rsidR="00B31FE5" w:rsidRPr="008C2722" w:rsidRDefault="00B31FE5">
      <w:pPr>
        <w:pStyle w:val="FootnoteText"/>
        <w:rPr>
          <w:lang w:bidi="he-IL"/>
        </w:rPr>
      </w:pPr>
      <w:r w:rsidRPr="008C2722">
        <w:rPr>
          <w:rStyle w:val="FootnoteReference"/>
        </w:rPr>
        <w:footnoteRef/>
      </w:r>
      <w:r w:rsidRPr="008C2722">
        <w:rPr>
          <w:rtl/>
        </w:rPr>
        <w:t xml:space="preserve"> </w:t>
      </w:r>
      <w:r w:rsidRPr="008C2722">
        <w:rPr>
          <w:smallCaps/>
        </w:rPr>
        <w:t xml:space="preserve">Yehudit Dori </w:t>
      </w:r>
      <w:proofErr w:type="spellStart"/>
      <w:r w:rsidRPr="008C2722">
        <w:rPr>
          <w:smallCaps/>
        </w:rPr>
        <w:t>Deston</w:t>
      </w:r>
      <w:proofErr w:type="spellEnd"/>
      <w:r w:rsidRPr="008C2722">
        <w:rPr>
          <w:smallCaps/>
        </w:rPr>
        <w:t xml:space="preserve">, </w:t>
      </w:r>
      <w:r w:rsidR="00630B54" w:rsidRPr="008C2722">
        <w:rPr>
          <w:smallCaps/>
        </w:rPr>
        <w:t xml:space="preserve">Der </w:t>
      </w:r>
      <w:proofErr w:type="spellStart"/>
      <w:r w:rsidR="00630B54" w:rsidRPr="008C2722">
        <w:rPr>
          <w:smallCaps/>
        </w:rPr>
        <w:t>Demjanjuk-Prozess</w:t>
      </w:r>
      <w:proofErr w:type="spellEnd"/>
      <w:r w:rsidRPr="008C2722">
        <w:rPr>
          <w:lang w:bidi="he-IL"/>
        </w:rPr>
        <w:t xml:space="preserve"> Göttingen: </w:t>
      </w:r>
      <w:proofErr w:type="spellStart"/>
      <w:r w:rsidRPr="008C2722">
        <w:rPr>
          <w:lang w:bidi="he-IL"/>
        </w:rPr>
        <w:t>Vandenhoeck</w:t>
      </w:r>
      <w:proofErr w:type="spellEnd"/>
      <w:r w:rsidRPr="008C2722">
        <w:rPr>
          <w:lang w:bidi="he-IL"/>
        </w:rPr>
        <w:t xml:space="preserve"> &amp; Ruprecht (</w:t>
      </w:r>
      <w:proofErr w:type="spellStart"/>
      <w:r w:rsidRPr="008C2722">
        <w:rPr>
          <w:lang w:bidi="he-IL"/>
        </w:rPr>
        <w:t>Schriften</w:t>
      </w:r>
      <w:proofErr w:type="spellEnd"/>
      <w:r w:rsidRPr="008C2722">
        <w:rPr>
          <w:lang w:bidi="he-IL"/>
        </w:rPr>
        <w:t xml:space="preserve"> des </w:t>
      </w:r>
      <w:proofErr w:type="spellStart"/>
      <w:r w:rsidRPr="008C2722">
        <w:rPr>
          <w:lang w:bidi="he-IL"/>
        </w:rPr>
        <w:t>Dubnow-Instituts</w:t>
      </w:r>
      <w:proofErr w:type="spellEnd"/>
      <w:r w:rsidRPr="008C2722">
        <w:rPr>
          <w:lang w:bidi="he-IL"/>
        </w:rPr>
        <w:t>, Bd. 35, forthcoming 2023) (in German, on file with author)</w:t>
      </w:r>
      <w:r w:rsidR="00665910" w:rsidRPr="008C2722">
        <w:rPr>
          <w:lang w:bidi="he-IL"/>
        </w:rPr>
        <w:t>.</w:t>
      </w:r>
    </w:p>
  </w:footnote>
  <w:footnote w:id="2">
    <w:p w:rsidR="00095FF0" w:rsidRPr="008C2722" w:rsidRDefault="00095FF0" w:rsidP="00B31FE5">
      <w:pPr>
        <w:pStyle w:val="FootnoteText"/>
        <w:rPr>
          <w:rtl/>
          <w:lang w:bidi="he-IL"/>
        </w:rPr>
      </w:pPr>
      <w:r w:rsidRPr="008C2722">
        <w:rPr>
          <w:rStyle w:val="FootnoteReference"/>
        </w:rPr>
        <w:footnoteRef/>
      </w:r>
      <w:r w:rsidRPr="008C2722">
        <w:rPr>
          <w:rtl/>
        </w:rPr>
        <w:t xml:space="preserve"> </w:t>
      </w:r>
      <w:r w:rsidR="00B31FE5" w:rsidRPr="008C2722">
        <w:rPr>
          <w:lang w:bidi="he-IL"/>
        </w:rPr>
        <w:t>Yitzhak Arad,</w:t>
      </w:r>
      <w:r w:rsidR="00B31FE5" w:rsidRPr="008C2722">
        <w:t xml:space="preserve"> </w:t>
      </w:r>
      <w:proofErr w:type="spellStart"/>
      <w:r w:rsidR="00B31FE5" w:rsidRPr="008C2722">
        <w:rPr>
          <w:smallCaps/>
        </w:rPr>
        <w:t>Bel</w:t>
      </w:r>
      <w:r w:rsidR="00B31FE5" w:rsidRPr="008C2722">
        <w:rPr>
          <w:rFonts w:ascii="Calibri" w:hAnsi="Calibri" w:cs="Calibri"/>
          <w:smallCaps/>
        </w:rPr>
        <w:t>ż</w:t>
      </w:r>
      <w:r w:rsidR="00B31FE5" w:rsidRPr="008C2722">
        <w:rPr>
          <w:smallCaps/>
        </w:rPr>
        <w:t>ec</w:t>
      </w:r>
      <w:proofErr w:type="spellEnd"/>
      <w:r w:rsidR="00B31FE5" w:rsidRPr="008C2722">
        <w:rPr>
          <w:smallCaps/>
        </w:rPr>
        <w:t xml:space="preserve">, </w:t>
      </w:r>
      <w:proofErr w:type="spellStart"/>
      <w:r w:rsidR="00B31FE5" w:rsidRPr="008C2722">
        <w:rPr>
          <w:smallCaps/>
        </w:rPr>
        <w:t>Sobibor</w:t>
      </w:r>
      <w:proofErr w:type="spellEnd"/>
      <w:r w:rsidR="00B31FE5" w:rsidRPr="008C2722">
        <w:rPr>
          <w:smallCaps/>
        </w:rPr>
        <w:t xml:space="preserve">, Treblinka: The Operation Reinhard Death Camps </w:t>
      </w:r>
      <w:r w:rsidR="00B31FE5" w:rsidRPr="008C2722">
        <w:rPr>
          <w:lang w:bidi="he-IL"/>
        </w:rPr>
        <w:t xml:space="preserve">(Jerusalem, Second edition, 2013) (in Hebrew), p.199. </w:t>
      </w:r>
    </w:p>
  </w:footnote>
  <w:footnote w:id="3">
    <w:p w:rsidR="00975799" w:rsidRPr="008C2722" w:rsidRDefault="00975799" w:rsidP="00675696">
      <w:pPr>
        <w:pStyle w:val="FootnoteText"/>
        <w:rPr>
          <w:rtl/>
          <w:lang w:bidi="he-IL"/>
        </w:rPr>
      </w:pPr>
      <w:r w:rsidRPr="008C2722">
        <w:rPr>
          <w:rStyle w:val="FootnoteReference"/>
        </w:rPr>
        <w:footnoteRef/>
      </w:r>
      <w:r w:rsidRPr="008C2722">
        <w:rPr>
          <w:rtl/>
          <w:lang w:bidi="he-IL"/>
        </w:rPr>
        <w:t xml:space="preserve"> </w:t>
      </w:r>
      <w:r w:rsidR="00665910" w:rsidRPr="008C2722">
        <w:rPr>
          <w:rtl/>
          <w:lang w:bidi="he-IL"/>
        </w:rPr>
        <w:t xml:space="preserve">תרגום מגרמנית של </w:t>
      </w:r>
      <w:r w:rsidRPr="008C2722">
        <w:rPr>
          <w:rtl/>
          <w:lang w:bidi="he-IL"/>
        </w:rPr>
        <w:t>עדותו של אליהו (</w:t>
      </w:r>
      <w:proofErr w:type="spellStart"/>
      <w:r w:rsidR="00675696">
        <w:rPr>
          <w:rFonts w:hint="cs"/>
          <w:lang w:bidi="he-IL"/>
        </w:rPr>
        <w:t>E</w:t>
      </w:r>
      <w:r w:rsidR="00675696">
        <w:rPr>
          <w:lang w:bidi="he-IL"/>
        </w:rPr>
        <w:t>liasz</w:t>
      </w:r>
      <w:proofErr w:type="spellEnd"/>
      <w:r w:rsidRPr="008C2722">
        <w:rPr>
          <w:rtl/>
          <w:lang w:bidi="he-IL"/>
        </w:rPr>
        <w:t>) רוזנברג</w:t>
      </w:r>
      <w:r w:rsidR="00675696">
        <w:rPr>
          <w:rFonts w:hint="cs"/>
          <w:rtl/>
          <w:lang w:bidi="he-IL"/>
        </w:rPr>
        <w:t xml:space="preserve"> (</w:t>
      </w:r>
      <w:r w:rsidR="00675696">
        <w:rPr>
          <w:lang w:bidi="he-IL"/>
        </w:rPr>
        <w:t>Rosenberg</w:t>
      </w:r>
      <w:r w:rsidR="00675696">
        <w:rPr>
          <w:rFonts w:hint="cs"/>
          <w:rtl/>
          <w:lang w:bidi="he-IL"/>
        </w:rPr>
        <w:t>)</w:t>
      </w:r>
      <w:r w:rsidRPr="008C2722">
        <w:rPr>
          <w:rtl/>
          <w:lang w:bidi="he-IL"/>
        </w:rPr>
        <w:t xml:space="preserve"> במשפט טרבלינקה, יום שימוע מס' 30 (21.12.1964), בעמ' 249</w:t>
      </w:r>
      <w:r w:rsidR="00665910" w:rsidRPr="008C2722">
        <w:rPr>
          <w:rtl/>
          <w:lang w:bidi="he-IL"/>
        </w:rPr>
        <w:t xml:space="preserve">. העדות מצויה ב- </w:t>
      </w:r>
      <w:proofErr w:type="spellStart"/>
      <w:r w:rsidR="00665910" w:rsidRPr="008C2722">
        <w:rPr>
          <w:lang w:bidi="he-IL"/>
        </w:rPr>
        <w:t>Landesarchiv</w:t>
      </w:r>
      <w:proofErr w:type="spellEnd"/>
      <w:r w:rsidR="00665910" w:rsidRPr="008C2722">
        <w:rPr>
          <w:lang w:bidi="he-IL"/>
        </w:rPr>
        <w:t xml:space="preserve"> NRW, Rep 388 Nr. 808 (1964), </w:t>
      </w:r>
      <w:proofErr w:type="spellStart"/>
      <w:r w:rsidRPr="008C2722">
        <w:t>Abteilung</w:t>
      </w:r>
      <w:proofErr w:type="spellEnd"/>
      <w:r w:rsidRPr="008C2722">
        <w:t xml:space="preserve"> </w:t>
      </w:r>
      <w:proofErr w:type="spellStart"/>
      <w:r w:rsidRPr="008C2722">
        <w:t>Rheinland</w:t>
      </w:r>
      <w:proofErr w:type="spellEnd"/>
      <w:r w:rsidRPr="008C2722">
        <w:t xml:space="preserve"> in Duisburg, </w:t>
      </w:r>
      <w:proofErr w:type="spellStart"/>
      <w:r w:rsidRPr="008C2722">
        <w:t>StA</w:t>
      </w:r>
      <w:proofErr w:type="spellEnd"/>
      <w:r w:rsidRPr="008C2722">
        <w:t xml:space="preserve"> Düsseldorf</w:t>
      </w:r>
      <w:r w:rsidR="00665910" w:rsidRPr="008C2722">
        <w:rPr>
          <w:rtl/>
          <w:lang w:bidi="he-IL"/>
        </w:rPr>
        <w:t>.</w:t>
      </w:r>
    </w:p>
  </w:footnote>
  <w:footnote w:id="4">
    <w:p w:rsidR="00AA54DA" w:rsidRPr="008C2722" w:rsidRDefault="00AA54DA" w:rsidP="003945B4">
      <w:pPr>
        <w:pStyle w:val="FootnoteText"/>
        <w:rPr>
          <w:rFonts w:eastAsia="David"/>
          <w:lang w:val="he-IL" w:bidi="he-IL"/>
        </w:rPr>
      </w:pPr>
      <w:r w:rsidRPr="008C2722">
        <w:rPr>
          <w:rFonts w:eastAsia="David"/>
          <w:vertAlign w:val="superscript"/>
          <w:rtl/>
          <w:lang w:val="he-IL"/>
        </w:rPr>
        <w:footnoteRef/>
      </w:r>
      <w:r w:rsidRPr="008C2722">
        <w:rPr>
          <w:rFonts w:eastAsia="David"/>
          <w:rtl/>
          <w:lang w:val="he-IL" w:bidi="he-IL"/>
        </w:rPr>
        <w:t xml:space="preserve"> עדותו </w:t>
      </w:r>
      <w:r w:rsidR="00975799" w:rsidRPr="008C2722">
        <w:rPr>
          <w:rFonts w:eastAsia="David"/>
          <w:rtl/>
          <w:lang w:val="he-IL" w:bidi="he-IL"/>
        </w:rPr>
        <w:t>של רוזנברג מ</w:t>
      </w:r>
      <w:r w:rsidRPr="008C2722">
        <w:rPr>
          <w:rFonts w:eastAsia="David"/>
          <w:rtl/>
          <w:lang w:val="he-IL" w:bidi="he-IL"/>
        </w:rPr>
        <w:t xml:space="preserve">יום 24.12.47, </w:t>
      </w:r>
      <w:r w:rsidR="00975799" w:rsidRPr="008C2722">
        <w:rPr>
          <w:rFonts w:eastAsia="David"/>
          <w:rtl/>
          <w:lang w:val="he-IL" w:bidi="he-IL"/>
        </w:rPr>
        <w:t xml:space="preserve">בשפה הגרמנית, שנמסרה </w:t>
      </w:r>
      <w:r w:rsidRPr="008C2722">
        <w:rPr>
          <w:rFonts w:eastAsia="David"/>
          <w:rtl/>
          <w:lang w:val="he-IL" w:bidi="he-IL"/>
        </w:rPr>
        <w:t>לטוביה פרידמן, במסגרת פעילות המכון לתיעוד פשעי הנאצים בווינה</w:t>
      </w:r>
      <w:r w:rsidR="00975799" w:rsidRPr="008C2722">
        <w:rPr>
          <w:rFonts w:eastAsia="David"/>
          <w:rtl/>
          <w:lang w:val="he-IL" w:bidi="he-IL"/>
        </w:rPr>
        <w:t xml:space="preserve">. העדות </w:t>
      </w:r>
      <w:r w:rsidRPr="008C2722">
        <w:rPr>
          <w:rFonts w:eastAsia="David"/>
          <w:rtl/>
          <w:lang w:val="he-IL" w:bidi="he-IL"/>
        </w:rPr>
        <w:t xml:space="preserve">הוגשה </w:t>
      </w:r>
      <w:r w:rsidR="00975799" w:rsidRPr="008C2722">
        <w:rPr>
          <w:rFonts w:eastAsia="David"/>
          <w:rtl/>
          <w:lang w:val="he-IL" w:bidi="he-IL"/>
        </w:rPr>
        <w:t>כ</w:t>
      </w:r>
      <w:r w:rsidRPr="008C2722">
        <w:rPr>
          <w:rFonts w:eastAsia="David"/>
          <w:rtl/>
          <w:lang w:val="he-IL" w:bidi="he-IL"/>
        </w:rPr>
        <w:t xml:space="preserve">מוצג הגנה נ/7 </w:t>
      </w:r>
      <w:r w:rsidR="00975799" w:rsidRPr="008C2722">
        <w:rPr>
          <w:rFonts w:eastAsia="David"/>
          <w:rtl/>
          <w:lang w:val="he-IL" w:bidi="he-IL"/>
        </w:rPr>
        <w:t xml:space="preserve">ותרגומה </w:t>
      </w:r>
      <w:r w:rsidR="00665910" w:rsidRPr="008C2722">
        <w:rPr>
          <w:rFonts w:eastAsia="David"/>
          <w:rtl/>
          <w:lang w:val="he-IL" w:bidi="he-IL"/>
        </w:rPr>
        <w:t xml:space="preserve">לעברית </w:t>
      </w:r>
      <w:r w:rsidR="00975799" w:rsidRPr="008C2722">
        <w:rPr>
          <w:rFonts w:eastAsia="David"/>
          <w:rtl/>
          <w:lang w:val="he-IL" w:bidi="he-IL"/>
        </w:rPr>
        <w:t xml:space="preserve">הוגש כמוצג תביעה ת/12 </w:t>
      </w:r>
      <w:r w:rsidRPr="008C2722">
        <w:rPr>
          <w:rFonts w:eastAsia="David"/>
          <w:rtl/>
          <w:lang w:val="he-IL" w:bidi="he-IL"/>
        </w:rPr>
        <w:t xml:space="preserve">(ארכיון המדינה, בתי משפט, בית המשפט המחוזי ירושלים, תיק פלילי 373/86 מדינת ישראל נ' איוון </w:t>
      </w:r>
      <w:proofErr w:type="spellStart"/>
      <w:r w:rsidRPr="008C2722">
        <w:rPr>
          <w:rFonts w:eastAsia="David"/>
          <w:rtl/>
          <w:lang w:val="he-IL" w:bidi="he-IL"/>
        </w:rPr>
        <w:t>דמיאניוק</w:t>
      </w:r>
      <w:proofErr w:type="spellEnd"/>
      <w:r w:rsidRPr="008C2722">
        <w:rPr>
          <w:rFonts w:eastAsia="David"/>
          <w:rtl/>
          <w:lang w:val="he-IL" w:bidi="he-IL"/>
        </w:rPr>
        <w:t>, מספר תיק ב-22394/5</w:t>
      </w:r>
      <w:r w:rsidR="00975799" w:rsidRPr="008C2722">
        <w:rPr>
          <w:rFonts w:eastAsia="David"/>
          <w:rtl/>
          <w:lang w:val="he-IL" w:bidi="he-IL"/>
        </w:rPr>
        <w:t xml:space="preserve"> ו-</w:t>
      </w:r>
      <w:r w:rsidR="00975799" w:rsidRPr="008C2722">
        <w:rPr>
          <w:rtl/>
          <w:lang w:bidi="he-IL"/>
        </w:rPr>
        <w:t xml:space="preserve"> </w:t>
      </w:r>
      <w:r w:rsidR="00975799" w:rsidRPr="008C2722">
        <w:rPr>
          <w:rFonts w:eastAsia="David"/>
          <w:rtl/>
          <w:lang w:val="he-IL" w:bidi="he-IL"/>
        </w:rPr>
        <w:t>ב- 22392/3 בהתאמה)</w:t>
      </w:r>
      <w:r w:rsidRPr="008C2722">
        <w:rPr>
          <w:rFonts w:eastAsia="David"/>
          <w:rtl/>
          <w:lang w:val="he-IL" w:bidi="he-IL"/>
        </w:rPr>
        <w:t xml:space="preserve">. </w:t>
      </w:r>
      <w:r w:rsidR="00665910" w:rsidRPr="008C2722">
        <w:rPr>
          <w:rFonts w:eastAsia="David"/>
          <w:rtl/>
          <w:lang w:val="he-IL" w:bidi="he-IL"/>
        </w:rPr>
        <w:t xml:space="preserve">הציטוט לקוח מעמ' 11 של תרגום העדות. </w:t>
      </w:r>
      <w:r w:rsidRPr="008C2722">
        <w:rPr>
          <w:rFonts w:eastAsia="David"/>
          <w:rtl/>
          <w:lang w:val="he-IL" w:bidi="he-IL"/>
        </w:rPr>
        <w:t xml:space="preserve">תרגום </w:t>
      </w:r>
      <w:r w:rsidR="00975799" w:rsidRPr="008C2722">
        <w:rPr>
          <w:rFonts w:eastAsia="David"/>
          <w:rtl/>
          <w:lang w:val="he-IL" w:bidi="he-IL"/>
        </w:rPr>
        <w:t>אחר של עדות זו</w:t>
      </w:r>
      <w:r w:rsidRPr="008C2722">
        <w:rPr>
          <w:rFonts w:eastAsia="David"/>
          <w:rtl/>
          <w:lang w:val="he-IL" w:bidi="he-IL"/>
        </w:rPr>
        <w:t xml:space="preserve"> נערך </w:t>
      </w:r>
      <w:r w:rsidR="00665910" w:rsidRPr="008C2722">
        <w:rPr>
          <w:rFonts w:eastAsia="David"/>
          <w:rtl/>
          <w:lang w:val="he-IL" w:bidi="he-IL"/>
        </w:rPr>
        <w:t>ביום 1.7.96 ומצוי ב</w:t>
      </w:r>
      <w:r w:rsidRPr="008C2722">
        <w:rPr>
          <w:rFonts w:eastAsia="David"/>
          <w:rtl/>
          <w:lang w:val="he-IL" w:bidi="he-IL"/>
        </w:rPr>
        <w:t xml:space="preserve">ארכיון יד ושם, </w:t>
      </w:r>
      <w:r w:rsidRPr="008C2722">
        <w:rPr>
          <w:rFonts w:eastAsia="David"/>
          <w:lang w:val="he-IL"/>
        </w:rPr>
        <w:t>O.33/39</w:t>
      </w:r>
      <w:r w:rsidRPr="008C2722">
        <w:rPr>
          <w:rFonts w:eastAsia="David"/>
          <w:rtl/>
          <w:lang w:val="he-IL" w:bidi="he-IL"/>
        </w:rPr>
        <w:t>.</w:t>
      </w:r>
      <w:r w:rsidR="00665910" w:rsidRPr="008C2722">
        <w:rPr>
          <w:rFonts w:eastAsia="David"/>
          <w:rtl/>
          <w:lang w:val="he-IL" w:bidi="he-IL"/>
        </w:rPr>
        <w:t xml:space="preserve"> </w:t>
      </w:r>
    </w:p>
  </w:footnote>
  <w:footnote w:id="5">
    <w:p w:rsidR="002107F5" w:rsidRPr="008C2722" w:rsidRDefault="002107F5" w:rsidP="00665910">
      <w:pPr>
        <w:pStyle w:val="FootnoteText"/>
        <w:rPr>
          <w:rtl/>
          <w:lang w:bidi="he-IL"/>
        </w:rPr>
      </w:pPr>
      <w:r w:rsidRPr="008C2722">
        <w:rPr>
          <w:rStyle w:val="FootnoteReference"/>
        </w:rPr>
        <w:footnoteRef/>
      </w:r>
      <w:r w:rsidR="00665910" w:rsidRPr="008C2722">
        <w:rPr>
          <w:rtl/>
          <w:lang w:bidi="he-IL"/>
        </w:rPr>
        <w:t xml:space="preserve"> עדותו של </w:t>
      </w:r>
      <w:r w:rsidR="00665910" w:rsidRPr="008C2722">
        <w:rPr>
          <w:lang w:bidi="he-IL"/>
        </w:rPr>
        <w:t xml:space="preserve">Richard </w:t>
      </w:r>
      <w:proofErr w:type="spellStart"/>
      <w:r w:rsidR="00665910" w:rsidRPr="008C2722">
        <w:rPr>
          <w:lang w:bidi="he-IL"/>
        </w:rPr>
        <w:t>Glazar</w:t>
      </w:r>
      <w:proofErr w:type="spellEnd"/>
      <w:r w:rsidR="00665910" w:rsidRPr="008C2722">
        <w:rPr>
          <w:rtl/>
          <w:lang w:bidi="he-IL"/>
        </w:rPr>
        <w:t>, המצוטטת אצל:</w:t>
      </w:r>
      <w:r w:rsidR="00665910" w:rsidRPr="008C2722">
        <w:rPr>
          <w:smallCaps/>
        </w:rPr>
        <w:t xml:space="preserve">Gitta </w:t>
      </w:r>
      <w:proofErr w:type="spellStart"/>
      <w:r w:rsidR="00665910" w:rsidRPr="008C2722">
        <w:rPr>
          <w:smallCaps/>
        </w:rPr>
        <w:t>Sereny</w:t>
      </w:r>
      <w:proofErr w:type="spellEnd"/>
      <w:r w:rsidR="00665910" w:rsidRPr="008C2722">
        <w:rPr>
          <w:smallCaps/>
        </w:rPr>
        <w:t>, Into that darknes</w:t>
      </w:r>
      <w:r w:rsidR="00C4206E" w:rsidRPr="008C2722">
        <w:rPr>
          <w:smallCaps/>
        </w:rPr>
        <w:t>s: An examination of conscience</w:t>
      </w:r>
      <w:r w:rsidR="00665910" w:rsidRPr="008C2722">
        <w:rPr>
          <w:lang w:bidi="he-IL"/>
        </w:rPr>
        <w:t xml:space="preserve"> </w:t>
      </w:r>
      <w:r w:rsidR="00C4206E" w:rsidRPr="008C2722">
        <w:rPr>
          <w:lang w:bidi="he-IL"/>
        </w:rPr>
        <w:t>(</w:t>
      </w:r>
      <w:r w:rsidR="00665910" w:rsidRPr="008C2722">
        <w:rPr>
          <w:lang w:bidi="he-IL"/>
        </w:rPr>
        <w:t>Vintage,</w:t>
      </w:r>
      <w:r w:rsidR="00C4206E" w:rsidRPr="008C2722">
        <w:rPr>
          <w:lang w:bidi="he-IL"/>
        </w:rPr>
        <w:t xml:space="preserve"> New York,</w:t>
      </w:r>
      <w:r w:rsidR="00665910" w:rsidRPr="008C2722">
        <w:rPr>
          <w:lang w:bidi="he-IL"/>
        </w:rPr>
        <w:t xml:space="preserve"> 2011</w:t>
      </w:r>
      <w:r w:rsidR="00C4206E" w:rsidRPr="008C2722">
        <w:rPr>
          <w:lang w:bidi="he-IL"/>
        </w:rPr>
        <w:t>), p.194</w:t>
      </w:r>
      <w:r w:rsidR="00665910" w:rsidRPr="008C2722">
        <w:rPr>
          <w:rtl/>
          <w:lang w:bidi="he-IL"/>
        </w:rPr>
        <w:t>.‏</w:t>
      </w:r>
    </w:p>
  </w:footnote>
  <w:footnote w:id="6">
    <w:p w:rsidR="00235217" w:rsidRPr="008C2722" w:rsidRDefault="00235217" w:rsidP="007E175E">
      <w:pPr>
        <w:pStyle w:val="FootnoteText"/>
        <w:rPr>
          <w:rtl/>
          <w:lang w:bidi="he-IL"/>
        </w:rPr>
      </w:pPr>
      <w:r w:rsidRPr="008C2722">
        <w:rPr>
          <w:rStyle w:val="FootnoteReference"/>
        </w:rPr>
        <w:footnoteRef/>
      </w:r>
      <w:proofErr w:type="spellStart"/>
      <w:r w:rsidR="004C6304" w:rsidRPr="008C2722">
        <w:rPr>
          <w:smallCaps/>
        </w:rPr>
        <w:t>Sereny</w:t>
      </w:r>
      <w:proofErr w:type="spellEnd"/>
      <w:r w:rsidR="004C6304" w:rsidRPr="008C2722">
        <w:rPr>
          <w:smallCaps/>
        </w:rPr>
        <w:t>,</w:t>
      </w:r>
      <w:r w:rsidR="004C6304" w:rsidRPr="008C2722">
        <w:rPr>
          <w:lang w:bidi="he-IL"/>
        </w:rPr>
        <w:t xml:space="preserve"> </w:t>
      </w:r>
      <w:r w:rsidR="004C6304" w:rsidRPr="008C2722">
        <w:rPr>
          <w:smallCaps/>
        </w:rPr>
        <w:t>Into that darkness</w:t>
      </w:r>
      <w:r w:rsidR="004C6304" w:rsidRPr="008C2722">
        <w:rPr>
          <w:lang w:bidi="he-IL"/>
        </w:rPr>
        <w:t>, p.195-194</w:t>
      </w:r>
      <w:r w:rsidR="004C6304" w:rsidRPr="008C2722">
        <w:rPr>
          <w:rtl/>
          <w:lang w:bidi="he-IL"/>
        </w:rPr>
        <w:t xml:space="preserve">. </w:t>
      </w:r>
      <w:proofErr w:type="spellStart"/>
      <w:r w:rsidR="004C6304" w:rsidRPr="008C2722">
        <w:rPr>
          <w:rtl/>
          <w:lang w:bidi="he-IL"/>
        </w:rPr>
        <w:t>לבקוביץ</w:t>
      </w:r>
      <w:proofErr w:type="spellEnd"/>
      <w:r w:rsidR="004C6304" w:rsidRPr="008C2722">
        <w:rPr>
          <w:rtl/>
          <w:lang w:bidi="he-IL"/>
        </w:rPr>
        <w:t xml:space="preserve"> נזכרת שם בשם הבדוי </w:t>
      </w:r>
      <w:r w:rsidR="004C6304" w:rsidRPr="008C2722">
        <w:rPr>
          <w:lang w:bidi="he-IL"/>
        </w:rPr>
        <w:t>"Sabina"</w:t>
      </w:r>
      <w:r w:rsidR="004C6304" w:rsidRPr="008C2722">
        <w:rPr>
          <w:rtl/>
          <w:lang w:bidi="he-IL"/>
        </w:rPr>
        <w:t xml:space="preserve">. שמה של </w:t>
      </w:r>
      <w:proofErr w:type="spellStart"/>
      <w:r w:rsidR="004C6304" w:rsidRPr="008C2722">
        <w:rPr>
          <w:rtl/>
          <w:lang w:bidi="he-IL"/>
        </w:rPr>
        <w:t>לבקוביץ</w:t>
      </w:r>
      <w:proofErr w:type="spellEnd"/>
      <w:r w:rsidR="004C6304" w:rsidRPr="008C2722">
        <w:rPr>
          <w:rtl/>
          <w:lang w:bidi="he-IL"/>
        </w:rPr>
        <w:t xml:space="preserve"> אינו מופיע ברשימת המרואיינים המופיעה בספר, אך לדברי בתה, היא שוחחה עם סרני ארוכות וקשרי הידידות ביניהן נמשכו גם לאחר פרסום הספר. יש להניח כי לא</w:t>
      </w:r>
      <w:r w:rsidR="007E175E" w:rsidRPr="008C2722">
        <w:rPr>
          <w:rtl/>
          <w:lang w:bidi="he-IL"/>
        </w:rPr>
        <w:t xml:space="preserve"> רצתה באותה עת לחשוף את זהותה. בעניין זינגר, ראו: </w:t>
      </w:r>
      <w:r w:rsidR="007E175E" w:rsidRPr="008C2722">
        <w:rPr>
          <w:smallCaps/>
        </w:rPr>
        <w:t xml:space="preserve">Arad, </w:t>
      </w:r>
      <w:proofErr w:type="spellStart"/>
      <w:r w:rsidR="007E175E" w:rsidRPr="008C2722">
        <w:rPr>
          <w:smallCaps/>
        </w:rPr>
        <w:t>Bel</w:t>
      </w:r>
      <w:r w:rsidR="007E175E" w:rsidRPr="008C2722">
        <w:rPr>
          <w:rFonts w:ascii="Calibri" w:hAnsi="Calibri" w:cs="Calibri"/>
          <w:smallCaps/>
        </w:rPr>
        <w:t>ż</w:t>
      </w:r>
      <w:r w:rsidR="007E175E" w:rsidRPr="008C2722">
        <w:rPr>
          <w:smallCaps/>
        </w:rPr>
        <w:t>ec</w:t>
      </w:r>
      <w:proofErr w:type="spellEnd"/>
      <w:r w:rsidR="007E175E" w:rsidRPr="008C2722">
        <w:rPr>
          <w:smallCaps/>
        </w:rPr>
        <w:t xml:space="preserve">, </w:t>
      </w:r>
      <w:proofErr w:type="spellStart"/>
      <w:r w:rsidR="007E175E" w:rsidRPr="008C2722">
        <w:rPr>
          <w:smallCaps/>
        </w:rPr>
        <w:t>Sobibor</w:t>
      </w:r>
      <w:proofErr w:type="spellEnd"/>
      <w:r w:rsidR="007E175E" w:rsidRPr="008C2722">
        <w:rPr>
          <w:smallCaps/>
        </w:rPr>
        <w:t>, Treblinka</w:t>
      </w:r>
      <w:r w:rsidR="007E175E" w:rsidRPr="008C2722">
        <w:rPr>
          <w:lang w:bidi="he-IL"/>
        </w:rPr>
        <w:t>, p.409</w:t>
      </w:r>
      <w:r w:rsidR="007E175E" w:rsidRPr="008C2722">
        <w:rPr>
          <w:rtl/>
          <w:lang w:bidi="he-IL"/>
        </w:rPr>
        <w:t>.</w:t>
      </w:r>
    </w:p>
  </w:footnote>
  <w:footnote w:id="7">
    <w:p w:rsidR="007E175E" w:rsidRPr="008C2722" w:rsidRDefault="007E175E" w:rsidP="00676FB6">
      <w:pPr>
        <w:pStyle w:val="FootnoteText"/>
        <w:rPr>
          <w:rtl/>
          <w:lang w:bidi="he-IL"/>
        </w:rPr>
      </w:pPr>
      <w:r w:rsidRPr="008C2722">
        <w:rPr>
          <w:rStyle w:val="FootnoteReference"/>
        </w:rPr>
        <w:footnoteRef/>
      </w:r>
      <w:r w:rsidRPr="008C2722">
        <w:rPr>
          <w:rtl/>
        </w:rPr>
        <w:t xml:space="preserve"> </w:t>
      </w:r>
      <w:r w:rsidRPr="008C2722">
        <w:rPr>
          <w:rtl/>
          <w:lang w:bidi="he-IL"/>
        </w:rPr>
        <w:t xml:space="preserve">הניצולה הנוספת היא </w:t>
      </w:r>
      <w:proofErr w:type="spellStart"/>
      <w:r w:rsidRPr="008C2722">
        <w:rPr>
          <w:rtl/>
          <w:lang w:bidi="he-IL"/>
        </w:rPr>
        <w:t>ברונקה</w:t>
      </w:r>
      <w:proofErr w:type="spellEnd"/>
      <w:r w:rsidRPr="008C2722">
        <w:rPr>
          <w:rtl/>
          <w:lang w:bidi="he-IL"/>
        </w:rPr>
        <w:t xml:space="preserve"> </w:t>
      </w:r>
      <w:proofErr w:type="spellStart"/>
      <w:r w:rsidRPr="008C2722">
        <w:rPr>
          <w:rtl/>
          <w:lang w:bidi="he-IL"/>
        </w:rPr>
        <w:t>סוקנו</w:t>
      </w:r>
      <w:proofErr w:type="spellEnd"/>
      <w:r w:rsidRPr="008C2722">
        <w:rPr>
          <w:rtl/>
          <w:lang w:bidi="he-IL"/>
        </w:rPr>
        <w:t xml:space="preserve"> (</w:t>
      </w:r>
      <w:proofErr w:type="spellStart"/>
      <w:r w:rsidRPr="008C2722">
        <w:t>Bronka</w:t>
      </w:r>
      <w:proofErr w:type="spellEnd"/>
      <w:r w:rsidRPr="008C2722">
        <w:t xml:space="preserve"> </w:t>
      </w:r>
      <w:proofErr w:type="spellStart"/>
      <w:r w:rsidRPr="008C2722">
        <w:t>Sukno</w:t>
      </w:r>
      <w:proofErr w:type="spellEnd"/>
      <w:r w:rsidRPr="008C2722">
        <w:rPr>
          <w:rtl/>
          <w:lang w:bidi="he-IL"/>
        </w:rPr>
        <w:t xml:space="preserve">). היא מסרה עדות במשטרת ישראל </w:t>
      </w:r>
      <w:r w:rsidR="00570997" w:rsidRPr="008C2722">
        <w:rPr>
          <w:rtl/>
          <w:lang w:bidi="he-IL"/>
        </w:rPr>
        <w:t>לקראת משפטי טרבלינקה בשנת 1960 (</w:t>
      </w:r>
      <w:r w:rsidRPr="008C2722">
        <w:rPr>
          <w:rtl/>
          <w:lang w:bidi="he-IL"/>
        </w:rPr>
        <w:t xml:space="preserve">ראו: ארכיון יד ושם, </w:t>
      </w:r>
      <w:r w:rsidRPr="008C2722">
        <w:t>TR.11</w:t>
      </w:r>
      <w:r w:rsidRPr="008C2722">
        <w:rPr>
          <w:rtl/>
          <w:lang w:bidi="he-IL"/>
        </w:rPr>
        <w:t xml:space="preserve">, תיק </w:t>
      </w:r>
      <w:proofErr w:type="spellStart"/>
      <w:r w:rsidRPr="008C2722">
        <w:rPr>
          <w:rtl/>
          <w:lang w:bidi="he-IL"/>
        </w:rPr>
        <w:t>פל</w:t>
      </w:r>
      <w:proofErr w:type="spellEnd"/>
      <w:r w:rsidRPr="008C2722">
        <w:rPr>
          <w:rtl/>
          <w:lang w:bidi="he-IL"/>
        </w:rPr>
        <w:t>/01121</w:t>
      </w:r>
      <w:r w:rsidR="00570997" w:rsidRPr="008C2722">
        <w:rPr>
          <w:rtl/>
          <w:lang w:bidi="he-IL"/>
        </w:rPr>
        <w:t>)</w:t>
      </w:r>
      <w:r w:rsidRPr="008C2722">
        <w:rPr>
          <w:rtl/>
          <w:lang w:bidi="he-IL"/>
        </w:rPr>
        <w:t xml:space="preserve">. ביום 7.2.1965 מסרה </w:t>
      </w:r>
      <w:proofErr w:type="spellStart"/>
      <w:r w:rsidRPr="008C2722">
        <w:rPr>
          <w:rtl/>
          <w:lang w:bidi="he-IL"/>
        </w:rPr>
        <w:t>סוקנו</w:t>
      </w:r>
      <w:proofErr w:type="spellEnd"/>
      <w:r w:rsidRPr="008C2722">
        <w:rPr>
          <w:rtl/>
          <w:lang w:bidi="he-IL"/>
        </w:rPr>
        <w:t xml:space="preserve"> עדות בבית משפט השלום בתל אביב במסגרת משפט טרבלינקה הראשון, כאשר בית המשפט בדיסלדורף הגיע לישראל כדי לשמוע את עדותה, מאחר שהיא לא </w:t>
      </w:r>
      <w:proofErr w:type="spellStart"/>
      <w:r w:rsidRPr="008C2722">
        <w:rPr>
          <w:rtl/>
          <w:lang w:bidi="he-IL"/>
        </w:rPr>
        <w:t>היתה</w:t>
      </w:r>
      <w:proofErr w:type="spellEnd"/>
      <w:r w:rsidRPr="008C2722">
        <w:rPr>
          <w:rtl/>
          <w:lang w:bidi="he-IL"/>
        </w:rPr>
        <w:t xml:space="preserve"> יכולה לטוס לגרמניה בשל מצב בריאותה. </w:t>
      </w:r>
      <w:r w:rsidR="00570997" w:rsidRPr="008C2722">
        <w:rPr>
          <w:rtl/>
          <w:lang w:bidi="he-IL"/>
        </w:rPr>
        <w:t xml:space="preserve">עדותה הוקראה שבוע לאחר מכן בישיבת בית המשפט הגרמני. </w:t>
      </w:r>
      <w:r w:rsidRPr="008C2722">
        <w:rPr>
          <w:rtl/>
          <w:lang w:bidi="he-IL"/>
        </w:rPr>
        <w:t xml:space="preserve">ראו: </w:t>
      </w:r>
      <w:r w:rsidR="00570997" w:rsidRPr="008C2722">
        <w:rPr>
          <w:rtl/>
          <w:lang w:bidi="he-IL"/>
        </w:rPr>
        <w:t xml:space="preserve">עדותו של </w:t>
      </w:r>
      <w:proofErr w:type="spellStart"/>
      <w:r w:rsidR="00570997" w:rsidRPr="008C2722">
        <w:rPr>
          <w:rtl/>
          <w:lang w:bidi="he-IL"/>
        </w:rPr>
        <w:t>ברונקה</w:t>
      </w:r>
      <w:proofErr w:type="spellEnd"/>
      <w:r w:rsidR="00570997" w:rsidRPr="008C2722">
        <w:rPr>
          <w:rtl/>
          <w:lang w:bidi="he-IL"/>
        </w:rPr>
        <w:t xml:space="preserve"> </w:t>
      </w:r>
      <w:proofErr w:type="spellStart"/>
      <w:r w:rsidR="00570997" w:rsidRPr="008C2722">
        <w:rPr>
          <w:rtl/>
          <w:lang w:bidi="he-IL"/>
        </w:rPr>
        <w:t>סוקנו</w:t>
      </w:r>
      <w:proofErr w:type="spellEnd"/>
      <w:r w:rsidR="00570997" w:rsidRPr="008C2722">
        <w:rPr>
          <w:rtl/>
          <w:lang w:bidi="he-IL"/>
        </w:rPr>
        <w:t xml:space="preserve">, יום שימוע מס' 48 (15.2.1965). העדות מצויה ב- </w:t>
      </w:r>
      <w:proofErr w:type="spellStart"/>
      <w:r w:rsidR="00570997" w:rsidRPr="008C2722">
        <w:t>Landesarchiv</w:t>
      </w:r>
      <w:proofErr w:type="spellEnd"/>
      <w:r w:rsidR="00570997" w:rsidRPr="008C2722">
        <w:t xml:space="preserve"> NRW, Rep 388 Nr. 808 (1964), </w:t>
      </w:r>
      <w:proofErr w:type="spellStart"/>
      <w:r w:rsidR="00570997" w:rsidRPr="008C2722">
        <w:t>Abteilung</w:t>
      </w:r>
      <w:proofErr w:type="spellEnd"/>
      <w:r w:rsidR="00570997" w:rsidRPr="008C2722">
        <w:t xml:space="preserve"> </w:t>
      </w:r>
      <w:proofErr w:type="spellStart"/>
      <w:r w:rsidR="00570997" w:rsidRPr="008C2722">
        <w:t>Rheinland</w:t>
      </w:r>
      <w:proofErr w:type="spellEnd"/>
      <w:r w:rsidR="00570997" w:rsidRPr="008C2722">
        <w:t xml:space="preserve"> in Duisburg, </w:t>
      </w:r>
      <w:proofErr w:type="spellStart"/>
      <w:r w:rsidR="00570997" w:rsidRPr="008C2722">
        <w:t>StA</w:t>
      </w:r>
      <w:proofErr w:type="spellEnd"/>
      <w:r w:rsidR="00570997" w:rsidRPr="008C2722">
        <w:t xml:space="preserve"> Düsseldorf</w:t>
      </w:r>
      <w:r w:rsidR="00570997" w:rsidRPr="008C2722">
        <w:rPr>
          <w:rtl/>
          <w:lang w:bidi="he-IL"/>
        </w:rPr>
        <w:t xml:space="preserve">. ראו עוד: </w:t>
      </w:r>
      <w:r w:rsidRPr="008C2722">
        <w:rPr>
          <w:rtl/>
          <w:lang w:bidi="he-IL"/>
        </w:rPr>
        <w:t xml:space="preserve">(ללא מחבר) "עדה מספרת על </w:t>
      </w:r>
      <w:proofErr w:type="spellStart"/>
      <w:r w:rsidRPr="008C2722">
        <w:rPr>
          <w:rtl/>
          <w:lang w:bidi="he-IL"/>
        </w:rPr>
        <w:t>אימי</w:t>
      </w:r>
      <w:proofErr w:type="spellEnd"/>
      <w:r w:rsidRPr="008C2722">
        <w:rPr>
          <w:rtl/>
          <w:lang w:bidi="he-IL"/>
        </w:rPr>
        <w:t xml:space="preserve"> טרבלינקה: 'ריח העשן מהמשרפות חנק אותנו כל הזמן'" </w:t>
      </w:r>
      <w:r w:rsidRPr="008C2722">
        <w:rPr>
          <w:b/>
          <w:bCs/>
          <w:rtl/>
          <w:lang w:bidi="he-IL"/>
        </w:rPr>
        <w:t>קול העם</w:t>
      </w:r>
      <w:r w:rsidRPr="008C2722">
        <w:rPr>
          <w:rtl/>
          <w:lang w:bidi="he-IL"/>
        </w:rPr>
        <w:t xml:space="preserve"> 8.2.1965.  </w:t>
      </w:r>
    </w:p>
  </w:footnote>
  <w:footnote w:id="8">
    <w:p w:rsidR="00676FB6" w:rsidRPr="008C2722" w:rsidRDefault="00676FB6" w:rsidP="00547DE5">
      <w:pPr>
        <w:pStyle w:val="FootnoteText"/>
        <w:rPr>
          <w:lang w:bidi="he-IL"/>
        </w:rPr>
      </w:pPr>
      <w:r w:rsidRPr="008C2722">
        <w:rPr>
          <w:rStyle w:val="FootnoteReference"/>
        </w:rPr>
        <w:footnoteRef/>
      </w:r>
      <w:r w:rsidRPr="008C2722">
        <w:rPr>
          <w:rtl/>
        </w:rPr>
        <w:t xml:space="preserve"> </w:t>
      </w:r>
      <w:r w:rsidR="00547DE5" w:rsidRPr="008C2722">
        <w:rPr>
          <w:rtl/>
          <w:lang w:bidi="he-IL"/>
        </w:rPr>
        <w:t xml:space="preserve">עדותו של </w:t>
      </w:r>
      <w:proofErr w:type="spellStart"/>
      <w:r w:rsidR="00547DE5" w:rsidRPr="008C2722">
        <w:rPr>
          <w:rtl/>
          <w:lang w:bidi="he-IL"/>
        </w:rPr>
        <w:t>סוניה</w:t>
      </w:r>
      <w:proofErr w:type="spellEnd"/>
      <w:r w:rsidR="00547DE5" w:rsidRPr="008C2722">
        <w:rPr>
          <w:rtl/>
          <w:lang w:bidi="he-IL"/>
        </w:rPr>
        <w:t xml:space="preserve"> </w:t>
      </w:r>
      <w:proofErr w:type="spellStart"/>
      <w:r w:rsidR="00547DE5" w:rsidRPr="008C2722">
        <w:rPr>
          <w:rtl/>
          <w:lang w:bidi="he-IL"/>
        </w:rPr>
        <w:t>לבקוביץ</w:t>
      </w:r>
      <w:proofErr w:type="spellEnd"/>
      <w:r w:rsidR="00547DE5" w:rsidRPr="008C2722">
        <w:rPr>
          <w:rtl/>
          <w:lang w:bidi="he-IL"/>
        </w:rPr>
        <w:t xml:space="preserve">, יום שימוע מס' 35 (15.2.1965). העדות מצויה ב- </w:t>
      </w:r>
      <w:proofErr w:type="spellStart"/>
      <w:r w:rsidR="00547DE5" w:rsidRPr="008C2722">
        <w:t>Landesarchiv</w:t>
      </w:r>
      <w:proofErr w:type="spellEnd"/>
      <w:r w:rsidR="00547DE5" w:rsidRPr="008C2722">
        <w:t xml:space="preserve"> NRW, Rep 388 Nr. 808 (1964), </w:t>
      </w:r>
      <w:proofErr w:type="spellStart"/>
      <w:r w:rsidR="00547DE5" w:rsidRPr="008C2722">
        <w:t>Abteilung</w:t>
      </w:r>
      <w:proofErr w:type="spellEnd"/>
      <w:r w:rsidR="00547DE5" w:rsidRPr="008C2722">
        <w:t xml:space="preserve"> </w:t>
      </w:r>
      <w:proofErr w:type="spellStart"/>
      <w:r w:rsidR="00547DE5" w:rsidRPr="008C2722">
        <w:t>Rheinland</w:t>
      </w:r>
      <w:proofErr w:type="spellEnd"/>
      <w:r w:rsidR="00547DE5" w:rsidRPr="008C2722">
        <w:t xml:space="preserve"> in Duisburg, </w:t>
      </w:r>
      <w:proofErr w:type="spellStart"/>
      <w:r w:rsidR="00547DE5" w:rsidRPr="008C2722">
        <w:t>StA</w:t>
      </w:r>
      <w:proofErr w:type="spellEnd"/>
      <w:r w:rsidR="00547DE5" w:rsidRPr="008C2722">
        <w:t xml:space="preserve"> Düsseldorf</w:t>
      </w:r>
    </w:p>
  </w:footnote>
  <w:footnote w:id="9">
    <w:p w:rsidR="00676FB6" w:rsidRPr="008C2722" w:rsidRDefault="00676FB6">
      <w:pPr>
        <w:pStyle w:val="FootnoteText"/>
        <w:rPr>
          <w:lang w:bidi="he-IL"/>
        </w:rPr>
      </w:pPr>
      <w:r w:rsidRPr="008C2722">
        <w:rPr>
          <w:rStyle w:val="FootnoteReference"/>
        </w:rPr>
        <w:footnoteRef/>
      </w:r>
      <w:r w:rsidRPr="008C2722">
        <w:rPr>
          <w:rtl/>
        </w:rPr>
        <w:t xml:space="preserve"> </w:t>
      </w:r>
      <w:r w:rsidR="00547DE5" w:rsidRPr="008C2722">
        <w:rPr>
          <w:rtl/>
          <w:lang w:bidi="he-IL"/>
        </w:rPr>
        <w:t xml:space="preserve">עדותה של </w:t>
      </w:r>
      <w:proofErr w:type="spellStart"/>
      <w:r w:rsidR="00547DE5" w:rsidRPr="008C2722">
        <w:rPr>
          <w:rtl/>
          <w:lang w:bidi="he-IL"/>
        </w:rPr>
        <w:t>סוניה</w:t>
      </w:r>
      <w:proofErr w:type="spellEnd"/>
      <w:r w:rsidR="00547DE5" w:rsidRPr="008C2722">
        <w:rPr>
          <w:rtl/>
          <w:lang w:bidi="he-IL"/>
        </w:rPr>
        <w:t xml:space="preserve"> </w:t>
      </w:r>
      <w:proofErr w:type="spellStart"/>
      <w:r w:rsidR="00547DE5" w:rsidRPr="008C2722">
        <w:rPr>
          <w:rtl/>
          <w:lang w:bidi="he-IL"/>
        </w:rPr>
        <w:t>לבקוביץ</w:t>
      </w:r>
      <w:proofErr w:type="spellEnd"/>
      <w:r w:rsidR="00547DE5" w:rsidRPr="008C2722">
        <w:rPr>
          <w:rtl/>
          <w:lang w:bidi="he-IL"/>
        </w:rPr>
        <w:t xml:space="preserve">, ישיבת בית המשפט מיום 25.9.1970. העדות מצויה ב: </w:t>
      </w:r>
      <w:proofErr w:type="spellStart"/>
      <w:r w:rsidR="00547DE5" w:rsidRPr="008C2722">
        <w:rPr>
          <w:lang w:bidi="he-IL"/>
        </w:rPr>
        <w:t>Landesarchiv</w:t>
      </w:r>
      <w:proofErr w:type="spellEnd"/>
      <w:r w:rsidR="00547DE5" w:rsidRPr="008C2722">
        <w:rPr>
          <w:lang w:bidi="he-IL"/>
        </w:rPr>
        <w:t xml:space="preserve"> NRW, Rep 388 Nr. 0256 (1970), </w:t>
      </w:r>
      <w:proofErr w:type="spellStart"/>
      <w:r w:rsidR="00547DE5" w:rsidRPr="008C2722">
        <w:rPr>
          <w:lang w:bidi="he-IL"/>
        </w:rPr>
        <w:t>Abteilung</w:t>
      </w:r>
      <w:proofErr w:type="spellEnd"/>
      <w:r w:rsidR="00547DE5" w:rsidRPr="008C2722">
        <w:rPr>
          <w:lang w:bidi="he-IL"/>
        </w:rPr>
        <w:t xml:space="preserve"> </w:t>
      </w:r>
      <w:proofErr w:type="spellStart"/>
      <w:r w:rsidR="00547DE5" w:rsidRPr="008C2722">
        <w:rPr>
          <w:lang w:bidi="he-IL"/>
        </w:rPr>
        <w:t>Rheinland</w:t>
      </w:r>
      <w:proofErr w:type="spellEnd"/>
      <w:r w:rsidR="00547DE5" w:rsidRPr="008C2722">
        <w:rPr>
          <w:lang w:bidi="he-IL"/>
        </w:rPr>
        <w:t xml:space="preserve"> in Duisburg, </w:t>
      </w:r>
      <w:proofErr w:type="spellStart"/>
      <w:r w:rsidR="00547DE5" w:rsidRPr="008C2722">
        <w:rPr>
          <w:lang w:bidi="he-IL"/>
        </w:rPr>
        <w:t>StA</w:t>
      </w:r>
      <w:proofErr w:type="spellEnd"/>
      <w:r w:rsidR="00547DE5" w:rsidRPr="008C2722">
        <w:rPr>
          <w:lang w:bidi="he-IL"/>
        </w:rPr>
        <w:t xml:space="preserve"> Düsseldorf</w:t>
      </w:r>
    </w:p>
  </w:footnote>
  <w:footnote w:id="10">
    <w:p w:rsidR="00547DE5" w:rsidRPr="008C2722" w:rsidRDefault="00547DE5" w:rsidP="000B52D5">
      <w:pPr>
        <w:pStyle w:val="FootnoteText"/>
        <w:rPr>
          <w:rtl/>
          <w:lang w:bidi="he-IL"/>
        </w:rPr>
      </w:pPr>
      <w:r w:rsidRPr="008C2722">
        <w:rPr>
          <w:rStyle w:val="FootnoteReference"/>
        </w:rPr>
        <w:footnoteRef/>
      </w:r>
      <w:r w:rsidRPr="008C2722">
        <w:rPr>
          <w:rtl/>
        </w:rPr>
        <w:t xml:space="preserve"> </w:t>
      </w:r>
      <w:proofErr w:type="spellStart"/>
      <w:r w:rsidR="000B52D5" w:rsidRPr="008C2722">
        <w:rPr>
          <w:rtl/>
          <w:lang w:bidi="he-IL"/>
        </w:rPr>
        <w:t>לבקוביץ</w:t>
      </w:r>
      <w:proofErr w:type="spellEnd"/>
      <w:r w:rsidR="000B52D5" w:rsidRPr="008C2722">
        <w:rPr>
          <w:rtl/>
          <w:lang w:bidi="he-IL"/>
        </w:rPr>
        <w:t xml:space="preserve"> העידה במשפט שלילת האזרחות בארצות הברית ביום 20.2.1981. עדותה מצויה ב: ארכיון המדינה, תיקי משרד המשפטים, קלסר "משפט </w:t>
      </w:r>
      <w:proofErr w:type="spellStart"/>
      <w:r w:rsidR="000B52D5" w:rsidRPr="008C2722">
        <w:rPr>
          <w:rtl/>
          <w:lang w:bidi="he-IL"/>
        </w:rPr>
        <w:t>דמיאניוק</w:t>
      </w:r>
      <w:proofErr w:type="spellEnd"/>
      <w:r w:rsidR="000B52D5" w:rsidRPr="008C2722">
        <w:rPr>
          <w:rtl/>
          <w:lang w:bidi="he-IL"/>
        </w:rPr>
        <w:t xml:space="preserve"> – </w:t>
      </w:r>
      <w:proofErr w:type="spellStart"/>
      <w:r w:rsidR="000B52D5" w:rsidRPr="008C2722">
        <w:rPr>
          <w:rtl/>
          <w:lang w:bidi="he-IL"/>
        </w:rPr>
        <w:t>סוניה</w:t>
      </w:r>
      <w:proofErr w:type="spellEnd"/>
      <w:r w:rsidR="000B52D5" w:rsidRPr="008C2722">
        <w:rPr>
          <w:rtl/>
          <w:lang w:bidi="he-IL"/>
        </w:rPr>
        <w:t xml:space="preserve"> </w:t>
      </w:r>
      <w:proofErr w:type="spellStart"/>
      <w:r w:rsidR="000B52D5" w:rsidRPr="008C2722">
        <w:rPr>
          <w:rtl/>
          <w:lang w:bidi="he-IL"/>
        </w:rPr>
        <w:t>לבקוביץ</w:t>
      </w:r>
      <w:proofErr w:type="spellEnd"/>
      <w:r w:rsidR="000B52D5" w:rsidRPr="008C2722">
        <w:rPr>
          <w:rtl/>
          <w:lang w:bidi="he-IL"/>
        </w:rPr>
        <w:t xml:space="preserve"> בכתב האישום (לא העידה)", גל/21534.</w:t>
      </w:r>
    </w:p>
  </w:footnote>
  <w:footnote w:id="11">
    <w:p w:rsidR="0097529B" w:rsidRPr="008C2722" w:rsidRDefault="0097529B">
      <w:pPr>
        <w:pStyle w:val="FootnoteText"/>
        <w:rPr>
          <w:rtl/>
          <w:lang w:bidi="he-IL"/>
        </w:rPr>
      </w:pPr>
      <w:r w:rsidRPr="008C2722">
        <w:rPr>
          <w:rStyle w:val="FootnoteReference"/>
        </w:rPr>
        <w:footnoteRef/>
      </w:r>
      <w:r w:rsidRPr="008C2722">
        <w:rPr>
          <w:rtl/>
        </w:rPr>
        <w:t xml:space="preserve"> </w:t>
      </w:r>
      <w:r w:rsidR="00630B54" w:rsidRPr="008C2722">
        <w:rPr>
          <w:rtl/>
          <w:lang w:bidi="he-IL"/>
        </w:rPr>
        <w:t>ארכיון המדינה, תיקי משרד המשפטים, קלסר "</w:t>
      </w:r>
      <w:r w:rsidR="008C2722" w:rsidRPr="008C2722">
        <w:rPr>
          <w:rtl/>
          <w:lang w:bidi="he-IL"/>
        </w:rPr>
        <w:t xml:space="preserve">משפט </w:t>
      </w:r>
      <w:proofErr w:type="spellStart"/>
      <w:r w:rsidR="00630B54" w:rsidRPr="008C2722">
        <w:rPr>
          <w:rtl/>
          <w:lang w:bidi="he-IL"/>
        </w:rPr>
        <w:t>דמיאניוק</w:t>
      </w:r>
      <w:proofErr w:type="spellEnd"/>
      <w:r w:rsidR="00630B54" w:rsidRPr="008C2722">
        <w:rPr>
          <w:rtl/>
          <w:lang w:bidi="he-IL"/>
        </w:rPr>
        <w:t xml:space="preserve"> – </w:t>
      </w:r>
      <w:proofErr w:type="spellStart"/>
      <w:r w:rsidR="00630B54" w:rsidRPr="008C2722">
        <w:rPr>
          <w:rtl/>
          <w:lang w:bidi="he-IL"/>
        </w:rPr>
        <w:t>סוניה</w:t>
      </w:r>
      <w:proofErr w:type="spellEnd"/>
      <w:r w:rsidR="00630B54" w:rsidRPr="008C2722">
        <w:rPr>
          <w:rtl/>
          <w:lang w:bidi="he-IL"/>
        </w:rPr>
        <w:t xml:space="preserve"> </w:t>
      </w:r>
      <w:proofErr w:type="spellStart"/>
      <w:r w:rsidR="00630B54" w:rsidRPr="008C2722">
        <w:rPr>
          <w:rtl/>
          <w:lang w:bidi="he-IL"/>
        </w:rPr>
        <w:t>לבקוביץ</w:t>
      </w:r>
      <w:proofErr w:type="spellEnd"/>
      <w:r w:rsidR="008C2722" w:rsidRPr="008C2722">
        <w:rPr>
          <w:rtl/>
          <w:lang w:bidi="he-IL"/>
        </w:rPr>
        <w:t xml:space="preserve"> בכתב האישום (לא העידה)</w:t>
      </w:r>
      <w:r w:rsidR="00630B54" w:rsidRPr="008C2722">
        <w:rPr>
          <w:rtl/>
          <w:lang w:bidi="he-IL"/>
        </w:rPr>
        <w:t>", גל/21534.</w:t>
      </w:r>
    </w:p>
  </w:footnote>
  <w:footnote w:id="12">
    <w:p w:rsidR="0099193D" w:rsidRPr="00675696" w:rsidRDefault="0099193D" w:rsidP="00675696">
      <w:pPr>
        <w:pStyle w:val="FootnoteText"/>
        <w:rPr>
          <w:smallCaps/>
          <w:rtl/>
          <w:lang w:bidi="he-IL"/>
        </w:rPr>
      </w:pPr>
      <w:r w:rsidRPr="008C2722">
        <w:rPr>
          <w:rStyle w:val="FootnoteReference"/>
        </w:rPr>
        <w:footnoteRef/>
      </w:r>
      <w:r w:rsidRPr="008C2722">
        <w:rPr>
          <w:rtl/>
          <w:lang w:bidi="he-IL"/>
        </w:rPr>
        <w:t xml:space="preserve"> </w:t>
      </w:r>
      <w:r w:rsidR="00675696">
        <w:rPr>
          <w:smallCaps/>
          <w:lang w:bidi="he-IL"/>
        </w:rPr>
        <w:t xml:space="preserve">Primo Levi, The Drowned And The Saved </w:t>
      </w:r>
      <w:r w:rsidR="00675696" w:rsidRPr="00675696">
        <w:t>(tr</w:t>
      </w:r>
      <w:r w:rsidR="00675696">
        <w:t xml:space="preserve">ans. Raymond Rosenthal (New York: Vintage, 1989), p. 45-44, 49, 59. See also: </w:t>
      </w:r>
      <w:r w:rsidRPr="008C2722">
        <w:rPr>
          <w:smallCaps/>
        </w:rPr>
        <w:t>Adam Brown, Judging Privileged Jews: Holocaust Ethics, Representation, and the ‘Gray Zone’</w:t>
      </w:r>
      <w:r w:rsidR="00630B54" w:rsidRPr="008C2722">
        <w:t xml:space="preserve">, 15–16 (2013); </w:t>
      </w:r>
      <w:r w:rsidRPr="008C2722">
        <w:t xml:space="preserve">Sander H. Lee, </w:t>
      </w:r>
      <w:r w:rsidRPr="008C2722">
        <w:rPr>
          <w:i/>
          <w:iCs/>
        </w:rPr>
        <w:t>“Primo Levi’s Gray Zone: Implications for Post-Holocaust Ethics”</w:t>
      </w:r>
      <w:r w:rsidRPr="008C2722">
        <w:t xml:space="preserve">, 30 (2) </w:t>
      </w:r>
      <w:r w:rsidRPr="008C2722">
        <w:rPr>
          <w:smallCaps/>
        </w:rPr>
        <w:t>Holocaust and Genocide Studies, 277, 278-280</w:t>
      </w:r>
      <w:r w:rsidR="008C2722">
        <w:t xml:space="preserve"> (2016); </w:t>
      </w:r>
      <w:r w:rsidR="008C2722" w:rsidRPr="008C2722">
        <w:rPr>
          <w:smallCaps/>
        </w:rPr>
        <w:t xml:space="preserve">Dan </w:t>
      </w:r>
      <w:proofErr w:type="spellStart"/>
      <w:r w:rsidR="008C2722" w:rsidRPr="008C2722">
        <w:rPr>
          <w:smallCaps/>
        </w:rPr>
        <w:t>Porat</w:t>
      </w:r>
      <w:proofErr w:type="spellEnd"/>
      <w:r w:rsidR="008C2722" w:rsidRPr="008C2722">
        <w:rPr>
          <w:smallCaps/>
        </w:rPr>
        <w:t>, Bitter Reckoning: Israel Tries Holocaust Survivors as Nazi Collaborators</w:t>
      </w:r>
      <w:r w:rsidR="008C2722" w:rsidRPr="008C2722">
        <w:t xml:space="preserve"> (Cambridge, MA: Harvard University Press, 2019)</w:t>
      </w:r>
      <w:r w:rsidR="008C2722">
        <w:t>, p. 10-9.</w:t>
      </w:r>
      <w:r w:rsidRPr="008C2722">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4AF"/>
    <w:rsid w:val="00060341"/>
    <w:rsid w:val="00095FF0"/>
    <w:rsid w:val="000B52D5"/>
    <w:rsid w:val="001C6309"/>
    <w:rsid w:val="001F3535"/>
    <w:rsid w:val="002107F5"/>
    <w:rsid w:val="002134BF"/>
    <w:rsid w:val="00223976"/>
    <w:rsid w:val="00235217"/>
    <w:rsid w:val="00246022"/>
    <w:rsid w:val="00251E6C"/>
    <w:rsid w:val="0027273D"/>
    <w:rsid w:val="002D4A54"/>
    <w:rsid w:val="00312C95"/>
    <w:rsid w:val="003945B4"/>
    <w:rsid w:val="003A2B87"/>
    <w:rsid w:val="0040149E"/>
    <w:rsid w:val="0047563F"/>
    <w:rsid w:val="00484302"/>
    <w:rsid w:val="004B798F"/>
    <w:rsid w:val="004C6304"/>
    <w:rsid w:val="00502900"/>
    <w:rsid w:val="0053258A"/>
    <w:rsid w:val="00547DE5"/>
    <w:rsid w:val="00570997"/>
    <w:rsid w:val="00573EC9"/>
    <w:rsid w:val="005A52C2"/>
    <w:rsid w:val="005E54AF"/>
    <w:rsid w:val="00630B54"/>
    <w:rsid w:val="00665910"/>
    <w:rsid w:val="00675696"/>
    <w:rsid w:val="00676FB6"/>
    <w:rsid w:val="00792202"/>
    <w:rsid w:val="007E175E"/>
    <w:rsid w:val="007F1889"/>
    <w:rsid w:val="008250FF"/>
    <w:rsid w:val="008B754F"/>
    <w:rsid w:val="008C2722"/>
    <w:rsid w:val="008D2A49"/>
    <w:rsid w:val="00922EC5"/>
    <w:rsid w:val="0097529B"/>
    <w:rsid w:val="00975799"/>
    <w:rsid w:val="0099193D"/>
    <w:rsid w:val="00A97584"/>
    <w:rsid w:val="00AA4D47"/>
    <w:rsid w:val="00AA54DA"/>
    <w:rsid w:val="00B31FE5"/>
    <w:rsid w:val="00B96725"/>
    <w:rsid w:val="00C23777"/>
    <w:rsid w:val="00C34048"/>
    <w:rsid w:val="00C4206E"/>
    <w:rsid w:val="00C52B9B"/>
    <w:rsid w:val="00C9142B"/>
    <w:rsid w:val="00D13E22"/>
    <w:rsid w:val="00D91EB5"/>
    <w:rsid w:val="00D97392"/>
    <w:rsid w:val="00D97D0F"/>
    <w:rsid w:val="00DA1FF1"/>
    <w:rsid w:val="00DD6FEC"/>
    <w:rsid w:val="00E67019"/>
    <w:rsid w:val="00F67151"/>
    <w:rsid w:val="00FF045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430B8C-4FAB-4990-B452-4584BB06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rial Unicode MS"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EB5"/>
    <w:pPr>
      <w:bidi/>
      <w:spacing w:after="0" w:line="360" w:lineRule="auto"/>
      <w:jc w:val="both"/>
    </w:pPr>
    <w:rPr>
      <w:rFonts w:ascii="David" w:hAnsi="David" w:cs="David"/>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1EB5"/>
    <w:pPr>
      <w:spacing w:line="240" w:lineRule="auto"/>
    </w:pPr>
    <w:rPr>
      <w:sz w:val="20"/>
      <w:szCs w:val="20"/>
    </w:rPr>
  </w:style>
  <w:style w:type="character" w:customStyle="1" w:styleId="FootnoteTextChar">
    <w:name w:val="Footnote Text Char"/>
    <w:basedOn w:val="DefaultParagraphFont"/>
    <w:link w:val="FootnoteText"/>
    <w:uiPriority w:val="99"/>
    <w:rsid w:val="00D91EB5"/>
    <w:rPr>
      <w:rFonts w:cs="David"/>
      <w:sz w:val="20"/>
      <w:szCs w:val="20"/>
    </w:rPr>
  </w:style>
  <w:style w:type="character" w:styleId="FootnoteReference">
    <w:name w:val="footnote reference"/>
    <w:basedOn w:val="DefaultParagraphFont"/>
    <w:uiPriority w:val="99"/>
    <w:unhideWhenUsed/>
    <w:rsid w:val="00D91EB5"/>
    <w:rPr>
      <w:rFonts w:ascii="David" w:hAnsi="David" w:cs="David"/>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27C72-3699-4420-8580-3DB8F4E2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4985</Characters>
  <Application>Microsoft Office Word</Application>
  <DocSecurity>0</DocSecurity>
  <Lines>95</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Yehudit Dori Deston</dc:creator>
  <cp:keywords/>
  <dc:description/>
  <cp:lastModifiedBy>Susan</cp:lastModifiedBy>
  <cp:revision>2</cp:revision>
  <dcterms:created xsi:type="dcterms:W3CDTF">2023-01-14T18:08:00Z</dcterms:created>
  <dcterms:modified xsi:type="dcterms:W3CDTF">2023-01-14T18:08:00Z</dcterms:modified>
</cp:coreProperties>
</file>